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ABF86" w14:textId="0D95AE69" w:rsidR="005500F7" w:rsidRPr="005500F7" w:rsidRDefault="005500F7" w:rsidP="005500F7">
      <w:pPr>
        <w:spacing w:line="240" w:lineRule="auto"/>
        <w:rPr>
          <w:rFonts w:ascii="Aptos" w:hAnsi="Aptos"/>
          <w:b/>
          <w:sz w:val="20"/>
          <w:szCs w:val="20"/>
        </w:rPr>
      </w:pPr>
      <w:bookmarkStart w:id="0" w:name="_Toc83249723"/>
      <w:proofErr w:type="gramStart"/>
      <w:r w:rsidRPr="005500F7">
        <w:rPr>
          <w:rFonts w:ascii="Aptos" w:hAnsi="Aptos"/>
          <w:b/>
          <w:sz w:val="20"/>
          <w:szCs w:val="20"/>
        </w:rPr>
        <w:t>Supplementary  Table</w:t>
      </w:r>
      <w:proofErr w:type="gramEnd"/>
      <w:r w:rsidRPr="005500F7">
        <w:rPr>
          <w:rFonts w:ascii="Aptos" w:hAnsi="Aptos"/>
          <w:b/>
          <w:sz w:val="20"/>
          <w:szCs w:val="20"/>
        </w:rPr>
        <w:t xml:space="preserve"> 1.</w:t>
      </w:r>
      <w:r w:rsidR="00705731">
        <w:rPr>
          <w:rFonts w:ascii="Aptos" w:hAnsi="Aptos"/>
          <w:b/>
          <w:sz w:val="20"/>
          <w:szCs w:val="20"/>
        </w:rPr>
        <w:t xml:space="preserve"> </w:t>
      </w:r>
      <w:r w:rsidRPr="005500F7">
        <w:rPr>
          <w:rFonts w:ascii="Aptos" w:hAnsi="Aptos"/>
          <w:b/>
          <w:sz w:val="20"/>
          <w:szCs w:val="20"/>
        </w:rPr>
        <w:t>Clinical characteristics of genetic dystonia syndromes reported in the literature.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8186"/>
      </w:tblGrid>
      <w:tr w:rsidR="005500F7" w:rsidRPr="005500F7" w14:paraId="00D14782" w14:textId="77777777" w:rsidTr="002C08A9">
        <w:trPr>
          <w:cantSplit/>
          <w:trHeight w:val="473"/>
        </w:trPr>
        <w:tc>
          <w:tcPr>
            <w:tcW w:w="593" w:type="pct"/>
            <w:tcBorders>
              <w:top w:val="nil"/>
              <w:left w:val="nil"/>
              <w:bottom w:val="single" w:sz="12" w:space="0" w:color="auto"/>
              <w:right w:val="nil"/>
            </w:tcBorders>
            <w:shd w:val="clear" w:color="auto" w:fill="auto"/>
            <w:vAlign w:val="center"/>
          </w:tcPr>
          <w:p w14:paraId="3F702F63" w14:textId="3C8012D5" w:rsidR="00165D1D" w:rsidRPr="005500F7" w:rsidRDefault="00165D1D" w:rsidP="00257457">
            <w:pPr>
              <w:spacing w:after="0" w:line="240" w:lineRule="auto"/>
              <w:rPr>
                <w:rFonts w:ascii="Aptos" w:hAnsi="Aptos"/>
                <w:b/>
                <w:sz w:val="20"/>
                <w:szCs w:val="20"/>
              </w:rPr>
            </w:pPr>
            <w:r>
              <w:rPr>
                <w:rFonts w:ascii="Aptos" w:hAnsi="Aptos"/>
                <w:b/>
                <w:sz w:val="20"/>
                <w:szCs w:val="20"/>
              </w:rPr>
              <w:t>Dystonia</w:t>
            </w:r>
          </w:p>
          <w:p w14:paraId="5D932E36" w14:textId="185F464E" w:rsidR="005500F7" w:rsidRPr="005500F7" w:rsidRDefault="00CE106B" w:rsidP="00257457">
            <w:pPr>
              <w:spacing w:after="0" w:line="240" w:lineRule="auto"/>
              <w:rPr>
                <w:rFonts w:ascii="Aptos" w:hAnsi="Aptos"/>
                <w:b/>
                <w:sz w:val="20"/>
                <w:szCs w:val="20"/>
              </w:rPr>
            </w:pPr>
            <w:r>
              <w:rPr>
                <w:rFonts w:ascii="Aptos" w:hAnsi="Aptos"/>
                <w:b/>
                <w:sz w:val="20"/>
                <w:szCs w:val="20"/>
              </w:rPr>
              <w:t>Gene</w:t>
            </w:r>
          </w:p>
        </w:tc>
        <w:tc>
          <w:tcPr>
            <w:tcW w:w="4407" w:type="pct"/>
            <w:tcBorders>
              <w:top w:val="nil"/>
              <w:left w:val="nil"/>
              <w:bottom w:val="single" w:sz="12" w:space="0" w:color="auto"/>
              <w:right w:val="single" w:sz="4" w:space="0" w:color="FFFFFF"/>
            </w:tcBorders>
            <w:shd w:val="clear" w:color="auto" w:fill="auto"/>
            <w:vAlign w:val="center"/>
          </w:tcPr>
          <w:p w14:paraId="7260A61B" w14:textId="77777777" w:rsidR="005500F7" w:rsidRPr="005500F7" w:rsidRDefault="005500F7" w:rsidP="00257457">
            <w:pPr>
              <w:spacing w:after="0" w:line="240" w:lineRule="auto"/>
              <w:jc w:val="center"/>
              <w:rPr>
                <w:rFonts w:ascii="Aptos" w:hAnsi="Aptos"/>
                <w:b/>
                <w:sz w:val="20"/>
                <w:szCs w:val="20"/>
              </w:rPr>
            </w:pPr>
            <w:r w:rsidRPr="005500F7">
              <w:rPr>
                <w:rFonts w:ascii="Aptos" w:hAnsi="Aptos"/>
                <w:b/>
                <w:sz w:val="20"/>
                <w:szCs w:val="20"/>
              </w:rPr>
              <w:t>Clinical Characteristics</w:t>
            </w:r>
          </w:p>
        </w:tc>
      </w:tr>
      <w:tr w:rsidR="005500F7" w:rsidRPr="005500F7" w14:paraId="0E6DFF1E" w14:textId="77777777" w:rsidTr="002C08A9">
        <w:trPr>
          <w:trHeight w:val="1199"/>
        </w:trPr>
        <w:tc>
          <w:tcPr>
            <w:tcW w:w="593" w:type="pct"/>
            <w:tcBorders>
              <w:top w:val="single" w:sz="12" w:space="0" w:color="auto"/>
              <w:left w:val="nil"/>
              <w:bottom w:val="single" w:sz="4" w:space="0" w:color="auto"/>
              <w:right w:val="nil"/>
            </w:tcBorders>
            <w:shd w:val="clear" w:color="auto" w:fill="auto"/>
            <w:vAlign w:val="center"/>
          </w:tcPr>
          <w:p w14:paraId="77B0F6B4" w14:textId="1A18D868" w:rsidR="005500F7" w:rsidRPr="005500F7" w:rsidRDefault="005500F7" w:rsidP="00257457">
            <w:pPr>
              <w:spacing w:after="0" w:line="240" w:lineRule="auto"/>
              <w:rPr>
                <w:rFonts w:ascii="Aptos" w:hAnsi="Aptos"/>
                <w:sz w:val="20"/>
                <w:szCs w:val="20"/>
              </w:rPr>
            </w:pPr>
            <w:r w:rsidRPr="005500F7">
              <w:rPr>
                <w:rFonts w:ascii="Aptos" w:hAnsi="Aptos"/>
                <w:b/>
                <w:i/>
                <w:iCs/>
                <w:sz w:val="20"/>
                <w:szCs w:val="20"/>
              </w:rPr>
              <w:t>AOPEP</w:t>
            </w:r>
          </w:p>
        </w:tc>
        <w:tc>
          <w:tcPr>
            <w:tcW w:w="4407" w:type="pct"/>
            <w:tcBorders>
              <w:top w:val="single" w:sz="12" w:space="0" w:color="auto"/>
              <w:left w:val="nil"/>
              <w:bottom w:val="single" w:sz="4" w:space="0" w:color="auto"/>
              <w:right w:val="nil"/>
            </w:tcBorders>
            <w:shd w:val="clear" w:color="auto" w:fill="auto"/>
            <w:vAlign w:val="center"/>
          </w:tcPr>
          <w:p w14:paraId="5AF5453C" w14:textId="77777777" w:rsidR="005500F7" w:rsidRPr="005500F7" w:rsidRDefault="005500F7" w:rsidP="00257457">
            <w:pPr>
              <w:spacing w:after="0" w:line="240" w:lineRule="auto"/>
              <w:jc w:val="center"/>
              <w:rPr>
                <w:rFonts w:ascii="Aptos" w:hAnsi="Aptos"/>
                <w:sz w:val="20"/>
                <w:szCs w:val="20"/>
              </w:rPr>
            </w:pPr>
            <w:r w:rsidRPr="005500F7">
              <w:rPr>
                <w:rFonts w:ascii="Aptos" w:hAnsi="Aptos"/>
                <w:sz w:val="20"/>
                <w:szCs w:val="20"/>
              </w:rPr>
              <w:t>It is a form of isolated dystonia with recessive inheritance</w:t>
            </w:r>
            <w:r w:rsidRPr="005500F7">
              <w:rPr>
                <w:rFonts w:ascii="Aptos" w:hAnsi="Aptos"/>
                <w:sz w:val="20"/>
                <w:szCs w:val="20"/>
              </w:rPr>
              <w:fldChar w:fldCharType="begin"/>
            </w:r>
            <w:r w:rsidRPr="005500F7">
              <w:rPr>
                <w:rFonts w:ascii="Aptos" w:hAnsi="Aptos"/>
                <w:sz w:val="20"/>
                <w:szCs w:val="20"/>
              </w:rPr>
              <w:instrText xml:space="preserve"> ADDIN ZOTERO_ITEM CSL_CITATION {"citationID":"STpQiEcH","properties":{"formattedCitation":"\\super 1\\nosupersub{}","plainCitation":"1","noteIndex":0},"citationItems":[{"id":230,"uris":["http://zotero.org/users/local/qbj29eOf/items/L3PFVJMX"],"itemData":{"id":230,"type":"article-journal","container-title":"Movement Disorders","DOI":"10.1002/mds.29327","ISSN":"0885-3185, 1531-8257","issue":"3","journalAbbreviation":"Movement Disorders","language":"en","page":"507-508","source":"DOI.org (Crossref)","title":"&lt;span style=\"font-variant:small-caps;\"&gt;MDSGene&lt;/span&gt; : Extending the List of Isolated Dystonia Genes by &lt;span style=\"font-variant:small-caps;\"&gt; &lt;i&gt;VPS16&lt;/i&gt; &lt;/span&gt; , &lt;span style=\"font-variant:small-caps;\"&gt; &lt;i&gt;EIF2AK2&lt;/i&gt; &lt;/span&gt; , and &lt;span style=\"font-variant:small-caps;\"&gt; &lt;i&gt;AOPEP&lt;/i&gt; &lt;/span&gt;","title-short":"&lt;span style=\"font-variant","volume":"38","author":[{"family":"Thomsen","given":"Mirja"},{"family":"Lange","given":"Lara M."},{"family":"Klein","given":"Christine"},{"family":"Lohmann","given":"Katja"}],"issued":{"date-parts":[["2023",3]]}}}],"schema":"https://github.com/citation-style-language/schema/raw/master/csl-citation.json"}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1</w:t>
            </w:r>
            <w:r w:rsidRPr="005500F7">
              <w:rPr>
                <w:rFonts w:ascii="Aptos" w:hAnsi="Aptos"/>
                <w:sz w:val="20"/>
                <w:szCs w:val="20"/>
              </w:rPr>
              <w:fldChar w:fldCharType="end"/>
            </w:r>
            <w:r w:rsidRPr="005500F7">
              <w:rPr>
                <w:rFonts w:ascii="Aptos" w:hAnsi="Aptos"/>
                <w:sz w:val="20"/>
                <w:szCs w:val="20"/>
              </w:rPr>
              <w:t xml:space="preserve"> and emerges in childhood to early adulthood initially affecting hands</w:t>
            </w:r>
            <w:r w:rsidRPr="005500F7">
              <w:rPr>
                <w:rFonts w:ascii="Aptos" w:hAnsi="Aptos"/>
                <w:sz w:val="20"/>
                <w:szCs w:val="20"/>
              </w:rPr>
              <w:fldChar w:fldCharType="begin"/>
            </w:r>
            <w:r w:rsidRPr="005500F7">
              <w:rPr>
                <w:rFonts w:ascii="Aptos" w:hAnsi="Aptos"/>
                <w:sz w:val="20"/>
                <w:szCs w:val="20"/>
              </w:rPr>
              <w:instrText xml:space="preserve"> ADDIN ZOTERO_ITEM CSL_CITATION {"citationID":"Amt13Ycc","properties":{"formattedCitation":"\\super 2\\uc0\\u8211{}5\\nosupersub{}","plainCitation":"2–5","noteIndex":0},"citationItems":[{"id":307,"uris":["http://zotero.org/users/local/qbj29eOf/items/TZCYE22Y"],"itemData":{"id":307,"type":"article-journal","container-title":"Parkinsonism &amp; Related Disorders","DOI":"10.1016/j.parkreldis.2022.03.007","ISSN":"13538020","journalAbbreviation":"Parkinsonism &amp; Related Disorders","language":"en","page":"52-56","source":"DOI.org (Crossref)","title":"AOPEP variants as a novel cause of recessive dystonia: Generalized dystonia and dystonia-parkinsonism","title-short":"AOPEP variants as a novel cause of recessive dystonia","volume":"97","author":[{"family":"Garavaglia","given":"Barbara"},{"family":"Vallian","given":"Sadeq"},{"family":"Romito","given":"Luigi M."},{"family":"Straccia","given":"Giulia"},{"family":"Capecci","given":"Marianna"},{"family":"Invernizzi","given":"Federica"},{"family":"Andrenelli","given":"Elisa"},{"family":"Kazemi","given":"Arezu"},{"family":"Boesch","given":"Sylvia"},{"family":"Kopajtich","given":"Robert"},{"family":"Olfati","given":"Nahid"},{"family":"Shariati","given":"Mohammad"},{"family":"Shoeibi","given":"Ali"},{"family":"Sadr-Nabavi","given":"Ariane"},{"family":"Prokisch","given":"Holger"},{"family":"Winkelmann","given":"Juliane"},{"family":"Zech","given":"Michael"}],"issued":{"date-parts":[["2022",4]]}},"label":"page"},{"id":310,"uris":["http://zotero.org/users/local/qbj29eOf/items/RX4LAW97"],"itemData":{"id":310,"type":"article-journal","container-title":"Movement Disorders","DOI":"10.1002/mds.28804","ISSN":"0885-3185, 1531-8257","issue":"1","journalAbbreviation":"Movement Disorders","language":"en","page":"137-147","source":"DOI.org (Crossref)","title":"Biallelic &lt;span style=\"font-variant:small-caps;\"&gt; &lt;i&gt;AOPEP&lt;/i&gt; &lt;/span&gt; Loss</w:instrText>
            </w:r>
            <w:r w:rsidRPr="005500F7">
              <w:rPr>
                <w:rFonts w:ascii="Cambria Math" w:hAnsi="Cambria Math" w:cs="Cambria Math"/>
                <w:sz w:val="20"/>
                <w:szCs w:val="20"/>
              </w:rPr>
              <w:instrText>‐</w:instrText>
            </w:r>
            <w:r w:rsidRPr="005500F7">
              <w:rPr>
                <w:rFonts w:ascii="Aptos" w:hAnsi="Aptos"/>
                <w:sz w:val="20"/>
                <w:szCs w:val="20"/>
              </w:rPr>
              <w:instrText>of</w:instrText>
            </w:r>
            <w:r w:rsidRPr="005500F7">
              <w:rPr>
                <w:rFonts w:ascii="Cambria Math" w:hAnsi="Cambria Math" w:cs="Cambria Math"/>
                <w:sz w:val="20"/>
                <w:szCs w:val="20"/>
              </w:rPr>
              <w:instrText>‐</w:instrText>
            </w:r>
            <w:r w:rsidRPr="005500F7">
              <w:rPr>
                <w:rFonts w:ascii="Aptos" w:hAnsi="Aptos"/>
                <w:sz w:val="20"/>
                <w:szCs w:val="20"/>
              </w:rPr>
              <w:instrText>Function Variants Cause Progressive Dystonia with Prominent Limb Involvement","title-short":"Biallelic &lt;span style=\"font-variant","volume":"37","author":[{"family":"Zech","given":"Michael"},{"family":"Kumar","given":"Kishore R."},{"family":"Reining","given":"Sophie"},{"family":"Reunert","given":"Janine"},{"family":"Tchan","given":"Michel"},{"family":"Riley","given":"Lisa G."},{"family":"Drew","given":"Alexander P."},{"family":"Adam","given":"Robert J."},{"family":"Berutti","given":"Riccardo"},{"family":"Biskup","given":"Saskia"},{"family":"Derive","given":"Nicolas"},{"family":"Bakhtiari","given":"Somayeh"},{"family":"Jin","given":"Sheng Chih"},{"family":"Kruer","given":"Michael C."},{"family":"Bardakjian","given":"Tanya"},{"family":"Gonzalez</w:instrText>
            </w:r>
            <w:r w:rsidRPr="005500F7">
              <w:rPr>
                <w:rFonts w:ascii="Cambria Math" w:hAnsi="Cambria Math" w:cs="Cambria Math"/>
                <w:sz w:val="20"/>
                <w:szCs w:val="20"/>
              </w:rPr>
              <w:instrText>‐</w:instrText>
            </w:r>
            <w:r w:rsidRPr="005500F7">
              <w:rPr>
                <w:rFonts w:ascii="Aptos" w:hAnsi="Aptos"/>
                <w:sz w:val="20"/>
                <w:szCs w:val="20"/>
              </w:rPr>
              <w:instrText>Alegre","given":"Pedro"},{"family":"Keller Sarmiento","given":"Ignacio J."},{"family":"Mencacci","given":"Niccolo E."},{"family":"Lubbe","given":"Steven J."},{"family":"Kurian","given":"Manju A."},{"family":"Clot","given":"Fabienne"},{"family":"Méneret","given":"Aurélie"},{"family":"Sainte Agathe","given":"Jean</w:instrText>
            </w:r>
            <w:r w:rsidRPr="005500F7">
              <w:rPr>
                <w:rFonts w:ascii="Cambria Math" w:hAnsi="Cambria Math" w:cs="Cambria Math"/>
                <w:sz w:val="20"/>
                <w:szCs w:val="20"/>
              </w:rPr>
              <w:instrText>‐</w:instrText>
            </w:r>
            <w:r w:rsidRPr="005500F7">
              <w:rPr>
                <w:rFonts w:ascii="Aptos" w:hAnsi="Aptos"/>
                <w:sz w:val="20"/>
                <w:szCs w:val="20"/>
              </w:rPr>
              <w:instrText>Madeleine"},{"family":"Fung","given":"Victor S.C."},{"family":"Vidailhet","given":"Marie"},{"family":"Baumann","given":"Matthias"},{"family":"Marquardt","given":"Thorsten"},{"family":"Winkelmann","given":"Juliane"},{"family":"Boesch","given":"Sylvia"}],"issued":{"date-parts":[["2022",1]]}},"label":"page"},{"id":305,"uris":["http://zotero.org/users/local/qbj29eOf/items/LUNHIN9X"],"itemData":{"id":305,"type":"article-journal","container-title":"Movement Disorders","DOI":"10.1002/mds.28928","ISSN":"0885-3185, 1531-8257","issue":"4","journalAbbreviation":"Movement Disorders","language":"en","page":"874-875","source":"DOI.org (Crossref)","title":"&lt;span style=\"font-variant:small-caps;\"&gt; &lt;i&gt;AOPEP&lt;/i&gt; &lt;/span&gt; Homozygous Loss</w:instrText>
            </w:r>
            <w:r w:rsidRPr="005500F7">
              <w:rPr>
                <w:rFonts w:ascii="Cambria Math" w:hAnsi="Cambria Math" w:cs="Cambria Math"/>
                <w:sz w:val="20"/>
                <w:szCs w:val="20"/>
              </w:rPr>
              <w:instrText>‐</w:instrText>
            </w:r>
            <w:r w:rsidRPr="005500F7">
              <w:rPr>
                <w:rFonts w:ascii="Aptos" w:hAnsi="Aptos"/>
                <w:sz w:val="20"/>
                <w:szCs w:val="20"/>
              </w:rPr>
              <w:instrText>of</w:instrText>
            </w:r>
            <w:r w:rsidRPr="005500F7">
              <w:rPr>
                <w:rFonts w:ascii="Cambria Math" w:hAnsi="Cambria Math" w:cs="Cambria Math"/>
                <w:sz w:val="20"/>
                <w:szCs w:val="20"/>
              </w:rPr>
              <w:instrText>‐</w:instrText>
            </w:r>
            <w:r w:rsidRPr="005500F7">
              <w:rPr>
                <w:rFonts w:ascii="Aptos" w:hAnsi="Aptos"/>
                <w:sz w:val="20"/>
                <w:szCs w:val="20"/>
              </w:rPr>
              <w:instrText>Function Variant in an Indian Patient with Early</w:instrText>
            </w:r>
            <w:r w:rsidRPr="005500F7">
              <w:rPr>
                <w:rFonts w:ascii="Cambria Math" w:hAnsi="Cambria Math" w:cs="Cambria Math"/>
                <w:sz w:val="20"/>
                <w:szCs w:val="20"/>
              </w:rPr>
              <w:instrText>‐</w:instrText>
            </w:r>
            <w:r w:rsidRPr="005500F7">
              <w:rPr>
                <w:rFonts w:ascii="Aptos" w:hAnsi="Aptos"/>
                <w:sz w:val="20"/>
                <w:szCs w:val="20"/>
              </w:rPr>
              <w:instrText xml:space="preserve">Onset Generalized Dystonia","title-short":"&lt;span style=\"font-variant","volume":"37","author":[{"family":"Fevga","given":"Christina"},{"family":"Ferraro","given":"Federico"},{"family":"Breedveld","given":"Guido J."},{"family":"Savant Sankhla","given":"Charulata"},{"family":"Bonifati","given":"Vincenzo"}],"issued":{"date-parts":[["2022",4]]}},"label":"page"},{"id":308,"uris":["http://zotero.org/users/local/qbj29eOf/items/RBNBG94L"],"itemData":{"id":308,"type":"article-journal","container-title":"Movement Disorders","DOI":"10.1002/mds.29021","ISSN":"0885-3185, 1531-8257","issue":"5","journalAbbreviation":"Movement Disorders","language":"en","page":"1113-1115","source":"DOI.org (Crossref)","title":"Expanded Genetic Spectrum and Variable Disease Onset in &lt;span style=\"font-variant:small-caps;\"&gt; &lt;i&gt;AOPEP&lt;/i&gt; &lt;/span&gt; </w:instrText>
            </w:r>
            <w:r w:rsidRPr="005500F7">
              <w:rPr>
                <w:rFonts w:ascii="Cambria Math" w:hAnsi="Cambria Math" w:cs="Cambria Math"/>
                <w:sz w:val="20"/>
                <w:szCs w:val="20"/>
              </w:rPr>
              <w:instrText>‐</w:instrText>
            </w:r>
            <w:r w:rsidRPr="005500F7">
              <w:rPr>
                <w:rFonts w:ascii="Aptos" w:hAnsi="Aptos"/>
                <w:sz w:val="20"/>
                <w:szCs w:val="20"/>
              </w:rPr>
              <w:instrText xml:space="preserve">Associated Dystonia","title-short":"Expanded Genetic Spectrum and Variable Disease Onset in &lt;span style=\"font-variant","volume":"37","author":[{"family":"Menden","given":"Benita"},{"family":"Gutschalk","given":"Alexander"},{"family":"Wunderlich","given":"Gilbert"},{"family":"Haack","given":"Tobias B."}],"issued":{"date-parts":[["2022",5]]}},"label":"page"}],"schema":"https://github.com/citation-style-language/schema/raw/master/csl-citation.json"}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2–5</w:t>
            </w:r>
            <w:r w:rsidRPr="005500F7">
              <w:rPr>
                <w:rFonts w:ascii="Aptos" w:hAnsi="Aptos"/>
                <w:sz w:val="20"/>
                <w:szCs w:val="20"/>
              </w:rPr>
              <w:fldChar w:fldCharType="end"/>
            </w:r>
            <w:r w:rsidRPr="005500F7">
              <w:rPr>
                <w:rFonts w:ascii="Aptos" w:hAnsi="Aptos"/>
                <w:sz w:val="20"/>
                <w:szCs w:val="20"/>
              </w:rPr>
              <w:t xml:space="preserve"> or lower limbs</w:t>
            </w:r>
            <w:r w:rsidRPr="005500F7">
              <w:rPr>
                <w:rFonts w:ascii="Aptos" w:hAnsi="Aptos"/>
                <w:sz w:val="20"/>
                <w:szCs w:val="20"/>
              </w:rPr>
              <w:fldChar w:fldCharType="begin"/>
            </w:r>
            <w:r w:rsidRPr="005500F7">
              <w:rPr>
                <w:rFonts w:ascii="Aptos" w:hAnsi="Aptos"/>
                <w:sz w:val="20"/>
                <w:szCs w:val="20"/>
              </w:rPr>
              <w:instrText xml:space="preserve"> ADDIN ZOTERO_ITEM CSL_CITATION {"citationID":"dtb8Ix7g","properties":{"formattedCitation":"\\super 3\\nosupersub{}","plainCitation":"3","noteIndex":0},"citationItems":[{"id":310,"uris":["http://zotero.org/users/local/qbj29eOf/items/RX4LAW97"],"itemData":{"id":310,"type":"article-journal","container-title":"Movement Disorders","DOI":"10.1002/mds.28804","ISSN":"0885-3185, 1531-8257","issue":"1","journalAbbreviation":"Movement Disorders","language":"en","page":"137-147","source":"DOI.org (Crossref)","title":"Biallelic &lt;span style=\"font-variant:small-caps;\"&gt; &lt;i&gt;AOPEP&lt;/i&gt; &lt;/span&gt; Loss</w:instrText>
            </w:r>
            <w:r w:rsidRPr="005500F7">
              <w:rPr>
                <w:rFonts w:ascii="Cambria Math" w:hAnsi="Cambria Math" w:cs="Cambria Math"/>
                <w:sz w:val="20"/>
                <w:szCs w:val="20"/>
              </w:rPr>
              <w:instrText>‐</w:instrText>
            </w:r>
            <w:r w:rsidRPr="005500F7">
              <w:rPr>
                <w:rFonts w:ascii="Aptos" w:hAnsi="Aptos"/>
                <w:sz w:val="20"/>
                <w:szCs w:val="20"/>
              </w:rPr>
              <w:instrText>of</w:instrText>
            </w:r>
            <w:r w:rsidRPr="005500F7">
              <w:rPr>
                <w:rFonts w:ascii="Cambria Math" w:hAnsi="Cambria Math" w:cs="Cambria Math"/>
                <w:sz w:val="20"/>
                <w:szCs w:val="20"/>
              </w:rPr>
              <w:instrText>‐</w:instrText>
            </w:r>
            <w:r w:rsidRPr="005500F7">
              <w:rPr>
                <w:rFonts w:ascii="Aptos" w:hAnsi="Aptos"/>
                <w:sz w:val="20"/>
                <w:szCs w:val="20"/>
              </w:rPr>
              <w:instrText>Function Variants Cause Progressive Dystonia with Prominent Limb Involvement","title-short":"Biallelic &lt;span style=\"font-variant","volume":"37","author":[{"family":"Zech","given":"Michael"},{"family":"Kumar","given":"Kishore R."},{"family":"Reining","given":"Sophie"},{"family":"Reunert","given":"Janine"},{"family":"Tchan","given":"Michel"},{"family":"Riley","given":"Lisa G."},{"family":"Drew","given":"Alexander P."},{"family":"Adam","given":"Robert J."},{"family":"Berutti","given":"Riccardo"},{"family":"Biskup","given":"Saskia"},{"family":"Derive","given":"Nicolas"},{"family":"Bakhtiari","given":"Somayeh"},{"family":"Jin","given":"Sheng Chih"},{"family":"Kruer","given":"Michael C."},{"family":"Bardakjian","given":"Tanya"},{"family":"Gonzalez</w:instrText>
            </w:r>
            <w:r w:rsidRPr="005500F7">
              <w:rPr>
                <w:rFonts w:ascii="Cambria Math" w:hAnsi="Cambria Math" w:cs="Cambria Math"/>
                <w:sz w:val="20"/>
                <w:szCs w:val="20"/>
              </w:rPr>
              <w:instrText>‐</w:instrText>
            </w:r>
            <w:r w:rsidRPr="005500F7">
              <w:rPr>
                <w:rFonts w:ascii="Aptos" w:hAnsi="Aptos"/>
                <w:sz w:val="20"/>
                <w:szCs w:val="20"/>
              </w:rPr>
              <w:instrText>Alegre","given":"Pedro"},{"family":"Keller Sarmiento","given":"Ignacio J."},{"family":"Mencacci","given":"Niccolo E."},{"family":"Lubbe","given":"Steven J."},{"family":"Kurian","given":"Manju A."},{"family":"Clot","given":"Fabienne"},{"family":"Méneret","given":"Aurélie"},{"family":"Sainte Agathe","given":"Jean</w:instrText>
            </w:r>
            <w:r w:rsidRPr="005500F7">
              <w:rPr>
                <w:rFonts w:ascii="Cambria Math" w:hAnsi="Cambria Math" w:cs="Cambria Math"/>
                <w:sz w:val="20"/>
                <w:szCs w:val="20"/>
              </w:rPr>
              <w:instrText>‐</w:instrText>
            </w:r>
            <w:r w:rsidRPr="005500F7">
              <w:rPr>
                <w:rFonts w:ascii="Aptos" w:hAnsi="Aptos"/>
                <w:sz w:val="20"/>
                <w:szCs w:val="20"/>
              </w:rPr>
              <w:instrText xml:space="preserve">Madeleine"},{"family":"Fung","given":"Victor S.C."},{"family":"Vidailhet","given":"Marie"},{"family":"Baumann","given":"Matthias"},{"family":"Marquardt","given":"Thorsten"},{"family":"Winkelmann","given":"Juliane"},{"family":"Boesch","given":"Sylvia"}],"issued":{"date-parts":[["2022",1]]}}}],"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3</w:t>
            </w:r>
            <w:r w:rsidRPr="005500F7">
              <w:rPr>
                <w:rFonts w:ascii="Aptos" w:hAnsi="Aptos"/>
                <w:sz w:val="20"/>
                <w:szCs w:val="20"/>
              </w:rPr>
              <w:fldChar w:fldCharType="end"/>
            </w:r>
            <w:r w:rsidRPr="005500F7">
              <w:rPr>
                <w:rFonts w:ascii="Aptos" w:hAnsi="Aptos"/>
                <w:sz w:val="20"/>
                <w:szCs w:val="20"/>
              </w:rPr>
              <w:t>. Postural and movement abnormalities spread to limbs and neck during the progression phase, with occasional articulation difficulties .</w:t>
            </w:r>
            <w:r w:rsidRPr="005500F7">
              <w:rPr>
                <w:rFonts w:ascii="Aptos" w:hAnsi="Aptos"/>
                <w:sz w:val="20"/>
                <w:szCs w:val="20"/>
              </w:rPr>
              <w:fldChar w:fldCharType="begin"/>
            </w:r>
            <w:r w:rsidRPr="005500F7">
              <w:rPr>
                <w:rFonts w:ascii="Aptos" w:hAnsi="Aptos"/>
                <w:sz w:val="20"/>
                <w:szCs w:val="20"/>
              </w:rPr>
              <w:instrText xml:space="preserve"> ADDIN ZOTERO_ITEM CSL_CITATION {"citationID":"WZSF7FLg","properties":{"formattedCitation":"\\super 2\\uc0\\u8211{}4\\nosupersub{}","plainCitation":"2–4","noteIndex":0},"citationItems":[{"id":307,"uris":["http://zotero.org/users/local/qbj29eOf/items/TZCYE22Y"],"itemData":{"id":307,"type":"article-journal","container-title":"Parkinsonism &amp; Related Disorders","DOI":"10.1016/j.parkreldis.2022.03.007","ISSN":"13538020","journalAbbreviation":"Parkinsonism &amp; Related Disorders","language":"en","page":"52-56","source":"DOI.org (Crossref)","title":"AOPEP variants as a novel cause of recessive dystonia: Generalized dystonia and dystonia-parkinsonism","title-short":"AOPEP variants as a novel cause of recessive dystonia","volume":"97","author":[{"family":"Garavaglia","given":"Barbara"},{"family":"Vallian","given":"Sadeq"},{"family":"Romito","given":"Luigi M."},{"family":"Straccia","given":"Giulia"},{"family":"Capecci","given":"Marianna"},{"family":"Invernizzi","given":"Federica"},{"family":"Andrenelli","given":"Elisa"},{"family":"Kazemi","given":"Arezu"},{"family":"Boesch","given":"Sylvia"},{"family":"Kopajtich","given":"Robert"},{"family":"Olfati","given":"Nahid"},{"family":"Shariati","given":"Mohammad"},{"family":"Shoeibi","given":"Ali"},{"family":"Sadr-Nabavi","given":"Ariane"},{"family":"Prokisch","given":"Holger"},{"family":"Winkelmann","given":"Juliane"},{"family":"Zech","given":"Michael"}],"issued":{"date-parts":[["2022",4]]}}},{"id":310,"uris":["http://zotero.org/users/local/qbj29eOf/items/RX4LAW97"],"itemData":{"id":310,"type":"article-journal","container-title":"Movement Disorders","DOI":"10.1002/mds.28804","ISSN":"0885-3185, 1531-8257","issue":"1","journalAbbreviation":"Movement Disorders","language":"en","page":"137-147","source":"DOI.org (Crossref)","title":"Biallelic &lt;span style=\"font-variant:small-caps;\"&gt; &lt;i&gt;AOPEP&lt;/i&gt; &lt;/span&gt; Loss</w:instrText>
            </w:r>
            <w:r w:rsidRPr="005500F7">
              <w:rPr>
                <w:rFonts w:ascii="Cambria Math" w:hAnsi="Cambria Math" w:cs="Cambria Math"/>
                <w:sz w:val="20"/>
                <w:szCs w:val="20"/>
              </w:rPr>
              <w:instrText>‐</w:instrText>
            </w:r>
            <w:r w:rsidRPr="005500F7">
              <w:rPr>
                <w:rFonts w:ascii="Aptos" w:hAnsi="Aptos"/>
                <w:sz w:val="20"/>
                <w:szCs w:val="20"/>
              </w:rPr>
              <w:instrText>of</w:instrText>
            </w:r>
            <w:r w:rsidRPr="005500F7">
              <w:rPr>
                <w:rFonts w:ascii="Cambria Math" w:hAnsi="Cambria Math" w:cs="Cambria Math"/>
                <w:sz w:val="20"/>
                <w:szCs w:val="20"/>
              </w:rPr>
              <w:instrText>‐</w:instrText>
            </w:r>
            <w:r w:rsidRPr="005500F7">
              <w:rPr>
                <w:rFonts w:ascii="Aptos" w:hAnsi="Aptos"/>
                <w:sz w:val="20"/>
                <w:szCs w:val="20"/>
              </w:rPr>
              <w:instrText>Function Variants Cause Progressive Dystonia with Prominent Limb Involvement","title-short":"Biallelic &lt;span style=\"font-variant","volume":"37","author":[{"family":"Zech","given":"Michael"},{"family":"Kumar","given":"Kishore R."},{"family":"Reining","given":"Sophie"},{"family":"Reunert","given":"Janine"},{"family":"Tchan","given":"Michel"},{"family":"Riley","given":"Lisa G."},{"family":"Drew","given":"Alexander P."},{"family":"Adam","given":"Robert J."},{"family":"Berutti","given":"Riccardo"},{"family":"Biskup","given":"Saskia"},{"family":"Derive","given":"Nicolas"},{"family":"Bakhtiari","given":"Somayeh"},{"family":"Jin","given":"Sheng Chih"},{"family":"Kruer","given":"Michael C."},{"family":"Bardakjian","given":"Tanya"},{"family":"Gonzalez</w:instrText>
            </w:r>
            <w:r w:rsidRPr="005500F7">
              <w:rPr>
                <w:rFonts w:ascii="Cambria Math" w:hAnsi="Cambria Math" w:cs="Cambria Math"/>
                <w:sz w:val="20"/>
                <w:szCs w:val="20"/>
              </w:rPr>
              <w:instrText>‐</w:instrText>
            </w:r>
            <w:r w:rsidRPr="005500F7">
              <w:rPr>
                <w:rFonts w:ascii="Aptos" w:hAnsi="Aptos"/>
                <w:sz w:val="20"/>
                <w:szCs w:val="20"/>
              </w:rPr>
              <w:instrText>Alegre","given":"Pedro"},{"family":"Keller Sarmiento","given":"Ignacio J."},{"family":"Mencacci","given":"Niccolo E."},{"family":"Lubbe","given":"Steven J."},{"family":"Kurian","given":"Manju A."},{"family":"Clot","given":"Fabienne"},{"family":"Méneret","given":"Aurélie"},{"family":"Sainte Agathe","given":"Jean</w:instrText>
            </w:r>
            <w:r w:rsidRPr="005500F7">
              <w:rPr>
                <w:rFonts w:ascii="Cambria Math" w:hAnsi="Cambria Math" w:cs="Cambria Math"/>
                <w:sz w:val="20"/>
                <w:szCs w:val="20"/>
              </w:rPr>
              <w:instrText>‐</w:instrText>
            </w:r>
            <w:r w:rsidRPr="005500F7">
              <w:rPr>
                <w:rFonts w:ascii="Aptos" w:hAnsi="Aptos"/>
                <w:sz w:val="20"/>
                <w:szCs w:val="20"/>
              </w:rPr>
              <w:instrText>Madeleine"},{"family":"Fung","given":"Victor S.C."},{"family":"Vidailhet","given":"Marie"},{"family":"Baumann","given":"Matthias"},{"family":"Marquardt","given":"Thorsten"},{"family":"Winkelmann","given":"Juliane"},{"family":"Boesch","given":"Sylvia"}],"issued":{"date-parts":[["2022",1]]}}},{"id":305,"uris":["http://zotero.org/users/local/qbj29eOf/items/LUNHIN9X"],"itemData":{"id":305,"type":"article-journal","container-title":"Movement Disorders","DOI":"10.1002/mds.28928","ISSN":"0885-3185, 1531-8257","issue":"4","journalAbbreviation":"Movement Disorders","language":"en","page":"874-875","source":"DOI.org (Crossref)","title":"&lt;span style=\"font-variant:small-caps;\"&gt; &lt;i&gt;AOPEP&lt;/i&gt; &lt;/span&gt; Homozygous Loss</w:instrText>
            </w:r>
            <w:r w:rsidRPr="005500F7">
              <w:rPr>
                <w:rFonts w:ascii="Cambria Math" w:hAnsi="Cambria Math" w:cs="Cambria Math"/>
                <w:sz w:val="20"/>
                <w:szCs w:val="20"/>
              </w:rPr>
              <w:instrText>‐</w:instrText>
            </w:r>
            <w:r w:rsidRPr="005500F7">
              <w:rPr>
                <w:rFonts w:ascii="Aptos" w:hAnsi="Aptos"/>
                <w:sz w:val="20"/>
                <w:szCs w:val="20"/>
              </w:rPr>
              <w:instrText>of</w:instrText>
            </w:r>
            <w:r w:rsidRPr="005500F7">
              <w:rPr>
                <w:rFonts w:ascii="Cambria Math" w:hAnsi="Cambria Math" w:cs="Cambria Math"/>
                <w:sz w:val="20"/>
                <w:szCs w:val="20"/>
              </w:rPr>
              <w:instrText>‐</w:instrText>
            </w:r>
            <w:r w:rsidRPr="005500F7">
              <w:rPr>
                <w:rFonts w:ascii="Aptos" w:hAnsi="Aptos"/>
                <w:sz w:val="20"/>
                <w:szCs w:val="20"/>
              </w:rPr>
              <w:instrText>Function Variant in an Indian Patient with Early</w:instrText>
            </w:r>
            <w:r w:rsidRPr="005500F7">
              <w:rPr>
                <w:rFonts w:ascii="Cambria Math" w:hAnsi="Cambria Math" w:cs="Cambria Math"/>
                <w:sz w:val="20"/>
                <w:szCs w:val="20"/>
              </w:rPr>
              <w:instrText>‐</w:instrText>
            </w:r>
            <w:r w:rsidRPr="005500F7">
              <w:rPr>
                <w:rFonts w:ascii="Aptos" w:hAnsi="Aptos"/>
                <w:sz w:val="20"/>
                <w:szCs w:val="20"/>
              </w:rPr>
              <w:instrText xml:space="preserve">Onset Generalized Dystonia","title-short":"&lt;span style=\"font-variant","volume":"37","author":[{"family":"Fevga","given":"Christina"},{"family":"Ferraro","given":"Federico"},{"family":"Breedveld","given":"Guido J."},{"family":"Savant Sankhla","given":"Charulata"},{"family":"Bonifati","given":"Vincenzo"}],"issued":{"date-parts":[["2022",4]]}}}],"schema":"https://github.com/citation-style-language/schema/raw/master/csl-citation.json"}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2–4</w:t>
            </w:r>
            <w:r w:rsidRPr="005500F7">
              <w:rPr>
                <w:rFonts w:ascii="Aptos" w:hAnsi="Aptos"/>
                <w:sz w:val="20"/>
                <w:szCs w:val="20"/>
              </w:rPr>
              <w:fldChar w:fldCharType="end"/>
            </w:r>
            <w:r w:rsidRPr="005500F7">
              <w:rPr>
                <w:rFonts w:ascii="Aptos" w:hAnsi="Aptos"/>
                <w:sz w:val="20"/>
                <w:szCs w:val="20"/>
              </w:rPr>
              <w:t xml:space="preserve"> Dystonia tends to be generalized</w:t>
            </w:r>
            <w:r w:rsidRPr="005500F7">
              <w:rPr>
                <w:rFonts w:ascii="Aptos" w:hAnsi="Aptos"/>
                <w:sz w:val="20"/>
                <w:szCs w:val="20"/>
              </w:rPr>
              <w:fldChar w:fldCharType="begin"/>
            </w:r>
            <w:r w:rsidRPr="005500F7">
              <w:rPr>
                <w:rFonts w:ascii="Aptos" w:hAnsi="Aptos"/>
                <w:sz w:val="20"/>
                <w:szCs w:val="20"/>
              </w:rPr>
              <w:instrText xml:space="preserve"> ADDIN ZOTERO_ITEM CSL_CITATION {"citationID":"kQsDmRrp","properties":{"formattedCitation":"\\super 2\\uc0\\u8211{}6\\nosupersub{}","plainCitation":"2–6","noteIndex":0},"citationItems":[{"id":307,"uris":["http://zotero.org/users/local/qbj29eOf/items/TZCYE22Y"],"itemData":{"id":307,"type":"article-journal","container-title":"Parkinsonism &amp; Related Disorders","DOI":"10.1016/j.parkreldis.2022.03.007","ISSN":"13538020","journalAbbreviation":"Parkinsonism &amp; Related Disorders","language":"en","page":"52-56","source":"DOI.org (Crossref)","title":"AOPEP variants as a novel cause of recessive dystonia: Generalized dystonia and dystonia-parkinsonism","title-short":"AOPEP variants as a novel cause of recessive dystonia","volume":"97","author":[{"family":"Garavaglia","given":"Barbara"},{"family":"Vallian","given":"Sadeq"},{"family":"Romito","given":"Luigi M."},{"family":"Straccia","given":"Giulia"},{"family":"Capecci","given":"Marianna"},{"family":"Invernizzi","given":"Federica"},{"family":"Andrenelli","given":"Elisa"},{"family":"Kazemi","given":"Arezu"},{"family":"Boesch","given":"Sylvia"},{"family":"Kopajtich","given":"Robert"},{"family":"Olfati","given":"Nahid"},{"family":"Shariati","given":"Mohammad"},{"family":"Shoeibi","given":"Ali"},{"family":"Sadr-Nabavi","given":"Ariane"},{"family":"Prokisch","given":"Holger"},{"family":"Winkelmann","given":"Juliane"},{"family":"Zech","given":"Michael"}],"issued":{"date-parts":[["2022",4]]}}},{"id":310,"uris":["http://zotero.org/users/local/qbj29eOf/items/RX4LAW97"],"itemData":{"id":310,"type":"article-journal","container-title":"Movement Disorders","DOI":"10.1002/mds.28804","ISSN":"0885-3185, 1531-8257","issue":"1","journalAbbreviation":"Movement Disorders","language":"en","page":"137-147","source":"DOI.org (Crossref)","title":"Biallelic &lt;span style=\"font-variant:small-caps;\"&gt; &lt;i&gt;AOPEP&lt;/i&gt; &lt;/span&gt; Loss</w:instrText>
            </w:r>
            <w:r w:rsidRPr="005500F7">
              <w:rPr>
                <w:rFonts w:ascii="Cambria Math" w:hAnsi="Cambria Math" w:cs="Cambria Math"/>
                <w:sz w:val="20"/>
                <w:szCs w:val="20"/>
              </w:rPr>
              <w:instrText>‐</w:instrText>
            </w:r>
            <w:r w:rsidRPr="005500F7">
              <w:rPr>
                <w:rFonts w:ascii="Aptos" w:hAnsi="Aptos"/>
                <w:sz w:val="20"/>
                <w:szCs w:val="20"/>
              </w:rPr>
              <w:instrText>of</w:instrText>
            </w:r>
            <w:r w:rsidRPr="005500F7">
              <w:rPr>
                <w:rFonts w:ascii="Cambria Math" w:hAnsi="Cambria Math" w:cs="Cambria Math"/>
                <w:sz w:val="20"/>
                <w:szCs w:val="20"/>
              </w:rPr>
              <w:instrText>‐</w:instrText>
            </w:r>
            <w:r w:rsidRPr="005500F7">
              <w:rPr>
                <w:rFonts w:ascii="Aptos" w:hAnsi="Aptos"/>
                <w:sz w:val="20"/>
                <w:szCs w:val="20"/>
              </w:rPr>
              <w:instrText>Function Variants Cause Progressive Dystonia with Prominent Limb Involvement","title-short":"Biallelic &lt;span style=\"font-variant","volume":"37","author":[{"family":"Zech","given":"Michael"},{"family":"Kumar","given":"Kishore R."},{"family":"Reining","given":"Sophie"},{"family":"Reunert","given":"Janine"},{"family":"Tchan","given":"Michel"},{"family":"Riley","given":"Lisa G."},{"family":"Drew","given":"Alexander P."},{"family":"Adam","given":"Robert J."},{"family":"Berutti","given":"Riccardo"},{"family":"Biskup","given":"Saskia"},{"family":"Derive","given":"Nicolas"},{"family":"Bakhtiari","given":"Somayeh"},{"family":"Jin","given":"Sheng Chih"},{"family":"Kruer","given":"Michael C."},{"family":"Bardakjian","given":"Tanya"},{"family":"Gonzalez</w:instrText>
            </w:r>
            <w:r w:rsidRPr="005500F7">
              <w:rPr>
                <w:rFonts w:ascii="Cambria Math" w:hAnsi="Cambria Math" w:cs="Cambria Math"/>
                <w:sz w:val="20"/>
                <w:szCs w:val="20"/>
              </w:rPr>
              <w:instrText>‐</w:instrText>
            </w:r>
            <w:r w:rsidRPr="005500F7">
              <w:rPr>
                <w:rFonts w:ascii="Aptos" w:hAnsi="Aptos"/>
                <w:sz w:val="20"/>
                <w:szCs w:val="20"/>
              </w:rPr>
              <w:instrText>Alegre","given":"Pedro"},{"family":"Keller Sarmiento","given":"Ignacio J."},{"family":"Mencacci","given":"Niccolo E."},{"family":"Lubbe","given":"Steven J."},{"family":"Kurian","given":"Manju A."},{"family":"Clot","given":"Fabienne"},{"family":"Méneret","given":"Aurélie"},{"family":"Sainte Agathe","given":"Jean</w:instrText>
            </w:r>
            <w:r w:rsidRPr="005500F7">
              <w:rPr>
                <w:rFonts w:ascii="Cambria Math" w:hAnsi="Cambria Math" w:cs="Cambria Math"/>
                <w:sz w:val="20"/>
                <w:szCs w:val="20"/>
              </w:rPr>
              <w:instrText>‐</w:instrText>
            </w:r>
            <w:r w:rsidRPr="005500F7">
              <w:rPr>
                <w:rFonts w:ascii="Aptos" w:hAnsi="Aptos"/>
                <w:sz w:val="20"/>
                <w:szCs w:val="20"/>
              </w:rPr>
              <w:instrText>Madeleine"},{"family":"Fung","given":"Victor S.C."},{"family":"Vidailhet","given":"Marie"},{"family":"Baumann","given":"Matthias"},{"family":"Marquardt","given":"Thorsten"},{"family":"Winkelmann","given":"Juliane"},{"family":"Boesch","given":"Sylvia"}],"issued":{"date-parts":[["2022",1]]}}},{"id":305,"uris":["http://zotero.org/users/local/qbj29eOf/items/LUNHIN9X"],"itemData":{"id":305,"type":"article-journal","container-title":"Movement Disorders","DOI":"10.1002/mds.28928","ISSN":"0885-3185, 1531-8257","issue":"4","journalAbbreviation":"Movement Disorders","language":"en","page":"874-875","source":"DOI.org (Crossref)","title":"&lt;span style=\"font-variant:small-caps;\"&gt; &lt;i&gt;AOPEP&lt;/i&gt; &lt;/span&gt; Homozygous Loss</w:instrText>
            </w:r>
            <w:r w:rsidRPr="005500F7">
              <w:rPr>
                <w:rFonts w:ascii="Cambria Math" w:hAnsi="Cambria Math" w:cs="Cambria Math"/>
                <w:sz w:val="20"/>
                <w:szCs w:val="20"/>
              </w:rPr>
              <w:instrText>‐</w:instrText>
            </w:r>
            <w:r w:rsidRPr="005500F7">
              <w:rPr>
                <w:rFonts w:ascii="Aptos" w:hAnsi="Aptos"/>
                <w:sz w:val="20"/>
                <w:szCs w:val="20"/>
              </w:rPr>
              <w:instrText>of</w:instrText>
            </w:r>
            <w:r w:rsidRPr="005500F7">
              <w:rPr>
                <w:rFonts w:ascii="Cambria Math" w:hAnsi="Cambria Math" w:cs="Cambria Math"/>
                <w:sz w:val="20"/>
                <w:szCs w:val="20"/>
              </w:rPr>
              <w:instrText>‐</w:instrText>
            </w:r>
            <w:r w:rsidRPr="005500F7">
              <w:rPr>
                <w:rFonts w:ascii="Aptos" w:hAnsi="Aptos"/>
                <w:sz w:val="20"/>
                <w:szCs w:val="20"/>
              </w:rPr>
              <w:instrText>Function Variant in an Indian Patient with Early</w:instrText>
            </w:r>
            <w:r w:rsidRPr="005500F7">
              <w:rPr>
                <w:rFonts w:ascii="Cambria Math" w:hAnsi="Cambria Math" w:cs="Cambria Math"/>
                <w:sz w:val="20"/>
                <w:szCs w:val="20"/>
              </w:rPr>
              <w:instrText>‐</w:instrText>
            </w:r>
            <w:r w:rsidRPr="005500F7">
              <w:rPr>
                <w:rFonts w:ascii="Aptos" w:hAnsi="Aptos"/>
                <w:sz w:val="20"/>
                <w:szCs w:val="20"/>
              </w:rPr>
              <w:instrText xml:space="preserve">Onset Generalized Dystonia","title-short":"&lt;span style=\"font-variant","volume":"37","author":[{"family":"Fevga","given":"Christina"},{"family":"Ferraro","given":"Federico"},{"family":"Breedveld","given":"Guido J."},{"family":"Savant Sankhla","given":"Charulata"},{"family":"Bonifati","given":"Vincenzo"}],"issued":{"date-parts":[["2022",4]]}}},{"id":308,"uris":["http://zotero.org/users/local/qbj29eOf/items/RBNBG94L"],"itemData":{"id":308,"type":"article-journal","container-title":"Movement Disorders","DOI":"10.1002/mds.29021","ISSN":"0885-3185, 1531-8257","issue":"5","journalAbbreviation":"Movement Disorders","language":"en","page":"1113-1115","source":"DOI.org (Crossref)","title":"Expanded Genetic Spectrum and Variable Disease Onset in &lt;span style=\"font-variant:small-caps;\"&gt; &lt;i&gt;AOPEP&lt;/i&gt; &lt;/span&gt; </w:instrText>
            </w:r>
            <w:r w:rsidRPr="005500F7">
              <w:rPr>
                <w:rFonts w:ascii="Cambria Math" w:hAnsi="Cambria Math" w:cs="Cambria Math"/>
                <w:sz w:val="20"/>
                <w:szCs w:val="20"/>
              </w:rPr>
              <w:instrText>‐</w:instrText>
            </w:r>
            <w:r w:rsidRPr="005500F7">
              <w:rPr>
                <w:rFonts w:ascii="Aptos" w:hAnsi="Aptos"/>
                <w:sz w:val="20"/>
                <w:szCs w:val="20"/>
              </w:rPr>
              <w:instrText xml:space="preserve">Associated Dystonia","title-short":"Expanded Genetic Spectrum and Variable Disease Onset in &lt;span style=\"font-variant","volume":"37","author":[{"family":"Menden","given":"Benita"},{"family":"Gutschalk","given":"Alexander"},{"family":"Wunderlich","given":"Gilbert"},{"family":"Haack","given":"Tobias B."}],"issued":{"date-parts":[["2022",5]]}}},{"id":312,"uris":["http://zotero.org/users/local/qbj29eOf/items/E29VSH55"],"itemData":{"id":312,"type":"article-journal","container-title":"Journal of Neurology","DOI":"10.1007/s00415-023-11665-7","ISSN":"0340-5354, 1432-1459","issue":"6","journalAbbreviation":"J Neurol","language":"en","page":"3225-3233","source":"DOI.org (Crossref)","title":"Mutation screening of AOPEP variants in a large dystonia cohort","volume":"270","author":[{"family":"Lin","given":"Junyu"},{"family":"Li","given":"Chunyu"},{"family":"Cui","given":"Yiyuan"},{"family":"Hou","given":"Yanbing"},{"family":"Zhang","given":"Lingyu"},{"family":"Ou","given":"Ruwei"},{"family":"Wei","given":"Qianqian"},{"family":"Liu","given":"Kuncheng"},{"family":"Huang","given":"Rui"},{"family":"Yang","given":"Tianmi"},{"family":"Xiao","given":"Yi"},{"family":"Jiang","given":"Qirui"},{"family":"Yang","given":"Jing"},{"family":"Chen","given":"Xueping"},{"family":"Shang","given":"Huifang"}],"issued":{"date-parts":[["2023",6]]}}}],"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2–6</w:t>
            </w:r>
            <w:r w:rsidRPr="005500F7">
              <w:rPr>
                <w:rFonts w:ascii="Aptos" w:hAnsi="Aptos"/>
                <w:sz w:val="20"/>
                <w:szCs w:val="20"/>
              </w:rPr>
              <w:fldChar w:fldCharType="end"/>
            </w:r>
            <w:r w:rsidRPr="005500F7">
              <w:rPr>
                <w:rFonts w:ascii="Aptos" w:hAnsi="Aptos"/>
                <w:sz w:val="20"/>
                <w:szCs w:val="20"/>
              </w:rPr>
              <w:t xml:space="preserve"> sometimes with Parkinsonian features </w:t>
            </w:r>
            <w:r w:rsidRPr="005500F7">
              <w:rPr>
                <w:rFonts w:ascii="Aptos" w:hAnsi="Aptos"/>
                <w:sz w:val="20"/>
                <w:szCs w:val="20"/>
              </w:rPr>
              <w:fldChar w:fldCharType="begin"/>
            </w:r>
            <w:r w:rsidRPr="005500F7">
              <w:rPr>
                <w:rFonts w:ascii="Aptos" w:hAnsi="Aptos"/>
                <w:sz w:val="20"/>
                <w:szCs w:val="20"/>
              </w:rPr>
              <w:instrText xml:space="preserve"> ADDIN ZOTERO_ITEM CSL_CITATION {"citationID":"N5Of7tll","properties":{"formattedCitation":"\\super 2,3,6\\nosupersub{}","plainCitation":"2,3,6","noteIndex":0},"citationItems":[{"id":307,"uris":["http://zotero.org/users/local/qbj29eOf/items/TZCYE22Y"],"itemData":{"id":307,"type":"article-journal","container-title":"Parkinsonism &amp; Related Disorders","DOI":"10.1016/j.parkreldis.2022.03.007","ISSN":"13538020","journalAbbreviation":"Parkinsonism &amp; Related Disorders","language":"en","page":"52-56","source":"DOI.org (Crossref)","title":"AOPEP variants as a novel cause of recessive dystonia: Generalized dystonia and dystonia-parkinsonism","title-short":"AOPEP variants as a novel cause of recessive dystonia","volume":"97","author":[{"family":"Garavaglia","given":"Barbara"},{"family":"Vallian","given":"Sadeq"},{"family":"Romito","given":"Luigi M."},{"family":"Straccia","given":"Giulia"},{"family":"Capecci","given":"Marianna"},{"family":"Invernizzi","given":"Federica"},{"family":"Andrenelli","given":"Elisa"},{"family":"Kazemi","given":"Arezu"},{"family":"Boesch","given":"Sylvia"},{"family":"Kopajtich","given":"Robert"},{"family":"Olfati","given":"Nahid"},{"family":"Shariati","given":"Mohammad"},{"family":"Shoeibi","given":"Ali"},{"family":"Sadr-Nabavi","given":"Ariane"},{"family":"Prokisch","given":"Holger"},{"family":"Winkelmann","given":"Juliane"},{"family":"Zech","given":"Michael"}],"issued":{"date-parts":[["2022",4]]}}},{"id":310,"uris":["http://zotero.org/users/local/qbj29eOf/items/RX4LAW97"],"itemData":{"id":310,"type":"article-journal","container-title":"Movement Disorders","DOI":"10.1002/mds.28804","ISSN":"0885-3185, 1531-8257","issue":"1","journalAbbreviation":"Movement Disorders","language":"en","page":"137-147","source":"DOI.org (Crossref)","title":"Biallelic &lt;span style=\"font-variant:small-caps;\"&gt; &lt;i&gt;AOPEP&lt;/i&gt; &lt;/span&gt; Loss</w:instrText>
            </w:r>
            <w:r w:rsidRPr="005500F7">
              <w:rPr>
                <w:rFonts w:ascii="Cambria Math" w:hAnsi="Cambria Math" w:cs="Cambria Math"/>
                <w:sz w:val="20"/>
                <w:szCs w:val="20"/>
              </w:rPr>
              <w:instrText>‐</w:instrText>
            </w:r>
            <w:r w:rsidRPr="005500F7">
              <w:rPr>
                <w:rFonts w:ascii="Aptos" w:hAnsi="Aptos"/>
                <w:sz w:val="20"/>
                <w:szCs w:val="20"/>
              </w:rPr>
              <w:instrText>of</w:instrText>
            </w:r>
            <w:r w:rsidRPr="005500F7">
              <w:rPr>
                <w:rFonts w:ascii="Cambria Math" w:hAnsi="Cambria Math" w:cs="Cambria Math"/>
                <w:sz w:val="20"/>
                <w:szCs w:val="20"/>
              </w:rPr>
              <w:instrText>‐</w:instrText>
            </w:r>
            <w:r w:rsidRPr="005500F7">
              <w:rPr>
                <w:rFonts w:ascii="Aptos" w:hAnsi="Aptos"/>
                <w:sz w:val="20"/>
                <w:szCs w:val="20"/>
              </w:rPr>
              <w:instrText>Function Variants Cause Progressive Dystonia with Prominent Limb Involvement","title-short":"Biallelic &lt;span style=\"font-variant","volume":"37","author":[{"family":"Zech","given":"Michael"},{"family":"Kumar","given":"Kishore R."},{"family":"Reining","given":"Sophie"},{"family":"Reunert","given":"Janine"},{"family":"Tchan","given":"Michel"},{"family":"Riley","given":"Lisa G."},{"family":"Drew","given":"Alexander P."},{"family":"Adam","given":"Robert J."},{"family":"Berutti","given":"Riccardo"},{"family":"Biskup","given":"Saskia"},{"family":"Derive","given":"Nicolas"},{"family":"Bakhtiari","given":"Somayeh"},{"family":"Jin","given":"Sheng Chih"},{"family":"Kruer","given":"Michael C."},{"family":"Bardakjian","given":"Tanya"},{"family":"Gonzalez</w:instrText>
            </w:r>
            <w:r w:rsidRPr="005500F7">
              <w:rPr>
                <w:rFonts w:ascii="Cambria Math" w:hAnsi="Cambria Math" w:cs="Cambria Math"/>
                <w:sz w:val="20"/>
                <w:szCs w:val="20"/>
              </w:rPr>
              <w:instrText>‐</w:instrText>
            </w:r>
            <w:r w:rsidRPr="005500F7">
              <w:rPr>
                <w:rFonts w:ascii="Aptos" w:hAnsi="Aptos"/>
                <w:sz w:val="20"/>
                <w:szCs w:val="20"/>
              </w:rPr>
              <w:instrText>Alegre","given":"Pedro"},{"family":"Keller Sarmiento","given":"Ignacio J."},{"family":"Mencacci","given":"Niccolo E."},{"family":"Lubbe","given":"Steven J."},{"family":"Kurian","given":"Manju A."},{"family":"Clot","given":"Fabienne"},{"family":"Méneret","given":"Aurélie"},{"family":"Sainte Agathe","given":"Jean</w:instrText>
            </w:r>
            <w:r w:rsidRPr="005500F7">
              <w:rPr>
                <w:rFonts w:ascii="Cambria Math" w:hAnsi="Cambria Math" w:cs="Cambria Math"/>
                <w:sz w:val="20"/>
                <w:szCs w:val="20"/>
              </w:rPr>
              <w:instrText>‐</w:instrText>
            </w:r>
            <w:r w:rsidRPr="005500F7">
              <w:rPr>
                <w:rFonts w:ascii="Aptos" w:hAnsi="Aptos"/>
                <w:sz w:val="20"/>
                <w:szCs w:val="20"/>
              </w:rPr>
              <w:instrText xml:space="preserve">Madeleine"},{"family":"Fung","given":"Victor S.C."},{"family":"Vidailhet","given":"Marie"},{"family":"Baumann","given":"Matthias"},{"family":"Marquardt","given":"Thorsten"},{"family":"Winkelmann","given":"Juliane"},{"family":"Boesch","given":"Sylvia"}],"issued":{"date-parts":[["2022",1]]}}},{"id":312,"uris":["http://zotero.org/users/local/qbj29eOf/items/E29VSH55"],"itemData":{"id":312,"type":"article-journal","container-title":"Journal of Neurology","DOI":"10.1007/s00415-023-11665-7","ISSN":"0340-5354, 1432-1459","issue":"6","journalAbbreviation":"J Neurol","language":"en","page":"3225-3233","source":"DOI.org (Crossref)","title":"Mutation screening of AOPEP variants in a large dystonia cohort","volume":"270","author":[{"family":"Lin","given":"Junyu"},{"family":"Li","given":"Chunyu"},{"family":"Cui","given":"Yiyuan"},{"family":"Hou","given":"Yanbing"},{"family":"Zhang","given":"Lingyu"},{"family":"Ou","given":"Ruwei"},{"family":"Wei","given":"Qianqian"},{"family":"Liu","given":"Kuncheng"},{"family":"Huang","given":"Rui"},{"family":"Yang","given":"Tianmi"},{"family":"Xiao","given":"Yi"},{"family":"Jiang","given":"Qirui"},{"family":"Yang","given":"Jing"},{"family":"Chen","given":"Xueping"},{"family":"Shang","given":"Huifang"}],"issued":{"date-parts":[["2023",6]]}}}],"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2,3,6</w:t>
            </w:r>
            <w:r w:rsidRPr="005500F7">
              <w:rPr>
                <w:rFonts w:ascii="Aptos" w:hAnsi="Aptos"/>
                <w:sz w:val="20"/>
                <w:szCs w:val="20"/>
              </w:rPr>
              <w:fldChar w:fldCharType="end"/>
            </w:r>
            <w:r w:rsidRPr="005500F7">
              <w:rPr>
                <w:rFonts w:ascii="Aptos" w:hAnsi="Aptos"/>
                <w:sz w:val="20"/>
                <w:szCs w:val="20"/>
              </w:rPr>
              <w:t>. Cognitive issues are typically not prominent.</w:t>
            </w:r>
            <w:r w:rsidRPr="005500F7">
              <w:rPr>
                <w:rFonts w:ascii="Aptos" w:hAnsi="Aptos"/>
                <w:sz w:val="20"/>
                <w:szCs w:val="20"/>
              </w:rPr>
              <w:fldChar w:fldCharType="begin"/>
            </w:r>
            <w:r w:rsidRPr="005500F7">
              <w:rPr>
                <w:rFonts w:ascii="Aptos" w:hAnsi="Aptos"/>
                <w:sz w:val="20"/>
                <w:szCs w:val="20"/>
              </w:rPr>
              <w:instrText xml:space="preserve"> ADDIN ZOTERO_ITEM CSL_CITATION {"citationID":"LTXaCjZZ","properties":{"formattedCitation":"\\super 2\\uc0\\u8211{}6\\nosupersub{}","plainCitation":"2–6","noteIndex":0},"citationItems":[{"id":307,"uris":["http://zotero.org/users/local/qbj29eOf/items/TZCYE22Y"],"itemData":{"id":307,"type":"article-journal","container-title":"Parkinsonism &amp; Related Disorders","DOI":"10.1016/j.parkreldis.2022.03.007","ISSN":"13538020","journalAbbreviation":"Parkinsonism &amp; Related Disorders","language":"en","page":"52-56","source":"DOI.org (Crossref)","title":"AOPEP variants as a novel cause of recessive dystonia: Generalized dystonia and dystonia-parkinsonism","title-short":"AOPEP variants as a novel cause of recessive dystonia","volume":"97","author":[{"family":"Garavaglia","given":"Barbara"},{"family":"Vallian","given":"Sadeq"},{"family":"Romito","given":"Luigi M."},{"family":"Straccia","given":"Giulia"},{"family":"Capecci","given":"Marianna"},{"family":"Invernizzi","given":"Federica"},{"family":"Andrenelli","given":"Elisa"},{"family":"Kazemi","given":"Arezu"},{"family":"Boesch","given":"Sylvia"},{"family":"Kopajtich","given":"Robert"},{"family":"Olfati","given":"Nahid"},{"family":"Shariati","given":"Mohammad"},{"family":"Shoeibi","given":"Ali"},{"family":"Sadr-Nabavi","given":"Ariane"},{"family":"Prokisch","given":"Holger"},{"family":"Winkelmann","given":"Juliane"},{"family":"Zech","given":"Michael"}],"issued":{"date-parts":[["2022",4]]}}},{"id":310,"uris":["http://zotero.org/users/local/qbj29eOf/items/RX4LAW97"],"itemData":{"id":310,"type":"article-journal","container-title":"Movement Disorders","DOI":"10.1002/mds.28804","ISSN":"0885-3185, 1531-8257","issue":"1","journalAbbreviation":"Movement Disorders","language":"en","page":"137-147","source":"DOI.org (Crossref)","title":"Biallelic &lt;span style=\"font-variant:small-caps;\"&gt; &lt;i&gt;AOPEP&lt;/i&gt; &lt;/span&gt; Loss</w:instrText>
            </w:r>
            <w:r w:rsidRPr="005500F7">
              <w:rPr>
                <w:rFonts w:ascii="Cambria Math" w:hAnsi="Cambria Math" w:cs="Cambria Math"/>
                <w:sz w:val="20"/>
                <w:szCs w:val="20"/>
              </w:rPr>
              <w:instrText>‐</w:instrText>
            </w:r>
            <w:r w:rsidRPr="005500F7">
              <w:rPr>
                <w:rFonts w:ascii="Aptos" w:hAnsi="Aptos"/>
                <w:sz w:val="20"/>
                <w:szCs w:val="20"/>
              </w:rPr>
              <w:instrText>of</w:instrText>
            </w:r>
            <w:r w:rsidRPr="005500F7">
              <w:rPr>
                <w:rFonts w:ascii="Cambria Math" w:hAnsi="Cambria Math" w:cs="Cambria Math"/>
                <w:sz w:val="20"/>
                <w:szCs w:val="20"/>
              </w:rPr>
              <w:instrText>‐</w:instrText>
            </w:r>
            <w:r w:rsidRPr="005500F7">
              <w:rPr>
                <w:rFonts w:ascii="Aptos" w:hAnsi="Aptos"/>
                <w:sz w:val="20"/>
                <w:szCs w:val="20"/>
              </w:rPr>
              <w:instrText>Function Variants Cause Progressive Dystonia with Prominent Limb Involvement","title-short":"Biallelic &lt;span style=\"font-variant","volume":"37","author":[{"family":"Zech","given":"Michael"},{"family":"Kumar","given":"Kishore R."},{"family":"Reining","given":"Sophie"},{"family":"Reunert","given":"Janine"},{"family":"Tchan","given":"Michel"},{"family":"Riley","given":"Lisa G."},{"family":"Drew","given":"Alexander P."},{"family":"Adam","given":"Robert J."},{"family":"Berutti","given":"Riccardo"},{"family":"Biskup","given":"Saskia"},{"family":"Derive","given":"Nicolas"},{"family":"Bakhtiari","given":"Somayeh"},{"family":"Jin","given":"Sheng Chih"},{"family":"Kruer","given":"Michael C."},{"family":"Bardakjian","given":"Tanya"},{"family":"Gonzalez</w:instrText>
            </w:r>
            <w:r w:rsidRPr="005500F7">
              <w:rPr>
                <w:rFonts w:ascii="Cambria Math" w:hAnsi="Cambria Math" w:cs="Cambria Math"/>
                <w:sz w:val="20"/>
                <w:szCs w:val="20"/>
              </w:rPr>
              <w:instrText>‐</w:instrText>
            </w:r>
            <w:r w:rsidRPr="005500F7">
              <w:rPr>
                <w:rFonts w:ascii="Aptos" w:hAnsi="Aptos"/>
                <w:sz w:val="20"/>
                <w:szCs w:val="20"/>
              </w:rPr>
              <w:instrText>Alegre","given":"Pedro"},{"family":"Keller Sarmiento","given":"Ignacio J."},{"family":"Mencacci","given":"Niccolo E."},{"family":"Lubbe","given":"Steven J."},{"family":"Kurian","given":"Manju A."},{"family":"Clot","given":"Fabienne"},{"family":"Méneret","given":"Aurélie"},{"family":"Sainte Agathe","given":"Jean</w:instrText>
            </w:r>
            <w:r w:rsidRPr="005500F7">
              <w:rPr>
                <w:rFonts w:ascii="Cambria Math" w:hAnsi="Cambria Math" w:cs="Cambria Math"/>
                <w:sz w:val="20"/>
                <w:szCs w:val="20"/>
              </w:rPr>
              <w:instrText>‐</w:instrText>
            </w:r>
            <w:r w:rsidRPr="005500F7">
              <w:rPr>
                <w:rFonts w:ascii="Aptos" w:hAnsi="Aptos"/>
                <w:sz w:val="20"/>
                <w:szCs w:val="20"/>
              </w:rPr>
              <w:instrText>Madeleine"},{"family":"Fung","given":"Victor S.C."},{"family":"Vidailhet","given":"Marie"},{"family":"Baumann","given":"Matthias"},{"family":"Marquardt","given":"Thorsten"},{"family":"Winkelmann","given":"Juliane"},{"family":"Boesch","given":"Sylvia"}],"issued":{"date-parts":[["2022",1]]}}},{"id":305,"uris":["http://zotero.org/users/local/qbj29eOf/items/LUNHIN9X"],"itemData":{"id":305,"type":"article-journal","container-title":"Movement Disorders","DOI":"10.1002/mds.28928","ISSN":"0885-3185, 1531-8257","issue":"4","journalAbbreviation":"Movement Disorders","language":"en","page":"874-875","source":"DOI.org (Crossref)","title":"&lt;span style=\"font-variant:small-caps;\"&gt; &lt;i&gt;AOPEP&lt;/i&gt; &lt;/span&gt; Homozygous Loss</w:instrText>
            </w:r>
            <w:r w:rsidRPr="005500F7">
              <w:rPr>
                <w:rFonts w:ascii="Cambria Math" w:hAnsi="Cambria Math" w:cs="Cambria Math"/>
                <w:sz w:val="20"/>
                <w:szCs w:val="20"/>
              </w:rPr>
              <w:instrText>‐</w:instrText>
            </w:r>
            <w:r w:rsidRPr="005500F7">
              <w:rPr>
                <w:rFonts w:ascii="Aptos" w:hAnsi="Aptos"/>
                <w:sz w:val="20"/>
                <w:szCs w:val="20"/>
              </w:rPr>
              <w:instrText>of</w:instrText>
            </w:r>
            <w:r w:rsidRPr="005500F7">
              <w:rPr>
                <w:rFonts w:ascii="Cambria Math" w:hAnsi="Cambria Math" w:cs="Cambria Math"/>
                <w:sz w:val="20"/>
                <w:szCs w:val="20"/>
              </w:rPr>
              <w:instrText>‐</w:instrText>
            </w:r>
            <w:r w:rsidRPr="005500F7">
              <w:rPr>
                <w:rFonts w:ascii="Aptos" w:hAnsi="Aptos"/>
                <w:sz w:val="20"/>
                <w:szCs w:val="20"/>
              </w:rPr>
              <w:instrText>Function Variant in an Indian Patient with Early</w:instrText>
            </w:r>
            <w:r w:rsidRPr="005500F7">
              <w:rPr>
                <w:rFonts w:ascii="Cambria Math" w:hAnsi="Cambria Math" w:cs="Cambria Math"/>
                <w:sz w:val="20"/>
                <w:szCs w:val="20"/>
              </w:rPr>
              <w:instrText>‐</w:instrText>
            </w:r>
            <w:r w:rsidRPr="005500F7">
              <w:rPr>
                <w:rFonts w:ascii="Aptos" w:hAnsi="Aptos"/>
                <w:sz w:val="20"/>
                <w:szCs w:val="20"/>
              </w:rPr>
              <w:instrText xml:space="preserve">Onset Generalized Dystonia","title-short":"&lt;span style=\"font-variant","volume":"37","author":[{"family":"Fevga","given":"Christina"},{"family":"Ferraro","given":"Federico"},{"family":"Breedveld","given":"Guido J."},{"family":"Savant Sankhla","given":"Charulata"},{"family":"Bonifati","given":"Vincenzo"}],"issued":{"date-parts":[["2022",4]]}}},{"id":308,"uris":["http://zotero.org/users/local/qbj29eOf/items/RBNBG94L"],"itemData":{"id":308,"type":"article-journal","container-title":"Movement Disorders","DOI":"10.1002/mds.29021","ISSN":"0885-3185, 1531-8257","issue":"5","journalAbbreviation":"Movement Disorders","language":"en","page":"1113-1115","source":"DOI.org (Crossref)","title":"Expanded Genetic Spectrum and Variable Disease Onset in &lt;span style=\"font-variant:small-caps;\"&gt; &lt;i&gt;AOPEP&lt;/i&gt; &lt;/span&gt; </w:instrText>
            </w:r>
            <w:r w:rsidRPr="005500F7">
              <w:rPr>
                <w:rFonts w:ascii="Cambria Math" w:hAnsi="Cambria Math" w:cs="Cambria Math"/>
                <w:sz w:val="20"/>
                <w:szCs w:val="20"/>
              </w:rPr>
              <w:instrText>‐</w:instrText>
            </w:r>
            <w:r w:rsidRPr="005500F7">
              <w:rPr>
                <w:rFonts w:ascii="Aptos" w:hAnsi="Aptos"/>
                <w:sz w:val="20"/>
                <w:szCs w:val="20"/>
              </w:rPr>
              <w:instrText xml:space="preserve">Associated Dystonia","title-short":"Expanded Genetic Spectrum and Variable Disease Onset in &lt;span style=\"font-variant","volume":"37","author":[{"family":"Menden","given":"Benita"},{"family":"Gutschalk","given":"Alexander"},{"family":"Wunderlich","given":"Gilbert"},{"family":"Haack","given":"Tobias B."}],"issued":{"date-parts":[["2022",5]]}}},{"id":312,"uris":["http://zotero.org/users/local/qbj29eOf/items/E29VSH55"],"itemData":{"id":312,"type":"article-journal","container-title":"Journal of Neurology","DOI":"10.1007/s00415-023-11665-7","ISSN":"0340-5354, 1432-1459","issue":"6","journalAbbreviation":"J Neurol","language":"en","page":"3225-3233","source":"DOI.org (Crossref)","title":"Mutation screening of AOPEP variants in a large dystonia cohort","volume":"270","author":[{"family":"Lin","given":"Junyu"},{"family":"Li","given":"Chunyu"},{"family":"Cui","given":"Yiyuan"},{"family":"Hou","given":"Yanbing"},{"family":"Zhang","given":"Lingyu"},{"family":"Ou","given":"Ruwei"},{"family":"Wei","given":"Qianqian"},{"family":"Liu","given":"Kuncheng"},{"family":"Huang","given":"Rui"},{"family":"Yang","given":"Tianmi"},{"family":"Xiao","given":"Yi"},{"family":"Jiang","given":"Qirui"},{"family":"Yang","given":"Jing"},{"family":"Chen","given":"Xueping"},{"family":"Shang","given":"Huifang"}],"issued":{"date-parts":[["2023",6]]}}}],"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2–6</w:t>
            </w:r>
            <w:r w:rsidRPr="005500F7">
              <w:rPr>
                <w:rFonts w:ascii="Aptos" w:hAnsi="Aptos"/>
                <w:sz w:val="20"/>
                <w:szCs w:val="20"/>
              </w:rPr>
              <w:fldChar w:fldCharType="end"/>
            </w:r>
          </w:p>
        </w:tc>
      </w:tr>
      <w:tr w:rsidR="005500F7" w:rsidRPr="005500F7" w14:paraId="3BD91B9D" w14:textId="77777777" w:rsidTr="002C08A9">
        <w:trPr>
          <w:trHeight w:val="1018"/>
        </w:trPr>
        <w:tc>
          <w:tcPr>
            <w:tcW w:w="593" w:type="pct"/>
            <w:tcBorders>
              <w:top w:val="single" w:sz="4" w:space="0" w:color="auto"/>
              <w:left w:val="nil"/>
              <w:bottom w:val="single" w:sz="4" w:space="0" w:color="auto"/>
              <w:right w:val="nil"/>
            </w:tcBorders>
            <w:shd w:val="clear" w:color="auto" w:fill="auto"/>
            <w:vAlign w:val="center"/>
          </w:tcPr>
          <w:p w14:paraId="2CE0E017" w14:textId="4632DEDB" w:rsidR="005500F7" w:rsidRPr="005500F7" w:rsidRDefault="005500F7" w:rsidP="00257457">
            <w:pPr>
              <w:spacing w:after="0" w:line="240" w:lineRule="auto"/>
              <w:rPr>
                <w:rFonts w:ascii="Aptos" w:hAnsi="Aptos"/>
                <w:b/>
                <w:sz w:val="20"/>
                <w:szCs w:val="20"/>
              </w:rPr>
            </w:pPr>
            <w:r w:rsidRPr="005500F7">
              <w:rPr>
                <w:rFonts w:ascii="Aptos" w:hAnsi="Aptos"/>
                <w:b/>
                <w:i/>
                <w:iCs/>
                <w:sz w:val="20"/>
                <w:szCs w:val="20"/>
              </w:rPr>
              <w:t>GNAL</w:t>
            </w:r>
          </w:p>
        </w:tc>
        <w:tc>
          <w:tcPr>
            <w:tcW w:w="4407" w:type="pct"/>
            <w:tcBorders>
              <w:top w:val="single" w:sz="4" w:space="0" w:color="auto"/>
              <w:left w:val="nil"/>
              <w:bottom w:val="single" w:sz="4" w:space="0" w:color="auto"/>
              <w:right w:val="nil"/>
            </w:tcBorders>
            <w:shd w:val="clear" w:color="auto" w:fill="auto"/>
            <w:vAlign w:val="center"/>
          </w:tcPr>
          <w:p w14:paraId="4A01A30E" w14:textId="289C3F91" w:rsidR="005500F7" w:rsidRPr="005500F7" w:rsidRDefault="005500F7" w:rsidP="00257457">
            <w:pPr>
              <w:spacing w:after="0" w:line="240" w:lineRule="auto"/>
              <w:jc w:val="center"/>
              <w:rPr>
                <w:rFonts w:ascii="Aptos" w:hAnsi="Aptos"/>
                <w:sz w:val="20"/>
                <w:szCs w:val="20"/>
              </w:rPr>
            </w:pPr>
            <w:r w:rsidRPr="005500F7">
              <w:rPr>
                <w:rFonts w:ascii="Aptos" w:hAnsi="Aptos"/>
                <w:i/>
                <w:iCs/>
                <w:sz w:val="20"/>
                <w:szCs w:val="20"/>
              </w:rPr>
              <w:t>GNAL</w:t>
            </w:r>
            <w:r w:rsidRPr="005500F7">
              <w:rPr>
                <w:rFonts w:ascii="Aptos" w:hAnsi="Aptos"/>
                <w:sz w:val="20"/>
                <w:szCs w:val="20"/>
              </w:rPr>
              <w:t xml:space="preserve"> mutations have a dominant inheritance pattern with 94% penetrance.</w:t>
            </w:r>
            <w:r w:rsidRPr="005500F7">
              <w:rPr>
                <w:rFonts w:ascii="Aptos" w:hAnsi="Aptos"/>
                <w:sz w:val="20"/>
                <w:szCs w:val="20"/>
              </w:rPr>
              <w:fldChar w:fldCharType="begin"/>
            </w:r>
            <w:r w:rsidRPr="005500F7">
              <w:rPr>
                <w:rFonts w:ascii="Aptos" w:hAnsi="Aptos"/>
                <w:sz w:val="20"/>
                <w:szCs w:val="20"/>
              </w:rPr>
              <w:instrText xml:space="preserve"> ADDIN ZOTERO_ITEM CSL_CITATION {"citationID":"oG99VF79","properties":{"formattedCitation":"\\super 7\\uc0\\u8211{}9\\nosupersub{}","plainCitation":"7–9","noteIndex":0},"citationItems":[{"id":332,"uris":["http://zotero.org/users/local/qbj29eOf/items/V63ENVFE"],"itemData":{"id":332,"type":"article-journal","container-title":"Nature Genetics","DOI":"10.1038/ng.2496","ISSN":"1061-4036, 1546-1718","issue":"1","journalAbbreviation":"Nat Genet","language":"en","page":"88-92","source":"DOI.org (Crossref)","title":"Mutations in GNAL cause primary torsion dystonia","volume":"45","author":[{"family":"Fuchs","given":"Tania"},{"family":"Saunders-Pullman","given":"Rachel"},{"family":"Masuho","given":"Ikuo"},{"family":"Luciano","given":"Marta San"},{"family":"Raymond","given":"Deborah"},{"family":"Factor","given":"Stewart"},{"family":"Lang","given":"Anthony E"},{"family":"Liang","given":"Tsao-Wei"},{"family":"Trosch","given":"Richard M"},{"family":"White","given":"Sierra"},{"family":"Ainehsazan","given":"Edmond"},{"family":"Hervé","given":"Denis"},{"family":"Sharma","given":"Nutan"},{"family":"Ehrlich","given":"Michelle E"},{"family":"Martemyanov","given":"Kirill A"},{"family":"Bressman","given":"Susan B"},{"family":"Ozelius","given":"Laurie J"}],"issued":{"date-parts":[["2013",1]]}}},{"id":360,"uris":["http://zotero.org/users/local/qbj29eOf/items/PXIB344T"],"itemData":{"id":360,"type":"article-journal","abstract":"Globus pallidus internus deep brain stimulation (GPi DBS) is the most effective intervention for medically refractory segmental and generalized dystonia in both children and adults. Predictive factors for the degree of improvement after GPi DBS include shorter disease duration and dystonia subtype with idiopathic isolated dystonia usually responding better than acquired combined dystonias. Other factors contributing to variability in outcome may include body distribution, pattern of dystonia and DBS related factors such as lead placement and stimulation parameters. The responsiveness to DBS appears to vary between different monogenic forms of dystonia, with some improving more than others. The first observation in this regard was reports of superior DBS outcomes in DYT-TOR1A (DYT1) dystonia, although other studies have found no difference. Recently a subgroup with young onset DYT-TOR1A, more rapid progression and secondary worsening after effective GPi DBS, has been described. Myoclonus dystonia due to DYT-SCGE (DYT11) usually responds well to GPi DBS. Good outcomes following GPi DBS have also been documented in X-linked dystonia Parkinsonism (DYT3). In contrast, poorer, more variable DBS outcomes have been reported in DYT-THAP1 (DYT6) including a recent larger series. The outcome of GPi DBS in other monogenic isolated and combined dystonias including DYT-GNAL (DYT25), DYT-KMT2B (DYT28), DYT-ATP1A3 (DYT12), and DYT-ANO3 (DYT24) have been reported with varying results in smaller numbers of patients. In this article the available evidence for long term GPi DBS outcome between different genetic dystonias is reviewed to reappraise popular perceptions of expected outcomes and revisit whether genetic diagnosis may assist in predicting DBS outcome.","container-title":"Frontiers in Neurology","DOI":"10.3389/fneur.2020.630391","ISSN":"1664-2295","journalAbbreviation":"Front. Neurol.","page":"630391","source":"DOI.org (Crossref)","title":"Pallidal Deep Brain Stimulation for Monogenic Dystonia: The Effect of Gene on Outcome","title-short":"Pallidal Deep Brain Stimulation for Monogenic Dystonia","volume":"11","author":[{"family":"Tisch","given":"Stephen"},{"family":"Kumar","given":"Kishore Raj"}],"issued":{"date-parts":[["2021",1,8]]}}},{"id":338,"uris":["http://zotero.org/users/local/qbj29eOf/items/9E28XHKI"],"itemData":{"id":338,"type":"article-journal","container-title":"Movement Disorders","DOI":"10.1002/mds.25876","ISSN":"08853185","issue":"9","journalAbbreviation":"Mov Disord.","language":"en","page":"1190-1193","source":"DOI.org (Crossref)","title":"De novo mutation in the &lt;i&gt;GNAL&lt;/i&gt; gene causing seemingly sporadic dystonia in a Serbian patient: DE NOVO &lt;i&gt;GNAL&lt;/i&gt; (DYT25) MUTATION","title-short":"De novo mutation in the &lt;i&gt;GNAL&lt;/i&gt; gene causing seemingly sporadic dystonia in a Serbian patient","volume":"29","author":[{"family":"Dobričić","given":"Valerija"},{"family":"Kresojević","given":"Nikola"},{"family":"Westenberger","given":"Ana"},{"family":"Svetel","given":"Marina"},{"family":"Tomić","given":"Aleksandra"},{"family":"Ralić","given":"Vesna"},{"family":"Petrović","given":"Igor"},{"family":"Lukić","given":"Milica Ječmenica"},{"family":"Lohmann","given":"Katja"},{"family":"Novaković","given":"Ivana"},{"family":"Klein","given":"Christine"},{"family":"Kostić","given":"Vladimir S."}],"issued":{"date-parts":[["2014",8]]}}}],"schema":"https://github.com/citation-style-language/schema/raw/master/csl-citation.json"}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7–9</w:t>
            </w:r>
            <w:r w:rsidRPr="005500F7">
              <w:rPr>
                <w:rFonts w:ascii="Aptos" w:hAnsi="Aptos"/>
                <w:sz w:val="20"/>
                <w:szCs w:val="20"/>
              </w:rPr>
              <w:fldChar w:fldCharType="end"/>
            </w:r>
            <w:r w:rsidRPr="005500F7">
              <w:rPr>
                <w:rFonts w:ascii="Aptos" w:hAnsi="Aptos"/>
                <w:sz w:val="20"/>
                <w:szCs w:val="20"/>
              </w:rPr>
              <w:t xml:space="preserve"> The majority of </w:t>
            </w:r>
            <w:r w:rsidRPr="005500F7">
              <w:rPr>
                <w:rFonts w:ascii="Aptos" w:hAnsi="Aptos"/>
                <w:i/>
                <w:iCs/>
                <w:sz w:val="20"/>
                <w:szCs w:val="20"/>
              </w:rPr>
              <w:t>GNAL</w:t>
            </w:r>
            <w:r w:rsidRPr="005500F7">
              <w:rPr>
                <w:rFonts w:ascii="Aptos" w:hAnsi="Aptos"/>
                <w:sz w:val="20"/>
                <w:szCs w:val="20"/>
              </w:rPr>
              <w:t xml:space="preserve"> patients experience cervical dystonia, approximately 84%, with an average onset age of 35.4 years.</w:t>
            </w:r>
            <w:r w:rsidRPr="005500F7">
              <w:rPr>
                <w:rFonts w:ascii="Aptos" w:hAnsi="Aptos"/>
                <w:sz w:val="20"/>
                <w:szCs w:val="20"/>
              </w:rPr>
              <w:fldChar w:fldCharType="begin"/>
            </w:r>
            <w:r w:rsidRPr="005500F7">
              <w:rPr>
                <w:rFonts w:ascii="Aptos" w:hAnsi="Aptos"/>
                <w:sz w:val="20"/>
                <w:szCs w:val="20"/>
              </w:rPr>
              <w:instrText xml:space="preserve"> ADDIN ZOTERO_ITEM CSL_CITATION {"citationID":"R33lp9jS","properties":{"formattedCitation":"\\super 10\\uc0\\u8211{}17\\nosupersub{}","plainCitation":"10–17","noteIndex":0},"citationItems":[{"id":344,"uris":["http://zotero.org/users/local/qbj29eOf/items/QW99SXWR"],"itemData":{"id":344,"type":"article-journal","container-title":"Movement Disorders","DOI":"10.1002/mds.26458","ISSN":"08853185","issue":"13","journalAbbreviation":"Mov Disord.","language":"en","page":"1853-1854","source":"DOI.org (Crossref)","title":"&lt;i&gt;TOR1A, THAP1&lt;/i&gt; , and &lt;i&gt;GNAL&lt;/i&gt; mutational screening in Austrian patients with primary isolated dystonia: Letter to the Editors","title-short":"&lt;i&gt;TOR1A, THAP1&lt;/i&gt; , and &lt;i&gt;GNAL&lt;/i&gt; mutational screening in Austrian patients with primary isolated dystonia","volume":"30","author":[{"family":"Zech","given":"Michael"},{"family":"Boesch","given":"Sylvia"},{"family":"Sycha","given":"Thomas"},{"family":"Mueller","given":"Joerg"},{"family":"Poewe","given":"Werner"},{"family":"Winkelmann","given":"Juliane"}],"issued":{"date-parts":[["2015",11]]}},"label":"page"},{"id":334,"uris":["http://zotero.org/users/local/qbj29eOf/items/XI2HM5RZ"],"itemData":{"id":334,"type":"article-journal","container-title":"Parkinsonism &amp; Related Disorders","DOI":"10.1016/j.parkreldis.2013.05.011","ISSN":"13538020","issue":"10","journalAbbreviation":"Parkinsonism &amp; Related Disorders","language":"en","page":"910-912","source":"DOI.org (Crossref)","title":"Mutation screening of GNAL gene in patients with primary dystonia from Northeast China","volume":"19","author":[{"family":"Miao","given":"Jing"},{"family":"Wan","given":"Xin-Hua"},{"family":"Sun","given":"Yuan"},{"family":"Feng","given":"Jia-Chun"},{"family":"Cheng","given":"Fu-Bo"}],"issued":{"date-parts":[["2013",10]]}}},{"id":335,"uris":["http://zotero.org/users/local/qbj29eOf/items/UTPRCCMQ"],"itemData":{"id":335,"type":"article-journal","container-title":"Human Molecular Genetics","DOI":"10.1093/hmg/ddt102","ISSN":"1460-2083, 0964-6906","issue":"12","language":"en","page":"2510-2519","source":"DOI.org (Crossref)","title":"Role of Gα(olf) in familial and sporadic adult-onset primary dystonia","volume":"22","author":[{"family":"Vemula","given":"Satya R."},{"family":"Puschmann","given":"Andreas"},{"family":"Xiao","given":"Jianfeng"},{"family":"Zhao","given":"Yu"},{"family":"Rudzińska","given":"Monika"},{"family":"Frei","given":"Karen P."},{"family":"Truong","given":"Daniel D."},{"family":"Wszolek","given":"Zbigniew K."},{"family":"LeDoux","given":"Mark S."}],"issued":{"date-parts":[["2013",6,15]]}}},{"id":340,"uris":["http://zotero.org/users/local/qbj29eOf/items/D26WQUQG"],"itemData":{"id":340,"type":"article-journal","container-title":"Movement Disorders","DOI":"10.1002/mds.25818","ISSN":"08853185","issue":"6","journalAbbreviation":"Mov Disord.","language":"en","page":"812-818","source":"DOI.org (Crossref)","title":"Heterogeneity in primary dystonia: Lessons from &lt;i&gt;THAP1&lt;/i&gt; , &lt;i&gt;GNAL&lt;/i&gt; , and &lt;i&gt;TOR1A&lt;/i&gt; in Amish-Mennonites: &lt;i&gt;THAP1&lt;/i&gt; , &lt;i&gt;GNAL&lt;/i&gt; , AND &lt;i&gt;TOR1A&lt;/i&gt; in Amish-Mennonites","title-short":"Heterogeneity in primary dystonia","volume":"29","author":[{"family":"Saunders-Pullman","given":"Rachel"},{"family":"Fuchs","given":"Tania"},{"family":"San Luciano","given":"Marta"},{"family":"Raymond","given":"Deborah"},{"family":"Brashear","given":"Alison"},{"family":"Ortega","given":"Robert"},{"family":"Deik","given":"Andres"},{"family":"Ozelius","given":"Laurie J."},{"family":"Bressman","given":"Susan B."}],"issued":{"date-parts":[["2014",5]]}}},{"id":342,"uris":["http://zotero.org/users/local/qbj29eOf/items/HBX5ZUUF"],"itemData":{"id":342,"type":"article-journal","container-title":"Movement Disorders","DOI":"10.1002/mds.26066","ISSN":"08853185","issue":"14","journalAbbreviation":"Mov Disord.","language":"en","page":"1833-1834","source":"DOI.org (Crossref)","title":"Novel &lt;i&gt;GNAL&lt;/i&gt; mutations in two German patients with sporadic dystonia: LETTERS: NEW OBSERVATIONS","title-short":"Novel &lt;i&gt;GNAL&lt;/i&gt; mutations in two German patients with sporadic dystonia","volume":"29","author":[{"family":"Ziegan","given":"Julia"},{"family":"Wittstock","given":"Matthias"},{"family":"Westenberger","given":"Ana"},{"family":"Dobričić","given":"Valerija"},{"family":"Wolters","given":"Alexander"},{"family":"Benecke","given":"Reiner"},{"family":"Klein","given":"Christine"},{"family":"Kamm","given":"Christoph"}],"issued":{"date-parts":[["2014",12]]}}},{"id":345,"uris":["http://zotero.org/users/local/qbj29eOf/items/FSC5Q7KY"],"itemData":{"id":345,"type":"article-journal","container-title":"Parkinsonism &amp; Related Disorders","DOI":"10.1016/j.parkreldis.2015.12.012","ISSN":"13538020","journalAbbreviation":"Parkinsonism &amp; Related Disorders","language":"en","page":"66-71","source":"DOI.org (Crossref)","title":"Novel GNAL mutation with intra-familial clinical heterogeneity: Expanding the phenotype","title-short":"Novel GNAL mutation with intra-familial clinical heterogeneity","volume":"23","author":[{"family":"Carecchio","given":"Miryam"},{"family":"Panteghini","given":"Celeste"},{"family":"Reale","given":"Chiara"},{"family":"Barzaghi","given":"Chiara"},{"family":"Monti","given":"Valentina"},{"family":"Romito","given":"Luigi"},{"family":"Sasanelli","given":"Francesco"},{"family":"Garavaglia","given":"Barbara"}],"issued":{"date-parts":[["2016",2]]}},"label":"page"},{"id":346,"uris":["http://zotero.org/users/local/qbj29eOf/items/8SUANI8L"],"itemData":{"id":346,"type":"article-journal","container-title":"Neurology Genetics","DOI":"10.1212/NXG.0000000000000069","ISSN":"2376-7839","issue":"3","journalAbbreviation":"Neurol Genet","language":"en","page":"e69","source":"DOI.org (Crossref)","title":"Clinical and genetic features of cervical dystonia in a large multicenter cohort","volume":"2","author":[{"family":"LeDoux","given":"Mark S."},{"family":"Vemula","given":"Satya R."},{"family":"Xiao","given":"Jianfeng"},{"family":"Thompson","given":"Misty M."},{"family":"Perlmutter","given":"Joel S."},{"family":"Wright","given":"Laura J."},{"family":"Jinnah","given":"H.A."},{"family":"Rosen","given":"Ami R."},{"family":"Hedera","given":"Peter"},{"family":"Comella","given":"Cynthia L."},{"family":"Weissbach","given":"Anne"},{"family":"Junker","given":"Johanna"},{"family":"Jankovic","given":"Joseph"},{"family":"Barbano","given":"Richard L."},{"family":"Reich","given":"Stephen G."},{"family":"Rodriguez","given":"Ramon L."},{"family":"Berman","given":"Brian D."},{"family":"Chouinard","given":"Sylvain"},{"family":"Severt","given":"Lawrence"},{"family":"Agarwal","given":"Pinky"}],"issued":{"date-parts":[["2016",6]]}}},{"id":356,"uris":["http://zotero.org/users/local/qbj29eOf/items/V2ET7XMJ"],"itemData":{"id":356,"type":"article-journal","container-title":"Movement Disorders","DOI":"10.1002/mds.27585","ISSN":"0885-3185, 1531-8257","issue":"2","journalAbbreviation":"Mov Disord.","language":"en","page":"301-303","source":"DOI.org (Crossref)","title":"Deep Brain Stimulation in Isolated Dystonia With a &lt;i&gt;GNAL&lt;/i&gt; Mutation","volume":"34","author":[{"family":"Sarva","given":"Harini"},{"family":"Trosch","given":"Richard"},{"family":"Kiss","given":"Zelma H.T."},{"family":"Furtado","given":"Sarah"},{"family":"Luciano","given":"Marta San"},{"family":"Glickman","given":"Amanda"},{"family":"Raymond","given":"Deborah"},{"family":"Ozelius","given":"Laurie J."},{"family":"Bressman","given":"Susan B."},{"family":"Saunders</w:instrText>
            </w:r>
            <w:r w:rsidRPr="005500F7">
              <w:rPr>
                <w:rFonts w:ascii="Cambria Math" w:hAnsi="Cambria Math" w:cs="Cambria Math"/>
                <w:sz w:val="20"/>
                <w:szCs w:val="20"/>
              </w:rPr>
              <w:instrText>‐</w:instrText>
            </w:r>
            <w:r w:rsidRPr="005500F7">
              <w:rPr>
                <w:rFonts w:ascii="Aptos" w:hAnsi="Aptos"/>
                <w:sz w:val="20"/>
                <w:szCs w:val="20"/>
              </w:rPr>
              <w:instrText xml:space="preserve">Pullman","given":"Rachel"}],"issued":{"date-parts":[["2019",2]]}}}],"schema":"https://github.com/citation-style-language/schema/raw/master/csl-citation.json"}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10–17</w:t>
            </w:r>
            <w:r w:rsidRPr="005500F7">
              <w:rPr>
                <w:rFonts w:ascii="Aptos" w:hAnsi="Aptos"/>
                <w:sz w:val="20"/>
                <w:szCs w:val="20"/>
              </w:rPr>
              <w:fldChar w:fldCharType="end"/>
            </w:r>
            <w:r w:rsidRPr="005500F7">
              <w:rPr>
                <w:rFonts w:ascii="Aptos" w:hAnsi="Aptos"/>
                <w:sz w:val="20"/>
                <w:szCs w:val="20"/>
              </w:rPr>
              <w:t xml:space="preserve"> The symptoms generally remain focal in the neck area or multifocal (cranial or upper limb involvement) (~52% and ~36%, respectively) without significant cognitive and psychiatric issues.</w:t>
            </w:r>
            <w:r w:rsidRPr="005500F7">
              <w:rPr>
                <w:rFonts w:ascii="Aptos" w:hAnsi="Aptos"/>
                <w:sz w:val="20"/>
                <w:szCs w:val="20"/>
              </w:rPr>
              <w:fldChar w:fldCharType="begin"/>
            </w:r>
            <w:r w:rsidRPr="005500F7">
              <w:rPr>
                <w:rFonts w:ascii="Aptos" w:hAnsi="Aptos"/>
                <w:sz w:val="20"/>
                <w:szCs w:val="20"/>
              </w:rPr>
              <w:instrText xml:space="preserve"> ADDIN ZOTERO_ITEM CSL_CITATION {"citationID":"A438HUvP","properties":{"formattedCitation":"\\super 18,19\\nosupersub{}","plainCitation":"18,19","noteIndex":0},"citationItems":[{"id":359,"uris":["http://zotero.org/users/local/qbj29eOf/items/DNZMCWFR"],"itemData":{"id":359,"type":"article-journal","container-title":"Journal of Neural Transmission","DOI":"10.1007/s00702-020-02268-x","ISSN":"0300-9564, 1435-1463","issue":"4","journalAbbreviation":"J Neural Transm","language":"en","page":"405-416","source":"DOI.org (Crossref)","title":"Isolated dystonia: clinical and genetic updates","title-short":"Isolated dystonia","volume":"128","author":[{"family":"Domingo","given":"Aloysius"},{"family":"Yadav","given":"Rachita"},{"family":"Ozelius","given":"Laurie J."}],"issued":{"date-parts":[["2021",4]]}}},{"id":362,"uris":["http://zotero.org/users/local/qbj29eOf/items/FRXDH7ZP"],"itemData":{"id":362,"type":"article-journal","container-title":"Neurological Sciences","DOI":"10.1007/s10072-022-06060-5","ISSN":"1590-1874, 1590-3478","issue":"7","journalAbbreviation":"Neurol Sci","language":"en","page":"4547-4549","source":"DOI.org (Crossref)","title":"A new mutation in the GNAL gene in familial dystonia presenting with mental symptoms","volume":"43","author":[{"family":"Fan","given":"Shanghua"},{"family":"Cao","given":"Qian"},{"family":"Peng","given":"Bin"},{"family":"Yin","given":"Bo"},{"family":"Xiao","given":"Ting"},{"family":"Sun","given":"Liu"},{"family":"Dong","given":"Hongjuan"}],"issued":{"date-parts":[["2022",7]]}}}],"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18,19</w:t>
            </w:r>
            <w:r w:rsidRPr="005500F7">
              <w:rPr>
                <w:rFonts w:ascii="Aptos" w:hAnsi="Aptos"/>
                <w:sz w:val="20"/>
                <w:szCs w:val="20"/>
              </w:rPr>
              <w:fldChar w:fldCharType="end"/>
            </w:r>
          </w:p>
        </w:tc>
      </w:tr>
      <w:tr w:rsidR="005500F7" w:rsidRPr="005500F7" w14:paraId="5E935E80" w14:textId="77777777" w:rsidTr="002C08A9">
        <w:trPr>
          <w:trHeight w:val="1083"/>
        </w:trPr>
        <w:tc>
          <w:tcPr>
            <w:tcW w:w="593" w:type="pct"/>
            <w:tcBorders>
              <w:top w:val="single" w:sz="4" w:space="0" w:color="auto"/>
              <w:left w:val="nil"/>
              <w:bottom w:val="single" w:sz="4" w:space="0" w:color="auto"/>
              <w:right w:val="nil"/>
            </w:tcBorders>
            <w:shd w:val="clear" w:color="auto" w:fill="auto"/>
            <w:vAlign w:val="center"/>
          </w:tcPr>
          <w:p w14:paraId="13053379" w14:textId="0D3F6682" w:rsidR="005500F7" w:rsidRPr="005500F7" w:rsidRDefault="005500F7" w:rsidP="00257457">
            <w:pPr>
              <w:spacing w:after="0" w:line="240" w:lineRule="auto"/>
              <w:rPr>
                <w:rFonts w:ascii="Aptos" w:hAnsi="Aptos"/>
                <w:sz w:val="20"/>
                <w:szCs w:val="20"/>
              </w:rPr>
            </w:pPr>
            <w:r w:rsidRPr="005500F7">
              <w:rPr>
                <w:rFonts w:ascii="Aptos" w:hAnsi="Aptos"/>
                <w:b/>
                <w:i/>
                <w:iCs/>
                <w:sz w:val="20"/>
                <w:szCs w:val="20"/>
              </w:rPr>
              <w:t>KMT2B</w:t>
            </w:r>
          </w:p>
        </w:tc>
        <w:tc>
          <w:tcPr>
            <w:tcW w:w="4407" w:type="pct"/>
            <w:tcBorders>
              <w:top w:val="single" w:sz="4" w:space="0" w:color="auto"/>
              <w:left w:val="nil"/>
              <w:bottom w:val="single" w:sz="4" w:space="0" w:color="auto"/>
              <w:right w:val="nil"/>
            </w:tcBorders>
            <w:shd w:val="clear" w:color="auto" w:fill="auto"/>
            <w:vAlign w:val="center"/>
          </w:tcPr>
          <w:p w14:paraId="49946FD7" w14:textId="0EF1F256" w:rsidR="005500F7" w:rsidRPr="005500F7" w:rsidRDefault="005500F7" w:rsidP="00257457">
            <w:pPr>
              <w:spacing w:after="0" w:line="240" w:lineRule="auto"/>
              <w:jc w:val="center"/>
              <w:rPr>
                <w:rFonts w:ascii="Aptos" w:hAnsi="Aptos"/>
                <w:sz w:val="20"/>
                <w:szCs w:val="20"/>
              </w:rPr>
            </w:pPr>
            <w:r w:rsidRPr="005500F7">
              <w:rPr>
                <w:rFonts w:ascii="Aptos" w:hAnsi="Aptos"/>
                <w:i/>
                <w:iCs/>
                <w:sz w:val="20"/>
                <w:szCs w:val="20"/>
              </w:rPr>
              <w:t>KMT2B</w:t>
            </w:r>
            <w:r w:rsidR="00264446">
              <w:rPr>
                <w:rFonts w:ascii="Aptos" w:hAnsi="Aptos"/>
                <w:i/>
                <w:iCs/>
                <w:sz w:val="20"/>
                <w:szCs w:val="20"/>
              </w:rPr>
              <w:t xml:space="preserve"> </w:t>
            </w:r>
            <w:r w:rsidR="00264446" w:rsidRPr="002C08A9">
              <w:rPr>
                <w:rFonts w:ascii="Aptos" w:hAnsi="Aptos"/>
                <w:sz w:val="20"/>
                <w:szCs w:val="20"/>
              </w:rPr>
              <w:t>mutations</w:t>
            </w:r>
            <w:r w:rsidRPr="005500F7">
              <w:rPr>
                <w:rFonts w:ascii="Aptos" w:hAnsi="Aptos"/>
                <w:sz w:val="20"/>
                <w:szCs w:val="20"/>
              </w:rPr>
              <w:t xml:space="preserve"> </w:t>
            </w:r>
            <w:r w:rsidR="00264446">
              <w:rPr>
                <w:rFonts w:ascii="Aptos" w:hAnsi="Aptos"/>
                <w:sz w:val="20"/>
                <w:szCs w:val="20"/>
              </w:rPr>
              <w:t>cause</w:t>
            </w:r>
            <w:r w:rsidR="00264446" w:rsidRPr="005500F7">
              <w:rPr>
                <w:rFonts w:ascii="Aptos" w:hAnsi="Aptos"/>
                <w:sz w:val="20"/>
                <w:szCs w:val="20"/>
              </w:rPr>
              <w:t xml:space="preserve"> </w:t>
            </w:r>
            <w:r w:rsidRPr="005500F7">
              <w:rPr>
                <w:rFonts w:ascii="Aptos" w:hAnsi="Aptos"/>
                <w:sz w:val="20"/>
                <w:szCs w:val="20"/>
              </w:rPr>
              <w:t>autosomal dominant dystonia that usually emerges in childhood,</w:t>
            </w:r>
            <w:r w:rsidRPr="005500F7">
              <w:rPr>
                <w:rFonts w:ascii="Aptos" w:hAnsi="Aptos"/>
                <w:sz w:val="20"/>
                <w:szCs w:val="20"/>
              </w:rPr>
              <w:fldChar w:fldCharType="begin"/>
            </w:r>
            <w:r w:rsidRPr="005500F7">
              <w:rPr>
                <w:rFonts w:ascii="Aptos" w:hAnsi="Aptos"/>
                <w:sz w:val="20"/>
                <w:szCs w:val="20"/>
              </w:rPr>
              <w:instrText xml:space="preserve"> ADDIN ZOTERO_ITEM CSL_CITATION {"citationID":"JdyOPQO7","properties":{"formattedCitation":"\\super 20\\uc0\\u8211{}25\\nosupersub{}","plainCitation":"20–25","noteIndex":0},"citationItems":[{"id":389,"uris":["http://zotero.org/users/local/qbj29eOf/items/9WPQN6NU"],"itemData":{"id":389,"type":"article-journal","container-title":"The American Journal of Human Genetics","DOI":"10.1016/j.ajhg.2016.10.010","ISSN":"00029297","issue":"6","journalAbbreviation":"The American Journal of Human Genetics","language":"en","page":"1377-1387","source":"DOI.org (Crossref)","title":"Haploinsufficiency of KMT2B, Encoding the Lysine-Specific Histone Methyltransferase 2B, Results in Early-Onset Generalized Dystonia","volume":"99","author":[{"family":"Zech","given":"Michael"},{"family":"Boesch","given":"Sylvia"},{"family":"Maier","given":"Esther M."},{"family":"Borggraefe","given":"Ingo"},{"family":"Vill","given":"Katharina"},{"family":"Laccone","given":"Franco"},{"family":"Pilshofer","given":"Veronika"},{"family":"Ceballos-Baumann","given":"Andres"},{"family":"Alhaddad","given":"Bader"},{"family":"Berutti","given":"Riccardo"},{"family":"Poewe","given":"Werner"},{"family":"Haack","given":"Tobias B."},{"family":"Haslinger","given":"Bernhard"},{"family":"Strom","given":"Tim M."},{"family":"Winkelmann","given":"Juliane"}],"issued":{"date-parts":[["2016",12]]}},"label":"page"},{"id":391,"uris":["http://zotero.org/users/local/qbj29eOf/items/FAENM4YC"],"itemData":{"id":391,"type":"article-journal","container-title":"Nature Genetics","DOI":"10.1038/ng.3740","ISSN":"1061-4036, 1546-1718","issue":"2","journalAbbreviation":"Nat Genet","language":"en","page":"223-237","source":"DOI.org (Crossref)","title":"Mutations in the histone methyltransferase gene KMT2B cause complex early-onset dystonia","volume":"49","author":[{"literal":"UK10K Consortium"},{"literal":"Deciphering Developmental Disorders Study"},{"literal":"NIHR BioResource Rare Diseases Consortium"},{"family":"Meyer","given":"Esther"},{"family":"Carss","given":"Keren J"},{"family":"Rankin","given":"Julia"},{"family":"Nichols","given":"John M E"},{"family":"Grozeva","given":"Detelina"},{"family":"Joseph","given":"Agnel P"},{"family":"Mencacci","given":"Niccolo E"},{"family":"Papandreou","given":"Apostolos"},{"family":"Ng","given":"Joanne"},{"family":"Barral","given":"Serena"},{"family":"Ngoh","given":"Adeline"},{"family":"Ben-Pazi","given":"Hilla"},{"family":"Willemsen","given":"Michel A"},{"family":"Arkadir","given":"David"},{"family":"Barnicoat","given":"Angela"},{"family":"Bergman","given":"Hagai"},{"family":"Bhate","given":"Sanjay"},{"family":"Boys","given":"Amber"},{"family":"Darin","given":"Niklas"},{"family":"Foulds","given":"Nicola"},{"family":"Gutowski","given":"Nicholas"},{"family":"Hills","given":"Alison"},{"family":"Houlden","given":"Henry"},{"family":"Hurst","given":"Jane A"},{"family":"Israel","given":"Zvi"},{"family":"Kaminska","given":"Margaret"},{"family":"Limousin","given":"Patricia"},{"family":"Lumsden","given":"Daniel"},{"family":"McKee","given":"Shane"},{"family":"Misra","given":"Shibalik"},{"family":"Mohammed","given":"Shekeeb S"},{"family":"Nakou","given":"Vasiliki"},{"family":"Nicolai","given":"Joost"},{"family":"Nilsson","given":"Magnus"},{"family":"Pall","given":"Hardev"},{"family":"Peall","given":"Kathryn J"},{"family":"Peters","given":"Gregory B"},{"family":"Prabhakar","given":"Prab"},{"family":"Reuter","given":"Miriam S"},{"family":"Rump","given":"Patrick"},{"family":"Segel","given":"Reeval"},{"family":"Sinnema","given":"Margje"},{"family":"Smith","given":"Martin"},{"family":"Turnpenny","given":"Peter"},{"family":"White","given":"Susan M"},{"family":"Wieczorek","given":"Dagmar"},{"family":"Wiethoff","given":"Sarah"},{"family":"Wilson","given":"Brian T"},{"family":"Winter","given":"Gidon"},{"family":"Wragg","given":"Christopher"},{"family":"Pope","given":"Simon"},{"family":"Heales","given":"Simon J H"},{"family":"Morrogh","given":"Deborah"},{"family":"Pittman","given":"Alan"},{"family":"Carr","given":"Lucinda J"},{"family":"Perez-Dueñas","given":"Belen"},{"family":"Lin","given":"Jean-Pierre"},{"family":"Reis","given":"Andre"},{"family":"Gahl","given":"William A"},{"family":"Toro","given":"Camilo"},{"family":"Bhatia","given":"Kailash P"},{"family":"Wood","given":"Nicholas W"},{"family":"Kamsteeg","given":"Erik-Jan"},{"family":"Chong","given":"Wui K"},{"family":"Gissen","given":"Paul"},{"family":"Topf","given":"Maya"},{"family":"Dale","given":"Russell C"},{"family":"Chubb","given":"Jonathan R"},{"family":"Raymond","given":"F Lucy"},{"family":"Kurian","given":"Manju A"}],"issued":{"date-parts":[["2017",2]]}},"label":"page"},{"id":397,"uris":["http://zotero.org/users/local/qbj29eOf/items/KEIV3K8G"],"itemData":{"id":397,"type":"article-journal","container-title":"Movement Disorders","DOI":"10.1002/mds.27771","ISSN":"0885-3185, 1531-8257","issue":"10","journalAbbreviation":"Mov Disord","language":"en","page":"1516-1527","source":"DOI.org (Crossref)","title":"Frequency and phenotypic spectrum of &lt;i&gt;KMT2B&lt;/i&gt; dystonia in childhood: A single</w:instrText>
            </w:r>
            <w:r w:rsidRPr="005500F7">
              <w:rPr>
                <w:rFonts w:ascii="Cambria Math" w:hAnsi="Cambria Math" w:cs="Cambria Math"/>
                <w:sz w:val="20"/>
                <w:szCs w:val="20"/>
              </w:rPr>
              <w:instrText>‐</w:instrText>
            </w:r>
            <w:r w:rsidRPr="005500F7">
              <w:rPr>
                <w:rFonts w:ascii="Aptos" w:hAnsi="Aptos"/>
                <w:sz w:val="20"/>
                <w:szCs w:val="20"/>
              </w:rPr>
              <w:instrText>center cohort study","title-short":"Frequency and phenotypic spectrum of &lt;i&gt;KMT2B&lt;/i&gt; dystonia in childhood","volume":"34","author":[{"family":"Carecchio","given":"Miryam"},{"family":"Invernizzi","given":"Federica"},{"family":"Gonzàlez</w:instrText>
            </w:r>
            <w:r w:rsidRPr="005500F7">
              <w:rPr>
                <w:rFonts w:ascii="Cambria Math" w:hAnsi="Cambria Math" w:cs="Cambria Math"/>
                <w:sz w:val="20"/>
                <w:szCs w:val="20"/>
              </w:rPr>
              <w:instrText>‐</w:instrText>
            </w:r>
            <w:r w:rsidRPr="005500F7">
              <w:rPr>
                <w:rFonts w:ascii="Aptos" w:hAnsi="Aptos"/>
                <w:sz w:val="20"/>
                <w:szCs w:val="20"/>
              </w:rPr>
              <w:instrText xml:space="preserve">Latapi","given":"Paulina"},{"family":"Panteghini","given":"Celeste"},{"family":"Zorzi","given":"Giovanna"},{"family":"Romito","given":"Luigi"},{"family":"Leuzzi","given":"Vincenzo"},{"family":"Galosi","given":"Serena"},{"family":"Reale","given":"Chiara"},{"family":"Zibordi","given":"Federica"},{"family":"Joseph","given":"Agnel P."},{"family":"Topf","given":"Maya"},{"family":"Piano","given":"Carla"},{"family":"Bentivoglio","given":"Anna Rita"},{"family":"Girotti","given":"Floriano"},{"family":"Morana","given":"Paolo"},{"family":"Morana","given":"Benedetto"},{"family":"Kurian","given":"Manju A."},{"family":"Garavaglia","given":"Barbara"},{"family":"Mencacci","given":"Niccolò E."},{"family":"Lubbe","given":"Steven J."},{"family":"Nardocci","given":"Nardo"}],"issued":{"date-parts":[["2019",10]]}},"label":"page"},{"id":405,"uris":["http://zotero.org/users/local/qbj29eOf/items/WZCTUAS3"],"itemData":{"id":405,"type":"article-journal","container-title":"Parkinsonism &amp; Related Disorders","DOI":"10.1016/j.parkreldis.2020.06.002","ISSN":"13538020","journalAbbreviation":"Parkinsonism &amp; Related Disorders","language":"en","page":"76-82","source":"DOI.org (Crossref)","title":"Clinical phenotypes, genotypes and treatment in Chinese dystonia patients with KMT2B variants","volume":"77","author":[{"family":"Li","given":"Xin-yao"},{"family":"Dai","given":"Li-fang"},{"family":"Wan","given":"Xin-hua"},{"family":"Guo","given":"Yi"},{"family":"Dai","given":"Yi"},{"family":"Li","given":"Shang-lin"},{"family":"Fang","given":"Fang"},{"family":"Wang","given":"Xiao-hui"},{"family":"Zhang","given":"Wei-hua"},{"family":"Liu","given":"Ting-hong"},{"family":"Xie","given":"Zi-hang"},{"family":"Fang","given":"Tie"},{"family":"Wang","given":"Lin"},{"family":"Ding","given":"Chang-hong"}],"issued":{"date-parts":[["2020",8]]}},"label":"page"},{"id":403,"uris":["http://zotero.org/users/local/qbj29eOf/items/9T7PU6HU"],"itemData":{"id":403,"type":"article-journal","abstract":"Abstract\n            Heterozygous mutations in KMT2B are associated with an early-onset, progressive and often complex dystonia (DYT28). Key characteristics of typical disease include focal motor features at disease presentation, evolving through a caudocranial pattern into generalized dystonia, with prominent oromandibular, laryngeal and cervical involvement. Although KMT2B-related disease is emerging as one of the most common causes of early-onset genetic dystonia, much remains to be understood about the full spectrum of the disease. We describe a cohort of 53 patients with KMT2B mutations, with detailed delineation of their clinical phenotype and molecular genetic features. We report new disease presentations, including atypical patterns of dystonia evolution and a subgroup of patients with a non-dystonic neurodevelopmental phenotype. In addition to the previously reported systemic features, our study has identified co-morbidities, including the risk of status dystonicus, intrauterine growth retardation, and endocrinopathies. Analysis of this study cohort (n = 53) in tandem with published cases (n = 80) revealed that patients with chromosomal deletions and protein truncating variants had a significantly higher burden of systemic disease (with earlier onset of dystonia) than those with missense variants. Eighteen individuals had detailed longitudinal data available after insertion of deep brain stimulation for medically refractory dystonia. Median age at deep brain stimulation was 11.5 years (range: 4.5–37.0 years). Follow-up after deep brain stimulation ranged from 0.25 to 22 years. Significant improvement of motor function and disability (as assessed by the Burke Fahn Marsden’s Dystonia Rating Scales, BFMDRS-M and BFMDRS-D) was evident at 6 months, 1 year and last follow-up (motor, P = 0.001, P = 0.004, and P = 0.012; disability, P = 0.009, P = 0.002 and P = 0.012). At 1 year post-deep brain stimulation, &amp;gt;50% of subjects showed BFMDRS-M and BFMDRS-D improvements of &amp;gt;30%. In the long-term deep brain stimulation cohort (deep brain stimulation inserted for &amp;gt;5 years, n = 8), improvement of &amp;gt;30% was maintained in 5/8 and 3/8 subjects for the BFMDRS-M and BFMDRS-D, respectively. The greatest BFMDRS-M improvements were observed for trunk (53.2%) and cervical (50.5%) dystonia, with less clinical impact on laryngeal dystonia. Improvements in gait dystonia decreased from 20.9% at 1 year to 16.2% at last assessment; no patient maintained a fully independent gait. Reduction of BFMDRS-D was maintained for swallowing (52.9%). Five patients developed mild parkinsonism following deep brain stimulation. KMT2B-related disease comprises an expanding continuum from infancy to adulthood, with early evidence of genotype-phenotype correlations. Except for laryngeal dysphonia, deep brain stimulation provides a significant improvement in quality of life and function with sustained clinical benefit depending on symptoms distribution.","container-title":"Brain","DOI":"10.1093/brain/awaa304","ISSN":"0006-8950, 1460-2156","issue":"11","language":"en","page":"3242-3261","source":"DOI.org (Crossref)","title":"&lt;i&gt;KMT2B&lt;/i&gt; -related disorders: expansion of the phenotypic spectrum and long-term efficacy of deep brain stimulation","title-short":"&lt;i&gt;KMT2B&lt;/i&gt; -related disorders","volume":"143","author":[{"family":"Cif","given":"Laura"},{"family":"Demailly","given":"Diane"},{"family":"Lin","given":"Jean-Pierre"},{"family":"Barwick","given":"Katy E"},{"family":"Sa","given":"Mario"},{"family":"Abela","given":"Lucia"},{"family":"Malhotra","given":"Sony"},{"family":"Chong","given":"Wui K"},{"family":"Steel","given":"Dora"},{"family":"Sanchis-Juan","given":"Alba"},{"family":"Ngoh","given":"Adeline"},{"family":"Trump","given":"Natalie"},{"family":"Meyer","given":"Esther"},{"family":"Vasques","given":"Xavier"},{"family":"Rankin","given":"Julia"},{"family":"Allain","given":"Meredith W"},{"family":"Applegate","given":"Carolyn D"},{"family":"Attaripour Isfahani","given":"Sanaz"},{"family":"Baleine","given":"Julien"},{"family":"Balint","given":"Bettina"},{"family":"Bassetti","given":"Jennifer A"},{"family":"Baple","given":"Emma L"},{"family":"Bhatia","given":"Kailash P"},{"family":"Blanchet","given":"Catherine"},{"family":"Burglen","given":"Lydie"},{"family":"Cambonie","given":"Gilles"},{"family":"Seng","given":"Emilie Chan"},{"family":"Bastaraud","given":"Sandra Chantot"},{"family":"Cyprien","given":"Fabienne"},{"family":"Coubes","given":"Christine"},{"family":"Hardemare","given":"Vincent","non-dropping-particle":"d’"},{"literal":"Deciphering Developmental Disorders Study"},{"family":"Doja","given":"Asif"},{"family":"Dorison","given":"Nathalie"},{"family":"Doummar","given":"Diane"},{"family":"Dy-Hollins","given":"Marisela E"},{"family":"Farrelly","given":"Ellyn"},{"family":"Fitzpatrick","given":"David R"},{"family":"Fearon","given":"Conor"},{"family":"Fieg","given":"Elizabeth L"},{"family":"Fogel","given":"Brent L"},{"family":"Forman","given":"Eva B"},{"family":"Fox","given":"Rachel G"},{"literal":"Genomics England Research Consortium"},{"family":"Gahl","given":"William A"},{"family":"Galosi","given":"Serena"},{"family":"Gonzalez","given":"Victoria"},{"family":"Graves","given":"Tracey D"},{"family":"Gregory","given":"Allison"},{"family":"Hallett","given":"Mark"},{"family":"Hasegawa","given":"Harutomo"},{"family":"Hayflick","given":"Susan J"},{"family":"Hamosh","given":"Ada"},{"family":"Hully","given":"Marie"},{"family":"Jansen","given":"Sandra"},{"family":"Jeong","given":"Suh Young"},{"family":"Krier","given":"Joel B"},{"family":"Krystal","given":"Sidney"},{"family":"Kumar","given":"Kishore R"},{"family":"Laurencin","given":"Chloé"},{"family":"Lee","given":"Hane"},{"family":"Lesca","given":"Gaetan"},{"family":"François","given":"Laurence Lion"},{"family":"Lynch","given":"Timothy"},{"family":"Mahant","given":"Neil"},{"family":"Martinez-Agosto","given":"Julian A"},{"family":"Milesi","given":"Christophe"},{"family":"Mills","given":"Kelly A"},{"family":"Mondain","given":"Michel"},{"family":"Morales-Briceno","given":"Hugo"},{"literal":"NIHR BioResource"},{"family":"Ostergaard","given":"John R"},{"family":"Pal","given":"Swasti"},{"family":"Pallais","given":"Juan C"},{"family":"Pavillard","given":"Frédérique"},{"family":"Perrigault","given":"Pierre-Francois"},{"family":"Petersen","given":"Andrea K"},{"family":"Polo","given":"Gustavo"},{"family":"Poulen","given":"Gaetan"},{"family":"Rinne","given":"Tuula"},{"family":"Roujeau","given":"Thomas"},{"family":"Rogers","given":"Caleb"},{"family":"Roubertie","given":"Agathe"},{"family":"Sahagian","given":"Michelle"},{"family":"Schaefer","given":"Elise"},{"family":"Selim","given":"Laila"},{"family":"Selway","given":"Richard"},{"family":"Sharma","given":"Nutan"},{"family":"Signer","given":"Rebecca"},{"family":"Soldatos","given":"Ariane G"},{"family":"Stevenson","given":"David A"},{"family":"Stewart","given":"Fiona"},{"family":"Tchan","given":"Michel"},{"literal":"Undiagnosed Diseases Network"},{"family":"Verma","given":"Ishwar C"},{"family":"De Vries","given":"Bert B A"},{"family":"Wilson","given":"Jenny L"},{"family":"Wong","given":"Derek A"},{"family":"Zaitoun","given":"Raghda"},{"family":"Zhen","given":"Dolly"},{"family":"Znaczko","given":"Anna"},{"family":"Dale","given":"Russell C"},{"family":"De Gusmão","given":"Claudio M"},{"family":"Friedman","given":"Jennifer"},{"family":"Fung","given":"Victor S C"},{"family":"King","given":"Mary D"},{"family":"Mohammad","given":"Shekeeb S"},{"family":"Rohena","given":"Luis"},{"family":"Waugh","given":"Jeff L"},{"family":"Toro","given":"Camilo"},{"family":"Raymond","given":"F Lucy"},{"family":"Topf","given":"Maya"},{"family":"Coubes","given":"Philippe"},{"family":"Gorman","given":"Kathleen M"},{"family":"Kurian","given":"Manju A"}],"issued":{"date-parts":[["2020",11,1]]}},"label":"page"},{"id":402,"uris":["http://zotero.org/users/local/qbj29eOf/items/Z76MEW4D"],"itemData":{"id":402,"type":"article-journal","container-title":"Current Neurology and Neuroscience Reports","DOI":"10.1007/s11910-019-1007-y","ISSN":"1528-4042, 1534-6293","issue":"11","journalAbbreviation":"Curr Neurol Neurosci Rep","language":"en","page":"92","source":"DOI.org (Crossref)","title":"Update on KMT2B-Related Dystonia","volume":"19","author":[{"family":"Zech","given":"Michael"},{"family":"Lam","given":"Daniel D."},{"family":"Winkelmann","given":"Juliane"}],"issued":{"date-parts":[["2019",11]]}},"label":"page"}],"schema":"https://github.com/citation-style-language/schema/raw/master/csl-citation.json"}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20–25</w:t>
            </w:r>
            <w:r w:rsidRPr="005500F7">
              <w:rPr>
                <w:rFonts w:ascii="Aptos" w:hAnsi="Aptos"/>
                <w:sz w:val="20"/>
                <w:szCs w:val="20"/>
              </w:rPr>
              <w:fldChar w:fldCharType="end"/>
            </w:r>
            <w:r w:rsidRPr="005500F7">
              <w:rPr>
                <w:rFonts w:ascii="Aptos" w:hAnsi="Aptos"/>
                <w:sz w:val="20"/>
                <w:szCs w:val="20"/>
              </w:rPr>
              <w:t xml:space="preserve"> primarily in the lower limbs</w:t>
            </w:r>
            <w:r w:rsidRPr="005500F7">
              <w:rPr>
                <w:rFonts w:ascii="Aptos" w:hAnsi="Aptos"/>
                <w:sz w:val="20"/>
                <w:szCs w:val="20"/>
              </w:rPr>
              <w:fldChar w:fldCharType="begin"/>
            </w:r>
            <w:r w:rsidRPr="005500F7">
              <w:rPr>
                <w:rFonts w:ascii="Aptos" w:hAnsi="Aptos"/>
                <w:sz w:val="20"/>
                <w:szCs w:val="20"/>
              </w:rPr>
              <w:instrText xml:space="preserve"> ADDIN ZOTERO_ITEM CSL_CITATION {"citationID":"WJOgDubv","properties":{"formattedCitation":"\\super 26\\uc0\\u8211{}28\\nosupersub{}","plainCitation":"26–28","noteIndex":0},"citationItems":[{"id":393,"uris":["http://zotero.org/users/local/qbj29eOf/items/3ZLFE6F5"],"itemData":{"id":393,"type":"article-journal","container-title":"Movement Disorders","DOI":"10.1002/mds.27026","ISSN":"08853185","issue":"7","journalAbbreviation":"Mov Disord.","language":"en","page":"1087-1091","source":"DOI.org (Crossref)","title":"&lt;i&gt;KMT2B&lt;/i&gt; rare missense variants in generalized dystonia: &lt;i&gt;KMT2B&lt;/i&gt; Missense Variants in Dystonia","title-short":"&lt;i&gt;KMT2B&lt;/i&gt; rare missense variants in generalized dystonia","volume":"32","author":[{"family":"Zech","given":"Michael"},{"family":"Jech","given":"Robert"},{"family":"Havránková","given":"Petra"},{"family":"Fečíková","given":"Anna"},{"family":"Berutti","given":"Riccardo"},{"family":"Urgošík","given":"Dušan"},{"family":"Kemlink","given":"David"},{"family":"Strom","given":"Tim M."},{"family":"Roth","given":"Jan"},{"family":"Růžička","given":"Evžen"},{"family":"Winkelmann","given":"Juliane"}],"issued":{"date-parts":[["2017",7]]}},"label":"page"},{"id":399,"uris":["http://zotero.org/users/local/qbj29eOf/items/5NZ9C78R"],"itemData":{"id":399,"type":"article-journal","container-title":"Journal of Human Genetics","DOI":"10.1038/s10038-019-0625-1","ISSN":"1434-5161, 1435-232X","issue":"8","journalAbbreviation":"J Hum Genet","language":"en","page":"803-813","source":"DOI.org (Crossref)","title":"Novel mutations in KMT2B offer pathophysiological insights into childhood-onset progressive dystonia","volume":"64","author":[{"family":"Dafsari","given":"Hormos Salimi"},{"family":"Sprute","given":"Rosanne"},{"family":"Wunderlich","given":"Gilbert"},{"family":"Daimagüler","given":"Hülya-Sevcan"},{"family":"Karaca","given":"Ezgi"},{"family":"Contreras","given":"Adriana"},{"family":"Becker","given":"Kerstin"},{"family":"Schulze-Rhonhof","given":"Mira"},{"family":"Kiening","given":"Karl"},{"family":"Karakulak","given":"Tülay"},{"family":"Kloss","given":"Manja"},{"family":"Horn","given":"Annette"},{"family":"Pauls","given":"Amande"},{"family":"Nürnberg","given":"Peter"},{"family":"Altmüller","given":"Janine"},{"family":"Thiele","given":"Holger"},{"family":"Assmann","given":"Birgit"},{"family":"Koy","given":"Anne"},{"family":"Cirak","given":"Sebahattin"}],"issued":{"date-parts":[["2019",8]]}},"label":"page"},{"id":408,"uris":["http://zotero.org/users/local/qbj29eOf/items/XLEDRM9E"],"itemData":{"id":408,"type":"article-journal","abstract":"In this study, we report the first known Turkish case of a novel nonsense mutation c.2453dupT (p.M818fs*28) in the &lt;i&gt;KMT2B&lt;/i&gt; (NM_014727.2) gene diagnosed in a male patient with &lt;i&gt;KMT2B&lt;/i&gt;-related dystonia (DYT-&lt;i&gt;KMT2B&lt;/i&gt;, DYT-28, Dystonia*-28), which is a complex, childhood-onset, progressive, hereditary dystonia. The patient, who is followed up from 9 to 13 years of age, had dysmorphic features, developmental delay, short stature, and microcephaly, in addition to focal dystonia and hemichorea (in the right and left lower extremities). Generalized dystonia involving bulbar and cervical muscles, in addition to dystonic cramps, myoclonus, and hemiballismus, were also observed during the course of the follow-up. While he was able to perform basic functions like eating, climbing stairs, walking, and writing with the aid of levodopa and trihexyphenidyl treatment, his clinical status gradually deteriorated secondary to progressive generalized dystonia in the 4-year follow-up. Deep brain stimulation has been shown to be effective in several patients which could be the next preferred treatment for the patient.","container-title":"Molecular Syndromology","DOI":"10.1159/000518974","ISSN":"1661-8769, 1661-8777","issue":"2","journalAbbreviation":"Mol Syndromol","language":"en","page":"159-164","source":"DOI.org (Crossref)","title":"&lt;b&gt;&lt;i&gt;KMT2B&lt;/i&gt;&lt;/b&gt;-Related Dystonia: Challenges in Diagnosis and Treatment","title-short":"&lt;b&gt;&lt;i&gt;KMT2B&lt;/i&gt;&lt;/b&gt;-Related Dystonia","volume":"13","author":[{"family":"Aksoy","given":"Ayşe"},{"family":"Yayıcı Köken","given":"Özlem"},{"family":"Ceylan","given":"Ahmet Cevdet"},{"family":"Toptaş Dedeo</w:instrText>
            </w:r>
            <w:r w:rsidRPr="005500F7">
              <w:rPr>
                <w:rFonts w:ascii="Aptos" w:hAnsi="Aptos" w:cs="Calibri"/>
                <w:sz w:val="20"/>
                <w:szCs w:val="20"/>
              </w:rPr>
              <w:instrText>ğ</w:instrText>
            </w:r>
            <w:r w:rsidRPr="005500F7">
              <w:rPr>
                <w:rFonts w:ascii="Aptos" w:hAnsi="Aptos"/>
                <w:sz w:val="20"/>
                <w:szCs w:val="20"/>
              </w:rPr>
              <w:instrText xml:space="preserve">lu","given":"Özge"}],"issued":{"date-parts":[["2022"]]}},"label":"page"}],"schema":"https://github.com/citation-style-language/schema/raw/master/csl-citation.json"}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26–28</w:t>
            </w:r>
            <w:r w:rsidRPr="005500F7">
              <w:rPr>
                <w:rFonts w:ascii="Aptos" w:hAnsi="Aptos"/>
                <w:sz w:val="20"/>
                <w:szCs w:val="20"/>
              </w:rPr>
              <w:fldChar w:fldCharType="end"/>
            </w:r>
            <w:r w:rsidRPr="005500F7">
              <w:rPr>
                <w:rFonts w:ascii="Aptos" w:hAnsi="Aptos"/>
                <w:sz w:val="20"/>
                <w:szCs w:val="20"/>
              </w:rPr>
              <w:t>. It becomes generalized (~83%)</w:t>
            </w:r>
            <w:r w:rsidRPr="005500F7">
              <w:rPr>
                <w:rFonts w:ascii="Aptos" w:hAnsi="Aptos"/>
                <w:sz w:val="20"/>
                <w:szCs w:val="20"/>
              </w:rPr>
              <w:fldChar w:fldCharType="begin"/>
            </w:r>
            <w:r w:rsidRPr="005500F7">
              <w:rPr>
                <w:rFonts w:ascii="Aptos" w:hAnsi="Aptos"/>
                <w:sz w:val="20"/>
                <w:szCs w:val="20"/>
              </w:rPr>
              <w:instrText xml:space="preserve"> ADDIN ZOTERO_ITEM CSL_CITATION {"citationID":"KRgzq9jR","properties":{"formattedCitation":"\\super 25\\nosupersub{}","plainCitation":"25","noteIndex":0},"citationItems":[{"id":402,"uris":["http://zotero.org/users/local/qbj29eOf/items/Z76MEW4D"],"itemData":{"id":402,"type":"article-journal","container-title":"Current Neurology and Neuroscience Reports","DOI":"10.1007/s11910-019-1007-y","ISSN":"1528-4042, 1534-6293","issue":"11","journalAbbreviation":"Curr Neurol Neurosci Rep","language":"en","page":"92","source":"DOI.org (Crossref)","title":"Update on KMT2B-Related Dystonia","volume":"19","author":[{"family":"Zech","given":"Michael"},{"family":"Lam","given":"Daniel D."},{"family":"Winkelmann","given":"Juliane"}],"issued":{"date-parts":[["2019",11]]}}}],"schema":"https://github.com/citation-style-language/schema/raw/master/csl-citation.json"}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25</w:t>
            </w:r>
            <w:r w:rsidRPr="005500F7">
              <w:rPr>
                <w:rFonts w:ascii="Aptos" w:hAnsi="Aptos"/>
                <w:sz w:val="20"/>
                <w:szCs w:val="20"/>
              </w:rPr>
              <w:fldChar w:fldCharType="end"/>
            </w:r>
            <w:r w:rsidRPr="005500F7">
              <w:rPr>
                <w:rFonts w:ascii="Aptos" w:hAnsi="Aptos"/>
                <w:sz w:val="20"/>
                <w:szCs w:val="20"/>
              </w:rPr>
              <w:t xml:space="preserve"> with prominent oromandibular, cervicocranial, and laryngeal involvement.</w:t>
            </w:r>
            <w:r w:rsidRPr="005500F7">
              <w:rPr>
                <w:rFonts w:ascii="Aptos" w:hAnsi="Aptos"/>
                <w:sz w:val="20"/>
                <w:szCs w:val="20"/>
              </w:rPr>
              <w:fldChar w:fldCharType="begin"/>
            </w:r>
            <w:r w:rsidRPr="005500F7">
              <w:rPr>
                <w:rFonts w:ascii="Aptos" w:hAnsi="Aptos"/>
                <w:sz w:val="20"/>
                <w:szCs w:val="20"/>
              </w:rPr>
              <w:instrText xml:space="preserve"> ADDIN ZOTERO_ITEM CSL_CITATION {"citationID":"JbdDvh45","properties":{"formattedCitation":"\\super 20\\uc0\\u8211{}25,27,29\\uc0\\u8211{}31\\nosupersub{}","plainCitation":"20–25,27,29–31","noteIndex":0},"citationItems":[{"id":389,"uris":["http://zotero.org/users/local/qbj29eOf/items/9WPQN6NU"],"itemData":{"id":389,"type":"article-journal","container-title":"The American Journal of Human Genetics","DOI":"10.1016/j.ajhg.2016.10.010","ISSN":"00029297","issue":"6","journalAbbreviation":"The American Journal of Human Genetics","language":"en","page":"1377-1387","source":"DOI.org (Crossref)","title":"Haploinsufficiency of KMT2B, Encoding the Lysine-Specific Histone Methyltransferase 2B, Results in Early-Onset Generalized Dystonia","volume":"99","author":[{"family":"Zech","given":"Michael"},{"family":"Boesch","given":"Sylvia"},{"family":"Maier","given":"Esther M."},{"family":"Borggraefe","given":"Ingo"},{"family":"Vill","given":"Katharina"},{"family":"Laccone","given":"Franco"},{"family":"Pilshofer","given":"Veronika"},{"family":"Ceballos-Baumann","given":"Andres"},{"family":"Alhaddad","given":"Bader"},{"family":"Berutti","given":"Riccardo"},{"family":"Poewe","given":"Werner"},{"family":"Haack","given":"Tobias B."},{"family":"Haslinger","given":"Bernhard"},{"family":"Strom","given":"Tim M."},{"family":"Winkelmann","given":"Juliane"}],"issued":{"date-parts":[["2016",12]]}},"label":"page"},{"id":391,"uris":["http://zotero.org/users/local/qbj29eOf/items/FAENM4YC"],"itemData":{"id":391,"type":"article-journal","container-title":"Nature Genetics","DOI":"10.1038/ng.3740","ISSN":"1061-4036, 1546-1718","issue":"2","journalAbbreviation":"Nat Genet","language":"en","page":"223-237","source":"DOI.org (Crossref)","title":"Mutations in the histone methyltransferase gene KMT2B cause complex early-onset dystonia","volume":"49","author":[{"literal":"UK10K Consortium"},{"literal":"Deciphering Developmental Disorders Study"},{"literal":"NIHR BioResource Rare Diseases Consortium"},{"family":"Meyer","given":"Esther"},{"family":"Carss","given":"Keren J"},{"family":"Rankin","given":"Julia"},{"family":"Nichols","given":"John M E"},{"family":"Grozeva","given":"Detelina"},{"family":"Joseph","given":"Agnel P"},{"family":"Mencacci","given":"Niccolo E"},{"family":"Papandreou","given":"Apostolos"},{"family":"Ng","given":"Joanne"},{"family":"Barral","given":"Serena"},{"family":"Ngoh","given":"Adeline"},{"family":"Ben-Pazi","given":"Hilla"},{"family":"Willemsen","given":"Michel A"},{"family":"Arkadir","given":"David"},{"family":"Barnicoat","given":"Angela"},{"family":"Bergman","given":"Hagai"},{"family":"Bhate","given":"Sanjay"},{"family":"Boys","given":"Amber"},{"family":"Darin","given":"Niklas"},{"family":"Foulds","given":"Nicola"},{"family":"Gutowski","given":"Nicholas"},{"family":"Hills","given":"Alison"},{"family":"Houlden","given":"Henry"},{"family":"Hurst","given":"Jane A"},{"family":"Israel","given":"Zvi"},{"family":"Kaminska","given":"Margaret"},{"family":"Limousin","given":"Patricia"},{"family":"Lumsden","given":"Daniel"},{"family":"McKee","given":"Shane"},{"family":"Misra","given":"Shibalik"},{"family":"Mohammed","given":"Shekeeb S"},{"family":"Nakou","given":"Vasiliki"},{"family":"Nicolai","given":"Joost"},{"family":"Nilsson","given":"Magnus"},{"family":"Pall","given":"Hardev"},{"family":"Peall","given":"Kathryn J"},{"family":"Peters","given":"Gregory B"},{"family":"Prabhakar","given":"Prab"},{"family":"Reuter","given":"Miriam S"},{"family":"Rump","given":"Patrick"},{"family":"Segel","given":"Reeval"},{"family":"Sinnema","given":"Margje"},{"family":"Smith","given":"Martin"},{"family":"Turnpenny","given":"Peter"},{"family":"White","given":"Susan M"},{"family":"Wieczorek","given":"Dagmar"},{"family":"Wiethoff","given":"Sarah"},{"family":"Wilson","given":"Brian T"},{"family":"Winter","given":"Gidon"},{"family":"Wragg","given":"Christopher"},{"family":"Pope","given":"Simon"},{"family":"Heales","given":"Simon J H"},{"family":"Morrogh","given":"Deborah"},{"family":"Pittman","given":"Alan"},{"family":"Carr","given":"Lucinda J"},{"family":"Perez-Dueñas","given":"Belen"},{"family":"Lin","given":"Jean-Pierre"},{"family":"Reis","given":"Andre"},{"family":"Gahl","given":"William A"},{"family":"Toro","given":"Camilo"},{"family":"Bhatia","given":"Kailash P"},{"family":"Wood","given":"Nicholas W"},{"family":"Kamsteeg","given":"Erik-Jan"},{"family":"Chong","given":"Wui K"},{"family":"Gissen","given":"Paul"},{"family":"Topf","given":"Maya"},{"family":"Dale","given":"Russell C"},{"family":"Chubb","given":"Jonathan R"},{"family":"Raymond","given":"F Lucy"},{"family":"Kurian","given":"Manju A"}],"issued":{"date-parts":[["2017",2]]}},"label":"page"},{"id":397,"uris":["http://zotero.org/users/local/qbj29eOf/items/KEIV3K8G"],"itemData":{"id":397,"type":"article-journal","container-title":"Movement Disorders","DOI":"10.1002/mds.27771","ISSN":"0885-3185, 1531-8257","issue":"10","journalAbbreviation":"Mov Disord","language":"en","page":"1516-1527","source":"DOI.org (Crossref)","title":"Frequency and phenotypic spectrum of &lt;i&gt;KMT2B&lt;/i&gt; dystonia in childhood: A single</w:instrText>
            </w:r>
            <w:r w:rsidRPr="005500F7">
              <w:rPr>
                <w:rFonts w:ascii="Cambria Math" w:hAnsi="Cambria Math" w:cs="Cambria Math"/>
                <w:sz w:val="20"/>
                <w:szCs w:val="20"/>
              </w:rPr>
              <w:instrText>‐</w:instrText>
            </w:r>
            <w:r w:rsidRPr="005500F7">
              <w:rPr>
                <w:rFonts w:ascii="Aptos" w:hAnsi="Aptos"/>
                <w:sz w:val="20"/>
                <w:szCs w:val="20"/>
              </w:rPr>
              <w:instrText>center cohort study","title-short":"Frequency and phenotypic spectrum of &lt;i&gt;KMT2B&lt;/i&gt; dystonia in childhood","volume":"34","author":[{"family":"Carecchio","given":"Miryam"},{"family":"Invernizzi","given":"Federica"},{"family":"Gonzàlez</w:instrText>
            </w:r>
            <w:r w:rsidRPr="005500F7">
              <w:rPr>
                <w:rFonts w:ascii="Cambria Math" w:hAnsi="Cambria Math" w:cs="Cambria Math"/>
                <w:sz w:val="20"/>
                <w:szCs w:val="20"/>
              </w:rPr>
              <w:instrText>‐</w:instrText>
            </w:r>
            <w:r w:rsidRPr="005500F7">
              <w:rPr>
                <w:rFonts w:ascii="Aptos" w:hAnsi="Aptos"/>
                <w:sz w:val="20"/>
                <w:szCs w:val="20"/>
              </w:rPr>
              <w:instrText xml:space="preserve">Latapi","given":"Paulina"},{"family":"Panteghini","given":"Celeste"},{"family":"Zorzi","given":"Giovanna"},{"family":"Romito","given":"Luigi"},{"family":"Leuzzi","given":"Vincenzo"},{"family":"Galosi","given":"Serena"},{"family":"Reale","given":"Chiara"},{"family":"Zibordi","given":"Federica"},{"family":"Joseph","given":"Agnel P."},{"family":"Topf","given":"Maya"},{"family":"Piano","given":"Carla"},{"family":"Bentivoglio","given":"Anna Rita"},{"family":"Girotti","given":"Floriano"},{"family":"Morana","given":"Paolo"},{"family":"Morana","given":"Benedetto"},{"family":"Kurian","given":"Manju A."},{"family":"Garavaglia","given":"Barbara"},{"family":"Mencacci","given":"Niccolò E."},{"family":"Lubbe","given":"Steven J."},{"family":"Nardocci","given":"Nardo"}],"issued":{"date-parts":[["2019",10]]}},"label":"page"},{"id":405,"uris":["http://zotero.org/users/local/qbj29eOf/items/WZCTUAS3"],"itemData":{"id":405,"type":"article-journal","container-title":"Parkinsonism &amp; Related Disorders","DOI":"10.1016/j.parkreldis.2020.06.002","ISSN":"13538020","journalAbbreviation":"Parkinsonism &amp; Related Disorders","language":"en","page":"76-82","source":"DOI.org (Crossref)","title":"Clinical phenotypes, genotypes and treatment in Chinese dystonia patients with KMT2B variants","volume":"77","author":[{"family":"Li","given":"Xin-yao"},{"family":"Dai","given":"Li-fang"},{"family":"Wan","given":"Xin-hua"},{"family":"Guo","given":"Yi"},{"family":"Dai","given":"Yi"},{"family":"Li","given":"Shang-lin"},{"family":"Fang","given":"Fang"},{"family":"Wang","given":"Xiao-hui"},{"family":"Zhang","given":"Wei-hua"},{"family":"Liu","given":"Ting-hong"},{"family":"Xie","given":"Zi-hang"},{"family":"Fang","given":"Tie"},{"family":"Wang","given":"Lin"},{"family":"Ding","given":"Chang-hong"}],"issued":{"date-parts":[["2020",8]]}},"label":"page"},{"id":403,"uris":["http://zotero.org/users/local/qbj29eOf/items/9T7PU6HU"],"itemData":{"id":403,"type":"article-journal","abstract":"Abstract\n            Heterozygous mutations in KMT2B are associated with an early-onset, progressive and often complex dystonia (DYT28). Key characteristics of typical disease include focal motor features at disease presentation, evolving through a caudocranial pattern into generalized dystonia, with prominent oromandibular, laryngeal and cervical involvement. Although KMT2B-related disease is emerging as one of the most common causes of early-onset genetic dystonia, much remains to be understood about the full spectrum of the disease. We describe a cohort of 53 patients with KMT2B mutations, with detailed delineation of their clinical phenotype and molecular genetic features. We report new disease presentations, including atypical patterns of dystonia evolution and a subgroup of patients with a non-dystonic neurodevelopmental phenotype. In addition to the previously reported systemic features, our study has identified co-morbidities, including the risk of status dystonicus, intrauterine growth retardation, and endocrinopathies. Analysis of this study cohort (n = 53) in tandem with published cases (n = 80) revealed that patients with chromosomal deletions and protein truncating variants had a significantly higher burden of systemic disease (with earlier onset of dystonia) than those with missense variants. Eighteen individuals had detailed longitudinal data available after insertion of deep brain stimulation for medically refractory dystonia. Median age at deep brain stimulation was 11.5 years (range: 4.5–37.0 years). Follow-up after deep brain stimulation ranged from 0.25 to 22 years. Significant improvement of motor function and disability (as assessed by the Burke Fahn Marsden’s Dystonia Rating Scales, BFMDRS-M and BFMDRS-D) was evident at 6 months, 1 year and last follow-up (motor, P = 0.001, P = 0.004, and P = 0.012; disability, P = 0.009, P = 0.002 and P = 0.012). At 1 year post-deep brain stimulation, &amp;gt;50% of subjects showed BFMDRS-M and BFMDRS-D improvements of &amp;gt;30%. In the long-term deep brain stimulation cohort (deep brain stimulation inserted for &amp;gt;5 years, n = 8), improvement of &amp;gt;30% was maintained in 5/8 and 3/8 subjects for the BFMDRS-M and BFMDRS-D, respectively. The greatest BFMDRS-M improvements were observed for trunk (53.2%) and cervical (50.5%) dystonia, with less clinical impact on laryngeal dystonia. Improvements in gait dystonia decreased from 20.9% at 1 year to 16.2% at last assessment; no patient maintained a fully independent gait. Reduction of BFMDRS-D was maintained for swallowing (52.9%). Five patients developed mild parkinsonism following deep brain stimulation. KMT2B-related disease comprises an expanding continuum from infancy to adulthood, with early evidence of genotype-phenotype correlations. Except for laryngeal dysphonia, deep brain stimulation provides a significant improvement in quality of life and function with sustained clinical benefit depending on symptoms distribution.","container-title":"Brain","DOI":"10.1093/brain/awaa304","ISSN":"0006-8950, 1460-2156","issue":"11","language":"en","page":"3242-3261","source":"DOI.org (Crossref)","title":"&lt;i&gt;KMT2B&lt;/i&gt; -related disorders: expansion of the phenotypic spectrum and long-term efficacy of deep brain stimulation","title-short":"&lt;i&gt;KMT2B&lt;/i&gt; -related disorders","volume":"143","author":[{"family":"Cif","given":"Laura"},{"family":"Demailly","given":"Diane"},{"family":"Lin","given":"Jean-Pierre"},{"family":"Barwick","given":"Katy E"},{"family":"Sa","given":"Mario"},{"family":"Abela","given":"Lucia"},{"family":"Malhotra","given":"Sony"},{"family":"Chong","given":"Wui K"},{"family":"Steel","given":"Dora"},{"family":"Sanchis-Juan","given":"Alba"},{"family":"Ngoh","given":"Adeline"},{"family":"Trump","given":"Natalie"},{"family":"Meyer","given":"Esther"},{"family":"Vasques","given":"Xavier"},{"family":"Rankin","given":"Julia"},{"family":"Allain","given":"Meredith W"},{"family":"Applegate","given":"Carolyn D"},{"family":"Attaripour Isfahani","given":"Sanaz"},{"family":"Baleine","given":"Julien"},{"family":"Balint","given":"Bettina"},{"family":"Bassetti","given":"Jennifer A"},{"family":"Baple","given":"Emma L"},{"family":"Bhatia","given":"Kailash P"},{"family":"Blanchet","given":"Catherine"},{"family":"Burglen","given":"Lydie"},{"family":"Cambonie","given":"Gilles"},{"family":"Seng","given":"Emilie Chan"},{"family":"Bastaraud","given":"Sandra Chantot"},{"family":"Cyprien","given":"Fabienne"},{"family":"Coubes","given":"Christine"},{"family":"Hardemare","given":"Vincent","non-dropping-particle":"d’"},{"literal":"Deciphering Developmental Disorders Study"},{"family":"Doja","given":"Asif"},{"family":"Dorison","given":"Nathalie"},{"family":"Doummar","given":"Diane"},{"family":"Dy-Hollins","given":"Marisela E"},{"family":"Farrelly","given":"Ellyn"},{"family":"Fitzpatrick","given":"David R"},{"family":"Fearon","given":"Conor"},{"family":"Fieg","given":"Elizabeth L"},{"family":"Fogel","given":"Brent L"},{"family":"Forman","given":"Eva B"},{"family":"Fox","given":"Rachel G"},{"literal":"Genomics England Research Consortium"},{"family":"Gahl","given":"William A"},{"family":"Galosi","given":"Serena"},{"family":"Gonzalez","given":"Victoria"},{"family":"Graves","given":"Tracey D"},{"family":"Gregory","given":"Allison"},{"family":"Hallett","given":"Mark"},{"family":"Hasegawa","given":"Harutomo"},{"family":"Hayflick","given":"Susan J"},{"family":"Hamosh","given":"Ada"},{"family":"Hully","given":"Marie"},{"family":"Jansen","given":"Sandra"},{"family":"Jeong","given":"Suh Young"},{"family":"Krier","given":"Joel B"},{"family":"Krystal","given":"Sidney"},{"family":"Kumar","given":"Kishore R"},{"family":"Laurencin","given":"Chloé"},{"family":"Lee","given":"Hane"},{"family":"Lesca","given":"Gaetan"},{"family":"François","given":"Laurence Lion"},{"family":"Lynch","given":"Timothy"},{"family":"Mahant","given":"Neil"},{"family":"Martinez-Agosto","given":"Julian A"},{"family":"Milesi","given":"Christophe"},{"family":"Mills","given":"Kelly A"},{"family":"Mondain","given":"Michel"},{"family":"Morales-Briceno","given":"Hugo"},{"literal":"NIHR BioResource"},{"family":"Ostergaard","given":"John R"},{"family":"Pal","given":"Swasti"},{"family":"Pallais","given":"Juan C"},{"family":"Pavillard","given":"Frédérique"},{"family":"Perrigault","given":"Pierre-Francois"},{"family":"Petersen","given":"Andrea K"},{"family":"Polo","given":"Gustavo"},{"family":"Poulen","given":"Gaetan"},{"family":"Rinne","given":"Tuula"},{"family":"Roujeau","given":"Thomas"},{"family":"Rogers","given":"Caleb"},{"family":"Roubertie","given":"Agathe"},{"family":"Sahagian","given":"Michelle"},{"family":"Schaefer","given":"Elise"},{"family":"Selim","given":"Laila"},{"family":"Selway","given":"Richard"},{"family":"Sharma","given":"Nutan"},{"family":"Signer","given":"Rebecca"},{"family":"Soldatos","given":"Ariane G"},{"family":"Stevenson","given":"David A"},{"family":"Stewart","given":"Fiona"},{"family":"Tchan","given":"Michel"},{"literal":"Undiagnosed Diseases Network"},{"family":"Verma","given":"Ishwar C"},{"family":"De Vries","given":"Bert B A"},{"family":"Wilson","given":"Jenny L"},{"family":"Wong","given":"Derek A"},{"family":"Zaitoun","given":"Raghda"},{"family":"Zhen","given":"Dolly"},{"family":"Znaczko","given":"Anna"},{"family":"Dale","given":"Russell C"},{"family":"De Gusmão","given":"Claudio M"},{"family":"Friedman","given":"Jennifer"},{"family":"Fung","given":"Victor S C"},{"family":"King","given":"Mary D"},{"family":"Mohammad","given":"Shekeeb S"},{"family":"Rohena","given":"Luis"},{"family":"Waugh","given":"Jeff L"},{"family":"Toro","given":"Camilo"},{"family":"Raymond","given":"F Lucy"},{"family":"Topf","given":"Maya"},{"family":"Coubes","given":"Philippe"},{"family":"Gorman","given":"Kathleen M"},{"family":"Kurian","given":"Manju A"}],"issued":{"date-parts":[["2020",11,1]]}},"label":"page"},{"id":402,"uris":["http://zotero.org/users/local/qbj29eOf/items/Z76MEW4D"],"itemData":{"id":402,"type":"article-journal","container-title":"Current Neurology and Neuroscience Reports","DOI":"10.1007/s11910-019-1007-y","ISSN":"1528-4042, 1534-6293","issue":"11","journalAbbreviation":"Curr Neurol Neurosci Rep","language":"en","page":"92","source":"DOI.org (Crossref)","title":"Update on KMT2B-Related Dystonia","volume":"19","author":[{"family":"Zech","given":"Michael"},{"family":"Lam","given":"Daniel D."},{"family":"Winkelmann","given":"Juliane"}],"issued":{"date-parts":[["2019",11]]}},"label":"page"},{"id":399,"uris":["http://zotero.org/users/local/qbj29eOf/items/5NZ9C78R"],"itemData":{"id":399,"type":"article-journal","container-title":"Journal of Human Genetics","DOI":"10.1038/s10038-019-0625-1","ISSN":"1434-5161, 1435-232X","issue":"8","journalAbbreviation":"J Hum Genet","language":"en","page":"803-813","source":"DOI.org (Crossref)","title":"Novel mutations in KMT2B offer pathophysiological insights into childhood-onset progressive dystonia","volume":"64","author":[{"family":"Dafsari","given":"Hormos Salimi"},{"family":"Sprute","given":"Rosanne"},{"family":"Wunderlich","given":"Gilbert"},{"family":"Daimagüler","given":"Hülya-Sevcan"},{"family":"Karaca","given":"Ezgi"},{"family":"Contreras","given":"Adriana"},{"family":"Becker","given":"Kerstin"},{"family":"Schulze-Rhonhof","given":"Mira"},{"family":"Kiening","given":"Karl"},{"family":"Karakulak","given":"Tülay"},{"family":"Kloss","given":"Manja"},{"family":"Horn","given":"Annette"},{"family":"Pauls","given":"Amande"},{"family":"Nürnberg","given":"Peter"},{"family":"Altmüller","given":"Janine"},{"family":"Thiele","given":"Holger"},{"family":"Assmann","given":"Birgit"},{"family":"Koy","given":"Anne"},{"family":"Cirak","given":"Sebahattin"}],"issued":{"date-parts":[["2019",8]]}},"label":"page"},{"id":400,"uris":["http://zotero.org/users/local/qbj29eOf/items/GWLY5TM5"],"itemData":{"id":400,"type":"article-journal","container-title":"Parkinsonism &amp; Related Disorders","DOI":"10.1016/j.parkreldis.2019.11.004","ISSN":"13538020","journalAbbreviation":"Parkinsonism &amp; Related Disorders","language":"en","page":"111-118","source":"DOI.org (Crossref)","title":"Whole genome sequencing for the genetic diagnosis of heterogenous dystonia phenotypes","volume":"69","author":[{"family":"Kumar","given":"Kishore R."},{"family":"Davis","given":"Ryan L."},{"family":"Tchan","given":"Michel C."},{"family":"Wali","given":"G.M."},{"family":"Mahant","given":"Neil"},{"family":"Ng","given":"Karl"},{"family":"Kotschet","given":"Katya"},{"family":"Siow","given":"Sue-Faye"},{"family":"Gu","given":"Jason"},{"family":"Walls","given":"Zachary"},{"family":"Kang","given":"Ce"},{"family":"Wali","given":"Gautam"},{"family":"Levy","given":"Stan"},{"family":"Phua","given":"Chung Sen"},{"family":"Yiannikas","given":"Con"},{"family":"Darveniza","given":"Paul"},{"family":"Chang","given":"Florence C.F."},{"family":"Morales-Briceño","given":"Hugo"},{"family":"Rowe","given":"Dominic B."},{"family":"Drew","given":"Alex"},{"family":"Gayevskiy","given":"Velimir"},{"family":"Cowley","given":"Mark J."},{"family":"Minoche","given":"Andre E."},{"family":"Tisch","given":"Stephen"},{"family":"Hayes","given":"Michael"},{"family":"Kummerfeld","given":"Sarah"},{"family":"Fung","given":"Victor S.C."},{"family":"Sue","given":"Carolyn M."}],"issued":{"date-parts":[["2019",12]]}},"label":"page"},{"id":395,"uris":["http://zotero.org/users/local/qbj29eOf/items/GYQ33TK2"],"itemData":{"id":395,"type":"article-journal","container-title":"Movement Disorders Clinical Practice","DOI":"10.1002/mdc3.12862","ISSN":"2330-1619, 2330-1619","issue":"1","journalAbbreviation":"Mov Disord Clin Pract","language":"en","page":"97-99","source":"DOI.org (Crossref)","title":"DYT28 Responsive to Pallidal Deep Brain Stimulation","volume":"7","author":[{"family":"Cao","given":"Ziqiang"},{"family":"Yao","given":"Hongxin"},{"family":"Bao","given":"Xinhua"},{"family":"Wen","given":"Yongxin"},{"family":"Liu","given":"Baofu"},{"family":"Wang","given":"Shulei"},{"family":"Yang","given":"Haibo"}],"issued":{"date-parts":[["2020",1]]}},"label":"page"},{"id":394,"uris":["http://zotero.org/users/local/qbj29eOf/items/A8GTJR9V"],"itemData":{"id":394,"type":"article-journal","container-title":"Parkinsonism &amp; Related Disorders","DOI":"10.1016/j.parkreldis.2018.03.022","ISSN":"13538020","journalAbbreviation":"Parkinsonism &amp; Related Disorders","language":"en","page":"55-61","source":"DOI.org (Crossref)","title":"Phenotype variability and allelic heterogeneity in KMT2B-Associated disease","volume":"52","author":[{"family":"Kawarai","given":"Toshitaka"},{"family":"Miyamoto","given":"Ryosuke"},{"family":"Nakagawa","given":"Eiji"},{"family":"Koichihara","given":"Reiko"},{"family":"Sakamoto","given":"Takashi"},{"family":"Mure","given":"Hideo"},{"family":"Morigaki","given":"Ryoma"},{"family":"Koizumi","given":"Hidetaka"},{"family":"Oki","given":"Ryosuke"},{"family":"Montecchiani","given":"Celeste"},{"family":"Caltagirone","given":"Carlo"},{"family":"Orlacchio","given":"Antonio"},{"family":"Hattori","given":"Ayako"},{"family":"Mashimo","given":"Hideaki"},{"family":"Izumi","given":"Yuishin"},{"family":"Mezaki","given":"Takahiro"},{"family":"Kumada","given":"Satoko"},{"family":"Taniguchi","given":"Makoto"},{"family":"Yokochi","given":"Fusako"},{"family":"Saitoh","given":"Shinji"},{"family":"Goto","given":"Satoshi"},{"family":"Kaji","given":"Ryuji"}],"issued":{"date-parts":[["2018",7]]}},"label":"page"}],"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20–25,27,29–31</w:t>
            </w:r>
            <w:r w:rsidRPr="005500F7">
              <w:rPr>
                <w:rFonts w:ascii="Aptos" w:hAnsi="Aptos"/>
                <w:sz w:val="20"/>
                <w:szCs w:val="20"/>
              </w:rPr>
              <w:fldChar w:fldCharType="end"/>
            </w:r>
            <w:r w:rsidRPr="005500F7">
              <w:rPr>
                <w:rFonts w:ascii="Aptos" w:hAnsi="Aptos"/>
                <w:sz w:val="20"/>
                <w:szCs w:val="20"/>
              </w:rPr>
              <w:t xml:space="preserve"> Patients can experience mild to moderate cognitive impairment (~51%), and varying degrees of facial dysmorphia or short stature (~60%).</w:t>
            </w:r>
            <w:r w:rsidRPr="005500F7">
              <w:rPr>
                <w:rFonts w:ascii="Aptos" w:hAnsi="Aptos"/>
                <w:sz w:val="20"/>
                <w:szCs w:val="20"/>
              </w:rPr>
              <w:fldChar w:fldCharType="begin"/>
            </w:r>
            <w:r w:rsidRPr="005500F7">
              <w:rPr>
                <w:rFonts w:ascii="Aptos" w:hAnsi="Aptos"/>
                <w:sz w:val="20"/>
                <w:szCs w:val="20"/>
              </w:rPr>
              <w:instrText xml:space="preserve"> ADDIN ZOTERO_ITEM CSL_CITATION {"citationID":"zZuKlx5w","properties":{"formattedCitation":"\\super 23\\uc0\\u8211{}25\\nosupersub{}","plainCitation":"23–25","noteIndex":0},"citationItems":[{"id":402,"uris":["http://zotero.org/users/local/qbj29eOf/items/Z76MEW4D"],"itemData":{"id":402,"type":"article-journal","container-title":"Current Neurology and Neuroscience Reports","DOI":"10.1007/s11910-019-1007-y","ISSN":"1528-4042, 1534-6293","issue":"11","journalAbbreviation":"Curr Neurol Neurosci Rep","language":"en","page":"92","source":"DOI.org (Crossref)","title":"Update on KMT2B-Related Dystonia","volume":"19","author":[{"family":"Zech","given":"Michael"},{"family":"Lam","given":"Daniel D."},{"family":"Winkelmann","given":"Juliane"}],"issued":{"date-parts":[["2019",11]]}},"label":"page"},{"id":403,"uris":["http://zotero.org/users/local/qbj29eOf/items/9T7PU6HU"],"itemData":{"id":403,"type":"article-journal","abstract":"Abstract\n            Heterozygous mutations in KMT2B are associated with an early-onset, progressive and often complex dystonia (DYT28). Key characteristics of typical disease include focal motor features at disease presentation, evolving through a caudocranial pattern into generalized dystonia, with prominent oromandibular, laryngeal and cervical involvement. Although KMT2B-related disease is emerging as one of the most common causes of early-onset genetic dystonia, much remains to be understood about the full spectrum of the disease. We describe a cohort of 53 patients with KMT2B mutations, with detailed delineation of their clinical phenotype and molecular genetic features. We report new disease presentations, including atypical patterns of dystonia evolution and a subgroup of patients with a non-dystonic neurodevelopmental phenotype. In addition to the previously reported systemic features, our study has identified co-morbidities, including the risk of status dystonicus, intrauterine growth retardation, and endocrinopathies. Analysis of this study cohort (n = 53) in tandem with published cases (n = 80) revealed that patients with chromosomal deletions and protein truncating variants had a significantly higher burden of systemic disease (with earlier onset of dystonia) than those with missense variants. Eighteen individuals had detailed longitudinal data available after insertion of deep brain stimulation for medically refractory dystonia. Median age at deep brain stimulation was 11.5 years (range: 4.5–37.0 years). Follow-up after deep brain stimulation ranged from 0.25 to 22 years. Significant improvement of motor function and disability (as assessed by the Burke Fahn Marsden’s Dystonia Rating Scales, BFMDRS-M and BFMDRS-D) was evident at 6 months, 1 year and last follow-up (motor, P = 0.001, P = 0.004, and P = 0.012; disability, P = 0.009, P = 0.002 and P = 0.012). At 1 year post-deep brain stimulation, &amp;gt;50% of subjects showed BFMDRS-M and BFMDRS-D improvements of &amp;gt;30%. In the long-term deep brain stimulation cohort (deep brain stimulation inserted for &amp;gt;5 years, n = 8), improvement of &amp;gt;30% was maintained in 5/8 and 3/8 subjects for the BFMDRS-M and BFMDRS-D, respectively. The greatest BFMDRS-M improvements were observed for trunk (53.2%) and cervical (50.5%) dystonia, with less clinical impact on laryngeal dystonia. Improvements in gait dystonia decreased from 20.9% at 1 year to 16.2% at last assessment; no patient maintained a fully independent gait. Reduction of BFMDRS-D was maintained for swallowing (52.9%). Five patients developed mild parkinsonism following deep brain stimulation. KMT2B-related disease comprises an expanding continuum from infancy to adulthood, with early evidence of genotype-phenotype correlations. Except for laryngeal dysphonia, deep brain stimulation provides a significant improvement in quality of life and function with sustained clinical benefit depending on symptoms distribution.","container-title":"Brain","DOI":"10.1093/brain/awaa304","ISSN":"0006-8950, 1460-2156","issue":"11","language":"en","page":"3242-3261","source":"DOI.org (Crossref)","title":"&lt;i&gt;KMT2B&lt;/i&gt; -related disorders: expansion of the phenotypic spectrum and long-term efficacy of deep brain stimulation","title-short":"&lt;i&gt;KMT2B&lt;/i&gt; -related disorders","volume":"143","author":[{"family":"Cif","given":"Laura"},{"family":"Demailly","given":"Diane"},{"family":"Lin","given":"Jean-Pierre"},{"family":"Barwick","given":"Katy E"},{"family":"Sa","given":"Mario"},{"family":"Abela","given":"Lucia"},{"family":"Malhotra","given":"Sony"},{"family":"Chong","given":"Wui K"},{"family":"Steel","given":"Dora"},{"family":"Sanchis-Juan","given":"Alba"},{"family":"Ngoh","given":"Adeline"},{"family":"Trump","given":"Natalie"},{"family":"Meyer","given":"Esther"},{"family":"Vasques","given":"Xavier"},{"family":"Rankin","given":"Julia"},{"family":"Allain","given":"Meredith W"},{"family":"Applegate","given":"Carolyn D"},{"family":"Attaripour Isfahani","given":"Sanaz"},{"family":"Baleine","given":"Julien"},{"family":"Balint","given":"Bettina"},{"family":"Bassetti","given":"Jennifer A"},{"family":"Baple","given":"Emma L"},{"family":"Bhatia","given":"Kailash P"},{"family":"Blanchet","given":"Catherine"},{"family":"Burglen","given":"Lydie"},{"family":"Cambonie","given":"Gilles"},{"family":"Seng","given":"Emilie Chan"},{"family":"Bastaraud","given":"Sandra Chantot"},{"family":"Cyprien","given":"Fabienne"},{"family":"Coubes","given":"Christine"},{"family":"Hardemare","given":"Vincent","non-dropping-particle":"d’"},{"literal":"Deciphering Developmental Disorders Study"},{"family":"Doja","given":"Asif"},{"family":"Dorison","given":"Nathalie"},{"family":"Doummar","given":"Diane"},{"family":"Dy-Hollins","given":"Marisela E"},{"family":"Farrelly","given":"Ellyn"},{"family":"Fitzpatrick","given":"David R"},{"family":"Fearon","given":"Conor"},{"family":"Fieg","given":"Elizabeth L"},{"family":"Fogel","given":"Brent L"},{"family":"Forman","given":"Eva B"},{"family":"Fox","given":"Rachel G"},{"literal":"Genomics England Research Consortium"},{"family":"Gahl","given":"William A"},{"family":"Galosi","given":"Serena"},{"family":"Gonzalez","given":"Victoria"},{"family":"Graves","given":"Tracey D"},{"family":"Gregory","given":"Allison"},{"family":"Hallett","given":"Mark"},{"family":"Hasegawa","given":"Harutomo"},{"family":"Hayflick","given":"Susan J"},{"family":"Hamosh","given":"Ada"},{"family":"Hully","given":"Marie"},{"family":"Jansen","given":"Sandra"},{"family":"Jeong","given":"Suh Young"},{"family":"Krier","given":"Joel B"},{"family":"Krystal","given":"Sidney"},{"family":"Kumar","given":"Kishore R"},{"family":"Laurencin","given":"Chloé"},{"family":"Lee","given":"Hane"},{"family":"Lesca","given":"Gaetan"},{"family":"François","given":"Laurence Lion"},{"family":"Lynch","given":"Timothy"},{"family":"Mahant","given":"Neil"},{"family":"Martinez-Agosto","given":"Julian A"},{"family":"Milesi","given":"Christophe"},{"family":"Mills","given":"Kelly A"},{"family":"Mondain","given":"Michel"},{"family":"Morales-Briceno","given":"Hugo"},{"literal":"NIHR BioResource"},{"family":"Ostergaard","given":"John R"},{"family":"Pal","given":"Swasti"},{"family":"Pallais","given":"Juan C"},{"family":"Pavillard","given":"Frédérique"},{"family":"Perrigault","given":"Pierre-Francois"},{"family":"Petersen","given":"Andrea K"},{"family":"Polo","given":"Gustavo"},{"family":"Poulen","given":"Gaetan"},{"family":"Rinne","given":"Tuula"},{"family":"Roujeau","given":"Thomas"},{"family":"Rogers","given":"Caleb"},{"family":"Roubertie","given":"Agathe"},{"family":"Sahagian","given":"Michelle"},{"family":"Schaefer","given":"Elise"},{"family":"Selim","given":"Laila"},{"family":"Selway","given":"Richard"},{"family":"Sharma","given":"Nutan"},{"family":"Signer","given":"Rebecca"},{"family":"Soldatos","given":"Ariane G"},{"family":"Stevenson","given":"David A"},{"family":"Stewart","given":"Fiona"},{"family":"Tchan","given":"Michel"},{"literal":"Undiagnosed Diseases Network"},{"family":"Verma","given":"Ishwar C"},{"family":"De Vries","given":"Bert B A"},{"family":"Wilson","given":"Jenny L"},{"family":"Wong","given":"Derek A"},{"family":"Zaitoun","given":"Raghda"},{"family":"Zhen","given":"Dolly"},{"family":"Znaczko","given":"Anna"},{"family":"Dale","given":"Russell C"},{"family":"De Gusmão","given":"Claudio M"},{"family":"Friedman","given":"Jennifer"},{"family":"Fung","given":"Victor S C"},{"family":"King","given":"Mary D"},{"family":"Mohammad","given":"Shekeeb S"},{"family":"Rohena","given":"Luis"},{"family":"Waugh","given":"Jeff L"},{"family":"Toro","given":"Camilo"},{"family":"Raymond","given":"F Lucy"},{"family":"Topf","given":"Maya"},{"family":"Coubes","given":"Philippe"},{"family":"Gorman","given":"Kathleen M"},{"family":"Kurian","given":"Manju A"}],"issued":{"date-parts":[["2020",11,1]]}},"label":"page"},{"id":405,"uris":["http://zotero.org/users/local/qbj29eOf/items/WZCTUAS3"],"itemData":{"id":405,"type":"article-journal","container-title":"Parkinsonism &amp; Related Disorders","DOI":"10.1016/j.parkreldis.2020.06.002","ISSN":"13538020","journalAbbreviation":"Parkinsonism &amp; Related Disorders","language":"en","page":"76-82","source":"DOI.org (Crossref)","title":"Clinical phenotypes, genotypes and treatment in Chinese dystonia patients with KMT2B variants","volume":"77","author":[{"family":"Li","given":"Xin-yao"},{"family":"Dai","given":"Li-fang"},{"family":"Wan","given":"Xin-hua"},{"family":"Guo","given":"Yi"},{"family":"Dai","given":"Yi"},{"family":"Li","given":"Shang-lin"},{"family":"Fang","given":"Fang"},{"family":"Wang","given":"Xiao-hui"},{"family":"Zhang","given":"Wei-hua"},{"family":"Liu","given":"Ting-hong"},{"family":"Xie","given":"Zi-hang"},{"family":"Fang","given":"Tie"},{"family":"Wang","given":"Lin"},{"family":"Ding","given":"Chang-hong"}],"issued":{"date-parts":[["2020",8]]}},"label":"page"}],"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23–25</w:t>
            </w:r>
            <w:r w:rsidRPr="005500F7">
              <w:rPr>
                <w:rFonts w:ascii="Aptos" w:hAnsi="Aptos"/>
                <w:sz w:val="20"/>
                <w:szCs w:val="20"/>
              </w:rPr>
              <w:fldChar w:fldCharType="end"/>
            </w:r>
          </w:p>
        </w:tc>
      </w:tr>
      <w:tr w:rsidR="005500F7" w:rsidRPr="005500F7" w14:paraId="45BE52E4" w14:textId="77777777" w:rsidTr="002C08A9">
        <w:trPr>
          <w:trHeight w:val="1269"/>
        </w:trPr>
        <w:tc>
          <w:tcPr>
            <w:tcW w:w="593" w:type="pct"/>
            <w:tcBorders>
              <w:top w:val="single" w:sz="4" w:space="0" w:color="auto"/>
              <w:left w:val="nil"/>
              <w:bottom w:val="single" w:sz="4" w:space="0" w:color="auto"/>
              <w:right w:val="nil"/>
            </w:tcBorders>
            <w:shd w:val="clear" w:color="auto" w:fill="auto"/>
            <w:vAlign w:val="center"/>
          </w:tcPr>
          <w:p w14:paraId="569D34B5" w14:textId="72EA9326" w:rsidR="005500F7" w:rsidRPr="005500F7" w:rsidRDefault="005500F7" w:rsidP="00257457">
            <w:pPr>
              <w:spacing w:after="0" w:line="240" w:lineRule="auto"/>
              <w:rPr>
                <w:rFonts w:ascii="Aptos" w:hAnsi="Aptos"/>
                <w:sz w:val="20"/>
                <w:szCs w:val="20"/>
              </w:rPr>
            </w:pPr>
            <w:r w:rsidRPr="005500F7">
              <w:rPr>
                <w:rFonts w:ascii="Aptos" w:hAnsi="Aptos"/>
                <w:b/>
                <w:i/>
                <w:iCs/>
                <w:sz w:val="20"/>
                <w:szCs w:val="20"/>
              </w:rPr>
              <w:t>PANK2</w:t>
            </w:r>
          </w:p>
        </w:tc>
        <w:tc>
          <w:tcPr>
            <w:tcW w:w="4407" w:type="pct"/>
            <w:tcBorders>
              <w:top w:val="single" w:sz="4" w:space="0" w:color="auto"/>
              <w:left w:val="nil"/>
              <w:bottom w:val="single" w:sz="4" w:space="0" w:color="auto"/>
              <w:right w:val="nil"/>
            </w:tcBorders>
            <w:shd w:val="clear" w:color="auto" w:fill="auto"/>
            <w:vAlign w:val="center"/>
          </w:tcPr>
          <w:p w14:paraId="67FBE648" w14:textId="2C1C04B4" w:rsidR="005500F7" w:rsidRPr="005500F7" w:rsidRDefault="005500F7" w:rsidP="00257457">
            <w:pPr>
              <w:spacing w:after="0" w:line="240" w:lineRule="auto"/>
              <w:jc w:val="center"/>
              <w:rPr>
                <w:rFonts w:ascii="Aptos" w:hAnsi="Aptos"/>
                <w:sz w:val="20"/>
                <w:szCs w:val="20"/>
              </w:rPr>
            </w:pPr>
            <w:r w:rsidRPr="005500F7">
              <w:rPr>
                <w:rFonts w:ascii="Aptos" w:hAnsi="Aptos"/>
                <w:sz w:val="20"/>
                <w:szCs w:val="20"/>
              </w:rPr>
              <w:t xml:space="preserve">Traditional classifications of </w:t>
            </w:r>
            <w:r w:rsidRPr="005500F7">
              <w:rPr>
                <w:rFonts w:ascii="Aptos" w:hAnsi="Aptos"/>
                <w:i/>
                <w:iCs/>
                <w:sz w:val="20"/>
                <w:szCs w:val="20"/>
              </w:rPr>
              <w:t>PANK2</w:t>
            </w:r>
            <w:r w:rsidR="00264446">
              <w:rPr>
                <w:rFonts w:ascii="Aptos" w:hAnsi="Aptos"/>
                <w:i/>
                <w:iCs/>
                <w:sz w:val="20"/>
                <w:szCs w:val="20"/>
              </w:rPr>
              <w:t xml:space="preserve"> </w:t>
            </w:r>
            <w:r w:rsidR="00264446" w:rsidRPr="00264446">
              <w:rPr>
                <w:rFonts w:ascii="Aptos" w:hAnsi="Aptos"/>
                <w:sz w:val="20"/>
                <w:szCs w:val="20"/>
              </w:rPr>
              <w:t>mutations</w:t>
            </w:r>
            <w:r w:rsidRPr="005500F7">
              <w:rPr>
                <w:rFonts w:ascii="Aptos" w:hAnsi="Aptos"/>
                <w:sz w:val="20"/>
                <w:szCs w:val="20"/>
              </w:rPr>
              <w:t xml:space="preserve"> include the early-onset, quickly progressing "classic" form and the later-onset, slower-progressing "atypical" form with recessive inheritance pattern.</w:t>
            </w:r>
            <w:r w:rsidRPr="005500F7">
              <w:rPr>
                <w:rFonts w:ascii="Aptos" w:hAnsi="Aptos"/>
                <w:sz w:val="20"/>
                <w:szCs w:val="20"/>
                <w:lang w:val="en-US"/>
              </w:rPr>
              <w:fldChar w:fldCharType="begin"/>
            </w:r>
            <w:r w:rsidRPr="005500F7">
              <w:rPr>
                <w:rFonts w:ascii="Aptos" w:hAnsi="Aptos"/>
                <w:sz w:val="20"/>
                <w:szCs w:val="20"/>
              </w:rPr>
              <w:instrText xml:space="preserve"> ADDIN ZOTERO_ITEM CSL_CITATION {"citationID":"cXCvxVRt","properties":{"formattedCitation":"\\super 32\\uc0\\u8211{}37\\nosupersub{}","plainCitation":"32–37","noteIndex":0},"citationItems":[{"id":384,"uris":["http://zotero.org/users/local/qbj29eOf/items/HEYXSXUH"],"itemData":{"id":384,"type":"article-journal","container-title":"Movement Disorders","DOI":"10.1002/mds.10650","ISSN":"08853185","issue":"1","journalAbbreviation":"Mov. Disord.","language":"en","page":"36-42","source":"DOI.org (Crossref)","title":"Clinical heterogeneity of neurodegeneration with brain iron accumulation (Hallervorden-Spatz syndrome) and pantothenate kinase-associated neurodegeneration: Hallervorden-Spatz Syndrome and PKAN","title-short":"Clinical heterogeneity of neurodegeneration with brain iron accumulation (Hallervorden-Spatz syndrome) and pantothenate kinase-associated neurodegeneration","volume":"19","author":[{"family":"Thomas","given":"Madhavi"},{"family":"Hayflick","given":"Susan J."},{"family":"Jankovic","given":"Joseph"}],"issued":{"date-parts":[["2004",1]]}}},{"id":366,"uris":["http://zotero.org/users/local/qbj29eOf/items/XCCY8X8V"],"itemData":{"id":366,"type":"article-journal","abstract":"</w:instrText>
            </w:r>
            <w:r w:rsidRPr="005500F7">
              <w:rPr>
                <w:rFonts w:ascii="Aptos" w:hAnsi="Aptos" w:cs="Segoe UI Symbol"/>
                <w:sz w:val="20"/>
                <w:szCs w:val="20"/>
              </w:rPr>
              <w:instrText>✓</w:instrText>
            </w:r>
            <w:r w:rsidRPr="005500F7">
              <w:rPr>
                <w:rFonts w:ascii="Aptos" w:hAnsi="Aptos"/>
                <w:sz w:val="20"/>
                <w:szCs w:val="20"/>
              </w:rPr>
              <w:instrText xml:space="preserve"> Generalized dystonia is one of the most disabling movement disorders. Ablative stereotactic surgery such as pallidotomy has been performed for medically refractory dystonia. Recently, deep brain stimulation (DBS) has appeared as an alternative to ablative procedures. Nevertheless, there have been few published reports detailing improvement in dystonia with DBS.\n            This 36-year-old man with Hallervorden—Spatz syndrome suffered from intractable primary generalized dystonia for 28 years. He was completely dependent for activities of daily living and wheelchair bound because of continuous severe dystonic movements in the face, tongue, neck, trunk, and upper and lower extremities while at rest. The Burke-Fahn-Marsden (BFM) Dystonia Rating Scale score was 112 (maximum 120 points). Bilateral DBS of the globus pallidus internus was performed and resulted in marked improvement in motor functioning and dystonic symptoms with a significant reduction in disability. The BFM score improved to 22.5 points (80% improvement) at 3 months postsurgery and the patient's dystonia was still well suppressed 1 year after surgery.\n            Bilateral pallidal stimulation is an effective and safe treatment for intractable generalized dystonia in Hallervorden—Spatz syndrome, even if the disability is severe and longstanding.","container-title":"Journal of Neurosurgery","DOI":"10.3171/jns.2004.100.4.0706","ISSN":"0022-3085","issue":"4","page":"706-709","source":"DOI.org (Crossref)","title":"Pallidal deep brain stimulation for longstanding severe generalized dystonia in Hallervorden—Spatz syndrome: Case report","title-short":"Pallidal deep brain stimulation for longstanding severe generalized dystonia in Hallervorden—Spatz syndrome","volume":"100","author":[{"family":"Umemura","given":"Atsushi"},{"family":"Jaggi","given":"Jurg L."},{"family":"Dolinskas","given":"Carol A."},{"family":"Stern","given":"Matthew B."},{"family":"Baltuch","given":"Gordon H."}],"issued":{"date-parts":[["2004",4]]}}},{"id":375,"uris":["http://zotero.org/users/local/qbj29eOf/items/STXHMLTZ"],"itemData":{"id":375,"type":"article-journal","container-title":"Journal of Movement Disorders","DOI":"10.14802/jmd.14034","ISSN":"2005-940X, 2093-4939","issue":"1","journalAbbreviation":"JMD","language":"en","page":"1-13","source":"DOI.org (Crossref)","title":"Neurodegeneration with Brain Iron Accumulation: Diagnosis and Management","title-short":"Neurodegeneration with Brain Iron Accumulation","volume":"8","author":[{"family":"Hogarth","given":"Penelope"}],"issued":{"date-parts":[["2015",1,13]]}}},{"id":367,"uris":["http://zotero.org/users/local/qbj29eOf/items/3HGTYH2B"],"itemData":{"id":367,"type":"article-journal","abstract":"BACKGROUND: Neurodegeneration with brain iron accumulation (NBIA), formerly known as Hallervorden-Spatz syndrome, is a heterogeneous group of disorders with different treatment options.\nCASE REPORTS: In the first case, progressively generalizing dystonic symptoms appeared during childhood. A mutation in the gene encoding pantothenate kinase 2 (PANK2) was found. Brain MRI showed bilateral hypersignals within the globus pallidi on T2-weighted images. The patient was successfully treated by pallidal deep brain stimulation (DBS). In the second case an adult onset with parkinsonism was observed, for which no PANK2 mutation was found. T2-weighted brain MR images revealed multiple significant hyposignals (suggestive of iron deposits) localised in the cerebellar dentate nuclei and in the globi pallidi, the red nuclei and the substantia nigra. An antiparkinsonian treatment was proposed.\nCONCLUSION: The clinical, radiographic and genetic heterogeneity of NBIA has to be underlined.","container-title":"Acta Neurologica Belgica","ISSN":"0300-9009","issue":"1","journalAbbreviation":"Acta Neurol Belg","language":"eng","note":"PMID: 17569231","page":"26-31","source":"PubMed","title":"Neurodegeneration with brain iron accumulation: clinical, radiographic and genetic heterogeneity and corresponding therapeutic options","title-short":"Neurodegeneration with brain iron accumulation","volume":"107","author":[{"family":"Clement","given":"Frederik"},{"family":"Devos","given":"David"},{"family":"Moreau","given":"Caroline"},{"family":"Coubes","given":"Philippe"},{"family":"Destee","given":"Alain"},{"family":"Defebvre","given":"Luc"}],"issued":{"date-parts":[["2007",3]]}},"label":"page"},{"id":382,"uris":["http://zotero.org/users/local/qbj29eOf/items/GNFPTHV6"],"itemData":{"id":382,"type":"article-journal","abstract":"Pantothenate kinase-associated neurodegeneration (PKAN) is a rare genetic disorder caused by mutations in the mitochondrial pantothenate kinase 2 (\n              PANK2\n              ) gene and displays an inherited autosomal recessive pattern. In this study, we identified eight\n              PANK2\n              mutations, including three novel mutations (c.1103A &amp;gt; G/p.D368G, c.1696C &amp;gt; G/p.L566V, and c.1470delC/p.R490fs494X), in seven unrelated families with PKAN. All the patients showed an eye-of-the-tiger sign on the MRI, six of seven patients had dystonia, and two of seven patients had Parkinsonism. Biallelic mutations of\n              PANK2\n              decreased PANK2 protein expression and reduced mitochondrial membrane potential in human embryonic kidney (HEK) 293T cells. The biallelic mutations from patients with early-onset PKAN, a severity phenotype, showed decreased mitochondrial membrane potential more than that from late-onset patients. We systematically reviewed all the reported patients with PKAN with\n              PANK2\n              mutations. The results indicated that the early-onset patients carried a significantly higher frequency of biallelic loss-of-function (LoF) mutations compared to late-onset patients. In general, patients with LoF mutations showed more severe phenotypes, including earlier onset age and loss of gait. Although there was no significant difference in the frequency of biallelic missense mutations between the early-onset and late-onset patients, we found that patients with missense mutations in the mitochondrial trafficking domain (transit peptide/mitochondrial domain) of PANK2 exhibited the earliest onset age when compared to patients with mutations in the other two domains. Taken together, this study reports three novel mutations and indicates a correlation between the phenotype and mitochondrial dysfunction. This provides new insight for evaluating the clinical severity of patients based on the degree of mitochondrial dysfunction and suggests genetic counseling not just generalized identification of mutated\n              PANK2\n              in clinics.","container-title":"Frontiers in Aging Neuroscience","DOI":"10.3389/fnagi.2022.848919","ISSN":"1663-4365","journalAbbreviation":"Front. Aging Neurosci.","page":"848919","source":"DOI.org (Crossref)","title":"Novel PANK2 Mutations in Patients With Pantothenate Kinase-Associated Neurodegeneration and the Genotype–Phenotype Correlation","volume":"14","author":[{"family":"Li","given":"Wen-Bin"},{"family":"Shen","given":"Nan-Xiang"},{"family":"Zhang","given":"Chao"},{"family":"Xie","given":"Huan-Cheng"},{"family":"Li","given":"Zong-Yan"},{"family":"Cao","given":"Li"},{"family":"Chen","given":"Li-Zhi"},{"family":"Zeng","given":"Yuan-jin"},{"family":"Fan","given":"Cui-Xia"},{"family":"Chen","given":"Qian"},{"family":"Shi","given":"Yi-Wu"},{"family":"Song","given":"Xing-Wang"}],"issued":{"date-parts":[["2022",4,6]]}},"label":"page"},{"id":380,"uris":["http://zotero.org/users/local/qbj29eOf/items/YLMT56PH"],"itemData":{"id":380,"type":"article-journal","container-title":"CNS Neuroscience &amp; Therapeutics","DOI":"10.1111/cns.13294","ISSN":"1755-5930, 1755-5949","issue":"7","journalAbbreviation":"CNS Neurosci Ther","language":"en","page":"754-761","source":"DOI.org (Crossref)","title":"Natural history and genotype</w:instrText>
            </w:r>
            <w:r w:rsidRPr="005500F7">
              <w:rPr>
                <w:rFonts w:ascii="Cambria Math" w:hAnsi="Cambria Math" w:cs="Cambria Math"/>
                <w:sz w:val="20"/>
                <w:szCs w:val="20"/>
              </w:rPr>
              <w:instrText>‐</w:instrText>
            </w:r>
            <w:r w:rsidRPr="005500F7">
              <w:rPr>
                <w:rFonts w:ascii="Aptos" w:hAnsi="Aptos"/>
                <w:sz w:val="20"/>
                <w:szCs w:val="20"/>
              </w:rPr>
              <w:instrText>phenotype correlation of pantothenate kinase</w:instrText>
            </w:r>
            <w:r w:rsidRPr="005500F7">
              <w:rPr>
                <w:rFonts w:ascii="Cambria Math" w:hAnsi="Cambria Math" w:cs="Cambria Math"/>
                <w:sz w:val="20"/>
                <w:szCs w:val="20"/>
              </w:rPr>
              <w:instrText>‐</w:instrText>
            </w:r>
            <w:r w:rsidRPr="005500F7">
              <w:rPr>
                <w:rFonts w:ascii="Aptos" w:hAnsi="Aptos"/>
                <w:sz w:val="20"/>
                <w:szCs w:val="20"/>
              </w:rPr>
              <w:instrText xml:space="preserve">associated neurodegeneration","volume":"26","author":[{"family":"Chang","given":"Xuting"},{"family":"Zhang","given":"Jie"},{"family":"Jiang","given":"Yuwu"},{"family":"Wang","given":"Jingmin"},{"family":"Wu","given":"Ye"}],"issued":{"date-parts":[["2020",7]]}},"label":"page"}],"schema":"https://github.com/citation-style-language/schema/raw/master/csl-citation.json"} </w:instrText>
            </w:r>
            <w:r w:rsidRPr="005500F7">
              <w:rPr>
                <w:rFonts w:ascii="Aptos" w:hAnsi="Aptos"/>
                <w:sz w:val="20"/>
                <w:szCs w:val="20"/>
                <w:lang w:val="en-US"/>
              </w:rPr>
              <w:fldChar w:fldCharType="separate"/>
            </w:r>
            <w:r w:rsidRPr="005500F7">
              <w:rPr>
                <w:rFonts w:ascii="Aptos" w:hAnsi="Aptos"/>
                <w:sz w:val="20"/>
                <w:szCs w:val="20"/>
                <w:vertAlign w:val="superscript"/>
              </w:rPr>
              <w:t>32–37</w:t>
            </w:r>
            <w:r w:rsidRPr="005500F7">
              <w:rPr>
                <w:rFonts w:ascii="Aptos" w:hAnsi="Aptos"/>
                <w:sz w:val="20"/>
                <w:szCs w:val="20"/>
              </w:rPr>
              <w:fldChar w:fldCharType="end"/>
            </w:r>
            <w:r w:rsidRPr="005500F7">
              <w:rPr>
                <w:rFonts w:ascii="Aptos" w:hAnsi="Aptos"/>
                <w:sz w:val="20"/>
                <w:szCs w:val="20"/>
              </w:rPr>
              <w:t xml:space="preserve">  Regardless, complex dystonia is present in almost all patients (~97%), along with common symptoms like dysarthria (~83.2%), oromandibular dystonia (~80%), and gait issues (~55.1%). </w:t>
            </w:r>
            <w:r w:rsidRPr="005500F7">
              <w:rPr>
                <w:rFonts w:ascii="Aptos" w:hAnsi="Aptos"/>
                <w:sz w:val="20"/>
                <w:szCs w:val="20"/>
              </w:rPr>
              <w:fldChar w:fldCharType="begin"/>
            </w:r>
            <w:r w:rsidRPr="005500F7">
              <w:rPr>
                <w:rFonts w:ascii="Aptos" w:hAnsi="Aptos"/>
                <w:sz w:val="20"/>
                <w:szCs w:val="20"/>
              </w:rPr>
              <w:instrText xml:space="preserve"> ADDIN ZOTERO_ITEM CSL_CITATION {"citationID":"VY4XfrWb","properties":{"formattedCitation":"\\super 33,35,37\\uc0\\u8211{}45\\nosupersub{}","plainCitation":"33,35,37–45","noteIndex":0},"citationItems":[{"id":366,"uris":["http://zotero.org/users/local/qbj29eOf/items/XCCY8X8V"],"itemData":{"id":366,"type":"article-journal","abstract":"</w:instrText>
            </w:r>
            <w:r w:rsidRPr="005500F7">
              <w:rPr>
                <w:rFonts w:ascii="Aptos" w:hAnsi="Aptos" w:cs="Segoe UI Symbol"/>
                <w:sz w:val="20"/>
                <w:szCs w:val="20"/>
              </w:rPr>
              <w:instrText>✓</w:instrText>
            </w:r>
            <w:r w:rsidRPr="005500F7">
              <w:rPr>
                <w:rFonts w:ascii="Aptos" w:hAnsi="Aptos"/>
                <w:sz w:val="20"/>
                <w:szCs w:val="20"/>
              </w:rPr>
              <w:instrText xml:space="preserve"> Generalized dystonia is one of the most disabling movement disorders. Ablative stereotactic surgery such as pallidotomy has been performed for medically refractory dystonia. Recently, deep brain stimulation (DBS) has appeared as an alternative to ablative procedures. Nevertheless, there have been few published reports detailing improvement in dystonia with DBS.\n            This 36-year-old man with Hallervorden—Spatz syndrome suffered from intractable primary generalized dystonia for 28 years. He was completely dependent for activities of daily living and wheelchair bound because of continuous severe dystonic movements in the face, tongue, neck, trunk, and upper and lower extremities while at rest. The Burke-Fahn-Marsden (BFM) Dystonia Rating Scale score was 112 (maximum 120 points). Bilateral DBS of the globus pallidus internus was performed and resulted in marked improvement in motor functioning and dystonic symptoms with a significant reduction in disability. The BFM score improved to 22.5 points (80% improvement) at 3 months postsurgery and the patient's dystonia was still well suppressed 1 year after surgery.\n            Bilateral pallidal stimulation is an effective and safe treatment for intractable generalized dystonia in Hallervorden—Spatz syndrome, even if the disability is severe and longstanding.","container-title":"Journal of Neurosurgery","DOI":"10.3171/jns.2004.100.4.0706","ISSN":"0022-3085","issue":"4","page":"706-709","source":"DOI.org (Crossref)","title":"Pallidal deep brain stimulation for longstanding severe generalized dystonia in Hallervorden—Spatz syndrome: Case report","title-short":"Pallidal deep brain stimulation for longstanding severe generalized dystonia in Hallervorden—Spatz syndrome","volume":"100","author":[{"family":"Umemura","given":"Atsushi"},{"family":"Jaggi","given":"Jurg L."},{"family":"Dolinskas","given":"Carol A."},{"family":"Stern","given":"Matthew B."},{"family":"Baltuch","given":"Gordon H."}],"issued":{"date-parts":[["2004",4]]}},"label":"page"},{"id":367,"uris":["http://zotero.org/users/local/qbj29eOf/items/3HGTYH2B"],"itemData":{"id":367,"type":"article-journal","abstract":"BACKGROUND: Neurodegeneration with brain iron accumulation (NBIA), formerly known as Hallervorden-Spatz syndrome, is a heterogeneous group of disorders with different treatment options.\nCASE REPORTS: In the first case, progressively generalizing dystonic symptoms appeared during childhood. A mutation in the gene encoding pantothenate kinase 2 (PANK2) was found. Brain MRI showed bilateral hypersignals within the globus pallidi on T2-weighted images. The patient was successfully treated by pallidal deep brain stimulation (DBS). In the second case an adult onset with parkinsonism was observed, for which no PANK2 mutation was found. T2-weighted brain MR images revealed multiple significant hyposignals (suggestive of iron deposits) localised in the cerebellar dentate nuclei and in the globi pallidi, the red nuclei and the substantia nigra. An antiparkinsonian treatment was proposed.\nCONCLUSION: The clinical, radiographic and genetic heterogeneity of NBIA has to be underlined.","container-title":"Acta Neurologica Belgica","ISSN":"0300-9009","issue":"1","journalAbbreviation":"Acta Neurol Belg","language":"eng","note":"PMID: 17569231","page":"26-31","source":"PubMed","title":"Neurodegeneration with brain iron accumulation: clinical, radiographic and genetic heterogeneity and corresponding therapeutic options","title-short":"Neurodegeneration with brain iron accumulation","volume":"107","author":[{"family":"Clement","given":"Frederik"},{"family":"Devos","given":"David"},{"family":"Moreau","given":"Caroline"},{"family":"Coubes","given":"Philippe"},{"family":"Destee","given":"Alain"},{"family":"Defebvre","given":"Luc"}],"issued":{"date-parts":[["2007",3]]}},"label":"page"},{"id":380,"uris":["http://zotero.org/users/local/qbj29eOf/items/YLMT56PH"],"itemData":{"id":380,"type":"article-journal","container-title":"CNS Neuroscience &amp; Therapeutics","DOI":"10.1111/cns.13294","ISSN":"1755-5930, 1755-5949","issue":"7","journalAbbreviation":"CNS Neurosci Ther","language":"en","page":"754-761","source":"DOI.org (Crossref)","title":"Natural history and genotype</w:instrText>
            </w:r>
            <w:r w:rsidRPr="005500F7">
              <w:rPr>
                <w:rFonts w:ascii="Cambria Math" w:hAnsi="Cambria Math" w:cs="Cambria Math"/>
                <w:sz w:val="20"/>
                <w:szCs w:val="20"/>
              </w:rPr>
              <w:instrText>‐</w:instrText>
            </w:r>
            <w:r w:rsidRPr="005500F7">
              <w:rPr>
                <w:rFonts w:ascii="Aptos" w:hAnsi="Aptos"/>
                <w:sz w:val="20"/>
                <w:szCs w:val="20"/>
              </w:rPr>
              <w:instrText>phenotype correlation of pantothenate kinase</w:instrText>
            </w:r>
            <w:r w:rsidRPr="005500F7">
              <w:rPr>
                <w:rFonts w:ascii="Cambria Math" w:hAnsi="Cambria Math" w:cs="Cambria Math"/>
                <w:sz w:val="20"/>
                <w:szCs w:val="20"/>
              </w:rPr>
              <w:instrText>‐</w:instrText>
            </w:r>
            <w:r w:rsidRPr="005500F7">
              <w:rPr>
                <w:rFonts w:ascii="Aptos" w:hAnsi="Aptos"/>
                <w:sz w:val="20"/>
                <w:szCs w:val="20"/>
              </w:rPr>
              <w:instrText xml:space="preserve">associated neurodegeneration","volume":"26","author":[{"family":"Chang","given":"Xuting"},{"family":"Zhang","given":"Jie"},{"family":"Jiang","given":"Yuwu"},{"family":"Wang","given":"Jingmin"},{"family":"Wu","given":"Ye"}],"issued":{"date-parts":[["2020",7]]}},"label":"page"},{"id":369,"uris":["http://zotero.org/users/local/qbj29eOf/items/XTHW4T33"],"itemData":{"id":369,"type":"article-journal","container-title":"European Journal of Paediatric Neurology","DOI":"10.1016/j.ejpn.2008.01.006","ISSN":"10903798","issue":"1","journalAbbreviation":"European Journal of Paediatric Neurology","language":"en","page":"61-64","source":"DOI.org (Crossref)","title":"Deep brain stimulation as a mode of treatment of early onset pantothenate kinase-associated neurodegeneration","volume":"13","author":[{"family":"Mikati","given":"Mohamad A."},{"family":"Yehya","given":"Amin"},{"family":"Darwish","given":"Houssein"},{"family":"Karam","given":"Pascale"},{"family":"Comair","given":"Youssef"}],"issued":{"date-parts":[["2009",1]]}},"label":"page"},{"id":372,"uris":["http://zotero.org/users/local/qbj29eOf/items/PSCTW995"],"itemData":{"id":372,"type":"article-journal","container-title":"European Journal of Neurology","DOI":"10.1111/j.1468-1331.2011.03589.x","ISSN":"13515101","issue":"4","language":"en","page":"556-561","source":"DOI.org (Crossref)","title":"Pantothenate kinase-associated neurodegeneration in Korea: recurrent R440P mutation in PANK2 and outcome of deep brain stimulation: Pantothenate kinase-associated neurodegeneration in Korea","title-short":"Pantothenate kinase-associated neurodegeneration in Korea","volume":"19","author":[{"family":"Lim","given":"B. C."},{"family":"Ki","given":"C.-S."},{"family":"Cho","given":"A."},{"family":"Hwang","given":"H."},{"family":"Kim","given":"K. J."},{"family":"Hwang","given":"Y. S."},{"family":"Kim","given":"Y. E."},{"family":"Yun","given":"J. Y."},{"family":"Jeon","given":"B. S."},{"family":"Lim","given":"Y. H."},{"family":"Paek","given":"S. H."},{"family":"Chae","given":"J. H."}],"issued":{"date-parts":[["2012",4]]}},"label":"page"},{"id":377,"uris":["http://zotero.org/users/local/qbj29eOf/items/6QXHVJ52"],"itemData":{"id":377,"type":"article-journal","container-title":"Clinical Neurology and Neurosurgery","DOI":"10.1016/j.clineuro.2017.01.011","ISSN":"03038467","journalAbbreviation":"Clinical Neurology and Neurosurgery","language":"en","page":"34-42","source":"DOI.org (Crossref)","title":"Clinical and genetic features of PKAN patients in a tertiary centre in Turkey","volume":"154","author":[{"family":"Akcakaya","given":"Nihan Hande"},{"family":"Iseri","given":"Sibel Ugur"},{"family":"Bilir","given":"Birdal"},{"family":"Battaloglu","given":"Esra"},{"family":"Tekturk","given":"Pinar"},{"family":"Gultekin","given":"Murat"},{"family":"Akar","given":"Gokcen"},{"family":"Yigiter","given":"Remzi"},{"family":"Hanagasi","given":"Hasmet"},{"family":"Alp","given":"Recep"},{"family":"Cagirici","given":"Sultan"},{"family":"Eraksoy","given":"Mefkure"},{"family":"Ozbek","given":"Ugur"},{"family":"Yapici","given":"Zuhal"}],"issued":{"date-parts":[["2017",3]]}},"label":"page"},{"id":378,"uris":["http://zotero.org/users/local/qbj29eOf/items/R97JHVTL"],"itemData":{"id":378,"type":"article-journal","abstract":"Objective\n              Genetic subtypes of dystonia may respond differentially to deep brain stimulation of the globus pallidus pars interna (GPi DBS). We sought to compare GPi DBS outcomes among the most common monogenic dystonias.\n            \n            \n              Methods\n              \n                This systematic review and meta-analysis followed the Preferred Reporting Items for Systematic Reviews and Meta-analyses and Meta-analysis of Observational Studies in Epidemiology guidelines. We searched PubMed for studies on genetically confirmed monogenic dystonia treated with GPi DBS documenting pre-surgical and post-surgical assessments using the Burke–Fahn–Marsden Dystonia Rating Scale Motor Score (BFMMS) and Burke–Fahn–Marsden Disability Score (BFMDS). We performed (i) meta-analysis for each gene mutation; (ii) weighted ordinary linear regression analyses to compare BFMMS and BFMDS outcomes between DYT-\n                TOR1A\n                and other monogenic dystonias, adjusting for age and disease duration and (iii) weighted linear regression analysis to estimate the effect of age, sex and disease duration on GPi DBS outcomes. Results were summarised with mean change and 95% CI.\n              \n            \n            \n              Results\n              \n                DYT-\n                TOR1A\n                (68%, 38.4 points; p&lt;0.001), DYT-\n                THAP1\n                (37% 14.5 points; p&lt;0.001) and NBIA/DYT-\n                PANK2\n                (27%, 21.4 points; p&lt;0.001) improved in BFMMS; only DYT-\n                TOR1A\n                improved in BFMDS (69%, 9.7 points; p&lt;0.001). Improvement in DYT-\n                TOR1A\n                was significantly greater than in DYT-\n                THAP1\n                (BFMMS </w:instrText>
            </w:r>
            <w:r w:rsidRPr="005500F7">
              <w:rPr>
                <w:rFonts w:ascii="Aptos" w:hAnsi="Aptos" w:cs="Arial"/>
                <w:sz w:val="20"/>
                <w:szCs w:val="20"/>
              </w:rPr>
              <w:instrText>−</w:instrText>
            </w:r>
            <w:r w:rsidRPr="005500F7">
              <w:rPr>
                <w:rFonts w:ascii="Aptos" w:hAnsi="Aptos"/>
                <w:sz w:val="20"/>
                <w:szCs w:val="20"/>
              </w:rPr>
              <w:instrText xml:space="preserve">31%), NBIA/DYT-\n                PANK2\n                (BFMMS </w:instrText>
            </w:r>
            <w:r w:rsidRPr="005500F7">
              <w:rPr>
                <w:rFonts w:ascii="Aptos" w:hAnsi="Aptos" w:cs="Arial"/>
                <w:sz w:val="20"/>
                <w:szCs w:val="20"/>
              </w:rPr>
              <w:instrText>−</w:instrText>
            </w:r>
            <w:r w:rsidRPr="005500F7">
              <w:rPr>
                <w:rFonts w:ascii="Aptos" w:hAnsi="Aptos"/>
                <w:sz w:val="20"/>
                <w:szCs w:val="20"/>
              </w:rPr>
              <w:instrText xml:space="preserve">35%; BFMDS </w:instrText>
            </w:r>
            <w:r w:rsidRPr="005500F7">
              <w:rPr>
                <w:rFonts w:ascii="Aptos" w:hAnsi="Aptos" w:cs="Arial"/>
                <w:sz w:val="20"/>
                <w:szCs w:val="20"/>
              </w:rPr>
              <w:instrText>−</w:instrText>
            </w:r>
            <w:r w:rsidRPr="005500F7">
              <w:rPr>
                <w:rFonts w:ascii="Aptos" w:hAnsi="Aptos"/>
                <w:sz w:val="20"/>
                <w:szCs w:val="20"/>
              </w:rPr>
              <w:instrText xml:space="preserve">53%) and CHOR/DYT-\n                ADCY5\n                (BFMMS </w:instrText>
            </w:r>
            <w:r w:rsidRPr="005500F7">
              <w:rPr>
                <w:rFonts w:ascii="Aptos" w:hAnsi="Aptos" w:cs="Arial"/>
                <w:sz w:val="20"/>
                <w:szCs w:val="20"/>
              </w:rPr>
              <w:instrText>−</w:instrText>
            </w:r>
            <w:r w:rsidRPr="005500F7">
              <w:rPr>
                <w:rFonts w:ascii="Aptos" w:hAnsi="Aptos"/>
                <w:sz w:val="20"/>
                <w:szCs w:val="20"/>
              </w:rPr>
              <w:instrText xml:space="preserve">36%; BFMDS </w:instrText>
            </w:r>
            <w:r w:rsidRPr="005500F7">
              <w:rPr>
                <w:rFonts w:ascii="Aptos" w:hAnsi="Aptos" w:cs="Arial"/>
                <w:sz w:val="20"/>
                <w:szCs w:val="20"/>
              </w:rPr>
              <w:instrText>−</w:instrText>
            </w:r>
            <w:r w:rsidRPr="005500F7">
              <w:rPr>
                <w:rFonts w:ascii="Aptos" w:hAnsi="Aptos"/>
                <w:sz w:val="20"/>
                <w:szCs w:val="20"/>
              </w:rPr>
              <w:instrText xml:space="preserve">42%). Worse motor outcomes were associated with longer dystonia duration and older age at dystonia onset in DYT-\n                TOR1A\n                , longer dystonia duration in DYT/PARK-\n                TAF1\n                and younger age at dystonia onset in DYT-\n                SGCE\n                .\n              \n            \n            \n              Conclusions\n              GPi DBS outcomes vary across monogenic dystonias. These data serve to inform patient selection and prognostic counselling.","container-title":"Journal of Neurology, Neurosurgery &amp; Psychiatry","DOI":"10.1136/jnnp-2019-322169","ISSN":"0022-3050, 1468-330X","issue":"4","journalAbbreviation":"J Neurol Neurosurg Psychiatry","language":"en","page":"426-433","source":"DOI.org (Crossref)","title":"Differential response to pallidal deep brain stimulation among monogenic dystonias: systematic review and meta-analysis","title-short":"Differential response to pallidal deep brain stimulation among monogenic dystonias","volume":"91","author":[{"family":"Artusi","given":"Carlo Alberto"},{"family":"Dwivedi","given":"Alok"},{"family":"Romagnolo","given":"Alberto"},{"family":"Bortolani","given":"Sara"},{"family":"Marsili","given":"Luca"},{"family":"Imbalzano","given":"Gabriele"},{"family":"Sturchio","given":"Andrea"},{"family":"Keeling","given":"Elizabeth G"},{"family":"Zibetti","given":"Maurizio"},{"family":"Contarino","given":"Maria Fiorella"},{"family":"Fasano","given":"Alfonso"},{"family":"Tagliati","given":"Michele"},{"family":"Okun","given":"M S"},{"family":"Espay","given":"Alberto J"},{"family":"Lopiano","given":"Leonardo"},{"family":"Merola","given":"Aristide"}],"issued":{"date-parts":[["2020",4]]}},"label":"page"},{"id":385,"uris":["http://zotero.org/users/local/qbj29eOf/items/YAHACYIB"],"itemData":{"id":385,"type":"article-journal","abstract":"Abstract\n            Complex dystonias are defined as dystonias that are accompanied by neurologic or systemic manifestations beyond movement disorders. Many syndromes or diseases can present with complex dystonia, either as the cardinal sign or as part of a multi-systemic manifestation. Complex dystonia often gradually develops in the disease course, but can also be present from the outset. If available, the diagnostic workup, disease-specific treatment, and management of patients with complex dystonias require a multi-disciplinary approach. This article summarizes current knowledge on complex dystonias with a particular view of recent developments with respect to advances in diagnosis and management, including causative treatments.","container-title":"Journal of Neural Transmission","DOI":"10.1007/s00702-020-02275-y","ISSN":"0300-9564, 1435-1463","issue":"4","journalAbbreviation":"J Neural Transm","language":"en","page":"431-445","source":"DOI.org (Crossref)","title":"Complex dystonias: an update on diagnosis and care","title-short":"Complex dystonias","volume":"128","author":[{"family":"Herzog","given":"Rebecca"},{"family":"Weissbach","given":"Anne"},{"family":"Bäumer","given":"Tobias"},{"family":"Münchau","given":"Alexander"}],"issued":{"date-parts":[["2021",4]]}},"label":"page"},{"id":371,"uris":["http://zotero.org/users/local/qbj29eOf/items/6D2ME6JU"],"itemData":{"id":371,"type":"article-journal","container-title":"European Journal of Neurology","DOI":"10.1111/j.1468-1331.2010.03060.x","ISSN":"13515101, 14681331","language":"en","page":"102-106","source":"DOI.org (Crossref)","title":"Deep brain stimulation for dystonia: patient selection and outcomes: Deep brain stimulation for dystonia","title-short":"Deep brain stimulation for dystonia","volume":"17","author":[{"family":"Speelman","given":"J. D."},{"family":"Contarino","given":"M. F."},{"family":"Schuurman","given":"P. R."},{"family":"Tijssen","given":"M. A. J."},{"family":"De Bie","given":"R. M. A."}],"issued":{"date-parts":[["2010",6,8]]}},"label":"page"},{"id":370,"uris":["http://zotero.org/users/local/qbj29eOf/items/P58G3LTI"],"itemData":{"id":370,"type":"article-journal","container-title":"Current Neurology and Neuroscience Reports","DOI":"10.1007/s11910-010-0136-0","ISSN":"1528-4042, 1534-6293","issue":"6","journalAbbreviation":"Curr Neurol Neurosci Rep","language":"en","page":"431-439","source":"DOI.org (Crossref)","title":"Rare Causes of Dystonia Parkinsonism","volume":"10","author":[{"family":"Schneider","given":"Susanne A."},{"family":"Bhatia","given":"Kailash P."}],"issued":{"date-parts":[["2010",11]]}},"label":"page"},{"id":373,"uris":["http://zotero.org/users/local/qbj29eOf/items/L222SQC8"],"itemData":{"id":373,"type":"article-journal","container-title":"Canadian Journal of Neurological Sciences / Journal Canadien des Sciences Neurologiques","DOI":"10.1017/S0317167100013597","ISSN":"0317-1671, 2057-0155","issue":"3","journalAbbreviation":"Can. J. Neurol. Sci.","language":"en","page":"395-397","source":"DOI.org (Crossref)","title":"A Novel &lt;i&gt;PANK2&lt;/i&gt; Gene Mutation with Sudden-Onset Dystonia","volume":"39","author":[{"family":"Kim","given":"JiSun"},{"family":"Shin","given":"Hyeeun"},{"family":"Youn","given":"Jinyoung"},{"family":"Ki","given":"Chang-Seok"},{"family":"Cho","given":"Ah Ra"},{"family":"Cho","given":"Jin Whan"}],"issued":{"date-parts":[["2012",5]]}},"label":"page"}],"schema":"https://github.com/citation-style-language/schema/raw/master/csl-citation.json"}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33,35,37–45</w:t>
            </w:r>
            <w:r w:rsidRPr="005500F7">
              <w:rPr>
                <w:rFonts w:ascii="Aptos" w:hAnsi="Aptos"/>
                <w:sz w:val="20"/>
                <w:szCs w:val="20"/>
              </w:rPr>
              <w:fldChar w:fldCharType="end"/>
            </w:r>
            <w:r w:rsidRPr="005500F7">
              <w:rPr>
                <w:rFonts w:ascii="Aptos" w:hAnsi="Aptos"/>
                <w:sz w:val="20"/>
                <w:szCs w:val="20"/>
              </w:rPr>
              <w:t xml:space="preserve"> Approximately 43.3% and 42% of all patients additionally experience cognitive and psychological/behavioral problems, respectively.</w:t>
            </w:r>
            <w:r w:rsidRPr="005500F7">
              <w:rPr>
                <w:rFonts w:ascii="Aptos" w:hAnsi="Aptos"/>
                <w:sz w:val="20"/>
                <w:szCs w:val="20"/>
                <w:lang w:val="en-US"/>
              </w:rPr>
              <w:fldChar w:fldCharType="begin"/>
            </w:r>
            <w:r w:rsidRPr="005500F7">
              <w:rPr>
                <w:rFonts w:ascii="Aptos" w:hAnsi="Aptos"/>
                <w:sz w:val="20"/>
                <w:szCs w:val="20"/>
              </w:rPr>
              <w:instrText xml:space="preserve"> ADDIN ZOTERO_ITEM CSL_CITATION {"citationID":"LMcjdgWJ","properties":{"formattedCitation":"\\super 37\\nosupersub{}","plainCitation":"37","noteIndex":0},"citationItems":[{"id":380,"uris":["http://zotero.org/users/local/qbj29eOf/items/YLMT56PH"],"itemData":{"id":380,"type":"article-journal","container-title":"CNS Neuroscience &amp; Therapeutics","DOI":"10.1111/cns.13294","ISSN":"1755-5930, 1755-5949","issue":"7","journalAbbreviation":"CNS Neurosci Ther","language":"en","page":"754-761","source":"DOI.org (Crossref)","title":"Natural history and genotype</w:instrText>
            </w:r>
            <w:r w:rsidRPr="005500F7">
              <w:rPr>
                <w:rFonts w:ascii="Cambria Math" w:hAnsi="Cambria Math" w:cs="Cambria Math"/>
                <w:sz w:val="20"/>
                <w:szCs w:val="20"/>
              </w:rPr>
              <w:instrText>‐</w:instrText>
            </w:r>
            <w:r w:rsidRPr="005500F7">
              <w:rPr>
                <w:rFonts w:ascii="Aptos" w:hAnsi="Aptos"/>
                <w:sz w:val="20"/>
                <w:szCs w:val="20"/>
              </w:rPr>
              <w:instrText>phenotype correlation of pantothenate kinase</w:instrText>
            </w:r>
            <w:r w:rsidRPr="005500F7">
              <w:rPr>
                <w:rFonts w:ascii="Cambria Math" w:hAnsi="Cambria Math" w:cs="Cambria Math"/>
                <w:sz w:val="20"/>
                <w:szCs w:val="20"/>
              </w:rPr>
              <w:instrText>‐</w:instrText>
            </w:r>
            <w:r w:rsidRPr="005500F7">
              <w:rPr>
                <w:rFonts w:ascii="Aptos" w:hAnsi="Aptos"/>
                <w:sz w:val="20"/>
                <w:szCs w:val="20"/>
              </w:rPr>
              <w:instrText xml:space="preserve">associated neurodegeneration","volume":"26","author":[{"family":"Chang","given":"Xuting"},{"family":"Zhang","given":"Jie"},{"family":"Jiang","given":"Yuwu"},{"family":"Wang","given":"Jingmin"},{"family":"Wu","given":"Ye"}],"issued":{"date-parts":[["2020",7]]}}}],"schema":"https://github.com/citation-style-language/schema/raw/master/csl-citation.json"} </w:instrText>
            </w:r>
            <w:r w:rsidRPr="005500F7">
              <w:rPr>
                <w:rFonts w:ascii="Aptos" w:hAnsi="Aptos"/>
                <w:sz w:val="20"/>
                <w:szCs w:val="20"/>
                <w:lang w:val="en-US"/>
              </w:rPr>
              <w:fldChar w:fldCharType="separate"/>
            </w:r>
            <w:r w:rsidRPr="005500F7">
              <w:rPr>
                <w:rFonts w:ascii="Aptos" w:hAnsi="Aptos"/>
                <w:sz w:val="20"/>
                <w:szCs w:val="20"/>
                <w:vertAlign w:val="superscript"/>
              </w:rPr>
              <w:t>37</w:t>
            </w:r>
            <w:r w:rsidRPr="005500F7">
              <w:rPr>
                <w:rFonts w:ascii="Aptos" w:hAnsi="Aptos"/>
                <w:sz w:val="20"/>
                <w:szCs w:val="20"/>
              </w:rPr>
              <w:fldChar w:fldCharType="end"/>
            </w:r>
          </w:p>
        </w:tc>
      </w:tr>
      <w:tr w:rsidR="005500F7" w:rsidRPr="005500F7" w14:paraId="1AFDF699" w14:textId="77777777" w:rsidTr="002C08A9">
        <w:trPr>
          <w:trHeight w:val="1140"/>
        </w:trPr>
        <w:tc>
          <w:tcPr>
            <w:tcW w:w="593" w:type="pct"/>
            <w:tcBorders>
              <w:top w:val="single" w:sz="4" w:space="0" w:color="auto"/>
              <w:left w:val="nil"/>
              <w:bottom w:val="single" w:sz="4" w:space="0" w:color="auto"/>
              <w:right w:val="nil"/>
            </w:tcBorders>
            <w:shd w:val="clear" w:color="auto" w:fill="auto"/>
            <w:vAlign w:val="center"/>
          </w:tcPr>
          <w:p w14:paraId="317EBC89" w14:textId="49ED3672" w:rsidR="005500F7" w:rsidRPr="005500F7" w:rsidRDefault="005500F7" w:rsidP="00257457">
            <w:pPr>
              <w:spacing w:after="0" w:line="240" w:lineRule="auto"/>
              <w:rPr>
                <w:rFonts w:ascii="Aptos" w:hAnsi="Aptos"/>
                <w:b/>
                <w:sz w:val="20"/>
                <w:szCs w:val="20"/>
              </w:rPr>
            </w:pPr>
            <w:r w:rsidRPr="005500F7">
              <w:rPr>
                <w:rFonts w:ascii="Aptos" w:hAnsi="Aptos"/>
                <w:b/>
                <w:i/>
                <w:iCs/>
                <w:sz w:val="20"/>
                <w:szCs w:val="20"/>
              </w:rPr>
              <w:t>PLA2G6</w:t>
            </w:r>
          </w:p>
        </w:tc>
        <w:tc>
          <w:tcPr>
            <w:tcW w:w="4407" w:type="pct"/>
            <w:tcBorders>
              <w:top w:val="single" w:sz="4" w:space="0" w:color="auto"/>
              <w:left w:val="nil"/>
              <w:bottom w:val="single" w:sz="4" w:space="0" w:color="auto"/>
              <w:right w:val="nil"/>
            </w:tcBorders>
            <w:shd w:val="clear" w:color="auto" w:fill="auto"/>
            <w:vAlign w:val="center"/>
          </w:tcPr>
          <w:p w14:paraId="6613A716" w14:textId="77777777" w:rsidR="005500F7" w:rsidRPr="005500F7" w:rsidRDefault="005500F7" w:rsidP="00257457">
            <w:pPr>
              <w:spacing w:after="0" w:line="240" w:lineRule="auto"/>
              <w:jc w:val="center"/>
              <w:rPr>
                <w:rFonts w:ascii="Aptos" w:hAnsi="Aptos"/>
                <w:sz w:val="20"/>
                <w:szCs w:val="20"/>
              </w:rPr>
            </w:pPr>
            <w:r w:rsidRPr="005500F7">
              <w:rPr>
                <w:rFonts w:ascii="Aptos" w:hAnsi="Aptos"/>
                <w:i/>
                <w:iCs/>
                <w:sz w:val="20"/>
                <w:szCs w:val="20"/>
              </w:rPr>
              <w:t>PLA2G6</w:t>
            </w:r>
            <w:r w:rsidRPr="005500F7">
              <w:rPr>
                <w:rFonts w:ascii="Aptos" w:hAnsi="Aptos"/>
                <w:sz w:val="20"/>
                <w:szCs w:val="20"/>
              </w:rPr>
              <w:t>-associated neurodegeneration leads to rapidly progressing, autosomal recessive dystonia-parkinsonism.</w:t>
            </w:r>
            <w:r w:rsidRPr="005500F7">
              <w:rPr>
                <w:rFonts w:ascii="Aptos" w:hAnsi="Aptos"/>
                <w:sz w:val="20"/>
                <w:szCs w:val="20"/>
              </w:rPr>
              <w:fldChar w:fldCharType="begin"/>
            </w:r>
            <w:r w:rsidRPr="005500F7">
              <w:rPr>
                <w:rFonts w:ascii="Aptos" w:hAnsi="Aptos"/>
                <w:sz w:val="20"/>
                <w:szCs w:val="20"/>
              </w:rPr>
              <w:instrText xml:space="preserve"> ADDIN ZOTERO_ITEM CSL_CITATION {"citationID":"IDUvG3fG","properties":{"formattedCitation":"\\super 46\\uc0\\u8211{}48\\nosupersub{}","plainCitation":"46–48","noteIndex":0},"citationItems":[{"id":441,"uris":["http://zotero.org/users/local/qbj29eOf/items/U6X2RUVH"],"itemData":{"id":441,"type":"article-journal","container-title":"Frontiers in Neurology","DOI":"10.3389/fneur.2018.01100","ISSN":"1664-2295","journalAbbreviation":"Front. Neurol.","page":"1100","source":"DOI.org (Crossref)","title":"PLA2G6-Associated Neurodegeneration (PLAN): Review of Clinical Phenotypes and Genotypes","title-short":"PLA2G6-Associated Neurodegeneration (PLAN)","volume":"9","author":[{"family":"Guo","given":"Yu-pei"},{"family":"Tang","given":"Bei-sha"},{"family":"Guo","given":"Ji-feng"}],"issued":{"date-parts":[["2018",12,18]]}},"label":"page"},{"id":444,"uris":["http://zotero.org/users/local/qbj29eOf/items/P448KED4"],"itemData":{"id":444,"type":"article-journal","container-title":"Movement Disorders","DOI":"10.1002/mds.28807","ISSN":"0885-3185, 1531-8257","issue":"1","journalAbbreviation":"Movement Disorders","language":"en","page":"148-161","source":"DOI.org (Crossref)","title":"Dissecting the Phenotype and Genotype of &lt;span style=\"font-variant:small-caps;\"&gt; &lt;i&gt;PLA2G6&lt;/i&gt; &lt;/span&gt; </w:instrText>
            </w:r>
            <w:r w:rsidRPr="005500F7">
              <w:rPr>
                <w:rFonts w:ascii="Cambria Math" w:hAnsi="Cambria Math" w:cs="Cambria Math"/>
                <w:sz w:val="20"/>
                <w:szCs w:val="20"/>
              </w:rPr>
              <w:instrText>‐</w:instrText>
            </w:r>
            <w:r w:rsidRPr="005500F7">
              <w:rPr>
                <w:rFonts w:ascii="Aptos" w:hAnsi="Aptos"/>
                <w:sz w:val="20"/>
                <w:szCs w:val="20"/>
              </w:rPr>
              <w:instrText>Related Parkinsonism","title-short":"Dissecting the Phenotype and Genotype of &lt;span style=\"font-variant","volume":"37","author":[{"family":"Magrinelli","given":"Francesca"},{"family":"Mehta","given":"Sahil"},{"family":"Di Lazzaro","given":"Giulia"},{"family":"Latorre","given":"Anna"},{"family":"Edwards","given":"Mark J."},{"family":"Balint","given":"Bettina"},{"family":"Basu","given":"Purba"},{"family":"Kobylecki","given":"Christopher"},{"family":"Groppa","given":"Sergiu"},{"family":"Hegde","given":"Anaita"},{"family":"Mulroy","given":"Eoin"},{"family":"Estevez</w:instrText>
            </w:r>
            <w:r w:rsidRPr="005500F7">
              <w:rPr>
                <w:rFonts w:ascii="Cambria Math" w:hAnsi="Cambria Math" w:cs="Cambria Math"/>
                <w:sz w:val="20"/>
                <w:szCs w:val="20"/>
              </w:rPr>
              <w:instrText>‐</w:instrText>
            </w:r>
            <w:r w:rsidRPr="005500F7">
              <w:rPr>
                <w:rFonts w:ascii="Aptos" w:hAnsi="Aptos"/>
                <w:sz w:val="20"/>
                <w:szCs w:val="20"/>
              </w:rPr>
              <w:instrText xml:space="preserve">Fraga","given":"Carlos"},{"family":"Arora","given":"Anshita"},{"family":"Kumar","given":"Hrishikesh"},{"family":"Schneider","given":"Susanne A."},{"family":"Lewis","given":"Patrick A."},{"family":"Jaunmuktane","given":"Zane"},{"family":"Revesz","given":"Tamas"},{"family":"Gandhi","given":"Sonia"},{"family":"Wood","given":"Nicholas W."},{"family":"Hardy","given":"John A."},{"family":"Tinazzi","given":"Michele"},{"family":"Lal","given":"Vivek"},{"family":"Houlden","given":"Henry"},{"family":"Bhatia","given":"Kailash P."}],"issued":{"date-parts":[["2022",1]]}},"label":"page"},{"id":446,"uris":["http://zotero.org/users/local/qbj29eOf/items/9CYLIRST"],"itemData":{"id":446,"type":"article-journal","abstract":"Parkinson’s disease may be caused by a single pathogenic variant (monogenic) in 5–10% of cases, but investigation of these disorders provides valuable pathophysiological insights. In this review, we discuss each genetic form with a focus on genotype, phenotype, pathophysiology, and the geographic and ethnic distribution. Well-established Parkinson’s disease genes include autosomal dominant forms (SNCA, LRRK2, and VPS35) and autosomal recessive forms (PRKN, PINK1 and DJ1). Furthermore, mutations in the GBA gene are a key risk factor for Parkinson’s disease, and there have been major developments for X-linked dystonia parkinsonism. Moreover, atypical or complex parkinsonism may be due to mutations in genes such as ATP13A2, DCTN1, DNAJC6, FBXO7, PLA2G6, and SYNJ1. Furthermore, numerous genes have recently been implicated in Parkinson’s disease, such as CHCHD2, LRP10, TMEM230, UQCRC1, and VPS13C. Additionally, we discuss the role of heterozygous mutations in autosomal recessive genes, the effect of having mutations in two Parkinson’s disease genes, the outcome of deep brain stimulation, and the role of genetic testing. We highlight that monogenic Parkinson’s disease is influenced by ethnicity and geographical differences, reinforcing the need for global efforts to pool large numbers of patients and identify novel candidate genes.","container-title":"Genes","DOI":"10.3390/genes13030471","ISSN":"2073-4425","issue":"3","journalAbbreviation":"Genes","language":"en","page":"471","source":"DOI.org (Crossref)","title":"Monogenic Parkinson’s Disease: Genotype, Phenotype, Pathophysiology, and Genetic Testing","title-short":"Monogenic Parkinson’s Disease","volume":"13","author":[{"family":"Jia","given":"Fangzhi"},{"family":"Fellner","given":"Avi"},{"family":"Kumar","given":"Kishore Raj"}],"issued":{"date-parts":[["2022",3,7]]}},"label":"page"}],"schema":"https://github.com/citation-style-language/schema/raw/master/csl-citation.json"}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46–48</w:t>
            </w:r>
            <w:r w:rsidRPr="005500F7">
              <w:rPr>
                <w:rFonts w:ascii="Aptos" w:hAnsi="Aptos"/>
                <w:sz w:val="20"/>
                <w:szCs w:val="20"/>
              </w:rPr>
              <w:fldChar w:fldCharType="end"/>
            </w:r>
            <w:r w:rsidRPr="005500F7">
              <w:rPr>
                <w:rFonts w:ascii="Aptos" w:hAnsi="Aptos"/>
                <w:sz w:val="20"/>
                <w:szCs w:val="20"/>
              </w:rPr>
              <w:t xml:space="preserve"> At the onset, gait issues and postural instabilities are widely reported.</w:t>
            </w:r>
            <w:r w:rsidRPr="005500F7">
              <w:rPr>
                <w:rFonts w:ascii="Aptos" w:hAnsi="Aptos"/>
                <w:sz w:val="20"/>
                <w:szCs w:val="20"/>
              </w:rPr>
              <w:fldChar w:fldCharType="begin"/>
            </w:r>
            <w:r w:rsidRPr="005500F7">
              <w:rPr>
                <w:rFonts w:ascii="Aptos" w:hAnsi="Aptos"/>
                <w:sz w:val="20"/>
                <w:szCs w:val="20"/>
              </w:rPr>
              <w:instrText xml:space="preserve"> ADDIN ZOTERO_ITEM CSL_CITATION {"citationID":"TnF7JB0G","properties":{"formattedCitation":"\\super 49\\uc0\\u8211{}56\\nosupersub{}","plainCitation":"49–56","noteIndex":0},"citationItems":[{"id":423,"uris":["http://zotero.org/users/local/qbj29eOf/items/CNNWTBB4"],"itemData":{"id":423,"type":"article-journal","container-title":"European Journal of Neurology","DOI":"10.1111/j.1468-1331.2008.02356.x","ISSN":"13515101, 14681331","issue":"1","language":"en","page":"101-104","source":"DOI.org (Crossref)","title":"R632W mutation in &lt;i&gt;PLA2G6&lt;/i&gt; segregates with dystonia-parkinsonism in a consanguineous Iranian family","volume":"16","author":[{"family":"Sina","given":"F."},{"family":"Shojaee","given":"S."},{"family":"Elahi","given":"E."},{"family":"Paisán-Ruiz","given":"C."}],"issued":{"date-parts":[["2009",1]]}},"label":"page"},{"id":424,"uris":["http://zotero.org/users/local/qbj29eOf/items/5HIIABUT"],"itemData":{"id":424,"type":"article-journal","container-title":"Annals of Neurology","DOI":"10.1002/ana.21415","ISSN":"03645134, 15318249","issue":"1","journalAbbreviation":"Ann Neurol.","language":"en","page":"19-23","source":"DOI.org (Crossref)","title":"Characterization of PLA2G6 as a locus for dystonia-parkinsonism","volume":"65","author":[{"family":"Paisan-Ruiz","given":"Coro"},{"family":"Bhatia","given":"Kailash P."},{"family":"Li","given":"Abi"},{"family":"Hernandez","given":"Dena"},{"family":"Davis","given":"Mary"},{"family":"Wood","given":"Nick W."},{"family":"Hardy","given":"John"},{"family":"Houlden","given":"Henry"},{"family":"Singleton","given":"Andrew"},{"family":"Schneider","given":"Susanne A."}],"issued":{"date-parts":[["2008",6,20]]}},"label":"page"},{"id":432,"uris":["http://zotero.org/users/local/qbj29eOf/items/BYWBQ8JY"],"itemData":{"id":432,"type":"article-journal","container-title":"Movement Disorders Clinical Practice","DOI":"10.1002/mdc3.12030","ISSN":"23301619","issue":"2","journalAbbreviation":"Mov Disord Clin Pract","language":"en","page":"128-131","source":"DOI.org (Crossref)","title":"Atypical &lt;i&gt;PLA2G6&lt;/i&gt; -Associated Neurodegeneration: Social Communication Impairment, Dystonia and Response to Deep Brain Stimulation","title-short":"Atypical &lt;i&gt;PLA2G6&lt;/i&gt; -Associated Neurodegeneration","volume":"1","author":[{"family":"Cif","given":"Laura"},{"family":"Kurian","given":"Manju A."},{"family":"Gonzalez","given":"Victoria"},{"family":"Garcia-Ptacek","given":"Sara"},{"family":"Roujeau","given":"Thomas"},{"family":"Gelisse","given":"Philippe"},{"family":"Moura De Ribeiro","given":"Ana Maria"},{"family":"Crespel","given":"Arielle"},{"family":"MacPherson","given":"Lesley"},{"family":"Coubes","given":"Philippe"}],"issued":{"date-parts":[["2014",6]]}},"label":"page"},{"id":433,"uris":["http://zotero.org/users/local/qbj29eOf/items/9PVKNHNB"],"itemData":{"id":433,"type":"article-journal","container-title":"Molecular Genetics and Metabolism","DOI":"10.1016/j.ymgme.2014.03.008","ISSN":"10967192","issue":"2","journalAbbreviation":"Molecular Genetics and Metabolism","language":"en","page":"183-189","source":"DOI.org (Crossref)","title":"PLA2G6-associated neurodegeneration (PLAN): Further expansion of the clinical, radiological and mutation spectrum associated with infantile and atypical childhood-onset disease","title-short":"PLA2G6-associated neurodegeneration (PLAN)","volume":"112","author":[{"family":"Illingworth","given":"M.A."},{"family":"Meyer","given":"E."},{"family":"Chong","given":"W.K."},{"family":"Manzur","given":"A.Y."},{"family":"Carr","given":"L.J."},{"family":"Younis","given":"R."},{"family":"Hardy","given":"C."},{"family":"McDonald","given":"F."},{"family":"Childs","given":"A.M."},{"family":"Stewart","given":"B."},{"family":"Warren","given":"D."},{"family":"Kneen","given":"R."},{"family":"King","given":"M.D."},{"family":"Hayflick","given":"S.J."},{"family":"Kurian","given":"M.A."}],"issued":{"date-parts":[["2014",6]]}},"label":"page"},{"id":438,"uris":["http://zotero.org/users/local/qbj29eOf/items/3HWQS643"],"itemData":{"id":438,"type":"article-journal","container-title":"Clinical Genetics","DOI":"10.1111/cge.13008","ISSN":"00099163","issue":"5","journalAbbreviation":"Clin Genet","language":"en","page":"534-539","source":"DOI.org (Crossref)","title":"PLA2G6 mutations associated with a continuous clinical spectrum from neuroaxonal dystrophy to hereditary spastic paraplegia","volume":"92","author":[{"family":"Ozes","given":"B."},{"family":"Karagoz","given":"N."},{"family":"Schüle","given":"R."},{"family":"Rebelo","given":"A."},{"family":"Sobrido","given":"M.-J."},{"family":"Harmuth","given":"F."},{"family":"Synofzik","given":"M."},{"family":"Pascual","given":"S.I.P."},{"family":"Colak","given":"M."},{"family":"Ciftci-Kavaklioglu","given":"B."},{"family":"Kara","given":"B."},{"family":"Ordóñez-Ugalde","given":"A."},{"family":"Quintáns","given":"B."},{"family":"Gonzalez","given":"M.A."},{"family":"Soysal","given":"A."},{"family":"Zuchner","given":"S."},{"family":"Battaloglu","given":"E."}],"issued":{"date-parts":[["2017",11]]}},"label":"page"},{"id":440,"uris":["http://zotero.org/users/local/qbj29eOf/items/3M39U2B5"],"itemData":{"id":440,"type":"article-journal","container-title":"Parkinsonism &amp; Related Disorders","DOI":"10.1016/j.parkreldis.2018.02.010","ISSN":"13538020","journalAbbreviation":"Parkinsonism &amp; Related Disorders","language":"en","page":"88-94","source":"DOI.org (Crossref)","title":"Novel PLA2G6 mutations and clinical heterogeneity in Chinese cases with phospholipase A2-associated neurodegeneration","volume":"49","author":[{"family":"Chen","given":"Yi-Jun"},{"family":"Chen","given":"Yu-Chao"},{"family":"Dong","given":"Hai-Lin"},{"family":"Li","given":"Li-Xi"},{"family":"Ni","given":"Wang"},{"family":"Li","given":"Hong-Fu"},{"family":"Wu","given":"Zhi-Ying"}],"issued":{"date-parts":[["2018",4]]}},"label":"page"},{"id":443,"uris":["http://zotero.org/users/local/qbj29eOf/items/KZ358RN4"],"itemData":{"id":443,"type":"article-journal","container-title":"Parkinsonism &amp; Related Disorders","DOI":"10.1016/j.parkreldis.2018.10.013","ISSN":"13538020","journalAbbreviation":"Parkinsonism &amp; Related Disorders","language":"en","page":"179-186","source":"DOI.org (Crossref)","title":"PLA2G6-associated neurodegeneration: New insights into brain abnormalities and disease progression","title-short":"PLA2G6-associated neurodegeneration","volume":"61","author":[{"family":"Darling","given":"Alejandra"},{"family":"Aguilera-Albesa","given":"Sergio"},{"family":"Tello","given":"Cristina Aisha"},{"family":"Serrano","given":"Mercedes"},{"family":"Tomás","given":"Miguel"},{"family":"Camino-León","given":"Rafael"},{"family":"Fernández-Ramos","given":"Joaquín"},{"family":"Jiménez-Escrig","given":"Adriano"},{"family":"Poó","given":"Pilar"},{"family":"O'Callaghan","given":"Mar"},{"family":"Ortez","given":"Carlos"},{"family":"Nascimento","given":"Andrés"},{"family":"Fernández Mesaque","given":"Ramón Candau"},{"family":"Madruga","given":"Marcos"},{"family":"Arrabal","given":"Luisa"},{"family":"Roldan","given":"Susana"},{"family":"Gómez-Martín","given":"Hilario"},{"family":"Garrido","given":"Cristina"},{"family":"Temudo","given":"Teresa"},{"family":"Jou-Muñoz","given":"Cristina"},{"family":"Muchart","given":"Jordi"},{"family":"Huisman","given":"Thierry A.G.M."},{"family":"Poretti","given":"Andrea"},{"family":"Lupo","given":"Vincenzo"},{"family":"Espinós","given":"Carmen"},{"family":"Pérez-Dueñas","given":"Belén"}],"issued":{"date-parts":[["2019",4]]}},"label":"page"},{"id":429,"uris":["http://zotero.org/users/local/qbj29eOf/items/KRDSPXYU"],"itemData":{"id":429,"type":"article-journal","container-title":"American Journal of Medical Genetics Part B: Neuropsychiatric Genetics","DOI":"10.1002/ajmg.b.32012","ISSN":"15524841","issue":"2","journalAbbreviation":"Am. J. Med. Genet.","language":"en","page":"183-191","source":"DOI.org (Crossref)","title":"PLA2G6 mutations in PARK14-linked young-onset parkinsonism and sporadic Parkinson's disease","volume":"159B","author":[{"family":"Lu","given":"Chin-Song"},{"family":"Lai","given":"Szu-Chia"},{"family":"Wu","given":"Ruey-Meei"},{"family":"Weng","given":"Yi-Hsin"},{"family":"Huang","given":"Chia-Ling"},{"family":"Chen","given":"Rou-Shayn"},{"family":"Chang","given":"Hsiu-Chen"},{"family":"Wu-Chou","given":"Yah-Huei"},{"family":"Yeh","given":"Tu-Hsueh"}],"issued":{"date-parts":[["2012",3]]}},"label":"page"}],"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49–56</w:t>
            </w:r>
            <w:r w:rsidRPr="005500F7">
              <w:rPr>
                <w:rFonts w:ascii="Aptos" w:hAnsi="Aptos"/>
                <w:sz w:val="20"/>
                <w:szCs w:val="20"/>
              </w:rPr>
              <w:fldChar w:fldCharType="end"/>
            </w:r>
            <w:r w:rsidRPr="005500F7">
              <w:rPr>
                <w:rFonts w:ascii="Aptos" w:hAnsi="Aptos"/>
                <w:sz w:val="20"/>
                <w:szCs w:val="20"/>
              </w:rPr>
              <w:t xml:space="preserve"> The clinical condition gradually deteriorates leading to dystonia, severe spasticity, and cognitive dysfunction. Neuropsychiatric symptoms, including depression, psychosis, and cognitive decline, are common.</w:t>
            </w:r>
            <w:r w:rsidRPr="005500F7">
              <w:rPr>
                <w:rFonts w:ascii="Aptos" w:hAnsi="Aptos"/>
                <w:sz w:val="20"/>
                <w:szCs w:val="20"/>
              </w:rPr>
              <w:fldChar w:fldCharType="begin"/>
            </w:r>
            <w:r w:rsidRPr="005500F7">
              <w:rPr>
                <w:rFonts w:ascii="Aptos" w:hAnsi="Aptos"/>
                <w:sz w:val="20"/>
                <w:szCs w:val="20"/>
              </w:rPr>
              <w:instrText xml:space="preserve"> ADDIN ZOTERO_ITEM CSL_CITATION {"citationID":"UcBxN62L","properties":{"formattedCitation":"\\super 46,49\\uc0\\u8211{}53\\nosupersub{}","plainCitation":"46,49–53","noteIndex":0},"citationItems":[{"id":441,"uris":["http://zotero.org/users/local/qbj29eOf/items/U6X2RUVH"],"itemData":{"id":441,"type":"article-journal","container-title":"Frontiers in Neurology","DOI":"10.3389/fneur.2018.01100","ISSN":"1664-2295","journalAbbreviation":"Front. Neurol.","page":"1100","source":"DOI.org (Crossref)","title":"PLA2G6-Associated Neurodegeneration (PLAN): Review of Clinical Phenotypes and Genotypes","title-short":"PLA2G6-Associated Neurodegeneration (PLAN)","volume":"9","author":[{"family":"Guo","given":"Yu-pei"},{"family":"Tang","given":"Bei-sha"},{"family":"Guo","given":"Ji-feng"}],"issued":{"date-parts":[["2018",12,18]]}},"label":"page"},{"id":423,"uris":["http://zotero.org/users/local/qbj29eOf/items/CNNWTBB4"],"itemData":{"id":423,"type":"article-journal","container-title":"European Journal of Neurology","DOI":"10.1111/j.1468-1331.2008.02356.x","ISSN":"13515101, 14681331","issue":"1","language":"en","page":"101-104","source":"DOI.org (Crossref)","title":"R632W mutation in &lt;i&gt;PLA2G6&lt;/i&gt; segregates with dystonia-parkinsonism in a consanguineous Iranian family","volume":"16","author":[{"family":"Sina","given":"F."},{"family":"Shojaee","given":"S."},{"family":"Elahi","given":"E."},{"family":"Paisán-Ruiz","given":"C."}],"issued":{"date-parts":[["2009",1]]}},"label":"page"},{"id":424,"uris":["http://zotero.org/users/local/qbj29eOf/items/5HIIABUT"],"itemData":{"id":424,"type":"article-journal","container-title":"Annals of Neurology","DOI":"10.1002/ana.21415","ISSN":"03645134, 15318249","issue":"1","journalAbbreviation":"Ann Neurol.","language":"en","page":"19-23","source":"DOI.org (Crossref)","title":"Characterization of PLA2G6 as a locus for dystonia-parkinsonism","volume":"65","author":[{"family":"Paisan-Ruiz","given":"Coro"},{"family":"Bhatia","given":"Kailash P."},{"family":"Li","given":"Abi"},{"family":"Hernandez","given":"Dena"},{"family":"Davis","given":"Mary"},{"family":"Wood","given":"Nick W."},{"family":"Hardy","given":"John"},{"family":"Houlden","given":"Henry"},{"family":"Singleton","given":"Andrew"},{"family":"Schneider","given":"Susanne A."}],"issued":{"date-parts":[["2008",6,20]]}},"label":"page"},{"id":432,"uris":["http://zotero.org/users/local/qbj29eOf/items/BYWBQ8JY"],"itemData":{"id":432,"type":"article-journal","container-title":"Movement Disorders Clinical Practice","DOI":"10.1002/mdc3.12030","ISSN":"23301619","issue":"2","journalAbbreviation":"Mov Disord Clin Pract","language":"en","page":"128-131","source":"DOI.org (Crossref)","title":"Atypical &lt;i&gt;PLA2G6&lt;/i&gt; -Associated Neurodegeneration: Social Communication Impairment, Dystonia and Response to Deep Brain Stimulation","title-short":"Atypical &lt;i&gt;PLA2G6&lt;/i&gt; -Associated Neurodegeneration","volume":"1","author":[{"family":"Cif","given":"Laura"},{"family":"Kurian","given":"Manju A."},{"family":"Gonzalez","given":"Victoria"},{"family":"Garcia-Ptacek","given":"Sara"},{"family":"Roujeau","given":"Thomas"},{"family":"Gelisse","given":"Philippe"},{"family":"Moura De Ribeiro","given":"Ana Maria"},{"family":"Crespel","given":"Arielle"},{"family":"MacPherson","given":"Lesley"},{"family":"Coubes","given":"Philippe"}],"issued":{"date-parts":[["2014",6]]}},"label":"page"},{"id":433,"uris":["http://zotero.org/users/local/qbj29eOf/items/9PVKNHNB"],"itemData":{"id":433,"type":"article-journal","container-title":"Molecular Genetics and Metabolism","DOI":"10.1016/j.ymgme.2014.03.008","ISSN":"10967192","issue":"2","journalAbbreviation":"Molecular Genetics and Metabolism","language":"en","page":"183-189","source":"DOI.org (Crossref)","title":"PLA2G6-associated neurodegeneration (PLAN): Further expansion of the clinical, radiological and mutation spectrum associated with infantile and atypical childhood-onset disease","title-short":"PLA2G6-associated neurodegeneration (PLAN)","volume":"112","author":[{"family":"Illingworth","given":"M.A."},{"family":"Meyer","given":"E."},{"family":"Chong","given":"W.K."},{"family":"Manzur","given":"A.Y."},{"family":"Carr","given":"L.J."},{"family":"Younis","given":"R."},{"family":"Hardy","given":"C."},{"family":"McDonald","given":"F."},{"family":"Childs","given":"A.M."},{"family":"Stewart","given":"B."},{"family":"Warren","given":"D."},{"family":"Kneen","given":"R."},{"family":"King","given":"M.D."},{"family":"Hayflick","given":"S.J."},{"family":"Kurian","given":"M.A."}],"issued":{"date-parts":[["2014",6]]}},"label":"page"},{"id":438,"uris":["http://zotero.org/users/local/qbj29eOf/items/3HWQS643"],"itemData":{"id":438,"type":"article-journal","container-title":"Clinical Genetics","DOI":"10.1111/cge.13008","ISSN":"00099163","issue":"5","journalAbbreviation":"Clin Genet","language":"en","page":"534-539","source":"DOI.org (Crossref)","title":"PLA2G6 mutations associated with a continuous clinical spectrum from neuroaxonal dystrophy to hereditary spastic paraplegia","volume":"92","author":[{"family":"Ozes","given":"B."},{"family":"Karagoz","given":"N."},{"family":"Schüle","given":"R."},{"family":"Rebelo","given":"A."},{"family":"Sobrido","given":"M.-J."},{"family":"Harmuth","given":"F."},{"family":"Synofzik","given":"M."},{"family":"Pascual","given":"S.I.P."},{"family":"Colak","given":"M."},{"family":"Ciftci-Kavaklioglu","given":"B."},{"family":"Kara","given":"B."},{"family":"Ordóñez-Ugalde","given":"A."},{"family":"Quintáns","given":"B."},{"family":"Gonzalez","given":"M.A."},{"family":"Soysal","given":"A."},{"family":"Zuchner","given":"S."},{"family":"Battaloglu","given":"E."}],"issued":{"date-parts":[["2017",11]]}},"label":"page"}],"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46,49–53</w:t>
            </w:r>
            <w:r w:rsidRPr="005500F7">
              <w:rPr>
                <w:rFonts w:ascii="Aptos" w:hAnsi="Aptos"/>
                <w:sz w:val="20"/>
                <w:szCs w:val="20"/>
              </w:rPr>
              <w:fldChar w:fldCharType="end"/>
            </w:r>
          </w:p>
        </w:tc>
      </w:tr>
      <w:tr w:rsidR="005500F7" w:rsidRPr="005500F7" w14:paraId="42159DF4" w14:textId="77777777" w:rsidTr="002C08A9">
        <w:trPr>
          <w:trHeight w:val="963"/>
        </w:trPr>
        <w:tc>
          <w:tcPr>
            <w:tcW w:w="593" w:type="pct"/>
            <w:tcBorders>
              <w:top w:val="single" w:sz="4" w:space="0" w:color="auto"/>
              <w:left w:val="nil"/>
              <w:bottom w:val="single" w:sz="4" w:space="0" w:color="auto"/>
              <w:right w:val="nil"/>
            </w:tcBorders>
            <w:shd w:val="clear" w:color="auto" w:fill="auto"/>
            <w:vAlign w:val="center"/>
          </w:tcPr>
          <w:p w14:paraId="1BEA0BDF" w14:textId="2C4E9113" w:rsidR="005500F7" w:rsidRPr="005500F7" w:rsidRDefault="005500F7" w:rsidP="00257457">
            <w:pPr>
              <w:spacing w:after="0" w:line="240" w:lineRule="auto"/>
              <w:rPr>
                <w:rFonts w:ascii="Aptos" w:hAnsi="Aptos"/>
                <w:b/>
                <w:sz w:val="20"/>
                <w:szCs w:val="20"/>
              </w:rPr>
            </w:pPr>
            <w:r w:rsidRPr="005500F7">
              <w:rPr>
                <w:rFonts w:ascii="Aptos" w:hAnsi="Aptos"/>
                <w:b/>
                <w:i/>
                <w:iCs/>
                <w:sz w:val="20"/>
                <w:szCs w:val="20"/>
              </w:rPr>
              <w:t>SGCE</w:t>
            </w:r>
          </w:p>
        </w:tc>
        <w:tc>
          <w:tcPr>
            <w:tcW w:w="4407" w:type="pct"/>
            <w:tcBorders>
              <w:top w:val="single" w:sz="4" w:space="0" w:color="auto"/>
              <w:left w:val="nil"/>
              <w:bottom w:val="single" w:sz="4" w:space="0" w:color="auto"/>
              <w:right w:val="nil"/>
            </w:tcBorders>
            <w:shd w:val="clear" w:color="auto" w:fill="auto"/>
            <w:vAlign w:val="center"/>
          </w:tcPr>
          <w:p w14:paraId="7CD63E01" w14:textId="5D2061B0" w:rsidR="005500F7" w:rsidRPr="005500F7" w:rsidRDefault="005500F7" w:rsidP="00257457">
            <w:pPr>
              <w:spacing w:after="0" w:line="240" w:lineRule="auto"/>
              <w:jc w:val="center"/>
              <w:rPr>
                <w:rFonts w:ascii="Aptos" w:hAnsi="Aptos" w:cs="Segoe UI"/>
                <w:sz w:val="20"/>
                <w:szCs w:val="20"/>
              </w:rPr>
            </w:pPr>
            <w:r w:rsidRPr="005500F7">
              <w:rPr>
                <w:rFonts w:ascii="Aptos" w:hAnsi="Aptos" w:cs="Segoe UI"/>
                <w:sz w:val="20"/>
                <w:szCs w:val="20"/>
              </w:rPr>
              <w:t xml:space="preserve">In </w:t>
            </w:r>
            <w:r w:rsidRPr="005500F7">
              <w:rPr>
                <w:rFonts w:ascii="Aptos" w:hAnsi="Aptos" w:cs="Segoe UI"/>
                <w:i/>
                <w:iCs/>
                <w:sz w:val="20"/>
                <w:szCs w:val="20"/>
              </w:rPr>
              <w:t>SGCE</w:t>
            </w:r>
            <w:r w:rsidR="00264446">
              <w:rPr>
                <w:rFonts w:ascii="Aptos" w:hAnsi="Aptos" w:cs="Segoe UI"/>
                <w:i/>
                <w:iCs/>
                <w:sz w:val="20"/>
                <w:szCs w:val="20"/>
              </w:rPr>
              <w:t xml:space="preserve"> </w:t>
            </w:r>
            <w:r w:rsidR="00264446" w:rsidRPr="00264446">
              <w:rPr>
                <w:rFonts w:ascii="Aptos" w:hAnsi="Aptos" w:cs="Segoe UI"/>
                <w:sz w:val="20"/>
                <w:szCs w:val="20"/>
              </w:rPr>
              <w:t>carriers</w:t>
            </w:r>
            <w:r w:rsidRPr="005500F7">
              <w:rPr>
                <w:rFonts w:ascii="Aptos" w:hAnsi="Aptos" w:cs="Segoe UI"/>
                <w:i/>
                <w:iCs/>
                <w:sz w:val="20"/>
                <w:szCs w:val="20"/>
              </w:rPr>
              <w:t>,</w:t>
            </w:r>
            <w:r w:rsidRPr="005500F7">
              <w:rPr>
                <w:rFonts w:ascii="Aptos" w:hAnsi="Aptos"/>
                <w:sz w:val="20"/>
                <w:szCs w:val="20"/>
              </w:rPr>
              <w:t xml:space="preserve"> </w:t>
            </w:r>
            <w:r w:rsidRPr="005500F7">
              <w:rPr>
                <w:rFonts w:ascii="Aptos" w:hAnsi="Aptos" w:cs="Segoe UI"/>
                <w:sz w:val="20"/>
                <w:szCs w:val="20"/>
              </w:rPr>
              <w:t>mutations are inherited in an autosomal-dominant pattern and it is characterized by myoclonic jerks, usually the most and main disabling feature, predominance in the neck and upper limbs.</w:t>
            </w:r>
            <w:r w:rsidRPr="005500F7">
              <w:rPr>
                <w:rFonts w:ascii="Aptos" w:hAnsi="Aptos" w:cs="Segoe UI"/>
                <w:sz w:val="20"/>
                <w:szCs w:val="20"/>
                <w:lang w:val="en-US"/>
              </w:rPr>
              <w:fldChar w:fldCharType="begin"/>
            </w:r>
            <w:r w:rsidRPr="005500F7">
              <w:rPr>
                <w:rFonts w:ascii="Aptos" w:hAnsi="Aptos" w:cs="Segoe UI"/>
                <w:sz w:val="20"/>
                <w:szCs w:val="20"/>
              </w:rPr>
              <w:instrText xml:space="preserve"> ADDIN ZOTERO_ITEM CSL_CITATION {"citationID":"OTpe7ulg","properties":{"formattedCitation":"\\super 57\\uc0\\u8211{}64\\nosupersub{}","plainCitation":"57–64","noteIndex":0},"citationItems":[{"id":498,"uris":["http://zotero.org/users/local/qbj29eOf/items/8Q4UFF3J"],"itemData":{"id":498,"type":"article-journal","container-title":"Current Opinion in Neurology","DOI":"10.1097/WCO.0000000000000577","ISSN":"1350-7540, 1473-6551","issue":"4","language":"en","page":"484-490","source":"DOI.org (Crossref)","title":"Myoclonus-dystonia: classification, phenomenology, pathogenesis, and treatment","title-short":"Myoclonus-dystonia","volume":"31","author":[{"family":"Roze","given":"Emmanuel"},{"family":"Lang","given":"Anthony E."},{"family":"Vidailhet","given":"Marie"}],"issued":{"date-parts":[["2018",8]]}},"label":"page"},{"id":508,"uris":["http://zotero.org/users/local/qbj29eOf/items/3YFCS7H3"],"itemData":{"id":508,"type":"article-journal","container-title":"Neurology","DOI":"10.1212/01.WNL.0000151979.68010.9B","ISSN":"0028-3878, 1526-632X","issue":"4","journalAbbreviation":"Neurology","language":"en","page":"737-739","source":"DOI.org (Crossref)","title":"The epsilon-sarcoglycan gene in myoclonic syndromes","volume":"64","author":[{"family":"Valente","given":"E. M."},{"family":"Edwards","given":"M. J."},{"family":"Mir","given":"P."},{"family":"DiGiorgio","given":"A."},{"family":"Salvi","given":"S."},{"family":"Davis","given":"M."},{"family":"Russo","given":"N."},{"family":"Bozi","given":"M."},{"family":"Kim","given":"H. -T."},{"family":"Pennisi","given":"G."},{"family":"Quinn","given":"N."},{"family":"Dallapiccola","given":"B."},{"family":"Bhatia","given":"K. P."}],"issued":{"date-parts":[["2005",2,22]]}},"label":"page"},{"id":496,"uris":["http://zotero.org/users/local/qbj29eOf/items/F3L3TJNI"],"itemData":{"id":496,"type":"article-journal","container-title":"Movement Disorders","DOI":"10.1002/mds.25506","ISSN":"08853185","issue":"6","journalAbbreviation":"Mov Disord.","language":"en","page":"787-794","source":"DOI.org (Crossref)","title":"Defining the Epsilon-Sarcoglycan (SGCE) Gene Phenotypic Signature in Myoclonus-Dystonia: A Reappraisal of Genetic Testing Criteria: Reappraisal of &lt;i&gt;SGCE&lt;/i&gt; Genetic Testing Criteria","title-short":"Defining the Epsilon-Sarcoglycan (SGCE) Gene Phenotypic Signature in Myoclonus-Dystonia","volume":"28","author":[{"family":"Carecchio","given":"Miryam"},{"family":"Magliozzi","given":"Monia"},{"family":"Copetti","given":"Massimiliano"},{"family":"Ferraris","given":"Alessandro"},{"family":"Bernardini","given":"Laura"},{"family":"Bonetti","given":"Monica"},{"family":"Defazio","given":"Giovanni"},{"family":"Edwards","given":"Mark J."},{"family":"Torrente","given":"Isabella"},{"family":"Pellegrini","given":"Fabio"},{"family":"Comi","given":"Cristoforo"},{"family":"Bhatia","given":"Kailash P."},{"family":"Valente","given":"Enza Maria"}],"issued":{"date-parts":[["2013",6]]}},"label":"page"},{"id":497,"uris":["http://zotero.org/users/local/qbj29eOf/items/FRXQXP7M"],"itemData":{"id":497,"type":"chapter","container-title":"Genetics of Movement Disorders","ISBN":"978-0-12-566652-7","language":"en","note":"DOI: 10.1016/B978-012566652-7/50042-3","page":"451-471","publisher":"Elsevier","source":"DOI.org (Crossref)","title":"Myoclonus and Myoclonus-Dystonias","URL":"https://linkinghub.elsevier.com/retrieve/pii/B9780125666527500423","author":[{"family":"Klein","given":"Christine"}],"accessed":{"date-parts":[["2023",9,7]]},"issued":{"date-parts":[["2003"]]}},"label":"page"},{"id":501,"uris":["http://zotero.org/users/local/qbj29eOf/items/4E37UU73"],"itemData":{"id":501,"type":"article-journal","container-title":"Human Mutation","DOI":"10.1002/humu.9521","ISSN":"10597794, 10981004","issue":"2","journalAbbreviation":"Hum. Mutat.","language":"en","page":"331-332","source":"DOI.org (Crossref)","title":"Myoclonus-dystonia: significance of large &lt;i&gt;SGCE&lt;/i&gt; deletions","title-short":"Myoclonus-dystonia","volume":"29","author":[{"family":"Grünewald","given":"A."},{"family":"Djarmati","given":"A."},{"family":"Lohmann-Hedrich","given":"K."},{"family":"Farrell","given":"K."},{"family":"Zeller","given":"J.A."},{"family":"Allert","given":"N."},{"family":"Papengut","given":"F."},{"family":"Petersen","given":"B."},{"family":"Fung","given":"V."},{"family":"Sue","given":"C.M."},{"family":"O'Sullivan","given":"D."},{"family":"Mahant","given":"N."},{"family":"Kupsch","given":"A."},{"family":"Chuang","given":"R.S."},{"family":"Wiegers","given":"K."},{"family":"Pawlack","given":"H."},{"family":"Hagenah","given":"J."},{"family":"Ozelius","given":"L.J."},{"family":"Stephani","given":"U."},{"family":"Schuit","given":"R."},{"family":"Lang","given":"A.E."},{"family":"Volkmann","given":"J."},{"family":"Münchau","given":"A."},{"family":"Klein","given":"C."}],"issued":{"date-parts":[["2008",2]]}},"label":"page"},{"id":507,"uris":["http://zotero.org/users/local/qbj29eOf/items/N3GV8DX7"],"itemData":{"id":507,"type":"article-journal","container-title":"Annals of Neurology","DOI":"10.1002/ana.20661","ISSN":"03645134, 15318249","issue":"5","journalAbbreviation":"Ann Neurol.","language":"en","page":"792-797","source":"DOI.org (Crossref)","title":"Myoclonus-dystonia due to genomic deletions in the epsilon-sarcoglycan gene","volume":"58","author":[{"family":"Asmus","given":"Friedrich"},{"family":"Salih","given":"Farid"},{"family":"Hjermind","given":"Lena Elisabeth"},{"family":"Ostergaard","given":"Karen"},{"family":"Munz","given":"Marita"},{"family":"Kühn","given":"Andrea A."},{"family":"Dupont","given":"Erik"},{"family":"Kupsch","given":"Andreas"},{"family":"Gasser","given":"Thomas"}],"issued":{"date-parts":[["2005",11]]}},"label":"page"},{"id":509,"uris":["http://zotero.org/users/local/qbj29eOf/items/ZAK4FM7M"],"itemData":{"id":509,"type":"article-journal","container-title":"Neurology","DOI":"10.1212/01.WNL.0000061480.86610.BF","ISSN":"0028-3878, 1526-632X","issue":"9","journalAbbreviation":"Neurology","language":"en","page":"1536-1539","source":"DOI.org (Crossref)","title":"A novel mutation in the -sarcoglycan gene causing myoclonus-dystonia syndrome","volume":"60","author":[{"family":"Hjermind","given":"L. E."},{"family":"Werdelin","given":"L. M."},{"family":"Eiberg","given":"H."},{"family":"Krag-Olsen","given":"B."},{"family":"Dupont","given":"E."},{"family":"Sorensen","given":"S. A."}],"issued":{"date-parts":[["2003",5,13]]}},"label":"page"},{"id":510,"uris":["http://zotero.org/users/local/qbj29eOf/items/T7QWBI4I"],"itemData":{"id":510,"type":"article-journal","container-title":"Journal of Neurology, Neurosurgery &amp; Psychiatry","DOI":"10.1136/jnnp.2003.027177","ISSN":"0022-3050","issue":"8","journalAbbreviation":"Journal of Neurology, Neurosurgery &amp; Psychiatry","language":"en","page":"1181-1185","source":"DOI.org (Crossref)","title":"Genetic heterogeneity in ten families with myoclonus-dystonia","volume":"75","author":[{"family":"Schule","given":"B"}],"issued":{"date-parts":[["2004",8,1]]}},"label":"page"}],"schema":"https://github.com/citation-style-language/schema/raw/master/csl-citation.json"} </w:instrText>
            </w:r>
            <w:r w:rsidRPr="005500F7">
              <w:rPr>
                <w:rFonts w:ascii="Aptos" w:hAnsi="Aptos" w:cs="Segoe UI"/>
                <w:sz w:val="20"/>
                <w:szCs w:val="20"/>
                <w:lang w:val="en-US"/>
              </w:rPr>
              <w:fldChar w:fldCharType="separate"/>
            </w:r>
            <w:r w:rsidRPr="005500F7">
              <w:rPr>
                <w:rFonts w:ascii="Aptos" w:hAnsi="Aptos"/>
                <w:sz w:val="20"/>
                <w:szCs w:val="20"/>
                <w:vertAlign w:val="superscript"/>
              </w:rPr>
              <w:t>57–64</w:t>
            </w:r>
            <w:r w:rsidRPr="005500F7">
              <w:rPr>
                <w:rFonts w:ascii="Aptos" w:hAnsi="Aptos" w:cs="Segoe UI"/>
                <w:sz w:val="20"/>
                <w:szCs w:val="20"/>
              </w:rPr>
              <w:fldChar w:fldCharType="end"/>
            </w:r>
            <w:r w:rsidRPr="005500F7">
              <w:rPr>
                <w:rFonts w:ascii="Aptos" w:hAnsi="Aptos" w:cs="Segoe UI"/>
                <w:sz w:val="20"/>
                <w:szCs w:val="20"/>
              </w:rPr>
              <w:t xml:space="preserve"> Initial symptoms are restricted to the neck and upper extremities and remain mostly focal or segmental,</w:t>
            </w:r>
            <w:r w:rsidRPr="005500F7">
              <w:rPr>
                <w:rFonts w:ascii="Aptos" w:hAnsi="Aptos" w:cs="Segoe UI"/>
                <w:sz w:val="20"/>
                <w:szCs w:val="20"/>
                <w:lang w:val="en-US"/>
              </w:rPr>
              <w:fldChar w:fldCharType="begin"/>
            </w:r>
            <w:r w:rsidRPr="005500F7">
              <w:rPr>
                <w:rFonts w:ascii="Aptos" w:hAnsi="Aptos" w:cs="Segoe UI"/>
                <w:sz w:val="20"/>
                <w:szCs w:val="20"/>
              </w:rPr>
              <w:instrText xml:space="preserve"> ADDIN ZOTERO_ITEM CSL_CITATION {"citationID":"3shx2g2y","properties":{"formattedCitation":"\\super 65\\uc0\\u8211{}67\\nosupersub{}","plainCitation":"65–67","noteIndex":0},"citationItems":[{"id":512,"uris":["http://zotero.org/users/local/qbj29eOf/items/HTJVPTJW"],"itemData":{"id":512,"type":"article-journal","container-title":"Journal of Neurology, Neurosurgery &amp; Psychiatry","DOI":"10.1136/jnnp.2008.162099","ISSN":"0022-3050","issue":"6","journalAbbreviation":"Journal of Neurology, Neurosurgery &amp; Psychiatry","language":"en","page":"653-658","source":"DOI.org (Crossref)","title":"Myoclonus-dystonia: clinical and genetic evaluation of a large cohort","title-short":"Myoclonus-dystonia","volume":"80","author":[{"family":"Ritz","given":"K"},{"family":"Gerrits","given":"M C F"},{"family":"Foncke","given":"E M J"},{"family":"Van Ruissen","given":"F"},{"family":"Van Der Linden","given":"C"},{"family":"Vergouwen","given":"M D I"},{"family":"Bloem","given":"B R"},{"family":"Vandenberghe","given":"W"},{"family":"Crols","given":"R"},{"family":"Speelman","given":"J D"},{"family":"Baas","given":"F"},{"family":"Tijssen","given":"M A J"}],"issued":{"date-parts":[["2009",6,1]]}},"label":"page"},{"id":499,"uris":["http://zotero.org/users/local/qbj29eOf/items/7IF57AUW"],"itemData":{"id":499,"type":"article-journal","container-title":"Movement Disorders","DOI":"10.1002/mds.21715","ISSN":"08853185","issue":"1","journalAbbreviation":"Mov. Disord.","language":"en","page":"28-34","source":"DOI.org (Crossref)","title":"Myoclonus-dystonia syndrome: Clinical presentation, disease course, and genetic features in 11 families: A Clinical and Genetic Study of MDS","title-short":"Myoclonus-dystonia syndrome","volume":"23","author":[{"family":"Nardocci","given":"Nardo"},{"family":"Zorzi","given":"Giovanna"},{"family":"Barzaghi","given":"Chiara"},{"family":"Zibordi","given":"Federica"},{"family":"Ciano","given":"Claudia"},{"family":"Ghezzi","given":"Daniele"},{"family":"Garavaglia","given":"Barbara"}],"issued":{"date-parts":[["2008",1]]}},"label":"page"},{"id":514,"uris":["http://zotero.org/users/local/qbj29eOf/items/2L827EMZ"],"itemData":{"id":514,"type":"article-journal","container-title":"European Journal of Neurology","DOI":"10.1111/j.1468-1331.2008.02116.x","ISSN":"1351-5101, 1468-1331","issue":"5","journalAbbreviation":"Eur J Neurol","language":"en","page":"525-529","source":"DOI.org (Crossref)","title":"No muscle involvement in myoclonus-dystonia caused by </w:instrText>
            </w:r>
            <w:r w:rsidRPr="005500F7">
              <w:rPr>
                <w:rFonts w:ascii="Aptos" w:hAnsi="Aptos" w:cs="Arial"/>
                <w:sz w:val="20"/>
                <w:szCs w:val="20"/>
              </w:rPr>
              <w:instrText>ɛ</w:instrText>
            </w:r>
            <w:r w:rsidRPr="005500F7">
              <w:rPr>
                <w:rFonts w:ascii="Aptos" w:hAnsi="Aptos" w:cs="Segoe UI"/>
                <w:sz w:val="20"/>
                <w:szCs w:val="20"/>
              </w:rPr>
              <w:instrText xml:space="preserve">-sarcoglycan gene mutations","volume":"15","author":[{"family":"Hjermind","given":"L. E."},{"family":"Vissing","given":"J."},{"family":"Asmus","given":"F."},{"family":"Krag","given":"T."},{"family":"Lochmüller","given":"H."},{"family":"Walter","given":"M. C."},{"family":"Erdal","given":"J."},{"family":"Blake","given":"D. J."},{"family":"Nielsen","given":"J. E."}],"issued":{"date-parts":[["2008",5]]}},"label":"page"}],"schema":"https://github.com/citation-style-language/schema/raw/master/csl-citation.json"} </w:instrText>
            </w:r>
            <w:r w:rsidRPr="005500F7">
              <w:rPr>
                <w:rFonts w:ascii="Aptos" w:hAnsi="Aptos" w:cs="Segoe UI"/>
                <w:sz w:val="20"/>
                <w:szCs w:val="20"/>
                <w:lang w:val="en-US"/>
              </w:rPr>
              <w:fldChar w:fldCharType="separate"/>
            </w:r>
            <w:r w:rsidRPr="005500F7">
              <w:rPr>
                <w:rFonts w:ascii="Aptos" w:hAnsi="Aptos"/>
                <w:sz w:val="20"/>
                <w:szCs w:val="20"/>
                <w:vertAlign w:val="superscript"/>
              </w:rPr>
              <w:t>65–67</w:t>
            </w:r>
            <w:r w:rsidRPr="005500F7">
              <w:rPr>
                <w:rFonts w:ascii="Aptos" w:hAnsi="Aptos" w:cs="Segoe UI"/>
                <w:sz w:val="20"/>
                <w:szCs w:val="20"/>
              </w:rPr>
              <w:fldChar w:fldCharType="end"/>
            </w:r>
            <w:r w:rsidRPr="005500F7">
              <w:rPr>
                <w:rFonts w:ascii="Aptos" w:hAnsi="Aptos" w:cs="Segoe UI"/>
                <w:sz w:val="20"/>
                <w:szCs w:val="20"/>
              </w:rPr>
              <w:t xml:space="preserve"> Patients may experience psychiatric issues.</w:t>
            </w:r>
            <w:r w:rsidRPr="005500F7">
              <w:rPr>
                <w:rFonts w:ascii="Aptos" w:hAnsi="Aptos" w:cs="Segoe UI"/>
                <w:sz w:val="20"/>
                <w:szCs w:val="20"/>
                <w:lang w:val="en-US"/>
              </w:rPr>
              <w:fldChar w:fldCharType="begin"/>
            </w:r>
            <w:r w:rsidRPr="005500F7">
              <w:rPr>
                <w:rFonts w:ascii="Aptos" w:hAnsi="Aptos" w:cs="Segoe UI"/>
                <w:sz w:val="20"/>
                <w:szCs w:val="20"/>
              </w:rPr>
              <w:instrText xml:space="preserve"> ADDIN ZOTERO_ITEM CSL_CITATION {"citationID":"XEbgNcM7","properties":{"formattedCitation":"\\super 57,59,65,68\\nosupersub{}","plainCitation":"57,59,65,68","noteIndex":0},"citationItems":[{"id":496,"uris":["http://zotero.org/users/local/qbj29eOf/items/F3L3TJNI"],"itemData":{"id":496,"type":"article-journal","container-title":"Movement Disorders","DOI":"10.1002/mds.25506","ISSN":"08853185","issue":"6","journalAbbreviation":"Mov Disord.","language":"en","page":"787-794","source":"DOI.org (Crossref)","title":"Defining the Epsilon-Sarcoglycan (SGCE) Gene Phenotypic Signature in Myoclonus-Dystonia: A Reappraisal of Genetic Testing Criteria: Reappraisal of &lt;i&gt;SGCE&lt;/i&gt; Genetic Testing Criteria","title-short":"Defining the Epsilon-Sarcoglycan (SGCE) Gene Phenotypic Signature in Myoclonus-Dystonia","volume":"28","author":[{"family":"Carecchio","given":"Miryam"},{"family":"Magliozzi","given":"Monia"},{"family":"Copetti","given":"Massimiliano"},{"family":"Ferraris","given":"Alessandro"},{"family":"Bernardini","given":"Laura"},{"family":"Bonetti","given":"Monica"},{"family":"Defazio","given":"Giovanni"},{"family":"Edwards","given":"Mark J."},{"family":"Torrente","given":"Isabella"},{"family":"Pellegrini","given":"Fabio"},{"family":"Comi","given":"Cristoforo"},{"family":"Bhatia","given":"Kailash P."},{"family":"Valente","given":"Enza Maria"}],"issued":{"date-parts":[["2013",6]]}},"label":"page"},{"id":498,"uris":["http://zotero.org/users/local/qbj29eOf/items/8Q4UFF3J"],"itemData":{"id":498,"type":"article-journal","container-title":"Current Opinion in Neurology","DOI":"10.1097/WCO.0000000000000577","ISSN":"1350-7540, 1473-6551","issue":"4","language":"en","page":"484-490","source":"DOI.org (Crossref)","title":"Myoclonus-dystonia: classification, phenomenology, pathogenesis, and treatment","title-short":"Myoclonus-dystonia","volume":"31","author":[{"family":"Roze","given":"Emmanuel"},{"family":"Lang","given":"Anthony E."},{"family":"Vidailhet","given":"Marie"}],"issued":{"date-parts":[["2018",8]]}},"label":"page"},{"id":512,"uris":["http://zotero.org/users/local/qbj29eOf/items/HTJVPTJW"],"itemData":{"id":512,"type":"article-journal","container-title":"Journal of Neurology, Neurosurgery &amp; Psychiatry","DOI":"10.1136/jnnp.2008.162099","ISSN":"0022-3050","issue":"6","journalAbbreviation":"Journal of Neurology, Neurosurgery &amp; Psychiatry","language":"en","page":"653-658","source":"DOI.org (Crossref)","title":"Myoclonus-dystonia: clinical and genetic evaluation of a large cohort","title-short":"Myoclonus-dystonia","volume":"80","author":[{"family":"Ritz","given":"K"},{"family":"Gerrits","given":"M C F"},{"family":"Foncke","given":"E M J"},{"family":"Van Ruissen","given":"F"},{"family":"Van Der Linden","given":"C"},{"family":"Vergouwen","given":"M D I"},{"family":"Bloem","given":"B R"},{"family":"Vandenberghe","given":"W"},{"family":"Crols","given":"R"},{"family":"Speelman","given":"J D"},{"family":"Baas","given":"F"},{"family":"Tijssen","given":"M A J"}],"issued":{"date-parts":[["2009",6,1]]}},"label":"page"},{"id":506,"uris":["http://zotero.org/users/local/qbj29eOf/items/WGSKMAPX"],"itemData":{"id":506,"type":"article-journal","abstract":"Background:\n              \n              Inherited myoclonus–dystonia (M-D) is a disorder that is characterized primarily by myoclonic jerks and is often accompanied by dystonia. In addition to motor features, psychiatric disease is reported in some families.\n            \n            \n              \n                Methods:\n              \n              To determine whether the same genetic etiology underlies both neurologic and psychiatric signs, the authors studied psychiatric symptoms in nonmanifesting carriers (NMC), noncarriers (NC), and manifesting carriers (MC) in three families demonstrating linkage of M-D to the 7q21 locus. Interviewers administered the computerized version of the Composite International Diagnostic Interview. Algorithms for the\n              Diagnostic and Statistical Manual of Mental Disorders, Fourth Edition\n              diagnosis of obsessive–compulsive disorder (OCD), generalized anxiety disorder, major affective disorder, alcohol abuse, alcohol dependence, drug abuse, and drug dependence were used. Rates of disorders among the MC, NMC, and NC were compared.\n            \n            \n              \n                Results:\n              \n              Of 55 participating individuals, 16 were MC, 11 were NMC, and 28 were NC. The rate of OCD was greater in carriers (5/27) compared with NC (0/28) (\n              p\n              = 0.023). It was also greater in the symptomatic gene carriers (4/16) compared with the asymptomatic group (1/11) (\n              p\n              = 0.022). Alcohol dependence was increased in the symptomatic carriers (7/16) (\n              p\n              = 0.027), but not in the carrier group overall (7/27).\n            \n            \n              \n                Conclusion:\n              \n              OCD may be associated with the\n              DYT11\n              M-D gene; however, a larger sample is necessary to confirm this finding. Alcohol dependence is highly associated with expressing symptoms of M-D. This may be explained by self-medication with alcohol to improve motor symptoms of M-D.","container-title":"Neurology","DOI":"10.1212/WNL.58.2.242","ISSN":"0028-3878, 1526-632X","issue":"2","journalAbbreviation":"Neurology","language":"en","page":"242-245","source":"DOI.org (Crossref)","title":"Myoclonus dystonia: Possible association with obsessive–compulsive disorder and alcohol dependence","title-short":"Myoclonus dystonia","volume":"58","author":[{"family":"Saunders–Pullman","given":"R."},{"family":"Shriberg","given":"J."},{"family":"Heiman","given":"G."},{"family":"Raymond","given":"D."},{"family":"Wendt","given":"K."},{"family":"Kramer","given":"P."},{"family":"Schilling","given":"K."},{"family":"Kurlan","given":"R."},{"family":"Klein","given":"C."},{"family":"Ozelius","given":"L. J."},{"family":"Risch","given":"N. J."},{"family":"Bressman","given":"S. B."}],"issued":{"date-parts":[["2002",1,22]]}},"label":"page"}],"schema":"https://github.com/citation-style-language/schema/raw/master/csl-citation.json"} </w:instrText>
            </w:r>
            <w:r w:rsidRPr="005500F7">
              <w:rPr>
                <w:rFonts w:ascii="Aptos" w:hAnsi="Aptos" w:cs="Segoe UI"/>
                <w:sz w:val="20"/>
                <w:szCs w:val="20"/>
                <w:lang w:val="en-US"/>
              </w:rPr>
              <w:fldChar w:fldCharType="separate"/>
            </w:r>
            <w:r w:rsidRPr="005500F7">
              <w:rPr>
                <w:rFonts w:ascii="Aptos" w:hAnsi="Aptos"/>
                <w:sz w:val="20"/>
                <w:szCs w:val="20"/>
                <w:vertAlign w:val="superscript"/>
              </w:rPr>
              <w:t>57,59,65,68</w:t>
            </w:r>
            <w:r w:rsidRPr="005500F7">
              <w:rPr>
                <w:rFonts w:ascii="Aptos" w:hAnsi="Aptos" w:cs="Segoe UI"/>
                <w:sz w:val="20"/>
                <w:szCs w:val="20"/>
              </w:rPr>
              <w:fldChar w:fldCharType="end"/>
            </w:r>
          </w:p>
        </w:tc>
      </w:tr>
      <w:tr w:rsidR="005500F7" w:rsidRPr="005500F7" w14:paraId="13CCCAE5" w14:textId="77777777" w:rsidTr="002C08A9">
        <w:trPr>
          <w:trHeight w:val="1119"/>
        </w:trPr>
        <w:tc>
          <w:tcPr>
            <w:tcW w:w="593" w:type="pct"/>
            <w:tcBorders>
              <w:top w:val="single" w:sz="4" w:space="0" w:color="auto"/>
              <w:left w:val="nil"/>
              <w:bottom w:val="single" w:sz="4" w:space="0" w:color="auto"/>
              <w:right w:val="nil"/>
            </w:tcBorders>
            <w:shd w:val="clear" w:color="auto" w:fill="auto"/>
            <w:vAlign w:val="center"/>
          </w:tcPr>
          <w:p w14:paraId="52598191" w14:textId="3E508A55" w:rsidR="005500F7" w:rsidRPr="005500F7" w:rsidRDefault="005500F7" w:rsidP="00257457">
            <w:pPr>
              <w:spacing w:after="0" w:line="240" w:lineRule="auto"/>
              <w:rPr>
                <w:rFonts w:ascii="Aptos" w:hAnsi="Aptos"/>
                <w:b/>
                <w:sz w:val="20"/>
                <w:szCs w:val="20"/>
              </w:rPr>
            </w:pPr>
            <w:r w:rsidRPr="005500F7">
              <w:rPr>
                <w:rFonts w:ascii="Aptos" w:hAnsi="Aptos"/>
                <w:b/>
                <w:i/>
                <w:iCs/>
                <w:sz w:val="20"/>
                <w:szCs w:val="20"/>
              </w:rPr>
              <w:t>THAP1</w:t>
            </w:r>
          </w:p>
        </w:tc>
        <w:tc>
          <w:tcPr>
            <w:tcW w:w="4407" w:type="pct"/>
            <w:tcBorders>
              <w:top w:val="single" w:sz="4" w:space="0" w:color="auto"/>
              <w:left w:val="nil"/>
              <w:bottom w:val="single" w:sz="4" w:space="0" w:color="auto"/>
              <w:right w:val="nil"/>
            </w:tcBorders>
            <w:shd w:val="clear" w:color="auto" w:fill="auto"/>
            <w:vAlign w:val="center"/>
          </w:tcPr>
          <w:p w14:paraId="4ECC6F0B" w14:textId="19F5AF96" w:rsidR="005500F7" w:rsidRPr="005500F7" w:rsidRDefault="00264446" w:rsidP="00257457">
            <w:pPr>
              <w:spacing w:after="0" w:line="240" w:lineRule="auto"/>
              <w:jc w:val="center"/>
              <w:rPr>
                <w:rFonts w:ascii="Aptos" w:hAnsi="Aptos"/>
                <w:sz w:val="20"/>
                <w:szCs w:val="20"/>
              </w:rPr>
            </w:pPr>
            <w:r>
              <w:rPr>
                <w:rFonts w:ascii="Aptos" w:hAnsi="Aptos"/>
                <w:i/>
                <w:iCs/>
                <w:sz w:val="20"/>
                <w:szCs w:val="20"/>
              </w:rPr>
              <w:t>THAP1</w:t>
            </w:r>
            <w:r w:rsidRPr="002C08A9">
              <w:rPr>
                <w:rFonts w:ascii="Aptos" w:hAnsi="Aptos"/>
                <w:sz w:val="20"/>
                <w:szCs w:val="20"/>
              </w:rPr>
              <w:t>-</w:t>
            </w:r>
            <w:r>
              <w:rPr>
                <w:rFonts w:ascii="Aptos" w:hAnsi="Aptos"/>
                <w:sz w:val="20"/>
                <w:szCs w:val="20"/>
              </w:rPr>
              <w:t>associated</w:t>
            </w:r>
            <w:r>
              <w:rPr>
                <w:rFonts w:ascii="Aptos" w:hAnsi="Aptos"/>
                <w:i/>
                <w:iCs/>
                <w:sz w:val="20"/>
                <w:szCs w:val="20"/>
              </w:rPr>
              <w:t xml:space="preserve"> dystonia</w:t>
            </w:r>
            <w:r w:rsidR="005500F7" w:rsidRPr="005500F7">
              <w:rPr>
                <w:rFonts w:ascii="Aptos" w:hAnsi="Aptos"/>
                <w:sz w:val="20"/>
                <w:szCs w:val="20"/>
              </w:rPr>
              <w:t xml:space="preserve"> is an autosomal-dominant, adolescent-onset dystonia </w:t>
            </w:r>
            <w:r w:rsidR="005500F7" w:rsidRPr="005500F7">
              <w:rPr>
                <w:rFonts w:ascii="Aptos" w:hAnsi="Aptos"/>
                <w:sz w:val="20"/>
                <w:szCs w:val="20"/>
                <w:lang w:val="en-CA"/>
              </w:rPr>
              <w:fldChar w:fldCharType="begin"/>
            </w:r>
            <w:r w:rsidR="005500F7" w:rsidRPr="005500F7">
              <w:rPr>
                <w:rFonts w:ascii="Aptos" w:hAnsi="Aptos"/>
                <w:sz w:val="20"/>
                <w:szCs w:val="20"/>
              </w:rPr>
              <w:instrText xml:space="preserve"> ADDIN ZOTERO_ITEM CSL_CITATION {"citationID":"OBR1lXKG","properties":{"formattedCitation":"\\super 69\\uc0\\u8211{}71\\nosupersub{}","plainCitation":"69–71","noteIndex":0},"citationItems":[{"id":524,"uris":["http://zotero.org/users/local/qbj29eOf/items/4936L9FD"],"itemData":{"id":524,"type":"article-journal","container-title":"Nature Genetics","DOI":"10.1038/ng.304","ISSN":"1061-4036, 1546-1718","issue":"3","journalAbbreviation":"Nat Genet","language":"en","page":"286-288","source":"DOI.org (Crossref)","title":"Mutations in the THAP1 gene are responsible for DYT6 primary torsion dystonia","volume":"41","author":[{"family":"Fuchs","given":"Tania"},{"family":"Gavarini","given":"Sophie"},{"family":"Saunders-Pullman","given":"Rachel"},{"family":"Raymond","given":"Deborah"},{"family":"Ehrlich","given":"Michelle E"},{"family":"Bressman","given":"Susan B"},{"family":"Ozelius","given":"Laurie J"}],"issued":{"date-parts":[["2009",3]]}},"label":"page"},{"id":525,"uris":["http://zotero.org/users/local/qbj29eOf/items/68VNDWBL"],"itemData":{"id":525,"type":"article-journal","container-title":"The Lancet Neurology","DOI":"10.1016/S1474-4422(09)70081-X","ISSN":"14744422","issue":"5","journalAbbreviation":"The Lancet Neurology","language":"en","page":"441-446","source":"DOI.org (Crossref)","title":"Mutations in THAP1 (DYT6) in early-onset dystonia: a genetic screening study","title-short":"Mutations in THAP1 (DYT6) in early-onset dystonia","volume":"8","author":[{"family":"Bressman","given":"Susan B"},{"family":"Raymond","given":"Deborah"},{"family":"Fuchs","given":"Tania"},{"family":"Heiman","given":"Gary A"},{"family":"Ozelius","given":"Laurie J"},{"family":"Saunders-Pullman","given":"Rachel"}],"issued":{"date-parts":[["2009",5]]}},"label":"page"},{"id":532,"uris":["http://zotero.org/users/local/qbj29eOf/items/7DY8AK72"],"itemData":{"id":532,"type":"article-journal","abstract":"ABSTRACT\n            \n              This comprehensive MDSGene review is devoted to 7 genes —\n              TOR1A\n              ,\n              THAP1\n              ,\n              GNAL\n              ,\n              ANO3\n              ,\n              PRKRA\n              ,\n              KMT2B\n              , and\n              HPCA\n              — mutations in which may cause isolated dystonia. It followed MDSGene's standardized data extraction protocol and screened a total of ~1200 citations. Phenotypic and genotypic data on ~1200 patients with 254 different mutations were curated and analyzed. There were differences regarding age at onset, site of onset, and distribution of symptoms across mutation carriers in all 7 genes. Although carriers of\n              TOR1A\n              ,\n              THAP1\n              ,\n              PRKRA\n              ,\n              KMT2B\n              , or\n              HPCA\n              mutations mostly showed childhood and adolescent onset, patients with\n              GNAL\n              and\n              ANO3\n              mutations often developed first symptoms in adulthood.\n              GNAL\n              and\n              KMT2B\n              mutation carriers frequently have 1 predominant site of onset, that is, the neck (\n              GNAL\n              ) or the lower limbs (\n              KMT2B\n              ), whereas site of onset in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TOR1A\n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THAP1\n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ANO3\n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PRKRA\n              , and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HPCA\n              was broader. However, in most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THAP1\n              and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ANO3\n              patients, dystonia first manifested in the upper half of the body (upper limb, neck, and craniofacial/laryngeal), whereas onset in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TOR1A\n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PRKRA\n              and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 xml:space="preserve">\n              HPCA\n              was frequently observed in an extremity, including both upper and lower ones. For\n              ANO3\n              , a segmental/multifocal distribution was typical, whereas\n              TOR1A\n              ,\n              PRKRA\n              ,\n              KMT2B\n              , and\n              HPCA\n              mutation carriers commonly developed generalized dystonia.\n              THAP1\n              mutation carriers presented with focal, segmental/multifocal, or generalized dystonia in almost equal proportions.\n              GNAL\n              mutation carriers rarely showed generalization. This review provides a comprehensive overview of the current knowledge of hereditary isolated dystonia. The data are also available in an online database (\n              http://www.mdsgene.org\n              ), which additionally offers descriptive summary statistics. © 2021 The Authors.\n              Movement Disorders\n              published by Wiley Periodicals LLC on behalf of International Parkinson and Movement Disorder Society","container-title":"Movement Disorders","DOI":"10.1002/mds.28485","ISSN":"0885-3185, 1531-8257","issue":"5","journalAbbreviation":"Movement Disorders","language":"en","page":"1086-1103","source":"DOI.org (Crossref)","title":"Genotype–Phenotype Relations for Isolated Dystonia Genes: &lt;span style=\"font-variant:small-caps;\"&gt;MDSGene&lt;/span&gt; Systematic Review","title-short":"Genotype–Phenotype Relations for Isolated Dystonia Genes","volume":"36","author":[{"family":"Lange","given":"Lara M."},{"family":"Junker","given":"Johanna"},{"family":"Loens","given":"Sebastian"},{"family":"Baumann","given":"Hauke"},{"family":"Olschewski","given":"Luisa"},{"family":"Schaake","given":"Susen"},{"family":"Madoev","given":"Harutyun"},{"family":"Petkovic","given":"Sonja"},{"family":"Kuhnke","given":"Neele"},{"family":"Kasten","given":"Meike"},{"family":"Westenberger","given":"Ana"},{"family":"Domingo","given":"Aloysius"},{"family":"Marras","given":"Connie"},{"family":"König","given":"Inke R."},{"family":"Camargos","given":"Sarah"},{"family":"Ozelius","given":"Laurie J."},{"family":"Klein","given":"Christine"},{"family":"Lohmann","given":"Katja"}],"issued":{"date-parts":[["2021",5]]}},"label":"page"}],"schema":"https://github.com/citation-style-language/schema/raw/master/csl-citation.json"} </w:instrText>
            </w:r>
            <w:r w:rsidR="005500F7" w:rsidRPr="005500F7">
              <w:rPr>
                <w:rFonts w:ascii="Aptos" w:hAnsi="Aptos"/>
                <w:sz w:val="20"/>
                <w:szCs w:val="20"/>
                <w:lang w:val="en-CA"/>
              </w:rPr>
              <w:fldChar w:fldCharType="separate"/>
            </w:r>
            <w:r w:rsidR="005500F7" w:rsidRPr="005500F7">
              <w:rPr>
                <w:rFonts w:ascii="Aptos" w:hAnsi="Aptos"/>
                <w:sz w:val="20"/>
                <w:szCs w:val="20"/>
                <w:vertAlign w:val="superscript"/>
              </w:rPr>
              <w:t>69–71</w:t>
            </w:r>
            <w:r w:rsidR="005500F7" w:rsidRPr="005500F7">
              <w:rPr>
                <w:rFonts w:ascii="Aptos" w:hAnsi="Aptos"/>
                <w:sz w:val="20"/>
                <w:szCs w:val="20"/>
              </w:rPr>
              <w:fldChar w:fldCharType="end"/>
            </w:r>
            <w:r w:rsidR="005500F7" w:rsidRPr="005500F7">
              <w:rPr>
                <w:rFonts w:ascii="Aptos" w:hAnsi="Aptos"/>
                <w:sz w:val="20"/>
                <w:szCs w:val="20"/>
              </w:rPr>
              <w:t xml:space="preserve"> with broad clinical phenotype</w:t>
            </w:r>
            <w:r w:rsidR="005500F7" w:rsidRPr="005500F7">
              <w:rPr>
                <w:rFonts w:ascii="Aptos" w:hAnsi="Aptos"/>
                <w:sz w:val="20"/>
                <w:szCs w:val="20"/>
                <w:lang w:val="en-CA"/>
              </w:rPr>
              <w:fldChar w:fldCharType="begin"/>
            </w:r>
            <w:r w:rsidR="005500F7" w:rsidRPr="005500F7">
              <w:rPr>
                <w:rFonts w:ascii="Aptos" w:hAnsi="Aptos"/>
                <w:sz w:val="20"/>
                <w:szCs w:val="20"/>
              </w:rPr>
              <w:instrText xml:space="preserve"> ADDIN ZOTERO_ITEM CSL_CITATION {"citationID":"h3rpyQTz","properties":{"formattedCitation":"\\super 71,72\\nosupersub{}","plainCitation":"71,72","noteIndex":0},"citationItems":[{"id":532,"uris":["http://zotero.org/users/local/qbj29eOf/items/7DY8AK72"],"itemData":{"id":532,"type":"article-journal","abstract":"ABSTRACT\n            \n              This comprehensive MDSGene review is devoted to 7 genes —\n              TOR1A\n              ,\n              THAP1\n              ,\n              GNAL\n              ,\n              ANO3\n              ,\n              PRKRA\n              ,\n              KMT2B\n              , and\n              HPCA\n              — mutations in which may cause isolated dystonia. It followed MDSGene's standardized data extraction protocol and screened a total of ~1200 citations. Phenotypic and genotypic data on ~1200 patients with 254 different mutations were curated and analyzed. There were differences regarding age at onset, site of onset, and distribution of symptoms across mutation carriers in all 7 genes. Although carriers of\n              TOR1A\n              ,\n              THAP1\n              ,\n              PRKRA\n              ,\n              KMT2B\n              , or\n              HPCA\n              mutations mostly showed childhood and adolescent onset, patients with\n              GNAL\n              and\n              ANO3\n              mutations often developed first symptoms in adulthood.\n              GNAL\n              and\n              KMT2B\n              mutation carriers frequently have 1 predominant site of onset, that is, the neck (\n              GNAL\n              ) or the lower limbs (\n              KMT2B\n              ), whereas site of onset in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TOR1A\n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THAP1\n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ANO3\n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PRKRA\n              , and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HPCA\n              was broader. However, in most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THAP1\n              and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ANO3\n              patients, dystonia first manifested in the upper half of the body (upper limb, neck, and craniofacial/laryngeal), whereas onset in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TOR1A\n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PRKRA\n              and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 xml:space="preserve">\n              HPCA\n              was frequently observed in an extremity, including both upper and lower ones. For\n              ANO3\n              , a segmental/multifocal distribution was typical, whereas\n              TOR1A\n              ,\n              PRKRA\n              ,\n              KMT2B\n              , and\n              HPCA\n              mutation carriers commonly developed generalized dystonia.\n              THAP1\n              mutation carriers presented with focal, segmental/multifocal, or generalized dystonia in almost equal proportions.\n              GNAL\n              mutation carriers rarely showed generalization. This review provides a comprehensive overview of the current knowledge of hereditary isolated dystonia. The data are also available in an online database (\n              http://www.mdsgene.org\n              ), which additionally offers descriptive summary statistics. © 2021 The Authors.\n              Movement Disorders\n              published by Wiley Periodicals LLC on behalf of International Parkinson and Movement Disorder Society","container-title":"Movement Disorders","DOI":"10.1002/mds.28485","ISSN":"0885-3185, 1531-8257","issue":"5","journalAbbreviation":"Movement Disorders","language":"en","page":"1086-1103","source":"DOI.org (Crossref)","title":"Genotype–Phenotype Relations for Isolated Dystonia Genes: &lt;span style=\"font-variant:small-caps;\"&gt;MDSGene&lt;/span&gt; Systematic Review","title-short":"Genotype–Phenotype Relations for Isolated Dystonia Genes","volume":"36","author":[{"family":"Lange","given":"Lara M."},{"family":"Junker","given":"Johanna"},{"family":"Loens","given":"Sebastian"},{"family":"Baumann","given":"Hauke"},{"family":"Olschewski","given":"Luisa"},{"family":"Schaake","given":"Susen"},{"family":"Madoev","given":"Harutyun"},{"family":"Petkovic","given":"Sonja"},{"family":"Kuhnke","given":"Neele"},{"family":"Kasten","given":"Meike"},{"family":"Westenberger","given":"Ana"},{"family":"Domingo","given":"Aloysius"},{"family":"Marras","given":"Connie"},{"family":"König","given":"Inke R."},{"family":"Camargos","given":"Sarah"},{"family":"Ozelius","given":"Laurie J."},{"family":"Klein","given":"Christine"},{"family":"Lohmann","given":"Katja"}],"issued":{"date-parts":[["2021",5]]}},"label":"page"},{"id":520,"uris":["http://zotero.org/users/local/qbj29eOf/items/GIS9SEU6"],"itemData":{"id":520,"type":"article-journal","container-title":"Human Mutation","DOI":"10.1002/humu.21564","ISSN":"10597794","issue":"11","journalAbbreviation":"Hum. Mutat.","language":"en","page":"1213-1224","source":"DOI.org (Crossref)","title":"DYT6 dystonia: Review of the literature and creation of the UMD locus-specific database (LSDB) for mutations in the THAP1 gene","title-short":"DYT6 dystonia","volume":"32","author":[{"family":"Blanchard","given":"Arnaud"},{"family":"Ea","given":"Vuthy"},{"family":"Roubertie","given":"Agathe"},{"family":"Martin","given":"Mélanie"},{"family":"Coquart","given":"Coline"},{"family":"Claustres","given":"Mireille"},{"family":"Béroud","given":"Christophe"},{"family":"Collod-Béroud","given":"Gwenaëlle"}],"issued":{"date-parts":[["2011",11]]}},"label":"page"}],"schema":"https://github.com/citation-style-language/schema/raw/master/csl-citation.json"} </w:instrText>
            </w:r>
            <w:r w:rsidR="005500F7" w:rsidRPr="005500F7">
              <w:rPr>
                <w:rFonts w:ascii="Aptos" w:hAnsi="Aptos"/>
                <w:sz w:val="20"/>
                <w:szCs w:val="20"/>
                <w:lang w:val="en-CA"/>
              </w:rPr>
              <w:fldChar w:fldCharType="separate"/>
            </w:r>
            <w:r w:rsidR="005500F7" w:rsidRPr="005500F7">
              <w:rPr>
                <w:rFonts w:ascii="Aptos" w:hAnsi="Aptos"/>
                <w:sz w:val="20"/>
                <w:szCs w:val="20"/>
                <w:vertAlign w:val="superscript"/>
              </w:rPr>
              <w:t>71,72</w:t>
            </w:r>
            <w:r w:rsidR="005500F7" w:rsidRPr="005500F7">
              <w:rPr>
                <w:rFonts w:ascii="Aptos" w:hAnsi="Aptos"/>
                <w:sz w:val="20"/>
                <w:szCs w:val="20"/>
              </w:rPr>
              <w:fldChar w:fldCharType="end"/>
            </w:r>
            <w:r w:rsidR="005500F7" w:rsidRPr="005500F7">
              <w:rPr>
                <w:rFonts w:ascii="Aptos" w:hAnsi="Aptos"/>
                <w:sz w:val="20"/>
                <w:szCs w:val="20"/>
              </w:rPr>
              <w:t>. Onset symptoms generally involve upper limbs(~33%), neck(~27%), or craniofacial/laryngeal(~25%) muscles, while lower limb involvement is infrequent.</w:t>
            </w:r>
            <w:r w:rsidR="005500F7" w:rsidRPr="005500F7">
              <w:rPr>
                <w:rFonts w:ascii="Aptos" w:hAnsi="Aptos"/>
                <w:sz w:val="20"/>
                <w:szCs w:val="20"/>
                <w:lang w:val="en-US"/>
              </w:rPr>
              <w:fldChar w:fldCharType="begin"/>
            </w:r>
            <w:r w:rsidR="005500F7" w:rsidRPr="005500F7">
              <w:rPr>
                <w:rFonts w:ascii="Aptos" w:hAnsi="Aptos"/>
                <w:sz w:val="20"/>
                <w:szCs w:val="20"/>
              </w:rPr>
              <w:instrText xml:space="preserve"> ADDIN ZOTERO_ITEM CSL_CITATION {"citationID":"9kGyTmQI","properties":{"formattedCitation":"\\super 69\\uc0\\u8211{}71,73,74\\nosupersub{}","plainCitation":"69–71,73,74","noteIndex":0},"citationItems":[{"id":524,"uris":["http://zotero.org/users/local/qbj29eOf/items/4936L9FD"],"itemData":{"id":524,"type":"article-journal","container-title":"Nature Genetics","DOI":"10.1038/ng.304","ISSN":"1061-4036, 1546-1718","issue":"3","journalAbbreviation":"Nat Genet","language":"en","page":"286-288","source":"DOI.org (Crossref)","title":"Mutations in the THAP1 gene are responsible for DYT6 primary torsion dystonia","volume":"41","author":[{"family":"Fuchs","given":"Tania"},{"family":"Gavarini","given":"Sophie"},{"family":"Saunders-Pullman","given":"Rachel"},{"family":"Raymond","given":"Deborah"},{"family":"Ehrlich","given":"Michelle E"},{"family":"Bressman","given":"Susan B"},{"family":"Ozelius","given":"Laurie J"}],"issued":{"date-parts":[["2009",3]]}},"label":"page"},{"id":525,"uris":["http://zotero.org/users/local/qbj29eOf/items/68VNDWBL"],"itemData":{"id":525,"type":"article-journal","container-title":"The Lancet Neurology","DOI":"10.1016/S1474-4422(09)70081-X","ISSN":"14744422","issue":"5","journalAbbreviation":"The Lancet Neurology","language":"en","page":"441-446","source":"DOI.org (Crossref)","title":"Mutations in THAP1 (DYT6) in early-onset dystonia: a genetic screening study","title-short":"Mutations in THAP1 (DYT6) in early-onset dystonia","volume":"8","author":[{"family":"Bressman","given":"Susan B"},{"family":"Raymond","given":"Deborah"},{"family":"Fuchs","given":"Tania"},{"family":"Heiman","given":"Gary A"},{"family":"Ozelius","given":"Laurie J"},{"family":"Saunders-Pullman","given":"Rachel"}],"issued":{"date-parts":[["2009",5]]}},"label":"page"},{"id":532,"uris":["http://zotero.org/users/local/qbj29eOf/items/7DY8AK72"],"itemData":{"id":532,"type":"article-journal","abstract":"ABSTRACT\n            \n              This comprehensive MDSGene review is devoted to 7 genes —\n              TOR1A\n              ,\n              THAP1\n              ,\n              GNAL\n              ,\n              ANO3\n              ,\n              PRKRA\n              ,\n              KMT2B\n              , and\n              HPCA\n              — mutations in which may cause isolated dystonia. It followed MDSGene's standardized data extraction protocol and screened a total of ~1200 citations. Phenotypic and genotypic data on ~1200 patients with 254 different mutations were curated and analyzed. There were differences regarding age at onset, site of onset, and distribution of symptoms across mutation carriers in all 7 genes. Although carriers of\n              TOR1A\n              ,\n              THAP1\n              ,\n              PRKRA\n              ,\n              KMT2B\n              , or\n              HPCA\n              mutations mostly showed childhood and adolescent onset, patients with\n              GNAL\n              and\n              ANO3\n              mutations often developed first symptoms in adulthood.\n              GNAL\n              and\n              KMT2B\n              mutation carriers frequently have 1 predominant site of onset, that is, the neck (\n              GNAL\n              ) or the lower limbs (\n              KMT2B\n              ), whereas site of onset in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TOR1A\n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THAP1\n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ANO3\n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PRKRA\n              , and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HPCA\n              was broader. However, in most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THAP1\n              and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ANO3\n              patients, dystonia first manifested in the upper half of the body (upper limb, neck, and craniofacial/laryngeal), whereas onset in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TOR1A\n              ,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\n              PRKRA\n              and DYT</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 xml:space="preserve">\n              HPCA\n              was frequently observed in an extremity, including both upper and lower ones. For\n              ANO3\n              , a segmental/multifocal distribution was typical, whereas\n              TOR1A\n              ,\n              PRKRA\n              ,\n              KMT2B\n              , and\n              HPCA\n              mutation carriers commonly developed generalized dystonia.\n              THAP1\n              mutation carriers presented with focal, segmental/multifocal, or generalized dystonia in almost equal proportions.\n              GNAL\n              mutation carriers rarely showed generalization. This review provides a comprehensive overview of the current knowledge of hereditary isolated dystonia. The data are also available in an online database (\n              http://www.mdsgene.org\n              ), which additionally offers descriptive summary statistics. © 2021 The Authors.\n              Movement Disorders\n              published by Wiley Periodicals LLC on behalf of International Parkinson and Movement Disorder Society","container-title":"Movement Disorders","DOI":"10.1002/mds.28485","ISSN":"0885-3185, 1531-8257","issue":"5","journalAbbreviation":"Movement Disorders","language":"en","page":"1086-1103","source":"DOI.org (Crossref)","title":"Genotype–Phenotype Relations for Isolated Dystonia Genes: &lt;span style=\"font-variant:small-caps;\"&gt;MDSGene&lt;/span&gt; Systematic Review","title-short":"Genotype–Phenotype Relations for Isolated Dystonia Genes","volume":"36","author":[{"family":"Lange","given":"Lara M."},{"family":"Junker","given":"Johanna"},{"family":"Loens","given":"Sebastian"},{"family":"Baumann","given":"Hauke"},{"family":"Olschewski","given":"Luisa"},{"family":"Schaake","given":"Susen"},{"family":"Madoev","given":"Harutyun"},{"family":"Petkovic","given":"Sonja"},{"family":"Kuhnke","given":"Neele"},{"family":"Kasten","given":"Meike"},{"family":"Westenberger","given":"Ana"},{"family":"Domingo","given":"Aloysius"},{"family":"Marras","given":"Connie"},{"family":"König","given":"Inke R."},{"family":"Camargos","given":"Sarah"},{"family":"Ozelius","given":"Laurie J."},{"family":"Klein","given":"Christine"},{"family":"Lohmann","given":"Katja"}],"issued":{"date-parts":[["2021",5]]}},"label":"page"},{"id":527,"uris":["http://zotero.org/users/local/qbj29eOf/items/EMZENKIH"],"itemData":{"id":527,"type":"article-journal","container-title":"Neurology","DOI":"10.1212/WNL.0b013e3181ca00ca","ISSN":"0028-3878, 1526-632X","issue":"3","journalAbbreviation":"Neurology","language":"en","page":"229-238","source":"DOI.org (Crossref)","title":"Novel THAP1 sequence variants in primary dystonia","volume":"74","author":[{"family":"Xiao","given":"J."},{"family":"Zhao","given":"Y."},{"family":"Bastian","given":"R. W."},{"family":"Perlmutter","given":"J. S."},{"family":"Racette","given":"B. A."},{"family":"Tabbal","given":"S. D."},{"family":"Karimi","given":"M."},{"family":"Paniello","given":"R. C."},{"family":"Wszolek","given":"Z. K."},{"family":"Uitti","given":"R. J."},{"family":"Van Gerpen","given":"J. A."},{"family":"Simon","given":"D. K."},{"family":"Tarsy","given":"D."},{"family":"Hedera","given":"P."},{"family":"Truong","given":"D. D."},{"family":"Frei","given":"K. P."},{"family":"Dev Batish","given":"S."},{"family":"Blitzer","given":"A."},{"family":"Pfeiffer","given":"R. F."},{"family":"Gong","given":"S."},{"family":"LeDoux","given":"M. S."}],"issued":{"date-parts":[["2010",1,19]]}},"label":"page"},{"id":529,"uris":["http://zotero.org/users/local/qbj29eOf/items/KBQVQDNV"],"itemData":{"id":529,"type":"article-journal","container-title":"Movement Disorders","DOI":"10.1002/mds.25146","ISSN":"0885-3185, 1531-8257","issue":"10","journalAbbreviation":"Mov. Disord.","language":"en","page":"1290-1294","source":"DOI.org (Crossref)","title":"THAP1 mutations and dystonia phenotypes: Genotype phenotype correlations","title-short":"THAP1 mutations and dystonia phenotypes","volume":"27","author":[{"family":"Xiromerisiou","given":"Georgia"},{"family":"Houlden","given":"Henry"},{"family":"Scarmeas","given":"Nikolaos"},{"family":"Stamelou","given":"Maria"},{"family":"Kara","given":"Eleanna"},{"family":"Hardy","given":"John"},{"family":"Lees","given":"Andrew J."},{"family":"Korlipara","given":"Prasad"},{"family":"Limousin","given":"Patricia"},{"family":"Paudel","given":"Reema"},{"family":"Hadjigeorgiou","given":"Georgios M."},{"family":"Bhatia","given":"Kailash P."}],"issued":{"date-parts":[["2012",9]]}},"label":"page"}],"schema":"https://github.com/citation-style-language/schema/raw/master/csl-citation.json"} </w:instrText>
            </w:r>
            <w:r w:rsidR="005500F7" w:rsidRPr="005500F7">
              <w:rPr>
                <w:rFonts w:ascii="Aptos" w:hAnsi="Aptos"/>
                <w:sz w:val="20"/>
                <w:szCs w:val="20"/>
                <w:lang w:val="en-US"/>
              </w:rPr>
              <w:fldChar w:fldCharType="separate"/>
            </w:r>
            <w:r w:rsidR="005500F7" w:rsidRPr="005500F7">
              <w:rPr>
                <w:rFonts w:ascii="Aptos" w:hAnsi="Aptos"/>
                <w:sz w:val="20"/>
                <w:szCs w:val="20"/>
                <w:vertAlign w:val="superscript"/>
              </w:rPr>
              <w:t>69–71,73,74</w:t>
            </w:r>
            <w:r w:rsidR="005500F7" w:rsidRPr="005500F7">
              <w:rPr>
                <w:rFonts w:ascii="Aptos" w:hAnsi="Aptos"/>
                <w:sz w:val="20"/>
                <w:szCs w:val="20"/>
              </w:rPr>
              <w:fldChar w:fldCharType="end"/>
            </w:r>
            <w:r w:rsidR="005500F7" w:rsidRPr="005500F7">
              <w:rPr>
                <w:rFonts w:ascii="Aptos" w:hAnsi="Aptos"/>
                <w:sz w:val="20"/>
                <w:szCs w:val="20"/>
              </w:rPr>
              <w:t xml:space="preserve"> The primary disability for patients stems from craniocervical involvement.</w:t>
            </w:r>
            <w:r w:rsidR="005500F7" w:rsidRPr="005500F7">
              <w:rPr>
                <w:rFonts w:ascii="Aptos" w:hAnsi="Aptos"/>
                <w:sz w:val="20"/>
                <w:szCs w:val="20"/>
                <w:lang w:val="en-US"/>
              </w:rPr>
              <w:fldChar w:fldCharType="begin"/>
            </w:r>
            <w:r w:rsidR="005500F7" w:rsidRPr="005500F7">
              <w:rPr>
                <w:rFonts w:ascii="Aptos" w:hAnsi="Aptos"/>
                <w:sz w:val="20"/>
                <w:szCs w:val="20"/>
              </w:rPr>
              <w:instrText xml:space="preserve"> ADDIN ZOTERO_ITEM CSL_CITATION {"citationID":"OPT9UUpi","properties":{"formattedCitation":"\\super 72,75,76\\nosupersub{}","plainCitation":"72,75,76","noteIndex":0},"citationItems":[{"id":520,"uris":["http://zotero.org/users/local/qbj29eOf/items/GIS9SEU6"],"itemData":{"id":520,"type":"article-journal","container-title":"Human Mutation","DOI":"10.1002/humu.21564","ISSN":"10597794","issue":"11","journalAbbreviation":"Hum. Mutat.","language":"en","page":"1213-1224","source":"DOI.org (Crossref)","title":"DYT6 dystonia: Review of the literature and creation of the UMD locus-specific database (LSDB) for mutations in the THAP1 gene","title-short":"DYT6 dystonia","volume":"32","author":[{"family":"Blanchard","given":"Arnaud"},{"family":"Ea","given":"Vuthy"},{"family":"Roubertie","given":"Agathe"},{"family":"Martin","given":"Mélanie"},{"family":"Coquart","given":"Coline"},{"family":"Claustres","given":"Mireille"},{"family":"Béroud","given":"Christophe"},{"family":"Collod-Béroud","given":"Gwenaëlle"}],"issued":{"date-parts":[["2011",11]]}},"label":"page"},{"id":537,"uris":["http://zotero.org/users/local/qbj29eOf/items/PI4KSIAY"],"itemData":{"id":537,"type":"article-journal","container-title":"Neurotherapeutics","DOI":"10.1007/s13311-014-0297-7","ISSN":"1933-7213, 1878-7479","issue":"4","journalAbbreviation":"Neurotherapeutics","language":"en","page":"807-816","source":"DOI.org (Crossref)","title":"Inherited Isolated Dystonia: Clinical Genetics and Gene Function","title-short":"Inherited Isolated Dystonia","volume":"11","author":[{"family":"Dauer","given":"William"}],"issued":{"date-parts":[["2014",10]]}},"label":"page"},{"id":531,"uris":["http://zotero.org/users/local/qbj29eOf/items/NNZAIJ9E"],"itemData":{"id":531,"type":"article-journal","container-title":"Current Neurology and Neuroscience Reports","DOI":"10.1007/s11910-017-0735-0","ISSN":"1528-4042, 1534-6293","issue":"3","journalAbbreviation":"Curr Neurol Neurosci Rep","language":"en","page":"26","source":"DOI.org (Crossref)","title":"Update on the Genetics of Dystonia","volume":"17","author":[{"family":"Lohmann","given":"Katja"},{"family":"Klein","given":"Christine"}],"issued":{"date-parts":[["2017",3]]}},"label":"page"}],"schema":"https://github.com/citation-style-language/schema/raw/master/csl-citation.json"} </w:instrText>
            </w:r>
            <w:r w:rsidR="005500F7" w:rsidRPr="005500F7">
              <w:rPr>
                <w:rFonts w:ascii="Aptos" w:hAnsi="Aptos"/>
                <w:sz w:val="20"/>
                <w:szCs w:val="20"/>
                <w:lang w:val="en-US"/>
              </w:rPr>
              <w:fldChar w:fldCharType="separate"/>
            </w:r>
            <w:r w:rsidR="005500F7" w:rsidRPr="005500F7">
              <w:rPr>
                <w:rFonts w:ascii="Aptos" w:hAnsi="Aptos"/>
                <w:sz w:val="20"/>
                <w:szCs w:val="20"/>
                <w:vertAlign w:val="superscript"/>
              </w:rPr>
              <w:t>72,75,76</w:t>
            </w:r>
            <w:r w:rsidR="005500F7" w:rsidRPr="005500F7">
              <w:rPr>
                <w:rFonts w:ascii="Aptos" w:hAnsi="Aptos"/>
                <w:sz w:val="20"/>
                <w:szCs w:val="20"/>
              </w:rPr>
              <w:fldChar w:fldCharType="end"/>
            </w:r>
            <w:r w:rsidR="005500F7" w:rsidRPr="005500F7">
              <w:rPr>
                <w:rFonts w:ascii="Aptos" w:hAnsi="Aptos"/>
                <w:sz w:val="20"/>
                <w:szCs w:val="20"/>
              </w:rPr>
              <w:t xml:space="preserve"> Particularly, laryngeal dystonia is prevalent and associated with several speech difficulties.</w:t>
            </w:r>
            <w:r w:rsidR="005500F7" w:rsidRPr="005500F7">
              <w:rPr>
                <w:rFonts w:ascii="Aptos" w:hAnsi="Aptos"/>
                <w:sz w:val="20"/>
                <w:szCs w:val="20"/>
                <w:lang w:val="en-US"/>
              </w:rPr>
              <w:fldChar w:fldCharType="begin"/>
            </w:r>
            <w:r w:rsidR="005500F7" w:rsidRPr="005500F7">
              <w:rPr>
                <w:rFonts w:ascii="Aptos" w:hAnsi="Aptos"/>
                <w:sz w:val="20"/>
                <w:szCs w:val="20"/>
              </w:rPr>
              <w:instrText xml:space="preserve"> ADDIN ZOTERO_ITEM CSL_CITATION {"citationID":"FVwSgOMY","properties":{"formattedCitation":"\\super 69,72,76\\nosupersub{}","plainCitation":"69,72,76","noteIndex":0},"citationItems":[{"id":524,"uris":["http://zotero.org/users/local/qbj29eOf/items/4936L9FD"],"itemData":{"id":524,"type":"article-journal","container-title":"Nature Genetics","DOI":"10.1038/ng.304","ISSN":"1061-4036, 1546-1718","issue":"3","journalAbbreviation":"Nat Genet","language":"en","page":"286-288","source":"DOI.org (Crossref)","title":"Mutations in the THAP1 gene are responsible for DYT6 primary torsion dystonia","volume":"41","author":[{"family":"Fuchs","given":"Tania"},{"family":"Gavarini","given":"Sophie"},{"family":"Saunders-Pullman","given":"Rachel"},{"family":"Raymond","given":"Deborah"},{"family":"Ehrlich","given":"Michelle E"},{"family":"Bressman","given":"Susan B"},{"family":"Ozelius","given":"Laurie J"}],"issued":{"date-parts":[["2009",3]]}},"label":"page"},{"id":520,"uris":["http://zotero.org/users/local/qbj29eOf/items/GIS9SEU6"],"itemData":{"id":520,"type":"article-journal","container-title":"Human Mutation","DOI":"10.1002/humu.21564","ISSN":"10597794","issue":"11","journalAbbreviation":"Hum. Mutat.","language":"en","page":"1213-1224","source":"DOI.org (Crossref)","title":"DYT6 dystonia: Review of the literature and creation of the UMD locus-specific database (LSDB) for mutations in the THAP1 gene","title-short":"DYT6 dystonia","volume":"32","author":[{"family":"Blanchard","given":"Arnaud"},{"family":"Ea","given":"Vuthy"},{"family":"Roubertie","given":"Agathe"},{"family":"Martin","given":"Mélanie"},{"family":"Coquart","given":"Coline"},{"family":"Claustres","given":"Mireille"},{"family":"Béroud","given":"Christophe"},{"family":"Collod-Béroud","given":"Gwenaëlle"}],"issued":{"date-parts":[["2011",11]]}},"label":"page"},{"id":531,"uris":["http://zotero.org/users/local/qbj29eOf/items/NNZAIJ9E"],"itemData":{"id":531,"type":"article-journal","container-title":"Current Neurology and Neuroscience Reports","DOI":"10.1007/s11910-017-0735-0","ISSN":"1528-4042, 1534-6293","issue":"3","journalAbbreviation":"Curr Neurol Neurosci Rep","language":"en","page":"26","source":"DOI.org (Crossref)","title":"Update on the Genetics of Dystonia","volume":"17","author":[{"family":"Lohmann","given":"Katja"},{"family":"Klein","given":"Christine"}],"issued":{"date-parts":[["2017",3]]}},"label":"page"}],"schema":"https://github.com/citation-style-language/schema/raw/master/csl-citation.json"} </w:instrText>
            </w:r>
            <w:r w:rsidR="005500F7" w:rsidRPr="005500F7">
              <w:rPr>
                <w:rFonts w:ascii="Aptos" w:hAnsi="Aptos"/>
                <w:sz w:val="20"/>
                <w:szCs w:val="20"/>
                <w:lang w:val="en-US"/>
              </w:rPr>
              <w:fldChar w:fldCharType="separate"/>
            </w:r>
            <w:r w:rsidR="005500F7" w:rsidRPr="005500F7">
              <w:rPr>
                <w:rFonts w:ascii="Aptos" w:hAnsi="Aptos"/>
                <w:sz w:val="20"/>
                <w:szCs w:val="20"/>
                <w:vertAlign w:val="superscript"/>
              </w:rPr>
              <w:t>69,72,76</w:t>
            </w:r>
            <w:r w:rsidR="005500F7" w:rsidRPr="005500F7">
              <w:rPr>
                <w:rFonts w:ascii="Aptos" w:hAnsi="Aptos"/>
                <w:sz w:val="20"/>
                <w:szCs w:val="20"/>
              </w:rPr>
              <w:fldChar w:fldCharType="end"/>
            </w:r>
          </w:p>
        </w:tc>
      </w:tr>
      <w:tr w:rsidR="005500F7" w:rsidRPr="005500F7" w14:paraId="2EAD544A" w14:textId="77777777" w:rsidTr="002C08A9">
        <w:trPr>
          <w:trHeight w:val="1049"/>
        </w:trPr>
        <w:tc>
          <w:tcPr>
            <w:tcW w:w="593" w:type="pct"/>
            <w:tcBorders>
              <w:top w:val="single" w:sz="4" w:space="0" w:color="auto"/>
              <w:left w:val="nil"/>
              <w:bottom w:val="single" w:sz="4" w:space="0" w:color="FFFFFF"/>
              <w:right w:val="nil"/>
            </w:tcBorders>
            <w:shd w:val="clear" w:color="auto" w:fill="auto"/>
            <w:vAlign w:val="center"/>
          </w:tcPr>
          <w:p w14:paraId="32907B20" w14:textId="015DCA6A" w:rsidR="005500F7" w:rsidRPr="005500F7" w:rsidRDefault="005500F7" w:rsidP="00257457">
            <w:pPr>
              <w:spacing w:after="0" w:line="240" w:lineRule="auto"/>
              <w:rPr>
                <w:rFonts w:ascii="Aptos" w:hAnsi="Aptos"/>
                <w:b/>
                <w:sz w:val="20"/>
                <w:szCs w:val="20"/>
              </w:rPr>
            </w:pPr>
            <w:r w:rsidRPr="005500F7">
              <w:rPr>
                <w:rFonts w:ascii="Aptos" w:hAnsi="Aptos"/>
                <w:b/>
                <w:i/>
                <w:iCs/>
                <w:sz w:val="20"/>
                <w:szCs w:val="20"/>
              </w:rPr>
              <w:t>TOR1A</w:t>
            </w:r>
          </w:p>
        </w:tc>
        <w:tc>
          <w:tcPr>
            <w:tcW w:w="4407" w:type="pct"/>
            <w:tcBorders>
              <w:top w:val="single" w:sz="4" w:space="0" w:color="auto"/>
              <w:left w:val="nil"/>
              <w:bottom w:val="single" w:sz="4" w:space="0" w:color="FFFFFF"/>
              <w:right w:val="single" w:sz="12" w:space="0" w:color="FFFFFF"/>
            </w:tcBorders>
            <w:shd w:val="clear" w:color="auto" w:fill="auto"/>
            <w:vAlign w:val="center"/>
          </w:tcPr>
          <w:p w14:paraId="6BD03C7C" w14:textId="67BB457D" w:rsidR="005500F7" w:rsidRPr="005500F7" w:rsidRDefault="005500F7" w:rsidP="002C08A9">
            <w:pPr>
              <w:spacing w:after="0" w:line="240" w:lineRule="auto"/>
              <w:rPr>
                <w:rFonts w:ascii="Aptos" w:hAnsi="Aptos"/>
                <w:sz w:val="20"/>
                <w:szCs w:val="20"/>
              </w:rPr>
            </w:pPr>
            <w:r w:rsidRPr="005500F7">
              <w:rPr>
                <w:rFonts w:ascii="Aptos" w:hAnsi="Aptos"/>
                <w:i/>
                <w:iCs/>
                <w:sz w:val="20"/>
                <w:szCs w:val="20"/>
              </w:rPr>
              <w:t>TOR1A</w:t>
            </w:r>
            <w:r w:rsidRPr="005500F7">
              <w:rPr>
                <w:rFonts w:ascii="Aptos" w:hAnsi="Aptos"/>
                <w:sz w:val="20"/>
                <w:szCs w:val="20"/>
              </w:rPr>
              <w:t xml:space="preserve"> is the most common and studied dystonia </w:t>
            </w:r>
            <w:r w:rsidR="002C08A9">
              <w:rPr>
                <w:rFonts w:ascii="Aptos" w:hAnsi="Aptos"/>
                <w:sz w:val="20"/>
                <w:szCs w:val="20"/>
              </w:rPr>
              <w:t xml:space="preserve">gene </w:t>
            </w:r>
            <w:r w:rsidRPr="005500F7">
              <w:rPr>
                <w:rFonts w:ascii="Aptos" w:hAnsi="Aptos"/>
                <w:sz w:val="20"/>
                <w:szCs w:val="20"/>
              </w:rPr>
              <w:t>with autosomal-dominant inheritance.</w:t>
            </w:r>
            <w:r w:rsidRPr="005500F7">
              <w:rPr>
                <w:rFonts w:ascii="Aptos" w:hAnsi="Aptos"/>
                <w:sz w:val="20"/>
                <w:szCs w:val="20"/>
              </w:rPr>
              <w:fldChar w:fldCharType="begin"/>
            </w:r>
            <w:r w:rsidRPr="005500F7">
              <w:rPr>
                <w:rFonts w:ascii="Aptos" w:hAnsi="Aptos"/>
                <w:sz w:val="20"/>
                <w:szCs w:val="20"/>
              </w:rPr>
              <w:instrText xml:space="preserve"> ADDIN ZOTERO_ITEM CSL_CITATION {"citationID":"TErv0ogB","properties":{"formattedCitation":"\\super 77,78\\nosupersub{}","plainCitation":"77,78","noteIndex":0},"citationItems":[{"id":541,"uris":["http://zotero.org/users/local/qbj29eOf/items/VRS6RBXX"],"itemData":{"id":541,"type":"article-journal","container-title":"Nature Genetics","DOI":"10.1038/ng0997-40","ISSN":"1061-4036, 1546-1718","issue":"1","journalAbbreviation":"Nat Genet","language":"en","page":"40-48","source":"DOI.org (Crossref)","title":"The early-onset torsion dystonia gene (DYT1) encodes an ATP-binding protein","volume":"17","author":[{"family":"Ozelius","given":"Laurie J."},{"family":"Hewett","given":"Jeffrey W."},{"family":"Page","given":"Curtis E."},{"family":"Bressman","given":"Susan B."},{"family":"Kramer","given":"Patricia L."},{"family":"Shalish","given":"Christo"},{"family":"De Leon","given":"Deborah"},{"family":"Brin","given":"Mitchell F."},{"family":"Raymond","given":"Deborah"},{"family":"Corey","given":"David P."},{"family":"Fahn","given":"Stanley"},{"family":"Risch","given":"Neil J."},{"family":"Buckler","given":"Alan J."},{"family":"Gusella","given":"James F."},{"family":"Breakefield","given":"Xandra O."}],"issued":{"date-parts":[["1997",9]]}},"label":"page"},{"id":542,"uris":["http://zotero.org/users/local/qbj29eOf/items/6HKI65DJ"],"itemData":{"id":542,"type":"article-journal","container-title":"Advances in Neurology","ISSN":"0091-3952","journalAbbreviation":"Adv Neurol","language":"eng","note":"PMID: 14509661","page":"101-107","source":"PubMed","title":"Dystonia genotypes, phenotypes, and classification","volume":"94","author":[{"family":"Bressman","given":"Susan B."}],"issued":{"date-parts":[["2004"]]}},"label":"page"}],"schema":"https://github.com/citation-style-language/schema/raw/master/csl-citation.json"}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77,78</w:t>
            </w:r>
            <w:r w:rsidRPr="005500F7">
              <w:rPr>
                <w:rFonts w:ascii="Aptos" w:hAnsi="Aptos"/>
                <w:sz w:val="20"/>
                <w:szCs w:val="20"/>
              </w:rPr>
              <w:fldChar w:fldCharType="end"/>
            </w:r>
            <w:r w:rsidRPr="005500F7">
              <w:rPr>
                <w:rFonts w:ascii="Aptos" w:hAnsi="Aptos"/>
                <w:sz w:val="20"/>
                <w:szCs w:val="20"/>
              </w:rPr>
              <w:t xml:space="preserve"> Characteristically, it initially affects the limbs(~60%) as focal dystonia with </w:t>
            </w:r>
            <w:r>
              <w:rPr>
                <w:rFonts w:ascii="Aptos" w:hAnsi="Aptos"/>
                <w:sz w:val="20"/>
                <w:szCs w:val="20"/>
              </w:rPr>
              <w:t>an</w:t>
            </w:r>
            <w:r w:rsidRPr="005500F7">
              <w:rPr>
                <w:rFonts w:ascii="Aptos" w:hAnsi="Aptos"/>
                <w:sz w:val="20"/>
                <w:szCs w:val="20"/>
              </w:rPr>
              <w:t xml:space="preserve"> early onset.</w:t>
            </w:r>
            <w:r w:rsidRPr="005500F7">
              <w:rPr>
                <w:rFonts w:ascii="Aptos" w:hAnsi="Aptos"/>
                <w:sz w:val="20"/>
                <w:szCs w:val="20"/>
              </w:rPr>
              <w:fldChar w:fldCharType="begin"/>
            </w:r>
            <w:r w:rsidRPr="005500F7">
              <w:rPr>
                <w:rFonts w:ascii="Aptos" w:hAnsi="Aptos"/>
                <w:sz w:val="20"/>
                <w:szCs w:val="20"/>
              </w:rPr>
              <w:instrText xml:space="preserve"> ADDIN ZOTERO_ITEM CSL_CITATION {"citationID":"BqWz6elF","properties":{"formattedCitation":"\\super 71,75\\nosupersub{}","plainCitation":"71,75","noteIndex":0},"citationItems":[{"id":532,"uris":["http://zotero.org/users/local/qbj29eOf/items/7DY8AK72"],"itemData":{"id":532,"type":"article-journal","abstract":"ABSTRACT\n            \n              This comprehensive MDSGene review is devoted to 7 genes —\n              TOR1A\n              ,\n              THAP1\n              ,\n              GNAL\n              ,\n              ANO3\n              ,\n              PRKRA\n              ,\n              KMT2B\n              , and\n              HPCA\n              — mutations in which may cause isolated dystonia. It followed MDSGene's standardized data extraction protocol and screened a total of ~1200 citations. Phenotypic and genotypic data on ~1200 patients with 254 different mutations were curated and analyzed. There were differences regarding age at onset, site of onset, and distribution of symptoms across mutation carriers in all 7 genes. Although carriers of\n              TOR1A\n              ,\n              THAP1\n              ,\n              PRKRA\n              ,\n              KMT2B\n              , or\n              HPCA\n              mutations mostly showed childhood and adolescent onset, patients with\n              GNAL\n              and\n              ANO3\n              mutations often developed first symptoms in adulthood.\n              GNAL\n              and\n              KMT2B\n              mutation carriers frequently have 1 predominant site of onset, that is, the neck (\n              GNAL\n              ) or the lower limbs (\n              KMT2B\n              ), whereas site of onset in DYT</w:instrText>
            </w:r>
            <w:r w:rsidRPr="005500F7">
              <w:rPr>
                <w:rFonts w:ascii="Cambria Math" w:hAnsi="Cambria Math" w:cs="Cambria Math"/>
                <w:sz w:val="20"/>
                <w:szCs w:val="20"/>
              </w:rPr>
              <w:instrText>‐</w:instrText>
            </w:r>
            <w:r w:rsidRPr="005500F7">
              <w:rPr>
                <w:rFonts w:ascii="Aptos" w:hAnsi="Aptos"/>
                <w:sz w:val="20"/>
                <w:szCs w:val="20"/>
              </w:rPr>
              <w:instrText>\n              TOR1A\n              , DYT</w:instrText>
            </w:r>
            <w:r w:rsidRPr="005500F7">
              <w:rPr>
                <w:rFonts w:ascii="Cambria Math" w:hAnsi="Cambria Math" w:cs="Cambria Math"/>
                <w:sz w:val="20"/>
                <w:szCs w:val="20"/>
              </w:rPr>
              <w:instrText>‐</w:instrText>
            </w:r>
            <w:r w:rsidRPr="005500F7">
              <w:rPr>
                <w:rFonts w:ascii="Aptos" w:hAnsi="Aptos"/>
                <w:sz w:val="20"/>
                <w:szCs w:val="20"/>
              </w:rPr>
              <w:instrText>\n              THAP1\n              , DYT</w:instrText>
            </w:r>
            <w:r w:rsidRPr="005500F7">
              <w:rPr>
                <w:rFonts w:ascii="Cambria Math" w:hAnsi="Cambria Math" w:cs="Cambria Math"/>
                <w:sz w:val="20"/>
                <w:szCs w:val="20"/>
              </w:rPr>
              <w:instrText>‐</w:instrText>
            </w:r>
            <w:r w:rsidRPr="005500F7">
              <w:rPr>
                <w:rFonts w:ascii="Aptos" w:hAnsi="Aptos"/>
                <w:sz w:val="20"/>
                <w:szCs w:val="20"/>
              </w:rPr>
              <w:instrText>\n              ANO3\n              , DYT</w:instrText>
            </w:r>
            <w:r w:rsidRPr="005500F7">
              <w:rPr>
                <w:rFonts w:ascii="Cambria Math" w:hAnsi="Cambria Math" w:cs="Cambria Math"/>
                <w:sz w:val="20"/>
                <w:szCs w:val="20"/>
              </w:rPr>
              <w:instrText>‐</w:instrText>
            </w:r>
            <w:r w:rsidRPr="005500F7">
              <w:rPr>
                <w:rFonts w:ascii="Aptos" w:hAnsi="Aptos"/>
                <w:sz w:val="20"/>
                <w:szCs w:val="20"/>
              </w:rPr>
              <w:instrText>\n              PRKRA\n              , and DYT</w:instrText>
            </w:r>
            <w:r w:rsidRPr="005500F7">
              <w:rPr>
                <w:rFonts w:ascii="Cambria Math" w:hAnsi="Cambria Math" w:cs="Cambria Math"/>
                <w:sz w:val="20"/>
                <w:szCs w:val="20"/>
              </w:rPr>
              <w:instrText>‐</w:instrText>
            </w:r>
            <w:r w:rsidRPr="005500F7">
              <w:rPr>
                <w:rFonts w:ascii="Aptos" w:hAnsi="Aptos"/>
                <w:sz w:val="20"/>
                <w:szCs w:val="20"/>
              </w:rPr>
              <w:instrText>\n              HPCA\n              was broader. However, in most DYT</w:instrText>
            </w:r>
            <w:r w:rsidRPr="005500F7">
              <w:rPr>
                <w:rFonts w:ascii="Cambria Math" w:hAnsi="Cambria Math" w:cs="Cambria Math"/>
                <w:sz w:val="20"/>
                <w:szCs w:val="20"/>
              </w:rPr>
              <w:instrText>‐</w:instrText>
            </w:r>
            <w:r w:rsidRPr="005500F7">
              <w:rPr>
                <w:rFonts w:ascii="Aptos" w:hAnsi="Aptos"/>
                <w:sz w:val="20"/>
                <w:szCs w:val="20"/>
              </w:rPr>
              <w:instrText>\n              THAP1\n              and DYT</w:instrText>
            </w:r>
            <w:r w:rsidRPr="005500F7">
              <w:rPr>
                <w:rFonts w:ascii="Cambria Math" w:hAnsi="Cambria Math" w:cs="Cambria Math"/>
                <w:sz w:val="20"/>
                <w:szCs w:val="20"/>
              </w:rPr>
              <w:instrText>‐</w:instrText>
            </w:r>
            <w:r w:rsidRPr="005500F7">
              <w:rPr>
                <w:rFonts w:ascii="Aptos" w:hAnsi="Aptos"/>
                <w:sz w:val="20"/>
                <w:szCs w:val="20"/>
              </w:rPr>
              <w:instrText>\n              ANO3\n              patients, dystonia first manifested in the upper half of the body (upper limb, neck, and craniofacial/laryngeal), whereas onset in DYT</w:instrText>
            </w:r>
            <w:r w:rsidRPr="005500F7">
              <w:rPr>
                <w:rFonts w:ascii="Cambria Math" w:hAnsi="Cambria Math" w:cs="Cambria Math"/>
                <w:sz w:val="20"/>
                <w:szCs w:val="20"/>
              </w:rPr>
              <w:instrText>‐</w:instrText>
            </w:r>
            <w:r w:rsidRPr="005500F7">
              <w:rPr>
                <w:rFonts w:ascii="Aptos" w:hAnsi="Aptos"/>
                <w:sz w:val="20"/>
                <w:szCs w:val="20"/>
              </w:rPr>
              <w:instrText>\n              TOR1A\n              , DYT</w:instrText>
            </w:r>
            <w:r w:rsidRPr="005500F7">
              <w:rPr>
                <w:rFonts w:ascii="Cambria Math" w:hAnsi="Cambria Math" w:cs="Cambria Math"/>
                <w:sz w:val="20"/>
                <w:szCs w:val="20"/>
              </w:rPr>
              <w:instrText>‐</w:instrText>
            </w:r>
            <w:r w:rsidRPr="005500F7">
              <w:rPr>
                <w:rFonts w:ascii="Aptos" w:hAnsi="Aptos"/>
                <w:sz w:val="20"/>
                <w:szCs w:val="20"/>
              </w:rPr>
              <w:instrText>\n              PRKRA\n              and DYT</w:instrText>
            </w:r>
            <w:r w:rsidRPr="005500F7">
              <w:rPr>
                <w:rFonts w:ascii="Cambria Math" w:hAnsi="Cambria Math" w:cs="Cambria Math"/>
                <w:sz w:val="20"/>
                <w:szCs w:val="20"/>
              </w:rPr>
              <w:instrText>‐</w:instrText>
            </w:r>
            <w:r w:rsidRPr="005500F7">
              <w:rPr>
                <w:rFonts w:ascii="Aptos" w:hAnsi="Aptos"/>
                <w:sz w:val="20"/>
                <w:szCs w:val="20"/>
              </w:rPr>
              <w:instrText xml:space="preserve">\n              HPCA\n              was frequently observed in an extremity, including both upper and lower ones. For\n              ANO3\n              , a segmental/multifocal distribution was typical, whereas\n              TOR1A\n              ,\n              PRKRA\n              ,\n              KMT2B\n              , and\n              HPCA\n              mutation carriers commonly developed generalized dystonia.\n              THAP1\n              mutation carriers presented with focal, segmental/multifocal, or generalized dystonia in almost equal proportions.\n              GNAL\n              mutation carriers rarely showed generalization. This review provides a comprehensive overview of the current knowledge of hereditary isolated dystonia. The data are also available in an online database (\n              http://www.mdsgene.org\n              ), which additionally offers descriptive summary statistics. © 2021 The Authors.\n              Movement Disorders\n              published by Wiley Periodicals LLC on behalf of International Parkinson and Movement Disorder Society","container-title":"Movement Disorders","DOI":"10.1002/mds.28485","ISSN":"0885-3185, 1531-8257","issue":"5","journalAbbreviation":"Movement Disorders","language":"en","page":"1086-1103","source":"DOI.org (Crossref)","title":"Genotype–Phenotype Relations for Isolated Dystonia Genes: &lt;span style=\"font-variant:small-caps;\"&gt;MDSGene&lt;/span&gt; Systematic Review","title-short":"Genotype–Phenotype Relations for Isolated Dystonia Genes","volume":"36","author":[{"family":"Lange","given":"Lara M."},{"family":"Junker","given":"Johanna"},{"family":"Loens","given":"Sebastian"},{"family":"Baumann","given":"Hauke"},{"family":"Olschewski","given":"Luisa"},{"family":"Schaake","given":"Susen"},{"family":"Madoev","given":"Harutyun"},{"family":"Petkovic","given":"Sonja"},{"family":"Kuhnke","given":"Neele"},{"family":"Kasten","given":"Meike"},{"family":"Westenberger","given":"Ana"},{"family":"Domingo","given":"Aloysius"},{"family":"Marras","given":"Connie"},{"family":"König","given":"Inke R."},{"family":"Camargos","given":"Sarah"},{"family":"Ozelius","given":"Laurie J."},{"family":"Klein","given":"Christine"},{"family":"Lohmann","given":"Katja"}],"issued":{"date-parts":[["2021",5]]}}},{"id":537,"uris":["http://zotero.org/users/local/qbj29eOf/items/PI4KSIAY"],"itemData":{"id":537,"type":"article-journal","container-title":"Neurotherapeutics","DOI":"10.1007/s13311-014-0297-7","ISSN":"1933-7213, 1878-7479","issue":"4","journalAbbreviation":"Neurotherapeutics","language":"en","page":"807-816","source":"DOI.org (Crossref)","title":"Inherited Isolated Dystonia: Clinical Genetics and Gene Function","title-short":"Inherited Isolated Dystonia","volume":"11","author":[{"family":"Dauer","given":"William"}],"issued":{"date-parts":[["2014",10]]}}}],"schema":"https://github.com/citation-style-language/schema/raw/master/csl-citation.json"}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71,75</w:t>
            </w:r>
            <w:r w:rsidRPr="005500F7">
              <w:rPr>
                <w:rFonts w:ascii="Aptos" w:hAnsi="Aptos"/>
                <w:sz w:val="20"/>
                <w:szCs w:val="20"/>
              </w:rPr>
              <w:fldChar w:fldCharType="end"/>
            </w:r>
            <w:r w:rsidRPr="005500F7">
              <w:rPr>
                <w:rFonts w:ascii="Aptos" w:hAnsi="Aptos"/>
                <w:sz w:val="20"/>
                <w:szCs w:val="20"/>
              </w:rPr>
              <w:t xml:space="preserve"> Motor symptoms tend to be generalized while craniofacial or laryngeal involvement is rare.</w:t>
            </w:r>
            <w:r w:rsidRPr="005500F7">
              <w:rPr>
                <w:rFonts w:ascii="Aptos" w:hAnsi="Aptos"/>
                <w:sz w:val="20"/>
                <w:szCs w:val="20"/>
              </w:rPr>
              <w:fldChar w:fldCharType="begin"/>
            </w:r>
            <w:r w:rsidRPr="005500F7">
              <w:rPr>
                <w:rFonts w:ascii="Aptos" w:hAnsi="Aptos"/>
                <w:sz w:val="20"/>
                <w:szCs w:val="20"/>
              </w:rPr>
              <w:instrText xml:space="preserve"> ADDIN ZOTERO_ITEM CSL_CITATION {"citationID":"G3jAfX9x","properties":{"formattedCitation":"\\super 71,79,80\\nosupersub{}","plainCitation":"71,79,80","noteIndex":0},"citationItems":[{"id":532,"uris":["http://zotero.org/users/local/qbj29eOf/items/7DY8AK72"],"itemData":{"id":532,"type":"article-journal","abstract":"ABSTRACT\n            \n              This comprehensive MDSGene review is devoted to 7 genes —\n              TOR1A\n              ,\n              THAP1\n              ,\n              GNAL\n              ,\n              ANO3\n              ,\n              PRKRA\n              ,\n              KMT2B\n              , and\n              HPCA\n              — mutations in which may cause isolated dystonia. It followed MDSGene's standardized data extraction protocol and screened a total of ~1200 citations. Phenotypic and genotypic data on ~1200 patients with 254 different mutations were curated and analyzed. There were differences regarding age at onset, site of onset, and distribution of symptoms across mutation carriers in all 7 genes. Although carriers of\n              TOR1A\n              ,\n              THAP1\n              ,\n              PRKRA\n              ,\n              KMT2B\n              , or\n              HPCA\n              mutations mostly showed childhood and adolescent onset, patients with\n              GNAL\n              and\n              ANO3\n              mutations often developed first symptoms in adulthood.\n              GNAL\n              and\n              KMT2B\n              mutation carriers frequently have 1 predominant site of onset, that is, the neck (\n              GNAL\n              ) or the lower limbs (\n              KMT2B\n              ), whereas site of onset in DYT</w:instrText>
            </w:r>
            <w:r w:rsidRPr="005500F7">
              <w:rPr>
                <w:rFonts w:ascii="Cambria Math" w:hAnsi="Cambria Math" w:cs="Cambria Math"/>
                <w:sz w:val="20"/>
                <w:szCs w:val="20"/>
              </w:rPr>
              <w:instrText>‐</w:instrText>
            </w:r>
            <w:r w:rsidRPr="005500F7">
              <w:rPr>
                <w:rFonts w:ascii="Aptos" w:hAnsi="Aptos"/>
                <w:sz w:val="20"/>
                <w:szCs w:val="20"/>
              </w:rPr>
              <w:instrText>\n              TOR1A\n              , DYT</w:instrText>
            </w:r>
            <w:r w:rsidRPr="005500F7">
              <w:rPr>
                <w:rFonts w:ascii="Cambria Math" w:hAnsi="Cambria Math" w:cs="Cambria Math"/>
                <w:sz w:val="20"/>
                <w:szCs w:val="20"/>
              </w:rPr>
              <w:instrText>‐</w:instrText>
            </w:r>
            <w:r w:rsidRPr="005500F7">
              <w:rPr>
                <w:rFonts w:ascii="Aptos" w:hAnsi="Aptos"/>
                <w:sz w:val="20"/>
                <w:szCs w:val="20"/>
              </w:rPr>
              <w:instrText>\n              THAP1\n              , DYT</w:instrText>
            </w:r>
            <w:r w:rsidRPr="005500F7">
              <w:rPr>
                <w:rFonts w:ascii="Cambria Math" w:hAnsi="Cambria Math" w:cs="Cambria Math"/>
                <w:sz w:val="20"/>
                <w:szCs w:val="20"/>
              </w:rPr>
              <w:instrText>‐</w:instrText>
            </w:r>
            <w:r w:rsidRPr="005500F7">
              <w:rPr>
                <w:rFonts w:ascii="Aptos" w:hAnsi="Aptos"/>
                <w:sz w:val="20"/>
                <w:szCs w:val="20"/>
              </w:rPr>
              <w:instrText>\n              ANO3\n              , DYT</w:instrText>
            </w:r>
            <w:r w:rsidRPr="005500F7">
              <w:rPr>
                <w:rFonts w:ascii="Cambria Math" w:hAnsi="Cambria Math" w:cs="Cambria Math"/>
                <w:sz w:val="20"/>
                <w:szCs w:val="20"/>
              </w:rPr>
              <w:instrText>‐</w:instrText>
            </w:r>
            <w:r w:rsidRPr="005500F7">
              <w:rPr>
                <w:rFonts w:ascii="Aptos" w:hAnsi="Aptos"/>
                <w:sz w:val="20"/>
                <w:szCs w:val="20"/>
              </w:rPr>
              <w:instrText>\n              PRKRA\n              , and DYT</w:instrText>
            </w:r>
            <w:r w:rsidRPr="005500F7">
              <w:rPr>
                <w:rFonts w:ascii="Cambria Math" w:hAnsi="Cambria Math" w:cs="Cambria Math"/>
                <w:sz w:val="20"/>
                <w:szCs w:val="20"/>
              </w:rPr>
              <w:instrText>‐</w:instrText>
            </w:r>
            <w:r w:rsidRPr="005500F7">
              <w:rPr>
                <w:rFonts w:ascii="Aptos" w:hAnsi="Aptos"/>
                <w:sz w:val="20"/>
                <w:szCs w:val="20"/>
              </w:rPr>
              <w:instrText>\n              HPCA\n              was broader. However, in most DYT</w:instrText>
            </w:r>
            <w:r w:rsidRPr="005500F7">
              <w:rPr>
                <w:rFonts w:ascii="Cambria Math" w:hAnsi="Cambria Math" w:cs="Cambria Math"/>
                <w:sz w:val="20"/>
                <w:szCs w:val="20"/>
              </w:rPr>
              <w:instrText>‐</w:instrText>
            </w:r>
            <w:r w:rsidRPr="005500F7">
              <w:rPr>
                <w:rFonts w:ascii="Aptos" w:hAnsi="Aptos"/>
                <w:sz w:val="20"/>
                <w:szCs w:val="20"/>
              </w:rPr>
              <w:instrText>\n              THAP1\n              and DYT</w:instrText>
            </w:r>
            <w:r w:rsidRPr="005500F7">
              <w:rPr>
                <w:rFonts w:ascii="Cambria Math" w:hAnsi="Cambria Math" w:cs="Cambria Math"/>
                <w:sz w:val="20"/>
                <w:szCs w:val="20"/>
              </w:rPr>
              <w:instrText>‐</w:instrText>
            </w:r>
            <w:r w:rsidRPr="005500F7">
              <w:rPr>
                <w:rFonts w:ascii="Aptos" w:hAnsi="Aptos"/>
                <w:sz w:val="20"/>
                <w:szCs w:val="20"/>
              </w:rPr>
              <w:instrText>\n              ANO3\n              patients, dystonia first manifested in the upper half of the body (upper limb, neck, and craniofacial/laryngeal), whereas onset in DYT</w:instrText>
            </w:r>
            <w:r w:rsidRPr="005500F7">
              <w:rPr>
                <w:rFonts w:ascii="Cambria Math" w:hAnsi="Cambria Math" w:cs="Cambria Math"/>
                <w:sz w:val="20"/>
                <w:szCs w:val="20"/>
              </w:rPr>
              <w:instrText>‐</w:instrText>
            </w:r>
            <w:r w:rsidRPr="005500F7">
              <w:rPr>
                <w:rFonts w:ascii="Aptos" w:hAnsi="Aptos"/>
                <w:sz w:val="20"/>
                <w:szCs w:val="20"/>
              </w:rPr>
              <w:instrText>\n              TOR1A\n              , DYT</w:instrText>
            </w:r>
            <w:r w:rsidRPr="005500F7">
              <w:rPr>
                <w:rFonts w:ascii="Cambria Math" w:hAnsi="Cambria Math" w:cs="Cambria Math"/>
                <w:sz w:val="20"/>
                <w:szCs w:val="20"/>
              </w:rPr>
              <w:instrText>‐</w:instrText>
            </w:r>
            <w:r w:rsidRPr="005500F7">
              <w:rPr>
                <w:rFonts w:ascii="Aptos" w:hAnsi="Aptos"/>
                <w:sz w:val="20"/>
                <w:szCs w:val="20"/>
              </w:rPr>
              <w:instrText>\n              PRKRA\n              and DYT</w:instrText>
            </w:r>
            <w:r w:rsidRPr="005500F7">
              <w:rPr>
                <w:rFonts w:ascii="Cambria Math" w:hAnsi="Cambria Math" w:cs="Cambria Math"/>
                <w:sz w:val="20"/>
                <w:szCs w:val="20"/>
              </w:rPr>
              <w:instrText>‐</w:instrText>
            </w:r>
            <w:r w:rsidRPr="005500F7">
              <w:rPr>
                <w:rFonts w:ascii="Aptos" w:hAnsi="Aptos"/>
                <w:sz w:val="20"/>
                <w:szCs w:val="20"/>
              </w:rPr>
              <w:instrText xml:space="preserve">\n              HPCA\n              was frequently observed in an extremity, including both upper and lower ones. For\n              ANO3\n              , a segmental/multifocal distribution was typical, whereas\n              TOR1A\n              ,\n              PRKRA\n              ,\n              KMT2B\n              , and\n              HPCA\n              mutation carriers commonly developed generalized dystonia.\n              THAP1\n              mutation carriers presented with focal, segmental/multifocal, or generalized dystonia in almost equal proportions.\n              GNAL\n              mutation carriers rarely showed generalization. This review provides a comprehensive overview of the current knowledge of hereditary isolated dystonia. The data are also available in an online database (\n              http://www.mdsgene.org\n              ), which additionally offers descriptive summary statistics. © 2021 The Authors.\n              Movement Disorders\n              published by Wiley Periodicals LLC on behalf of International Parkinson and Movement Disorder Society","container-title":"Movement Disorders","DOI":"10.1002/mds.28485","ISSN":"0885-3185, 1531-8257","issue":"5","journalAbbreviation":"Movement Disorders","language":"en","page":"1086-1103","source":"DOI.org (Crossref)","title":"Genotype–Phenotype Relations for Isolated Dystonia Genes: &lt;span style=\"font-variant:small-caps;\"&gt;MDSGene&lt;/span&gt; Systematic Review","title-short":"Genotype–Phenotype Relations for Isolated Dystonia Genes","volume":"36","author":[{"family":"Lange","given":"Lara M."},{"family":"Junker","given":"Johanna"},{"family":"Loens","given":"Sebastian"},{"family":"Baumann","given":"Hauke"},{"family":"Olschewski","given":"Luisa"},{"family":"Schaake","given":"Susen"},{"family":"Madoev","given":"Harutyun"},{"family":"Petkovic","given":"Sonja"},{"family":"Kuhnke","given":"Neele"},{"family":"Kasten","given":"Meike"},{"family":"Westenberger","given":"Ana"},{"family":"Domingo","given":"Aloysius"},{"family":"Marras","given":"Connie"},{"family":"König","given":"Inke R."},{"family":"Camargos","given":"Sarah"},{"family":"Ozelius","given":"Laurie J."},{"family":"Klein","given":"Christine"},{"family":"Lohmann","given":"Katja"}],"issued":{"date-parts":[["2021",5]]}},"label":"page"},{"id":544,"uris":["http://zotero.org/users/local/qbj29eOf/items/NEK56I8Y"],"itemData":{"id":544,"type":"article-journal","container-title":"Movement Disorders","DOI":"10.1002/mds.21000","ISSN":"08853185, 15318257","issue":"9","journalAbbreviation":"Mov Disord.","language":"en","page":"1411-1418","source":"DOI.org (Crossref)","title":"Non-DYT1 early-onset primary torsion dystonia: Comparison with DYT1 phenotype and review of the literature","title-short":"Non-DYT1 early-onset primary torsion dystonia","volume":"21","author":[{"family":"Fasano","given":"Alfonso"},{"family":"Nardocci","given":"Nardo"},{"family":"Elia","given":"Antonio Emanuele"},{"family":"Zorzi","given":"Giovanna"},{"family":"Bentivoglio","given":"Anna Rita"},{"family":"Albanese","given":"Alberto"}],"issued":{"date-parts":[["2006",9]]}},"label":"page"},{"id":545,"uris":["http://zotero.org/users/local/qbj29eOf/items/QJ4Q59EG"],"itemData":{"id":545,"type":"article-journal","container-title":"Neurology","DOI":"10.1212/WNL.54.9.1746","ISSN":"0028-3878, 1526-632X","issue":"9","journalAbbreviation":"Neurology","language":"en","page":"1746-1753","source":"DOI.org (Crossref)","title":"The DYT1 phenotype and guidelines for diagnostic testing","volume":"54","author":[{"family":"Bressman","given":"S. B."},{"family":"Sabatti","given":"C."},{"family":"Raymond","given":"D."},{"family":"De Leon","given":"D."},{"family":"Klein","given":"C."},{"family":"Kramer","given":"P. L."},{"family":"Brin","given":"M. F."},{"family":"Fahn","given":"S."},{"family":"Breakefield","given":"X."},{"family":"Ozelius","given":"L. J."},{"family":"Risch","given":"N. J."}],"issued":{"date-parts":[["2000",5,9]]}},"label":"page"}],"schema":"https://github.com/citation-style-language/schema/raw/master/csl-citation.json"}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71,79,80</w:t>
            </w:r>
            <w:r w:rsidRPr="005500F7">
              <w:rPr>
                <w:rFonts w:ascii="Aptos" w:hAnsi="Aptos"/>
                <w:sz w:val="20"/>
                <w:szCs w:val="20"/>
              </w:rPr>
              <w:fldChar w:fldCharType="end"/>
            </w:r>
            <w:r w:rsidRPr="005500F7">
              <w:rPr>
                <w:rFonts w:ascii="Aptos" w:hAnsi="Aptos"/>
                <w:sz w:val="20"/>
                <w:szCs w:val="20"/>
              </w:rPr>
              <w:t xml:space="preserve"> Nonmotor symptoms </w:t>
            </w:r>
            <w:r>
              <w:rPr>
                <w:rFonts w:ascii="Aptos" w:hAnsi="Aptos"/>
                <w:sz w:val="20"/>
                <w:szCs w:val="20"/>
              </w:rPr>
              <w:t xml:space="preserve">are </w:t>
            </w:r>
            <w:r w:rsidRPr="005500F7">
              <w:rPr>
                <w:rFonts w:ascii="Aptos" w:hAnsi="Aptos"/>
                <w:sz w:val="20"/>
                <w:szCs w:val="20"/>
              </w:rPr>
              <w:t>generally not reported (&gt;90% missing).</w:t>
            </w:r>
            <w:r w:rsidRPr="005500F7">
              <w:rPr>
                <w:rFonts w:ascii="Aptos" w:hAnsi="Aptos"/>
                <w:sz w:val="20"/>
                <w:szCs w:val="20"/>
              </w:rPr>
              <w:fldChar w:fldCharType="begin"/>
            </w:r>
            <w:r w:rsidRPr="005500F7">
              <w:rPr>
                <w:rFonts w:ascii="Aptos" w:hAnsi="Aptos"/>
                <w:sz w:val="20"/>
                <w:szCs w:val="20"/>
              </w:rPr>
              <w:instrText xml:space="preserve"> ADDIN ZOTERO_ITEM CSL_CITATION {"citationID":"jcjbORnC","properties":{"formattedCitation":"\\super 71\\nosupersub{}","plainCitation":"71","noteIndex":0},"citationItems":[{"id":532,"uris":["http://zotero.org/users/local/qbj29eOf/items/7DY8AK72"],"itemData":{"id":532,"type":"article-journal","abstract":"ABSTRACT\n            \n              This comprehensive MDSGene review is devoted to 7 genes —\n              TOR1A\n              ,\n              THAP1\n              ,\n              GNAL\n              ,\n              ANO3\n              ,\n              PRKRA\n              ,\n              KMT2B\n              , and\n              HPCA\n              — mutations in which may cause isolated dystonia. It followed MDSGene's standardized data extraction protocol and screened a total of ~1200 citations. Phenotypic and genotypic data on ~1200 patients with 254 different mutations were curated and analyzed. There were differences regarding age at onset, site of onset, and distribution of symptoms across mutation carriers in all 7 genes. Although carriers of\n              TOR1A\n              ,\n              THAP1\n              ,\n              PRKRA\n              ,\n              KMT2B\n              , or\n              HPCA\n              mutations mostly showed childhood and adolescent onset, patients with\n              GNAL\n              and\n              ANO3\n              mutations often developed first symptoms in adulthood.\n              GNAL\n              and\n              KMT2B\n              mutation carriers frequently have 1 predominant site of onset, that is, the neck (\n              GNAL\n              ) or the lower limbs (\n              KMT2B\n              ), whereas site of onset in DYT</w:instrText>
            </w:r>
            <w:r w:rsidRPr="005500F7">
              <w:rPr>
                <w:rFonts w:ascii="Cambria Math" w:hAnsi="Cambria Math" w:cs="Cambria Math"/>
                <w:sz w:val="20"/>
                <w:szCs w:val="20"/>
              </w:rPr>
              <w:instrText>‐</w:instrText>
            </w:r>
            <w:r w:rsidRPr="005500F7">
              <w:rPr>
                <w:rFonts w:ascii="Aptos" w:hAnsi="Aptos"/>
                <w:sz w:val="20"/>
                <w:szCs w:val="20"/>
              </w:rPr>
              <w:instrText>\n              TOR1A\n              , DYT</w:instrText>
            </w:r>
            <w:r w:rsidRPr="005500F7">
              <w:rPr>
                <w:rFonts w:ascii="Cambria Math" w:hAnsi="Cambria Math" w:cs="Cambria Math"/>
                <w:sz w:val="20"/>
                <w:szCs w:val="20"/>
              </w:rPr>
              <w:instrText>‐</w:instrText>
            </w:r>
            <w:r w:rsidRPr="005500F7">
              <w:rPr>
                <w:rFonts w:ascii="Aptos" w:hAnsi="Aptos"/>
                <w:sz w:val="20"/>
                <w:szCs w:val="20"/>
              </w:rPr>
              <w:instrText>\n              THAP1\n              , DYT</w:instrText>
            </w:r>
            <w:r w:rsidRPr="005500F7">
              <w:rPr>
                <w:rFonts w:ascii="Cambria Math" w:hAnsi="Cambria Math" w:cs="Cambria Math"/>
                <w:sz w:val="20"/>
                <w:szCs w:val="20"/>
              </w:rPr>
              <w:instrText>‐</w:instrText>
            </w:r>
            <w:r w:rsidRPr="005500F7">
              <w:rPr>
                <w:rFonts w:ascii="Aptos" w:hAnsi="Aptos"/>
                <w:sz w:val="20"/>
                <w:szCs w:val="20"/>
              </w:rPr>
              <w:instrText>\n              ANO3\n              , DYT</w:instrText>
            </w:r>
            <w:r w:rsidRPr="005500F7">
              <w:rPr>
                <w:rFonts w:ascii="Cambria Math" w:hAnsi="Cambria Math" w:cs="Cambria Math"/>
                <w:sz w:val="20"/>
                <w:szCs w:val="20"/>
              </w:rPr>
              <w:instrText>‐</w:instrText>
            </w:r>
            <w:r w:rsidRPr="005500F7">
              <w:rPr>
                <w:rFonts w:ascii="Aptos" w:hAnsi="Aptos"/>
                <w:sz w:val="20"/>
                <w:szCs w:val="20"/>
              </w:rPr>
              <w:instrText>\n              PRKRA\n              , and DYT</w:instrText>
            </w:r>
            <w:r w:rsidRPr="005500F7">
              <w:rPr>
                <w:rFonts w:ascii="Cambria Math" w:hAnsi="Cambria Math" w:cs="Cambria Math"/>
                <w:sz w:val="20"/>
                <w:szCs w:val="20"/>
              </w:rPr>
              <w:instrText>‐</w:instrText>
            </w:r>
            <w:r w:rsidRPr="005500F7">
              <w:rPr>
                <w:rFonts w:ascii="Aptos" w:hAnsi="Aptos"/>
                <w:sz w:val="20"/>
                <w:szCs w:val="20"/>
              </w:rPr>
              <w:instrText>\n              HPCA\n              was broader. However, in most DYT</w:instrText>
            </w:r>
            <w:r w:rsidRPr="005500F7">
              <w:rPr>
                <w:rFonts w:ascii="Cambria Math" w:hAnsi="Cambria Math" w:cs="Cambria Math"/>
                <w:sz w:val="20"/>
                <w:szCs w:val="20"/>
              </w:rPr>
              <w:instrText>‐</w:instrText>
            </w:r>
            <w:r w:rsidRPr="005500F7">
              <w:rPr>
                <w:rFonts w:ascii="Aptos" w:hAnsi="Aptos"/>
                <w:sz w:val="20"/>
                <w:szCs w:val="20"/>
              </w:rPr>
              <w:instrText>\n              THAP1\n              and DYT</w:instrText>
            </w:r>
            <w:r w:rsidRPr="005500F7">
              <w:rPr>
                <w:rFonts w:ascii="Cambria Math" w:hAnsi="Cambria Math" w:cs="Cambria Math"/>
                <w:sz w:val="20"/>
                <w:szCs w:val="20"/>
              </w:rPr>
              <w:instrText>‐</w:instrText>
            </w:r>
            <w:r w:rsidRPr="005500F7">
              <w:rPr>
                <w:rFonts w:ascii="Aptos" w:hAnsi="Aptos"/>
                <w:sz w:val="20"/>
                <w:szCs w:val="20"/>
              </w:rPr>
              <w:instrText>\n              ANO3\n              patients, dystonia first manifested in the upper half of the body (upper limb, neck, and craniofacial/laryngeal), whereas onset in DYT</w:instrText>
            </w:r>
            <w:r w:rsidRPr="005500F7">
              <w:rPr>
                <w:rFonts w:ascii="Cambria Math" w:hAnsi="Cambria Math" w:cs="Cambria Math"/>
                <w:sz w:val="20"/>
                <w:szCs w:val="20"/>
              </w:rPr>
              <w:instrText>‐</w:instrText>
            </w:r>
            <w:r w:rsidRPr="005500F7">
              <w:rPr>
                <w:rFonts w:ascii="Aptos" w:hAnsi="Aptos"/>
                <w:sz w:val="20"/>
                <w:szCs w:val="20"/>
              </w:rPr>
              <w:instrText>\n              TOR1A\n              , DYT</w:instrText>
            </w:r>
            <w:r w:rsidRPr="005500F7">
              <w:rPr>
                <w:rFonts w:ascii="Cambria Math" w:hAnsi="Cambria Math" w:cs="Cambria Math"/>
                <w:sz w:val="20"/>
                <w:szCs w:val="20"/>
              </w:rPr>
              <w:instrText>‐</w:instrText>
            </w:r>
            <w:r w:rsidRPr="005500F7">
              <w:rPr>
                <w:rFonts w:ascii="Aptos" w:hAnsi="Aptos"/>
                <w:sz w:val="20"/>
                <w:szCs w:val="20"/>
              </w:rPr>
              <w:instrText>\n              PRKRA\n              and DYT</w:instrText>
            </w:r>
            <w:r w:rsidRPr="005500F7">
              <w:rPr>
                <w:rFonts w:ascii="Cambria Math" w:hAnsi="Cambria Math" w:cs="Cambria Math"/>
                <w:sz w:val="20"/>
                <w:szCs w:val="20"/>
              </w:rPr>
              <w:instrText>‐</w:instrText>
            </w:r>
            <w:r w:rsidRPr="005500F7">
              <w:rPr>
                <w:rFonts w:ascii="Aptos" w:hAnsi="Aptos"/>
                <w:sz w:val="20"/>
                <w:szCs w:val="20"/>
              </w:rPr>
              <w:instrText xml:space="preserve">\n              HPCA\n              was frequently observed in an extremity, including both upper and lower ones. For\n              ANO3\n              , a segmental/multifocal distribution was typical, whereas\n              TOR1A\n              ,\n              PRKRA\n              ,\n              KMT2B\n              , and\n              HPCA\n              mutation carriers commonly developed generalized dystonia.\n              THAP1\n              mutation carriers presented with focal, segmental/multifocal, or generalized dystonia in almost equal proportions.\n              GNAL\n              mutation carriers rarely showed generalization. This review provides a comprehensive overview of the current knowledge of hereditary isolated dystonia. The data are also available in an online database (\n              http://www.mdsgene.org\n              ), which additionally offers descriptive summary statistics. © 2021 The Authors.\n              Movement Disorders\n              published by Wiley Periodicals LLC on behalf of International Parkinson and Movement Disorder Society","container-title":"Movement Disorders","DOI":"10.1002/mds.28485","ISSN":"0885-3185, 1531-8257","issue":"5","journalAbbreviation":"Movement Disorders","language":"en","page":"1086-1103","source":"DOI.org (Crossref)","title":"Genotype–Phenotype Relations for Isolated Dystonia Genes: &lt;span style=\"font-variant:small-caps;\"&gt;MDSGene&lt;/span&gt; Systematic Review","title-short":"Genotype–Phenotype Relations for Isolated Dystonia Genes","volume":"36","author":[{"family":"Lange","given":"Lara M."},{"family":"Junker","given":"Johanna"},{"family":"Loens","given":"Sebastian"},{"family":"Baumann","given":"Hauke"},{"family":"Olschewski","given":"Luisa"},{"family":"Schaake","given":"Susen"},{"family":"Madoev","given":"Harutyun"},{"family":"Petkovic","given":"Sonja"},{"family":"Kuhnke","given":"Neele"},{"family":"Kasten","given":"Meike"},{"family":"Westenberger","given":"Ana"},{"family":"Domingo","given":"Aloysius"},{"family":"Marras","given":"Connie"},{"family":"König","given":"Inke R."},{"family":"Camargos","given":"Sarah"},{"family":"Ozelius","given":"Laurie J."},{"family":"Klein","given":"Christine"},{"family":"Lohmann","given":"Katja"}],"issued":{"date-parts":[["2021",5]]}}}],"schema":"https://github.com/citation-style-language/schema/raw/master/csl-citation.json"} </w:instrText>
            </w:r>
            <w:r w:rsidRPr="005500F7">
              <w:rPr>
                <w:rFonts w:ascii="Aptos" w:hAnsi="Aptos"/>
                <w:sz w:val="20"/>
                <w:szCs w:val="20"/>
              </w:rPr>
              <w:fldChar w:fldCharType="separate"/>
            </w:r>
            <w:r w:rsidRPr="005500F7">
              <w:rPr>
                <w:rFonts w:ascii="Aptos" w:hAnsi="Aptos"/>
                <w:sz w:val="20"/>
                <w:szCs w:val="20"/>
                <w:vertAlign w:val="superscript"/>
              </w:rPr>
              <w:t>71</w:t>
            </w:r>
            <w:r w:rsidRPr="005500F7">
              <w:rPr>
                <w:rFonts w:ascii="Aptos" w:hAnsi="Aptos"/>
                <w:sz w:val="20"/>
                <w:szCs w:val="20"/>
              </w:rPr>
              <w:fldChar w:fldCharType="end"/>
            </w:r>
          </w:p>
        </w:tc>
      </w:tr>
      <w:tr w:rsidR="005500F7" w:rsidRPr="005500F7" w14:paraId="7D44C28D" w14:textId="77777777" w:rsidTr="002C08A9">
        <w:trPr>
          <w:trHeight w:val="318"/>
        </w:trPr>
        <w:tc>
          <w:tcPr>
            <w:tcW w:w="593" w:type="pct"/>
            <w:tcBorders>
              <w:top w:val="single" w:sz="4" w:space="0" w:color="auto"/>
              <w:left w:val="nil"/>
              <w:bottom w:val="single" w:sz="12" w:space="0" w:color="auto"/>
              <w:right w:val="nil"/>
            </w:tcBorders>
            <w:shd w:val="clear" w:color="auto" w:fill="auto"/>
            <w:vAlign w:val="center"/>
          </w:tcPr>
          <w:p w14:paraId="4A875C72" w14:textId="1665AFD8" w:rsidR="005500F7" w:rsidRPr="005500F7" w:rsidRDefault="005500F7" w:rsidP="00257457">
            <w:pPr>
              <w:spacing w:after="0" w:line="240" w:lineRule="auto"/>
              <w:rPr>
                <w:rFonts w:ascii="Aptos" w:hAnsi="Aptos"/>
                <w:b/>
                <w:sz w:val="20"/>
                <w:szCs w:val="20"/>
              </w:rPr>
            </w:pPr>
            <w:r w:rsidRPr="005500F7">
              <w:rPr>
                <w:rFonts w:ascii="Aptos" w:hAnsi="Aptos"/>
                <w:b/>
                <w:i/>
                <w:iCs/>
                <w:sz w:val="20"/>
                <w:szCs w:val="20"/>
              </w:rPr>
              <w:t>VPS16</w:t>
            </w:r>
          </w:p>
        </w:tc>
        <w:tc>
          <w:tcPr>
            <w:tcW w:w="4407" w:type="pct"/>
            <w:tcBorders>
              <w:top w:val="single" w:sz="4" w:space="0" w:color="auto"/>
              <w:left w:val="nil"/>
              <w:bottom w:val="single" w:sz="12" w:space="0" w:color="auto"/>
              <w:right w:val="nil"/>
            </w:tcBorders>
            <w:shd w:val="clear" w:color="auto" w:fill="auto"/>
            <w:vAlign w:val="center"/>
          </w:tcPr>
          <w:p w14:paraId="45F258C8" w14:textId="64564720" w:rsidR="005500F7" w:rsidRPr="005500F7" w:rsidRDefault="00264446" w:rsidP="00257457">
            <w:pPr>
              <w:spacing w:after="0" w:line="240" w:lineRule="auto"/>
              <w:jc w:val="center"/>
              <w:rPr>
                <w:rFonts w:ascii="Aptos" w:hAnsi="Aptos"/>
                <w:sz w:val="20"/>
                <w:szCs w:val="20"/>
                <w:lang w:val="en-CA"/>
              </w:rPr>
            </w:pPr>
            <w:r>
              <w:rPr>
                <w:rFonts w:ascii="Aptos" w:hAnsi="Aptos"/>
                <w:sz w:val="20"/>
                <w:szCs w:val="20"/>
              </w:rPr>
              <w:t xml:space="preserve">Variants in </w:t>
            </w:r>
            <w:r w:rsidR="005500F7" w:rsidRPr="005500F7">
              <w:rPr>
                <w:rFonts w:ascii="Aptos" w:hAnsi="Aptos"/>
                <w:i/>
                <w:iCs/>
                <w:sz w:val="20"/>
                <w:szCs w:val="20"/>
              </w:rPr>
              <w:t>VPS16</w:t>
            </w:r>
            <w:r w:rsidR="005500F7" w:rsidRPr="005500F7">
              <w:rPr>
                <w:rFonts w:ascii="Aptos" w:hAnsi="Aptos"/>
                <w:sz w:val="20"/>
                <w:szCs w:val="20"/>
              </w:rPr>
              <w:t xml:space="preserve"> </w:t>
            </w:r>
            <w:r>
              <w:rPr>
                <w:rFonts w:ascii="Aptos" w:hAnsi="Aptos"/>
                <w:sz w:val="20"/>
                <w:szCs w:val="20"/>
              </w:rPr>
              <w:t>cause</w:t>
            </w:r>
            <w:r w:rsidR="005500F7" w:rsidRPr="005500F7">
              <w:rPr>
                <w:rFonts w:ascii="Aptos" w:hAnsi="Aptos"/>
                <w:sz w:val="20"/>
                <w:szCs w:val="20"/>
              </w:rPr>
              <w:t xml:space="preserve"> autosomal-dominant isolated dystonia with early onset</w:t>
            </w:r>
            <w:r w:rsidR="005500F7" w:rsidRPr="005500F7">
              <w:rPr>
                <w:rFonts w:ascii="Aptos" w:hAnsi="Aptos"/>
                <w:sz w:val="20"/>
                <w:szCs w:val="20"/>
                <w:lang w:val="en-CA"/>
              </w:rPr>
              <w:fldChar w:fldCharType="begin"/>
            </w:r>
            <w:r w:rsidR="005500F7" w:rsidRPr="005500F7">
              <w:rPr>
                <w:rFonts w:ascii="Aptos" w:hAnsi="Aptos"/>
                <w:sz w:val="20"/>
                <w:szCs w:val="20"/>
              </w:rPr>
              <w:instrText xml:space="preserve"> ADDIN ZOTERO_ITEM CSL_CITATION {"citationID":"8krVahrp","properties":{"formattedCitation":"\\super 1\\nosupersub{}","plainCitation":"1","noteIndex":0},"citationItems":[{"id":230,"uris":["http://zotero.org/users/local/qbj29eOf/items/L3PFVJMX"],"itemData":{"id":230,"type":"article-journal","container-title":"Movement Disorders","DOI":"10.1002/mds.29327","ISSN":"0885-3185, 1531-8257","issue":"3","journalAbbreviation":"Movement Disorders","language":"en","page":"507-508","source":"DOI.org (Crossref)","title":"&lt;span style=\"font-variant:small-caps;\"&gt;MDSGene&lt;/span&gt; : Extending the List of Isolated Dystonia Genes by &lt;span style=\"font-variant:small-caps;\"&gt; &lt;i&gt;VPS16&lt;/i&gt; &lt;/span&gt; , &lt;span style=\"font-variant:small-caps;\"&gt; &lt;i&gt;EIF2AK2&lt;/i&gt; &lt;/span&gt; , and &lt;span style=\"font-variant:small-caps;\"&gt; &lt;i&gt;AOPEP&lt;/i&gt; &lt;/span&gt;","title-short":"&lt;span style=\"font-variant","volume":"38","author":[{"family":"Thomsen","given":"Mirja"},{"family":"Lange","given":"Lara M."},{"family":"Klein","given":"Christine"},{"family":"Lohmann","given":"Katja"}],"issued":{"date-parts":[["2023",3]]}}}],"schema":"https://github.com/citation-style-language/schema/raw/master/csl-citation.json"} </w:instrText>
            </w:r>
            <w:r w:rsidR="005500F7" w:rsidRPr="005500F7">
              <w:rPr>
                <w:rFonts w:ascii="Aptos" w:hAnsi="Aptos"/>
                <w:sz w:val="20"/>
                <w:szCs w:val="20"/>
                <w:lang w:val="en-CA"/>
              </w:rPr>
              <w:fldChar w:fldCharType="separate"/>
            </w:r>
            <w:r w:rsidR="005500F7" w:rsidRPr="005500F7">
              <w:rPr>
                <w:rFonts w:ascii="Aptos" w:hAnsi="Aptos"/>
                <w:sz w:val="20"/>
                <w:szCs w:val="20"/>
                <w:vertAlign w:val="superscript"/>
              </w:rPr>
              <w:t>1</w:t>
            </w:r>
            <w:r w:rsidR="005500F7" w:rsidRPr="005500F7">
              <w:rPr>
                <w:rFonts w:ascii="Aptos" w:hAnsi="Aptos"/>
                <w:sz w:val="20"/>
                <w:szCs w:val="20"/>
                <w:lang w:val="en-CA"/>
              </w:rPr>
              <w:fldChar w:fldCharType="end"/>
            </w:r>
            <w:r w:rsidR="005500F7" w:rsidRPr="005500F7">
              <w:rPr>
                <w:rFonts w:ascii="Aptos" w:hAnsi="Aptos"/>
                <w:sz w:val="20"/>
                <w:szCs w:val="20"/>
              </w:rPr>
              <w:t xml:space="preserve"> with initial manifestations mainly cervical dystonia</w:t>
            </w:r>
            <w:r w:rsidR="005500F7" w:rsidRPr="005500F7">
              <w:rPr>
                <w:rFonts w:ascii="Aptos" w:hAnsi="Aptos"/>
                <w:sz w:val="20"/>
                <w:szCs w:val="20"/>
                <w:lang w:val="en-CA"/>
              </w:rPr>
              <w:fldChar w:fldCharType="begin"/>
            </w:r>
            <w:r w:rsidR="005500F7" w:rsidRPr="005500F7">
              <w:rPr>
                <w:rFonts w:ascii="Aptos" w:hAnsi="Aptos"/>
                <w:sz w:val="20"/>
                <w:szCs w:val="20"/>
              </w:rPr>
              <w:instrText xml:space="preserve"> ADDIN ZOTERO_ITEM CSL_CITATION {"citationID":"zTKXFUs5","properties":{"formattedCitation":"\\super 81\\uc0\\u8211{}83\\nosupersub{}","plainCitation":"81–83","noteIndex":0},"citationItems":[{"id":319,"uris":["http://zotero.org/users/local/qbj29eOf/items/F37YESSP"],"itemData":{"id":319,"type":"article-journal","container-title":"Annals of Neurology","DOI":"10.1002/ana.25879","ISSN":"0364-5134, 1531-8249","issue":"5","journalAbbreviation":"Ann Neurol","language":"en","page":"867-877","source":"DOI.org (Crossref)","title":"Loss</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of</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Function Variants in &lt;span style=\"font-variant:small-caps;\"&gt;HOPS&lt;/span&gt; Complex Genes &lt;span style=\"font-variant:small-caps;\"&gt; &lt;i&gt;VPS16&lt;/i&gt; &lt;/span&gt; and &lt;span style=\"font-variant:small-caps;\"&gt; &lt;i&gt;VPS41&lt;/i&gt; &lt;/span&gt; Cause Early Onset Dystonia Associated with Lysosomal Abnormalities","title-short":"Loss</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of</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Function Variants in &lt;span style=\"font-variant","volume":"88","author":[{"family":"Steel","given":"Dora"},{"family":"Zech","given":"Michael"},{"family":"Zhao","given":"Chen"},{"family":"Barwick","given":"Katy E. S."},{"family":"Burke","given":"Derek"},{"family":"Demailly","given":"Diane"},{"family":"Kumar","given":"Kishore R."},{"family":"Zorzi","given":"Giovanna"},{"family":"Nardocci","given":"Nardo"},{"family":"Kaiyrzhanov","given":"Rauan"},{"family":"Wagner","given":"Matias"},{"family":"Iuso","given":"Arcangela"},{"family":"Berutti","given":"Riccardo"},{"family":"Škorvánek","given":"Matej"},{"family":"Necpál","given":"Ján"},{"family":"Davis","given":"Ryan"},{"family":"Wiethoff","given":"Sarah"},{"family":"Mankad","given":"Kshitij"},{"family":"Sudhakar","given":"Sniya"},{"family":"Ferrini","given":"Arianna"},{"family":"Sharma","given":"Suvasini"},{"family":"Kamsteeg","given":"Erik</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Jan"},{"family":"Tijssen","given":"Marina A."},{"family":"Verschuuren","given":"Corien"},{"family":"Egmond","given":"Martje E."},{"family":"Flowers","given":"Joanna M."},{"family":"McEntagart","given":"Meriel"},{"family":"Tucci","given":"Arianna"},{"family":"Coubes","given":"Philippe"},{"family":"Bustos","given":"Bernabe I."},{"family":"Gonzalez</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Latapi","given":"Paulina"},{"family":"Tisch","given":"Stephen"},{"family":"Darveniza","given":"Paul"},{"family":"Gorman","given":"Kathleen M."},{"family":"Peall","given":"Kathryn J."},{"family":"Bötzel","given":"Kai"},{"family":"Koch","given":"Jan C."},{"family":"Kmieć","given":"Tomasz"},{"family":"Plecko","given":"Barbara"},{"family":"Boesch","given":"Sylvia"},{"family":"Haslinger","given":"Bernhard"},{"family":"Jech","given":"Robert"},{"family":"Garavaglia","given":"Barbara"},{"family":"Wood","given":"Nick"},{"family":"Houlden","given":"Henry"},{"family":"Gissen","given":"Paul"},{"family":"Lubbe","given":"Steven J."},{"family":"Sue","given":"Carolyn M."},{"family":"Cif","given":"Laura"},{"family":"Mencacci","given":"Niccolò E."},{"family":"Anderson","given":"Glenn"},{"family":"Kurian","given":"Manju A."},{"family":"Winkelmann","given":"Juliane"},{"literal":"Genomics England Research Consortium"}],"issued":{"date-parts":[["2020",11]]}}},{"id":315,"uris":["http://zotero.org/users/local/qbj29eOf/items/STQAA9TH"],"itemData":{"id":315,"type":"article-journal","abstract":"Abstract\n            \n              Dystonia is a neurological movement disorder that is clinically and genetically heterogeneous. Herein, we report the identification a novel homozygous missense mutation, c.156 C</w:instrText>
            </w:r>
            <w:r w:rsidR="005500F7" w:rsidRPr="005500F7">
              <w:rPr>
                <w:rFonts w:ascii="Arial" w:hAnsi="Arial" w:cs="Arial"/>
                <w:sz w:val="20"/>
                <w:szCs w:val="20"/>
              </w:rPr>
              <w:instrText> </w:instrText>
            </w:r>
            <w:r w:rsidR="005500F7" w:rsidRPr="005500F7">
              <w:rPr>
                <w:rFonts w:ascii="Aptos" w:hAnsi="Aptos"/>
                <w:sz w:val="20"/>
                <w:szCs w:val="20"/>
              </w:rPr>
              <w:instrText>&gt;</w:instrText>
            </w:r>
            <w:r w:rsidR="005500F7" w:rsidRPr="005500F7">
              <w:rPr>
                <w:rFonts w:ascii="Arial" w:hAnsi="Arial" w:cs="Arial"/>
                <w:sz w:val="20"/>
                <w:szCs w:val="20"/>
              </w:rPr>
              <w:instrText> </w:instrText>
            </w:r>
            <w:r w:rsidR="005500F7" w:rsidRPr="005500F7">
              <w:rPr>
                <w:rFonts w:ascii="Aptos" w:hAnsi="Aptos"/>
                <w:sz w:val="20"/>
                <w:szCs w:val="20"/>
              </w:rPr>
              <w:instrText>A in\n              VPS16\n              , co-segregating with disease status in a Chinese consanguineous family with adolescent-onset primary dystonia by whole exome sequencing and homozygosity mapping. To assess the biological role of c.156 C</w:instrText>
            </w:r>
            <w:r w:rsidR="005500F7" w:rsidRPr="005500F7">
              <w:rPr>
                <w:rFonts w:ascii="Arial" w:hAnsi="Arial" w:cs="Arial"/>
                <w:sz w:val="20"/>
                <w:szCs w:val="20"/>
              </w:rPr>
              <w:instrText> </w:instrText>
            </w:r>
            <w:r w:rsidR="005500F7" w:rsidRPr="005500F7">
              <w:rPr>
                <w:rFonts w:ascii="Aptos" w:hAnsi="Aptos"/>
                <w:sz w:val="20"/>
                <w:szCs w:val="20"/>
              </w:rPr>
              <w:instrText>&gt;</w:instrText>
            </w:r>
            <w:r w:rsidR="005500F7" w:rsidRPr="005500F7">
              <w:rPr>
                <w:rFonts w:ascii="Arial" w:hAnsi="Arial" w:cs="Arial"/>
                <w:sz w:val="20"/>
                <w:szCs w:val="20"/>
              </w:rPr>
              <w:instrText> </w:instrText>
            </w:r>
            <w:r w:rsidR="005500F7" w:rsidRPr="005500F7">
              <w:rPr>
                <w:rFonts w:ascii="Aptos" w:hAnsi="Aptos"/>
                <w:sz w:val="20"/>
                <w:szCs w:val="20"/>
              </w:rPr>
              <w:instrText>A homozygous mutation of\n              VPS16\n              , we generated mice with targeted mutation site of\n              Vps16\n              through CRISPR-Cas9 genome-editing approach.\n              Vps16\n              c.156 C</w:instrText>
            </w:r>
            <w:r w:rsidR="005500F7" w:rsidRPr="005500F7">
              <w:rPr>
                <w:rFonts w:ascii="Arial" w:hAnsi="Arial" w:cs="Arial"/>
                <w:sz w:val="20"/>
                <w:szCs w:val="20"/>
              </w:rPr>
              <w:instrText> </w:instrText>
            </w:r>
            <w:r w:rsidR="005500F7" w:rsidRPr="005500F7">
              <w:rPr>
                <w:rFonts w:ascii="Aptos" w:hAnsi="Aptos"/>
                <w:sz w:val="20"/>
                <w:szCs w:val="20"/>
              </w:rPr>
              <w:instrText>&gt;</w:instrText>
            </w:r>
            <w:r w:rsidR="005500F7" w:rsidRPr="005500F7">
              <w:rPr>
                <w:rFonts w:ascii="Arial" w:hAnsi="Arial" w:cs="Arial"/>
                <w:sz w:val="20"/>
                <w:szCs w:val="20"/>
              </w:rPr>
              <w:instrText> </w:instrText>
            </w:r>
            <w:r w:rsidR="005500F7" w:rsidRPr="005500F7">
              <w:rPr>
                <w:rFonts w:ascii="Aptos" w:hAnsi="Aptos"/>
                <w:sz w:val="20"/>
                <w:szCs w:val="20"/>
              </w:rPr>
              <w:instrText>A homozygous mutant mice exhibited significantly impaired motor function, suggesting that\n              VPS16\n              is a new causative gene for adolescent-onset primary dystonia.","container-title":"Scientific Reports","DOI":"10.1038/srep25834","ISSN":"2045-2322","issue":"1","journalAbbreviation":"Sci Rep","language":"en","page":"25834","source":"DOI.org (Crossref)","title":"Homozygous mutation of VPS16 gene is responsible for an autosomal recessive adolescent-onset primary dystonia","volume":"6","author":[{"family":"Cai","given":"Xiaodong"},{"family":"Chen","given":"Xin"},{"family":"Wu","given":"Song"},{"family":"Liu","given":"Wenlan"},{"family":"Zhang","given":"Xiejun"},{"family":"Zhang","given":"Doudou"},{"family":"He","given":"Sijie"},{"family":"Wang","given":"Bo"},{"family":"Zhang","given":"Mali"},{"family":"Zhang","given":"Yuan"},{"family":"Li","given":"Zongyang"},{"family":"Luo","given":"Kun"},{"family":"Cai","given":"Zhiming"},{"family":"Li","given":"Weiping"}],"issued":{"date-parts":[["2016",5,12]]}}},{"id":324,"uris":["http://zotero.org/users/local/qbj29eOf/items/I59DU8X8"],"itemData":{"id":324,"type":"article-journal","container-title":"Movement Disorders","DOI":"10.1002/mds.28647","ISSN":"0885-3185, 1531-8257","issue":"8","journalAbbreviation":"Mov Disord","language":"en","page":"1984-1985","source":"DOI.org (Crossref)","title":"A Recurrent &lt;span style=\"font-variant:small-caps;\"&gt; &lt;i&gt;VPS16&lt;/i&gt; &lt;/span&gt; p.Arg187* Nonsense Variant in Early</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 xml:space="preserve">Onset Generalized Dystonia","title-short":"A Recurrent &lt;span style=\"font-variant","volume":"36","author":[{"family":"Ostrozovicova","given":"Miriama"},{"family":"Jech","given":"Robert"},{"family":"Steel","given":"Dora"},{"family":"Pavelekova","given":"Petra"},{"family":"Han","given":"Vladimir"},{"family":"Gdovinova","given":"Zuzana"},{"family":"Lichtner","given":"Peter"},{"family":"Kurian","given":"Manju A."},{"family":"Wiethoff","given":"Sarah"},{"family":"Houlden","given":"Henry"},{"family":"Havránková","given":"Petra"},{"family":"Winkelmann","given":"Julianne"},{"family":"Zech","given":"Michael"},{"family":"Skorvanek","given":"Matej"}],"issued":{"date-parts":[["2021",8]]}}}],"schema":"https://github.com/citation-style-language/schema/raw/master/csl-citation.json"} </w:instrText>
            </w:r>
            <w:r w:rsidR="005500F7" w:rsidRPr="005500F7">
              <w:rPr>
                <w:rFonts w:ascii="Aptos" w:hAnsi="Aptos"/>
                <w:sz w:val="20"/>
                <w:szCs w:val="20"/>
                <w:lang w:val="en-CA"/>
              </w:rPr>
              <w:fldChar w:fldCharType="separate"/>
            </w:r>
            <w:r w:rsidR="005500F7" w:rsidRPr="005500F7">
              <w:rPr>
                <w:rFonts w:ascii="Aptos" w:hAnsi="Aptos"/>
                <w:sz w:val="20"/>
                <w:szCs w:val="20"/>
                <w:vertAlign w:val="superscript"/>
              </w:rPr>
              <w:t>81–83</w:t>
            </w:r>
            <w:r w:rsidR="005500F7" w:rsidRPr="005500F7">
              <w:rPr>
                <w:rFonts w:ascii="Aptos" w:hAnsi="Aptos"/>
                <w:sz w:val="20"/>
                <w:szCs w:val="20"/>
                <w:lang w:val="en-CA"/>
              </w:rPr>
              <w:fldChar w:fldCharType="end"/>
            </w:r>
            <w:r w:rsidR="005500F7" w:rsidRPr="005500F7">
              <w:rPr>
                <w:rFonts w:ascii="Aptos" w:hAnsi="Aptos"/>
                <w:sz w:val="20"/>
                <w:szCs w:val="20"/>
              </w:rPr>
              <w:t xml:space="preserve"> and writer’s cramp</w:t>
            </w:r>
            <w:r w:rsidR="005500F7" w:rsidRPr="005500F7">
              <w:rPr>
                <w:rFonts w:ascii="Aptos" w:hAnsi="Aptos"/>
                <w:sz w:val="20"/>
                <w:szCs w:val="20"/>
                <w:lang w:val="en-CA"/>
              </w:rPr>
              <w:fldChar w:fldCharType="begin"/>
            </w:r>
            <w:r w:rsidR="005500F7" w:rsidRPr="005500F7">
              <w:rPr>
                <w:rFonts w:ascii="Aptos" w:hAnsi="Aptos"/>
                <w:sz w:val="20"/>
                <w:szCs w:val="20"/>
              </w:rPr>
              <w:instrText xml:space="preserve"> ADDIN ZOTERO_ITEM CSL_CITATION {"citationID":"59glYv01","properties":{"formattedCitation":"\\super 81,84\\uc0\\u8211{}90\\nosupersub{}","plainCitation":"81,84–90","noteIndex":0},"citationItems":[{"id":318,"uris":["http://zotero.org/users/local/qbj29eOf/items/3ZSP8UDS"],"itemData":{"id":318,"type":"article-journal","container-title":"Annals of Neurology","DOI":"10.1002/ana.25990","ISSN":"0364-5134, 1531-8249","issue":"3","journalAbbreviation":"Ann Neurol","language":"en","page":"625-626","source":"DOI.org (Crossref)","title":"Truncating &lt;span style=\"font-variant:small-caps;\"&gt; &lt;i&gt;VPS16&lt;/i&gt; &lt;/span&gt; Mutations Are Rare in Early Onset Dystonia","title-short":"Truncating &lt;span style=\"font-variant","volume":"89","author":[{"family":"Pott","given":"Hendrik"},{"family":"Brüggemann","given":"Norbert"},{"family":"Reese","given":"Rene"},{"family":"Zeuner","given":"Kirsten E."},{"family":"Gandor","given":"Florin"},{"family":"Gruber","given":"Doreen"},{"literal":"DysTract Study Group"},{"family":"Klein","given":"Christine"},{"family":"Volkmann","given":"Jens"},{"family":"Lohmann","given":"Katja"}],"issued":{"date-parts":[["2021",3]]}}},{"id":319,"uris":["http://zotero.org/users/local/qbj29eOf/items/F37YESSP"],"itemData":{"id":319,"type":"article-journal","container-title":"Annals of Neurology","DOI":"10.1002/ana.25879","ISSN":"0364-5134, 1531-8249","issue":"5","journalAbbreviation":"Ann Neurol","language":"en","page":"867-877","source":"DOI.org (Crossref)","title":"Loss</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of</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Function Variants in &lt;span style=\"font-variant:small-caps;\"&gt;HOPS&lt;/span&gt; Complex Genes &lt;span style=\"font-variant:small-caps;\"&gt; &lt;i&gt;VPS16&lt;/i&gt; &lt;/span&gt; and &lt;span style=\"font-variant:small-caps;\"&gt; &lt;i&gt;VPS41&lt;/i&gt; &lt;/span&gt; Cause Early Onset Dystonia Associated with Lysosomal Abnormalities","title-short":"Loss</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of</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Function Variants in &lt;span style=\"font-variant","volume":"88","author":[{"family":"Steel","given":"Dora"},{"family":"Zech","given":"Michael"},{"family":"Zhao","given":"Chen"},{"family":"Barwick","given":"Katy E. S."},{"family":"Burke","given":"Derek"},{"family":"Demailly","given":"Diane"},{"family":"Kumar","given":"Kishore R."},{"family":"Zorzi","given":"Giovanna"},{"family":"Nardocci","given":"Nardo"},{"family":"Kaiyrzhanov","given":"Rauan"},{"family":"Wagner","given":"Matias"},{"family":"Iuso","given":"Arcangela"},{"family":"Berutti","given":"Riccardo"},{"family":"Škorvánek","given":"Matej"},{"family":"Necpál","given":"Ján"},{"family":"Davis","given":"Ryan"},{"family":"Wiethoff","given":"Sarah"},{"family":"Mankad","given":"Kshitij"},{"family":"Sudhakar","given":"Sniya"},{"family":"Ferrini","given":"Arianna"},{"family":"Sharma","given":"Suvasini"},{"family":"Kamsteeg","given":"Erik</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Jan"},{"family":"Tijssen","given":"Marina A."},{"family":"Verschuuren","given":"Corien"},{"family":"Egmond","given":"Martje E."},{"family":"Flowers","given":"Joanna M."},{"family":"McEntagart","given":"Meriel"},{"family":"Tucci","given":"Arianna"},{"family":"Coubes","given":"Philippe"},{"family":"Bustos","given":"Bernabe I."},{"family":"Gonzalez</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Latapi","given":"Paulina"},{"family":"Tisch","given":"Stephen"},{"family":"Darveniza","given":"Paul"},{"family":"Gorman","given":"Kathleen M."},{"family":"Peall","given":"Kathryn J."},{"family":"Bötzel","given":"Kai"},{"family":"Koch","given":"Jan C."},{"family":"Kmieć","given":"Tomasz"},{"family":"Plecko","given":"Barbara"},{"family":"Boesch","given":"Sylvia"},{"family":"Haslinger","given":"Bernhard"},{"family":"Jech","given":"Robert"},{"family":"Garavaglia","given":"Barbara"},{"family":"Wood","given":"Nick"},{"family":"Houlden","given":"Henry"},{"family":"Gissen","given":"Paul"},{"family":"Lubbe","given":"Steven J."},{"family":"Sue","given":"Carolyn M."},{"family":"Cif","given":"Laura"},{"family":"Mencacci","given":"Niccolò E."},{"family":"Anderson","given":"Glenn"},{"family":"Kurian","given":"Manju A."},{"family":"Winkelmann","given":"Juliane"},{"literal":"Genomics England Research Consortium"}],"issued":{"date-parts":[["2020",11]]}}},{"id":325,"uris":["http://zotero.org/users/local/qbj29eOf/items/DW57K9P3"],"itemData":{"id":325,"type":"article-journal","container-title":"Movement Disorders Clinical Practice","DOI":"10.1002/mdc3.13392","ISSN":"2330-1619, 2330-1619","issue":"4","journalAbbreviation":"Movement Disord Clin Pract","language":"en","page":"551-552","source":"DOI.org (Crossref)","title":"De Novo Missense Mutation of &lt;span style=\"font-variant:small-caps;\"&gt; &lt;i&gt;VPS16&lt;/i&gt; &lt;/span&gt; in a Chinese Patient with Generalized Dystonia with Myoclonus","title-short":"De Novo Missense Mutation of &lt;span style=\"font-variant","volume":"9","author":[{"family":"Gu","given":"Xiaojing"},{"family":"Lin","given":"Junyu"},{"family":"Hou","given":"Yanbing"},{"family":"Zhang","given":"Lingyu"},{"family":"Shang","given":"Huifang"}],"issued":{"date-parts":[["2022",5]]}},"label":"page"},{"id":322,"uris":["http://zotero.org/users/local/qbj29eOf/items/24PQBPBR"],"itemData":{"id":322,"type":"article-journal","container-title":"Parkinsonism &amp; Related Disorders","DOI":"10.1016/j.parkreldis.2020.12.014","ISSN":"13538020","journalAbbreviation":"Parkinsonism &amp; Related Disorders","language":"en","page":"63-65","source":"DOI.org (Crossref)","title":"Mutation screening of VPS16 gene in patients with isolated dystonia","volume":"83","author":[{"family":"Li","given":"Li-Xi"},{"family":"Jiang","given":"Li-Ting"},{"family":"Liu","given":"Ying"},{"family":"Zhang","given":"Xiao-Long"},{"family":"Pan","given":"You-Gui"},{"family":"Pan","given":"Li-Zhen"},{"family":"Nie","given":"Zhi-Yu"},{"family":"Wan","given":"Xin-Hua"},{"family":"Jin","given":"Ling-Jing"}],"issued":{"date-parts":[["2021",2]]}}},{"id":323,"uris":["http://zotero.org/users/local/qbj29eOf/items/SDL7IK7Z"],"itemData":{"id":323,"type":"article-journal","container-title":"Movement Disorders","DOI":"10.1002/mds.28540","ISSN":"0885-3185, 1531-8257","issue":"3","journalAbbreviation":"Mov Disord","language":"en","page":"780-781","source":"DOI.org (Crossref)","title":"Mutations in the &lt;span style=\"font-variant:small-caps;\"&gt; &lt;i&gt;VPS16&lt;/i&gt; &lt;/span&gt; Gene in 56 &lt;span style=\"font-variant:small-caps;\"&gt;Early</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Onset&lt;/span&gt; Dystonia Patients","title-short":"Mutations in the &lt;span style=\"font-variant","volume":"36","author":[{"family":"Li","given":"Xin</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yao"},{"family":"Wang","given":"Lin"},{"family":"Guo","given":"Yi"},{"family":"Wan","given":"Xin</w:instrText>
            </w:r>
            <w:r w:rsidR="005500F7" w:rsidRPr="005500F7">
              <w:rPr>
                <w:rFonts w:ascii="Cambria Math" w:hAnsi="Cambria Math" w:cs="Cambria Math"/>
                <w:sz w:val="20"/>
                <w:szCs w:val="20"/>
              </w:rPr>
              <w:instrText>‐</w:instrText>
            </w:r>
            <w:r w:rsidR="005500F7" w:rsidRPr="005500F7">
              <w:rPr>
                <w:rFonts w:ascii="Aptos" w:hAnsi="Aptos"/>
                <w:sz w:val="20"/>
                <w:szCs w:val="20"/>
              </w:rPr>
              <w:instrText xml:space="preserve">hua"}],"issued":{"date-parts":[["2021",3]]}}},{"id":327,"uris":["http://zotero.org/users/local/qbj29eOf/items/H69DR4IT"],"itemData":{"id":327,"type":"article-journal","abstract":"Background and Objectives\n              \n                Our objective was to improve rare variant interpretation using statistical measures as well as publicly accessible annotation of expression levels and tissue specificity of different splice isoforms. We describe rare\n                VPS16\n                variants observed in patients with dystonia and patients without dystonia, elaborate on our interpretation of\n                VPS16\n                variants affecting different transcripts, and provide detailed clinical description of the movement disorder caused by\n                VPS16\n                variants.\n              \n            \n            \n              Methods\n              \n                In-house exome and genome data sets (n = 11,539) were screened for rare heterozygous missense and putative loss-of-function (pLoF) variants in\n                VPS16\n                . Using pext (proportion expressed across transcripts) values from the Genome Aggregation Database (gnomAD), we differentiated variants affecting weakly and highly expressed exons/transcripts and applied statistical measures to systematically identify disease-associated genetic variation among patients with dystonia (n = 280).\n              \n            \n            \n              Results\n              \n                Six different heterozygous pLoFs in\n                VPS16\n                transcripts were identified in 13 individuals. Three of these pLoFs occurred in 9 individuals with different phenotypes, and 3 pLoFs were identified in 4 unrelated individuals with early-onset dystonia. Although pLoFs were enriched in the dystonia cohort (n = 280;\n                p\n                = 2.04 × 10\n                </w:instrText>
            </w:r>
            <w:r w:rsidR="005500F7" w:rsidRPr="005500F7">
              <w:rPr>
                <w:rFonts w:ascii="Aptos" w:hAnsi="Aptos" w:cs="Arial"/>
                <w:sz w:val="20"/>
                <w:szCs w:val="20"/>
              </w:rPr>
              <w:instrText>−</w:instrText>
            </w:r>
            <w:r w:rsidR="005500F7" w:rsidRPr="005500F7">
              <w:rPr>
                <w:rFonts w:ascii="Aptos" w:hAnsi="Aptos"/>
                <w:sz w:val="20"/>
                <w:szCs w:val="20"/>
              </w:rPr>
              <w:instrText xml:space="preserve">4\n                ; 4/280 cases vs 9/11,259 controls; Fisher exact test), it was not exome-wide significant. According to the pext values in gnomAD, all 3 pLoFs observed in the patients with dystonia were located in the highly expressed canonical transcript ENST00000380445.3, whereas 2 of 3 pLoFs detected in 8 individuals without dystonia were located in the first exon of the noncanonical transcript ENST00000380443.3 that is weakly expressed across all tissues. Taking these biological implications into account, pLoFs involving the canonical transcript were exome-wide significantly enriched in patients with dystonia (\n                p\n                = 1.67 × 10\n                </w:instrText>
            </w:r>
            <w:r w:rsidR="005500F7" w:rsidRPr="005500F7">
              <w:rPr>
                <w:rFonts w:ascii="Aptos" w:hAnsi="Aptos" w:cs="Arial"/>
                <w:sz w:val="20"/>
                <w:szCs w:val="20"/>
              </w:rPr>
              <w:instrText>−</w:instrText>
            </w:r>
            <w:r w:rsidR="005500F7" w:rsidRPr="005500F7">
              <w:rPr>
                <w:rFonts w:ascii="Aptos" w:hAnsi="Aptos"/>
                <w:sz w:val="20"/>
                <w:szCs w:val="20"/>
              </w:rPr>
              <w:instrText xml:space="preserve">6\n                ; 4/280 cases vs 1/11,259 controls; Fisher exact test). All\n                VPS16\n                patients showed mild progressive dystonia with writer's cramp as the presenting symptom between age 7 and 34 years (mean 20 years) that often progressed to generalized dystonia and was even accompanied by hyperkinetic movements and myoclonus in 1 patient.\n              \n            \n            \n              Discussion\n              \n                Our data provide strong evidence for\n                VPS16\n                pLoFs to be implicated in dystonia and knowledge on exon resolution expression levels as well as statistical measures proved to be useful for variant interpretation.","container-title":"Neurology Genetics","DOI":"10.1212/NXG.0000000000000644","ISSN":"2376-7839","issue":"1","journalAbbreviation":"Neurol Genet","language":"en","page":"e644","source":"DOI.org (Crossref)","title":"Transcript-Specific Loss-of-Function Variants in &lt;i&gt;VPS16&lt;/i&gt; Are Enriched in Patients With Dystonia","volume":"8","author":[{"family":"Park","given":"Joohyun"},{"family":"Reilaender","given":"Annemarie"},{"family":"Petry-Schmelzer","given":"Jan N."},{"family":"Stöbe","given":"Petra"},{"family":"Cordts","given":"Isabell"},{"family":"Harmuth","given":"Florian"},{"family":"Rautenberg","given":"Maren"},{"family":"Woerz","given":"Sarah E."},{"family":"Demidov","given":"German"},{"family":"Sturm","given":"Marc"},{"family":"Ossowski","given":"Stephan"},{"family":"Schwaibold","given":"Eva M.C."},{"family":"Wunderlich","given":"Gilbert"},{"family":"Paus","given":"Sebastian"},{"family":"Saft","given":"Carsten"},{"family":"Haack","given":"Tobias B."}],"issued":{"date-parts":[["2022",2]]}},"label":"page"},{"id":329,"uris":["http://zotero.org/users/local/qbj29eOf/items/AFF4A84E"],"itemData":{"id":329,"type":"article-journal","container-title":"Neurological Research and Practice","DOI":"10.1186/s42466-022-00185-w","ISSN":"2524-3489","issue":"1","journalAbbreviation":"Neurol. Res. Pract.","language":"en","page":"21","source":"DOI.org (Crossref)","title":"Long-term benefit of pallidal deep brain stimulation in a patient with VPS16-associated dystonia","volume":"4","author":[{"family":"Petry-Schmelzer","given":"Jan Niklas"},{"family":"Park","given":"Joohyun"},{"family":"Haack","given":"Tobias B."},{"family":"Visser-Vandewalle","given":"Veerle"},{"family":"Barbe","given":"Michael T."},{"family":"Wunderlich","given":"Gilbert"}],"issued":{"date-parts":[["2022",12]]}}},{"id":331,"uris":["http://zotero.org/users/local/qbj29eOf/items/6WAV9S3G"],"itemData":{"id":331,"type":"article-journal","container-title":"neurogenetics","DOI":"10.1007/s10048-023-00720-0","ISSN":"1364-6753","journalAbbreviation":"Neurogenetics","language":"en","source":"DOI.org (Crossref)","title":"Aberrant Splicing Caused by a Novel VPS16 Variant Linked to Dystonia Type 30","URL":"https://link.springer.com/10.1007/s10048-023-00720-0","author":[{"family":"Santos","given":"Mariana"},{"family":"Massano","given":"João"},{"family":"Lopes","given":"Alexandra Manuel"},{"family":"Brandão","given":"Ana Filipa"},{"family":"Freixo","given":"João Parente"},{"family":"Oliveira","given":"Jorge"}],"accessed":{"date-parts":[["2023",7,7]]},"issued":{"date-parts":[["2023",5,24]]}}}],"schema":"https://github.com/citation-style-language/schema/raw/master/csl-citation.json"} </w:instrText>
            </w:r>
            <w:r w:rsidR="005500F7" w:rsidRPr="005500F7">
              <w:rPr>
                <w:rFonts w:ascii="Aptos" w:hAnsi="Aptos"/>
                <w:sz w:val="20"/>
                <w:szCs w:val="20"/>
                <w:lang w:val="en-CA"/>
              </w:rPr>
              <w:fldChar w:fldCharType="separate"/>
            </w:r>
            <w:r w:rsidR="005500F7" w:rsidRPr="005500F7">
              <w:rPr>
                <w:rFonts w:ascii="Aptos" w:hAnsi="Aptos"/>
                <w:sz w:val="20"/>
                <w:szCs w:val="20"/>
                <w:vertAlign w:val="superscript"/>
              </w:rPr>
              <w:t>81,84–90</w:t>
            </w:r>
            <w:r w:rsidR="005500F7" w:rsidRPr="005500F7">
              <w:rPr>
                <w:rFonts w:ascii="Aptos" w:hAnsi="Aptos"/>
                <w:sz w:val="20"/>
                <w:szCs w:val="20"/>
                <w:lang w:val="en-CA"/>
              </w:rPr>
              <w:fldChar w:fldCharType="end"/>
            </w:r>
            <w:r w:rsidR="005500F7" w:rsidRPr="005500F7">
              <w:rPr>
                <w:rFonts w:ascii="Aptos" w:hAnsi="Aptos"/>
                <w:sz w:val="20"/>
                <w:szCs w:val="20"/>
              </w:rPr>
              <w:t>. In VPS16 carriers, symptoms vary, with most progressing to generalized dystonia and approximately 20% maintaining focal or multifocal symptoms.</w:t>
            </w:r>
            <w:r w:rsidR="005500F7" w:rsidRPr="005500F7">
              <w:rPr>
                <w:rFonts w:ascii="Aptos" w:hAnsi="Aptos"/>
                <w:sz w:val="20"/>
                <w:szCs w:val="20"/>
                <w:lang w:val="en-CA"/>
              </w:rPr>
              <w:fldChar w:fldCharType="begin"/>
            </w:r>
            <w:r w:rsidR="005500F7" w:rsidRPr="005500F7">
              <w:rPr>
                <w:rFonts w:ascii="Aptos" w:hAnsi="Aptos"/>
                <w:sz w:val="20"/>
                <w:szCs w:val="20"/>
              </w:rPr>
              <w:instrText xml:space="preserve"> ADDIN ZOTERO_ITEM CSL_CITATION {"citationID":"QeNZx4A1","properties":{"formattedCitation":"\\super 1\\nosupersub{}","plainCitation":"1","noteIndex":0},"citationItems":[{"id":230,"uris":["http://zotero.org/users/local/qbj29eOf/items/L3PFVJMX"],"itemData":{"id":230,"type":"article-journal","container-title":"Movement Disorders","DOI":"10.1002/mds.29327","ISSN":"0885-3185, 1531-8257","issue":"3","journalAbbreviation":"Movement Disorders","language":"en","page":"507-508","source":"DOI.org (Crossref)","title":"&lt;span style=\"font-variant:small-caps;\"&gt;MDSGene&lt;/span&gt; : Extending the List of Isolated Dystonia Genes by &lt;span style=\"font-variant:small-caps;\"&gt; &lt;i&gt;VPS16&lt;/i&gt; &lt;/span&gt; , &lt;span style=\"font-variant:small-caps;\"&gt; &lt;i&gt;EIF2AK2&lt;/i&gt; &lt;/span&gt; , and &lt;span style=\"font-variant:small-caps;\"&gt; &lt;i&gt;AOPEP&lt;/i&gt; &lt;/span&gt;","title-short":"&lt;span style=\"font-variant","volume":"38","author":[{"family":"Thomsen","given":"Mirja"},{"family":"Lange","given":"Lara M."},{"family":"Klein","given":"Christine"},{"family":"Lohmann","given":"Katja"}],"issued":{"date-parts":[["2023",3]]}}}],"schema":"https://github.com/citation-style-language/schema/raw/master/csl-citation.json"} </w:instrText>
            </w:r>
            <w:r w:rsidR="005500F7" w:rsidRPr="005500F7">
              <w:rPr>
                <w:rFonts w:ascii="Aptos" w:hAnsi="Aptos"/>
                <w:sz w:val="20"/>
                <w:szCs w:val="20"/>
                <w:lang w:val="en-CA"/>
              </w:rPr>
              <w:fldChar w:fldCharType="separate"/>
            </w:r>
            <w:r w:rsidR="005500F7" w:rsidRPr="005500F7">
              <w:rPr>
                <w:rFonts w:ascii="Aptos" w:hAnsi="Aptos"/>
                <w:sz w:val="20"/>
                <w:szCs w:val="20"/>
                <w:vertAlign w:val="superscript"/>
              </w:rPr>
              <w:t>1</w:t>
            </w:r>
            <w:r w:rsidR="005500F7" w:rsidRPr="005500F7">
              <w:rPr>
                <w:rFonts w:ascii="Aptos" w:hAnsi="Aptos"/>
                <w:sz w:val="20"/>
                <w:szCs w:val="20"/>
                <w:lang w:val="en-CA"/>
              </w:rPr>
              <w:fldChar w:fldCharType="end"/>
            </w:r>
            <w:r w:rsidR="005500F7" w:rsidRPr="005500F7">
              <w:rPr>
                <w:rFonts w:ascii="Aptos" w:hAnsi="Aptos"/>
                <w:sz w:val="20"/>
                <w:szCs w:val="20"/>
              </w:rPr>
              <w:t xml:space="preserve"> Additionally, intellectual disabilities and neuropsychiatric conditions can emerge for patients (~20% and ~30%, respectively).</w:t>
            </w:r>
            <w:r w:rsidR="005500F7" w:rsidRPr="005500F7">
              <w:rPr>
                <w:rFonts w:ascii="Aptos" w:hAnsi="Aptos"/>
                <w:sz w:val="20"/>
                <w:szCs w:val="20"/>
                <w:lang w:val="en-CA"/>
              </w:rPr>
              <w:fldChar w:fldCharType="begin"/>
            </w:r>
            <w:r w:rsidR="005500F7" w:rsidRPr="005500F7">
              <w:rPr>
                <w:rFonts w:ascii="Aptos" w:hAnsi="Aptos"/>
                <w:sz w:val="20"/>
                <w:szCs w:val="20"/>
              </w:rPr>
              <w:instrText xml:space="preserve"> ADDIN ZOTERO_ITEM CSL_CITATION {"citationID":"aymBmgaV","properties":{"formattedCitation":"\\super 88,89\\nosupersub{}","plainCitation":"88,89","noteIndex":0},"citationItems":[{"id":327,"uris":["http://zotero.org/users/local/qbj29eOf/items/H69DR4IT"],"itemData":{"id":327,"type":"article-journal","abstract":"Background and Objectives\n              \n                Our objective was to improve rare variant interpretation using statistical measures as well as publicly accessible annotation of expression levels and tissue specificity of different splice isoforms. We describe rare\n                VPS16\n                variants observed in patients with dystonia and patients without dystonia, elaborate on our interpretation of\n                VPS16\n                variants affecting different transcripts, and provide detailed clinical description of the movement disorder caused by\n                VPS16\n                variants.\n              \n            \n            \n              Methods\n              \n                In-house exome and genome data sets (n = 11,539) were screened for rare heterozygous missense and putative loss-of-function (pLoF) variants in\n                VPS16\n                . Using pext (proportion expressed across transcripts) values from the Genome Aggregation Database (gnomAD), we differentiated variants affecting weakly and highly expressed exons/transcripts and applied statistical measures to systematically identify disease-associated genetic variation among patients with dystonia (n = 280).\n              \n            \n            \n              Results\n              \n                Six different heterozygous pLoFs in\n                VPS16\n                transcripts were identified in 13 individuals. Three of these pLoFs occurred in 9 individuals with different phenotypes, and 3 pLoFs were identified in 4 unrelated individuals with early-onset dystonia. Although pLoFs were enriched in the dystonia cohort (n = 280;\n                p\n                = 2.04 × 10\n                </w:instrText>
            </w:r>
            <w:r w:rsidR="005500F7" w:rsidRPr="005500F7">
              <w:rPr>
                <w:rFonts w:ascii="Aptos" w:hAnsi="Aptos" w:cs="Arial"/>
                <w:sz w:val="20"/>
                <w:szCs w:val="20"/>
              </w:rPr>
              <w:instrText>−</w:instrText>
            </w:r>
            <w:r w:rsidR="005500F7" w:rsidRPr="005500F7">
              <w:rPr>
                <w:rFonts w:ascii="Aptos" w:hAnsi="Aptos"/>
                <w:sz w:val="20"/>
                <w:szCs w:val="20"/>
              </w:rPr>
              <w:instrText xml:space="preserve">4\n                ; 4/280 cases vs 9/11,259 controls; Fisher exact test), it was not exome-wide significant. According to the pext values in gnomAD, all 3 pLoFs observed in the patients with dystonia were located in the highly expressed canonical transcript ENST00000380445.3, whereas 2 of 3 pLoFs detected in 8 individuals without dystonia were located in the first exon of the noncanonical transcript ENST00000380443.3 that is weakly expressed across all tissues. Taking these biological implications into account, pLoFs involving the canonical transcript were exome-wide significantly enriched in patients with dystonia (\n                p\n                = 1.67 × 10\n                </w:instrText>
            </w:r>
            <w:r w:rsidR="005500F7" w:rsidRPr="005500F7">
              <w:rPr>
                <w:rFonts w:ascii="Aptos" w:hAnsi="Aptos" w:cs="Arial"/>
                <w:sz w:val="20"/>
                <w:szCs w:val="20"/>
              </w:rPr>
              <w:instrText>−</w:instrText>
            </w:r>
            <w:r w:rsidR="005500F7" w:rsidRPr="005500F7">
              <w:rPr>
                <w:rFonts w:ascii="Aptos" w:hAnsi="Aptos"/>
                <w:sz w:val="20"/>
                <w:szCs w:val="20"/>
              </w:rPr>
              <w:instrText xml:space="preserve">6\n                ; 4/280 cases vs 1/11,259 controls; Fisher exact test). All\n                VPS16\n                patients showed mild progressive dystonia with writer's cramp as the presenting symptom between age 7 and 34 years (mean 20 years) that often progressed to generalized dystonia and was even accompanied by hyperkinetic movements and myoclonus in 1 patient.\n              \n            \n            \n              Discussion\n              \n                Our data provide strong evidence for\n                VPS16\n                pLoFs to be implicated in dystonia and knowledge on exon resolution expression levels as well as statistical measures proved to be useful for variant interpretation.","container-title":"Neurology Genetics","DOI":"10.1212/NXG.0000000000000644","ISSN":"2376-7839","issue":"1","journalAbbreviation":"Neurol Genet","language":"en","page":"e644","source":"DOI.org (Crossref)","title":"Transcript-Specific Loss-of-Function Variants in &lt;i&gt;VPS16&lt;/i&gt; Are Enriched in Patients With Dystonia","volume":"8","author":[{"family":"Park","given":"Joohyun"},{"family":"Reilaender","given":"Annemarie"},{"family":"Petry-Schmelzer","given":"Jan N."},{"family":"Stöbe","given":"Petra"},{"family":"Cordts","given":"Isabell"},{"family":"Harmuth","given":"Florian"},{"family":"Rautenberg","given":"Maren"},{"family":"Woerz","given":"Sarah E."},{"family":"Demidov","given":"German"},{"family":"Sturm","given":"Marc"},{"family":"Ossowski","given":"Stephan"},{"family":"Schwaibold","given":"Eva M.C."},{"family":"Wunderlich","given":"Gilbert"},{"family":"Paus","given":"Sebastian"},{"family":"Saft","given":"Carsten"},{"family":"Haack","given":"Tobias B."}],"issued":{"date-parts":[["2022",2]]}}},{"id":329,"uris":["http://zotero.org/users/local/qbj29eOf/items/AFF4A84E"],"itemData":{"id":329,"type":"article-journal","container-title":"Neurological Research and Practice","DOI":"10.1186/s42466-022-00185-w","ISSN":"2524-3489","issue":"1","journalAbbreviation":"Neurol. Res. Pract.","language":"en","page":"21","source":"DOI.org (Crossref)","title":"Long-term benefit of pallidal deep brain stimulation in a patient with VPS16-associated dystonia","volume":"4","author":[{"family":"Petry-Schmelzer","given":"Jan Niklas"},{"family":"Park","given":"Joohyun"},{"family":"Haack","given":"Tobias B."},{"family":"Visser-Vandewalle","given":"Veerle"},{"family":"Barbe","given":"Michael T."},{"family":"Wunderlich","given":"Gilbert"}],"issued":{"date-parts":[["2022",12]]}}}],"schema":"https://github.com/citation-style-language/schema/raw/master/csl-citation.json"} </w:instrText>
            </w:r>
            <w:r w:rsidR="005500F7" w:rsidRPr="005500F7">
              <w:rPr>
                <w:rFonts w:ascii="Aptos" w:hAnsi="Aptos"/>
                <w:sz w:val="20"/>
                <w:szCs w:val="20"/>
                <w:lang w:val="en-CA"/>
              </w:rPr>
              <w:fldChar w:fldCharType="separate"/>
            </w:r>
            <w:r w:rsidR="005500F7" w:rsidRPr="005500F7">
              <w:rPr>
                <w:rFonts w:ascii="Aptos" w:hAnsi="Aptos"/>
                <w:sz w:val="20"/>
                <w:szCs w:val="20"/>
                <w:vertAlign w:val="superscript"/>
              </w:rPr>
              <w:t>88,89</w:t>
            </w:r>
            <w:r w:rsidR="005500F7" w:rsidRPr="005500F7">
              <w:rPr>
                <w:rFonts w:ascii="Aptos" w:hAnsi="Aptos"/>
                <w:sz w:val="20"/>
                <w:szCs w:val="20"/>
                <w:lang w:val="en-CA"/>
              </w:rPr>
              <w:fldChar w:fldCharType="end"/>
            </w:r>
            <w:r w:rsidR="005500F7" w:rsidRPr="005500F7">
              <w:rPr>
                <w:rFonts w:ascii="Aptos" w:hAnsi="Aptos"/>
                <w:sz w:val="20"/>
                <w:szCs w:val="20"/>
              </w:rPr>
              <w:t xml:space="preserve"> </w:t>
            </w:r>
          </w:p>
        </w:tc>
      </w:tr>
    </w:tbl>
    <w:p w14:paraId="7E4016EE" w14:textId="2D501787" w:rsidR="00673634" w:rsidRPr="005500F7" w:rsidRDefault="00357A56" w:rsidP="00F40199">
      <w:pPr>
        <w:jc w:val="both"/>
        <w:rPr>
          <w:rFonts w:ascii="Aptos" w:hAnsi="Aptos"/>
          <w:sz w:val="20"/>
          <w:szCs w:val="20"/>
        </w:rPr>
      </w:pPr>
      <w:r w:rsidRPr="005500F7">
        <w:rPr>
          <w:rFonts w:ascii="Aptos" w:hAnsi="Aptos"/>
          <w:b/>
          <w:bCs/>
          <w:sz w:val="20"/>
          <w:szCs w:val="20"/>
        </w:rPr>
        <w:lastRenderedPageBreak/>
        <w:t xml:space="preserve">Supplementary Table </w:t>
      </w:r>
      <w:r w:rsidR="00705731">
        <w:rPr>
          <w:rFonts w:ascii="Aptos" w:hAnsi="Aptos"/>
          <w:b/>
          <w:bCs/>
          <w:sz w:val="20"/>
          <w:szCs w:val="20"/>
        </w:rPr>
        <w:t>2.</w:t>
      </w:r>
      <w:r w:rsidRPr="005500F7">
        <w:rPr>
          <w:rFonts w:ascii="Aptos" w:hAnsi="Aptos"/>
          <w:b/>
          <w:bCs/>
          <w:sz w:val="20"/>
          <w:szCs w:val="20"/>
        </w:rPr>
        <w:t xml:space="preserve"> </w:t>
      </w:r>
      <w:r w:rsidR="00923F18">
        <w:rPr>
          <w:rFonts w:ascii="Aptos" w:hAnsi="Aptos"/>
          <w:b/>
          <w:bCs/>
          <w:sz w:val="20"/>
          <w:szCs w:val="20"/>
        </w:rPr>
        <w:t>Clinical</w:t>
      </w:r>
      <w:r w:rsidR="00923F18" w:rsidRPr="005500F7">
        <w:rPr>
          <w:rFonts w:ascii="Aptos" w:hAnsi="Aptos"/>
          <w:b/>
          <w:bCs/>
          <w:sz w:val="20"/>
          <w:szCs w:val="20"/>
        </w:rPr>
        <w:t xml:space="preserve"> </w:t>
      </w:r>
      <w:r w:rsidRPr="005500F7">
        <w:rPr>
          <w:rFonts w:ascii="Aptos" w:hAnsi="Aptos"/>
          <w:b/>
          <w:bCs/>
          <w:sz w:val="20"/>
          <w:szCs w:val="20"/>
        </w:rPr>
        <w:t>profile of the studied population</w:t>
      </w:r>
      <w:r w:rsidR="00F40199">
        <w:rPr>
          <w:rFonts w:ascii="Aptos" w:hAnsi="Aptos"/>
          <w:b/>
          <w:bCs/>
          <w:sz w:val="20"/>
          <w:szCs w:val="20"/>
        </w:rPr>
        <w:t xml:space="preserve">. </w:t>
      </w:r>
    </w:p>
    <w:tbl>
      <w:tblPr>
        <w:tblStyle w:val="ListTable2"/>
        <w:tblW w:w="9322" w:type="dxa"/>
        <w:tblLook w:val="04A0" w:firstRow="1" w:lastRow="0" w:firstColumn="1" w:lastColumn="0" w:noHBand="0" w:noVBand="1"/>
      </w:tblPr>
      <w:tblGrid>
        <w:gridCol w:w="1216"/>
        <w:gridCol w:w="908"/>
        <w:gridCol w:w="2946"/>
        <w:gridCol w:w="2487"/>
        <w:gridCol w:w="1765"/>
      </w:tblGrid>
      <w:tr w:rsidR="00EA3FE2" w:rsidRPr="005500F7" w14:paraId="2CE1DE88" w14:textId="771C9D49" w:rsidTr="003C106F">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216" w:type="dxa"/>
            <w:tcBorders>
              <w:top w:val="nil"/>
              <w:bottom w:val="single" w:sz="12" w:space="0" w:color="auto"/>
            </w:tcBorders>
            <w:vAlign w:val="bottom"/>
          </w:tcPr>
          <w:p w14:paraId="2F3B5A3C" w14:textId="73D2E98B" w:rsidR="00EA3FE2" w:rsidRPr="005500F7" w:rsidRDefault="00EA3FE2" w:rsidP="00EA3FE2">
            <w:pPr>
              <w:pStyle w:val="NoSpacing"/>
              <w:ind w:firstLine="0"/>
              <w:jc w:val="center"/>
              <w:rPr>
                <w:rFonts w:ascii="Aptos" w:hAnsi="Aptos" w:cs="Times New Roman"/>
                <w:bCs w:val="0"/>
                <w:sz w:val="20"/>
                <w:szCs w:val="20"/>
              </w:rPr>
            </w:pPr>
            <w:r w:rsidRPr="005500F7">
              <w:rPr>
                <w:rFonts w:ascii="Aptos" w:hAnsi="Aptos" w:cs="Times New Roman"/>
                <w:bCs w:val="0"/>
                <w:sz w:val="20"/>
                <w:szCs w:val="20"/>
              </w:rPr>
              <w:t>Patient ID</w:t>
            </w:r>
          </w:p>
        </w:tc>
        <w:tc>
          <w:tcPr>
            <w:tcW w:w="0" w:type="dxa"/>
            <w:tcBorders>
              <w:top w:val="nil"/>
              <w:bottom w:val="single" w:sz="12" w:space="0" w:color="auto"/>
            </w:tcBorders>
            <w:vAlign w:val="bottom"/>
          </w:tcPr>
          <w:p w14:paraId="13018D9C" w14:textId="561A6304" w:rsidR="00EA3FE2" w:rsidRPr="005500F7" w:rsidRDefault="00EA3FE2" w:rsidP="00EA3FE2">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Aptos" w:hAnsi="Aptos" w:cs="Times New Roman"/>
                <w:bCs w:val="0"/>
                <w:sz w:val="20"/>
                <w:szCs w:val="20"/>
              </w:rPr>
            </w:pPr>
            <w:r w:rsidRPr="005500F7">
              <w:rPr>
                <w:rFonts w:ascii="Aptos" w:hAnsi="Aptos" w:cs="Times New Roman"/>
                <w:bCs w:val="0"/>
                <w:sz w:val="20"/>
                <w:szCs w:val="20"/>
              </w:rPr>
              <w:t>Gene</w:t>
            </w:r>
          </w:p>
        </w:tc>
        <w:tc>
          <w:tcPr>
            <w:tcW w:w="2946" w:type="dxa"/>
            <w:tcBorders>
              <w:top w:val="nil"/>
              <w:bottom w:val="single" w:sz="12" w:space="0" w:color="auto"/>
            </w:tcBorders>
            <w:vAlign w:val="bottom"/>
          </w:tcPr>
          <w:p w14:paraId="0BEDB079" w14:textId="77777777" w:rsidR="00EA3FE2" w:rsidRPr="00165B14" w:rsidRDefault="00EA3FE2" w:rsidP="00977CE2">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Aptos" w:hAnsi="Aptos" w:cs="Times New Roman"/>
                <w:b w:val="0"/>
                <w:sz w:val="18"/>
                <w:szCs w:val="18"/>
              </w:rPr>
            </w:pPr>
          </w:p>
          <w:p w14:paraId="4F8096AA" w14:textId="3897C9B4" w:rsidR="00EA3FE2" w:rsidRPr="005500F7" w:rsidRDefault="00EA3FE2" w:rsidP="003C106F">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Aptos" w:hAnsi="Aptos" w:cs="Times New Roman"/>
                <w:b w:val="0"/>
                <w:sz w:val="20"/>
                <w:szCs w:val="20"/>
              </w:rPr>
            </w:pPr>
            <w:r w:rsidRPr="00165B14">
              <w:rPr>
                <w:rFonts w:ascii="Aptos" w:hAnsi="Aptos" w:cs="Times New Roman"/>
                <w:sz w:val="18"/>
                <w:szCs w:val="18"/>
              </w:rPr>
              <w:t>Clinical Phenotype</w:t>
            </w:r>
          </w:p>
        </w:tc>
        <w:tc>
          <w:tcPr>
            <w:tcW w:w="2487" w:type="dxa"/>
            <w:tcBorders>
              <w:top w:val="nil"/>
              <w:bottom w:val="single" w:sz="12" w:space="0" w:color="auto"/>
            </w:tcBorders>
            <w:vAlign w:val="bottom"/>
          </w:tcPr>
          <w:p w14:paraId="3221DDA0" w14:textId="77777777" w:rsidR="00EA3FE2" w:rsidRPr="00165B14" w:rsidRDefault="00EA3FE2" w:rsidP="00977CE2">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Aptos" w:hAnsi="Aptos" w:cs="Times New Roman"/>
                <w:b w:val="0"/>
                <w:bCs w:val="0"/>
                <w:sz w:val="18"/>
                <w:szCs w:val="18"/>
              </w:rPr>
            </w:pPr>
          </w:p>
          <w:p w14:paraId="18D7E110" w14:textId="752ECEDA" w:rsidR="00EA3FE2" w:rsidRPr="005500F7" w:rsidRDefault="00EA3FE2" w:rsidP="003C106F">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Aptos" w:hAnsi="Aptos" w:cs="Times New Roman"/>
                <w:bCs w:val="0"/>
                <w:sz w:val="20"/>
                <w:szCs w:val="20"/>
              </w:rPr>
            </w:pPr>
            <w:r w:rsidRPr="00165B14">
              <w:rPr>
                <w:rFonts w:ascii="Aptos" w:hAnsi="Aptos" w:cs="Times New Roman"/>
                <w:sz w:val="18"/>
                <w:szCs w:val="18"/>
              </w:rPr>
              <w:t>Famil</w:t>
            </w:r>
            <w:r>
              <w:rPr>
                <w:rFonts w:ascii="Aptos" w:hAnsi="Aptos" w:cs="Times New Roman"/>
                <w:sz w:val="18"/>
                <w:szCs w:val="18"/>
              </w:rPr>
              <w:t>iarity</w:t>
            </w:r>
            <w:r w:rsidR="00977CE2">
              <w:rPr>
                <w:rFonts w:ascii="Aptos" w:hAnsi="Aptos" w:cs="Times New Roman"/>
                <w:sz w:val="18"/>
                <w:szCs w:val="18"/>
              </w:rPr>
              <w:t>/</w:t>
            </w:r>
            <w:r>
              <w:rPr>
                <w:rFonts w:ascii="Aptos" w:hAnsi="Aptos" w:cs="Times New Roman"/>
                <w:sz w:val="18"/>
                <w:szCs w:val="18"/>
              </w:rPr>
              <w:t>Segregation</w:t>
            </w:r>
            <w:r w:rsidR="00977CE2">
              <w:rPr>
                <w:rFonts w:ascii="Aptos" w:hAnsi="Aptos" w:cs="Times New Roman"/>
                <w:sz w:val="18"/>
                <w:szCs w:val="18"/>
              </w:rPr>
              <w:t xml:space="preserve"> </w:t>
            </w:r>
            <w:r>
              <w:rPr>
                <w:rFonts w:ascii="Aptos" w:hAnsi="Aptos" w:cs="Times New Roman"/>
                <w:sz w:val="18"/>
                <w:szCs w:val="18"/>
              </w:rPr>
              <w:t>Analysis</w:t>
            </w:r>
          </w:p>
        </w:tc>
        <w:tc>
          <w:tcPr>
            <w:tcW w:w="1765" w:type="dxa"/>
            <w:tcBorders>
              <w:top w:val="nil"/>
              <w:bottom w:val="single" w:sz="12" w:space="0" w:color="auto"/>
            </w:tcBorders>
            <w:vAlign w:val="bottom"/>
          </w:tcPr>
          <w:p w14:paraId="1FCAF3E1" w14:textId="23C2B81A" w:rsidR="00EA3FE2" w:rsidRPr="005500F7" w:rsidRDefault="00EA3FE2" w:rsidP="00EA3FE2">
            <w:pPr>
              <w:pStyle w:val="NoSpacing"/>
              <w:ind w:firstLine="0"/>
              <w:jc w:val="center"/>
              <w:cnfStyle w:val="100000000000" w:firstRow="1" w:lastRow="0" w:firstColumn="0" w:lastColumn="0" w:oddVBand="0" w:evenVBand="0" w:oddHBand="0" w:evenHBand="0" w:firstRowFirstColumn="0" w:firstRowLastColumn="0" w:lastRowFirstColumn="0" w:lastRowLastColumn="0"/>
              <w:rPr>
                <w:rFonts w:ascii="Aptos" w:hAnsi="Aptos" w:cs="Times New Roman"/>
                <w:b w:val="0"/>
                <w:sz w:val="20"/>
                <w:szCs w:val="20"/>
              </w:rPr>
            </w:pPr>
            <w:r w:rsidRPr="005500F7">
              <w:rPr>
                <w:rFonts w:ascii="Aptos" w:hAnsi="Aptos" w:cs="Times New Roman"/>
                <w:bCs w:val="0"/>
                <w:sz w:val="20"/>
                <w:szCs w:val="20"/>
              </w:rPr>
              <w:t>Patient Reference</w:t>
            </w:r>
          </w:p>
        </w:tc>
      </w:tr>
      <w:tr w:rsidR="00923F18" w:rsidRPr="0062618B" w14:paraId="68C2189A" w14:textId="74BD9E49" w:rsidTr="003C1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tcBorders>
              <w:top w:val="single" w:sz="12" w:space="0" w:color="auto"/>
            </w:tcBorders>
            <w:shd w:val="clear" w:color="auto" w:fill="FFFFFF" w:themeFill="background1"/>
            <w:vAlign w:val="center"/>
          </w:tcPr>
          <w:p w14:paraId="3EA5F6AA" w14:textId="74A3714E" w:rsidR="00923F18" w:rsidRPr="005500F7" w:rsidRDefault="00923F18"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w:t>
            </w:r>
            <w:r w:rsidR="00024572">
              <w:rPr>
                <w:rFonts w:ascii="Aptos" w:hAnsi="Aptos"/>
                <w:b w:val="0"/>
                <w:bCs w:val="0"/>
                <w:sz w:val="20"/>
                <w:szCs w:val="20"/>
              </w:rPr>
              <w:t>1</w:t>
            </w:r>
          </w:p>
        </w:tc>
        <w:tc>
          <w:tcPr>
            <w:tcW w:w="908" w:type="dxa"/>
            <w:tcBorders>
              <w:top w:val="single" w:sz="12" w:space="0" w:color="auto"/>
            </w:tcBorders>
            <w:shd w:val="clear" w:color="auto" w:fill="FFFFFF" w:themeFill="background1"/>
            <w:vAlign w:val="center"/>
          </w:tcPr>
          <w:p w14:paraId="7FF4BC62" w14:textId="5CC10502"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i/>
                <w:iCs/>
                <w:sz w:val="20"/>
                <w:szCs w:val="20"/>
              </w:rPr>
            </w:pPr>
            <w:r w:rsidRPr="00264446">
              <w:rPr>
                <w:rFonts w:ascii="Aptos" w:hAnsi="Aptos"/>
                <w:i/>
                <w:iCs/>
                <w:sz w:val="20"/>
                <w:szCs w:val="20"/>
              </w:rPr>
              <w:t>VPS16</w:t>
            </w:r>
          </w:p>
        </w:tc>
        <w:tc>
          <w:tcPr>
            <w:tcW w:w="2946" w:type="dxa"/>
            <w:tcBorders>
              <w:top w:val="single" w:sz="12" w:space="0" w:color="auto"/>
            </w:tcBorders>
            <w:shd w:val="clear" w:color="auto" w:fill="FFFFFF" w:themeFill="background1"/>
            <w:vAlign w:val="center"/>
          </w:tcPr>
          <w:p w14:paraId="6AEBF9A1" w14:textId="26991B52"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Pr>
                <w:rFonts w:ascii="Aptos" w:hAnsi="Aptos"/>
                <w:sz w:val="18"/>
                <w:szCs w:val="18"/>
              </w:rPr>
              <w:t>G</w:t>
            </w:r>
            <w:r w:rsidRPr="00E7119C">
              <w:rPr>
                <w:rFonts w:ascii="Aptos" w:hAnsi="Aptos"/>
                <w:sz w:val="18"/>
                <w:szCs w:val="18"/>
              </w:rPr>
              <w:t>eneralized tremulous dystonia with prominent laryngeal, oromandibular</w:t>
            </w:r>
            <w:r>
              <w:rPr>
                <w:rFonts w:ascii="Aptos" w:hAnsi="Aptos"/>
                <w:sz w:val="18"/>
                <w:szCs w:val="18"/>
              </w:rPr>
              <w:t>,</w:t>
            </w:r>
            <w:r w:rsidRPr="00E7119C">
              <w:rPr>
                <w:rFonts w:ascii="Aptos" w:hAnsi="Aptos"/>
                <w:sz w:val="18"/>
                <w:szCs w:val="18"/>
              </w:rPr>
              <w:t xml:space="preserve"> and appendicular involvement (right&gt;left)</w:t>
            </w:r>
            <w:r>
              <w:rPr>
                <w:rFonts w:ascii="Aptos" w:hAnsi="Aptos"/>
                <w:sz w:val="18"/>
                <w:szCs w:val="18"/>
              </w:rPr>
              <w:t>;</w:t>
            </w:r>
            <w:r w:rsidRPr="00E7119C">
              <w:rPr>
                <w:rFonts w:ascii="Aptos" w:hAnsi="Aptos"/>
                <w:sz w:val="18"/>
                <w:szCs w:val="18"/>
              </w:rPr>
              <w:t xml:space="preserve"> writer’s cramp</w:t>
            </w:r>
          </w:p>
        </w:tc>
        <w:tc>
          <w:tcPr>
            <w:tcW w:w="2487" w:type="dxa"/>
            <w:tcBorders>
              <w:top w:val="single" w:sz="12" w:space="0" w:color="auto"/>
            </w:tcBorders>
            <w:shd w:val="clear" w:color="auto" w:fill="FFFFFF" w:themeFill="background1"/>
            <w:vAlign w:val="center"/>
          </w:tcPr>
          <w:p w14:paraId="4CF81281"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Pr>
                <w:rFonts w:ascii="Aptos" w:hAnsi="Aptos"/>
                <w:sz w:val="18"/>
                <w:szCs w:val="18"/>
              </w:rPr>
              <w:t xml:space="preserve">Negative. </w:t>
            </w:r>
          </w:p>
          <w:p w14:paraId="79D48368" w14:textId="5AB9CEBC"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Pr>
                <w:rFonts w:ascii="Aptos" w:hAnsi="Aptos"/>
                <w:sz w:val="18"/>
                <w:szCs w:val="18"/>
              </w:rPr>
              <w:t>Not available segregation analysis</w:t>
            </w:r>
          </w:p>
        </w:tc>
        <w:tc>
          <w:tcPr>
            <w:tcW w:w="1765" w:type="dxa"/>
            <w:tcBorders>
              <w:top w:val="single" w:sz="12" w:space="0" w:color="auto"/>
            </w:tcBorders>
            <w:shd w:val="clear" w:color="auto" w:fill="FFFFFF" w:themeFill="background1"/>
            <w:vAlign w:val="center"/>
          </w:tcPr>
          <w:p w14:paraId="696C3CC3" w14:textId="54983323" w:rsidR="00923F18" w:rsidRPr="003C106F"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lang w:val="en-US"/>
              </w:rPr>
            </w:pPr>
            <w:r w:rsidRPr="002A77AE">
              <w:rPr>
                <w:rFonts w:ascii="Aptos" w:hAnsi="Aptos"/>
                <w:sz w:val="20"/>
                <w:szCs w:val="20"/>
                <w:lang w:val="en-US"/>
              </w:rPr>
              <w:t>Monfrini et al.</w:t>
            </w:r>
            <w:r w:rsidRPr="005500F7">
              <w:rPr>
                <w:rFonts w:ascii="Aptos" w:hAnsi="Aptos"/>
                <w:sz w:val="20"/>
                <w:szCs w:val="20"/>
                <w:lang w:val="it-IT"/>
              </w:rPr>
              <w:fldChar w:fldCharType="begin"/>
            </w:r>
            <w:r w:rsidRPr="002A77AE">
              <w:rPr>
                <w:rFonts w:ascii="Aptos" w:hAnsi="Aptos"/>
                <w:sz w:val="20"/>
                <w:szCs w:val="20"/>
                <w:lang w:val="en-US"/>
              </w:rPr>
              <w:instrText xml:space="preserve"> ADDIN ZOTERO_ITEM CSL_CITATION {"citationID":"KV4oPnjg","properties":{"formattedCitation":"\\super 91\\nosupersub{}","plainCitation":"91","noteIndex":0},"citationItems":[{"id":650,"uris":["http://zotero.org/users/local/qbj29eOf/items/KLUM9FGW"],"itemData":{"id":650,"type":"article-journal","abstract":"Abstract\n            \n              Background\n              \n                VPS16\n                pathogenic variants have been recently associated with inherited dystonia. Most patients affected by dominant VPS16</w:instrText>
            </w:r>
            <w:r w:rsidRPr="002A77AE">
              <w:rPr>
                <w:rFonts w:ascii="Cambria Math" w:hAnsi="Cambria Math" w:cs="Cambria Math"/>
                <w:sz w:val="20"/>
                <w:szCs w:val="20"/>
                <w:lang w:val="en-US"/>
              </w:rPr>
              <w:instrText>‐</w:instrText>
            </w:r>
            <w:r w:rsidRPr="002A77AE">
              <w:rPr>
                <w:rFonts w:ascii="Aptos" w:hAnsi="Aptos"/>
                <w:sz w:val="20"/>
                <w:szCs w:val="20"/>
                <w:lang w:val="en-US"/>
              </w:rPr>
              <w:instrText>related disease display early</w:instrText>
            </w:r>
            <w:r w:rsidRPr="002A77AE">
              <w:rPr>
                <w:rFonts w:ascii="Cambria Math" w:hAnsi="Cambria Math" w:cs="Cambria Math"/>
                <w:sz w:val="20"/>
                <w:szCs w:val="20"/>
                <w:lang w:val="en-US"/>
              </w:rPr>
              <w:instrText>‐</w:instrText>
            </w:r>
            <w:r w:rsidRPr="002A77AE">
              <w:rPr>
                <w:rFonts w:ascii="Aptos" w:hAnsi="Aptos"/>
                <w:sz w:val="20"/>
                <w:szCs w:val="20"/>
                <w:lang w:val="en-US"/>
              </w:rPr>
              <w:instrText>onset isolated dystonia with prominent oromandibular, bulbar, cervical, and upper limb involvement, followed by slowly progressive generalization.\n              \n            \n            \n              Cases\n              \n                We describe six newly reported dystonic patients carrying\n                VPS16\n                mutations disp</w:instrText>
            </w:r>
            <w:r w:rsidRPr="003C106F">
              <w:rPr>
                <w:rFonts w:ascii="Aptos" w:hAnsi="Aptos"/>
                <w:sz w:val="20"/>
                <w:szCs w:val="20"/>
                <w:lang w:val="it-IT"/>
              </w:rPr>
              <w:instrText>laying unusual phenotypic features in addition to dystonia, such as myoclonus, choreoathetosis, pharyngospasm and freezing of gait. Response to bilateral Globus Pallidus Internus Deep Br</w:instrText>
            </w:r>
            <w:r w:rsidRPr="00315BE5">
              <w:rPr>
                <w:rFonts w:ascii="Aptos" w:hAnsi="Aptos"/>
                <w:sz w:val="20"/>
                <w:szCs w:val="20"/>
                <w:lang w:val="it-IT"/>
              </w:rPr>
              <w:instrText>ain Stimulation (GPi</w:instrText>
            </w:r>
            <w:r w:rsidRPr="00315BE5">
              <w:rPr>
                <w:rFonts w:ascii="Cambria Math" w:hAnsi="Cambria Math" w:cs="Cambria Math"/>
                <w:sz w:val="20"/>
                <w:szCs w:val="20"/>
                <w:lang w:val="it-IT"/>
              </w:rPr>
              <w:instrText>‐</w:instrText>
            </w:r>
            <w:r w:rsidRPr="00315BE5">
              <w:rPr>
                <w:rFonts w:ascii="Aptos" w:hAnsi="Aptos"/>
                <w:sz w:val="20"/>
                <w:szCs w:val="20"/>
                <w:lang w:val="it-IT"/>
              </w:rPr>
              <w:instrText>DBS) is reported in</w:instrText>
            </w:r>
            <w:r w:rsidRPr="00F40199">
              <w:rPr>
                <w:rFonts w:ascii="Aptos" w:hAnsi="Aptos"/>
                <w:sz w:val="20"/>
                <w:szCs w:val="20"/>
                <w:lang w:val="it-IT"/>
              </w:rPr>
              <w:instrText xml:space="preserve"> three of them, associated with significant improvement of dystonia but only minor effect on other hyperkinetic movements. Moreover, five novel pathogenic/likely pathogenic variants are described.\n              \n            \n            \n              Conclusions\n              \n                This case collection expands the genetic and clinical spectrum of\n                VPS16\n                </w:instrText>
            </w:r>
            <w:r w:rsidRPr="00F40199">
              <w:rPr>
                <w:rFonts w:ascii="Cambria Math" w:hAnsi="Cambria Math" w:cs="Cambria Math"/>
                <w:sz w:val="20"/>
                <w:szCs w:val="20"/>
                <w:lang w:val="it-IT"/>
              </w:rPr>
              <w:instrText>‐</w:instrText>
            </w:r>
            <w:r w:rsidRPr="00F40199">
              <w:rPr>
                <w:rFonts w:ascii="Aptos" w:hAnsi="Aptos"/>
                <w:sz w:val="20"/>
                <w:szCs w:val="20"/>
                <w:lang w:val="it-IT"/>
              </w:rPr>
              <w:instrText xml:space="preserve">related disease, prompting movement disorder specialists to suspect mutations </w:instrText>
            </w:r>
            <w:r w:rsidRPr="003C106F">
              <w:rPr>
                <w:rFonts w:ascii="Aptos" w:hAnsi="Aptos"/>
                <w:sz w:val="20"/>
                <w:szCs w:val="20"/>
                <w:lang w:val="en-US"/>
              </w:rPr>
              <w:instrText xml:space="preserve">of this gene not only in patients with isolated dystonia.","container-title":"Movement Disorders Clinical Practice","DOI":"10.1002/mdc3.13927","ISSN":"2330-1619, 2330-1619","issue":"1","journalAbbreviation":"Movement Disord Clin Pract","language":"en","page":"87-93","source":"DOI.org (Crossref)","title":"Dominant &lt;span style=\"font-variant:small-caps;\"&gt; &lt;i&gt;VPS16&lt;/i&gt; &lt;/span&gt; Pathogenic Variants: Not Only Isolated Dystonia","title-short":"Dominant &lt;span style=\"font-variant","volume":"11","author":[{"family":"Monfrini","given":"Edoardo"},{"family":"Avanzino","given":"Laura"},{"family":"Palermo","given":"Giovanni"},{"family":"Bonato","given":"Giulia"},{"family":"Brescia","given":"Gloria"},{"family":"Ceravolo","given":"Roberto"},{"family":"Cantarella","given":"Giovanna"},{"family":"Mandich","given":"Paola"},{"family":"Prokisch","given":"Holger"},{"family":"Storm Van'S Gravesande","given":"Karin"},{"family":"Straccia","given":"Giulia"},{"family":"Elia","given":"Antonio"},{"family":"Reale","given":"Chiara"},{"family":"Panteghini","given":"Celeste"},{"family":"Zorzi","given":"Giovanna"},{"family":"Eleopra","given":"Roberto"},{"family":"Erro","given":"Roberto"},{"family":"Carecchio","given":"Miryam"},{"family":"Garavaglia","given":"Barbara"},{"family":"Zech","given":"Michael"},{"family":"Romito","given":"Luigi"},{"family":"Di Fonzo","given":"Alessio"}],"issued":{"date-parts":[["2024",1]]}}}],"schema":"https://github.com/citation-style-language/schema/raw/master/csl-citation.json"} </w:instrText>
            </w:r>
            <w:r w:rsidRPr="005500F7">
              <w:rPr>
                <w:rFonts w:ascii="Aptos" w:hAnsi="Aptos"/>
                <w:sz w:val="20"/>
                <w:szCs w:val="20"/>
                <w:lang w:val="it-IT"/>
              </w:rPr>
              <w:fldChar w:fldCharType="separate"/>
            </w:r>
            <w:r w:rsidRPr="003C106F">
              <w:rPr>
                <w:rFonts w:ascii="Aptos" w:hAnsi="Aptos" w:cs="Times New Roman"/>
                <w:sz w:val="20"/>
                <w:szCs w:val="20"/>
                <w:vertAlign w:val="superscript"/>
                <w:lang w:val="en-US"/>
              </w:rPr>
              <w:t>91</w:t>
            </w:r>
            <w:r w:rsidRPr="005500F7">
              <w:rPr>
                <w:rFonts w:ascii="Aptos" w:hAnsi="Aptos"/>
                <w:sz w:val="20"/>
                <w:szCs w:val="20"/>
                <w:lang w:val="it-IT"/>
              </w:rPr>
              <w:fldChar w:fldCharType="end"/>
            </w:r>
          </w:p>
          <w:p w14:paraId="296E4F3B" w14:textId="2877F878" w:rsidR="00923F18" w:rsidRPr="003C106F"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lang w:val="en-US"/>
              </w:rPr>
            </w:pPr>
            <w:r w:rsidRPr="003C106F">
              <w:rPr>
                <w:rFonts w:ascii="Aptos" w:hAnsi="Aptos"/>
                <w:sz w:val="20"/>
                <w:szCs w:val="20"/>
                <w:lang w:val="en-US"/>
              </w:rPr>
              <w:t>(Patient E)</w:t>
            </w:r>
          </w:p>
        </w:tc>
      </w:tr>
      <w:tr w:rsidR="00923F18" w:rsidRPr="0062618B" w14:paraId="77F73EE6" w14:textId="07E255E4" w:rsidTr="003C106F">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7936B478" w14:textId="253CFA1C" w:rsidR="00923F18" w:rsidRPr="00FF4210" w:rsidRDefault="00923F18" w:rsidP="00923F18">
            <w:pPr>
              <w:pStyle w:val="NoSpacing"/>
              <w:ind w:firstLine="0"/>
              <w:jc w:val="center"/>
              <w:rPr>
                <w:rFonts w:ascii="Aptos" w:hAnsi="Aptos" w:cs="Times New Roman"/>
                <w:b w:val="0"/>
                <w:bCs w:val="0"/>
                <w:sz w:val="20"/>
                <w:szCs w:val="20"/>
                <w:lang w:val="en-US"/>
              </w:rPr>
            </w:pPr>
            <w:r w:rsidRPr="00FF4210">
              <w:rPr>
                <w:rFonts w:ascii="Aptos" w:hAnsi="Aptos"/>
                <w:b w:val="0"/>
                <w:bCs w:val="0"/>
                <w:sz w:val="20"/>
                <w:szCs w:val="20"/>
                <w:lang w:val="en-US"/>
              </w:rPr>
              <w:t>Pat</w:t>
            </w:r>
            <w:r w:rsidR="00A22151">
              <w:rPr>
                <w:rFonts w:ascii="Aptos" w:hAnsi="Aptos"/>
                <w:b w:val="0"/>
                <w:bCs w:val="0"/>
                <w:sz w:val="20"/>
                <w:szCs w:val="20"/>
                <w:lang w:val="en-US"/>
              </w:rPr>
              <w:t>2</w:t>
            </w:r>
          </w:p>
        </w:tc>
        <w:tc>
          <w:tcPr>
            <w:tcW w:w="908" w:type="dxa"/>
            <w:shd w:val="clear" w:color="auto" w:fill="FFFFFF" w:themeFill="background1"/>
            <w:vAlign w:val="center"/>
          </w:tcPr>
          <w:p w14:paraId="42B64858" w14:textId="73EA1649" w:rsidR="00923F18" w:rsidRPr="00FF4210"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i/>
                <w:iCs/>
                <w:sz w:val="20"/>
                <w:szCs w:val="20"/>
                <w:lang w:val="en-US"/>
              </w:rPr>
            </w:pPr>
            <w:r w:rsidRPr="00FF4210">
              <w:rPr>
                <w:rFonts w:ascii="Aptos" w:hAnsi="Aptos"/>
                <w:i/>
                <w:iCs/>
                <w:sz w:val="20"/>
                <w:szCs w:val="20"/>
                <w:lang w:val="en-US"/>
              </w:rPr>
              <w:t>VPS16</w:t>
            </w:r>
          </w:p>
        </w:tc>
        <w:tc>
          <w:tcPr>
            <w:tcW w:w="2946" w:type="dxa"/>
            <w:shd w:val="clear" w:color="auto" w:fill="FFFFFF" w:themeFill="background1"/>
            <w:vAlign w:val="center"/>
          </w:tcPr>
          <w:p w14:paraId="66022F68" w14:textId="586F3164" w:rsidR="00923F18" w:rsidRPr="00FF4210"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lang w:val="en-US"/>
              </w:rPr>
            </w:pPr>
            <w:r>
              <w:rPr>
                <w:rFonts w:ascii="Aptos" w:hAnsi="Aptos"/>
                <w:sz w:val="18"/>
                <w:szCs w:val="18"/>
              </w:rPr>
              <w:t>S</w:t>
            </w:r>
            <w:r w:rsidRPr="00E7119C">
              <w:rPr>
                <w:rFonts w:ascii="Aptos" w:hAnsi="Aptos"/>
                <w:sz w:val="18"/>
                <w:szCs w:val="18"/>
              </w:rPr>
              <w:t>peech-induced oromandibular dystonia, right upper limb jerky dystonia</w:t>
            </w:r>
            <w:r>
              <w:rPr>
                <w:rFonts w:ascii="Aptos" w:hAnsi="Aptos"/>
                <w:sz w:val="18"/>
                <w:szCs w:val="18"/>
              </w:rPr>
              <w:t>,</w:t>
            </w:r>
            <w:r w:rsidRPr="00E7119C">
              <w:rPr>
                <w:rFonts w:ascii="Aptos" w:hAnsi="Aptos"/>
                <w:sz w:val="18"/>
                <w:szCs w:val="18"/>
              </w:rPr>
              <w:t xml:space="preserve"> and writer’s cramp; mild right torticollis</w:t>
            </w:r>
          </w:p>
        </w:tc>
        <w:tc>
          <w:tcPr>
            <w:tcW w:w="2487" w:type="dxa"/>
            <w:shd w:val="clear" w:color="auto" w:fill="FFFFFF" w:themeFill="background1"/>
            <w:vAlign w:val="center"/>
          </w:tcPr>
          <w:p w14:paraId="3DE7ECA2" w14:textId="77777777" w:rsidR="00923F18"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Pr>
                <w:rFonts w:ascii="Aptos" w:hAnsi="Aptos"/>
                <w:sz w:val="18"/>
                <w:szCs w:val="18"/>
              </w:rPr>
              <w:t xml:space="preserve">Negative. </w:t>
            </w:r>
          </w:p>
          <w:p w14:paraId="7CE1A802" w14:textId="3CC69FDF" w:rsidR="00923F18" w:rsidRPr="00FF4210"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lang w:val="en-US"/>
              </w:rPr>
            </w:pPr>
            <w:r>
              <w:rPr>
                <w:rFonts w:ascii="Aptos" w:hAnsi="Aptos"/>
                <w:sz w:val="18"/>
                <w:szCs w:val="18"/>
              </w:rPr>
              <w:t>Not available segregation analysis</w:t>
            </w:r>
          </w:p>
        </w:tc>
        <w:tc>
          <w:tcPr>
            <w:tcW w:w="1765" w:type="dxa"/>
            <w:shd w:val="clear" w:color="auto" w:fill="FFFFFF" w:themeFill="background1"/>
            <w:vAlign w:val="center"/>
          </w:tcPr>
          <w:p w14:paraId="5DD81080" w14:textId="6E3EA235" w:rsidR="00923F18" w:rsidRPr="002A77AE"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lang w:val="en-US"/>
              </w:rPr>
            </w:pPr>
            <w:r w:rsidRPr="002A77AE">
              <w:rPr>
                <w:rFonts w:ascii="Aptos" w:hAnsi="Aptos"/>
                <w:sz w:val="20"/>
                <w:szCs w:val="20"/>
                <w:lang w:val="en-US"/>
              </w:rPr>
              <w:t>Monfrini et al.</w:t>
            </w:r>
            <w:r w:rsidRPr="005500F7">
              <w:rPr>
                <w:rFonts w:ascii="Aptos" w:hAnsi="Aptos"/>
                <w:sz w:val="20"/>
                <w:szCs w:val="20"/>
                <w:lang w:val="it-IT"/>
              </w:rPr>
              <w:fldChar w:fldCharType="begin"/>
            </w:r>
            <w:r w:rsidRPr="002A77AE">
              <w:rPr>
                <w:rFonts w:ascii="Aptos" w:hAnsi="Aptos"/>
                <w:sz w:val="20"/>
                <w:szCs w:val="20"/>
                <w:lang w:val="en-US"/>
              </w:rPr>
              <w:instrText xml:space="preserve"> ADDIN ZOTERO_ITEM CSL_CITATION {"citationID":"Z3xGvc6k","properties":{"formattedCitation":"\\super 91\\nosupersub{}","plainCitation":"91","noteIndex":0},"citationItems":[{"id":650,"uris":["http://zotero.org/users/local/qbj29eOf/items/KLUM9FGW"],"itemData":{"id":650,"type":"article-journal","abstract":"Abstract\n            \n              Background\n              \n                VPS16\n                pathogenic variants have been recently associated with inherited dystonia. Most patients affected by dominant VPS16</w:instrText>
            </w:r>
            <w:r w:rsidRPr="002A77AE">
              <w:rPr>
                <w:rFonts w:ascii="Cambria Math" w:hAnsi="Cambria Math" w:cs="Cambria Math"/>
                <w:sz w:val="20"/>
                <w:szCs w:val="20"/>
                <w:lang w:val="en-US"/>
              </w:rPr>
              <w:instrText>‐</w:instrText>
            </w:r>
            <w:r w:rsidRPr="002A77AE">
              <w:rPr>
                <w:rFonts w:ascii="Aptos" w:hAnsi="Aptos"/>
                <w:sz w:val="20"/>
                <w:szCs w:val="20"/>
                <w:lang w:val="en-US"/>
              </w:rPr>
              <w:instrText>related disease display early</w:instrText>
            </w:r>
            <w:r w:rsidRPr="002A77AE">
              <w:rPr>
                <w:rFonts w:ascii="Cambria Math" w:hAnsi="Cambria Math" w:cs="Cambria Math"/>
                <w:sz w:val="20"/>
                <w:szCs w:val="20"/>
                <w:lang w:val="en-US"/>
              </w:rPr>
              <w:instrText>‐</w:instrText>
            </w:r>
            <w:r w:rsidRPr="002A77AE">
              <w:rPr>
                <w:rFonts w:ascii="Aptos" w:hAnsi="Aptos"/>
                <w:sz w:val="20"/>
                <w:szCs w:val="20"/>
                <w:lang w:val="en-US"/>
              </w:rPr>
              <w:instrText>onset isolated dystonia with prominent oromandibular, bulbar, cervical, and upper limb involvement, followed by slowly progressive generalization.\n              \n            \n            \n              Cases\n              \n                We describe six newly reported dystonic patients carrying\n                VPS16\n                mutations displaying unusual phenotypic features in addition to dystonia, such as myoclonus, choreoathetosis, pharyngospasm and freezing of gait. Response to bilateral Globus Pallidus Internus Deep Brain Stimulation (GPi</w:instrText>
            </w:r>
            <w:r w:rsidRPr="002A77AE">
              <w:rPr>
                <w:rFonts w:ascii="Cambria Math" w:hAnsi="Cambria Math" w:cs="Cambria Math"/>
                <w:sz w:val="20"/>
                <w:szCs w:val="20"/>
                <w:lang w:val="en-US"/>
              </w:rPr>
              <w:instrText>‐</w:instrText>
            </w:r>
            <w:r w:rsidRPr="002A77AE">
              <w:rPr>
                <w:rFonts w:ascii="Aptos" w:hAnsi="Aptos"/>
                <w:sz w:val="20"/>
                <w:szCs w:val="20"/>
                <w:lang w:val="en-US"/>
              </w:rPr>
              <w:instrText>DBS) is reported in three of them, associated with significant improvement of dystonia but only minor effect on other hyperkinetic moveme</w:instrText>
            </w:r>
            <w:r w:rsidRPr="003C106F">
              <w:rPr>
                <w:rFonts w:ascii="Aptos" w:hAnsi="Aptos"/>
                <w:sz w:val="20"/>
                <w:szCs w:val="20"/>
                <w:lang w:val="it-IT"/>
              </w:rPr>
              <w:instrText xml:space="preserve">nts. Moreover, five novel pathogenic/likely pathogenic variants are described.\n              \n            \n            \n              Conclusions\n         </w:instrText>
            </w:r>
            <w:r w:rsidRPr="00FF4210">
              <w:rPr>
                <w:rFonts w:ascii="Aptos" w:hAnsi="Aptos"/>
                <w:sz w:val="20"/>
                <w:szCs w:val="20"/>
                <w:lang w:val="it-IT"/>
              </w:rPr>
              <w:instrText xml:space="preserve"> </w:instrText>
            </w:r>
            <w:r w:rsidRPr="005500F7">
              <w:rPr>
                <w:rFonts w:ascii="Aptos" w:hAnsi="Aptos"/>
                <w:sz w:val="20"/>
                <w:szCs w:val="20"/>
                <w:lang w:val="it-IT"/>
              </w:rPr>
              <w:instrText xml:space="preserve">    \n                This case collection expands the genetic and clinical spectrum of\n                VPS16\n                </w:instrText>
            </w:r>
            <w:r w:rsidRPr="005500F7">
              <w:rPr>
                <w:rFonts w:ascii="Cambria Math" w:hAnsi="Cambria Math" w:cs="Cambria Math"/>
                <w:sz w:val="20"/>
                <w:szCs w:val="20"/>
                <w:lang w:val="it-IT"/>
              </w:rPr>
              <w:instrText>‐</w:instrText>
            </w:r>
            <w:r w:rsidRPr="005500F7">
              <w:rPr>
                <w:rFonts w:ascii="Aptos" w:hAnsi="Aptos"/>
                <w:sz w:val="20"/>
                <w:szCs w:val="20"/>
                <w:lang w:val="it-IT"/>
              </w:rPr>
              <w:instrText xml:space="preserve">related disease, prompting movement disorder specialists to suspect mutations </w:instrText>
            </w:r>
            <w:r w:rsidRPr="002A77AE">
              <w:rPr>
                <w:rFonts w:ascii="Aptos" w:hAnsi="Aptos"/>
                <w:sz w:val="20"/>
                <w:szCs w:val="20"/>
                <w:lang w:val="en-US"/>
              </w:rPr>
              <w:instrText xml:space="preserve">of this gene not only in patients with isolated dystonia.","container-title":"Movement Disorders Clinical Practice","DOI":"10.1002/mdc3.13927","ISSN":"2330-1619, 2330-1619","issue":"1","journalAbbreviation":"Movement Disord Clin Pract","language":"en","page":"87-93","source":"DOI.org (Crossref)","title":"Dominant &lt;span style=\"font-variant:small-caps;\"&gt; &lt;i&gt;VPS16&lt;/i&gt; &lt;/span&gt; Pathogenic Variants: Not Only Isolated Dystonia","title-short":"Dominant &lt;span style=\"font-variant","volume":"11","author":[{"family":"Monfrini","given":"Edoardo"},{"family":"Avanzino","given":"Laura"},{"family":"Palermo","given":"Giovanni"},{"family":"Bonato","given":"Giulia"},{"family":"Brescia","given":"Gloria"},{"family":"Ceravolo","given":"Roberto"},{"family":"Cantarella","given":"Giovanna"},{"family":"Mandich","given":"Paola"},{"family":"Prokisch","given":"Holger"},{"family":"Storm Van'S Gravesande","given":"Karin"},{"family":"Straccia","given":"Giulia"},{"family":"Elia","given":"Antonio"},{"family":"Reale","given":"Chiara"},{"family":"Panteghini","given":"Celeste"},{"family":"Zorzi","given":"Giovanna"},{"family":"Eleopra","given":"Roberto"},{"family":"Erro","given":"Roberto"},{"family":"Carecchio","given":"Miryam"},{"family":"Garavaglia","given":"Barbara"},{"family":"Zech","given":"Michael"},{"family":"Romito","given":"Luigi"},{"family":"Di Fonzo","given":"Alessio"}],"issued":{"date-parts":[["2024",1]]}}}],"schema":"https://github.com/citation-style-language/schema/raw/master/csl-citation.json"} </w:instrText>
            </w:r>
            <w:r w:rsidRPr="005500F7">
              <w:rPr>
                <w:rFonts w:ascii="Aptos" w:hAnsi="Aptos"/>
                <w:sz w:val="20"/>
                <w:szCs w:val="20"/>
                <w:lang w:val="it-IT"/>
              </w:rPr>
              <w:fldChar w:fldCharType="separate"/>
            </w:r>
            <w:r w:rsidRPr="002A77AE">
              <w:rPr>
                <w:rFonts w:ascii="Aptos" w:hAnsi="Aptos" w:cs="Times New Roman"/>
                <w:sz w:val="20"/>
                <w:szCs w:val="20"/>
                <w:vertAlign w:val="superscript"/>
                <w:lang w:val="en-US"/>
              </w:rPr>
              <w:t>91</w:t>
            </w:r>
            <w:r w:rsidRPr="005500F7">
              <w:rPr>
                <w:rFonts w:ascii="Aptos" w:hAnsi="Aptos"/>
                <w:sz w:val="20"/>
                <w:szCs w:val="20"/>
                <w:lang w:val="it-IT"/>
              </w:rPr>
              <w:fldChar w:fldCharType="end"/>
            </w:r>
          </w:p>
          <w:p w14:paraId="1105BBEF" w14:textId="5E40DB26" w:rsidR="00923F18" w:rsidRPr="002A77AE"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lang w:val="en-US"/>
              </w:rPr>
            </w:pPr>
            <w:r w:rsidRPr="002A77AE">
              <w:rPr>
                <w:rFonts w:ascii="Aptos" w:hAnsi="Aptos"/>
                <w:sz w:val="20"/>
                <w:szCs w:val="20"/>
                <w:lang w:val="en-US"/>
              </w:rPr>
              <w:t>(Patient F)</w:t>
            </w:r>
          </w:p>
        </w:tc>
      </w:tr>
      <w:tr w:rsidR="00923F18" w:rsidRPr="00B918D0" w14:paraId="1BF4AE6C" w14:textId="24078AD4" w:rsidTr="003C1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6334E63A" w14:textId="2AEFFFFC" w:rsidR="00923F18" w:rsidRPr="00B918D0" w:rsidRDefault="00923F18" w:rsidP="00923F18">
            <w:pPr>
              <w:pStyle w:val="NoSpacing"/>
              <w:ind w:firstLine="0"/>
              <w:jc w:val="center"/>
              <w:rPr>
                <w:rFonts w:ascii="Aptos" w:hAnsi="Aptos" w:cs="Times New Roman"/>
                <w:b w:val="0"/>
                <w:bCs w:val="0"/>
                <w:sz w:val="20"/>
                <w:szCs w:val="20"/>
                <w:lang w:val="en-US"/>
              </w:rPr>
            </w:pPr>
            <w:r w:rsidRPr="00B918D0">
              <w:rPr>
                <w:rFonts w:ascii="Aptos" w:hAnsi="Aptos"/>
                <w:b w:val="0"/>
                <w:bCs w:val="0"/>
                <w:sz w:val="20"/>
                <w:szCs w:val="20"/>
                <w:lang w:val="en-US"/>
              </w:rPr>
              <w:t>Pat</w:t>
            </w:r>
            <w:r w:rsidR="00A22151">
              <w:rPr>
                <w:rFonts w:ascii="Aptos" w:hAnsi="Aptos"/>
                <w:b w:val="0"/>
                <w:bCs w:val="0"/>
                <w:sz w:val="20"/>
                <w:szCs w:val="20"/>
                <w:lang w:val="en-US"/>
              </w:rPr>
              <w:t>3</w:t>
            </w:r>
          </w:p>
        </w:tc>
        <w:tc>
          <w:tcPr>
            <w:tcW w:w="908" w:type="dxa"/>
            <w:shd w:val="clear" w:color="auto" w:fill="FFFFFF" w:themeFill="background1"/>
            <w:vAlign w:val="center"/>
          </w:tcPr>
          <w:p w14:paraId="7F7135D4" w14:textId="7665D252" w:rsidR="00923F18" w:rsidRPr="00B918D0"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i/>
                <w:iCs/>
                <w:sz w:val="20"/>
                <w:szCs w:val="20"/>
                <w:lang w:val="en-US"/>
              </w:rPr>
            </w:pPr>
            <w:r w:rsidRPr="00B918D0">
              <w:rPr>
                <w:rFonts w:ascii="Aptos" w:hAnsi="Aptos"/>
                <w:i/>
                <w:iCs/>
                <w:sz w:val="20"/>
                <w:szCs w:val="20"/>
                <w:lang w:val="en-US"/>
              </w:rPr>
              <w:t>SGCE</w:t>
            </w:r>
          </w:p>
        </w:tc>
        <w:tc>
          <w:tcPr>
            <w:tcW w:w="2946" w:type="dxa"/>
            <w:shd w:val="clear" w:color="auto" w:fill="FFFFFF" w:themeFill="background1"/>
            <w:vAlign w:val="center"/>
          </w:tcPr>
          <w:p w14:paraId="352B0266" w14:textId="0960CD92" w:rsidR="00923F18" w:rsidRPr="00B918D0"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lang w:val="en-US"/>
              </w:rPr>
            </w:pPr>
            <w:r>
              <w:rPr>
                <w:rFonts w:ascii="Aptos" w:hAnsi="Aptos"/>
                <w:sz w:val="18"/>
                <w:szCs w:val="18"/>
                <w:lang w:val="en-US"/>
              </w:rPr>
              <w:t xml:space="preserve">Generalized </w:t>
            </w:r>
            <w:r w:rsidRPr="00F85626">
              <w:rPr>
                <w:rFonts w:ascii="Aptos" w:hAnsi="Aptos"/>
                <w:sz w:val="18"/>
                <w:szCs w:val="18"/>
                <w:lang w:val="en-US"/>
              </w:rPr>
              <w:t xml:space="preserve">myoclonic-dystonia, mainly involving the </w:t>
            </w:r>
            <w:r>
              <w:rPr>
                <w:rFonts w:ascii="Aptos" w:hAnsi="Aptos"/>
                <w:sz w:val="18"/>
                <w:szCs w:val="18"/>
                <w:lang w:val="en-US"/>
              </w:rPr>
              <w:t>cranial-cervical region and</w:t>
            </w:r>
            <w:r w:rsidRPr="00F85626">
              <w:rPr>
                <w:rFonts w:ascii="Aptos" w:hAnsi="Aptos"/>
                <w:sz w:val="18"/>
                <w:szCs w:val="18"/>
                <w:lang w:val="en-US"/>
              </w:rPr>
              <w:t xml:space="preserve"> upper limb</w:t>
            </w:r>
          </w:p>
        </w:tc>
        <w:tc>
          <w:tcPr>
            <w:tcW w:w="2487" w:type="dxa"/>
            <w:shd w:val="clear" w:color="auto" w:fill="FFFFFF" w:themeFill="background1"/>
            <w:vAlign w:val="center"/>
          </w:tcPr>
          <w:p w14:paraId="625C481C"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Pr>
                <w:rFonts w:ascii="Aptos" w:hAnsi="Aptos"/>
                <w:sz w:val="18"/>
                <w:szCs w:val="18"/>
              </w:rPr>
              <w:t xml:space="preserve">Negative. </w:t>
            </w:r>
          </w:p>
          <w:p w14:paraId="4E07CA9C" w14:textId="61BB17EE" w:rsidR="00923F18" w:rsidRPr="00B918D0"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lang w:val="en-US"/>
              </w:rPr>
            </w:pPr>
            <w:r>
              <w:rPr>
                <w:rFonts w:ascii="Aptos" w:hAnsi="Aptos"/>
                <w:sz w:val="18"/>
                <w:szCs w:val="18"/>
              </w:rPr>
              <w:t>Not available segregation analysis</w:t>
            </w:r>
          </w:p>
        </w:tc>
        <w:tc>
          <w:tcPr>
            <w:tcW w:w="1765" w:type="dxa"/>
            <w:shd w:val="clear" w:color="auto" w:fill="FFFFFF" w:themeFill="background1"/>
            <w:vAlign w:val="center"/>
          </w:tcPr>
          <w:p w14:paraId="5065BA09" w14:textId="4806A917" w:rsidR="00923F18" w:rsidRPr="00B918D0"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lang w:val="en-US"/>
              </w:rPr>
            </w:pPr>
            <w:r w:rsidRPr="00B918D0">
              <w:rPr>
                <w:rFonts w:ascii="Aptos" w:hAnsi="Aptos"/>
                <w:sz w:val="20"/>
                <w:szCs w:val="20"/>
                <w:lang w:val="en-US"/>
              </w:rPr>
              <w:t>Not yet described</w:t>
            </w:r>
          </w:p>
        </w:tc>
      </w:tr>
      <w:tr w:rsidR="00923F18" w:rsidRPr="0062618B" w14:paraId="1D4384EC" w14:textId="699ECEFF" w:rsidTr="002A77AE">
        <w:trPr>
          <w:trHeight w:val="125"/>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14D4205B" w14:textId="6191E0A6" w:rsidR="00923F18" w:rsidRPr="00B918D0" w:rsidRDefault="00923F18" w:rsidP="00923F18">
            <w:pPr>
              <w:pStyle w:val="NoSpacing"/>
              <w:ind w:firstLine="0"/>
              <w:jc w:val="center"/>
              <w:rPr>
                <w:rFonts w:ascii="Aptos" w:hAnsi="Aptos" w:cs="Times New Roman"/>
                <w:b w:val="0"/>
                <w:bCs w:val="0"/>
                <w:sz w:val="20"/>
                <w:szCs w:val="20"/>
                <w:lang w:val="en-US"/>
              </w:rPr>
            </w:pPr>
            <w:r w:rsidRPr="00B918D0">
              <w:rPr>
                <w:rFonts w:ascii="Aptos" w:hAnsi="Aptos"/>
                <w:b w:val="0"/>
                <w:bCs w:val="0"/>
                <w:sz w:val="20"/>
                <w:szCs w:val="20"/>
                <w:lang w:val="en-US"/>
              </w:rPr>
              <w:t>Pat</w:t>
            </w:r>
            <w:r w:rsidR="00A22151">
              <w:rPr>
                <w:rFonts w:ascii="Aptos" w:hAnsi="Aptos"/>
                <w:b w:val="0"/>
                <w:bCs w:val="0"/>
                <w:sz w:val="20"/>
                <w:szCs w:val="20"/>
                <w:lang w:val="en-US"/>
              </w:rPr>
              <w:t>4</w:t>
            </w:r>
          </w:p>
        </w:tc>
        <w:tc>
          <w:tcPr>
            <w:tcW w:w="908" w:type="dxa"/>
            <w:shd w:val="clear" w:color="auto" w:fill="FFFFFF" w:themeFill="background1"/>
            <w:vAlign w:val="center"/>
          </w:tcPr>
          <w:p w14:paraId="28EA0299" w14:textId="3B4291E5" w:rsidR="00923F18" w:rsidRPr="00B918D0"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i/>
                <w:iCs/>
                <w:sz w:val="20"/>
                <w:szCs w:val="20"/>
                <w:lang w:val="en-US"/>
              </w:rPr>
            </w:pPr>
            <w:r w:rsidRPr="00B918D0">
              <w:rPr>
                <w:rFonts w:ascii="Aptos" w:hAnsi="Aptos"/>
                <w:i/>
                <w:iCs/>
                <w:sz w:val="20"/>
                <w:szCs w:val="20"/>
                <w:lang w:val="en-US"/>
              </w:rPr>
              <w:t>VPS16</w:t>
            </w:r>
          </w:p>
        </w:tc>
        <w:tc>
          <w:tcPr>
            <w:tcW w:w="2946" w:type="dxa"/>
            <w:shd w:val="clear" w:color="auto" w:fill="FFFFFF" w:themeFill="background1"/>
            <w:vAlign w:val="center"/>
          </w:tcPr>
          <w:p w14:paraId="3472829F" w14:textId="184F63C2" w:rsidR="00923F18" w:rsidRPr="00B918D0"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lang w:val="en-US"/>
              </w:rPr>
            </w:pPr>
            <w:r>
              <w:rPr>
                <w:rFonts w:ascii="Aptos" w:hAnsi="Aptos"/>
                <w:sz w:val="18"/>
                <w:szCs w:val="18"/>
              </w:rPr>
              <w:t>G</w:t>
            </w:r>
            <w:r w:rsidRPr="00E7119C">
              <w:rPr>
                <w:rFonts w:ascii="Aptos" w:hAnsi="Aptos"/>
                <w:sz w:val="18"/>
                <w:szCs w:val="18"/>
              </w:rPr>
              <w:t xml:space="preserve">eneralized tremulous dystonia with </w:t>
            </w:r>
            <w:r>
              <w:rPr>
                <w:rFonts w:ascii="Aptos" w:hAnsi="Aptos"/>
                <w:sz w:val="18"/>
                <w:szCs w:val="18"/>
              </w:rPr>
              <w:t xml:space="preserve">severe </w:t>
            </w:r>
            <w:r w:rsidRPr="00E7119C">
              <w:rPr>
                <w:rFonts w:ascii="Aptos" w:hAnsi="Aptos"/>
                <w:sz w:val="18"/>
                <w:szCs w:val="18"/>
              </w:rPr>
              <w:t xml:space="preserve">jerky </w:t>
            </w:r>
            <w:r>
              <w:rPr>
                <w:rFonts w:ascii="Aptos" w:hAnsi="Aptos"/>
                <w:sz w:val="18"/>
                <w:szCs w:val="18"/>
              </w:rPr>
              <w:t>movement (</w:t>
            </w:r>
            <w:r w:rsidRPr="00E7119C">
              <w:rPr>
                <w:rFonts w:ascii="Aptos" w:hAnsi="Aptos"/>
                <w:sz w:val="18"/>
                <w:szCs w:val="18"/>
              </w:rPr>
              <w:t>left torticollis, right upper limb striatal toe); voice tremor; writer’s cramp with writing tremo</w:t>
            </w:r>
            <w:r>
              <w:rPr>
                <w:rFonts w:ascii="Aptos" w:hAnsi="Aptos"/>
                <w:sz w:val="18"/>
                <w:szCs w:val="18"/>
              </w:rPr>
              <w:t>r</w:t>
            </w:r>
          </w:p>
        </w:tc>
        <w:tc>
          <w:tcPr>
            <w:tcW w:w="2487" w:type="dxa"/>
            <w:shd w:val="clear" w:color="auto" w:fill="FFFFFF" w:themeFill="background1"/>
            <w:vAlign w:val="center"/>
          </w:tcPr>
          <w:p w14:paraId="2809DBD7" w14:textId="38B2BC5B" w:rsidR="00923F18" w:rsidRPr="00B918D0"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lang w:val="en-US"/>
              </w:rPr>
            </w:pPr>
            <w:r>
              <w:rPr>
                <w:rFonts w:ascii="Aptos" w:hAnsi="Aptos"/>
                <w:sz w:val="18"/>
                <w:szCs w:val="18"/>
              </w:rPr>
              <w:t>M</w:t>
            </w:r>
            <w:r w:rsidRPr="0065661F">
              <w:rPr>
                <w:rFonts w:ascii="Aptos" w:hAnsi="Aptos"/>
                <w:sz w:val="18"/>
                <w:szCs w:val="18"/>
              </w:rPr>
              <w:t>aternal inheritance</w:t>
            </w:r>
            <w:r>
              <w:rPr>
                <w:rFonts w:ascii="Aptos" w:hAnsi="Aptos"/>
                <w:sz w:val="18"/>
                <w:szCs w:val="18"/>
              </w:rPr>
              <w:t xml:space="preserve"> (Mother with generalized dystonia and parkinsonism; sibling Pat6)</w:t>
            </w:r>
          </w:p>
        </w:tc>
        <w:tc>
          <w:tcPr>
            <w:tcW w:w="1765" w:type="dxa"/>
            <w:shd w:val="clear" w:color="auto" w:fill="FFFFFF" w:themeFill="background1"/>
            <w:vAlign w:val="center"/>
          </w:tcPr>
          <w:p w14:paraId="06C24EC3" w14:textId="5AFB7914" w:rsidR="00923F18" w:rsidRPr="003C106F"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lang w:val="en-US"/>
              </w:rPr>
            </w:pPr>
            <w:r w:rsidRPr="002A77AE">
              <w:rPr>
                <w:rFonts w:ascii="Aptos" w:hAnsi="Aptos"/>
                <w:sz w:val="20"/>
                <w:szCs w:val="20"/>
                <w:lang w:val="en-US"/>
              </w:rPr>
              <w:t>Monfrini et al.</w:t>
            </w:r>
            <w:r w:rsidRPr="005500F7">
              <w:rPr>
                <w:rFonts w:ascii="Aptos" w:hAnsi="Aptos"/>
                <w:sz w:val="20"/>
                <w:szCs w:val="20"/>
                <w:lang w:val="it-IT"/>
              </w:rPr>
              <w:fldChar w:fldCharType="begin"/>
            </w:r>
            <w:r w:rsidRPr="003C106F">
              <w:rPr>
                <w:rFonts w:ascii="Aptos" w:hAnsi="Aptos"/>
                <w:sz w:val="20"/>
                <w:szCs w:val="20"/>
                <w:lang w:val="en-US"/>
              </w:rPr>
              <w:instrText xml:space="preserve"> ADDIN ZOTERO_ITEM CSL_CITATION {"citationID":"MlBSpKB6","properties":{"formattedCitation":"\\super 91\\nosupersub{}","plainCitation":"91","noteIndex":0},"citationItems":[{"id":650,"uris":["http://zotero.org/users/local/qbj29eOf/items/KLUM9FGW"],"itemData":{"id":650,"type":"article-journal","abstract":"Abstract\n            \n              Background\n              \n                VPS16\n                pathogenic variants have been recently associated with inherited dystonia. Most patients affected by dominant VPS16</w:instrText>
            </w:r>
            <w:r w:rsidRPr="003C106F">
              <w:rPr>
                <w:rFonts w:ascii="Cambria Math" w:hAnsi="Cambria Math" w:cs="Cambria Math"/>
                <w:sz w:val="20"/>
                <w:szCs w:val="20"/>
                <w:lang w:val="en-US"/>
              </w:rPr>
              <w:instrText>‐</w:instrText>
            </w:r>
            <w:r w:rsidRPr="003C106F">
              <w:rPr>
                <w:rFonts w:ascii="Aptos" w:hAnsi="Aptos"/>
                <w:sz w:val="20"/>
                <w:szCs w:val="20"/>
                <w:lang w:val="en-US"/>
              </w:rPr>
              <w:instrText>related disease display early</w:instrText>
            </w:r>
            <w:r w:rsidRPr="003C106F">
              <w:rPr>
                <w:rFonts w:ascii="Cambria Math" w:hAnsi="Cambria Math" w:cs="Cambria Math"/>
                <w:sz w:val="20"/>
                <w:szCs w:val="20"/>
                <w:lang w:val="en-US"/>
              </w:rPr>
              <w:instrText>‐</w:instrText>
            </w:r>
            <w:r w:rsidRPr="003C106F">
              <w:rPr>
                <w:rFonts w:ascii="Aptos" w:hAnsi="Aptos"/>
                <w:sz w:val="20"/>
                <w:szCs w:val="20"/>
                <w:lang w:val="en-US"/>
              </w:rPr>
              <w:instrText xml:space="preserve">onset isolated dystonia with prominent oromandibular, bulbar, cervical, and upper limb involvement, followed by slowly progressive generalization.\n              \n            \n            \n              Cases\n              \n                We describe six newly reported dystonic patients carrying\n                VPS16\n                mutations displaying unusual phenotypic features in addition to dystonia, such as </w:instrText>
            </w:r>
            <w:r w:rsidRPr="002A77AE">
              <w:rPr>
                <w:rFonts w:ascii="Aptos" w:hAnsi="Aptos"/>
                <w:sz w:val="20"/>
                <w:szCs w:val="20"/>
                <w:lang w:val="it-IT"/>
              </w:rPr>
              <w:instrText>myoclonus, choreoathetosis, pharyngospasm and freezing of gait. Response to bilateral Globus Pallidus Internus Deep Brain Stimulation (GPi</w:instrText>
            </w:r>
            <w:r w:rsidRPr="002A77AE">
              <w:rPr>
                <w:rFonts w:ascii="Cambria Math" w:hAnsi="Cambria Math" w:cs="Cambria Math"/>
                <w:sz w:val="20"/>
                <w:szCs w:val="20"/>
                <w:lang w:val="it-IT"/>
              </w:rPr>
              <w:instrText>‐</w:instrText>
            </w:r>
            <w:r w:rsidRPr="002A77AE">
              <w:rPr>
                <w:rFonts w:ascii="Aptos" w:hAnsi="Aptos"/>
                <w:sz w:val="20"/>
                <w:szCs w:val="20"/>
                <w:lang w:val="it-IT"/>
              </w:rPr>
              <w:instrText xml:space="preserve">DBS) is reported in three of them, associated with significant improvement of dystonia but only minor effect on other hyperkinetic movements. Moreover, five novel pathogenic/likely pathogenic variants are described.\n              \n         </w:instrText>
            </w:r>
            <w:r w:rsidRPr="00F40199">
              <w:rPr>
                <w:rFonts w:ascii="Aptos" w:hAnsi="Aptos"/>
                <w:sz w:val="20"/>
                <w:szCs w:val="20"/>
                <w:lang w:val="it-IT"/>
              </w:rPr>
              <w:instrText xml:space="preserve">   \n            \n              Conclusions\n              \n                This case collection expands the genetic and clinical spectrum of\n                VPS16\n                </w:instrText>
            </w:r>
            <w:r w:rsidRPr="00F40199">
              <w:rPr>
                <w:rFonts w:ascii="Cambria Math" w:hAnsi="Cambria Math" w:cs="Cambria Math"/>
                <w:sz w:val="20"/>
                <w:szCs w:val="20"/>
                <w:lang w:val="it-IT"/>
              </w:rPr>
              <w:instrText>‐</w:instrText>
            </w:r>
            <w:r w:rsidRPr="00F40199">
              <w:rPr>
                <w:rFonts w:ascii="Aptos" w:hAnsi="Aptos"/>
                <w:sz w:val="20"/>
                <w:szCs w:val="20"/>
                <w:lang w:val="it-IT"/>
              </w:rPr>
              <w:instrText xml:space="preserve">related disease, prompting movement disorder specialists to suspect mutations </w:instrText>
            </w:r>
            <w:r w:rsidRPr="003C106F">
              <w:rPr>
                <w:rFonts w:ascii="Aptos" w:hAnsi="Aptos"/>
                <w:sz w:val="20"/>
                <w:szCs w:val="20"/>
                <w:lang w:val="en-US"/>
              </w:rPr>
              <w:instrText xml:space="preserve">of this gene not only in patients with isolated dystonia.","container-title":"Movement Disorders Clinical Practice","DOI":"10.1002/mdc3.13927","ISSN":"2330-1619, 2330-1619","issue":"1","journalAbbreviation":"Movement Disord Clin Pract","language":"en","page":"87-93","source":"DOI.org (Crossref)","title":"Dominant &lt;span style=\"font-variant:small-caps;\"&gt; &lt;i&gt;VPS16&lt;/i&gt; &lt;/span&gt; Pathogenic Variants: Not Only Isolated Dystonia","title-short":"Dominant &lt;span style=\"font-variant","volume":"11","author":[{"family":"Monfrini","given":"Edoardo"},{"family":"Avanzino","given":"Laura"},{"family":"Palermo","given":"Giovanni"},{"family":"Bonato","given":"Giulia"},{"family":"Brescia","given":"Gloria"},{"family":"Ceravolo","given":"Roberto"},{"family":"Cantarella","given":"Giovanna"},{"family":"Mandich","given":"Paola"},{"family":"Prokisch","given":"Holger"},{"family":"Storm Van'S Gravesande","given":"Karin"},{"family":"Straccia","given":"Giulia"},{"family":"Elia","given":"Antonio"},{"family":"Reale","given":"Chiara"},{"family":"Panteghini","given":"Celeste"},{"family":"Zorzi","given":"Giovanna"},{"family":"Eleopra","given":"Roberto"},{"family":"Erro","given":"Roberto"},{"family":"Carecchio","given":"Miryam"},{"family":"Garavaglia","given":"Barbara"},{"family":"Zech","given":"Michael"},{"family":"Romito","given":"Luigi"},{"family":"Di Fonzo","given":"Alessio"}],"issued":{"date-parts":[["2024",1]]}}}],"schema":"https://github.com/citation-style-language/schema/raw/master/csl-citation.json"} </w:instrText>
            </w:r>
            <w:r w:rsidRPr="005500F7">
              <w:rPr>
                <w:rFonts w:ascii="Aptos" w:hAnsi="Aptos"/>
                <w:sz w:val="20"/>
                <w:szCs w:val="20"/>
                <w:lang w:val="it-IT"/>
              </w:rPr>
              <w:fldChar w:fldCharType="separate"/>
            </w:r>
            <w:r w:rsidRPr="003C106F">
              <w:rPr>
                <w:rFonts w:ascii="Aptos" w:hAnsi="Aptos" w:cs="Times New Roman"/>
                <w:sz w:val="20"/>
                <w:szCs w:val="20"/>
                <w:vertAlign w:val="superscript"/>
                <w:lang w:val="en-US"/>
              </w:rPr>
              <w:t>91</w:t>
            </w:r>
            <w:r w:rsidRPr="005500F7">
              <w:rPr>
                <w:rFonts w:ascii="Aptos" w:hAnsi="Aptos"/>
                <w:sz w:val="20"/>
                <w:szCs w:val="20"/>
                <w:lang w:val="it-IT"/>
              </w:rPr>
              <w:fldChar w:fldCharType="end"/>
            </w:r>
          </w:p>
          <w:p w14:paraId="0C7803C7" w14:textId="67544F6D" w:rsidR="00923F18" w:rsidRPr="003C106F"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lang w:val="en-US"/>
              </w:rPr>
            </w:pPr>
            <w:r w:rsidRPr="003C106F">
              <w:rPr>
                <w:rFonts w:ascii="Aptos" w:hAnsi="Aptos"/>
                <w:sz w:val="20"/>
                <w:szCs w:val="20"/>
                <w:lang w:val="en-US"/>
              </w:rPr>
              <w:t>(patient C.II.1)</w:t>
            </w:r>
          </w:p>
        </w:tc>
      </w:tr>
      <w:tr w:rsidR="00923F18" w:rsidRPr="0062618B" w14:paraId="3045ADDA" w14:textId="7335956C" w:rsidTr="003C1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424F25F4" w14:textId="3BF0AF59" w:rsidR="00923F18" w:rsidRPr="005500F7" w:rsidRDefault="00923F18"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w:t>
            </w:r>
            <w:r w:rsidR="00A22151">
              <w:rPr>
                <w:rFonts w:ascii="Aptos" w:hAnsi="Aptos"/>
                <w:b w:val="0"/>
                <w:bCs w:val="0"/>
                <w:sz w:val="20"/>
                <w:szCs w:val="20"/>
              </w:rPr>
              <w:t>5</w:t>
            </w:r>
          </w:p>
        </w:tc>
        <w:tc>
          <w:tcPr>
            <w:tcW w:w="908" w:type="dxa"/>
            <w:shd w:val="clear" w:color="auto" w:fill="FFFFFF" w:themeFill="background1"/>
            <w:vAlign w:val="center"/>
          </w:tcPr>
          <w:p w14:paraId="716FE1C5" w14:textId="03E3CCA5"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i/>
                <w:iCs/>
                <w:sz w:val="20"/>
                <w:szCs w:val="20"/>
              </w:rPr>
            </w:pPr>
            <w:r w:rsidRPr="00264446">
              <w:rPr>
                <w:rFonts w:ascii="Aptos" w:hAnsi="Aptos"/>
                <w:i/>
                <w:iCs/>
                <w:sz w:val="20"/>
                <w:szCs w:val="20"/>
              </w:rPr>
              <w:t>VPS16</w:t>
            </w:r>
          </w:p>
        </w:tc>
        <w:tc>
          <w:tcPr>
            <w:tcW w:w="2946" w:type="dxa"/>
            <w:shd w:val="clear" w:color="auto" w:fill="FFFFFF" w:themeFill="background1"/>
            <w:vAlign w:val="center"/>
          </w:tcPr>
          <w:p w14:paraId="6C35447D" w14:textId="17C002F4"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sidRPr="003C106F">
              <w:rPr>
                <w:rFonts w:ascii="Aptos" w:hAnsi="Aptos"/>
                <w:sz w:val="18"/>
                <w:szCs w:val="18"/>
                <w:lang w:val="en-US"/>
              </w:rPr>
              <w:t xml:space="preserve">Cranial-cervical involvement with dysphonia, dystonic dysarthria, and writer’s cramp </w:t>
            </w:r>
          </w:p>
        </w:tc>
        <w:tc>
          <w:tcPr>
            <w:tcW w:w="2487" w:type="dxa"/>
            <w:shd w:val="clear" w:color="auto" w:fill="FFFFFF" w:themeFill="background1"/>
            <w:vAlign w:val="center"/>
          </w:tcPr>
          <w:p w14:paraId="52916E6A" w14:textId="3C3DFBA5"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sidRPr="003C106F">
              <w:rPr>
                <w:rFonts w:ascii="Aptos" w:hAnsi="Aptos"/>
                <w:sz w:val="18"/>
                <w:szCs w:val="18"/>
                <w:lang w:val="en-US"/>
              </w:rPr>
              <w:t xml:space="preserve">Maternal inheritance (Mother with generalized dystonia and parkinsonism; </w:t>
            </w:r>
            <w:r>
              <w:rPr>
                <w:rFonts w:ascii="Aptos" w:hAnsi="Aptos"/>
                <w:sz w:val="18"/>
                <w:szCs w:val="18"/>
                <w:lang w:val="en-US"/>
              </w:rPr>
              <w:t>sibling</w:t>
            </w:r>
            <w:r w:rsidRPr="003C106F">
              <w:rPr>
                <w:rFonts w:ascii="Aptos" w:hAnsi="Aptos"/>
                <w:sz w:val="18"/>
                <w:szCs w:val="18"/>
                <w:lang w:val="en-US"/>
              </w:rPr>
              <w:t xml:space="preserve"> Pat5)</w:t>
            </w:r>
          </w:p>
        </w:tc>
        <w:tc>
          <w:tcPr>
            <w:tcW w:w="1765" w:type="dxa"/>
            <w:shd w:val="clear" w:color="auto" w:fill="FFFFFF" w:themeFill="background1"/>
            <w:vAlign w:val="center"/>
          </w:tcPr>
          <w:p w14:paraId="648FA2AA" w14:textId="3434AC48" w:rsidR="00923F18" w:rsidRPr="003C106F"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lang w:val="en-US"/>
              </w:rPr>
            </w:pPr>
            <w:r w:rsidRPr="003C106F">
              <w:rPr>
                <w:rFonts w:ascii="Aptos" w:hAnsi="Aptos"/>
                <w:sz w:val="20"/>
                <w:szCs w:val="20"/>
                <w:lang w:val="en-US"/>
              </w:rPr>
              <w:t>Monfrini et al.</w:t>
            </w:r>
            <w:r w:rsidRPr="005500F7">
              <w:rPr>
                <w:rFonts w:ascii="Aptos" w:hAnsi="Aptos"/>
                <w:sz w:val="20"/>
                <w:szCs w:val="20"/>
                <w:lang w:val="it-IT"/>
              </w:rPr>
              <w:fldChar w:fldCharType="begin"/>
            </w:r>
            <w:r w:rsidRPr="003C106F">
              <w:rPr>
                <w:rFonts w:ascii="Aptos" w:hAnsi="Aptos"/>
                <w:sz w:val="20"/>
                <w:szCs w:val="20"/>
                <w:lang w:val="en-US"/>
              </w:rPr>
              <w:instrText xml:space="preserve"> ADDIN ZOTERO_ITEM CSL_CITATION {"citationID":"x4rHSQTP","properties":{"formattedCitation":"\\super 91\\nosupersub{}","plainCitation":"91","noteIndex":0},"citationItems":[{"id":650,"uris":["http://zotero.org/users/local/qbj29eOf/items/KLUM9FGW"],"itemData":{"id":650,"type":"article-journal","abstract":"Abstract\n            \n              Background\n              \n                VPS16\n                pathogenic variants have been recently associated with inherited dystonia. Most patients affected by dominant VPS16</w:instrText>
            </w:r>
            <w:r w:rsidRPr="003C106F">
              <w:rPr>
                <w:rFonts w:ascii="Cambria Math" w:hAnsi="Cambria Math" w:cs="Cambria Math"/>
                <w:sz w:val="20"/>
                <w:szCs w:val="20"/>
                <w:lang w:val="en-US"/>
              </w:rPr>
              <w:instrText>‐</w:instrText>
            </w:r>
            <w:r w:rsidRPr="003C106F">
              <w:rPr>
                <w:rFonts w:ascii="Aptos" w:hAnsi="Aptos"/>
                <w:sz w:val="20"/>
                <w:szCs w:val="20"/>
                <w:lang w:val="en-US"/>
              </w:rPr>
              <w:instrText>related disease display early</w:instrText>
            </w:r>
            <w:r w:rsidRPr="003C106F">
              <w:rPr>
                <w:rFonts w:ascii="Cambria Math" w:hAnsi="Cambria Math" w:cs="Cambria Math"/>
                <w:sz w:val="20"/>
                <w:szCs w:val="20"/>
                <w:lang w:val="en-US"/>
              </w:rPr>
              <w:instrText>‐</w:instrText>
            </w:r>
            <w:r w:rsidRPr="003C106F">
              <w:rPr>
                <w:rFonts w:ascii="Aptos" w:hAnsi="Aptos"/>
                <w:sz w:val="20"/>
                <w:szCs w:val="20"/>
                <w:lang w:val="en-US"/>
              </w:rPr>
              <w:instrText>onset isolated dystonia with prominent oromandibular, bulbar, cervical, and upper limb involvement, followed by slowly progressive generalization.\n              \n            \n            \n              Cases\n              \n                We describe six newly reported dystonic patients carrying\n                VPS16\n                mutations displaying unusual phenotypic features in addition to dystonia, such as myoclonus, choreoathetosis, pharyngospasm and freezing of gait. Response to bilateral Globus Pallidus Internus Deep Brain Stimulation (GPi</w:instrText>
            </w:r>
            <w:r w:rsidRPr="003C106F">
              <w:rPr>
                <w:rFonts w:ascii="Cambria Math" w:hAnsi="Cambria Math" w:cs="Cambria Math"/>
                <w:sz w:val="20"/>
                <w:szCs w:val="20"/>
                <w:lang w:val="en-US"/>
              </w:rPr>
              <w:instrText>‐</w:instrText>
            </w:r>
            <w:r w:rsidRPr="003C106F">
              <w:rPr>
                <w:rFonts w:ascii="Aptos" w:hAnsi="Aptos"/>
                <w:sz w:val="20"/>
                <w:szCs w:val="20"/>
                <w:lang w:val="en-US"/>
              </w:rPr>
              <w:instrText>DBS) is reported in three of them, associated with significant improvement of dystonia but only minor effect on other hyperkin</w:instrText>
            </w:r>
            <w:r w:rsidRPr="0062618B">
              <w:rPr>
                <w:rFonts w:ascii="Aptos" w:hAnsi="Aptos"/>
                <w:sz w:val="20"/>
                <w:szCs w:val="20"/>
                <w:lang w:val="it-IT"/>
              </w:rPr>
              <w:instrText>e</w:instrText>
            </w:r>
            <w:r w:rsidRPr="005500F7">
              <w:rPr>
                <w:rFonts w:ascii="Aptos" w:hAnsi="Aptos"/>
                <w:sz w:val="20"/>
                <w:szCs w:val="20"/>
                <w:lang w:val="it-IT"/>
              </w:rPr>
              <w:instrText xml:space="preserve">tic movements. Moreover, five novel pathogenic/likely pathogenic variants are described.\n              \n            \n            \n              Conclusions\n              \n                This case collection expands the genetic and clinical spectrum of\n                VPS16\n                </w:instrText>
            </w:r>
            <w:r w:rsidRPr="005500F7">
              <w:rPr>
                <w:rFonts w:ascii="Cambria Math" w:hAnsi="Cambria Math" w:cs="Cambria Math"/>
                <w:sz w:val="20"/>
                <w:szCs w:val="20"/>
                <w:lang w:val="it-IT"/>
              </w:rPr>
              <w:instrText>‐</w:instrText>
            </w:r>
            <w:r w:rsidRPr="005500F7">
              <w:rPr>
                <w:rFonts w:ascii="Aptos" w:hAnsi="Aptos"/>
                <w:sz w:val="20"/>
                <w:szCs w:val="20"/>
                <w:lang w:val="it-IT"/>
              </w:rPr>
              <w:instrText xml:space="preserve">related disease, prompting movement disorder specialists to suspect mutations </w:instrText>
            </w:r>
            <w:r w:rsidRPr="003C106F">
              <w:rPr>
                <w:rFonts w:ascii="Aptos" w:hAnsi="Aptos"/>
                <w:sz w:val="20"/>
                <w:szCs w:val="20"/>
                <w:lang w:val="en-US"/>
              </w:rPr>
              <w:instrText xml:space="preserve">of this gene not only in patients with isolated dystonia.","container-title":"Movement Disorders Clinical Practice","DOI":"10.1002/mdc3.13927","ISSN":"2330-1619, 2330-1619","issue":"1","journalAbbreviation":"Movement Disord Clin Pract","language":"en","page":"87-93","source":"DOI.org (Crossref)","title":"Dominant &lt;span style=\"font-variant:small-caps;\"&gt; &lt;i&gt;VPS16&lt;/i&gt; &lt;/span&gt; Pathogenic Variants: Not Only Isolated Dystonia","title-short":"Dominant &lt;span style=\"font-variant","volume":"11","author":[{"family":"Monfrini","given":"Edoardo"},{"family":"Avanzino","given":"Laura"},{"family":"Palermo","given":"Giovanni"},{"family":"Bonato","given":"Giulia"},{"family":"Brescia","given":"Gloria"},{"family":"Ceravolo","given":"Roberto"},{"family":"Cantarella","given":"Giovanna"},{"family":"Mandich","given":"Paola"},{"family":"Prokisch","given":"Holger"},{"family":"Storm Van'S Gravesande","given":"Karin"},{"family":"Straccia","given":"Giulia"},{"family":"Elia","given":"Antonio"},{"family":"Reale","given":"Chiara"},{"family":"Panteghini","given":"Celeste"},{"family":"Zorzi","given":"Giovanna"},{"family":"Eleopra","given":"Roberto"},{"family":"Erro","given":"Roberto"},{"family":"Carecchio","given":"Miryam"},{"family":"Garavaglia","given":"Barbara"},{"family":"Zech","given":"Michael"},{"family":"Romito","given":"Luigi"},{"family":"Di Fonzo","given":"Alessio"}],"issued":{"date-parts":[["2024",1]]}}}],"schema":"https://github.com/citation-style-language/schema/raw/master/csl-citation.json"} </w:instrText>
            </w:r>
            <w:r w:rsidRPr="005500F7">
              <w:rPr>
                <w:rFonts w:ascii="Aptos" w:hAnsi="Aptos"/>
                <w:sz w:val="20"/>
                <w:szCs w:val="20"/>
                <w:lang w:val="it-IT"/>
              </w:rPr>
              <w:fldChar w:fldCharType="separate"/>
            </w:r>
            <w:r w:rsidRPr="003C106F">
              <w:rPr>
                <w:rFonts w:ascii="Aptos" w:hAnsi="Aptos" w:cs="Times New Roman"/>
                <w:sz w:val="20"/>
                <w:szCs w:val="20"/>
                <w:vertAlign w:val="superscript"/>
                <w:lang w:val="en-US"/>
              </w:rPr>
              <w:t>91</w:t>
            </w:r>
            <w:r w:rsidRPr="005500F7">
              <w:rPr>
                <w:rFonts w:ascii="Aptos" w:hAnsi="Aptos"/>
                <w:sz w:val="20"/>
                <w:szCs w:val="20"/>
                <w:lang w:val="it-IT"/>
              </w:rPr>
              <w:fldChar w:fldCharType="end"/>
            </w:r>
          </w:p>
          <w:p w14:paraId="69B24FE9" w14:textId="75604366" w:rsidR="00923F18" w:rsidRPr="003C106F"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lang w:val="en-US"/>
              </w:rPr>
            </w:pPr>
            <w:r w:rsidRPr="003C106F">
              <w:rPr>
                <w:rFonts w:ascii="Aptos" w:hAnsi="Aptos"/>
                <w:sz w:val="20"/>
                <w:szCs w:val="20"/>
                <w:lang w:val="en-US"/>
              </w:rPr>
              <w:t>(patient C.II.2)</w:t>
            </w:r>
          </w:p>
        </w:tc>
      </w:tr>
      <w:tr w:rsidR="00923F18" w:rsidRPr="005500F7" w14:paraId="04A828E8" w14:textId="78B08B43" w:rsidTr="003C106F">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7C2B59C3" w14:textId="30EBBAD7" w:rsidR="00923F18" w:rsidRPr="003C106F" w:rsidRDefault="00923F18" w:rsidP="00923F18">
            <w:pPr>
              <w:pStyle w:val="NoSpacing"/>
              <w:ind w:firstLine="0"/>
              <w:jc w:val="center"/>
              <w:rPr>
                <w:rFonts w:ascii="Aptos" w:hAnsi="Aptos" w:cs="Times New Roman"/>
                <w:b w:val="0"/>
                <w:bCs w:val="0"/>
                <w:sz w:val="20"/>
                <w:szCs w:val="20"/>
                <w:lang w:val="en-US"/>
              </w:rPr>
            </w:pPr>
            <w:r w:rsidRPr="003C106F">
              <w:rPr>
                <w:rFonts w:ascii="Aptos" w:hAnsi="Aptos"/>
                <w:b w:val="0"/>
                <w:bCs w:val="0"/>
                <w:sz w:val="20"/>
                <w:szCs w:val="20"/>
                <w:lang w:val="en-US"/>
              </w:rPr>
              <w:t>Pat</w:t>
            </w:r>
            <w:r w:rsidR="00A22151" w:rsidRPr="003C106F">
              <w:rPr>
                <w:rFonts w:ascii="Aptos" w:hAnsi="Aptos"/>
                <w:b w:val="0"/>
                <w:bCs w:val="0"/>
                <w:sz w:val="20"/>
                <w:szCs w:val="20"/>
                <w:lang w:val="en-US"/>
              </w:rPr>
              <w:t>6</w:t>
            </w:r>
          </w:p>
        </w:tc>
        <w:tc>
          <w:tcPr>
            <w:tcW w:w="908" w:type="dxa"/>
            <w:shd w:val="clear" w:color="auto" w:fill="FFFFFF" w:themeFill="background1"/>
            <w:vAlign w:val="center"/>
          </w:tcPr>
          <w:p w14:paraId="261F7851" w14:textId="552E903C" w:rsidR="00923F18" w:rsidRPr="003C106F"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i/>
                <w:iCs/>
                <w:sz w:val="20"/>
                <w:szCs w:val="20"/>
                <w:lang w:val="en-US"/>
              </w:rPr>
            </w:pPr>
            <w:r w:rsidRPr="003C106F">
              <w:rPr>
                <w:rFonts w:ascii="Aptos" w:hAnsi="Aptos"/>
                <w:i/>
                <w:iCs/>
                <w:sz w:val="20"/>
                <w:szCs w:val="20"/>
                <w:lang w:val="en-US"/>
              </w:rPr>
              <w:t>AOPEP</w:t>
            </w:r>
          </w:p>
        </w:tc>
        <w:tc>
          <w:tcPr>
            <w:tcW w:w="2946" w:type="dxa"/>
            <w:shd w:val="clear" w:color="auto" w:fill="FFFFFF" w:themeFill="background1"/>
            <w:vAlign w:val="center"/>
          </w:tcPr>
          <w:p w14:paraId="20577340" w14:textId="5E6B9209" w:rsidR="00923F18" w:rsidRPr="003C106F"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lang w:val="en-US"/>
              </w:rPr>
            </w:pPr>
            <w:r>
              <w:rPr>
                <w:rFonts w:ascii="Aptos" w:hAnsi="Aptos"/>
                <w:sz w:val="18"/>
                <w:szCs w:val="18"/>
              </w:rPr>
              <w:t>G</w:t>
            </w:r>
            <w:r w:rsidRPr="0065661F">
              <w:rPr>
                <w:rFonts w:ascii="Aptos" w:hAnsi="Aptos"/>
                <w:sz w:val="18"/>
                <w:szCs w:val="18"/>
              </w:rPr>
              <w:t xml:space="preserve">eneralized dystonia </w:t>
            </w:r>
            <w:r>
              <w:rPr>
                <w:rFonts w:ascii="Aptos" w:hAnsi="Aptos"/>
                <w:sz w:val="18"/>
                <w:szCs w:val="18"/>
              </w:rPr>
              <w:t>with axial parkinsonism</w:t>
            </w:r>
          </w:p>
        </w:tc>
        <w:tc>
          <w:tcPr>
            <w:tcW w:w="2487" w:type="dxa"/>
            <w:shd w:val="clear" w:color="auto" w:fill="FFFFFF" w:themeFill="background1"/>
            <w:vAlign w:val="center"/>
          </w:tcPr>
          <w:p w14:paraId="55ED1E17" w14:textId="5FCE4B7E" w:rsidR="00923F18" w:rsidRPr="003C106F"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lang w:val="en-US"/>
              </w:rPr>
            </w:pPr>
            <w:r>
              <w:rPr>
                <w:rFonts w:ascii="Aptos" w:hAnsi="Aptos"/>
                <w:sz w:val="18"/>
                <w:szCs w:val="18"/>
              </w:rPr>
              <w:t>M</w:t>
            </w:r>
            <w:r w:rsidRPr="0065661F">
              <w:rPr>
                <w:rFonts w:ascii="Aptos" w:hAnsi="Aptos"/>
                <w:sz w:val="18"/>
                <w:szCs w:val="18"/>
              </w:rPr>
              <w:t>aternal inheritance</w:t>
            </w:r>
            <w:r>
              <w:rPr>
                <w:rFonts w:ascii="Aptos" w:hAnsi="Aptos"/>
                <w:sz w:val="18"/>
                <w:szCs w:val="18"/>
              </w:rPr>
              <w:t xml:space="preserve"> (Mother healthy heterozygosis carrier)</w:t>
            </w:r>
          </w:p>
        </w:tc>
        <w:tc>
          <w:tcPr>
            <w:tcW w:w="1765" w:type="dxa"/>
            <w:shd w:val="clear" w:color="auto" w:fill="FFFFFF" w:themeFill="background1"/>
            <w:vAlign w:val="center"/>
          </w:tcPr>
          <w:p w14:paraId="2470F122" w14:textId="63D92B03"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lang w:val="it-IT"/>
              </w:rPr>
            </w:pPr>
            <w:r w:rsidRPr="003C106F">
              <w:rPr>
                <w:rFonts w:ascii="Aptos" w:hAnsi="Aptos"/>
                <w:sz w:val="20"/>
                <w:szCs w:val="20"/>
                <w:lang w:val="en-US"/>
              </w:rPr>
              <w:t>Garavaglia et al.</w:t>
            </w:r>
            <w:r w:rsidRPr="005500F7">
              <w:rPr>
                <w:rFonts w:ascii="Aptos" w:hAnsi="Aptos"/>
                <w:sz w:val="20"/>
                <w:szCs w:val="20"/>
              </w:rPr>
              <w:fldChar w:fldCharType="begin"/>
            </w:r>
            <w:r w:rsidRPr="003C106F">
              <w:rPr>
                <w:rFonts w:ascii="Aptos" w:hAnsi="Aptos"/>
                <w:sz w:val="20"/>
                <w:szCs w:val="20"/>
                <w:lang w:val="en-US"/>
              </w:rPr>
              <w:instrText xml:space="preserve"> ADDIN ZOTERO_ITEM CSL_CITATION {"citationID":"0QYnVFyE","properties":{"formattedCitation":"\\super 92\\nosupersub{}","plainCitation":"92","noteIndex":0},"citationItems":[{"id":652,"uris":["http://zotero.org/users/local/qbj29eOf/items/6BMAFNSX"],"itemData":{"id":652,"type":"article-journal","container-title":"Parkinsonism &amp; Related Disorders","DOI":"10.1016/j.parkreldis.2022.03.007","ISSN":"13538020","journalAbbreviation":"Parkinsonism &amp; Related Disorders","language":"en","page":"52-56","source":"DOI.org (Crossref)","title":"AOPEP variants as a novel cause of recessive dystonia: Generalized dystonia and dystonia-parkinsonism","title-short":"AOPEP variants as a novel cause of recessive dystonia","volume":"97","author":[{"family":"Garavaglia","given":"Barbara"},{"family":"Vallian","given":"Sadeq"},{"family":"Romito","given":"Luigi M."},{"family":"Straccia","given":"Giulia"},{"family":"Capecci","given":"Marianna"},{"family":"Invernizzi","given":"Federica"},{"family":"Andrenelli","given":"Elisa"},{"family":"Kazemi","given":"Arezu"},{"family":"Boesch","given":"Sylvia"},{"family":"Kopajtich","given":"Robert"},{"family":"Olfati","given":"Nahid"},{"family":"Shariati","given":"Mohammad"},{"family":"Shoeibi","given":"Ali"},{"family":"Sadr-Nabavi","given":"Ariane"},{"family":"Prokisch","given":"H</w:instrText>
            </w:r>
            <w:r w:rsidRPr="005500F7">
              <w:rPr>
                <w:rFonts w:ascii="Aptos" w:hAnsi="Aptos"/>
                <w:sz w:val="20"/>
                <w:szCs w:val="20"/>
                <w:lang w:val="it-IT"/>
              </w:rPr>
              <w:instrText xml:space="preserve">olger"},{"family":"Winkelmann","given":"Juliane"},{"family":"Zech","given":"Michael"}],"issued":{"date-parts":[["2022",4]]}}}],"schema":"https://github.com/citation-style-language/schema/raw/master/csl-citation.json"} </w:instrText>
            </w:r>
            <w:r w:rsidRPr="005500F7">
              <w:rPr>
                <w:rFonts w:ascii="Aptos" w:hAnsi="Aptos"/>
                <w:sz w:val="20"/>
                <w:szCs w:val="20"/>
              </w:rPr>
              <w:fldChar w:fldCharType="separate"/>
            </w:r>
            <w:r w:rsidRPr="005500F7">
              <w:rPr>
                <w:rFonts w:ascii="Aptos" w:hAnsi="Aptos" w:cs="Times New Roman"/>
                <w:sz w:val="20"/>
                <w:szCs w:val="20"/>
                <w:vertAlign w:val="superscript"/>
              </w:rPr>
              <w:t>92</w:t>
            </w:r>
            <w:r w:rsidRPr="005500F7">
              <w:rPr>
                <w:rFonts w:ascii="Aptos" w:hAnsi="Aptos"/>
                <w:sz w:val="20"/>
                <w:szCs w:val="20"/>
              </w:rPr>
              <w:fldChar w:fldCharType="end"/>
            </w:r>
            <w:r w:rsidRPr="005500F7">
              <w:rPr>
                <w:rFonts w:ascii="Aptos" w:hAnsi="Aptos"/>
                <w:sz w:val="20"/>
                <w:szCs w:val="20"/>
                <w:lang w:val="it-IT"/>
              </w:rPr>
              <w:t xml:space="preserve"> </w:t>
            </w:r>
          </w:p>
          <w:p w14:paraId="27DB7F94" w14:textId="6072854E"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lang w:val="it-IT"/>
              </w:rPr>
            </w:pPr>
            <w:r w:rsidRPr="005500F7">
              <w:rPr>
                <w:rFonts w:ascii="Aptos" w:hAnsi="Aptos"/>
                <w:sz w:val="20"/>
                <w:szCs w:val="20"/>
                <w:lang w:val="it-IT"/>
              </w:rPr>
              <w:t>(Patient III.6 family 2)</w:t>
            </w:r>
          </w:p>
        </w:tc>
      </w:tr>
      <w:tr w:rsidR="00923F18" w:rsidRPr="005500F7" w14:paraId="7062BCF8" w14:textId="2ABA1C85" w:rsidTr="003C1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423609DF" w14:textId="08331404" w:rsidR="00923F18" w:rsidRPr="005500F7" w:rsidRDefault="00923F18"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w:t>
            </w:r>
            <w:r w:rsidR="00A22151">
              <w:rPr>
                <w:rFonts w:ascii="Aptos" w:hAnsi="Aptos"/>
                <w:b w:val="0"/>
                <w:bCs w:val="0"/>
                <w:sz w:val="20"/>
                <w:szCs w:val="20"/>
              </w:rPr>
              <w:t>7</w:t>
            </w:r>
          </w:p>
        </w:tc>
        <w:tc>
          <w:tcPr>
            <w:tcW w:w="908" w:type="dxa"/>
            <w:shd w:val="clear" w:color="auto" w:fill="FFFFFF" w:themeFill="background1"/>
            <w:vAlign w:val="center"/>
          </w:tcPr>
          <w:p w14:paraId="2E2595B1" w14:textId="766033C5"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i/>
                <w:iCs/>
                <w:sz w:val="20"/>
                <w:szCs w:val="20"/>
              </w:rPr>
            </w:pPr>
            <w:r w:rsidRPr="00264446">
              <w:rPr>
                <w:rFonts w:ascii="Aptos" w:hAnsi="Aptos"/>
                <w:i/>
                <w:iCs/>
                <w:sz w:val="20"/>
                <w:szCs w:val="20"/>
              </w:rPr>
              <w:t>SGCE</w:t>
            </w:r>
          </w:p>
        </w:tc>
        <w:tc>
          <w:tcPr>
            <w:tcW w:w="2946" w:type="dxa"/>
            <w:shd w:val="clear" w:color="auto" w:fill="FFFFFF" w:themeFill="background1"/>
            <w:vAlign w:val="center"/>
          </w:tcPr>
          <w:p w14:paraId="72EC6D6E" w14:textId="2A939EDE"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Pr>
                <w:rFonts w:ascii="Aptos" w:hAnsi="Aptos"/>
                <w:sz w:val="18"/>
                <w:szCs w:val="18"/>
              </w:rPr>
              <w:t xml:space="preserve">Myoclonus dystonia with axial distribution, mainly proximal upper limb and head </w:t>
            </w:r>
          </w:p>
        </w:tc>
        <w:tc>
          <w:tcPr>
            <w:tcW w:w="2487" w:type="dxa"/>
            <w:shd w:val="clear" w:color="auto" w:fill="FFFFFF" w:themeFill="background1"/>
            <w:vAlign w:val="center"/>
          </w:tcPr>
          <w:p w14:paraId="483A60BD"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Pr>
                <w:rFonts w:ascii="Aptos" w:hAnsi="Aptos"/>
                <w:sz w:val="18"/>
                <w:szCs w:val="18"/>
              </w:rPr>
              <w:t xml:space="preserve">Negative. </w:t>
            </w:r>
          </w:p>
          <w:p w14:paraId="732F15C3" w14:textId="1C6BFD68"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Pr>
                <w:rFonts w:ascii="Aptos" w:hAnsi="Aptos"/>
                <w:sz w:val="18"/>
                <w:szCs w:val="18"/>
              </w:rPr>
              <w:t>Not available segregation analysis</w:t>
            </w:r>
          </w:p>
        </w:tc>
        <w:tc>
          <w:tcPr>
            <w:tcW w:w="1765" w:type="dxa"/>
            <w:shd w:val="clear" w:color="auto" w:fill="FFFFFF" w:themeFill="background1"/>
            <w:vAlign w:val="center"/>
          </w:tcPr>
          <w:p w14:paraId="7390176A" w14:textId="44D6C798"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First described by</w:t>
            </w:r>
          </w:p>
          <w:p w14:paraId="40E4E64B" w14:textId="18D29BC0"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sidRPr="00FF4210">
              <w:rPr>
                <w:rFonts w:ascii="Aptos" w:hAnsi="Aptos"/>
                <w:sz w:val="20"/>
                <w:szCs w:val="20"/>
              </w:rPr>
              <w:t>Hess et al.</w:t>
            </w:r>
            <w:r w:rsidRPr="00FF4210">
              <w:rPr>
                <w:rFonts w:ascii="Aptos" w:hAnsi="Aptos"/>
                <w:sz w:val="20"/>
                <w:szCs w:val="20"/>
              </w:rPr>
              <w:fldChar w:fldCharType="begin"/>
            </w:r>
            <w:r w:rsidRPr="00FF4210">
              <w:rPr>
                <w:rFonts w:ascii="Aptos" w:hAnsi="Aptos"/>
                <w:sz w:val="20"/>
                <w:szCs w:val="20"/>
              </w:rPr>
              <w:instrText xml:space="preserve"> ADDIN ZOTERO_ITEM CSL_CITATION {"citationID":"X3sXHkHW","properties":{"formattedCitation":"\\super 93\\nosupersub{}","plainCitation":"93","noteIndex":0},"citationItems":[{"id":817,"uris":["http://zotero.org/users/local/qbj29eOf/items/5F8ZA97C"],"itemData":{"id":817,"type":"article-journal","container-title":"Neurology","DOI":"10.1212/01.wnl.0000253188.76092.06","ISSN":"0028-3878, 1526-632X","issue":"7","language":"en","note":"publisher: Ovid Technologies (Wolters Kluwer Health)","page":"522-524","source":"Crossref","title":"Myoclonus-dystonia, obsessive-compulsive disorder, and alcohol dependence in            &lt;i&gt;SGCE&lt;/i&gt;            mutation carriers","volume":"68","author":[{"family":"Hess","given":"C. W."},{"family":"Raymond","given":"D."},{"family":"Aguiar","given":"P. De Carvalho"},{"family":"Frucht","given":"S."},{"family":"Shriberg","given":"J."},{"family":"Heiman","given":"G. A."},{"family":"Kurlan","given":"R."},{"family":"Klein","given":"C."},{"family":"Bressman","given":"S. B."},{"family":"Ozelius","given":"L. J."},{"family":"Saunders-Pullman","given":"R."}],"issued":{"date-parts":[["2007",2,13]]}}}],"schema":"https://github.com/citation-style-language/schema/raw/master/csl-citation.json"} </w:instrText>
            </w:r>
            <w:r w:rsidRPr="00FF4210">
              <w:rPr>
                <w:rFonts w:ascii="Aptos" w:hAnsi="Aptos"/>
                <w:sz w:val="20"/>
                <w:szCs w:val="20"/>
              </w:rPr>
              <w:fldChar w:fldCharType="separate"/>
            </w:r>
            <w:r w:rsidRPr="00FF4210">
              <w:rPr>
                <w:rFonts w:ascii="Aptos" w:hAnsi="Aptos" w:cs="Times New Roman"/>
                <w:sz w:val="20"/>
                <w:vertAlign w:val="superscript"/>
              </w:rPr>
              <w:t>93</w:t>
            </w:r>
            <w:r w:rsidRPr="00FF4210">
              <w:rPr>
                <w:rFonts w:ascii="Aptos" w:hAnsi="Aptos"/>
                <w:sz w:val="20"/>
                <w:szCs w:val="20"/>
              </w:rPr>
              <w:fldChar w:fldCharType="end"/>
            </w:r>
          </w:p>
        </w:tc>
      </w:tr>
      <w:tr w:rsidR="00923F18" w:rsidRPr="005500F7" w14:paraId="4E69A523" w14:textId="2863AC21" w:rsidTr="003C106F">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16F85BED" w14:textId="75E54609" w:rsidR="00923F18" w:rsidRPr="005500F7" w:rsidRDefault="00923F18"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w:t>
            </w:r>
            <w:r w:rsidR="00A22151">
              <w:rPr>
                <w:rFonts w:ascii="Aptos" w:hAnsi="Aptos"/>
                <w:b w:val="0"/>
                <w:bCs w:val="0"/>
                <w:sz w:val="20"/>
                <w:szCs w:val="20"/>
              </w:rPr>
              <w:t>8</w:t>
            </w:r>
          </w:p>
        </w:tc>
        <w:tc>
          <w:tcPr>
            <w:tcW w:w="908" w:type="dxa"/>
            <w:shd w:val="clear" w:color="auto" w:fill="FFFFFF" w:themeFill="background1"/>
            <w:vAlign w:val="center"/>
          </w:tcPr>
          <w:p w14:paraId="50EB40E1" w14:textId="63AF14EF"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i/>
                <w:iCs/>
                <w:sz w:val="20"/>
                <w:szCs w:val="20"/>
              </w:rPr>
            </w:pPr>
            <w:r w:rsidRPr="00264446">
              <w:rPr>
                <w:rFonts w:ascii="Aptos" w:hAnsi="Aptos"/>
                <w:i/>
                <w:iCs/>
                <w:sz w:val="20"/>
                <w:szCs w:val="20"/>
              </w:rPr>
              <w:t>THAP1</w:t>
            </w:r>
          </w:p>
        </w:tc>
        <w:tc>
          <w:tcPr>
            <w:tcW w:w="2946" w:type="dxa"/>
            <w:shd w:val="clear" w:color="auto" w:fill="FFFFFF" w:themeFill="background1"/>
            <w:vAlign w:val="center"/>
          </w:tcPr>
          <w:p w14:paraId="6C24D0E7" w14:textId="77BCBD81"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Pr>
                <w:rFonts w:ascii="Aptos" w:hAnsi="Aptos"/>
                <w:sz w:val="18"/>
                <w:szCs w:val="18"/>
              </w:rPr>
              <w:t xml:space="preserve">Generalized </w:t>
            </w:r>
            <w:proofErr w:type="gramStart"/>
            <w:r>
              <w:rPr>
                <w:rFonts w:ascii="Aptos" w:hAnsi="Aptos"/>
                <w:sz w:val="18"/>
                <w:szCs w:val="18"/>
              </w:rPr>
              <w:t>dystonia,  with</w:t>
            </w:r>
            <w:proofErr w:type="gramEnd"/>
            <w:r>
              <w:rPr>
                <w:rFonts w:ascii="Aptos" w:hAnsi="Aptos"/>
                <w:sz w:val="18"/>
                <w:szCs w:val="18"/>
              </w:rPr>
              <w:t xml:space="preserve"> prominent cranial-cervical  dystonia and dysarthria</w:t>
            </w:r>
          </w:p>
        </w:tc>
        <w:tc>
          <w:tcPr>
            <w:tcW w:w="2487" w:type="dxa"/>
            <w:shd w:val="clear" w:color="auto" w:fill="FFFFFF" w:themeFill="background1"/>
            <w:vAlign w:val="center"/>
          </w:tcPr>
          <w:p w14:paraId="5B6F0D9A" w14:textId="1EBEEFFB"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Pr>
                <w:rFonts w:ascii="Aptos" w:hAnsi="Aptos"/>
                <w:sz w:val="18"/>
                <w:szCs w:val="18"/>
              </w:rPr>
              <w:t xml:space="preserve">Not available </w:t>
            </w:r>
          </w:p>
        </w:tc>
        <w:tc>
          <w:tcPr>
            <w:tcW w:w="1765" w:type="dxa"/>
            <w:shd w:val="clear" w:color="auto" w:fill="FFFFFF" w:themeFill="background1"/>
            <w:vAlign w:val="center"/>
          </w:tcPr>
          <w:p w14:paraId="39B77A46" w14:textId="72BCC7A6"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5500F7">
              <w:rPr>
                <w:rFonts w:ascii="Aptos" w:hAnsi="Aptos"/>
                <w:sz w:val="20"/>
                <w:szCs w:val="20"/>
              </w:rPr>
              <w:t>Danielsson et al.</w:t>
            </w:r>
            <w:r w:rsidRPr="005500F7">
              <w:rPr>
                <w:rFonts w:ascii="Aptos" w:hAnsi="Aptos"/>
                <w:sz w:val="20"/>
                <w:szCs w:val="20"/>
              </w:rPr>
              <w:fldChar w:fldCharType="begin"/>
            </w:r>
            <w:r>
              <w:rPr>
                <w:rFonts w:ascii="Aptos" w:hAnsi="Aptos"/>
                <w:sz w:val="20"/>
                <w:szCs w:val="20"/>
              </w:rPr>
              <w:instrText xml:space="preserve"> ADDIN ZOTERO_ITEM CSL_CITATION {"citationID":"ZTbSA0ZD","properties":{"formattedCitation":"\\super 94\\nosupersub{}","plainCitation":"94","noteIndex":0},"citationItems":[{"id":653,"uris":["http://zotero.org/users/local/qbj29eOf/items/FS63YDNK"],"itemData":{"id":653,"type":"article-journal","abstract":"Pallidal deep brain stimulation is an established treatment in dystonia. Available data on the effect in DYT-THAP1 dystonia (also known as DYT6 dystonia) are scarce and long-term follow-up studies are lacking. In this retrospective, multicenter follow-up case series of medical records of such patients, the clinical outcome of pallidal deep brain stimulation in DYT-THAP1 dystonia, was evaluated. The Burke Fahn Marsden Dystonia Rating Scale served as an outcome measure. Nine females and 5 males were enrolled, with a median follow-up of 4 years and 10 months after implant. All benefited from surgery: dystonia severity was reduced by a median of 58% (IQR 31-62, p = 0.001) at last follow-up, as assessed by the Burke Fahn Marsden movement subscale. In the majority of individuals, there was no improvement of speech or swallowing, and overall, the effect was greater in the trunk and limbs as compared to the cranio-cervical and orolaryngeal regions. No correlation was found between disease duration before surgery, age at surgery, or preoperative disease burden and the outcome of deep brain stimulation. Device- and therapy-related side-effects were few. Accordingly, pallidal deep brain stimulation should be considered in clinically impairing and pharmaco-resistant DYT-THAP1 dystonia. The method is safe and effective, both short- and long-term.","container-title":"Journal of Clinical Medicine","DOI":"10.3390/jcm8122163","ISSN":"2077-0383","issue":"12","journalAbbreviation":"JCM","language":"en","page":"2163","source":"DOI.org (Crossref)","title":"Pallidal Deep Brain Stimulation in DYT6 Dystonia: Clinical Outcome and Predictive Factors for Motor Improvement","title-short":"Pallidal Deep Brain Stimulation in DYT6 Dystonia","volume":"8","author":[{"family":"Danielsson","given":"Annika"},{"family":"Carecchio","given":"Miryam"},{"family":"Cif","given":"Laura"},{"family":"Koy","given":"Anne"},{"family":"Lin","given":"Jean-Pierre"},{"family":"Solders","given":"Göran"},{"family":"Romito","given":"Luigi"},{"family":"Lohmann","given":"Katja"},{"family":"Garavaglia","given":"Barbara"},{"family":"Reale","given":"Chiara"},{"family":"Zorzi","given":"Giovanna"},{"family":"Nardocci","given":"Nardo"},{"family":"Coubes","given":"Philippe"},{"family":"Gonzalez","given":"Victoria"},{"family":"Roubertie","given":"Agathe"},{"family":"Collod-Beroud","given":"Gwenaelle"},{"family":"Lind","given":"Göran"},{"family":"Tedroff","given":"Kristina"}],"issued":{"date-parts":[["2019",12,6]]}}}],"schema":"https://github.com/citation-style-language/schema/raw/master/csl-citation.json"} </w:instrText>
            </w:r>
            <w:r w:rsidRPr="005500F7">
              <w:rPr>
                <w:rFonts w:ascii="Aptos" w:hAnsi="Aptos"/>
                <w:sz w:val="20"/>
                <w:szCs w:val="20"/>
              </w:rPr>
              <w:fldChar w:fldCharType="separate"/>
            </w:r>
            <w:r w:rsidRPr="00FF4210">
              <w:rPr>
                <w:rFonts w:ascii="Aptos" w:hAnsi="Aptos" w:cs="Times New Roman"/>
                <w:sz w:val="20"/>
                <w:vertAlign w:val="superscript"/>
              </w:rPr>
              <w:t>94</w:t>
            </w:r>
            <w:r w:rsidRPr="005500F7">
              <w:rPr>
                <w:rFonts w:ascii="Aptos" w:hAnsi="Aptos"/>
                <w:sz w:val="20"/>
                <w:szCs w:val="20"/>
              </w:rPr>
              <w:fldChar w:fldCharType="end"/>
            </w:r>
            <w:r w:rsidRPr="005500F7">
              <w:rPr>
                <w:rFonts w:ascii="Aptos" w:hAnsi="Aptos"/>
                <w:sz w:val="20"/>
                <w:szCs w:val="20"/>
              </w:rPr>
              <w:t xml:space="preserve"> </w:t>
            </w:r>
          </w:p>
          <w:p w14:paraId="12CF4283" w14:textId="361B080D"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sidRPr="005500F7">
              <w:rPr>
                <w:rFonts w:ascii="Aptos" w:hAnsi="Aptos"/>
                <w:sz w:val="20"/>
                <w:szCs w:val="20"/>
              </w:rPr>
              <w:t>(Patient #8)</w:t>
            </w:r>
          </w:p>
        </w:tc>
      </w:tr>
      <w:tr w:rsidR="00923F18" w:rsidRPr="005500F7" w14:paraId="387B3925" w14:textId="34374ADF" w:rsidTr="003C10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45F10189" w14:textId="1E093C3D" w:rsidR="00923F18" w:rsidRPr="005500F7" w:rsidRDefault="00923F18"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w:t>
            </w:r>
            <w:r w:rsidR="00A22151">
              <w:rPr>
                <w:rFonts w:ascii="Aptos" w:hAnsi="Aptos"/>
                <w:b w:val="0"/>
                <w:bCs w:val="0"/>
                <w:sz w:val="20"/>
                <w:szCs w:val="20"/>
              </w:rPr>
              <w:t>9</w:t>
            </w:r>
          </w:p>
        </w:tc>
        <w:tc>
          <w:tcPr>
            <w:tcW w:w="908" w:type="dxa"/>
            <w:shd w:val="clear" w:color="auto" w:fill="FFFFFF" w:themeFill="background1"/>
            <w:vAlign w:val="center"/>
          </w:tcPr>
          <w:p w14:paraId="49D4CC18" w14:textId="2AA91AA2"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THAP1</w:t>
            </w:r>
          </w:p>
        </w:tc>
        <w:tc>
          <w:tcPr>
            <w:tcW w:w="2946" w:type="dxa"/>
            <w:shd w:val="clear" w:color="auto" w:fill="FFFFFF" w:themeFill="background1"/>
            <w:vAlign w:val="center"/>
          </w:tcPr>
          <w:p w14:paraId="03A6A112" w14:textId="6358B1A5"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Pr>
                <w:rFonts w:ascii="Aptos" w:hAnsi="Aptos"/>
                <w:sz w:val="18"/>
                <w:szCs w:val="18"/>
              </w:rPr>
              <w:t xml:space="preserve">Generalized dystonia with mainly trunk </w:t>
            </w:r>
            <w:proofErr w:type="gramStart"/>
            <w:r>
              <w:rPr>
                <w:rFonts w:ascii="Aptos" w:hAnsi="Aptos"/>
                <w:sz w:val="18"/>
                <w:szCs w:val="18"/>
              </w:rPr>
              <w:t>and  r</w:t>
            </w:r>
            <w:r w:rsidRPr="0024623C">
              <w:rPr>
                <w:rFonts w:ascii="Aptos" w:hAnsi="Aptos"/>
                <w:sz w:val="18"/>
                <w:szCs w:val="18"/>
              </w:rPr>
              <w:t>ight</w:t>
            </w:r>
            <w:proofErr w:type="gramEnd"/>
            <w:r w:rsidRPr="0024623C">
              <w:rPr>
                <w:rFonts w:ascii="Aptos" w:hAnsi="Aptos"/>
                <w:sz w:val="18"/>
                <w:szCs w:val="18"/>
              </w:rPr>
              <w:t xml:space="preserve"> upper limb</w:t>
            </w:r>
            <w:r>
              <w:rPr>
                <w:rFonts w:ascii="Aptos" w:hAnsi="Aptos"/>
                <w:sz w:val="18"/>
                <w:szCs w:val="18"/>
              </w:rPr>
              <w:t xml:space="preserve"> involvement </w:t>
            </w:r>
          </w:p>
        </w:tc>
        <w:tc>
          <w:tcPr>
            <w:tcW w:w="2487" w:type="dxa"/>
            <w:shd w:val="clear" w:color="auto" w:fill="FFFFFF" w:themeFill="background1"/>
            <w:vAlign w:val="center"/>
          </w:tcPr>
          <w:p w14:paraId="2A7DD5AE" w14:textId="1A48B869"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Pr>
                <w:rFonts w:ascii="Aptos" w:hAnsi="Aptos"/>
                <w:sz w:val="18"/>
                <w:szCs w:val="18"/>
              </w:rPr>
              <w:t xml:space="preserve">Not available </w:t>
            </w:r>
          </w:p>
        </w:tc>
        <w:tc>
          <w:tcPr>
            <w:tcW w:w="1765" w:type="dxa"/>
            <w:shd w:val="clear" w:color="auto" w:fill="FFFFFF" w:themeFill="background1"/>
            <w:vAlign w:val="center"/>
          </w:tcPr>
          <w:p w14:paraId="7592D5C4" w14:textId="5A0D1907"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5500F7">
              <w:rPr>
                <w:rFonts w:ascii="Aptos" w:hAnsi="Aptos"/>
                <w:sz w:val="20"/>
                <w:szCs w:val="20"/>
              </w:rPr>
              <w:t>Danielsson et al.</w:t>
            </w:r>
            <w:r w:rsidRPr="005500F7">
              <w:rPr>
                <w:rFonts w:ascii="Aptos" w:hAnsi="Aptos"/>
                <w:sz w:val="20"/>
                <w:szCs w:val="20"/>
              </w:rPr>
              <w:fldChar w:fldCharType="begin"/>
            </w:r>
            <w:r>
              <w:rPr>
                <w:rFonts w:ascii="Aptos" w:hAnsi="Aptos"/>
                <w:sz w:val="20"/>
                <w:szCs w:val="20"/>
              </w:rPr>
              <w:instrText xml:space="preserve"> ADDIN ZOTERO_ITEM CSL_CITATION {"citationID":"fwbTeifi","properties":{"formattedCitation":"\\super 94\\nosupersub{}","plainCitation":"94","noteIndex":0},"citationItems":[{"id":653,"uris":["http://zotero.org/users/local/qbj29eOf/items/FS63YDNK"],"itemData":{"id":653,"type":"article-journal","abstract":"Pallidal deep brain stimulation is an established treatment in dystonia. Available data on the effect in DYT-THAP1 dystonia (also known as DYT6 dystonia) are scarce and long-term follow-up studies are lacking. In this retrospective, multicenter follow-up case series of medical records of such patients, the clinical outcome of pallidal deep brain stimulation in DYT-THAP1 dystonia, was evaluated. The Burke Fahn Marsden Dystonia Rating Scale served as an outcome measure. Nine females and 5 males were enrolled, with a median follow-up of 4 years and 10 months after implant. All benefited from surgery: dystonia severity was reduced by a median of 58% (IQR 31-62, p = 0.001) at last follow-up, as assessed by the Burke Fahn Marsden movement subscale. In the majority of individuals, there was no improvement of speech or swallowing, and overall, the effect was greater in the trunk and limbs as compared to the cranio-cervical and orolaryngeal regions. No correlation was found between disease duration before surgery, age at surgery, or preoperative disease burden and the outcome of deep brain stimulation. Device- and therapy-related side-effects were few. Accordingly, pallidal deep brain stimulation should be considered in clinically impairing and pharmaco-resistant DYT-THAP1 dystonia. The method is safe and effective, both short- and long-term.","container-title":"Journal of Clinical Medicine","DOI":"10.3390/jcm8122163","ISSN":"2077-0383","issue":"12","journalAbbreviation":"JCM","language":"en","page":"2163","source":"DOI.org (Crossref)","title":"Pallidal Deep Brain Stimulation in DYT6 Dystonia: Clinical Outcome and Predictive Factors for Motor Improvement","title-short":"Pallidal Deep Brain Stimulation in DYT6 Dystonia","volume":"8","author":[{"family":"Danielsson","given":"Annika"},{"family":"Carecchio","given":"Miryam"},{"family":"Cif","given":"Laura"},{"family":"Koy","given":"Anne"},{"family":"Lin","given":"Jean-Pierre"},{"family":"Solders","given":"Göran"},{"family":"Romito","given":"Luigi"},{"family":"Lohmann","given":"Katja"},{"family":"Garavaglia","given":"Barbara"},{"family":"Reale","given":"Chiara"},{"family":"Zorzi","given":"Giovanna"},{"family":"Nardocci","given":"Nardo"},{"family":"Coubes","given":"Philippe"},{"family":"Gonzalez","given":"Victoria"},{"family":"Roubertie","given":"Agathe"},{"family":"Collod-Beroud","given":"Gwenaelle"},{"family":"Lind","given":"Göran"},{"family":"Tedroff","given":"Kristina"}],"issued":{"date-parts":[["2019",12,6]]}}}],"schema":"https://github.com/citation-style-language/schema/raw/master/csl-citation.json"} </w:instrText>
            </w:r>
            <w:r w:rsidRPr="005500F7">
              <w:rPr>
                <w:rFonts w:ascii="Aptos" w:hAnsi="Aptos"/>
                <w:sz w:val="20"/>
                <w:szCs w:val="20"/>
              </w:rPr>
              <w:fldChar w:fldCharType="separate"/>
            </w:r>
            <w:r w:rsidRPr="00FF4210">
              <w:rPr>
                <w:rFonts w:ascii="Aptos" w:hAnsi="Aptos" w:cs="Times New Roman"/>
                <w:sz w:val="20"/>
                <w:vertAlign w:val="superscript"/>
              </w:rPr>
              <w:t>94</w:t>
            </w:r>
            <w:r w:rsidRPr="005500F7">
              <w:rPr>
                <w:rFonts w:ascii="Aptos" w:hAnsi="Aptos"/>
                <w:sz w:val="20"/>
                <w:szCs w:val="20"/>
              </w:rPr>
              <w:fldChar w:fldCharType="end"/>
            </w:r>
            <w:r w:rsidRPr="005500F7">
              <w:rPr>
                <w:rFonts w:ascii="Aptos" w:hAnsi="Aptos"/>
                <w:sz w:val="20"/>
                <w:szCs w:val="20"/>
              </w:rPr>
              <w:t xml:space="preserve"> </w:t>
            </w:r>
          </w:p>
          <w:p w14:paraId="48401817" w14:textId="62D05528"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(Patient #4)</w:t>
            </w:r>
          </w:p>
        </w:tc>
      </w:tr>
      <w:tr w:rsidR="00923F18" w:rsidRPr="005500F7" w14:paraId="31F023AB" w14:textId="5DE90458" w:rsidTr="003C106F">
        <w:trPr>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511316FB" w14:textId="72D75BB3" w:rsidR="00923F18" w:rsidRPr="005500F7" w:rsidRDefault="00923F18"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Pat1</w:t>
            </w:r>
            <w:r w:rsidR="00A22151">
              <w:rPr>
                <w:rFonts w:ascii="Aptos" w:hAnsi="Aptos"/>
                <w:b w:val="0"/>
                <w:bCs w:val="0"/>
                <w:sz w:val="20"/>
                <w:szCs w:val="20"/>
              </w:rPr>
              <w:t>0</w:t>
            </w:r>
          </w:p>
        </w:tc>
        <w:tc>
          <w:tcPr>
            <w:tcW w:w="908" w:type="dxa"/>
            <w:shd w:val="clear" w:color="auto" w:fill="FFFFFF" w:themeFill="background1"/>
            <w:vAlign w:val="center"/>
          </w:tcPr>
          <w:p w14:paraId="646568CF" w14:textId="346F898D"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THAP1</w:t>
            </w:r>
          </w:p>
        </w:tc>
        <w:tc>
          <w:tcPr>
            <w:tcW w:w="2946" w:type="dxa"/>
            <w:shd w:val="clear" w:color="auto" w:fill="FFFFFF" w:themeFill="background1"/>
            <w:vAlign w:val="center"/>
          </w:tcPr>
          <w:p w14:paraId="2172ADEF" w14:textId="4AE5CDC6"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Pr>
                <w:rFonts w:ascii="Aptos" w:hAnsi="Aptos"/>
                <w:sz w:val="18"/>
                <w:szCs w:val="18"/>
              </w:rPr>
              <w:t>Generalized dystonia with cervical, trunk, and r</w:t>
            </w:r>
            <w:r w:rsidRPr="0024623C">
              <w:rPr>
                <w:rFonts w:ascii="Aptos" w:hAnsi="Aptos"/>
                <w:sz w:val="18"/>
                <w:szCs w:val="18"/>
              </w:rPr>
              <w:t>ight upper limb</w:t>
            </w:r>
            <w:r>
              <w:rPr>
                <w:rFonts w:ascii="Aptos" w:hAnsi="Aptos"/>
                <w:sz w:val="18"/>
                <w:szCs w:val="18"/>
              </w:rPr>
              <w:t xml:space="preserve"> involvement</w:t>
            </w:r>
          </w:p>
        </w:tc>
        <w:tc>
          <w:tcPr>
            <w:tcW w:w="2487" w:type="dxa"/>
            <w:shd w:val="clear" w:color="auto" w:fill="FFFFFF" w:themeFill="background1"/>
            <w:vAlign w:val="center"/>
          </w:tcPr>
          <w:p w14:paraId="47877068" w14:textId="6D14068F" w:rsidR="00923F18" w:rsidRPr="00F40199"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Pr>
                <w:rFonts w:ascii="Aptos" w:hAnsi="Aptos"/>
                <w:sz w:val="18"/>
                <w:szCs w:val="18"/>
              </w:rPr>
              <w:t xml:space="preserve">Not available </w:t>
            </w:r>
          </w:p>
        </w:tc>
        <w:tc>
          <w:tcPr>
            <w:tcW w:w="1765" w:type="dxa"/>
            <w:shd w:val="clear" w:color="auto" w:fill="FFFFFF" w:themeFill="background1"/>
            <w:vAlign w:val="center"/>
          </w:tcPr>
          <w:p w14:paraId="624E13C1" w14:textId="74EC0786"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5500F7">
              <w:rPr>
                <w:rFonts w:ascii="Aptos" w:hAnsi="Aptos"/>
                <w:sz w:val="20"/>
                <w:szCs w:val="20"/>
              </w:rPr>
              <w:t>Danielsson et al.</w:t>
            </w:r>
            <w:r w:rsidRPr="005500F7">
              <w:rPr>
                <w:rFonts w:ascii="Aptos" w:hAnsi="Aptos"/>
                <w:sz w:val="20"/>
                <w:szCs w:val="20"/>
              </w:rPr>
              <w:fldChar w:fldCharType="begin"/>
            </w:r>
            <w:r>
              <w:rPr>
                <w:rFonts w:ascii="Aptos" w:hAnsi="Aptos"/>
                <w:sz w:val="20"/>
                <w:szCs w:val="20"/>
              </w:rPr>
              <w:instrText xml:space="preserve"> ADDIN ZOTERO_ITEM CSL_CITATION {"citationID":"BkxwRS7M","properties":{"formattedCitation":"\\super 94\\nosupersub{}","plainCitation":"94","noteIndex":0},"citationItems":[{"id":653,"uris":["http://zotero.org/users/local/qbj29eOf/items/FS63YDNK"],"itemData":{"id":653,"type":"article-journal","abstract":"Pallidal deep brain stimulation is an established treatment in dystonia. Available data on the effect in DYT-THAP1 dystonia (also known as DYT6 dystonia) are scarce and long-term follow-up studies are lacking. In this retrospective, multicenter follow-up case series of medical records of such patients, the clinical outcome of pallidal deep brain stimulation in DYT-THAP1 dystonia, was evaluated. The Burke Fahn Marsden Dystonia Rating Scale served as an outcome measure. Nine females and 5 males were enrolled, with a median follow-up of 4 years and 10 months after implant. All benefited from surgery: dystonia severity was reduced by a median of 58% (IQR 31-62, p = 0.001) at last follow-up, as assessed by the Burke Fahn Marsden movement subscale. In the majority of individuals, there was no improvement of speech or swallowing, and overall, the effect was greater in the trunk and limbs as compared to the cranio-cervical and orolaryngeal regions. No correlation was found between disease duration before surgery, age at surgery, or preoperative disease burden and the outcome of deep brain stimulation. Device- and therapy-related side-effects were few. Accordingly, pallidal deep brain stimulation should be considered in clinically impairing and pharmaco-resistant DYT-THAP1 dystonia. The method is safe and effective, both short- and long-term.","container-title":"Journal of Clinical Medicine","DOI":"10.3390/jcm8122163","ISSN":"2077-0383","issue":"12","journalAbbreviation":"JCM","language":"en","page":"2163","source":"DOI.org (Crossref)","title":"Pallidal Deep Brain Stimulation in DYT6 Dystonia: Clinical Outcome and Predictive Factors for Motor Improvement","title-short":"Pallidal Deep Brain Stimulation in DYT6 Dystonia","volume":"8","author":[{"family":"Danielsson","given":"Annika"},{"family":"Carecchio","given":"Miryam"},{"family":"Cif","given":"Laura"},{"family":"Koy","given":"Anne"},{"family":"Lin","given":"Jean-Pierre"},{"family":"Solders","given":"Göran"},{"family":"Romito","given":"Luigi"},{"family":"Lohmann","given":"Katja"},{"family":"Garavaglia","given":"Barbara"},{"family":"Reale","given":"Chiara"},{"family":"Zorzi","given":"Giovanna"},{"family":"Nardocci","given":"Nardo"},{"family":"Coubes","given":"Philippe"},{"family":"Gonzalez","given":"Victoria"},{"family":"Roubertie","given":"Agathe"},{"family":"Collod-Beroud","given":"Gwenaelle"},{"family":"Lind","given":"Göran"},{"family":"Tedroff","given":"Kristina"}],"issued":{"date-parts":[["2019",12,6]]}}}],"schema":"https://github.com/citation-style-language/schema/raw/master/csl-citation.json"} </w:instrText>
            </w:r>
            <w:r w:rsidRPr="005500F7">
              <w:rPr>
                <w:rFonts w:ascii="Aptos" w:hAnsi="Aptos"/>
                <w:sz w:val="20"/>
                <w:szCs w:val="20"/>
              </w:rPr>
              <w:fldChar w:fldCharType="separate"/>
            </w:r>
            <w:r w:rsidRPr="00FF4210">
              <w:rPr>
                <w:rFonts w:ascii="Aptos" w:hAnsi="Aptos" w:cs="Times New Roman"/>
                <w:sz w:val="20"/>
                <w:vertAlign w:val="superscript"/>
              </w:rPr>
              <w:t>94</w:t>
            </w:r>
            <w:r w:rsidRPr="005500F7">
              <w:rPr>
                <w:rFonts w:ascii="Aptos" w:hAnsi="Aptos"/>
                <w:sz w:val="20"/>
                <w:szCs w:val="20"/>
              </w:rPr>
              <w:fldChar w:fldCharType="end"/>
            </w:r>
            <w:r w:rsidRPr="005500F7">
              <w:rPr>
                <w:rFonts w:ascii="Aptos" w:hAnsi="Aptos"/>
                <w:sz w:val="20"/>
                <w:szCs w:val="20"/>
              </w:rPr>
              <w:t xml:space="preserve"> </w:t>
            </w:r>
          </w:p>
          <w:p w14:paraId="4F588394" w14:textId="11C0C4DA"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(Patient #5)</w:t>
            </w:r>
          </w:p>
        </w:tc>
      </w:tr>
      <w:tr w:rsidR="00923F18" w:rsidRPr="005500F7" w14:paraId="12861C28" w14:textId="11BC95EB" w:rsidTr="003C10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64952173" w14:textId="344C8FCA"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Pat1</w:t>
            </w:r>
            <w:r>
              <w:rPr>
                <w:rFonts w:ascii="Aptos" w:hAnsi="Aptos"/>
                <w:b w:val="0"/>
                <w:bCs w:val="0"/>
                <w:sz w:val="20"/>
                <w:szCs w:val="20"/>
              </w:rPr>
              <w:t>1</w:t>
            </w:r>
          </w:p>
        </w:tc>
        <w:tc>
          <w:tcPr>
            <w:tcW w:w="908" w:type="dxa"/>
            <w:shd w:val="clear" w:color="auto" w:fill="FFFFFF" w:themeFill="background1"/>
            <w:vAlign w:val="center"/>
          </w:tcPr>
          <w:p w14:paraId="483119CF" w14:textId="35FCB1C0"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THAP1</w:t>
            </w:r>
          </w:p>
        </w:tc>
        <w:tc>
          <w:tcPr>
            <w:tcW w:w="2946" w:type="dxa"/>
            <w:shd w:val="clear" w:color="auto" w:fill="FFFFFF" w:themeFill="background1"/>
            <w:vAlign w:val="center"/>
          </w:tcPr>
          <w:p w14:paraId="1EB7FCA8" w14:textId="7A2CE2D5"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proofErr w:type="gramStart"/>
            <w:r>
              <w:rPr>
                <w:rFonts w:ascii="Aptos" w:hAnsi="Aptos"/>
                <w:sz w:val="18"/>
                <w:szCs w:val="18"/>
              </w:rPr>
              <w:t>Cervical  dystonia</w:t>
            </w:r>
            <w:proofErr w:type="gramEnd"/>
            <w:r>
              <w:rPr>
                <w:rFonts w:ascii="Aptos" w:hAnsi="Aptos"/>
                <w:sz w:val="18"/>
                <w:szCs w:val="18"/>
              </w:rPr>
              <w:t xml:space="preserve"> and dysarthria </w:t>
            </w:r>
          </w:p>
        </w:tc>
        <w:tc>
          <w:tcPr>
            <w:tcW w:w="2487" w:type="dxa"/>
            <w:shd w:val="clear" w:color="auto" w:fill="FFFFFF" w:themeFill="background1"/>
            <w:vAlign w:val="center"/>
          </w:tcPr>
          <w:p w14:paraId="1364866F" w14:textId="27070BCD"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Pr>
                <w:rFonts w:ascii="Aptos" w:hAnsi="Aptos"/>
                <w:sz w:val="18"/>
                <w:szCs w:val="18"/>
              </w:rPr>
              <w:t>Negative, mother analysis wild type</w:t>
            </w:r>
          </w:p>
        </w:tc>
        <w:tc>
          <w:tcPr>
            <w:tcW w:w="1765" w:type="dxa"/>
            <w:shd w:val="clear" w:color="auto" w:fill="FFFFFF" w:themeFill="background1"/>
            <w:vAlign w:val="center"/>
          </w:tcPr>
          <w:p w14:paraId="3228822D" w14:textId="64E17C61"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5500F7">
              <w:rPr>
                <w:rFonts w:ascii="Aptos" w:hAnsi="Aptos"/>
                <w:sz w:val="20"/>
                <w:szCs w:val="20"/>
              </w:rPr>
              <w:t>Danielsson et al.</w:t>
            </w:r>
            <w:r w:rsidRPr="005500F7">
              <w:rPr>
                <w:rFonts w:ascii="Aptos" w:hAnsi="Aptos"/>
                <w:sz w:val="20"/>
                <w:szCs w:val="20"/>
              </w:rPr>
              <w:fldChar w:fldCharType="begin"/>
            </w:r>
            <w:r>
              <w:rPr>
                <w:rFonts w:ascii="Aptos" w:hAnsi="Aptos"/>
                <w:sz w:val="20"/>
                <w:szCs w:val="20"/>
              </w:rPr>
              <w:instrText xml:space="preserve"> ADDIN ZOTERO_ITEM CSL_CITATION {"citationID":"b05GP1lc","properties":{"formattedCitation":"\\super 94\\nosupersub{}","plainCitation":"94","noteIndex":0},"citationItems":[{"id":653,"uris":["http://zotero.org/users/local/qbj29eOf/items/FS63YDNK"],"itemData":{"id":653,"type":"article-journal","abstract":"Pallidal deep brain stimulation is an established treatment in dystonia. Available data on the effect in DYT-THAP1 dystonia (also known as DYT6 dystonia) are scarce and long-term follow-up studies are lacking. In this retrospective, multicenter follow-up case series of medical records of such patients, the clinical outcome of pallidal deep brain stimulation in DYT-THAP1 dystonia, was evaluated. The Burke Fahn Marsden Dystonia Rating Scale served as an outcome measure. Nine females and 5 males were enrolled, with a median follow-up of 4 years and 10 months after implant. All benefited from surgery: dystonia severity was reduced by a median of 58% (IQR 31-62, p = 0.001) at last follow-up, as assessed by the Burke Fahn Marsden movement subscale. In the majority of individuals, there was no improvement of speech or swallowing, and overall, the effect was greater in the trunk and limbs as compared to the cranio-cervical and orolaryngeal regions. No correlation was found between disease duration before surgery, age at surgery, or preoperative disease burden and the outcome of deep brain stimulation. Device- and therapy-related side-effects were few. Accordingly, pallidal deep brain stimulation should be considered in clinically impairing and pharmaco-resistant DYT-THAP1 dystonia. The method is safe and effective, both short- and long-term.","container-title":"Journal of Clinical Medicine","DOI":"10.3390/jcm8122163","ISSN":"2077-0383","issue":"12","journalAbbreviation":"JCM","language":"en","page":"2163","source":"DOI.org (Crossref)","title":"Pallidal Deep Brain Stimulation in DYT6 Dystonia: Clinical Outcome and Predictive Factors for Motor Improvement","title-short":"Pallidal Deep Brain Stimulation in DYT6 Dystonia","volume":"8","author":[{"family":"Danielsson","given":"Annika"},{"family":"Carecchio","given":"Miryam"},{"family":"Cif","given":"Laura"},{"family":"Koy","given":"Anne"},{"family":"Lin","given":"Jean-Pierre"},{"family":"Solders","given":"Göran"},{"family":"Romito","given":"Luigi"},{"family":"Lohmann","given":"Katja"},{"family":"Garavaglia","given":"Barbara"},{"family":"Reale","given":"Chiara"},{"family":"Zorzi","given":"Giovanna"},{"family":"Nardocci","given":"Nardo"},{"family":"Coubes","given":"Philippe"},{"family":"Gonzalez","given":"Victoria"},{"family":"Roubertie","given":"Agathe"},{"family":"Collod-Beroud","given":"Gwenaelle"},{"family":"Lind","given":"Göran"},{"family":"Tedroff","given":"Kristina"}],"issued":{"date-parts":[["2019",12,6]]}}}],"schema":"https://github.com/citation-style-language/schema/raw/master/csl-citation.json"} </w:instrText>
            </w:r>
            <w:r w:rsidRPr="005500F7">
              <w:rPr>
                <w:rFonts w:ascii="Aptos" w:hAnsi="Aptos"/>
                <w:sz w:val="20"/>
                <w:szCs w:val="20"/>
              </w:rPr>
              <w:fldChar w:fldCharType="separate"/>
            </w:r>
            <w:r w:rsidRPr="00FF4210">
              <w:rPr>
                <w:rFonts w:ascii="Aptos" w:hAnsi="Aptos" w:cs="Times New Roman"/>
                <w:sz w:val="20"/>
                <w:vertAlign w:val="superscript"/>
              </w:rPr>
              <w:t>94</w:t>
            </w:r>
            <w:r w:rsidRPr="005500F7">
              <w:rPr>
                <w:rFonts w:ascii="Aptos" w:hAnsi="Aptos"/>
                <w:sz w:val="20"/>
                <w:szCs w:val="20"/>
              </w:rPr>
              <w:fldChar w:fldCharType="end"/>
            </w:r>
            <w:r w:rsidRPr="005500F7">
              <w:rPr>
                <w:rFonts w:ascii="Aptos" w:hAnsi="Aptos"/>
                <w:sz w:val="20"/>
                <w:szCs w:val="20"/>
              </w:rPr>
              <w:t xml:space="preserve"> </w:t>
            </w:r>
          </w:p>
          <w:p w14:paraId="0AD000FC" w14:textId="34DA1431"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(Patient #6)</w:t>
            </w:r>
          </w:p>
        </w:tc>
      </w:tr>
      <w:tr w:rsidR="00923F18" w:rsidRPr="005500F7" w14:paraId="7A60F661" w14:textId="68C28841" w:rsidTr="003C106F">
        <w:trPr>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3DF2D71D" w14:textId="545C8C37"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Pat1</w:t>
            </w:r>
            <w:r>
              <w:rPr>
                <w:rFonts w:ascii="Aptos" w:hAnsi="Aptos"/>
                <w:b w:val="0"/>
                <w:bCs w:val="0"/>
                <w:sz w:val="20"/>
                <w:szCs w:val="20"/>
              </w:rPr>
              <w:t>2</w:t>
            </w:r>
          </w:p>
        </w:tc>
        <w:tc>
          <w:tcPr>
            <w:tcW w:w="908" w:type="dxa"/>
            <w:shd w:val="clear" w:color="auto" w:fill="FFFFFF" w:themeFill="background1"/>
            <w:vAlign w:val="center"/>
          </w:tcPr>
          <w:p w14:paraId="2833504C" w14:textId="3A3BF030"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PANK2</w:t>
            </w:r>
          </w:p>
        </w:tc>
        <w:tc>
          <w:tcPr>
            <w:tcW w:w="2946" w:type="dxa"/>
            <w:shd w:val="clear" w:color="auto" w:fill="FFFFFF" w:themeFill="background1"/>
            <w:vAlign w:val="center"/>
          </w:tcPr>
          <w:p w14:paraId="539C4881" w14:textId="722D4472"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Pr>
                <w:rFonts w:ascii="Aptos" w:hAnsi="Aptos"/>
                <w:sz w:val="18"/>
                <w:szCs w:val="18"/>
              </w:rPr>
              <w:t>Generalized dystonia with mainly cervical and axial involvement</w:t>
            </w:r>
          </w:p>
        </w:tc>
        <w:tc>
          <w:tcPr>
            <w:tcW w:w="2487" w:type="dxa"/>
            <w:shd w:val="clear" w:color="auto" w:fill="FFFFFF" w:themeFill="background1"/>
            <w:vAlign w:val="center"/>
          </w:tcPr>
          <w:p w14:paraId="18F202BE" w14:textId="77777777" w:rsidR="00923F18"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Pr>
                <w:rFonts w:ascii="Aptos" w:hAnsi="Aptos"/>
                <w:sz w:val="18"/>
                <w:szCs w:val="18"/>
              </w:rPr>
              <w:t xml:space="preserve">Negative. </w:t>
            </w:r>
          </w:p>
          <w:p w14:paraId="2D964EFC" w14:textId="13770BD3"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Pr>
                <w:rFonts w:ascii="Aptos" w:hAnsi="Aptos"/>
                <w:sz w:val="18"/>
                <w:szCs w:val="18"/>
              </w:rPr>
              <w:t>Not available segregation analysis</w:t>
            </w:r>
          </w:p>
        </w:tc>
        <w:tc>
          <w:tcPr>
            <w:tcW w:w="1765" w:type="dxa"/>
            <w:shd w:val="clear" w:color="auto" w:fill="FFFFFF" w:themeFill="background1"/>
            <w:vAlign w:val="center"/>
          </w:tcPr>
          <w:p w14:paraId="09F2151C" w14:textId="1ECD538B" w:rsidR="00923F18" w:rsidRPr="00FF4210" w:rsidRDefault="00EE7B65"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Pr>
                <w:rFonts w:ascii="Aptos" w:hAnsi="Aptos"/>
                <w:sz w:val="20"/>
                <w:szCs w:val="20"/>
              </w:rPr>
              <w:t>Romito et al.</w:t>
            </w:r>
            <w:r>
              <w:rPr>
                <w:rFonts w:ascii="Aptos" w:hAnsi="Aptos"/>
                <w:sz w:val="20"/>
                <w:szCs w:val="20"/>
              </w:rPr>
              <w:fldChar w:fldCharType="begin"/>
            </w:r>
            <w:r>
              <w:rPr>
                <w:rFonts w:ascii="Aptos" w:hAnsi="Aptos"/>
                <w:sz w:val="20"/>
                <w:szCs w:val="20"/>
              </w:rPr>
              <w:instrText xml:space="preserve"> ADDIN ZOTERO_ITEM CSL_CITATION {"citationID":"KT0x8gca","properties":{"formattedCitation":"\\super 95\\nosupersub{}","plainCitation":"95","noteIndex":0},"citationItems":[{"id":769,"uris":["http://zotero.org/users/local/qbj29eOf/items/Y4A72RP3"],"itemData":{"id":769,"type":"article-journal","container-title":"Parkinsonism &amp; Related Disorders","DOI":"10.1016/j.parkreldis.2024.106977","ISSN":"13538020","journalAbbreviation":"Parkinsonism &amp; Related Disorders","language":"en","page":"106977","source":"DOI.org (Crossref)","title":"Illustration of the long-term efficacy of pallidal deep brain stimulation in a patient with PKAN dystonia","volume":"123","author":[{"family":"Romito","given":"Luigi M."},{"family":"Colucci","given":"Fabiana"},{"family":"Zorzi","given":"Giovanna"},{"family":"Garavaglia","given":"Barbara"},{"family":"Kaymak","given":"Ahmet"},{"family":"Mazzoni","given":"Alberto"},{"family":"Panteghini","given":"Celeste"},{"family":"Golfrè Andreasi","given":"Nico"},{"family":"Rinaldo","given":"Sara"},{"family":"Levi","given":"Vincenzo"},{"family":"Carecchio","given":"Miryam"},{"family":"Eleopra","given":"Roberto"}],"issued":{"date-parts":[["2024",6]]}}}],"schema":"https://github.com/citation-style-language/schema/raw/master/csl-citation.json"} </w:instrText>
            </w:r>
            <w:r>
              <w:rPr>
                <w:rFonts w:ascii="Aptos" w:hAnsi="Aptos"/>
                <w:sz w:val="20"/>
                <w:szCs w:val="20"/>
              </w:rPr>
              <w:fldChar w:fldCharType="separate"/>
            </w:r>
            <w:r w:rsidRPr="00EE7B65">
              <w:rPr>
                <w:rFonts w:ascii="Aptos" w:hAnsi="Aptos" w:cs="Times New Roman"/>
                <w:sz w:val="20"/>
                <w:vertAlign w:val="superscript"/>
              </w:rPr>
              <w:t>95</w:t>
            </w:r>
            <w:r>
              <w:rPr>
                <w:rFonts w:ascii="Aptos" w:hAnsi="Aptos"/>
                <w:sz w:val="20"/>
                <w:szCs w:val="20"/>
              </w:rPr>
              <w:fldChar w:fldCharType="end"/>
            </w:r>
          </w:p>
        </w:tc>
      </w:tr>
      <w:tr w:rsidR="00923F18" w:rsidRPr="005500F7" w14:paraId="30FD7A36" w14:textId="27209170" w:rsidTr="003C10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74D8E976" w14:textId="460ABC9C"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Pat1</w:t>
            </w:r>
            <w:r>
              <w:rPr>
                <w:rFonts w:ascii="Aptos" w:hAnsi="Aptos"/>
                <w:b w:val="0"/>
                <w:bCs w:val="0"/>
                <w:sz w:val="20"/>
                <w:szCs w:val="20"/>
              </w:rPr>
              <w:t>3</w:t>
            </w:r>
          </w:p>
        </w:tc>
        <w:tc>
          <w:tcPr>
            <w:tcW w:w="908" w:type="dxa"/>
            <w:shd w:val="clear" w:color="auto" w:fill="FFFFFF" w:themeFill="background1"/>
            <w:vAlign w:val="center"/>
          </w:tcPr>
          <w:p w14:paraId="40814862" w14:textId="287A2852"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KMT2B</w:t>
            </w:r>
          </w:p>
        </w:tc>
        <w:tc>
          <w:tcPr>
            <w:tcW w:w="2946" w:type="dxa"/>
            <w:shd w:val="clear" w:color="auto" w:fill="FFFFFF" w:themeFill="background1"/>
            <w:vAlign w:val="center"/>
          </w:tcPr>
          <w:p w14:paraId="3AC29C76" w14:textId="24F28098"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Pr>
                <w:rFonts w:ascii="Aptos" w:hAnsi="Aptos"/>
                <w:sz w:val="18"/>
                <w:szCs w:val="18"/>
              </w:rPr>
              <w:t>Generalized dystonia with severe trunk and cervical involvement; dysarthria</w:t>
            </w:r>
          </w:p>
        </w:tc>
        <w:tc>
          <w:tcPr>
            <w:tcW w:w="2487" w:type="dxa"/>
            <w:shd w:val="clear" w:color="auto" w:fill="FFFFFF" w:themeFill="background1"/>
            <w:vAlign w:val="center"/>
          </w:tcPr>
          <w:p w14:paraId="542ED8C7"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Pr>
                <w:rFonts w:ascii="Aptos" w:hAnsi="Aptos"/>
                <w:sz w:val="18"/>
                <w:szCs w:val="18"/>
              </w:rPr>
              <w:t xml:space="preserve">Negative. </w:t>
            </w:r>
          </w:p>
          <w:p w14:paraId="56F931EF" w14:textId="063C0B7B"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Pr>
                <w:rFonts w:ascii="Aptos" w:hAnsi="Aptos"/>
                <w:sz w:val="18"/>
                <w:szCs w:val="18"/>
              </w:rPr>
              <w:t>Not available segregation analysis</w:t>
            </w:r>
          </w:p>
        </w:tc>
        <w:tc>
          <w:tcPr>
            <w:tcW w:w="1765" w:type="dxa"/>
            <w:shd w:val="clear" w:color="auto" w:fill="FFFFFF" w:themeFill="background1"/>
            <w:vAlign w:val="center"/>
          </w:tcPr>
          <w:p w14:paraId="27784D5B" w14:textId="43230FEB"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r w:rsidR="00923F18" w:rsidRPr="005500F7" w14:paraId="79057834" w14:textId="4D3C6377" w:rsidTr="003C106F">
        <w:trPr>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07464209" w14:textId="4891335E"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Pat1</w:t>
            </w:r>
            <w:r>
              <w:rPr>
                <w:rFonts w:ascii="Aptos" w:hAnsi="Aptos"/>
                <w:b w:val="0"/>
                <w:bCs w:val="0"/>
                <w:sz w:val="20"/>
                <w:szCs w:val="20"/>
              </w:rPr>
              <w:t>4</w:t>
            </w:r>
          </w:p>
        </w:tc>
        <w:tc>
          <w:tcPr>
            <w:tcW w:w="908" w:type="dxa"/>
            <w:shd w:val="clear" w:color="auto" w:fill="FFFFFF" w:themeFill="background1"/>
            <w:vAlign w:val="center"/>
          </w:tcPr>
          <w:p w14:paraId="2D6013A2" w14:textId="7169A52E"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TOR1A</w:t>
            </w:r>
          </w:p>
        </w:tc>
        <w:tc>
          <w:tcPr>
            <w:tcW w:w="2946" w:type="dxa"/>
            <w:shd w:val="clear" w:color="auto" w:fill="FFFFFF" w:themeFill="background1"/>
            <w:vAlign w:val="center"/>
          </w:tcPr>
          <w:p w14:paraId="59DE08D0" w14:textId="4C01463A"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Pr>
                <w:rFonts w:ascii="Aptos" w:hAnsi="Aptos"/>
                <w:sz w:val="18"/>
                <w:szCs w:val="18"/>
              </w:rPr>
              <w:t xml:space="preserve">Generalized dystonia with mainly trunk and lower limb involvement </w:t>
            </w:r>
          </w:p>
        </w:tc>
        <w:tc>
          <w:tcPr>
            <w:tcW w:w="2487" w:type="dxa"/>
            <w:shd w:val="clear" w:color="auto" w:fill="FFFFFF" w:themeFill="background1"/>
            <w:vAlign w:val="center"/>
          </w:tcPr>
          <w:p w14:paraId="242F0B7A" w14:textId="77777777" w:rsidR="00923F18"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Pr>
                <w:rFonts w:ascii="Aptos" w:hAnsi="Aptos"/>
                <w:sz w:val="18"/>
                <w:szCs w:val="18"/>
              </w:rPr>
              <w:t xml:space="preserve">Negative. </w:t>
            </w:r>
          </w:p>
          <w:p w14:paraId="36050109" w14:textId="67EFFAC8"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Pr>
                <w:rFonts w:ascii="Aptos" w:hAnsi="Aptos"/>
                <w:sz w:val="18"/>
                <w:szCs w:val="18"/>
              </w:rPr>
              <w:t>Parents’ segregation analysis wild type</w:t>
            </w:r>
          </w:p>
        </w:tc>
        <w:tc>
          <w:tcPr>
            <w:tcW w:w="1765" w:type="dxa"/>
            <w:shd w:val="clear" w:color="auto" w:fill="FFFFFF" w:themeFill="background1"/>
            <w:vAlign w:val="center"/>
          </w:tcPr>
          <w:p w14:paraId="20C0AA0B" w14:textId="332681E3"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r w:rsidR="00923F18" w:rsidRPr="005500F7" w14:paraId="583DDFF9" w14:textId="1A482B5C" w:rsidTr="003C10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61E15D19" w14:textId="7C74B114"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Pat1</w:t>
            </w:r>
            <w:r>
              <w:rPr>
                <w:rFonts w:ascii="Aptos" w:hAnsi="Aptos"/>
                <w:b w:val="0"/>
                <w:bCs w:val="0"/>
                <w:sz w:val="20"/>
                <w:szCs w:val="20"/>
              </w:rPr>
              <w:t>5</w:t>
            </w:r>
          </w:p>
        </w:tc>
        <w:tc>
          <w:tcPr>
            <w:tcW w:w="908" w:type="dxa"/>
            <w:shd w:val="clear" w:color="auto" w:fill="FFFFFF" w:themeFill="background1"/>
            <w:vAlign w:val="center"/>
          </w:tcPr>
          <w:p w14:paraId="1DBD6BD0" w14:textId="7CF2DC47"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TOR1A</w:t>
            </w:r>
          </w:p>
        </w:tc>
        <w:tc>
          <w:tcPr>
            <w:tcW w:w="2946" w:type="dxa"/>
            <w:shd w:val="clear" w:color="auto" w:fill="FFFFFF" w:themeFill="background1"/>
            <w:vAlign w:val="center"/>
          </w:tcPr>
          <w:p w14:paraId="06DDDB57" w14:textId="552C0B44"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Pr>
                <w:rFonts w:ascii="Aptos" w:hAnsi="Aptos"/>
                <w:sz w:val="18"/>
                <w:szCs w:val="18"/>
              </w:rPr>
              <w:t>G</w:t>
            </w:r>
            <w:r w:rsidRPr="00165B14">
              <w:rPr>
                <w:rFonts w:ascii="Aptos" w:hAnsi="Aptos"/>
                <w:sz w:val="18"/>
                <w:szCs w:val="18"/>
                <w:lang w:val="en-US"/>
              </w:rPr>
              <w:t xml:space="preserve">eneralized dystonia with severe </w:t>
            </w:r>
            <w:r w:rsidRPr="00165B14">
              <w:rPr>
                <w:rFonts w:ascii="Aptos" w:hAnsi="Aptos"/>
                <w:sz w:val="18"/>
                <w:szCs w:val="18"/>
                <w:lang w:val="en-US"/>
              </w:rPr>
              <w:lastRenderedPageBreak/>
              <w:t>tortipelvis and lower limb dystoni</w:t>
            </w:r>
            <w:r>
              <w:rPr>
                <w:rFonts w:ascii="Aptos" w:hAnsi="Aptos"/>
                <w:sz w:val="18"/>
                <w:szCs w:val="18"/>
                <w:lang w:val="en-US"/>
              </w:rPr>
              <w:t>a</w:t>
            </w:r>
          </w:p>
        </w:tc>
        <w:tc>
          <w:tcPr>
            <w:tcW w:w="2487" w:type="dxa"/>
            <w:shd w:val="clear" w:color="auto" w:fill="FFFFFF" w:themeFill="background1"/>
            <w:vAlign w:val="center"/>
          </w:tcPr>
          <w:p w14:paraId="68A8EB2D"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Pr>
                <w:rFonts w:ascii="Aptos" w:hAnsi="Aptos"/>
                <w:sz w:val="18"/>
                <w:szCs w:val="18"/>
              </w:rPr>
              <w:lastRenderedPageBreak/>
              <w:t xml:space="preserve">Negative. </w:t>
            </w:r>
          </w:p>
          <w:p w14:paraId="083444BE" w14:textId="15B91156"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Pr>
                <w:rFonts w:ascii="Aptos" w:hAnsi="Aptos"/>
                <w:sz w:val="18"/>
                <w:szCs w:val="18"/>
              </w:rPr>
              <w:lastRenderedPageBreak/>
              <w:t>Not available segregation analysis</w:t>
            </w:r>
          </w:p>
        </w:tc>
        <w:tc>
          <w:tcPr>
            <w:tcW w:w="1765" w:type="dxa"/>
            <w:shd w:val="clear" w:color="auto" w:fill="FFFFFF" w:themeFill="background1"/>
            <w:vAlign w:val="center"/>
          </w:tcPr>
          <w:p w14:paraId="5DB42736" w14:textId="6751C14C"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lastRenderedPageBreak/>
              <w:t>Not yet described</w:t>
            </w:r>
          </w:p>
        </w:tc>
      </w:tr>
      <w:tr w:rsidR="00923F18" w:rsidRPr="005500F7" w14:paraId="1BB6F729" w14:textId="635124B2" w:rsidTr="003C106F">
        <w:trPr>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58C64113" w14:textId="77DADDB7"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Pat1</w:t>
            </w:r>
            <w:r>
              <w:rPr>
                <w:rFonts w:ascii="Aptos" w:hAnsi="Aptos"/>
                <w:b w:val="0"/>
                <w:bCs w:val="0"/>
                <w:sz w:val="20"/>
                <w:szCs w:val="20"/>
              </w:rPr>
              <w:t>6</w:t>
            </w:r>
          </w:p>
        </w:tc>
        <w:tc>
          <w:tcPr>
            <w:tcW w:w="908" w:type="dxa"/>
            <w:shd w:val="clear" w:color="auto" w:fill="FFFFFF" w:themeFill="background1"/>
            <w:vAlign w:val="center"/>
          </w:tcPr>
          <w:p w14:paraId="48BB6C24" w14:textId="0BF998B1"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TOR1A</w:t>
            </w:r>
          </w:p>
        </w:tc>
        <w:tc>
          <w:tcPr>
            <w:tcW w:w="2946" w:type="dxa"/>
            <w:shd w:val="clear" w:color="auto" w:fill="FFFFFF" w:themeFill="background1"/>
            <w:vAlign w:val="center"/>
          </w:tcPr>
          <w:p w14:paraId="59306CAE" w14:textId="5F974729"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Pr>
                <w:rFonts w:ascii="Aptos" w:hAnsi="Aptos"/>
                <w:sz w:val="18"/>
                <w:szCs w:val="18"/>
              </w:rPr>
              <w:t xml:space="preserve">Generalized dystonia with mainly trunk and lower limb involvement </w:t>
            </w:r>
          </w:p>
        </w:tc>
        <w:tc>
          <w:tcPr>
            <w:tcW w:w="2487" w:type="dxa"/>
            <w:shd w:val="clear" w:color="auto" w:fill="FFFFFF" w:themeFill="background1"/>
            <w:vAlign w:val="center"/>
          </w:tcPr>
          <w:p w14:paraId="11EA3237" w14:textId="77777777" w:rsidR="00923F18"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Pr>
                <w:rFonts w:ascii="Aptos" w:hAnsi="Aptos"/>
                <w:sz w:val="18"/>
                <w:szCs w:val="18"/>
              </w:rPr>
              <w:t xml:space="preserve">Negative. </w:t>
            </w:r>
          </w:p>
          <w:p w14:paraId="31C6339E" w14:textId="4991D220"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Pr>
                <w:rFonts w:ascii="Aptos" w:hAnsi="Aptos"/>
                <w:sz w:val="18"/>
                <w:szCs w:val="18"/>
              </w:rPr>
              <w:t>Parents’ segregation analysis wild type</w:t>
            </w:r>
          </w:p>
        </w:tc>
        <w:tc>
          <w:tcPr>
            <w:tcW w:w="1765" w:type="dxa"/>
            <w:shd w:val="clear" w:color="auto" w:fill="FFFFFF" w:themeFill="background1"/>
            <w:vAlign w:val="center"/>
          </w:tcPr>
          <w:p w14:paraId="7F93DC47" w14:textId="32B7399C"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5500F7">
              <w:rPr>
                <w:rFonts w:ascii="Aptos" w:hAnsi="Aptos"/>
                <w:sz w:val="20"/>
                <w:szCs w:val="20"/>
              </w:rPr>
              <w:t>Duga et al.</w:t>
            </w:r>
            <w:r w:rsidRPr="005500F7">
              <w:rPr>
                <w:rFonts w:ascii="Aptos" w:hAnsi="Aptos"/>
                <w:sz w:val="20"/>
                <w:szCs w:val="20"/>
              </w:rPr>
              <w:fldChar w:fldCharType="begin"/>
            </w:r>
            <w:r>
              <w:rPr>
                <w:rFonts w:ascii="Aptos" w:hAnsi="Aptos"/>
                <w:sz w:val="20"/>
                <w:szCs w:val="20"/>
              </w:rPr>
              <w:instrText xml:space="preserve"> ADDIN ZOTERO_ITEM CSL_CITATION {"citationID":"zdTMSSJo","properties":{"formattedCitation":"\\super 96\\nosupersub{}","plainCitation":"96","noteIndex":0},"citationItems":[{"id":725,"uris":["http://zotero.org/users/local/qbj29eOf/items/CQAFEBER"],"itemData":{"id":725,"type":"article-journal","abstract":"Background: The evidence in the effectiveness of deep brain stimulation in children with medication-refractory non-degenerative monogenic dystonia is heterogeneous and long-term results are sparse. Objectives: To describe long-term outcomes in a single-center cohort and compare our results to a meta-analysis cohort form literature. Methods: We performed a retrospective single-center cohort study including consecutive pediatric patients with non-degenerative genetic or idiopathic dystonia treated with globus pallidus internus deep brain stimulation at our center and a systematic review and individual-patient data meta-analysis with the same inclusion criteria. The primary outcome was the change from baseline in the BFMDRSM score. Results: The clinical cohort included 25 patients with a mean study follow-up of 11.4 years. The meta-analysis cohort included 224 patients with a mean follow-up of 3 years. Overall, the BFMDRSM mean improvements at 1 year and at last follow-up were 41% and 33% in the clinical cohort and 58.9% and 57.2% in the meta-analysis cohort, respectively. TOR1A-dystonia showed the greatest and most stable BFMDRS-M improvement in both cohorts at 1 year and at last follow-up (76.3% and 74.3% in the clinical cohort; 69.6% and 67.3% in the meta-analysis cohort), followed by SGCEdystonia (63% and 63.9% in the meta-analysis cohort). THAP1-dystonia (70.1% and 29.8% in the clinical cohort; 52.3% and 42.0% in the meta-analysis cohort) and KMT2B-dystonia (33.3% and 41.3%in the clinical cohort; 38.0% and 26.7% in the meta-analysis cohort) showed a less pronounced or sustained response. Conclusion: Globus pallidus deep brain stimulation long-term treatment seems effective with a possible gene-specific differential effect.","container-title":"Movement Disorders","DOI":"10.1002/mds.29815","ISSN":"0885-3185","journalAbbreviation":"Movement Disorders","language":"en","title":"Long-term GPi DBS in pediatric non-degenerative genetic dystonia: a cohort study and a meta-analysis","author":[{"family":"Duga","given":"Valentina"},{"family":"Giossi","given":"Riccardo"},{"family":"Romito","given":"Luigi Michele"},{"family":"Stanziano","given":"Mario"},{"family":"Levi","given":"Vincenzo"},{"family":"Panteghini","given":"Celeste"},{"family":"Zorzi","given":"Giovanna"},{"family":"Nardocci","given":"Nardo"}]}}],"schema":"https://github.com/citation-style-language/schema/raw/master/csl-citation.json"} </w:instrText>
            </w:r>
            <w:r w:rsidRPr="005500F7">
              <w:rPr>
                <w:rFonts w:ascii="Aptos" w:hAnsi="Aptos"/>
                <w:sz w:val="20"/>
                <w:szCs w:val="20"/>
              </w:rPr>
              <w:fldChar w:fldCharType="separate"/>
            </w:r>
            <w:r w:rsidRPr="00FF4210">
              <w:rPr>
                <w:rFonts w:ascii="Aptos" w:hAnsi="Aptos" w:cs="Times New Roman"/>
                <w:sz w:val="20"/>
                <w:vertAlign w:val="superscript"/>
              </w:rPr>
              <w:t>96</w:t>
            </w:r>
            <w:r w:rsidRPr="005500F7">
              <w:rPr>
                <w:rFonts w:ascii="Aptos" w:hAnsi="Aptos"/>
                <w:sz w:val="20"/>
                <w:szCs w:val="20"/>
              </w:rPr>
              <w:fldChar w:fldCharType="end"/>
            </w:r>
          </w:p>
          <w:p w14:paraId="3AF9B7F3" w14:textId="0ED6AD31"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sidRPr="005500F7">
              <w:rPr>
                <w:rFonts w:ascii="Aptos" w:hAnsi="Aptos"/>
                <w:sz w:val="20"/>
                <w:szCs w:val="20"/>
              </w:rPr>
              <w:t>(Patient #12)</w:t>
            </w:r>
          </w:p>
        </w:tc>
      </w:tr>
      <w:tr w:rsidR="00923F18" w:rsidRPr="005500F7" w14:paraId="03B6704C" w14:textId="1912C5B6" w:rsidTr="003C10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5534B3AA" w14:textId="7A36F47B"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Pat1</w:t>
            </w:r>
            <w:r>
              <w:rPr>
                <w:rFonts w:ascii="Aptos" w:hAnsi="Aptos"/>
                <w:b w:val="0"/>
                <w:bCs w:val="0"/>
                <w:sz w:val="20"/>
                <w:szCs w:val="20"/>
              </w:rPr>
              <w:t>7</w:t>
            </w:r>
          </w:p>
        </w:tc>
        <w:tc>
          <w:tcPr>
            <w:tcW w:w="908" w:type="dxa"/>
            <w:shd w:val="clear" w:color="auto" w:fill="FFFFFF" w:themeFill="background1"/>
            <w:vAlign w:val="center"/>
          </w:tcPr>
          <w:p w14:paraId="61DD5D71" w14:textId="01636C63"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TOR1A</w:t>
            </w:r>
          </w:p>
        </w:tc>
        <w:tc>
          <w:tcPr>
            <w:tcW w:w="2946" w:type="dxa"/>
            <w:shd w:val="clear" w:color="auto" w:fill="FFFFFF" w:themeFill="background1"/>
            <w:vAlign w:val="center"/>
          </w:tcPr>
          <w:p w14:paraId="0456AC58" w14:textId="4A04DD2E"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AC4670">
              <w:rPr>
                <w:rFonts w:ascii="Aptos" w:hAnsi="Aptos"/>
                <w:sz w:val="18"/>
                <w:szCs w:val="18"/>
              </w:rPr>
              <w:t xml:space="preserve">Generalized dystonia with mainly trunk and </w:t>
            </w:r>
            <w:r>
              <w:rPr>
                <w:rFonts w:ascii="Aptos" w:hAnsi="Aptos"/>
                <w:sz w:val="18"/>
                <w:szCs w:val="18"/>
              </w:rPr>
              <w:t>upper</w:t>
            </w:r>
            <w:r w:rsidRPr="00AC4670">
              <w:rPr>
                <w:rFonts w:ascii="Aptos" w:hAnsi="Aptos"/>
                <w:sz w:val="18"/>
                <w:szCs w:val="18"/>
              </w:rPr>
              <w:t xml:space="preserve"> limb involvement </w:t>
            </w:r>
          </w:p>
        </w:tc>
        <w:tc>
          <w:tcPr>
            <w:tcW w:w="2487" w:type="dxa"/>
            <w:shd w:val="clear" w:color="auto" w:fill="FFFFFF" w:themeFill="background1"/>
            <w:vAlign w:val="center"/>
          </w:tcPr>
          <w:p w14:paraId="53E66231"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183D32">
              <w:rPr>
                <w:rFonts w:ascii="Aptos" w:hAnsi="Aptos"/>
                <w:sz w:val="18"/>
                <w:szCs w:val="18"/>
              </w:rPr>
              <w:t xml:space="preserve">Negative. </w:t>
            </w:r>
          </w:p>
          <w:p w14:paraId="0C1E5BDA" w14:textId="37A61C88"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183D32">
              <w:rPr>
                <w:rFonts w:ascii="Aptos" w:hAnsi="Aptos"/>
                <w:sz w:val="18"/>
                <w:szCs w:val="18"/>
              </w:rPr>
              <w:t xml:space="preserve">Not </w:t>
            </w:r>
            <w:r>
              <w:rPr>
                <w:rFonts w:ascii="Aptos" w:hAnsi="Aptos"/>
                <w:sz w:val="18"/>
                <w:szCs w:val="18"/>
              </w:rPr>
              <w:t>available</w:t>
            </w:r>
            <w:r w:rsidRPr="00183D32">
              <w:rPr>
                <w:rFonts w:ascii="Aptos" w:hAnsi="Aptos"/>
                <w:sz w:val="18"/>
                <w:szCs w:val="18"/>
              </w:rPr>
              <w:t xml:space="preserve"> segregation analysis</w:t>
            </w:r>
          </w:p>
        </w:tc>
        <w:tc>
          <w:tcPr>
            <w:tcW w:w="1765" w:type="dxa"/>
            <w:shd w:val="clear" w:color="auto" w:fill="FFFFFF" w:themeFill="background1"/>
            <w:vAlign w:val="center"/>
          </w:tcPr>
          <w:p w14:paraId="0037A832" w14:textId="077C4A5F"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r w:rsidR="00923F18" w:rsidRPr="005500F7" w14:paraId="62ACF2F6" w14:textId="723C27CE" w:rsidTr="003C106F">
        <w:trPr>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08FECCA2" w14:textId="7AA159AE"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Pat1</w:t>
            </w:r>
            <w:r>
              <w:rPr>
                <w:rFonts w:ascii="Aptos" w:hAnsi="Aptos"/>
                <w:b w:val="0"/>
                <w:bCs w:val="0"/>
                <w:sz w:val="20"/>
                <w:szCs w:val="20"/>
              </w:rPr>
              <w:t>8</w:t>
            </w:r>
          </w:p>
        </w:tc>
        <w:tc>
          <w:tcPr>
            <w:tcW w:w="908" w:type="dxa"/>
            <w:shd w:val="clear" w:color="auto" w:fill="FFFFFF" w:themeFill="background1"/>
            <w:vAlign w:val="center"/>
          </w:tcPr>
          <w:p w14:paraId="31FD1F18" w14:textId="5E41BA46"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TOR1A</w:t>
            </w:r>
          </w:p>
        </w:tc>
        <w:tc>
          <w:tcPr>
            <w:tcW w:w="2946" w:type="dxa"/>
            <w:shd w:val="clear" w:color="auto" w:fill="FFFFFF" w:themeFill="background1"/>
            <w:vAlign w:val="center"/>
          </w:tcPr>
          <w:p w14:paraId="569EB70E" w14:textId="6B6BD077"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AC4670">
              <w:rPr>
                <w:rFonts w:ascii="Aptos" w:hAnsi="Aptos"/>
                <w:sz w:val="18"/>
                <w:szCs w:val="18"/>
              </w:rPr>
              <w:t xml:space="preserve">Generalized dystonia with mainly </w:t>
            </w:r>
            <w:r>
              <w:rPr>
                <w:rFonts w:ascii="Aptos" w:hAnsi="Aptos"/>
                <w:sz w:val="18"/>
                <w:szCs w:val="18"/>
              </w:rPr>
              <w:t xml:space="preserve">cervical, </w:t>
            </w:r>
            <w:r w:rsidRPr="00AC4670">
              <w:rPr>
                <w:rFonts w:ascii="Aptos" w:hAnsi="Aptos"/>
                <w:sz w:val="18"/>
                <w:szCs w:val="18"/>
              </w:rPr>
              <w:t>trunk</w:t>
            </w:r>
            <w:r>
              <w:rPr>
                <w:rFonts w:ascii="Aptos" w:hAnsi="Aptos"/>
                <w:sz w:val="18"/>
                <w:szCs w:val="18"/>
              </w:rPr>
              <w:t>,</w:t>
            </w:r>
            <w:r w:rsidRPr="00AC4670">
              <w:rPr>
                <w:rFonts w:ascii="Aptos" w:hAnsi="Aptos"/>
                <w:sz w:val="18"/>
                <w:szCs w:val="18"/>
              </w:rPr>
              <w:t xml:space="preserve"> and lower limb involvement </w:t>
            </w:r>
          </w:p>
        </w:tc>
        <w:tc>
          <w:tcPr>
            <w:tcW w:w="2487" w:type="dxa"/>
            <w:shd w:val="clear" w:color="auto" w:fill="FFFFFF" w:themeFill="background1"/>
            <w:vAlign w:val="center"/>
          </w:tcPr>
          <w:p w14:paraId="21E17E09" w14:textId="222948D0"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183D32">
              <w:rPr>
                <w:rFonts w:ascii="Aptos" w:hAnsi="Aptos"/>
                <w:sz w:val="18"/>
                <w:szCs w:val="18"/>
              </w:rPr>
              <w:t xml:space="preserve">Not </w:t>
            </w:r>
            <w:r>
              <w:rPr>
                <w:rFonts w:ascii="Aptos" w:hAnsi="Aptos"/>
                <w:sz w:val="18"/>
                <w:szCs w:val="18"/>
              </w:rPr>
              <w:t>available</w:t>
            </w:r>
            <w:r w:rsidRPr="00183D32">
              <w:rPr>
                <w:rFonts w:ascii="Aptos" w:hAnsi="Aptos"/>
                <w:sz w:val="18"/>
                <w:szCs w:val="18"/>
              </w:rPr>
              <w:t xml:space="preserve"> segregation analysis</w:t>
            </w:r>
          </w:p>
        </w:tc>
        <w:tc>
          <w:tcPr>
            <w:tcW w:w="1765" w:type="dxa"/>
            <w:shd w:val="clear" w:color="auto" w:fill="FFFFFF" w:themeFill="background1"/>
            <w:vAlign w:val="center"/>
          </w:tcPr>
          <w:p w14:paraId="08CFF909" w14:textId="463DE458"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r w:rsidR="00923F18" w:rsidRPr="005500F7" w14:paraId="7AB5B5AC" w14:textId="2D917F0D" w:rsidTr="003C10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1FF1C373" w14:textId="24DB167A"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w:t>
            </w:r>
            <w:r>
              <w:rPr>
                <w:rFonts w:ascii="Aptos" w:hAnsi="Aptos"/>
                <w:b w:val="0"/>
                <w:bCs w:val="0"/>
                <w:sz w:val="20"/>
                <w:szCs w:val="20"/>
              </w:rPr>
              <w:t>19</w:t>
            </w:r>
          </w:p>
        </w:tc>
        <w:tc>
          <w:tcPr>
            <w:tcW w:w="908" w:type="dxa"/>
            <w:shd w:val="clear" w:color="auto" w:fill="FFFFFF" w:themeFill="background1"/>
            <w:vAlign w:val="center"/>
          </w:tcPr>
          <w:p w14:paraId="18E3E4D4" w14:textId="1A9404FF"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TOR1A</w:t>
            </w:r>
          </w:p>
        </w:tc>
        <w:tc>
          <w:tcPr>
            <w:tcW w:w="2946" w:type="dxa"/>
            <w:shd w:val="clear" w:color="auto" w:fill="FFFFFF" w:themeFill="background1"/>
            <w:vAlign w:val="center"/>
          </w:tcPr>
          <w:p w14:paraId="79CE4884" w14:textId="6A62A7FD"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AC4670">
              <w:rPr>
                <w:rFonts w:ascii="Aptos" w:hAnsi="Aptos"/>
                <w:sz w:val="18"/>
                <w:szCs w:val="18"/>
              </w:rPr>
              <w:t xml:space="preserve">Generalized dystonia with mainly trunk and lower limb involvement </w:t>
            </w:r>
          </w:p>
        </w:tc>
        <w:tc>
          <w:tcPr>
            <w:tcW w:w="2487" w:type="dxa"/>
            <w:shd w:val="clear" w:color="auto" w:fill="FFFFFF" w:themeFill="background1"/>
            <w:vAlign w:val="center"/>
          </w:tcPr>
          <w:p w14:paraId="7F293A24"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183D32">
              <w:rPr>
                <w:rFonts w:ascii="Aptos" w:hAnsi="Aptos"/>
                <w:sz w:val="18"/>
                <w:szCs w:val="18"/>
              </w:rPr>
              <w:t xml:space="preserve">Negative. </w:t>
            </w:r>
          </w:p>
          <w:p w14:paraId="79C0F64C" w14:textId="65D3780A"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183D32">
              <w:rPr>
                <w:rFonts w:ascii="Aptos" w:hAnsi="Aptos"/>
                <w:sz w:val="18"/>
                <w:szCs w:val="18"/>
              </w:rPr>
              <w:t xml:space="preserve">Not </w:t>
            </w:r>
            <w:r>
              <w:rPr>
                <w:rFonts w:ascii="Aptos" w:hAnsi="Aptos"/>
                <w:sz w:val="18"/>
                <w:szCs w:val="18"/>
              </w:rPr>
              <w:t>available</w:t>
            </w:r>
            <w:r w:rsidRPr="00183D32">
              <w:rPr>
                <w:rFonts w:ascii="Aptos" w:hAnsi="Aptos"/>
                <w:sz w:val="18"/>
                <w:szCs w:val="18"/>
              </w:rPr>
              <w:t xml:space="preserve"> segregation analysis</w:t>
            </w:r>
          </w:p>
        </w:tc>
        <w:tc>
          <w:tcPr>
            <w:tcW w:w="1765" w:type="dxa"/>
            <w:shd w:val="clear" w:color="auto" w:fill="FFFFFF" w:themeFill="background1"/>
            <w:vAlign w:val="center"/>
          </w:tcPr>
          <w:p w14:paraId="41C3D2B7" w14:textId="4F6DE8E6"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r w:rsidR="00923F18" w:rsidRPr="005500F7" w14:paraId="3636A505" w14:textId="10778AC7" w:rsidTr="003C106F">
        <w:trPr>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368BF34C" w14:textId="7CB11463"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Pat2</w:t>
            </w:r>
            <w:r>
              <w:rPr>
                <w:rFonts w:ascii="Aptos" w:hAnsi="Aptos"/>
                <w:b w:val="0"/>
                <w:bCs w:val="0"/>
                <w:sz w:val="20"/>
                <w:szCs w:val="20"/>
              </w:rPr>
              <w:t>0</w:t>
            </w:r>
          </w:p>
        </w:tc>
        <w:tc>
          <w:tcPr>
            <w:tcW w:w="908" w:type="dxa"/>
            <w:shd w:val="clear" w:color="auto" w:fill="FFFFFF" w:themeFill="background1"/>
            <w:vAlign w:val="center"/>
          </w:tcPr>
          <w:p w14:paraId="320176D0" w14:textId="3B90695A"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TOR1A</w:t>
            </w:r>
          </w:p>
        </w:tc>
        <w:tc>
          <w:tcPr>
            <w:tcW w:w="2946" w:type="dxa"/>
            <w:shd w:val="clear" w:color="auto" w:fill="FFFFFF" w:themeFill="background1"/>
            <w:vAlign w:val="center"/>
          </w:tcPr>
          <w:p w14:paraId="7D37D8FC" w14:textId="61E4286C"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AC4670">
              <w:rPr>
                <w:rFonts w:ascii="Aptos" w:hAnsi="Aptos"/>
                <w:sz w:val="18"/>
                <w:szCs w:val="18"/>
              </w:rPr>
              <w:t xml:space="preserve">Generalized dystonia with mainly trunk and </w:t>
            </w:r>
            <w:r>
              <w:rPr>
                <w:rFonts w:ascii="Aptos" w:hAnsi="Aptos"/>
                <w:sz w:val="18"/>
                <w:szCs w:val="18"/>
              </w:rPr>
              <w:t>upper</w:t>
            </w:r>
            <w:r w:rsidRPr="00AC4670">
              <w:rPr>
                <w:rFonts w:ascii="Aptos" w:hAnsi="Aptos"/>
                <w:sz w:val="18"/>
                <w:szCs w:val="18"/>
              </w:rPr>
              <w:t xml:space="preserve"> limb involvement </w:t>
            </w:r>
          </w:p>
        </w:tc>
        <w:tc>
          <w:tcPr>
            <w:tcW w:w="2487" w:type="dxa"/>
            <w:shd w:val="clear" w:color="auto" w:fill="FFFFFF" w:themeFill="background1"/>
            <w:vAlign w:val="center"/>
          </w:tcPr>
          <w:p w14:paraId="36DB4F03" w14:textId="6CFB5C77" w:rsidR="00923F18"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83D32">
              <w:rPr>
                <w:rFonts w:ascii="Aptos" w:hAnsi="Aptos"/>
                <w:sz w:val="18"/>
                <w:szCs w:val="18"/>
              </w:rPr>
              <w:t xml:space="preserve">Not </w:t>
            </w:r>
            <w:r>
              <w:rPr>
                <w:rFonts w:ascii="Aptos" w:hAnsi="Aptos"/>
                <w:sz w:val="18"/>
                <w:szCs w:val="18"/>
              </w:rPr>
              <w:t>available</w:t>
            </w:r>
            <w:r w:rsidRPr="00183D32">
              <w:rPr>
                <w:rFonts w:ascii="Aptos" w:hAnsi="Aptos"/>
                <w:sz w:val="18"/>
                <w:szCs w:val="18"/>
              </w:rPr>
              <w:t xml:space="preserve"> segregation analysis</w:t>
            </w:r>
            <w:r>
              <w:rPr>
                <w:rFonts w:ascii="Aptos" w:hAnsi="Aptos"/>
                <w:sz w:val="18"/>
                <w:szCs w:val="18"/>
              </w:rPr>
              <w:t>.</w:t>
            </w:r>
          </w:p>
          <w:p w14:paraId="628C2A10" w14:textId="08EFB50B"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Pr>
                <w:rFonts w:ascii="Aptos" w:hAnsi="Aptos"/>
                <w:sz w:val="18"/>
                <w:szCs w:val="18"/>
              </w:rPr>
              <w:t>Son is affected by generalized dystonia due to the same mutation</w:t>
            </w:r>
          </w:p>
        </w:tc>
        <w:tc>
          <w:tcPr>
            <w:tcW w:w="1765" w:type="dxa"/>
            <w:shd w:val="clear" w:color="auto" w:fill="FFFFFF" w:themeFill="background1"/>
            <w:vAlign w:val="center"/>
          </w:tcPr>
          <w:p w14:paraId="5513B508" w14:textId="468C8CBB"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r w:rsidR="00923F18" w:rsidRPr="005500F7" w14:paraId="1815FC74" w14:textId="7014CB58" w:rsidTr="003C10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6965784C" w14:textId="6F01197F"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Pat2</w:t>
            </w:r>
            <w:r>
              <w:rPr>
                <w:rFonts w:ascii="Aptos" w:hAnsi="Aptos"/>
                <w:b w:val="0"/>
                <w:bCs w:val="0"/>
                <w:sz w:val="20"/>
                <w:szCs w:val="20"/>
              </w:rPr>
              <w:t>1</w:t>
            </w:r>
          </w:p>
        </w:tc>
        <w:tc>
          <w:tcPr>
            <w:tcW w:w="908" w:type="dxa"/>
            <w:shd w:val="clear" w:color="auto" w:fill="FFFFFF" w:themeFill="background1"/>
            <w:vAlign w:val="center"/>
          </w:tcPr>
          <w:p w14:paraId="74C4E063" w14:textId="2E267CCF"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TOR1A</w:t>
            </w:r>
          </w:p>
        </w:tc>
        <w:tc>
          <w:tcPr>
            <w:tcW w:w="2946" w:type="dxa"/>
            <w:shd w:val="clear" w:color="auto" w:fill="FFFFFF" w:themeFill="background1"/>
            <w:vAlign w:val="center"/>
          </w:tcPr>
          <w:p w14:paraId="3FE11B91" w14:textId="7E2B3D71"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Pr>
                <w:rFonts w:ascii="Aptos" w:hAnsi="Aptos"/>
                <w:sz w:val="18"/>
                <w:szCs w:val="18"/>
              </w:rPr>
              <w:t>Segmental</w:t>
            </w:r>
            <w:r w:rsidRPr="00AC4670">
              <w:rPr>
                <w:rFonts w:ascii="Aptos" w:hAnsi="Aptos"/>
                <w:sz w:val="18"/>
                <w:szCs w:val="18"/>
              </w:rPr>
              <w:t xml:space="preserve"> </w:t>
            </w:r>
            <w:r>
              <w:rPr>
                <w:rFonts w:ascii="Aptos" w:hAnsi="Aptos"/>
                <w:sz w:val="18"/>
                <w:szCs w:val="18"/>
              </w:rPr>
              <w:t xml:space="preserve">tremulous </w:t>
            </w:r>
            <w:r w:rsidRPr="00AC4670">
              <w:rPr>
                <w:rFonts w:ascii="Aptos" w:hAnsi="Aptos"/>
                <w:sz w:val="18"/>
                <w:szCs w:val="18"/>
              </w:rPr>
              <w:t xml:space="preserve">dystonia with </w:t>
            </w:r>
            <w:r>
              <w:rPr>
                <w:rFonts w:ascii="Aptos" w:hAnsi="Aptos"/>
                <w:sz w:val="18"/>
                <w:szCs w:val="18"/>
              </w:rPr>
              <w:t>severe cervical and upper</w:t>
            </w:r>
            <w:r w:rsidRPr="00AC4670">
              <w:rPr>
                <w:rFonts w:ascii="Aptos" w:hAnsi="Aptos"/>
                <w:sz w:val="18"/>
                <w:szCs w:val="18"/>
              </w:rPr>
              <w:t xml:space="preserve"> limb involvement </w:t>
            </w:r>
          </w:p>
        </w:tc>
        <w:tc>
          <w:tcPr>
            <w:tcW w:w="2487" w:type="dxa"/>
            <w:shd w:val="clear" w:color="auto" w:fill="FFFFFF" w:themeFill="background1"/>
            <w:vAlign w:val="center"/>
          </w:tcPr>
          <w:p w14:paraId="554419F5"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183D32">
              <w:rPr>
                <w:rFonts w:ascii="Aptos" w:hAnsi="Aptos"/>
                <w:sz w:val="18"/>
                <w:szCs w:val="18"/>
              </w:rPr>
              <w:t xml:space="preserve">Negative. </w:t>
            </w:r>
          </w:p>
          <w:p w14:paraId="39EB6F34" w14:textId="5BE1036C"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183D32">
              <w:rPr>
                <w:rFonts w:ascii="Aptos" w:hAnsi="Aptos"/>
                <w:sz w:val="18"/>
                <w:szCs w:val="18"/>
              </w:rPr>
              <w:t xml:space="preserve">Not </w:t>
            </w:r>
            <w:r>
              <w:rPr>
                <w:rFonts w:ascii="Aptos" w:hAnsi="Aptos"/>
                <w:sz w:val="18"/>
                <w:szCs w:val="18"/>
              </w:rPr>
              <w:t>available</w:t>
            </w:r>
            <w:r w:rsidRPr="00183D32">
              <w:rPr>
                <w:rFonts w:ascii="Aptos" w:hAnsi="Aptos"/>
                <w:sz w:val="18"/>
                <w:szCs w:val="18"/>
              </w:rPr>
              <w:t xml:space="preserve"> segregation analysis</w:t>
            </w:r>
          </w:p>
        </w:tc>
        <w:tc>
          <w:tcPr>
            <w:tcW w:w="1765" w:type="dxa"/>
            <w:shd w:val="clear" w:color="auto" w:fill="FFFFFF" w:themeFill="background1"/>
            <w:vAlign w:val="center"/>
          </w:tcPr>
          <w:p w14:paraId="68C9EE32" w14:textId="18FFBF39"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r w:rsidR="00923F18" w:rsidRPr="005500F7" w14:paraId="78E4183A" w14:textId="25C3DE7D" w:rsidTr="003C106F">
        <w:trPr>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1E82AA76" w14:textId="624D2B50"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Pat2</w:t>
            </w:r>
            <w:r>
              <w:rPr>
                <w:rFonts w:ascii="Aptos" w:hAnsi="Aptos"/>
                <w:b w:val="0"/>
                <w:bCs w:val="0"/>
                <w:sz w:val="20"/>
                <w:szCs w:val="20"/>
              </w:rPr>
              <w:t>2</w:t>
            </w:r>
          </w:p>
        </w:tc>
        <w:tc>
          <w:tcPr>
            <w:tcW w:w="908" w:type="dxa"/>
            <w:shd w:val="clear" w:color="auto" w:fill="FFFFFF" w:themeFill="background1"/>
            <w:vAlign w:val="center"/>
          </w:tcPr>
          <w:p w14:paraId="15D22CD0" w14:textId="158EE63F"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TOR1A</w:t>
            </w:r>
          </w:p>
        </w:tc>
        <w:tc>
          <w:tcPr>
            <w:tcW w:w="2946" w:type="dxa"/>
            <w:shd w:val="clear" w:color="auto" w:fill="FFFFFF" w:themeFill="background1"/>
            <w:vAlign w:val="center"/>
          </w:tcPr>
          <w:p w14:paraId="3B0DE707" w14:textId="0E25CE90"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AC4670">
              <w:rPr>
                <w:rFonts w:ascii="Aptos" w:hAnsi="Aptos"/>
                <w:sz w:val="18"/>
                <w:szCs w:val="18"/>
              </w:rPr>
              <w:t xml:space="preserve">Generalized dystonia with mainly trunk and lower limb involvement </w:t>
            </w:r>
          </w:p>
        </w:tc>
        <w:tc>
          <w:tcPr>
            <w:tcW w:w="2487" w:type="dxa"/>
            <w:shd w:val="clear" w:color="auto" w:fill="FFFFFF" w:themeFill="background1"/>
            <w:vAlign w:val="center"/>
          </w:tcPr>
          <w:p w14:paraId="3B74B35C" w14:textId="77777777" w:rsidR="00923F18"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83D32">
              <w:rPr>
                <w:rFonts w:ascii="Aptos" w:hAnsi="Aptos"/>
                <w:sz w:val="18"/>
                <w:szCs w:val="18"/>
              </w:rPr>
              <w:t xml:space="preserve">Negative. </w:t>
            </w:r>
          </w:p>
          <w:p w14:paraId="1F64CB9D" w14:textId="5B723145"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183D32">
              <w:rPr>
                <w:rFonts w:ascii="Aptos" w:hAnsi="Aptos"/>
                <w:sz w:val="18"/>
                <w:szCs w:val="18"/>
              </w:rPr>
              <w:t xml:space="preserve">Not </w:t>
            </w:r>
            <w:r>
              <w:rPr>
                <w:rFonts w:ascii="Aptos" w:hAnsi="Aptos"/>
                <w:sz w:val="18"/>
                <w:szCs w:val="18"/>
              </w:rPr>
              <w:t>available</w:t>
            </w:r>
            <w:r w:rsidRPr="00183D32">
              <w:rPr>
                <w:rFonts w:ascii="Aptos" w:hAnsi="Aptos"/>
                <w:sz w:val="18"/>
                <w:szCs w:val="18"/>
              </w:rPr>
              <w:t xml:space="preserve"> segregation analysis</w:t>
            </w:r>
          </w:p>
        </w:tc>
        <w:tc>
          <w:tcPr>
            <w:tcW w:w="1765" w:type="dxa"/>
            <w:shd w:val="clear" w:color="auto" w:fill="FFFFFF" w:themeFill="background1"/>
            <w:vAlign w:val="center"/>
          </w:tcPr>
          <w:p w14:paraId="663B3195" w14:textId="2657A6A8"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r w:rsidR="00923F18" w:rsidRPr="005500F7" w14:paraId="01774EED" w14:textId="07EA089C" w:rsidTr="003C10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6182733D" w14:textId="46D8FE6E"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Pat2</w:t>
            </w:r>
            <w:r>
              <w:rPr>
                <w:rFonts w:ascii="Aptos" w:hAnsi="Aptos"/>
                <w:b w:val="0"/>
                <w:bCs w:val="0"/>
                <w:sz w:val="20"/>
                <w:szCs w:val="20"/>
              </w:rPr>
              <w:t>3</w:t>
            </w:r>
          </w:p>
        </w:tc>
        <w:tc>
          <w:tcPr>
            <w:tcW w:w="908" w:type="dxa"/>
            <w:shd w:val="clear" w:color="auto" w:fill="FFFFFF" w:themeFill="background1"/>
            <w:vAlign w:val="center"/>
          </w:tcPr>
          <w:p w14:paraId="648BC2E6" w14:textId="2623B895"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KMT2B</w:t>
            </w:r>
          </w:p>
        </w:tc>
        <w:tc>
          <w:tcPr>
            <w:tcW w:w="2946" w:type="dxa"/>
            <w:shd w:val="clear" w:color="auto" w:fill="FFFFFF" w:themeFill="background1"/>
            <w:vAlign w:val="center"/>
          </w:tcPr>
          <w:p w14:paraId="60C0E64B" w14:textId="0DA59E0D"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Pr>
                <w:rFonts w:ascii="Aptos" w:hAnsi="Aptos"/>
                <w:sz w:val="18"/>
                <w:szCs w:val="18"/>
              </w:rPr>
              <w:t>Generalized dystonia with mainly trunk, upper</w:t>
            </w:r>
            <w:r w:rsidRPr="00F7440B">
              <w:rPr>
                <w:rFonts w:ascii="Aptos" w:hAnsi="Aptos"/>
                <w:sz w:val="18"/>
                <w:szCs w:val="18"/>
              </w:rPr>
              <w:t xml:space="preserve"> limbs</w:t>
            </w:r>
            <w:r>
              <w:rPr>
                <w:rFonts w:ascii="Aptos" w:hAnsi="Aptos"/>
                <w:sz w:val="18"/>
                <w:szCs w:val="18"/>
              </w:rPr>
              <w:t>,</w:t>
            </w:r>
            <w:r w:rsidRPr="00F7440B">
              <w:rPr>
                <w:rFonts w:ascii="Aptos" w:hAnsi="Aptos"/>
                <w:sz w:val="18"/>
                <w:szCs w:val="18"/>
              </w:rPr>
              <w:t xml:space="preserve"> </w:t>
            </w:r>
            <w:r>
              <w:rPr>
                <w:rFonts w:ascii="Aptos" w:hAnsi="Aptos"/>
                <w:sz w:val="18"/>
                <w:szCs w:val="18"/>
              </w:rPr>
              <w:t xml:space="preserve">and oromandibular involvement </w:t>
            </w:r>
          </w:p>
        </w:tc>
        <w:tc>
          <w:tcPr>
            <w:tcW w:w="2487" w:type="dxa"/>
            <w:shd w:val="clear" w:color="auto" w:fill="FFFFFF" w:themeFill="background1"/>
            <w:vAlign w:val="center"/>
          </w:tcPr>
          <w:p w14:paraId="4B842099"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Pr>
                <w:rFonts w:ascii="Aptos" w:hAnsi="Aptos"/>
                <w:sz w:val="18"/>
                <w:szCs w:val="18"/>
              </w:rPr>
              <w:t xml:space="preserve">Negative. </w:t>
            </w:r>
          </w:p>
          <w:p w14:paraId="634FA4EF" w14:textId="25AD1544" w:rsidR="00923F18" w:rsidRPr="00F40199"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Pr>
                <w:rFonts w:ascii="Aptos" w:hAnsi="Aptos"/>
                <w:sz w:val="18"/>
                <w:szCs w:val="18"/>
              </w:rPr>
              <w:t>Parents’ segregation analysis wild type</w:t>
            </w:r>
          </w:p>
        </w:tc>
        <w:tc>
          <w:tcPr>
            <w:tcW w:w="1765" w:type="dxa"/>
            <w:shd w:val="clear" w:color="auto" w:fill="FFFFFF" w:themeFill="background1"/>
            <w:vAlign w:val="center"/>
          </w:tcPr>
          <w:p w14:paraId="2887026C" w14:textId="4F1FB9AA"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lang w:val="it-IT"/>
              </w:rPr>
            </w:pPr>
            <w:r w:rsidRPr="005500F7">
              <w:rPr>
                <w:rFonts w:ascii="Aptos" w:hAnsi="Aptos"/>
                <w:sz w:val="20"/>
                <w:szCs w:val="20"/>
                <w:lang w:val="it-IT"/>
              </w:rPr>
              <w:t>Carecchio et al.</w:t>
            </w:r>
            <w:r w:rsidRPr="005500F7">
              <w:rPr>
                <w:rFonts w:ascii="Aptos" w:hAnsi="Aptos"/>
                <w:sz w:val="20"/>
                <w:szCs w:val="20"/>
              </w:rPr>
              <w:fldChar w:fldCharType="begin"/>
            </w:r>
            <w:r>
              <w:rPr>
                <w:rFonts w:ascii="Aptos" w:hAnsi="Aptos"/>
                <w:sz w:val="20"/>
                <w:szCs w:val="20"/>
                <w:lang w:val="it-IT"/>
              </w:rPr>
              <w:instrText xml:space="preserve"> ADDIN ZOTERO_ITEM CSL_CITATION {"citationID":"7cJHq5yC","properties":{"formattedCitation":"\\super 97\\nosupersub{}","plainCitation":"97","noteIndex":0},"citationItems":[{"id":655,"uris":["http://zotero.org/users/local/qbj29eOf/items/FC6XNZVR"],"itemData":{"id":655,"type":"article-journal","abstract":"Abstract\n            \n              Background\n              \n                Childhood</w:instrText>
            </w:r>
            <w:r>
              <w:rPr>
                <w:rFonts w:ascii="Cambria Math" w:hAnsi="Cambria Math" w:cs="Cambria Math"/>
                <w:sz w:val="20"/>
                <w:szCs w:val="20"/>
                <w:lang w:val="it-IT"/>
              </w:rPr>
              <w:instrText>‐</w:instrText>
            </w:r>
            <w:r>
              <w:rPr>
                <w:rFonts w:ascii="Aptos" w:hAnsi="Aptos"/>
                <w:sz w:val="20"/>
                <w:szCs w:val="20"/>
                <w:lang w:val="it-IT"/>
              </w:rPr>
              <w:instrText>onset dystonia is often genetically determined. Recently,\n                KMT2B\n                variants have been recognized as an important cause of childhood</w:instrText>
            </w:r>
            <w:r>
              <w:rPr>
                <w:rFonts w:ascii="Cambria Math" w:hAnsi="Cambria Math" w:cs="Cambria Math"/>
                <w:sz w:val="20"/>
                <w:szCs w:val="20"/>
                <w:lang w:val="it-IT"/>
              </w:rPr>
              <w:instrText>‐</w:instrText>
            </w:r>
            <w:r>
              <w:rPr>
                <w:rFonts w:ascii="Aptos" w:hAnsi="Aptos"/>
                <w:sz w:val="20"/>
                <w:szCs w:val="20"/>
                <w:lang w:val="it-IT"/>
              </w:rPr>
              <w:instrText>onset dystonia.\n              \n            \n            \n              Objective\n              \n                To define the frequency of\n                KMT2B\n                mutations in a cohort of dystonic patients aged &lt;18 years at onset, the associated clinical and radiological phenotype, and the natural history of disease.\n              \n            \n            \n              Methods\n              Whole</w:instrText>
            </w:r>
            <w:r>
              <w:rPr>
                <w:rFonts w:ascii="Cambria Math" w:hAnsi="Cambria Math" w:cs="Cambria Math"/>
                <w:sz w:val="20"/>
                <w:szCs w:val="20"/>
                <w:lang w:val="it-IT"/>
              </w:rPr>
              <w:instrText>‐</w:instrText>
            </w:r>
            <w:r>
              <w:rPr>
                <w:rFonts w:ascii="Aptos" w:hAnsi="Aptos"/>
                <w:sz w:val="20"/>
                <w:szCs w:val="20"/>
                <w:lang w:val="it-IT"/>
              </w:rPr>
              <w:instrText>exome sequencing or customized gene panels were used to screen a cohort of 65 patients who had previously tested negative for all other known dystonia</w:instrText>
            </w:r>
            <w:r>
              <w:rPr>
                <w:rFonts w:ascii="Cambria Math" w:hAnsi="Cambria Math" w:cs="Cambria Math"/>
                <w:sz w:val="20"/>
                <w:szCs w:val="20"/>
                <w:lang w:val="it-IT"/>
              </w:rPr>
              <w:instrText>‐</w:instrText>
            </w:r>
            <w:r>
              <w:rPr>
                <w:rFonts w:ascii="Aptos" w:hAnsi="Aptos"/>
                <w:sz w:val="20"/>
                <w:szCs w:val="20"/>
                <w:lang w:val="it-IT"/>
              </w:rPr>
              <w:instrText>associated genes.\n            \n            \n              Results\n              \n                We identified 14 patients (21.5%) carrying\n                KMT2B\n                variants, of which 1 was classified as a variant of unknown significance. We also identified 2 additional patients carrying pathogenic mutations in\n                GNAO1\n                and\n                ATM\n                . Overall, we established a definitive genetic diagnosis in 23% of cases. We observed a spectrum of clinical manifestations in\n                KMT2B\n                variant carriers, ranging from generalized dystonia to short stature or intellectual disability alone, even within the same family. In 78.5% of cases, dystonia involved the lower limbs at onset, with later caudocranial generalization. Eight patients underwent pallidal DBS with a median decrease of Burke</w:instrText>
            </w:r>
            <w:r>
              <w:rPr>
                <w:rFonts w:ascii="Cambria Math" w:hAnsi="Cambria Math" w:cs="Cambria Math"/>
                <w:sz w:val="20"/>
                <w:szCs w:val="20"/>
                <w:lang w:val="it-IT"/>
              </w:rPr>
              <w:instrText>‐</w:instrText>
            </w:r>
            <w:r>
              <w:rPr>
                <w:rFonts w:ascii="Aptos" w:hAnsi="Aptos"/>
                <w:sz w:val="20"/>
                <w:szCs w:val="20"/>
                <w:lang w:val="it-IT"/>
              </w:rPr>
              <w:instrText>Fahn</w:instrText>
            </w:r>
            <w:r>
              <w:rPr>
                <w:rFonts w:ascii="Cambria Math" w:hAnsi="Cambria Math" w:cs="Cambria Math"/>
                <w:sz w:val="20"/>
                <w:szCs w:val="20"/>
                <w:lang w:val="it-IT"/>
              </w:rPr>
              <w:instrText>‐</w:instrText>
            </w:r>
            <w:r>
              <w:rPr>
                <w:rFonts w:ascii="Aptos" w:hAnsi="Aptos"/>
                <w:sz w:val="20"/>
                <w:szCs w:val="20"/>
                <w:lang w:val="it-IT"/>
              </w:rPr>
              <w:instrText>Marsden Dystonia Rating Scale</w:instrText>
            </w:r>
            <w:r>
              <w:rPr>
                <w:rFonts w:ascii="Cambria Math" w:hAnsi="Cambria Math" w:cs="Cambria Math"/>
                <w:sz w:val="20"/>
                <w:szCs w:val="20"/>
                <w:lang w:val="it-IT"/>
              </w:rPr>
              <w:instrText>‐</w:instrText>
            </w:r>
            <w:r>
              <w:rPr>
                <w:rFonts w:ascii="Aptos" w:hAnsi="Aptos"/>
                <w:sz w:val="20"/>
                <w:szCs w:val="20"/>
                <w:lang w:val="it-IT"/>
              </w:rPr>
              <w:instrText>Motor score of 38.5% in the long term. We also report on 4 asymptomatic carriers, suggesting that some\n                KMT2B\n                mutations may be associated with incomplete disease penetrance.\n              \n            \n            \n              Conclusions\n              \n                KMT2B\n                mutations are frequent in childhood</w:instrText>
            </w:r>
            <w:r>
              <w:rPr>
                <w:rFonts w:ascii="Cambria Math" w:hAnsi="Cambria Math" w:cs="Cambria Math"/>
                <w:sz w:val="20"/>
                <w:szCs w:val="20"/>
                <w:lang w:val="it-IT"/>
              </w:rPr>
              <w:instrText>‐</w:instrText>
            </w:r>
            <w:r>
              <w:rPr>
                <w:rFonts w:ascii="Aptos" w:hAnsi="Aptos"/>
                <w:sz w:val="20"/>
                <w:szCs w:val="20"/>
                <w:lang w:val="it-IT"/>
              </w:rPr>
              <w:instrText>onset dystonia and cause a complex neurodevelopmental syndrome, often featuring growth retardation and intellectual disability as additional phenotypic features. A dramatic and long</w:instrText>
            </w:r>
            <w:r>
              <w:rPr>
                <w:rFonts w:ascii="Cambria Math" w:hAnsi="Cambria Math" w:cs="Cambria Math"/>
                <w:sz w:val="20"/>
                <w:szCs w:val="20"/>
                <w:lang w:val="it-IT"/>
              </w:rPr>
              <w:instrText>‐</w:instrText>
            </w:r>
            <w:r>
              <w:rPr>
                <w:rFonts w:ascii="Aptos" w:hAnsi="Aptos"/>
                <w:sz w:val="20"/>
                <w:szCs w:val="20"/>
                <w:lang w:val="it-IT"/>
              </w:rPr>
              <w:instrText>lasting response to DBS is characteristic of DYT</w:instrText>
            </w:r>
            <w:r>
              <w:rPr>
                <w:rFonts w:ascii="Cambria Math" w:hAnsi="Cambria Math" w:cs="Cambria Math"/>
                <w:sz w:val="20"/>
                <w:szCs w:val="20"/>
                <w:lang w:val="it-IT"/>
              </w:rPr>
              <w:instrText>‐</w:instrText>
            </w:r>
            <w:r>
              <w:rPr>
                <w:rFonts w:ascii="Aptos" w:hAnsi="Aptos"/>
                <w:sz w:val="20"/>
                <w:szCs w:val="20"/>
                <w:lang w:val="it-IT"/>
              </w:rPr>
              <w:instrText xml:space="preserve">\n                KMT2B\n                dystonia. </w:instrText>
            </w:r>
            <w:r>
              <w:rPr>
                <w:rFonts w:ascii="Aptos" w:hAnsi="Aptos" w:cs="Aptos"/>
                <w:sz w:val="20"/>
                <w:szCs w:val="20"/>
                <w:lang w:val="it-IT"/>
              </w:rPr>
              <w:instrText>©</w:instrText>
            </w:r>
            <w:r>
              <w:rPr>
                <w:rFonts w:ascii="Aptos" w:hAnsi="Aptos"/>
                <w:sz w:val="20"/>
                <w:szCs w:val="20"/>
                <w:lang w:val="it-IT"/>
              </w:rPr>
              <w:instrText xml:space="preserve"> 2019 International Parkinson and Movement Disorder Society","container-title":"Movement Disorders","DOI":"10.1002/mds.27771","ISSN":"0885-3185, 1531-8257","issue":"10","journalAbbreviation":"Movement Disorders","language":"en","page":"1516-1527","source":"DOI.org (Crossref)","title":"Frequency and phenotypic spectrum of &lt;i&gt;KMT2B&lt;/i&gt; dystonia in childhood: A single</w:instrText>
            </w:r>
            <w:r>
              <w:rPr>
                <w:rFonts w:ascii="Cambria Math" w:hAnsi="Cambria Math" w:cs="Cambria Math"/>
                <w:sz w:val="20"/>
                <w:szCs w:val="20"/>
                <w:lang w:val="it-IT"/>
              </w:rPr>
              <w:instrText>‐</w:instrText>
            </w:r>
            <w:r>
              <w:rPr>
                <w:rFonts w:ascii="Aptos" w:hAnsi="Aptos"/>
                <w:sz w:val="20"/>
                <w:szCs w:val="20"/>
                <w:lang w:val="it-IT"/>
              </w:rPr>
              <w:instrText>center cohort study","title-short":"Frequency and phenotypic spectrum of &lt;i&gt;KMT2B&lt;/i&gt; dystonia in childhood","volume":"34","author":[{"family":"Carecchio","given":"Miryam"},{"family":"Invernizzi","given":"Federica"},{"family":"Gonz</w:instrText>
            </w:r>
            <w:r>
              <w:rPr>
                <w:rFonts w:ascii="Aptos" w:hAnsi="Aptos" w:cs="Aptos"/>
                <w:sz w:val="20"/>
                <w:szCs w:val="20"/>
                <w:lang w:val="it-IT"/>
              </w:rPr>
              <w:instrText>à</w:instrText>
            </w:r>
            <w:r>
              <w:rPr>
                <w:rFonts w:ascii="Aptos" w:hAnsi="Aptos"/>
                <w:sz w:val="20"/>
                <w:szCs w:val="20"/>
                <w:lang w:val="it-IT"/>
              </w:rPr>
              <w:instrText>lez</w:instrText>
            </w:r>
            <w:r>
              <w:rPr>
                <w:rFonts w:ascii="Cambria Math" w:hAnsi="Cambria Math" w:cs="Cambria Math"/>
                <w:sz w:val="20"/>
                <w:szCs w:val="20"/>
                <w:lang w:val="it-IT"/>
              </w:rPr>
              <w:instrText>‐</w:instrText>
            </w:r>
            <w:r>
              <w:rPr>
                <w:rFonts w:ascii="Aptos" w:hAnsi="Aptos"/>
                <w:sz w:val="20"/>
                <w:szCs w:val="20"/>
                <w:lang w:val="it-IT"/>
              </w:rPr>
              <w:instrText xml:space="preserve">Latapi","given":"Paulina"},{"family":"Panteghini","given":"Celeste"},{"family":"Zorzi","given":"Giovanna"},{"family":"Romito","given":"Luigi"},{"family":"Leuzzi","given":"Vincenzo"},{"family":"Galosi","given":"Serena"},{"family":"Reale","given":"Chiara"},{"family":"Zibordi","given":"Federica"},{"family":"Joseph","given":"Agnel P."},{"family":"Topf","given":"Maya"},{"family":"Piano","given":"Carla"},{"family":"Bentivoglio","given":"Anna Rita"},{"family":"Girotti","given":"Floriano"},{"family":"Morana","given":"Paolo"},{"family":"Morana","given":"Benedetto"},{"family":"Kurian","given":"Manju A."},{"family":"Garavaglia","given":"Barbara"},{"family":"Mencacci","given":"Niccolò E."},{"family":"Lubbe","given":"Steven J."},{"family":"Nardocci","given":"Nardo"}],"issued":{"date-parts":[["2019",10]]}}}],"schema":"https://github.com/citation-style-language/schema/raw/master/csl-citation.json"} </w:instrText>
            </w:r>
            <w:r w:rsidRPr="005500F7">
              <w:rPr>
                <w:rFonts w:ascii="Aptos" w:hAnsi="Aptos"/>
                <w:sz w:val="20"/>
                <w:szCs w:val="20"/>
              </w:rPr>
              <w:fldChar w:fldCharType="separate"/>
            </w:r>
            <w:r w:rsidRPr="00FF4210">
              <w:rPr>
                <w:rFonts w:ascii="Aptos" w:hAnsi="Aptos" w:cs="Times New Roman"/>
                <w:sz w:val="20"/>
                <w:vertAlign w:val="superscript"/>
              </w:rPr>
              <w:t>97</w:t>
            </w:r>
            <w:r w:rsidRPr="005500F7">
              <w:rPr>
                <w:rFonts w:ascii="Aptos" w:hAnsi="Aptos"/>
                <w:sz w:val="20"/>
                <w:szCs w:val="20"/>
              </w:rPr>
              <w:fldChar w:fldCharType="end"/>
            </w:r>
          </w:p>
          <w:p w14:paraId="3858F63B" w14:textId="3EAB093C"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lang w:val="it-IT"/>
              </w:rPr>
            </w:pPr>
            <w:r w:rsidRPr="005500F7">
              <w:rPr>
                <w:rFonts w:ascii="Aptos" w:hAnsi="Aptos"/>
                <w:sz w:val="20"/>
                <w:szCs w:val="20"/>
                <w:lang w:val="it-IT"/>
              </w:rPr>
              <w:t xml:space="preserve">(Patient #6) </w:t>
            </w:r>
          </w:p>
        </w:tc>
      </w:tr>
      <w:tr w:rsidR="00923F18" w:rsidRPr="005500F7" w14:paraId="5315D06E" w14:textId="47EAF9B1" w:rsidTr="003C106F">
        <w:trPr>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591B955D" w14:textId="7C15A28C"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Pat2</w:t>
            </w:r>
            <w:r>
              <w:rPr>
                <w:rFonts w:ascii="Aptos" w:hAnsi="Aptos"/>
                <w:b w:val="0"/>
                <w:bCs w:val="0"/>
                <w:sz w:val="20"/>
                <w:szCs w:val="20"/>
              </w:rPr>
              <w:t>4</w:t>
            </w:r>
          </w:p>
        </w:tc>
        <w:tc>
          <w:tcPr>
            <w:tcW w:w="908" w:type="dxa"/>
            <w:shd w:val="clear" w:color="auto" w:fill="FFFFFF" w:themeFill="background1"/>
            <w:vAlign w:val="center"/>
          </w:tcPr>
          <w:p w14:paraId="123E04A1" w14:textId="436D00B9"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SGCE</w:t>
            </w:r>
          </w:p>
        </w:tc>
        <w:tc>
          <w:tcPr>
            <w:tcW w:w="2946" w:type="dxa"/>
            <w:shd w:val="clear" w:color="auto" w:fill="FFFFFF" w:themeFill="background1"/>
            <w:vAlign w:val="center"/>
          </w:tcPr>
          <w:p w14:paraId="70444C62" w14:textId="6509D4AF"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Pr>
                <w:rFonts w:ascii="Aptos" w:hAnsi="Aptos"/>
                <w:sz w:val="18"/>
                <w:szCs w:val="18"/>
              </w:rPr>
              <w:t xml:space="preserve">Myoclonus dystonia with cervical and upper </w:t>
            </w:r>
            <w:proofErr w:type="gramStart"/>
            <w:r>
              <w:rPr>
                <w:rFonts w:ascii="Aptos" w:hAnsi="Aptos"/>
                <w:sz w:val="18"/>
                <w:szCs w:val="18"/>
              </w:rPr>
              <w:t>limb  distribution</w:t>
            </w:r>
            <w:proofErr w:type="gramEnd"/>
          </w:p>
        </w:tc>
        <w:tc>
          <w:tcPr>
            <w:tcW w:w="2487" w:type="dxa"/>
            <w:shd w:val="clear" w:color="auto" w:fill="FFFFFF" w:themeFill="background1"/>
            <w:vAlign w:val="center"/>
          </w:tcPr>
          <w:p w14:paraId="7DCCA2DA" w14:textId="77777777" w:rsidR="00923F18"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Pr>
                <w:rFonts w:ascii="Aptos" w:hAnsi="Aptos"/>
                <w:sz w:val="18"/>
                <w:szCs w:val="18"/>
              </w:rPr>
              <w:t>Father and sister with myoclonus dystonia</w:t>
            </w:r>
          </w:p>
          <w:p w14:paraId="073338C7" w14:textId="45313948"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p>
        </w:tc>
        <w:tc>
          <w:tcPr>
            <w:tcW w:w="1765" w:type="dxa"/>
            <w:shd w:val="clear" w:color="auto" w:fill="FFFFFF" w:themeFill="background1"/>
            <w:vAlign w:val="center"/>
          </w:tcPr>
          <w:p w14:paraId="1C79E75A" w14:textId="41C6FFCB"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r w:rsidR="00923F18" w:rsidRPr="005500F7" w14:paraId="41426B0A" w14:textId="0BAD1854" w:rsidTr="003C10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06E9F743" w14:textId="0C6F54BA"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Pat2</w:t>
            </w:r>
            <w:r>
              <w:rPr>
                <w:rFonts w:ascii="Aptos" w:hAnsi="Aptos"/>
                <w:b w:val="0"/>
                <w:bCs w:val="0"/>
                <w:sz w:val="20"/>
                <w:szCs w:val="20"/>
              </w:rPr>
              <w:t>5</w:t>
            </w:r>
          </w:p>
        </w:tc>
        <w:tc>
          <w:tcPr>
            <w:tcW w:w="908" w:type="dxa"/>
            <w:shd w:val="clear" w:color="auto" w:fill="FFFFFF" w:themeFill="background1"/>
            <w:vAlign w:val="center"/>
          </w:tcPr>
          <w:p w14:paraId="58BF7D03" w14:textId="47C195D1"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SGCE</w:t>
            </w:r>
          </w:p>
        </w:tc>
        <w:tc>
          <w:tcPr>
            <w:tcW w:w="2946" w:type="dxa"/>
            <w:shd w:val="clear" w:color="auto" w:fill="FFFFFF" w:themeFill="background1"/>
            <w:vAlign w:val="center"/>
          </w:tcPr>
          <w:p w14:paraId="452BB45B" w14:textId="261227AF"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Pr>
                <w:rFonts w:ascii="Aptos" w:hAnsi="Aptos"/>
                <w:sz w:val="18"/>
                <w:szCs w:val="18"/>
              </w:rPr>
              <w:t xml:space="preserve">Myoclonus dystonia with cervical and upper </w:t>
            </w:r>
            <w:proofErr w:type="gramStart"/>
            <w:r>
              <w:rPr>
                <w:rFonts w:ascii="Aptos" w:hAnsi="Aptos"/>
                <w:sz w:val="18"/>
                <w:szCs w:val="18"/>
              </w:rPr>
              <w:t>limb  distribution</w:t>
            </w:r>
            <w:proofErr w:type="gramEnd"/>
          </w:p>
        </w:tc>
        <w:tc>
          <w:tcPr>
            <w:tcW w:w="2487" w:type="dxa"/>
            <w:shd w:val="clear" w:color="auto" w:fill="FFFFFF" w:themeFill="background1"/>
            <w:vAlign w:val="center"/>
          </w:tcPr>
          <w:p w14:paraId="2E907105"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183D32">
              <w:rPr>
                <w:rFonts w:ascii="Aptos" w:hAnsi="Aptos"/>
                <w:sz w:val="18"/>
                <w:szCs w:val="18"/>
              </w:rPr>
              <w:t xml:space="preserve">Negative. </w:t>
            </w:r>
          </w:p>
          <w:p w14:paraId="38B2DFD9" w14:textId="21891C53"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183D32">
              <w:rPr>
                <w:rFonts w:ascii="Aptos" w:hAnsi="Aptos"/>
                <w:sz w:val="18"/>
                <w:szCs w:val="18"/>
              </w:rPr>
              <w:t xml:space="preserve">Not </w:t>
            </w:r>
            <w:r>
              <w:rPr>
                <w:rFonts w:ascii="Aptos" w:hAnsi="Aptos"/>
                <w:sz w:val="18"/>
                <w:szCs w:val="18"/>
              </w:rPr>
              <w:t>available</w:t>
            </w:r>
            <w:r w:rsidRPr="00183D32">
              <w:rPr>
                <w:rFonts w:ascii="Aptos" w:hAnsi="Aptos"/>
                <w:sz w:val="18"/>
                <w:szCs w:val="18"/>
              </w:rPr>
              <w:t xml:space="preserve"> segregation analysis</w:t>
            </w:r>
          </w:p>
        </w:tc>
        <w:tc>
          <w:tcPr>
            <w:tcW w:w="1765" w:type="dxa"/>
            <w:shd w:val="clear" w:color="auto" w:fill="FFFFFF" w:themeFill="background1"/>
            <w:vAlign w:val="center"/>
          </w:tcPr>
          <w:p w14:paraId="0A8AFD93" w14:textId="78A74B29"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lang w:val="it-IT"/>
              </w:rPr>
            </w:pPr>
            <w:r w:rsidRPr="005500F7">
              <w:rPr>
                <w:rFonts w:ascii="Aptos" w:hAnsi="Aptos"/>
                <w:sz w:val="20"/>
                <w:szCs w:val="20"/>
                <w:lang w:val="it-IT"/>
              </w:rPr>
              <w:t>Lunardini et al.</w:t>
            </w:r>
            <w:r w:rsidRPr="005500F7">
              <w:rPr>
                <w:rFonts w:ascii="Aptos" w:hAnsi="Aptos"/>
                <w:sz w:val="20"/>
                <w:szCs w:val="20"/>
                <w:lang w:val="it-IT"/>
              </w:rPr>
              <w:fldChar w:fldCharType="begin"/>
            </w:r>
            <w:r>
              <w:rPr>
                <w:rFonts w:ascii="Aptos" w:hAnsi="Aptos"/>
                <w:sz w:val="20"/>
                <w:szCs w:val="20"/>
                <w:lang w:val="it-IT"/>
              </w:rPr>
              <w:instrText xml:space="preserve"> ADDIN ZOTERO_ITEM CSL_CITATION {"citationID":"SfmWCuND","properties":{"formattedCitation":"\\super 98\\nosupersub{}","plainCitation":"98","noteIndex":0},"citationItems":[{"id":657,"uris":["http://zotero.org/users/local/qbj29eOf/items/M7ALBYSN"],"itemData":{"id":657,"type":"article-journal","container-title":"Neurological Sciences","DOI":"10.1007/s10072-023-07063-6","ISSN":"1590-1874, 1590-3478","issue":"1","journalAbbreviation":"Neurol Sci","language":"en","page":"335-340","source":"DOI.org (Crossref)","title":"The effect of GPi-DBS assessed by gait analysis in DYT11 dystonia: a case study","title-short":"The effect of GPi-DBS assessed by gait analysis in DYT11 dystonia","volume":"45","author":[{"family":"Lunardini","given":"Francesca"},{"family":"Satolli","given":"Sara"},{"family":"Levi","given":"Vincenzo"},{"family":"Rossi Sebastiano","given":"Davide"},{"family":"Zorzi","given":"Giovanna Simonetta"}],"issued":{"date-parts":[["2024",1]]}}}],"schema":"https://github.com/citation-style-language/schema/raw/master/csl-citation.json"} </w:instrText>
            </w:r>
            <w:r w:rsidRPr="005500F7">
              <w:rPr>
                <w:rFonts w:ascii="Aptos" w:hAnsi="Aptos"/>
                <w:sz w:val="20"/>
                <w:szCs w:val="20"/>
                <w:lang w:val="it-IT"/>
              </w:rPr>
              <w:fldChar w:fldCharType="separate"/>
            </w:r>
            <w:r w:rsidRPr="00FF4210">
              <w:rPr>
                <w:rFonts w:ascii="Aptos" w:hAnsi="Aptos" w:cs="Times New Roman"/>
                <w:sz w:val="20"/>
                <w:vertAlign w:val="superscript"/>
              </w:rPr>
              <w:t>98</w:t>
            </w:r>
            <w:r w:rsidRPr="005500F7">
              <w:rPr>
                <w:rFonts w:ascii="Aptos" w:hAnsi="Aptos"/>
                <w:sz w:val="20"/>
                <w:szCs w:val="20"/>
                <w:lang w:val="it-IT"/>
              </w:rPr>
              <w:fldChar w:fldCharType="end"/>
            </w:r>
            <w:r w:rsidRPr="005500F7">
              <w:rPr>
                <w:rFonts w:ascii="Aptos" w:hAnsi="Aptos"/>
                <w:sz w:val="20"/>
                <w:szCs w:val="20"/>
                <w:lang w:val="it-IT"/>
              </w:rPr>
              <w:t xml:space="preserve"> </w:t>
            </w:r>
          </w:p>
        </w:tc>
      </w:tr>
      <w:tr w:rsidR="00923F18" w:rsidRPr="005500F7" w14:paraId="70615C8B" w14:textId="112EA694" w:rsidTr="003C106F">
        <w:trPr>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2C1124FE" w14:textId="24105506"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Pat2</w:t>
            </w:r>
            <w:r>
              <w:rPr>
                <w:rFonts w:ascii="Aptos" w:hAnsi="Aptos"/>
                <w:b w:val="0"/>
                <w:bCs w:val="0"/>
                <w:sz w:val="20"/>
                <w:szCs w:val="20"/>
              </w:rPr>
              <w:t>6</w:t>
            </w:r>
          </w:p>
        </w:tc>
        <w:tc>
          <w:tcPr>
            <w:tcW w:w="908" w:type="dxa"/>
            <w:shd w:val="clear" w:color="auto" w:fill="FFFFFF" w:themeFill="background1"/>
            <w:vAlign w:val="center"/>
          </w:tcPr>
          <w:p w14:paraId="28C4ED41" w14:textId="689D603E"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GNAL</w:t>
            </w:r>
          </w:p>
        </w:tc>
        <w:tc>
          <w:tcPr>
            <w:tcW w:w="2946" w:type="dxa"/>
            <w:shd w:val="clear" w:color="auto" w:fill="FFFFFF" w:themeFill="background1"/>
            <w:vAlign w:val="center"/>
          </w:tcPr>
          <w:p w14:paraId="25CEAD4F" w14:textId="219A9BDA"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Pr>
                <w:rFonts w:ascii="Aptos" w:hAnsi="Aptos"/>
                <w:sz w:val="18"/>
                <w:szCs w:val="18"/>
              </w:rPr>
              <w:t>C</w:t>
            </w:r>
            <w:r w:rsidRPr="005E1650">
              <w:rPr>
                <w:rFonts w:ascii="Aptos" w:hAnsi="Aptos"/>
                <w:sz w:val="18"/>
                <w:szCs w:val="18"/>
              </w:rPr>
              <w:t xml:space="preserve">ranio-cervical </w:t>
            </w:r>
            <w:r>
              <w:rPr>
                <w:rFonts w:ascii="Aptos" w:hAnsi="Aptos"/>
                <w:sz w:val="18"/>
                <w:szCs w:val="18"/>
              </w:rPr>
              <w:t xml:space="preserve">tremulous </w:t>
            </w:r>
            <w:r w:rsidRPr="005E1650">
              <w:rPr>
                <w:rFonts w:ascii="Aptos" w:hAnsi="Aptos"/>
                <w:sz w:val="18"/>
                <w:szCs w:val="18"/>
              </w:rPr>
              <w:t>dystonia</w:t>
            </w:r>
          </w:p>
        </w:tc>
        <w:tc>
          <w:tcPr>
            <w:tcW w:w="2487" w:type="dxa"/>
            <w:shd w:val="clear" w:color="auto" w:fill="FFFFFF" w:themeFill="background1"/>
            <w:vAlign w:val="center"/>
          </w:tcPr>
          <w:p w14:paraId="7215F591" w14:textId="77777777" w:rsidR="00923F18"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83D32">
              <w:rPr>
                <w:rFonts w:ascii="Aptos" w:hAnsi="Aptos"/>
                <w:sz w:val="18"/>
                <w:szCs w:val="18"/>
              </w:rPr>
              <w:t>Negative</w:t>
            </w:r>
            <w:r>
              <w:rPr>
                <w:rFonts w:ascii="Aptos" w:hAnsi="Aptos"/>
                <w:sz w:val="18"/>
                <w:szCs w:val="18"/>
              </w:rPr>
              <w:t xml:space="preserve">. </w:t>
            </w:r>
          </w:p>
          <w:p w14:paraId="04DB6940" w14:textId="4359B769"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183D32">
              <w:rPr>
                <w:rFonts w:ascii="Aptos" w:hAnsi="Aptos"/>
                <w:sz w:val="18"/>
                <w:szCs w:val="18"/>
              </w:rPr>
              <w:t xml:space="preserve">Not </w:t>
            </w:r>
            <w:r>
              <w:rPr>
                <w:rFonts w:ascii="Aptos" w:hAnsi="Aptos"/>
                <w:sz w:val="18"/>
                <w:szCs w:val="18"/>
              </w:rPr>
              <w:t>available</w:t>
            </w:r>
            <w:r w:rsidRPr="00183D32">
              <w:rPr>
                <w:rFonts w:ascii="Aptos" w:hAnsi="Aptos"/>
                <w:sz w:val="18"/>
                <w:szCs w:val="18"/>
              </w:rPr>
              <w:t xml:space="preserve"> segregation analysis</w:t>
            </w:r>
          </w:p>
        </w:tc>
        <w:tc>
          <w:tcPr>
            <w:tcW w:w="1765" w:type="dxa"/>
            <w:shd w:val="clear" w:color="auto" w:fill="FFFFFF" w:themeFill="background1"/>
            <w:vAlign w:val="center"/>
          </w:tcPr>
          <w:p w14:paraId="45B93BC1" w14:textId="2752C192"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Romito et al.</w:t>
            </w:r>
            <w:r w:rsidRPr="005500F7">
              <w:rPr>
                <w:rFonts w:ascii="Aptos" w:hAnsi="Aptos"/>
                <w:sz w:val="20"/>
                <w:szCs w:val="20"/>
              </w:rPr>
              <w:fldChar w:fldCharType="begin"/>
            </w:r>
            <w:r>
              <w:rPr>
                <w:rFonts w:ascii="Aptos" w:hAnsi="Aptos"/>
                <w:sz w:val="20"/>
                <w:szCs w:val="20"/>
              </w:rPr>
              <w:instrText xml:space="preserve"> ADDIN ZOTERO_ITEM CSL_CITATION {"citationID":"j8QjpxR4","properties":{"formattedCitation":"\\super 99\\nosupersub{}","plainCitation":"99","noteIndex":0},"citationItems":[{"id":659,"uris":["http://zotero.org/users/local/qbj29eOf/items/LY5PNFM5"],"itemData":{"id":659,"type":"article-journal","container-title":"Parkinsonism &amp; Related Disorders","DOI":"10.1016/j.parkreldis.2023.105833","ISSN":"13538020","journalAbbreviation":"Parkinsonism &amp; Related Disorders","language":"en","page":"105833","source":"DOI.org (Crossref)","title":"A novel GNAL pathogenic variant leading to generalized dystonia: Immediate and sustained response to globus pallidus internus deep brain stimulation","title-short":"A novel GNAL pathogenic variant leading to generalized dystonia","volume":"115","author":[{"family":"Romito","given":"Luigi Michele"},{"family":"Paio","given":"Fabio"},{"family":"Andreasi","given":"Nico Golfrè"},{"family":"Panteghini","given":"Celeste"},{"family":"Rinaldo","given":"Sara"},{"family":"Kaymak","given":"Ahmet"},{"family":"Mazzoni","given":"Alberto"},{"family":"Colucci","given":"Fabiana"},{"family":"Levi","given":"Vincenzo"},{"family":"Messina","given":"Giuseppe"},{"family":"Garavaglia","given":"Barbara"},{"family":"Eleopra","given":"Roberto"}],"issued":{"date-parts":[["2023",10]]}}}],"schema":"https://github.com/citation-style-language/schema/raw/master/csl-citation.json"} </w:instrText>
            </w:r>
            <w:r w:rsidRPr="005500F7">
              <w:rPr>
                <w:rFonts w:ascii="Aptos" w:hAnsi="Aptos"/>
                <w:sz w:val="20"/>
                <w:szCs w:val="20"/>
              </w:rPr>
              <w:fldChar w:fldCharType="separate"/>
            </w:r>
            <w:r w:rsidRPr="00FF4210">
              <w:rPr>
                <w:rFonts w:ascii="Aptos" w:hAnsi="Aptos" w:cs="Times New Roman"/>
                <w:sz w:val="20"/>
                <w:vertAlign w:val="superscript"/>
              </w:rPr>
              <w:t>99</w:t>
            </w:r>
            <w:r w:rsidRPr="005500F7">
              <w:rPr>
                <w:rFonts w:ascii="Aptos" w:hAnsi="Aptos"/>
                <w:sz w:val="20"/>
                <w:szCs w:val="20"/>
              </w:rPr>
              <w:fldChar w:fldCharType="end"/>
            </w:r>
          </w:p>
        </w:tc>
      </w:tr>
      <w:tr w:rsidR="00923F18" w:rsidRPr="003C106F" w14:paraId="405EB48F" w14:textId="6E363998" w:rsidTr="003C10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62282559" w14:textId="63DE2058"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Pat2</w:t>
            </w:r>
            <w:r>
              <w:rPr>
                <w:rFonts w:ascii="Aptos" w:hAnsi="Aptos"/>
                <w:b w:val="0"/>
                <w:bCs w:val="0"/>
                <w:sz w:val="20"/>
                <w:szCs w:val="20"/>
              </w:rPr>
              <w:t>7</w:t>
            </w:r>
          </w:p>
        </w:tc>
        <w:tc>
          <w:tcPr>
            <w:tcW w:w="908" w:type="dxa"/>
            <w:shd w:val="clear" w:color="auto" w:fill="FFFFFF" w:themeFill="background1"/>
            <w:vAlign w:val="center"/>
          </w:tcPr>
          <w:p w14:paraId="392DB40E" w14:textId="78822B3F"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GNAL</w:t>
            </w:r>
          </w:p>
        </w:tc>
        <w:tc>
          <w:tcPr>
            <w:tcW w:w="2946" w:type="dxa"/>
            <w:shd w:val="clear" w:color="auto" w:fill="FFFFFF" w:themeFill="background1"/>
            <w:vAlign w:val="center"/>
          </w:tcPr>
          <w:p w14:paraId="29614611" w14:textId="5B8BAAB5"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Pr>
                <w:rFonts w:ascii="Aptos" w:hAnsi="Aptos"/>
                <w:sz w:val="18"/>
                <w:szCs w:val="18"/>
              </w:rPr>
              <w:t>C</w:t>
            </w:r>
            <w:r w:rsidRPr="005E1650">
              <w:rPr>
                <w:rFonts w:ascii="Aptos" w:hAnsi="Aptos"/>
                <w:sz w:val="18"/>
                <w:szCs w:val="18"/>
              </w:rPr>
              <w:t xml:space="preserve">ranio-cervical </w:t>
            </w:r>
            <w:r>
              <w:rPr>
                <w:rFonts w:ascii="Aptos" w:hAnsi="Aptos"/>
                <w:sz w:val="18"/>
                <w:szCs w:val="18"/>
              </w:rPr>
              <w:t xml:space="preserve">tremulous </w:t>
            </w:r>
            <w:r w:rsidRPr="005E1650">
              <w:rPr>
                <w:rFonts w:ascii="Aptos" w:hAnsi="Aptos"/>
                <w:sz w:val="18"/>
                <w:szCs w:val="18"/>
              </w:rPr>
              <w:t>dystonia</w:t>
            </w:r>
            <w:r>
              <w:rPr>
                <w:rFonts w:ascii="Aptos" w:hAnsi="Aptos"/>
                <w:sz w:val="18"/>
                <w:szCs w:val="18"/>
              </w:rPr>
              <w:t>, with laryngeal involvement</w:t>
            </w:r>
          </w:p>
        </w:tc>
        <w:tc>
          <w:tcPr>
            <w:tcW w:w="2487" w:type="dxa"/>
            <w:shd w:val="clear" w:color="auto" w:fill="FFFFFF" w:themeFill="background1"/>
            <w:vAlign w:val="center"/>
          </w:tcPr>
          <w:p w14:paraId="13C9D0DF" w14:textId="1820BA52" w:rsidR="00923F18" w:rsidRPr="00F40199"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Pr>
                <w:rFonts w:ascii="Aptos" w:hAnsi="Aptos"/>
                <w:sz w:val="18"/>
                <w:szCs w:val="18"/>
                <w:lang w:val="en-US"/>
              </w:rPr>
              <w:t>Mother and two brothers with GNAL mutation and mainly cervical dystonia phenotype</w:t>
            </w:r>
          </w:p>
        </w:tc>
        <w:tc>
          <w:tcPr>
            <w:tcW w:w="1765" w:type="dxa"/>
            <w:shd w:val="clear" w:color="auto" w:fill="FFFFFF" w:themeFill="background1"/>
            <w:vAlign w:val="center"/>
          </w:tcPr>
          <w:p w14:paraId="1722966C" w14:textId="6FCD0444"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lang w:val="it-IT"/>
              </w:rPr>
            </w:pPr>
            <w:r w:rsidRPr="005500F7">
              <w:rPr>
                <w:rFonts w:ascii="Aptos" w:hAnsi="Aptos"/>
                <w:sz w:val="20"/>
                <w:szCs w:val="20"/>
                <w:lang w:val="it-IT"/>
              </w:rPr>
              <w:t>Carecchio et al.</w:t>
            </w:r>
            <w:r w:rsidRPr="005500F7">
              <w:rPr>
                <w:rFonts w:ascii="Aptos" w:hAnsi="Aptos"/>
                <w:sz w:val="20"/>
                <w:szCs w:val="20"/>
                <w:lang w:val="it-IT"/>
              </w:rPr>
              <w:fldChar w:fldCharType="begin"/>
            </w:r>
            <w:r>
              <w:rPr>
                <w:rFonts w:ascii="Aptos" w:hAnsi="Aptos"/>
                <w:sz w:val="20"/>
                <w:szCs w:val="20"/>
                <w:lang w:val="it-IT"/>
              </w:rPr>
              <w:instrText xml:space="preserve"> ADDIN ZOTERO_ITEM CSL_CITATION {"citationID":"T246Te1U","properties":{"formattedCitation":"\\super 100\\nosupersub{}","plainCitation":"100","noteIndex":0},"citationItems":[{"id":660,"uris":["http://zotero.org/users/local/qbj29eOf/items/FBSRS8AX"],"itemData":{"id":660,"type":"article-journal","container-title":"Parkinsonism &amp; Related Disorders","DOI":"10.1016/j.parkreldis.2015.12.012","ISSN":"13538020","journalAbbreviation":"Parkinsonism &amp; Related Disorders","language":"en","page":"66-71","source":"DOI.org (Crossref)","title":"Novel GNAL mutation with intra-familial clinical heterogeneity: Expanding the phenotype","title-short":"Novel GNAL mutation with intra-familial clinical heterogeneity","volume":"23","author":[{"family":"Carecchio","given":"Miryam"},{"family":"Panteghini","given":"Celeste"},{"family":"Reale","given":"Chiara"},{"family":"Barzaghi","given":"Chiara"},{"family":"Monti","given":"Valentina"},{"family":"Romito","given":"Luigi"},{"family":"Sasanelli","given":"Francesco"},{"family":"Garavaglia","given":"Barbara"}],"issued":{"date-parts":[["2016",2]]}}}],"schema":"https://github.com/citation-style-language/schema/raw/master/csl-citation.json"} </w:instrText>
            </w:r>
            <w:r w:rsidRPr="005500F7">
              <w:rPr>
                <w:rFonts w:ascii="Aptos" w:hAnsi="Aptos"/>
                <w:sz w:val="20"/>
                <w:szCs w:val="20"/>
                <w:lang w:val="it-IT"/>
              </w:rPr>
              <w:fldChar w:fldCharType="separate"/>
            </w:r>
            <w:r w:rsidRPr="00FF4210">
              <w:rPr>
                <w:rFonts w:ascii="Aptos" w:hAnsi="Aptos" w:cs="Times New Roman"/>
                <w:sz w:val="20"/>
                <w:vertAlign w:val="superscript"/>
                <w:lang w:val="it-IT"/>
              </w:rPr>
              <w:t>100</w:t>
            </w:r>
            <w:r w:rsidRPr="005500F7">
              <w:rPr>
                <w:rFonts w:ascii="Aptos" w:hAnsi="Aptos"/>
                <w:sz w:val="20"/>
                <w:szCs w:val="20"/>
                <w:lang w:val="it-IT"/>
              </w:rPr>
              <w:fldChar w:fldCharType="end"/>
            </w:r>
          </w:p>
          <w:p w14:paraId="314C7E4C" w14:textId="24F168BB"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lang w:val="it-IT"/>
              </w:rPr>
            </w:pPr>
            <w:r w:rsidRPr="005500F7">
              <w:rPr>
                <w:rFonts w:ascii="Aptos" w:hAnsi="Aptos"/>
                <w:sz w:val="20"/>
                <w:szCs w:val="20"/>
                <w:lang w:val="it-IT"/>
              </w:rPr>
              <w:t>(Patient III:4)</w:t>
            </w:r>
          </w:p>
        </w:tc>
      </w:tr>
      <w:tr w:rsidR="00923F18" w:rsidRPr="005500F7" w14:paraId="3CFA38F5" w14:textId="5E95E9AC" w:rsidTr="003C106F">
        <w:trPr>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11E05218" w14:textId="3A98AA17"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Pat2</w:t>
            </w:r>
            <w:r>
              <w:rPr>
                <w:rFonts w:ascii="Aptos" w:hAnsi="Aptos"/>
                <w:b w:val="0"/>
                <w:bCs w:val="0"/>
                <w:sz w:val="20"/>
                <w:szCs w:val="20"/>
              </w:rPr>
              <w:t>8</w:t>
            </w:r>
          </w:p>
        </w:tc>
        <w:tc>
          <w:tcPr>
            <w:tcW w:w="908" w:type="dxa"/>
            <w:shd w:val="clear" w:color="auto" w:fill="FFFFFF" w:themeFill="background1"/>
            <w:vAlign w:val="center"/>
          </w:tcPr>
          <w:p w14:paraId="65BA1598" w14:textId="34C21256"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PANK2</w:t>
            </w:r>
          </w:p>
        </w:tc>
        <w:tc>
          <w:tcPr>
            <w:tcW w:w="2946" w:type="dxa"/>
            <w:shd w:val="clear" w:color="auto" w:fill="FFFFFF" w:themeFill="background1"/>
            <w:vAlign w:val="center"/>
          </w:tcPr>
          <w:p w14:paraId="2EDB4EDF" w14:textId="1D6B99D1" w:rsidR="00923F18" w:rsidRPr="006B182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AC4670">
              <w:rPr>
                <w:rFonts w:ascii="Aptos" w:hAnsi="Aptos"/>
                <w:sz w:val="18"/>
                <w:szCs w:val="18"/>
              </w:rPr>
              <w:t xml:space="preserve">Generalized dystonia with </w:t>
            </w:r>
            <w:r>
              <w:rPr>
                <w:rFonts w:ascii="Aptos" w:hAnsi="Aptos"/>
                <w:sz w:val="18"/>
                <w:szCs w:val="18"/>
              </w:rPr>
              <w:t>severe dysarthria</w:t>
            </w:r>
          </w:p>
        </w:tc>
        <w:tc>
          <w:tcPr>
            <w:tcW w:w="2487" w:type="dxa"/>
            <w:shd w:val="clear" w:color="auto" w:fill="FFFFFF" w:themeFill="background1"/>
            <w:vAlign w:val="center"/>
          </w:tcPr>
          <w:p w14:paraId="22FBD0E8" w14:textId="77777777" w:rsidR="00923F18"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sidRPr="00183D32">
              <w:rPr>
                <w:rFonts w:ascii="Aptos" w:hAnsi="Aptos"/>
                <w:sz w:val="18"/>
                <w:szCs w:val="18"/>
              </w:rPr>
              <w:t>Negative</w:t>
            </w:r>
            <w:r>
              <w:rPr>
                <w:rFonts w:ascii="Aptos" w:hAnsi="Aptos"/>
                <w:sz w:val="18"/>
                <w:szCs w:val="18"/>
              </w:rPr>
              <w:t xml:space="preserve">. </w:t>
            </w:r>
          </w:p>
          <w:p w14:paraId="2E6D9502" w14:textId="0871601D" w:rsidR="00923F18" w:rsidRPr="00F40199"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183D32">
              <w:rPr>
                <w:rFonts w:ascii="Aptos" w:hAnsi="Aptos"/>
                <w:sz w:val="18"/>
                <w:szCs w:val="18"/>
              </w:rPr>
              <w:t xml:space="preserve">Not </w:t>
            </w:r>
            <w:r>
              <w:rPr>
                <w:rFonts w:ascii="Aptos" w:hAnsi="Aptos"/>
                <w:sz w:val="18"/>
                <w:szCs w:val="18"/>
              </w:rPr>
              <w:t>available</w:t>
            </w:r>
            <w:r w:rsidRPr="00183D32">
              <w:rPr>
                <w:rFonts w:ascii="Aptos" w:hAnsi="Aptos"/>
                <w:sz w:val="18"/>
                <w:szCs w:val="18"/>
              </w:rPr>
              <w:t xml:space="preserve"> segregation analysis</w:t>
            </w:r>
          </w:p>
        </w:tc>
        <w:tc>
          <w:tcPr>
            <w:tcW w:w="1765" w:type="dxa"/>
            <w:shd w:val="clear" w:color="auto" w:fill="FFFFFF" w:themeFill="background1"/>
            <w:vAlign w:val="center"/>
          </w:tcPr>
          <w:p w14:paraId="383250F0" w14:textId="6BCB8DB1" w:rsidR="00923F18" w:rsidRPr="005500F7" w:rsidRDefault="00EE7B65"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Pr>
                <w:rFonts w:ascii="Aptos" w:hAnsi="Aptos"/>
                <w:sz w:val="20"/>
                <w:szCs w:val="20"/>
              </w:rPr>
              <w:t>Not yet described</w:t>
            </w:r>
          </w:p>
        </w:tc>
      </w:tr>
      <w:tr w:rsidR="00923F18" w:rsidRPr="005500F7" w14:paraId="6D47BB7C" w14:textId="7D57DEC6" w:rsidTr="003C106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6667D090" w14:textId="7B07B529" w:rsidR="00923F18" w:rsidRPr="005500F7" w:rsidRDefault="00A22151"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w:t>
            </w:r>
            <w:r>
              <w:rPr>
                <w:rFonts w:ascii="Aptos" w:hAnsi="Aptos"/>
                <w:b w:val="0"/>
                <w:bCs w:val="0"/>
                <w:sz w:val="20"/>
                <w:szCs w:val="20"/>
              </w:rPr>
              <w:t>29</w:t>
            </w:r>
          </w:p>
        </w:tc>
        <w:tc>
          <w:tcPr>
            <w:tcW w:w="908" w:type="dxa"/>
            <w:shd w:val="clear" w:color="auto" w:fill="FFFFFF" w:themeFill="background1"/>
            <w:vAlign w:val="center"/>
          </w:tcPr>
          <w:p w14:paraId="37B9220B" w14:textId="1446503A"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PANK2</w:t>
            </w:r>
          </w:p>
        </w:tc>
        <w:tc>
          <w:tcPr>
            <w:tcW w:w="2946" w:type="dxa"/>
            <w:shd w:val="clear" w:color="auto" w:fill="FFFFFF" w:themeFill="background1"/>
            <w:vAlign w:val="center"/>
          </w:tcPr>
          <w:p w14:paraId="545BD1E4" w14:textId="4CAE0AA1"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AC4670">
              <w:rPr>
                <w:rFonts w:ascii="Aptos" w:hAnsi="Aptos"/>
                <w:sz w:val="18"/>
                <w:szCs w:val="18"/>
              </w:rPr>
              <w:t xml:space="preserve">Generalized dystonia with </w:t>
            </w:r>
            <w:r>
              <w:rPr>
                <w:rFonts w:ascii="Aptos" w:hAnsi="Aptos"/>
                <w:sz w:val="18"/>
                <w:szCs w:val="18"/>
              </w:rPr>
              <w:t xml:space="preserve">severe trunk and lower limb involvement; gait disorder </w:t>
            </w:r>
          </w:p>
        </w:tc>
        <w:tc>
          <w:tcPr>
            <w:tcW w:w="2487" w:type="dxa"/>
            <w:shd w:val="clear" w:color="auto" w:fill="FFFFFF" w:themeFill="background1"/>
            <w:vAlign w:val="center"/>
          </w:tcPr>
          <w:p w14:paraId="18F09CC9"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183D32">
              <w:rPr>
                <w:rFonts w:ascii="Aptos" w:hAnsi="Aptos"/>
                <w:sz w:val="18"/>
                <w:szCs w:val="18"/>
              </w:rPr>
              <w:t>Negative</w:t>
            </w:r>
            <w:r>
              <w:rPr>
                <w:rFonts w:ascii="Aptos" w:hAnsi="Aptos"/>
                <w:sz w:val="18"/>
                <w:szCs w:val="18"/>
              </w:rPr>
              <w:t xml:space="preserve">. </w:t>
            </w:r>
          </w:p>
          <w:p w14:paraId="6190061F" w14:textId="1D4FECD1" w:rsidR="00923F18" w:rsidRPr="00F40199"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18"/>
                <w:szCs w:val="18"/>
              </w:rPr>
              <w:t>Parents’ segregation analysis wild type</w:t>
            </w:r>
          </w:p>
        </w:tc>
        <w:tc>
          <w:tcPr>
            <w:tcW w:w="1765" w:type="dxa"/>
            <w:shd w:val="clear" w:color="auto" w:fill="FFFFFF" w:themeFill="background1"/>
            <w:vAlign w:val="center"/>
          </w:tcPr>
          <w:p w14:paraId="2F0A5F19" w14:textId="0FD636A7"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r w:rsidR="00923F18" w:rsidRPr="005500F7" w14:paraId="3B787626" w14:textId="3BEEFDA7" w:rsidTr="003C106F">
        <w:trPr>
          <w:trHeight w:val="64"/>
        </w:trPr>
        <w:tc>
          <w:tcPr>
            <w:cnfStyle w:val="001000000000" w:firstRow="0" w:lastRow="0" w:firstColumn="1" w:lastColumn="0" w:oddVBand="0" w:evenVBand="0" w:oddHBand="0" w:evenHBand="0" w:firstRowFirstColumn="0" w:firstRowLastColumn="0" w:lastRowFirstColumn="0" w:lastRowLastColumn="0"/>
            <w:tcW w:w="1216" w:type="dxa"/>
            <w:shd w:val="clear" w:color="auto" w:fill="FFFFFF" w:themeFill="background1"/>
            <w:vAlign w:val="center"/>
          </w:tcPr>
          <w:p w14:paraId="0C41989C" w14:textId="1E3CE299" w:rsidR="00923F18" w:rsidRPr="005500F7" w:rsidRDefault="00923F18"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Pat3</w:t>
            </w:r>
            <w:r w:rsidR="00A22151">
              <w:rPr>
                <w:rFonts w:ascii="Aptos" w:hAnsi="Aptos"/>
                <w:b w:val="0"/>
                <w:bCs w:val="0"/>
                <w:sz w:val="20"/>
                <w:szCs w:val="20"/>
              </w:rPr>
              <w:t>0</w:t>
            </w:r>
          </w:p>
        </w:tc>
        <w:tc>
          <w:tcPr>
            <w:tcW w:w="908" w:type="dxa"/>
            <w:shd w:val="clear" w:color="auto" w:fill="FFFFFF" w:themeFill="background1"/>
            <w:vAlign w:val="center"/>
          </w:tcPr>
          <w:p w14:paraId="4B885729" w14:textId="68807285" w:rsidR="00923F18" w:rsidRPr="00264446"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VPS16</w:t>
            </w:r>
          </w:p>
        </w:tc>
        <w:tc>
          <w:tcPr>
            <w:tcW w:w="2946" w:type="dxa"/>
            <w:shd w:val="clear" w:color="auto" w:fill="FFFFFF" w:themeFill="background1"/>
            <w:vAlign w:val="center"/>
          </w:tcPr>
          <w:p w14:paraId="4884AC77" w14:textId="20CDC4CD"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AC4670">
              <w:rPr>
                <w:rFonts w:ascii="Aptos" w:hAnsi="Aptos"/>
                <w:sz w:val="18"/>
                <w:szCs w:val="18"/>
              </w:rPr>
              <w:t xml:space="preserve">Generalized dystonia with </w:t>
            </w:r>
            <w:r>
              <w:rPr>
                <w:rFonts w:ascii="Aptos" w:hAnsi="Aptos"/>
                <w:sz w:val="18"/>
                <w:szCs w:val="18"/>
              </w:rPr>
              <w:t>severe axial involvement; severe dysarthria</w:t>
            </w:r>
          </w:p>
        </w:tc>
        <w:tc>
          <w:tcPr>
            <w:tcW w:w="2487" w:type="dxa"/>
            <w:shd w:val="clear" w:color="auto" w:fill="FFFFFF" w:themeFill="background1"/>
            <w:vAlign w:val="center"/>
          </w:tcPr>
          <w:p w14:paraId="75296F2E" w14:textId="77777777" w:rsidR="00923F18"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sz w:val="18"/>
                <w:szCs w:val="18"/>
              </w:rPr>
            </w:pPr>
            <w:r>
              <w:rPr>
                <w:rFonts w:ascii="Aptos" w:hAnsi="Aptos"/>
                <w:sz w:val="18"/>
                <w:szCs w:val="18"/>
              </w:rPr>
              <w:t>Posit</w:t>
            </w:r>
            <w:r w:rsidRPr="00183D32">
              <w:rPr>
                <w:rFonts w:ascii="Aptos" w:hAnsi="Aptos"/>
                <w:sz w:val="18"/>
                <w:szCs w:val="18"/>
              </w:rPr>
              <w:t>ive</w:t>
            </w:r>
            <w:r>
              <w:rPr>
                <w:rFonts w:ascii="Aptos" w:hAnsi="Aptos"/>
                <w:sz w:val="18"/>
                <w:szCs w:val="18"/>
              </w:rPr>
              <w:t xml:space="preserve">. </w:t>
            </w:r>
          </w:p>
          <w:p w14:paraId="24D932A4" w14:textId="1103AF50" w:rsidR="00923F18" w:rsidRPr="00F40199"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Pr>
                <w:rFonts w:ascii="Aptos" w:hAnsi="Aptos"/>
                <w:sz w:val="18"/>
                <w:szCs w:val="18"/>
              </w:rPr>
              <w:t xml:space="preserve">Father with the same mutation, as phenotype rest and postural jerky tremor, upper limb akinesia. </w:t>
            </w:r>
          </w:p>
        </w:tc>
        <w:tc>
          <w:tcPr>
            <w:tcW w:w="1765" w:type="dxa"/>
            <w:shd w:val="clear" w:color="auto" w:fill="FFFFFF" w:themeFill="background1"/>
            <w:vAlign w:val="center"/>
          </w:tcPr>
          <w:p w14:paraId="5A85B2A7" w14:textId="27FB523A" w:rsidR="00923F18" w:rsidRPr="005500F7" w:rsidRDefault="00923F18" w:rsidP="00923F18">
            <w:pPr>
              <w:pStyle w:val="NoSpacing"/>
              <w:ind w:firstLine="0"/>
              <w:jc w:val="center"/>
              <w:cnfStyle w:val="000000000000" w:firstRow="0" w:lastRow="0" w:firstColumn="0" w:lastColumn="0" w:oddVBand="0" w:evenVBand="0" w:oddHBand="0"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r w:rsidR="00CD6F44" w:rsidRPr="005500F7" w14:paraId="7F90AC9A" w14:textId="56239957" w:rsidTr="00CD6F4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16" w:type="dxa"/>
            <w:tcBorders>
              <w:bottom w:val="single" w:sz="12" w:space="0" w:color="auto"/>
            </w:tcBorders>
            <w:shd w:val="clear" w:color="auto" w:fill="FFFFFF" w:themeFill="background1"/>
            <w:vAlign w:val="center"/>
          </w:tcPr>
          <w:p w14:paraId="17596EF7" w14:textId="55694470" w:rsidR="00923F18" w:rsidRPr="005500F7" w:rsidRDefault="00923F18" w:rsidP="00923F18">
            <w:pPr>
              <w:pStyle w:val="NoSpacing"/>
              <w:ind w:firstLine="0"/>
              <w:jc w:val="center"/>
              <w:rPr>
                <w:rFonts w:ascii="Aptos" w:hAnsi="Aptos" w:cs="Times New Roman"/>
                <w:b w:val="0"/>
                <w:bCs w:val="0"/>
                <w:sz w:val="20"/>
                <w:szCs w:val="20"/>
              </w:rPr>
            </w:pPr>
            <w:r w:rsidRPr="005500F7">
              <w:rPr>
                <w:rFonts w:ascii="Aptos" w:hAnsi="Aptos"/>
                <w:b w:val="0"/>
                <w:bCs w:val="0"/>
                <w:sz w:val="20"/>
                <w:szCs w:val="20"/>
              </w:rPr>
              <w:t>Pat3</w:t>
            </w:r>
            <w:r w:rsidR="00A22151">
              <w:rPr>
                <w:rFonts w:ascii="Aptos" w:hAnsi="Aptos"/>
                <w:b w:val="0"/>
                <w:bCs w:val="0"/>
                <w:sz w:val="20"/>
                <w:szCs w:val="20"/>
              </w:rPr>
              <w:t>1</w:t>
            </w:r>
          </w:p>
        </w:tc>
        <w:tc>
          <w:tcPr>
            <w:tcW w:w="908" w:type="dxa"/>
            <w:tcBorders>
              <w:bottom w:val="single" w:sz="12" w:space="0" w:color="auto"/>
            </w:tcBorders>
            <w:shd w:val="clear" w:color="auto" w:fill="FFFFFF" w:themeFill="background1"/>
            <w:vAlign w:val="center"/>
          </w:tcPr>
          <w:p w14:paraId="5D02C76E" w14:textId="22B65406" w:rsidR="00923F18" w:rsidRPr="00264446"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i/>
                <w:iCs/>
                <w:sz w:val="20"/>
                <w:szCs w:val="20"/>
              </w:rPr>
            </w:pPr>
            <w:r w:rsidRPr="00264446">
              <w:rPr>
                <w:rFonts w:ascii="Aptos" w:hAnsi="Aptos"/>
                <w:i/>
                <w:iCs/>
                <w:sz w:val="20"/>
                <w:szCs w:val="20"/>
              </w:rPr>
              <w:t>PLA2G6</w:t>
            </w:r>
          </w:p>
        </w:tc>
        <w:tc>
          <w:tcPr>
            <w:tcW w:w="2946" w:type="dxa"/>
            <w:tcBorders>
              <w:bottom w:val="single" w:sz="12" w:space="0" w:color="auto"/>
            </w:tcBorders>
            <w:shd w:val="clear" w:color="auto" w:fill="FFFFFF" w:themeFill="background1"/>
            <w:vAlign w:val="center"/>
          </w:tcPr>
          <w:p w14:paraId="4EA9AEA9" w14:textId="42735541"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AC4670">
              <w:rPr>
                <w:rFonts w:ascii="Aptos" w:hAnsi="Aptos"/>
                <w:sz w:val="18"/>
                <w:szCs w:val="18"/>
              </w:rPr>
              <w:t xml:space="preserve">Generalized dystonia with </w:t>
            </w:r>
            <w:r>
              <w:rPr>
                <w:rFonts w:ascii="Aptos" w:hAnsi="Aptos"/>
                <w:sz w:val="18"/>
                <w:szCs w:val="18"/>
              </w:rPr>
              <w:t>severe trunk, cervical, and lower limb involvement</w:t>
            </w:r>
          </w:p>
        </w:tc>
        <w:tc>
          <w:tcPr>
            <w:tcW w:w="2487" w:type="dxa"/>
            <w:tcBorders>
              <w:bottom w:val="single" w:sz="12" w:space="0" w:color="auto"/>
            </w:tcBorders>
            <w:shd w:val="clear" w:color="auto" w:fill="FFFFFF" w:themeFill="background1"/>
            <w:vAlign w:val="center"/>
          </w:tcPr>
          <w:p w14:paraId="486CB865" w14:textId="77777777" w:rsidR="00923F18"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sz w:val="18"/>
                <w:szCs w:val="18"/>
              </w:rPr>
            </w:pPr>
            <w:r w:rsidRPr="00183D32">
              <w:rPr>
                <w:rFonts w:ascii="Aptos" w:hAnsi="Aptos"/>
                <w:sz w:val="18"/>
                <w:szCs w:val="18"/>
              </w:rPr>
              <w:t>Negative</w:t>
            </w:r>
            <w:r>
              <w:rPr>
                <w:rFonts w:ascii="Aptos" w:hAnsi="Aptos"/>
                <w:sz w:val="18"/>
                <w:szCs w:val="18"/>
              </w:rPr>
              <w:t xml:space="preserve">. </w:t>
            </w:r>
          </w:p>
          <w:p w14:paraId="5E9E7238" w14:textId="13FFF6A5" w:rsidR="00923F18" w:rsidRPr="00F40199"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Pr>
                <w:rFonts w:ascii="Aptos" w:hAnsi="Aptos"/>
                <w:sz w:val="18"/>
                <w:szCs w:val="18"/>
              </w:rPr>
              <w:t>Parents’ segregation analysis wild type</w:t>
            </w:r>
          </w:p>
        </w:tc>
        <w:tc>
          <w:tcPr>
            <w:tcW w:w="1765" w:type="dxa"/>
            <w:tcBorders>
              <w:bottom w:val="single" w:sz="12" w:space="0" w:color="auto"/>
            </w:tcBorders>
            <w:shd w:val="clear" w:color="auto" w:fill="FFFFFF" w:themeFill="background1"/>
            <w:vAlign w:val="center"/>
          </w:tcPr>
          <w:p w14:paraId="2EBE954B" w14:textId="6F8E3F54" w:rsidR="00923F18" w:rsidRPr="005500F7" w:rsidRDefault="00923F18" w:rsidP="00923F18">
            <w:pPr>
              <w:pStyle w:val="NoSpacing"/>
              <w:ind w:firstLine="0"/>
              <w:jc w:val="center"/>
              <w:cnfStyle w:val="000000100000" w:firstRow="0" w:lastRow="0" w:firstColumn="0" w:lastColumn="0" w:oddVBand="0" w:evenVBand="0" w:oddHBand="1" w:evenHBand="0" w:firstRowFirstColumn="0" w:firstRowLastColumn="0" w:lastRowFirstColumn="0" w:lastRowLastColumn="0"/>
              <w:rPr>
                <w:rFonts w:ascii="Aptos" w:hAnsi="Aptos" w:cs="Times New Roman"/>
                <w:b/>
                <w:bCs/>
                <w:sz w:val="20"/>
                <w:szCs w:val="20"/>
              </w:rPr>
            </w:pPr>
            <w:r w:rsidRPr="005500F7">
              <w:rPr>
                <w:rFonts w:ascii="Aptos" w:hAnsi="Aptos"/>
                <w:sz w:val="20"/>
                <w:szCs w:val="20"/>
              </w:rPr>
              <w:t>Not yet described</w:t>
            </w:r>
          </w:p>
        </w:tc>
      </w:tr>
    </w:tbl>
    <w:p w14:paraId="5911FDFA" w14:textId="77777777" w:rsidR="00977CE2" w:rsidRPr="005500F7" w:rsidRDefault="00977CE2" w:rsidP="00BA7033">
      <w:pPr>
        <w:rPr>
          <w:rFonts w:ascii="Aptos" w:hAnsi="Aptos"/>
          <w:sz w:val="20"/>
          <w:szCs w:val="20"/>
        </w:rPr>
      </w:pPr>
    </w:p>
    <w:p w14:paraId="4834C22D" w14:textId="77777777" w:rsidR="00BA7033" w:rsidRPr="005500F7" w:rsidRDefault="005400B9" w:rsidP="00BA7033">
      <w:pPr>
        <w:pStyle w:val="Heading1"/>
        <w:rPr>
          <w:rFonts w:ascii="Aptos" w:hAnsi="Aptos"/>
          <w:sz w:val="20"/>
          <w:szCs w:val="20"/>
        </w:rPr>
      </w:pPr>
      <w:r w:rsidRPr="005500F7">
        <w:rPr>
          <w:rFonts w:ascii="Aptos" w:hAnsi="Aptos"/>
          <w:sz w:val="20"/>
          <w:szCs w:val="20"/>
        </w:rPr>
        <w:lastRenderedPageBreak/>
        <w:t>Electrophysiological Data Preprocessing</w:t>
      </w:r>
      <w:bookmarkStart w:id="1" w:name="_Toc83249725"/>
      <w:bookmarkEnd w:id="0"/>
    </w:p>
    <w:p w14:paraId="2B0A1E40" w14:textId="77777777" w:rsidR="00F921C5" w:rsidRPr="005500F7" w:rsidRDefault="006F2516" w:rsidP="005500F7">
      <w:pPr>
        <w:pStyle w:val="Heading2"/>
        <w:rPr>
          <w:sz w:val="20"/>
          <w:szCs w:val="20"/>
        </w:rPr>
      </w:pPr>
      <w:r w:rsidRPr="005500F7">
        <w:rPr>
          <w:sz w:val="20"/>
          <w:szCs w:val="20"/>
        </w:rPr>
        <w:t>Spike Sorting</w:t>
      </w:r>
      <w:bookmarkStart w:id="2" w:name="_Ref72700157"/>
      <w:bookmarkEnd w:id="1"/>
    </w:p>
    <w:p w14:paraId="3E37584A" w14:textId="345099C3" w:rsidR="0072109E" w:rsidRPr="005500F7" w:rsidRDefault="009B46F6" w:rsidP="007A2576">
      <w:pPr>
        <w:pStyle w:val="NoSpacing"/>
        <w:rPr>
          <w:rFonts w:ascii="Aptos" w:hAnsi="Aptos" w:cs="Times New Roman"/>
          <w:sz w:val="20"/>
          <w:szCs w:val="20"/>
        </w:rPr>
      </w:pPr>
      <w:r w:rsidRPr="005500F7">
        <w:rPr>
          <w:rFonts w:ascii="Aptos" w:hAnsi="Aptos" w:cs="Times New Roman"/>
          <w:sz w:val="20"/>
          <w:szCs w:val="20"/>
        </w:rPr>
        <w:t xml:space="preserve">In principle, spikes fired by a neuron recorded by a given electrode have a distinct shape that depends on the morphology of </w:t>
      </w:r>
      <w:r w:rsidR="006F2516" w:rsidRPr="005500F7">
        <w:rPr>
          <w:rFonts w:ascii="Aptos" w:hAnsi="Aptos" w:cs="Times New Roman"/>
          <w:sz w:val="20"/>
          <w:szCs w:val="20"/>
        </w:rPr>
        <w:t>the corresponding</w:t>
      </w:r>
      <w:r w:rsidRPr="005500F7">
        <w:rPr>
          <w:rFonts w:ascii="Aptos" w:hAnsi="Aptos" w:cs="Times New Roman"/>
          <w:sz w:val="20"/>
          <w:szCs w:val="20"/>
        </w:rPr>
        <w:t xml:space="preserve"> dendritic tree and the distance and orientation relative to the recording site, among other factors.</w:t>
      </w:r>
      <w:r w:rsidR="000958E5" w:rsidRPr="005500F7">
        <w:rPr>
          <w:rFonts w:ascii="Aptos" w:hAnsi="Aptos" w:cs="Times New Roman"/>
          <w:sz w:val="20"/>
          <w:szCs w:val="20"/>
        </w:rPr>
        <w:fldChar w:fldCharType="begin"/>
      </w:r>
      <w:r w:rsidR="00FF4210">
        <w:rPr>
          <w:rFonts w:ascii="Aptos" w:hAnsi="Aptos" w:cs="Times New Roman"/>
          <w:sz w:val="20"/>
          <w:szCs w:val="20"/>
        </w:rPr>
        <w:instrText xml:space="preserve"> ADDIN ZOTERO_ITEM CSL_CITATION {"citationID":"7PYOxVRN","properties":{"formattedCitation":"\\super 102\\nosupersub{}","plainCitation":"102","noteIndex":0},"citationItems":[{"id":448,"uris":["http://zotero.org/users/local/qbj29eOf/items/84HT4RL9"],"itemData":{"id":448,"type":"article-journal","abstract":"Although extracellular unit recording is typically used for the detection of spike occurrences, it also has the theoretical ability to report about what are typically considered intracellular features of the action potential. We address this theoretical ability by developing a model system that captures features of experimentally recorded simultaneous intracellular and extracellular recordings of CA1 pyramidal neurons. We use the line source approximation method of Holt and Koch to model the extracellular action potential (EAP) voltage resulting from the spiking activity of individual neurons. We compare the simultaneous intracellular and extracellular recordings of CA1 pyramidal neurons recorded in vivo with model predictions for the same cells reconstructed and simulated with compartmental models. The model accurately reproduces both the waveform and the amplitude of the EAPs, although it was difficult to achieve simultaneous good matches on both the intracellular and extracellular waveforms. This suggests that accounting for the EAP waveform provides a considerable constraint on the overall model. The developed model explains how and why the waveform varies with electrode position relative to the recorded cell. Interestingly, each cell's dendritic morphology had very little impact on the EAP waveform. The model also demonstrates that the varied composition of ionic currents in different cells is reflected in the features of the EAP.","container-title":"Journal of Neurophysiology","DOI":"10.1152/jn.00979.2005","ISSN":"0022-3077, 1522-1598","issue":"5","journalAbbreviation":"Journal of Neurophysiology","language":"en","page":"3113-3128","source":"DOI.org (Crossref)","title":"On the Origin of the Extracellular Action Potential Waveform: A Modeling Study","title-short":"On the Origin of the Extracellular Action Potential Waveform","volume":"95","author":[{"family":"Gold","given":"Carl"},{"family":"Henze","given":"Darrell A."},{"family":"Koch","given":"Christof"},{"family":"Buzsáki","given":"György"}],"issued":{"date-parts":[["2006",5]]}}}],"schema":"https://github.com/citation-style-language/schema/raw/master/csl-citation.json"} </w:instrText>
      </w:r>
      <w:r w:rsidR="000958E5" w:rsidRPr="005500F7">
        <w:rPr>
          <w:rFonts w:ascii="Aptos" w:hAnsi="Aptos" w:cs="Times New Roman"/>
          <w:sz w:val="20"/>
          <w:szCs w:val="20"/>
        </w:rPr>
        <w:fldChar w:fldCharType="separate"/>
      </w:r>
      <w:r w:rsidR="00FF4210" w:rsidRPr="00FF4210">
        <w:rPr>
          <w:rFonts w:ascii="Aptos" w:hAnsi="Aptos" w:cs="Times New Roman"/>
          <w:sz w:val="20"/>
          <w:vertAlign w:val="superscript"/>
        </w:rPr>
        <w:t>102</w:t>
      </w:r>
      <w:r w:rsidR="000958E5" w:rsidRPr="005500F7">
        <w:rPr>
          <w:rFonts w:ascii="Aptos" w:hAnsi="Aptos" w:cs="Times New Roman"/>
          <w:sz w:val="20"/>
          <w:szCs w:val="20"/>
        </w:rPr>
        <w:fldChar w:fldCharType="end"/>
      </w:r>
      <w:r w:rsidR="00E83057" w:rsidRPr="005500F7">
        <w:rPr>
          <w:rFonts w:ascii="Aptos" w:hAnsi="Aptos" w:cs="Times New Roman"/>
          <w:sz w:val="20"/>
          <w:szCs w:val="20"/>
        </w:rPr>
        <w:t xml:space="preserve"> Spike detection and sorting </w:t>
      </w:r>
      <w:r w:rsidR="006F2516" w:rsidRPr="005500F7">
        <w:rPr>
          <w:rFonts w:ascii="Aptos" w:hAnsi="Aptos" w:cs="Times New Roman"/>
          <w:sz w:val="20"/>
          <w:szCs w:val="20"/>
        </w:rPr>
        <w:t>were</w:t>
      </w:r>
      <w:r w:rsidR="00E83057" w:rsidRPr="005500F7">
        <w:rPr>
          <w:rFonts w:ascii="Aptos" w:hAnsi="Aptos" w:cs="Times New Roman"/>
          <w:sz w:val="20"/>
          <w:szCs w:val="20"/>
        </w:rPr>
        <w:t xml:space="preserve"> conducted using </w:t>
      </w:r>
      <w:r w:rsidR="006F2516" w:rsidRPr="005500F7">
        <w:rPr>
          <w:rFonts w:ascii="Aptos" w:hAnsi="Aptos" w:cs="Times New Roman"/>
          <w:sz w:val="20"/>
          <w:szCs w:val="20"/>
        </w:rPr>
        <w:t xml:space="preserve">the </w:t>
      </w:r>
      <w:r w:rsidR="00E83057" w:rsidRPr="005500F7">
        <w:rPr>
          <w:rFonts w:ascii="Aptos" w:hAnsi="Aptos" w:cs="Times New Roman"/>
          <w:sz w:val="20"/>
          <w:szCs w:val="20"/>
        </w:rPr>
        <w:t xml:space="preserve">MATLAB </w:t>
      </w:r>
      <w:r w:rsidR="006F2516" w:rsidRPr="005500F7">
        <w:rPr>
          <w:rFonts w:ascii="Aptos" w:hAnsi="Aptos" w:cs="Times New Roman"/>
          <w:sz w:val="20"/>
          <w:szCs w:val="20"/>
        </w:rPr>
        <w:t xml:space="preserve">toolbox </w:t>
      </w:r>
      <w:r w:rsidR="00E83057" w:rsidRPr="005500F7">
        <w:rPr>
          <w:rFonts w:ascii="Aptos" w:hAnsi="Aptos" w:cs="Times New Roman"/>
          <w:sz w:val="20"/>
          <w:szCs w:val="20"/>
        </w:rPr>
        <w:t>Wave_Clus</w:t>
      </w:r>
      <w:r w:rsidR="00F4193D" w:rsidRPr="005500F7">
        <w:rPr>
          <w:rFonts w:ascii="Aptos" w:hAnsi="Aptos" w:cs="Times New Roman"/>
          <w:sz w:val="20"/>
          <w:szCs w:val="20"/>
        </w:rPr>
        <w:t xml:space="preserve"> which</w:t>
      </w:r>
      <w:r w:rsidR="00E83057" w:rsidRPr="005500F7">
        <w:rPr>
          <w:rFonts w:ascii="Aptos" w:hAnsi="Aptos" w:cs="Times New Roman"/>
          <w:sz w:val="20"/>
          <w:szCs w:val="20"/>
        </w:rPr>
        <w:t xml:space="preserve"> is an unsupervised spike-sorting algorithm </w:t>
      </w:r>
      <w:r w:rsidR="00F4193D" w:rsidRPr="005500F7">
        <w:rPr>
          <w:rFonts w:ascii="Aptos" w:hAnsi="Aptos" w:cs="Times New Roman"/>
          <w:sz w:val="20"/>
          <w:szCs w:val="20"/>
        </w:rPr>
        <w:t xml:space="preserve">that </w:t>
      </w:r>
      <w:r w:rsidR="00E83057" w:rsidRPr="005500F7">
        <w:rPr>
          <w:rFonts w:ascii="Aptos" w:hAnsi="Aptos" w:cs="Times New Roman"/>
          <w:sz w:val="20"/>
          <w:szCs w:val="20"/>
        </w:rPr>
        <w:t>uses wavelet decomposition to extract features of spike waveforms and superparamagnetic clustering (SPC) to cluster spikes into single neural activities.</w:t>
      </w:r>
      <w:r w:rsidR="00E83057" w:rsidRPr="005500F7">
        <w:rPr>
          <w:rFonts w:ascii="Aptos" w:hAnsi="Aptos" w:cs="Times New Roman"/>
          <w:sz w:val="20"/>
          <w:szCs w:val="20"/>
        </w:rPr>
        <w:fldChar w:fldCharType="begin"/>
      </w:r>
      <w:r w:rsidR="00FF4210">
        <w:rPr>
          <w:rFonts w:ascii="Aptos" w:hAnsi="Aptos" w:cs="Times New Roman"/>
          <w:sz w:val="20"/>
          <w:szCs w:val="20"/>
        </w:rPr>
        <w:instrText xml:space="preserve"> ADDIN ZOTERO_ITEM CSL_CITATION {"citationID":"YQ8TVHxn","properties":{"formattedCitation":"\\super 103\\nosupersub{}","plainCitation":"103","noteIndex":0},"citationItems":[{"id":450,"uris":["http://zotero.org/users/local/qbj29eOf/items/8IWS9X4G"],"itemData":{"id":450,"type":"article-journal","abstract":"This study introduces a new method for detecting and sorting spikes from multiunit recordings. The method combines the wave let transform, which localizes distinctive spike features, with super paramagnetic clustering, which allows automatic classification of the data without assumptions such as low variance or gaussian distributions. Moreover, an improved method for setting amplitude thresholds for spike detection is proposed. We describe several criteria for implementation that render the algorithm unsupervised and fast. The algorithm is compared to other conventional methods using several simulated data sets whose characteristics closely resemble those of in vivo recordings. For these data sets, we found that the proposed algorithm outperformed conventional methods.","container-title":"Neural Computation","DOI":"10.1162/089976604774201631","ISSN":"0899-7667, 1530-888X","issue":"8","journalAbbreviation":"Neural Computation","language":"en","page":"1661-1687","source":"DOI.org (Crossref)","title":"Unsupervised Spike Detection and Sorting with Wavelets and Superparamagnetic Clustering","volume":"16","author":[{"family":"Quiroga","given":"R. Quian"},{"family":"Nadasdy","given":"Z."},{"family":"Ben-Shaul","given":"Y."}],"issued":{"date-parts":[["2004",8,1]]}}}],"schema":"https://github.com/citation-style-language/schema/raw/master/csl-citation.json"} </w:instrText>
      </w:r>
      <w:r w:rsidR="00E83057" w:rsidRPr="005500F7">
        <w:rPr>
          <w:rFonts w:ascii="Aptos" w:hAnsi="Aptos" w:cs="Times New Roman"/>
          <w:sz w:val="20"/>
          <w:szCs w:val="20"/>
        </w:rPr>
        <w:fldChar w:fldCharType="separate"/>
      </w:r>
      <w:r w:rsidR="00FF4210" w:rsidRPr="00FF4210">
        <w:rPr>
          <w:rFonts w:ascii="Aptos" w:hAnsi="Aptos" w:cs="Times New Roman"/>
          <w:sz w:val="20"/>
          <w:vertAlign w:val="superscript"/>
        </w:rPr>
        <w:t>103</w:t>
      </w:r>
      <w:r w:rsidR="00E83057" w:rsidRPr="005500F7">
        <w:rPr>
          <w:rFonts w:ascii="Aptos" w:hAnsi="Aptos" w:cs="Times New Roman"/>
          <w:sz w:val="20"/>
          <w:szCs w:val="20"/>
        </w:rPr>
        <w:fldChar w:fldCharType="end"/>
      </w:r>
      <w:r w:rsidR="006F2516" w:rsidRPr="005500F7">
        <w:rPr>
          <w:rFonts w:ascii="Aptos" w:hAnsi="Aptos" w:cs="Times New Roman"/>
          <w:sz w:val="20"/>
          <w:szCs w:val="20"/>
        </w:rPr>
        <w:t xml:space="preserve"> Briefly, we detected multiunit activity in raw recordings by employing a double-threshold-based approach in which the data points exceeded the 4th time the standard deviation of the recording compared to baseline activity, the mean, was considered multiunit activity. From these multiunit events, the toolbox measures 64 Haar wavelet coefficients to characterize the spike shapes at different scales and times. The SPC approach was subsequently used to discriminate the spiking activity of individual neurons. We employed a relatively conservative threshold (4th time the </w:t>
      </w:r>
      <w:r w:rsidR="00F4193D" w:rsidRPr="005500F7">
        <w:rPr>
          <w:rFonts w:ascii="Aptos" w:hAnsi="Aptos" w:cs="Times New Roman"/>
          <w:sz w:val="20"/>
          <w:szCs w:val="20"/>
        </w:rPr>
        <w:t>std</w:t>
      </w:r>
      <w:r w:rsidR="006F2516" w:rsidRPr="005500F7">
        <w:rPr>
          <w:rFonts w:ascii="Aptos" w:hAnsi="Aptos" w:cs="Times New Roman"/>
          <w:sz w:val="20"/>
          <w:szCs w:val="20"/>
        </w:rPr>
        <w:t xml:space="preserve"> from baseline) to reduce the effects of noise components in the operating room on single-unit events, and we uniformly applied this threshold across </w:t>
      </w:r>
      <w:r w:rsidR="00F4193D" w:rsidRPr="005500F7">
        <w:rPr>
          <w:rFonts w:ascii="Aptos" w:hAnsi="Aptos" w:cs="Times New Roman"/>
          <w:sz w:val="20"/>
          <w:szCs w:val="20"/>
        </w:rPr>
        <w:t>MERs</w:t>
      </w:r>
      <w:r w:rsidR="006F2516" w:rsidRPr="005500F7">
        <w:rPr>
          <w:rFonts w:ascii="Aptos" w:hAnsi="Aptos" w:cs="Times New Roman"/>
          <w:sz w:val="20"/>
          <w:szCs w:val="20"/>
        </w:rPr>
        <w:t xml:space="preserve"> of all patients in our cohort.</w:t>
      </w:r>
    </w:p>
    <w:p w14:paraId="6C42DCF5" w14:textId="77777777" w:rsidR="00881413" w:rsidRPr="005500F7" w:rsidRDefault="006F2516" w:rsidP="005500F7">
      <w:pPr>
        <w:pStyle w:val="Heading2"/>
        <w:rPr>
          <w:sz w:val="20"/>
          <w:szCs w:val="20"/>
        </w:rPr>
      </w:pPr>
      <w:bookmarkStart w:id="3" w:name="_Toc83249726"/>
      <w:bookmarkEnd w:id="2"/>
      <w:r w:rsidRPr="005500F7">
        <w:rPr>
          <w:sz w:val="20"/>
          <w:szCs w:val="20"/>
        </w:rPr>
        <w:t>Single</w:t>
      </w:r>
      <w:bookmarkEnd w:id="3"/>
      <w:r w:rsidRPr="005500F7">
        <w:rPr>
          <w:sz w:val="20"/>
          <w:szCs w:val="20"/>
        </w:rPr>
        <w:t>-Unit Activity Defini</w:t>
      </w:r>
      <w:r w:rsidR="00E323B4" w:rsidRPr="005500F7">
        <w:rPr>
          <w:sz w:val="20"/>
          <w:szCs w:val="20"/>
        </w:rPr>
        <w:t>tion</w:t>
      </w:r>
    </w:p>
    <w:p w14:paraId="5C23872F" w14:textId="43F163F2" w:rsidR="00B777D9" w:rsidRPr="005500F7" w:rsidRDefault="009B46F6" w:rsidP="00E323B4">
      <w:pPr>
        <w:pStyle w:val="NoSpacing"/>
        <w:rPr>
          <w:rFonts w:ascii="Aptos" w:hAnsi="Aptos" w:cs="Times New Roman"/>
          <w:sz w:val="20"/>
          <w:szCs w:val="20"/>
        </w:rPr>
      </w:pPr>
      <w:r w:rsidRPr="005500F7">
        <w:rPr>
          <w:rFonts w:ascii="Aptos" w:hAnsi="Aptos" w:cs="Times New Roman"/>
          <w:sz w:val="20"/>
          <w:szCs w:val="20"/>
        </w:rPr>
        <w:t xml:space="preserve">The single-unit activity (SUA) represents the section of the raw data that belongs to the spiking of a single neuron. The [-0.5 +2.5] ms time interval around the peak values of all spikes was extracted from </w:t>
      </w:r>
      <w:r w:rsidR="006F2516" w:rsidRPr="005500F7">
        <w:rPr>
          <w:rFonts w:ascii="Aptos" w:hAnsi="Aptos" w:cs="Times New Roman"/>
          <w:sz w:val="20"/>
          <w:szCs w:val="20"/>
        </w:rPr>
        <w:t xml:space="preserve">the </w:t>
      </w:r>
      <w:r w:rsidRPr="005500F7">
        <w:rPr>
          <w:rFonts w:ascii="Aptos" w:hAnsi="Aptos" w:cs="Times New Roman"/>
          <w:sz w:val="20"/>
          <w:szCs w:val="20"/>
        </w:rPr>
        <w:t xml:space="preserve">raw data and stored as the neural activity of a single neuron. In </w:t>
      </w:r>
      <w:r w:rsidR="006F2516" w:rsidRPr="005500F7">
        <w:rPr>
          <w:rFonts w:ascii="Aptos" w:hAnsi="Aptos" w:cs="Times New Roman"/>
          <w:sz w:val="20"/>
          <w:szCs w:val="20"/>
        </w:rPr>
        <w:t xml:space="preserve">the </w:t>
      </w:r>
      <w:r w:rsidRPr="005500F7">
        <w:rPr>
          <w:rFonts w:ascii="Aptos" w:hAnsi="Aptos" w:cs="Times New Roman"/>
          <w:sz w:val="20"/>
          <w:szCs w:val="20"/>
        </w:rPr>
        <w:t xml:space="preserve">literature, single-unit activity </w:t>
      </w:r>
      <w:r w:rsidR="006F2516" w:rsidRPr="005500F7">
        <w:rPr>
          <w:rFonts w:ascii="Aptos" w:hAnsi="Aptos" w:cs="Times New Roman"/>
          <w:sz w:val="20"/>
          <w:szCs w:val="20"/>
        </w:rPr>
        <w:t>refers to</w:t>
      </w:r>
      <w:r w:rsidRPr="005500F7">
        <w:rPr>
          <w:rFonts w:ascii="Aptos" w:hAnsi="Aptos" w:cs="Times New Roman"/>
          <w:sz w:val="20"/>
          <w:szCs w:val="20"/>
        </w:rPr>
        <w:t xml:space="preserve"> the separable single-unit spike train (SU-ST), not the </w:t>
      </w:r>
      <w:r w:rsidR="00E55FF1" w:rsidRPr="005500F7">
        <w:rPr>
          <w:rFonts w:ascii="Aptos" w:hAnsi="Aptos" w:cs="Times New Roman"/>
          <w:sz w:val="20"/>
          <w:szCs w:val="20"/>
        </w:rPr>
        <w:t>non-separable</w:t>
      </w:r>
      <w:r w:rsidR="006F2516" w:rsidRPr="005500F7">
        <w:rPr>
          <w:rFonts w:ascii="Aptos" w:hAnsi="Aptos" w:cs="Times New Roman"/>
          <w:sz w:val="20"/>
          <w:szCs w:val="20"/>
        </w:rPr>
        <w:t xml:space="preserve"> multiunit</w:t>
      </w:r>
      <w:r w:rsidRPr="005500F7">
        <w:rPr>
          <w:rFonts w:ascii="Aptos" w:hAnsi="Aptos" w:cs="Times New Roman"/>
          <w:sz w:val="20"/>
          <w:szCs w:val="20"/>
        </w:rPr>
        <w:t xml:space="preserve"> spike train (MU-ST).</w:t>
      </w:r>
      <w:r w:rsidR="00CC2BF9" w:rsidRPr="005500F7">
        <w:rPr>
          <w:rFonts w:ascii="Aptos" w:hAnsi="Aptos" w:cs="Times New Roman"/>
          <w:sz w:val="20"/>
          <w:szCs w:val="20"/>
          <w:vertAlign w:val="superscript"/>
        </w:rPr>
        <w:fldChar w:fldCharType="begin"/>
      </w:r>
      <w:r w:rsidR="00FF4210">
        <w:rPr>
          <w:rFonts w:ascii="Aptos" w:hAnsi="Aptos" w:cs="Times New Roman"/>
          <w:sz w:val="20"/>
          <w:szCs w:val="20"/>
          <w:vertAlign w:val="superscript"/>
        </w:rPr>
        <w:instrText xml:space="preserve"> ADDIN ZOTERO_ITEM CSL_CITATION {"citationID":"WJ7RDZKp","properties":{"formattedCitation":"\\super 104\\nosupersub{}","plainCitation":"104","noteIndex":0},"citationItems":[{"id":452,"uris":["http://zotero.org/users/local/qbj29eOf/items/W478GIB3"],"itemData":{"id":452,"type":"article-journal","container-title":"Journal of Neuroscience Methods","DOI":"10.1016/j.jneumeth.2009.10.024","ISSN":"01650270","issue":"1","journalAbbreviation":"Journal of Neuroscience Methods","language":"en","page":"116-129","source":"DOI.org (Crossref)","title":"Revealing neuronal functional organization through the relation between multi-scale oscillatory extracellular signals","volume":"186","author":[{"family":"Moran","given":"A."},{"family":"Bar-Gad","given":"I."}],"issued":{"date-parts":[["2010",1]]}}}],"schema":"https://github.com/citation-style-language/schema/raw/master/csl-citation.json"} </w:instrText>
      </w:r>
      <w:r w:rsidR="00CC2BF9" w:rsidRPr="005500F7">
        <w:rPr>
          <w:rFonts w:ascii="Aptos" w:hAnsi="Aptos" w:cs="Times New Roman"/>
          <w:sz w:val="20"/>
          <w:szCs w:val="20"/>
          <w:vertAlign w:val="superscript"/>
        </w:rPr>
        <w:fldChar w:fldCharType="separate"/>
      </w:r>
      <w:r w:rsidR="00FF4210" w:rsidRPr="00FF4210">
        <w:rPr>
          <w:rFonts w:ascii="Aptos" w:hAnsi="Aptos" w:cs="Times New Roman"/>
          <w:sz w:val="20"/>
          <w:vertAlign w:val="superscript"/>
        </w:rPr>
        <w:t>104</w:t>
      </w:r>
      <w:r w:rsidR="00CC2BF9" w:rsidRPr="005500F7">
        <w:rPr>
          <w:rFonts w:ascii="Aptos" w:hAnsi="Aptos" w:cs="Times New Roman"/>
          <w:sz w:val="20"/>
          <w:szCs w:val="20"/>
          <w:vertAlign w:val="superscript"/>
        </w:rPr>
        <w:fldChar w:fldCharType="end"/>
      </w:r>
      <w:r w:rsidRPr="005500F7">
        <w:rPr>
          <w:rFonts w:ascii="Aptos" w:hAnsi="Aptos" w:cs="Times New Roman"/>
          <w:sz w:val="20"/>
          <w:szCs w:val="20"/>
        </w:rPr>
        <w:t xml:space="preserve"> </w:t>
      </w:r>
      <w:bookmarkStart w:id="4" w:name="_Toc83249730"/>
      <w:r w:rsidRPr="005500F7">
        <w:rPr>
          <w:rFonts w:ascii="Aptos" w:hAnsi="Aptos" w:cs="Times New Roman"/>
          <w:sz w:val="20"/>
          <w:szCs w:val="20"/>
        </w:rPr>
        <w:t>MU-</w:t>
      </w:r>
      <w:r w:rsidR="006F2516" w:rsidRPr="005500F7">
        <w:rPr>
          <w:rFonts w:ascii="Aptos" w:hAnsi="Aptos" w:cs="Times New Roman"/>
          <w:sz w:val="20"/>
          <w:szCs w:val="20"/>
        </w:rPr>
        <w:t>STs</w:t>
      </w:r>
      <w:r w:rsidRPr="005500F7">
        <w:rPr>
          <w:rFonts w:ascii="Aptos" w:hAnsi="Aptos" w:cs="Times New Roman"/>
          <w:sz w:val="20"/>
          <w:szCs w:val="20"/>
        </w:rPr>
        <w:t xml:space="preserve"> are formed by spikes from many neurons</w:t>
      </w:r>
      <w:r w:rsidR="006F2516" w:rsidRPr="005500F7">
        <w:rPr>
          <w:rFonts w:ascii="Aptos" w:hAnsi="Aptos" w:cs="Times New Roman"/>
          <w:sz w:val="20"/>
          <w:szCs w:val="20"/>
        </w:rPr>
        <w:t xml:space="preserve"> and have</w:t>
      </w:r>
      <w:r w:rsidRPr="005500F7">
        <w:rPr>
          <w:rFonts w:ascii="Aptos" w:hAnsi="Aptos" w:cs="Times New Roman"/>
          <w:sz w:val="20"/>
          <w:szCs w:val="20"/>
        </w:rPr>
        <w:t xml:space="preserve"> shapes that cannot be separated because of a low signal-to-noise ratio. The neurons contributing to the multiunit activity are relatively close to the electrode (for their spikes to be detected) but not close enough to enable the clustering of their shapes.</w:t>
      </w:r>
      <w:r w:rsidR="00CC2BF9" w:rsidRPr="005500F7">
        <w:rPr>
          <w:rFonts w:ascii="Aptos" w:hAnsi="Aptos" w:cs="Times New Roman"/>
          <w:sz w:val="20"/>
          <w:szCs w:val="20"/>
        </w:rPr>
        <w:fldChar w:fldCharType="begin"/>
      </w:r>
      <w:r w:rsidR="00FF4210">
        <w:rPr>
          <w:rFonts w:ascii="Aptos" w:hAnsi="Aptos" w:cs="Times New Roman"/>
          <w:sz w:val="20"/>
          <w:szCs w:val="20"/>
        </w:rPr>
        <w:instrText xml:space="preserve"> ADDIN ZOTERO_ITEM CSL_CITATION {"citationID":"M2E6Ezoh","properties":{"formattedCitation":"\\super 105\\nosupersub{}","plainCitation":"105","noteIndex":0},"citationItems":[{"id":453,"uris":["http://zotero.org/users/local/qbj29eOf/items/L85HYVUD"],"itemData":{"id":453,"type":"book","abstract":"Understanding how the brain works is probably the greatest scientific and intellectual challenge of our generation. The cerebral cortex is the instrument by which we carry the most complex mental functions. Fortunately, there exists an immense body of knowledge concerning both cortical structure and the properties of single neurons in the cortex. With the advent of the supercomputer, there has been increased interest in neural network modeling. What is needed is a new approach to an understanding of the mammalian cerebral cortex that will provide a link between the physiological description and the computer model. This book meets that need by combining anatomy, physiology, and modeling to achieve a quantitative description of cortical function. The material is presented didactically, starting with descriptive anatomy and comprehensively examining all aspects of modeling. The book gradually leads the reader from the macroscopic cortical anatomy and standard electrophysiological properties of single neurons to neural network models and synfire chains. The most modern trends in neural network modeling are explored.","edition":"1","ISBN":"978-0-521-37476-7","note":"DOI: 10.1017/CBO9780511574566","publisher":"Cambridge University Press","source":"DOI.org (Crossref)","title":"Corticonics: Neural Circuits of the Cerebral Cortex","title-short":"Corticonics","URL":"https://www.cambridge.org/core/product/identifier/9780511574566/type/book","author":[{"family":"Abeles","given":"M."}],"accessed":{"date-parts":[["2023",7,31]]},"issued":{"date-parts":[["1991",2,22]]}}}],"schema":"https://github.com/citation-style-language/schema/raw/master/csl-citation.json"} </w:instrText>
      </w:r>
      <w:r w:rsidR="00CC2BF9" w:rsidRPr="005500F7">
        <w:rPr>
          <w:rFonts w:ascii="Aptos" w:hAnsi="Aptos" w:cs="Times New Roman"/>
          <w:sz w:val="20"/>
          <w:szCs w:val="20"/>
        </w:rPr>
        <w:fldChar w:fldCharType="separate"/>
      </w:r>
      <w:r w:rsidR="00FF4210" w:rsidRPr="00FF4210">
        <w:rPr>
          <w:rFonts w:ascii="Aptos" w:hAnsi="Aptos" w:cs="Times New Roman"/>
          <w:sz w:val="20"/>
          <w:vertAlign w:val="superscript"/>
        </w:rPr>
        <w:t>105</w:t>
      </w:r>
      <w:r w:rsidR="00CC2BF9" w:rsidRPr="005500F7">
        <w:rPr>
          <w:rFonts w:ascii="Aptos" w:hAnsi="Aptos" w:cs="Times New Roman"/>
          <w:sz w:val="20"/>
          <w:szCs w:val="20"/>
        </w:rPr>
        <w:fldChar w:fldCharType="end"/>
      </w:r>
    </w:p>
    <w:p w14:paraId="5A05EA5E" w14:textId="77777777" w:rsidR="00B777D9" w:rsidRPr="005500F7" w:rsidRDefault="006F2516" w:rsidP="005500F7">
      <w:pPr>
        <w:pStyle w:val="Heading2"/>
        <w:rPr>
          <w:sz w:val="20"/>
          <w:szCs w:val="20"/>
        </w:rPr>
      </w:pPr>
      <w:r w:rsidRPr="005500F7">
        <w:rPr>
          <w:sz w:val="20"/>
          <w:szCs w:val="20"/>
        </w:rPr>
        <w:t>Stability criterion for sorted neurons</w:t>
      </w:r>
    </w:p>
    <w:bookmarkEnd w:id="4"/>
    <w:p w14:paraId="16890AA3" w14:textId="0CE336BC" w:rsidR="005500F7" w:rsidRPr="005500F7" w:rsidRDefault="006F2516" w:rsidP="005500F7">
      <w:pPr>
        <w:pStyle w:val="NoSpacing"/>
        <w:rPr>
          <w:rFonts w:ascii="Aptos" w:hAnsi="Aptos" w:cs="Times New Roman"/>
          <w:sz w:val="20"/>
          <w:szCs w:val="20"/>
        </w:rPr>
      </w:pPr>
      <w:r w:rsidRPr="005500F7">
        <w:rPr>
          <w:rFonts w:ascii="Aptos" w:hAnsi="Aptos" w:cs="Times New Roman"/>
          <w:sz w:val="20"/>
          <w:szCs w:val="20"/>
        </w:rPr>
        <w:t>The stability of the detected neurons was investigated before proceeding with further analysis. This stability check of neurons was performed to avoid adding neurons to the dataset that did not have predicted neural activity or spike morphology. The adopted stability criterion</w:t>
      </w:r>
      <w:r w:rsidR="00CC2BF9" w:rsidRPr="005500F7">
        <w:rPr>
          <w:rFonts w:ascii="Aptos" w:hAnsi="Aptos" w:cs="Times New Roman"/>
          <w:sz w:val="20"/>
          <w:szCs w:val="20"/>
          <w:vertAlign w:val="superscript"/>
        </w:rPr>
        <w:fldChar w:fldCharType="begin"/>
      </w:r>
      <w:r w:rsidR="00FF4210">
        <w:rPr>
          <w:rFonts w:ascii="Aptos" w:hAnsi="Aptos" w:cs="Times New Roman"/>
          <w:sz w:val="20"/>
          <w:szCs w:val="20"/>
          <w:vertAlign w:val="superscript"/>
        </w:rPr>
        <w:instrText xml:space="preserve"> ADDIN ZOTERO_ITEM CSL_CITATION {"citationID":"xg1pV5Zm","properties":{"formattedCitation":"\\super 106\\nosupersub{}","plainCitation":"106","noteIndex":0},"citationItems":[{"id":456,"uris":["http://zotero.org/users/local/qbj29eOf/items/UKMDHP4W"],"itemData":{"id":456,"type":"article-journal","container-title":"Clinical Neurophysiology","DOI":"10.1016/j.clinph.2017.10.003","ISSN":"13882457","issue":"12","journalAbbreviation":"Clinical Neurophysiology","language":"en","page":"2510-2518","source":"DOI.org (Crossref)","title":"Single-unit activity of the anterior Globus pallidus internus in Tourette patients and posterior Globus pallidus internus in dystonic patients","volume":"128","author":[{"family":"Giorni","given":"Andrea"},{"family":"Windels","given":"François"},{"family":"Stratton","given":"Peter G."},{"family":"Cook","given":"Raymond"},{"family":"Silberstein","given":"Paul"},{"family":"Coyne","given":"Terrence"},{"family":"Silburn","given":"Peter A."},{"family":"Sah","given":"Pankaj"}],"issued":{"date-parts":[["2017",12]]}}}],"schema":"https://github.com/citation-style-language/schema/raw/master/csl-citation.json"} </w:instrText>
      </w:r>
      <w:r w:rsidR="00CC2BF9" w:rsidRPr="005500F7">
        <w:rPr>
          <w:rFonts w:ascii="Aptos" w:hAnsi="Aptos" w:cs="Times New Roman"/>
          <w:sz w:val="20"/>
          <w:szCs w:val="20"/>
          <w:vertAlign w:val="superscript"/>
        </w:rPr>
        <w:fldChar w:fldCharType="separate"/>
      </w:r>
      <w:r w:rsidR="00FF4210" w:rsidRPr="00FF4210">
        <w:rPr>
          <w:rFonts w:ascii="Aptos" w:hAnsi="Aptos" w:cs="Times New Roman"/>
          <w:sz w:val="20"/>
          <w:vertAlign w:val="superscript"/>
        </w:rPr>
        <w:t>106</w:t>
      </w:r>
      <w:r w:rsidR="00CC2BF9" w:rsidRPr="005500F7">
        <w:rPr>
          <w:rFonts w:ascii="Aptos" w:hAnsi="Aptos" w:cs="Times New Roman"/>
          <w:sz w:val="20"/>
          <w:szCs w:val="20"/>
          <w:vertAlign w:val="superscript"/>
        </w:rPr>
        <w:fldChar w:fldCharType="end"/>
      </w:r>
      <w:r w:rsidR="00B02AC9" w:rsidRPr="005500F7">
        <w:rPr>
          <w:rFonts w:ascii="Aptos" w:hAnsi="Aptos" w:cs="Times New Roman"/>
          <w:sz w:val="20"/>
          <w:szCs w:val="20"/>
        </w:rPr>
        <w:t xml:space="preserve"> checks four different aspects of sorted neurons. </w:t>
      </w:r>
      <w:r w:rsidR="00B02AC9" w:rsidRPr="005500F7">
        <w:rPr>
          <w:rFonts w:ascii="Aptos" w:hAnsi="Aptos" w:cs="Times New Roman"/>
          <w:b/>
          <w:bCs/>
          <w:sz w:val="20"/>
          <w:szCs w:val="20"/>
        </w:rPr>
        <w:t>(a)</w:t>
      </w:r>
      <w:r w:rsidR="00B02AC9" w:rsidRPr="005500F7">
        <w:rPr>
          <w:rFonts w:ascii="Aptos" w:hAnsi="Aptos" w:cs="Times New Roman"/>
          <w:sz w:val="20"/>
          <w:szCs w:val="20"/>
        </w:rPr>
        <w:t xml:space="preserve"> </w:t>
      </w:r>
      <w:r w:rsidRPr="005500F7">
        <w:rPr>
          <w:rFonts w:ascii="Aptos" w:hAnsi="Aptos" w:cs="Times New Roman"/>
          <w:color w:val="auto"/>
          <w:sz w:val="20"/>
          <w:szCs w:val="20"/>
        </w:rPr>
        <w:t xml:space="preserve">More than 90% of the total area of the amplitude histogram had to be above the detection </w:t>
      </w:r>
      <w:r w:rsidRPr="005500F7">
        <w:rPr>
          <w:rFonts w:ascii="Aptos" w:hAnsi="Aptos" w:cs="Times New Roman"/>
          <w:sz w:val="20"/>
          <w:szCs w:val="20"/>
        </w:rPr>
        <w:t>threshold.</w:t>
      </w:r>
      <w:r w:rsidR="0066244E" w:rsidRPr="005500F7">
        <w:rPr>
          <w:rFonts w:ascii="Aptos" w:hAnsi="Aptos" w:cs="Times New Roman"/>
          <w:color w:val="auto"/>
          <w:sz w:val="20"/>
          <w:szCs w:val="20"/>
        </w:rPr>
        <w:t xml:space="preserve"> We suggest the temporal region in the raw recording, which shows distinguishable changes </w:t>
      </w:r>
      <w:r w:rsidR="0075292B" w:rsidRPr="005500F7">
        <w:rPr>
          <w:rFonts w:ascii="Aptos" w:hAnsi="Aptos" w:cs="Times New Roman"/>
          <w:sz w:val="20"/>
          <w:szCs w:val="20"/>
        </w:rPr>
        <w:t>compared</w:t>
      </w:r>
      <w:r w:rsidR="00FB457F" w:rsidRPr="005500F7">
        <w:rPr>
          <w:rFonts w:ascii="Aptos" w:hAnsi="Aptos" w:cs="Times New Roman"/>
          <w:color w:val="auto"/>
          <w:sz w:val="20"/>
          <w:szCs w:val="20"/>
        </w:rPr>
        <w:t xml:space="preserve"> to the baseline to indicate spiking activity. For each spike, all the spiking peaks </w:t>
      </w:r>
      <w:r w:rsidRPr="005500F7">
        <w:rPr>
          <w:rFonts w:ascii="Aptos" w:hAnsi="Aptos" w:cs="Times New Roman"/>
          <w:color w:val="auto"/>
          <w:sz w:val="20"/>
          <w:szCs w:val="20"/>
        </w:rPr>
        <w:t>were</w:t>
      </w:r>
      <w:r w:rsidR="00FB457F" w:rsidRPr="005500F7">
        <w:rPr>
          <w:rFonts w:ascii="Aptos" w:hAnsi="Aptos" w:cs="Times New Roman"/>
          <w:color w:val="auto"/>
          <w:sz w:val="20"/>
          <w:szCs w:val="20"/>
        </w:rPr>
        <w:t xml:space="preserve"> compared with the defined double threshold. The next </w:t>
      </w:r>
      <w:r w:rsidRPr="005500F7">
        <w:rPr>
          <w:rFonts w:ascii="Aptos" w:hAnsi="Aptos" w:cs="Times New Roman"/>
          <w:color w:val="auto"/>
          <w:sz w:val="20"/>
          <w:szCs w:val="20"/>
        </w:rPr>
        <w:t>criterion was to determine whether 90% of the detected spike peaks were</w:t>
      </w:r>
      <w:r w:rsidR="00FB457F" w:rsidRPr="005500F7">
        <w:rPr>
          <w:rFonts w:ascii="Aptos" w:hAnsi="Aptos" w:cs="Times New Roman"/>
          <w:color w:val="auto"/>
          <w:sz w:val="20"/>
          <w:szCs w:val="20"/>
        </w:rPr>
        <w:t xml:space="preserve"> above this threshold level.</w:t>
      </w:r>
      <w:r w:rsidR="00B02AC9" w:rsidRPr="005500F7">
        <w:rPr>
          <w:rFonts w:ascii="Aptos" w:hAnsi="Aptos" w:cs="Times New Roman"/>
          <w:sz w:val="20"/>
          <w:szCs w:val="20"/>
        </w:rPr>
        <w:t xml:space="preserve"> </w:t>
      </w:r>
      <w:r w:rsidR="00B02AC9" w:rsidRPr="005500F7">
        <w:rPr>
          <w:rFonts w:ascii="Aptos" w:hAnsi="Aptos" w:cs="Times New Roman"/>
          <w:b/>
          <w:bCs/>
          <w:sz w:val="20"/>
          <w:szCs w:val="20"/>
        </w:rPr>
        <w:t>(b)</w:t>
      </w:r>
      <w:r w:rsidR="00B02AC9" w:rsidRPr="005500F7">
        <w:rPr>
          <w:rFonts w:ascii="Aptos" w:hAnsi="Aptos" w:cs="Times New Roman"/>
          <w:sz w:val="20"/>
          <w:szCs w:val="20"/>
        </w:rPr>
        <w:t xml:space="preserve"> </w:t>
      </w:r>
      <w:r w:rsidR="003676B8" w:rsidRPr="005500F7">
        <w:rPr>
          <w:rFonts w:ascii="Aptos" w:hAnsi="Aptos" w:cs="Times New Roman"/>
          <w:color w:val="auto"/>
          <w:sz w:val="20"/>
          <w:szCs w:val="20"/>
        </w:rPr>
        <w:t xml:space="preserve">The mean waveform of the clustered activity of a neuron needs to have a typical action potential shape with a prominent peak. This step is completed </w:t>
      </w:r>
      <w:r w:rsidRPr="005500F7">
        <w:rPr>
          <w:rFonts w:ascii="Aptos" w:hAnsi="Aptos" w:cs="Times New Roman"/>
          <w:color w:val="auto"/>
          <w:sz w:val="20"/>
          <w:szCs w:val="20"/>
        </w:rPr>
        <w:t>via</w:t>
      </w:r>
      <w:r w:rsidR="003676B8" w:rsidRPr="005500F7">
        <w:rPr>
          <w:rFonts w:ascii="Aptos" w:hAnsi="Aptos" w:cs="Times New Roman"/>
          <w:color w:val="auto"/>
          <w:sz w:val="20"/>
          <w:szCs w:val="20"/>
        </w:rPr>
        <w:t xml:space="preserve"> visual inspection during spike sorting.</w:t>
      </w:r>
      <w:r w:rsidR="00B02AC9" w:rsidRPr="005500F7">
        <w:rPr>
          <w:rFonts w:ascii="Aptos" w:hAnsi="Aptos" w:cs="Times New Roman"/>
          <w:sz w:val="20"/>
          <w:szCs w:val="20"/>
        </w:rPr>
        <w:t xml:space="preserve"> </w:t>
      </w:r>
      <w:r w:rsidR="00B02AC9" w:rsidRPr="005500F7">
        <w:rPr>
          <w:rFonts w:ascii="Aptos" w:hAnsi="Aptos" w:cs="Times New Roman"/>
          <w:b/>
          <w:bCs/>
          <w:sz w:val="20"/>
          <w:szCs w:val="20"/>
        </w:rPr>
        <w:t>(c)</w:t>
      </w:r>
      <w:r w:rsidR="00B02AC9" w:rsidRPr="005500F7">
        <w:rPr>
          <w:rFonts w:ascii="Aptos" w:hAnsi="Aptos" w:cs="Times New Roman"/>
          <w:sz w:val="20"/>
          <w:szCs w:val="20"/>
        </w:rPr>
        <w:t xml:space="preserve"> </w:t>
      </w:r>
      <w:r w:rsidR="00BA5E7F" w:rsidRPr="005500F7">
        <w:rPr>
          <w:rFonts w:ascii="Aptos" w:hAnsi="Aptos" w:cs="Times New Roman"/>
          <w:color w:val="auto"/>
          <w:sz w:val="20"/>
          <w:szCs w:val="20"/>
        </w:rPr>
        <w:t xml:space="preserve">The percentage of spikes occurring within 3 ms of each other had to be less than 1%. This criterion ensures </w:t>
      </w:r>
      <w:r w:rsidRPr="005500F7">
        <w:rPr>
          <w:rFonts w:ascii="Aptos" w:hAnsi="Aptos" w:cs="Times New Roman"/>
          <w:color w:val="auto"/>
          <w:sz w:val="20"/>
          <w:szCs w:val="20"/>
        </w:rPr>
        <w:t xml:space="preserve">that </w:t>
      </w:r>
      <w:r w:rsidR="00BA5E7F" w:rsidRPr="005500F7">
        <w:rPr>
          <w:rFonts w:ascii="Aptos" w:hAnsi="Aptos" w:cs="Times New Roman"/>
          <w:color w:val="auto"/>
          <w:sz w:val="20"/>
          <w:szCs w:val="20"/>
        </w:rPr>
        <w:t xml:space="preserve">we do not involve a spiking activity that occurs </w:t>
      </w:r>
      <w:r w:rsidR="00F4193D" w:rsidRPr="005500F7">
        <w:rPr>
          <w:rFonts w:ascii="Aptos" w:hAnsi="Aptos" w:cs="Times New Roman"/>
          <w:color w:val="auto"/>
          <w:sz w:val="20"/>
          <w:szCs w:val="20"/>
        </w:rPr>
        <w:t xml:space="preserve">in the </w:t>
      </w:r>
      <w:r w:rsidR="00BA5E7F" w:rsidRPr="005500F7">
        <w:rPr>
          <w:rFonts w:ascii="Aptos" w:hAnsi="Aptos" w:cs="Times New Roman"/>
          <w:color w:val="auto"/>
          <w:sz w:val="20"/>
          <w:szCs w:val="20"/>
        </w:rPr>
        <w:t>refractory period.</w:t>
      </w:r>
      <w:r w:rsidR="00B02AC9" w:rsidRPr="005500F7">
        <w:rPr>
          <w:rFonts w:ascii="Aptos" w:hAnsi="Aptos" w:cs="Times New Roman"/>
          <w:sz w:val="20"/>
          <w:szCs w:val="20"/>
        </w:rPr>
        <w:t xml:space="preserve"> </w:t>
      </w:r>
      <w:r w:rsidR="00B02AC9" w:rsidRPr="005500F7">
        <w:rPr>
          <w:rFonts w:ascii="Aptos" w:hAnsi="Aptos" w:cs="Times New Roman"/>
          <w:b/>
          <w:bCs/>
          <w:sz w:val="20"/>
          <w:szCs w:val="20"/>
        </w:rPr>
        <w:t>(d)</w:t>
      </w:r>
      <w:r w:rsidR="00B02AC9" w:rsidRPr="005500F7">
        <w:rPr>
          <w:rFonts w:ascii="Aptos" w:hAnsi="Aptos" w:cs="Times New Roman"/>
          <w:sz w:val="20"/>
          <w:szCs w:val="20"/>
        </w:rPr>
        <w:t xml:space="preserve"> </w:t>
      </w:r>
      <w:r w:rsidRPr="005500F7">
        <w:rPr>
          <w:rFonts w:ascii="Aptos" w:hAnsi="Aptos" w:cs="Times New Roman"/>
          <w:color w:val="auto"/>
          <w:sz w:val="20"/>
          <w:szCs w:val="20"/>
        </w:rPr>
        <w:t>The number of spikes detected was more than 20.</w:t>
      </w:r>
      <w:r w:rsidR="002A6189" w:rsidRPr="005500F7">
        <w:rPr>
          <w:rFonts w:ascii="Aptos" w:hAnsi="Aptos" w:cs="Times New Roman"/>
          <w:noProof/>
          <w:color w:val="auto"/>
          <w:sz w:val="20"/>
          <w:szCs w:val="20"/>
        </w:rPr>
        <w:t xml:space="preserve"> For meaningful statistical conclusions, this threshold is defined to select the neurons.</w:t>
      </w:r>
      <w:r w:rsidR="00D112FF" w:rsidRPr="005500F7">
        <w:rPr>
          <w:rFonts w:ascii="Aptos" w:hAnsi="Aptos" w:cs="Times New Roman"/>
          <w:sz w:val="20"/>
          <w:szCs w:val="20"/>
        </w:rPr>
        <w:t xml:space="preserve"> This stability criterion was applied to all the isolated neurons. Only the neurons that passed the stability criterion </w:t>
      </w:r>
      <w:r w:rsidRPr="005500F7">
        <w:rPr>
          <w:rFonts w:ascii="Aptos" w:hAnsi="Aptos" w:cs="Times New Roman"/>
          <w:sz w:val="20"/>
          <w:szCs w:val="20"/>
        </w:rPr>
        <w:t>were</w:t>
      </w:r>
      <w:r w:rsidR="00D112FF" w:rsidRPr="005500F7">
        <w:rPr>
          <w:rFonts w:ascii="Aptos" w:hAnsi="Aptos" w:cs="Times New Roman"/>
          <w:sz w:val="20"/>
          <w:szCs w:val="20"/>
        </w:rPr>
        <w:t xml:space="preserve"> accepted for the next steps.</w:t>
      </w:r>
    </w:p>
    <w:p w14:paraId="17D911B2" w14:textId="7FFC96F6" w:rsidR="006D3819" w:rsidRPr="005500F7" w:rsidRDefault="006F2516" w:rsidP="00F30935">
      <w:pPr>
        <w:rPr>
          <w:rFonts w:ascii="Aptos" w:hAnsi="Aptos"/>
          <w:b/>
          <w:bCs/>
          <w:sz w:val="20"/>
          <w:szCs w:val="20"/>
        </w:rPr>
      </w:pPr>
      <w:r w:rsidRPr="005500F7">
        <w:rPr>
          <w:rFonts w:ascii="Aptos" w:hAnsi="Aptos"/>
          <w:b/>
          <w:bCs/>
          <w:sz w:val="20"/>
          <w:szCs w:val="20"/>
        </w:rPr>
        <w:lastRenderedPageBreak/>
        <w:t xml:space="preserve">Supplementary Table </w:t>
      </w:r>
      <w:r w:rsidR="00705731">
        <w:rPr>
          <w:rFonts w:ascii="Aptos" w:hAnsi="Aptos"/>
          <w:b/>
          <w:bCs/>
          <w:sz w:val="20"/>
          <w:szCs w:val="20"/>
        </w:rPr>
        <w:t>3.</w:t>
      </w:r>
      <w:r w:rsidRPr="005500F7">
        <w:rPr>
          <w:rFonts w:ascii="Aptos" w:hAnsi="Aptos"/>
          <w:b/>
          <w:bCs/>
          <w:sz w:val="20"/>
          <w:szCs w:val="20"/>
        </w:rPr>
        <w:t xml:space="preserve"> Single-Unit Activity Distribution Across Genetic Variants and MER Recordings</w:t>
      </w:r>
    </w:p>
    <w:tbl>
      <w:tblPr>
        <w:tblStyle w:val="TableGrid"/>
        <w:tblW w:w="0" w:type="auto"/>
        <w:tblLook w:val="04A0" w:firstRow="1" w:lastRow="0" w:firstColumn="1" w:lastColumn="0" w:noHBand="0" w:noVBand="1"/>
      </w:tblPr>
      <w:tblGrid>
        <w:gridCol w:w="2508"/>
        <w:gridCol w:w="2020"/>
        <w:gridCol w:w="2260"/>
        <w:gridCol w:w="2264"/>
      </w:tblGrid>
      <w:tr w:rsidR="0017005C" w:rsidRPr="005500F7" w14:paraId="3C375F0E" w14:textId="77777777" w:rsidTr="0067300C">
        <w:trPr>
          <w:trHeight w:val="364"/>
        </w:trPr>
        <w:tc>
          <w:tcPr>
            <w:tcW w:w="2508"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7D888C2A" w14:textId="1F747538" w:rsidR="00F30935" w:rsidRPr="005500F7" w:rsidRDefault="00FC3CAE" w:rsidP="00F30935">
            <w:pPr>
              <w:pStyle w:val="NoSpacing"/>
              <w:ind w:firstLine="0"/>
              <w:jc w:val="center"/>
              <w:rPr>
                <w:rFonts w:ascii="Aptos" w:hAnsi="Aptos" w:cs="Times New Roman"/>
                <w:sz w:val="20"/>
                <w:szCs w:val="20"/>
              </w:rPr>
            </w:pPr>
            <w:r>
              <w:rPr>
                <w:rFonts w:ascii="Aptos" w:hAnsi="Aptos" w:cs="Times New Roman"/>
                <w:b/>
                <w:sz w:val="20"/>
                <w:szCs w:val="20"/>
              </w:rPr>
              <w:t>Dystonia Gene</w:t>
            </w:r>
          </w:p>
        </w:tc>
        <w:tc>
          <w:tcPr>
            <w:tcW w:w="2020"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7A76116E" w14:textId="77777777" w:rsidR="00F30935" w:rsidRPr="005500F7" w:rsidRDefault="006F2516" w:rsidP="00F30935">
            <w:pPr>
              <w:pStyle w:val="NoSpacing"/>
              <w:ind w:firstLine="0"/>
              <w:jc w:val="center"/>
              <w:rPr>
                <w:rFonts w:ascii="Aptos" w:hAnsi="Aptos" w:cs="Times New Roman"/>
                <w:b/>
                <w:sz w:val="20"/>
                <w:szCs w:val="20"/>
              </w:rPr>
            </w:pPr>
            <w:r w:rsidRPr="005500F7">
              <w:rPr>
                <w:rFonts w:ascii="Aptos" w:hAnsi="Aptos" w:cs="Times New Roman"/>
                <w:b/>
                <w:sz w:val="20"/>
                <w:szCs w:val="20"/>
              </w:rPr>
              <w:t>Number of Patients</w:t>
            </w:r>
          </w:p>
        </w:tc>
        <w:tc>
          <w:tcPr>
            <w:tcW w:w="2260" w:type="dxa"/>
            <w:tcBorders>
              <w:top w:val="single" w:sz="4" w:space="0" w:color="FFFFFF" w:themeColor="background1"/>
              <w:left w:val="single" w:sz="4" w:space="0" w:color="FFFFFF" w:themeColor="background1"/>
              <w:bottom w:val="single" w:sz="12" w:space="0" w:color="auto"/>
              <w:right w:val="single" w:sz="12" w:space="0" w:color="FFFFFF" w:themeColor="background1"/>
            </w:tcBorders>
            <w:vAlign w:val="center"/>
          </w:tcPr>
          <w:p w14:paraId="1E8791A3"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b/>
                <w:sz w:val="20"/>
                <w:szCs w:val="20"/>
              </w:rPr>
              <w:t>Number of MERs</w:t>
            </w:r>
          </w:p>
        </w:tc>
        <w:tc>
          <w:tcPr>
            <w:tcW w:w="2264"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51EAEA9D"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b/>
                <w:sz w:val="20"/>
                <w:szCs w:val="20"/>
              </w:rPr>
              <w:t>Number of Stable Neurons</w:t>
            </w:r>
          </w:p>
        </w:tc>
      </w:tr>
      <w:tr w:rsidR="0017005C" w:rsidRPr="005500F7" w14:paraId="711FAA26" w14:textId="77777777" w:rsidTr="0067300C">
        <w:tc>
          <w:tcPr>
            <w:tcW w:w="2508" w:type="dxa"/>
            <w:tcBorders>
              <w:top w:val="single" w:sz="12" w:space="0" w:color="auto"/>
              <w:left w:val="single" w:sz="4" w:space="0" w:color="FFFFFF" w:themeColor="background1"/>
              <w:bottom w:val="single" w:sz="4" w:space="0" w:color="FFFFFF" w:themeColor="background1"/>
              <w:right w:val="single" w:sz="4" w:space="0" w:color="FFFFFF" w:themeColor="background1"/>
            </w:tcBorders>
            <w:vAlign w:val="center"/>
          </w:tcPr>
          <w:p w14:paraId="334663A5" w14:textId="51C1AEC6"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i/>
                <w:iCs/>
                <w:sz w:val="20"/>
                <w:szCs w:val="20"/>
              </w:rPr>
              <w:t>AOPEP</w:t>
            </w:r>
          </w:p>
        </w:tc>
        <w:tc>
          <w:tcPr>
            <w:tcW w:w="2020"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2E697654"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1</w:t>
            </w:r>
          </w:p>
        </w:tc>
        <w:tc>
          <w:tcPr>
            <w:tcW w:w="2260"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1EED2FA3"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69</w:t>
            </w:r>
          </w:p>
        </w:tc>
        <w:tc>
          <w:tcPr>
            <w:tcW w:w="2264"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0C493FC2"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45</w:t>
            </w:r>
          </w:p>
        </w:tc>
      </w:tr>
      <w:tr w:rsidR="0017005C" w:rsidRPr="005500F7" w14:paraId="2E935DCE" w14:textId="77777777" w:rsidTr="0067300C">
        <w:tc>
          <w:tcPr>
            <w:tcW w:w="2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CF683E" w14:textId="0E5ABC12"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i/>
                <w:iCs/>
                <w:sz w:val="20"/>
                <w:szCs w:val="20"/>
              </w:rPr>
              <w:t>KMT2B</w:t>
            </w:r>
          </w:p>
        </w:tc>
        <w:tc>
          <w:tcPr>
            <w:tcW w:w="2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DEF6DA"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2</w:t>
            </w:r>
          </w:p>
        </w:tc>
        <w:tc>
          <w:tcPr>
            <w:tcW w:w="2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B0EB5A"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102</w:t>
            </w:r>
          </w:p>
        </w:tc>
        <w:tc>
          <w:tcPr>
            <w:tcW w:w="2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41B395"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94</w:t>
            </w:r>
          </w:p>
        </w:tc>
      </w:tr>
      <w:tr w:rsidR="0017005C" w:rsidRPr="005500F7" w14:paraId="30CE8E9C" w14:textId="77777777" w:rsidTr="0067300C">
        <w:tc>
          <w:tcPr>
            <w:tcW w:w="2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827948" w14:textId="49EDC5B8"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i/>
                <w:iCs/>
                <w:sz w:val="20"/>
                <w:szCs w:val="20"/>
              </w:rPr>
              <w:t>GNAL</w:t>
            </w:r>
          </w:p>
        </w:tc>
        <w:tc>
          <w:tcPr>
            <w:tcW w:w="2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73AA01"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2</w:t>
            </w:r>
          </w:p>
        </w:tc>
        <w:tc>
          <w:tcPr>
            <w:tcW w:w="2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4DC2F4"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93</w:t>
            </w:r>
          </w:p>
        </w:tc>
        <w:tc>
          <w:tcPr>
            <w:tcW w:w="2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3CD545"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50</w:t>
            </w:r>
          </w:p>
        </w:tc>
      </w:tr>
      <w:tr w:rsidR="0017005C" w:rsidRPr="005500F7" w14:paraId="502252CB" w14:textId="77777777" w:rsidTr="0067300C">
        <w:tc>
          <w:tcPr>
            <w:tcW w:w="2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41C8A4" w14:textId="41C7131D"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i/>
                <w:iCs/>
                <w:sz w:val="20"/>
                <w:szCs w:val="20"/>
              </w:rPr>
              <w:t>PANK2</w:t>
            </w:r>
          </w:p>
        </w:tc>
        <w:tc>
          <w:tcPr>
            <w:tcW w:w="2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BB30D8"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3</w:t>
            </w:r>
          </w:p>
        </w:tc>
        <w:tc>
          <w:tcPr>
            <w:tcW w:w="2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4D8C49" w14:textId="77777777" w:rsidR="00F30935" w:rsidRPr="005500F7" w:rsidRDefault="00C976A7" w:rsidP="00F30935">
            <w:pPr>
              <w:pStyle w:val="NoSpacing"/>
              <w:ind w:firstLine="0"/>
              <w:jc w:val="center"/>
              <w:rPr>
                <w:rFonts w:ascii="Aptos" w:hAnsi="Aptos" w:cs="Times New Roman"/>
                <w:sz w:val="20"/>
                <w:szCs w:val="20"/>
              </w:rPr>
            </w:pPr>
            <w:r w:rsidRPr="005500F7">
              <w:rPr>
                <w:rFonts w:ascii="Aptos" w:hAnsi="Aptos" w:cs="Times New Roman"/>
                <w:sz w:val="20"/>
                <w:szCs w:val="20"/>
              </w:rPr>
              <w:t>231</w:t>
            </w:r>
          </w:p>
        </w:tc>
        <w:tc>
          <w:tcPr>
            <w:tcW w:w="2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0BA0BD" w14:textId="77777777" w:rsidR="00F30935" w:rsidRPr="005500F7" w:rsidRDefault="00D10CD9" w:rsidP="00F30935">
            <w:pPr>
              <w:pStyle w:val="NoSpacing"/>
              <w:ind w:firstLine="0"/>
              <w:jc w:val="center"/>
              <w:rPr>
                <w:rFonts w:ascii="Aptos" w:hAnsi="Aptos" w:cs="Times New Roman"/>
                <w:sz w:val="20"/>
                <w:szCs w:val="20"/>
              </w:rPr>
            </w:pPr>
            <w:r w:rsidRPr="005500F7">
              <w:rPr>
                <w:rFonts w:ascii="Aptos" w:hAnsi="Aptos" w:cs="Times New Roman"/>
                <w:sz w:val="20"/>
                <w:szCs w:val="20"/>
              </w:rPr>
              <w:t>119</w:t>
            </w:r>
          </w:p>
        </w:tc>
      </w:tr>
      <w:tr w:rsidR="0017005C" w:rsidRPr="005500F7" w14:paraId="7DD8BBA4" w14:textId="77777777" w:rsidTr="00FF6C33">
        <w:trPr>
          <w:trHeight w:val="258"/>
        </w:trPr>
        <w:tc>
          <w:tcPr>
            <w:tcW w:w="2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CF114F" w14:textId="0D350F43"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i/>
                <w:iCs/>
                <w:sz w:val="20"/>
                <w:szCs w:val="20"/>
              </w:rPr>
              <w:t>PLA2G6</w:t>
            </w:r>
          </w:p>
        </w:tc>
        <w:tc>
          <w:tcPr>
            <w:tcW w:w="2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D7DC30"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1</w:t>
            </w:r>
          </w:p>
        </w:tc>
        <w:tc>
          <w:tcPr>
            <w:tcW w:w="2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270B22"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284</w:t>
            </w:r>
          </w:p>
        </w:tc>
        <w:tc>
          <w:tcPr>
            <w:tcW w:w="2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E2EE31"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169</w:t>
            </w:r>
          </w:p>
        </w:tc>
      </w:tr>
      <w:tr w:rsidR="0017005C" w:rsidRPr="005500F7" w14:paraId="03BE19F3" w14:textId="77777777" w:rsidTr="0067300C">
        <w:tc>
          <w:tcPr>
            <w:tcW w:w="2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A38DB7" w14:textId="47973B01"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i/>
                <w:iCs/>
                <w:sz w:val="20"/>
                <w:szCs w:val="20"/>
              </w:rPr>
              <w:t>SGCE</w:t>
            </w:r>
          </w:p>
        </w:tc>
        <w:tc>
          <w:tcPr>
            <w:tcW w:w="2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80B185" w14:textId="66442883" w:rsidR="00F30935" w:rsidRPr="005500F7" w:rsidRDefault="00CD6F44" w:rsidP="00F30935">
            <w:pPr>
              <w:pStyle w:val="NoSpacing"/>
              <w:ind w:firstLine="0"/>
              <w:jc w:val="center"/>
              <w:rPr>
                <w:rFonts w:ascii="Aptos" w:hAnsi="Aptos" w:cs="Times New Roman"/>
                <w:sz w:val="20"/>
                <w:szCs w:val="20"/>
              </w:rPr>
            </w:pPr>
            <w:r>
              <w:rPr>
                <w:rFonts w:ascii="Aptos" w:hAnsi="Aptos" w:cs="Times New Roman"/>
                <w:sz w:val="20"/>
                <w:szCs w:val="20"/>
              </w:rPr>
              <w:t>4</w:t>
            </w:r>
          </w:p>
        </w:tc>
        <w:tc>
          <w:tcPr>
            <w:tcW w:w="2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727E3" w14:textId="5FD3041A" w:rsidR="00F30935" w:rsidRPr="005500F7" w:rsidRDefault="00CD6F44" w:rsidP="00F30935">
            <w:pPr>
              <w:pStyle w:val="NoSpacing"/>
              <w:ind w:firstLine="0"/>
              <w:jc w:val="center"/>
              <w:rPr>
                <w:rFonts w:ascii="Aptos" w:hAnsi="Aptos" w:cs="Times New Roman"/>
                <w:sz w:val="20"/>
                <w:szCs w:val="20"/>
              </w:rPr>
            </w:pPr>
            <w:r w:rsidRPr="005500F7">
              <w:rPr>
                <w:rFonts w:ascii="Aptos" w:hAnsi="Aptos" w:cs="Times New Roman"/>
                <w:sz w:val="20"/>
                <w:szCs w:val="20"/>
              </w:rPr>
              <w:t>6</w:t>
            </w:r>
            <w:r>
              <w:rPr>
                <w:rFonts w:ascii="Aptos" w:hAnsi="Aptos" w:cs="Times New Roman"/>
                <w:sz w:val="20"/>
                <w:szCs w:val="20"/>
              </w:rPr>
              <w:t>20</w:t>
            </w:r>
          </w:p>
        </w:tc>
        <w:tc>
          <w:tcPr>
            <w:tcW w:w="2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3210E0" w14:textId="3D514378" w:rsidR="00F30935" w:rsidRPr="005500F7" w:rsidRDefault="00CD6F44" w:rsidP="00F30935">
            <w:pPr>
              <w:pStyle w:val="NoSpacing"/>
              <w:ind w:firstLine="0"/>
              <w:jc w:val="center"/>
              <w:rPr>
                <w:rFonts w:ascii="Aptos" w:hAnsi="Aptos" w:cs="Times New Roman"/>
                <w:sz w:val="20"/>
                <w:szCs w:val="20"/>
              </w:rPr>
            </w:pPr>
            <w:r w:rsidRPr="005500F7">
              <w:rPr>
                <w:rFonts w:ascii="Aptos" w:hAnsi="Aptos" w:cs="Times New Roman"/>
                <w:sz w:val="20"/>
                <w:szCs w:val="20"/>
              </w:rPr>
              <w:t>3</w:t>
            </w:r>
            <w:r>
              <w:rPr>
                <w:rFonts w:ascii="Aptos" w:hAnsi="Aptos" w:cs="Times New Roman"/>
                <w:sz w:val="20"/>
                <w:szCs w:val="20"/>
              </w:rPr>
              <w:t>6</w:t>
            </w:r>
            <w:r w:rsidRPr="005500F7">
              <w:rPr>
                <w:rFonts w:ascii="Aptos" w:hAnsi="Aptos" w:cs="Times New Roman"/>
                <w:sz w:val="20"/>
                <w:szCs w:val="20"/>
              </w:rPr>
              <w:t>4</w:t>
            </w:r>
          </w:p>
        </w:tc>
      </w:tr>
      <w:tr w:rsidR="0017005C" w:rsidRPr="005500F7" w14:paraId="2CFB2077" w14:textId="77777777" w:rsidTr="0067300C">
        <w:tc>
          <w:tcPr>
            <w:tcW w:w="2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F63813" w14:textId="0FBF8203"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i/>
                <w:iCs/>
                <w:sz w:val="20"/>
                <w:szCs w:val="20"/>
              </w:rPr>
              <w:t>THAP1</w:t>
            </w:r>
          </w:p>
        </w:tc>
        <w:tc>
          <w:tcPr>
            <w:tcW w:w="2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D1FE9B"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4</w:t>
            </w:r>
          </w:p>
        </w:tc>
        <w:tc>
          <w:tcPr>
            <w:tcW w:w="2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2141A6"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176</w:t>
            </w:r>
          </w:p>
        </w:tc>
        <w:tc>
          <w:tcPr>
            <w:tcW w:w="2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E03FC4"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74</w:t>
            </w:r>
          </w:p>
        </w:tc>
      </w:tr>
      <w:tr w:rsidR="0017005C" w:rsidRPr="005500F7" w14:paraId="74786AAA" w14:textId="77777777" w:rsidTr="0067300C">
        <w:tc>
          <w:tcPr>
            <w:tcW w:w="2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9193C0A" w14:textId="40EB6F1A"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i/>
                <w:iCs/>
                <w:sz w:val="20"/>
                <w:szCs w:val="20"/>
              </w:rPr>
              <w:t>TOR1A</w:t>
            </w:r>
          </w:p>
        </w:tc>
        <w:tc>
          <w:tcPr>
            <w:tcW w:w="2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211810"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9</w:t>
            </w:r>
          </w:p>
        </w:tc>
        <w:tc>
          <w:tcPr>
            <w:tcW w:w="2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A4DBC7"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1121</w:t>
            </w:r>
          </w:p>
        </w:tc>
        <w:tc>
          <w:tcPr>
            <w:tcW w:w="2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904372" w14:textId="77777777" w:rsidR="00F30935"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434</w:t>
            </w:r>
          </w:p>
        </w:tc>
      </w:tr>
      <w:tr w:rsidR="0017005C" w:rsidRPr="005500F7" w14:paraId="418AE748" w14:textId="77777777" w:rsidTr="0067300C">
        <w:tc>
          <w:tcPr>
            <w:tcW w:w="2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A0FE82" w14:textId="23121343" w:rsidR="00C33F7A"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i/>
                <w:iCs/>
                <w:sz w:val="20"/>
                <w:szCs w:val="20"/>
              </w:rPr>
              <w:t>VPS16</w:t>
            </w:r>
          </w:p>
        </w:tc>
        <w:tc>
          <w:tcPr>
            <w:tcW w:w="2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5099B8" w14:textId="77777777" w:rsidR="00C33F7A"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5</w:t>
            </w:r>
          </w:p>
        </w:tc>
        <w:tc>
          <w:tcPr>
            <w:tcW w:w="2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25EF2D" w14:textId="77777777" w:rsidR="00C33F7A"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497</w:t>
            </w:r>
          </w:p>
        </w:tc>
        <w:tc>
          <w:tcPr>
            <w:tcW w:w="2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556831" w14:textId="77777777" w:rsidR="00C33F7A" w:rsidRPr="005500F7" w:rsidRDefault="006F2516" w:rsidP="00F30935">
            <w:pPr>
              <w:pStyle w:val="NoSpacing"/>
              <w:ind w:firstLine="0"/>
              <w:jc w:val="center"/>
              <w:rPr>
                <w:rFonts w:ascii="Aptos" w:hAnsi="Aptos" w:cs="Times New Roman"/>
                <w:sz w:val="20"/>
                <w:szCs w:val="20"/>
              </w:rPr>
            </w:pPr>
            <w:r w:rsidRPr="005500F7">
              <w:rPr>
                <w:rFonts w:ascii="Aptos" w:hAnsi="Aptos" w:cs="Times New Roman"/>
                <w:sz w:val="20"/>
                <w:szCs w:val="20"/>
              </w:rPr>
              <w:t>345</w:t>
            </w:r>
          </w:p>
        </w:tc>
      </w:tr>
      <w:tr w:rsidR="0017005C" w:rsidRPr="005500F7" w14:paraId="21F379E8" w14:textId="77777777" w:rsidTr="0067300C">
        <w:trPr>
          <w:trHeight w:val="64"/>
        </w:trPr>
        <w:tc>
          <w:tcPr>
            <w:tcW w:w="2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D799F0" w14:textId="77777777" w:rsidR="003C15ED" w:rsidRPr="005500F7" w:rsidRDefault="003C15ED" w:rsidP="00F30935">
            <w:pPr>
              <w:pStyle w:val="NoSpacing"/>
              <w:ind w:firstLine="0"/>
              <w:jc w:val="center"/>
              <w:rPr>
                <w:rFonts w:ascii="Aptos" w:hAnsi="Aptos" w:cs="Times New Roman"/>
                <w:b/>
                <w:bCs/>
                <w:sz w:val="20"/>
                <w:szCs w:val="20"/>
              </w:rPr>
            </w:pPr>
          </w:p>
        </w:tc>
        <w:tc>
          <w:tcPr>
            <w:tcW w:w="2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394B6D" w14:textId="71962D41" w:rsidR="003C15ED" w:rsidRPr="005500F7" w:rsidRDefault="00A24492" w:rsidP="00F30935">
            <w:pPr>
              <w:pStyle w:val="NoSpacing"/>
              <w:ind w:firstLine="0"/>
              <w:jc w:val="center"/>
              <w:rPr>
                <w:rFonts w:ascii="Aptos" w:hAnsi="Aptos" w:cs="Times New Roman"/>
                <w:b/>
                <w:bCs/>
                <w:sz w:val="20"/>
                <w:szCs w:val="20"/>
              </w:rPr>
            </w:pPr>
            <w:r w:rsidRPr="005500F7">
              <w:rPr>
                <w:rFonts w:ascii="Aptos" w:hAnsi="Aptos" w:cs="Times New Roman"/>
                <w:b/>
                <w:bCs/>
                <w:sz w:val="20"/>
                <w:szCs w:val="20"/>
              </w:rPr>
              <w:t>3</w:t>
            </w:r>
            <w:r w:rsidR="00C67542">
              <w:rPr>
                <w:rFonts w:ascii="Aptos" w:hAnsi="Aptos" w:cs="Times New Roman"/>
                <w:b/>
                <w:bCs/>
                <w:sz w:val="20"/>
                <w:szCs w:val="20"/>
              </w:rPr>
              <w:t>1</w:t>
            </w:r>
          </w:p>
        </w:tc>
        <w:tc>
          <w:tcPr>
            <w:tcW w:w="2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0F7A1F" w14:textId="29530E93" w:rsidR="003C15ED" w:rsidRPr="005500F7" w:rsidRDefault="006F2516" w:rsidP="00F30935">
            <w:pPr>
              <w:pStyle w:val="NoSpacing"/>
              <w:ind w:firstLine="0"/>
              <w:jc w:val="center"/>
              <w:rPr>
                <w:rFonts w:ascii="Aptos" w:hAnsi="Aptos" w:cs="Times New Roman"/>
                <w:b/>
                <w:bCs/>
                <w:sz w:val="20"/>
                <w:szCs w:val="20"/>
              </w:rPr>
            </w:pPr>
            <w:r w:rsidRPr="005500F7">
              <w:rPr>
                <w:rFonts w:ascii="Aptos" w:hAnsi="Aptos" w:cs="Times New Roman"/>
                <w:b/>
                <w:bCs/>
                <w:sz w:val="20"/>
                <w:szCs w:val="20"/>
              </w:rPr>
              <w:t>3</w:t>
            </w:r>
            <w:r w:rsidR="00C67542">
              <w:rPr>
                <w:rFonts w:ascii="Aptos" w:hAnsi="Aptos" w:cs="Times New Roman"/>
                <w:b/>
                <w:bCs/>
                <w:sz w:val="20"/>
                <w:szCs w:val="20"/>
              </w:rPr>
              <w:t>193</w:t>
            </w:r>
          </w:p>
        </w:tc>
        <w:tc>
          <w:tcPr>
            <w:tcW w:w="2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CCFC30" w14:textId="7262EFE5" w:rsidR="003C15ED" w:rsidRPr="005500F7" w:rsidRDefault="00D10CD9" w:rsidP="00F30935">
            <w:pPr>
              <w:pStyle w:val="NoSpacing"/>
              <w:ind w:firstLine="0"/>
              <w:jc w:val="center"/>
              <w:rPr>
                <w:rFonts w:ascii="Aptos" w:hAnsi="Aptos" w:cs="Times New Roman"/>
                <w:b/>
                <w:bCs/>
                <w:sz w:val="20"/>
                <w:szCs w:val="20"/>
              </w:rPr>
            </w:pPr>
            <w:r w:rsidRPr="005500F7">
              <w:rPr>
                <w:rFonts w:ascii="Aptos" w:hAnsi="Aptos" w:cs="Times New Roman"/>
                <w:b/>
                <w:bCs/>
                <w:sz w:val="20"/>
                <w:szCs w:val="20"/>
              </w:rPr>
              <w:t>1</w:t>
            </w:r>
            <w:r w:rsidR="00872870">
              <w:rPr>
                <w:rFonts w:ascii="Aptos" w:hAnsi="Aptos" w:cs="Times New Roman"/>
                <w:b/>
                <w:bCs/>
                <w:sz w:val="20"/>
                <w:szCs w:val="20"/>
              </w:rPr>
              <w:t>69</w:t>
            </w:r>
            <w:r w:rsidRPr="005500F7">
              <w:rPr>
                <w:rFonts w:ascii="Aptos" w:hAnsi="Aptos" w:cs="Times New Roman"/>
                <w:b/>
                <w:bCs/>
                <w:sz w:val="20"/>
                <w:szCs w:val="20"/>
              </w:rPr>
              <w:t>4</w:t>
            </w:r>
          </w:p>
        </w:tc>
      </w:tr>
    </w:tbl>
    <w:p w14:paraId="459611F4" w14:textId="610881F9" w:rsidR="00427380" w:rsidRDefault="00427380" w:rsidP="00044898">
      <w:pPr>
        <w:jc w:val="both"/>
        <w:rPr>
          <w:rFonts w:ascii="Aptos" w:hAnsi="Aptos"/>
          <w:b/>
          <w:bCs/>
          <w:sz w:val="20"/>
          <w:szCs w:val="20"/>
        </w:rPr>
      </w:pPr>
    </w:p>
    <w:p w14:paraId="1E6F0739" w14:textId="77777777" w:rsidR="00427380" w:rsidRDefault="00427380">
      <w:pPr>
        <w:rPr>
          <w:rFonts w:ascii="Aptos" w:hAnsi="Aptos"/>
          <w:b/>
          <w:bCs/>
          <w:sz w:val="20"/>
          <w:szCs w:val="20"/>
        </w:rPr>
      </w:pPr>
      <w:r>
        <w:rPr>
          <w:rFonts w:ascii="Aptos" w:hAnsi="Aptos"/>
          <w:b/>
          <w:bCs/>
          <w:sz w:val="20"/>
          <w:szCs w:val="20"/>
        </w:rPr>
        <w:br w:type="page"/>
      </w:r>
    </w:p>
    <w:p w14:paraId="0AB4D49F" w14:textId="7A99F9A4" w:rsidR="00044898" w:rsidRPr="005500F7" w:rsidRDefault="005500F7" w:rsidP="00044898">
      <w:pPr>
        <w:jc w:val="both"/>
        <w:rPr>
          <w:rFonts w:ascii="Aptos" w:hAnsi="Aptos"/>
          <w:b/>
          <w:bCs/>
          <w:sz w:val="20"/>
          <w:szCs w:val="20"/>
        </w:rPr>
      </w:pPr>
      <w:r w:rsidRPr="005500F7">
        <w:rPr>
          <w:rFonts w:ascii="Aptos" w:hAnsi="Aptos"/>
          <w:b/>
          <w:bCs/>
          <w:sz w:val="20"/>
          <w:szCs w:val="20"/>
        </w:rPr>
        <w:lastRenderedPageBreak/>
        <w:t>S</w:t>
      </w:r>
      <w:r w:rsidR="00044898" w:rsidRPr="005500F7">
        <w:rPr>
          <w:rFonts w:ascii="Aptos" w:hAnsi="Aptos"/>
          <w:b/>
          <w:bCs/>
          <w:sz w:val="20"/>
          <w:szCs w:val="20"/>
        </w:rPr>
        <w:t>upplementary Figure 1</w:t>
      </w:r>
      <w:r w:rsidR="00B87F2F">
        <w:rPr>
          <w:rFonts w:ascii="Aptos" w:hAnsi="Aptos"/>
          <w:b/>
          <w:bCs/>
          <w:sz w:val="20"/>
          <w:szCs w:val="20"/>
        </w:rPr>
        <w:t>.</w:t>
      </w:r>
      <w:r w:rsidR="00B87F2F">
        <w:rPr>
          <w:rFonts w:ascii="Aptos" w:hAnsi="Aptos" w:cs="Helvetica"/>
          <w:b/>
          <w:bCs/>
          <w:sz w:val="20"/>
          <w:szCs w:val="20"/>
        </w:rPr>
        <w:t xml:space="preserve"> </w:t>
      </w:r>
      <w:r w:rsidR="00044898" w:rsidRPr="005500F7">
        <w:rPr>
          <w:rFonts w:ascii="Aptos" w:hAnsi="Aptos" w:cs="Helvetica"/>
          <w:b/>
          <w:bCs/>
          <w:sz w:val="20"/>
          <w:szCs w:val="20"/>
        </w:rPr>
        <w:t xml:space="preserve">The </w:t>
      </w:r>
      <w:r w:rsidR="001E2D80" w:rsidRPr="005500F7">
        <w:rPr>
          <w:rFonts w:ascii="Aptos" w:hAnsi="Aptos" w:cs="Helvetica"/>
          <w:b/>
          <w:bCs/>
          <w:sz w:val="20"/>
          <w:szCs w:val="20"/>
        </w:rPr>
        <w:t xml:space="preserve">DBS Lead </w:t>
      </w:r>
      <w:r w:rsidR="0071451F" w:rsidRPr="005500F7">
        <w:rPr>
          <w:rFonts w:ascii="Aptos" w:hAnsi="Aptos" w:cs="Helvetica"/>
          <w:b/>
          <w:bCs/>
          <w:sz w:val="20"/>
          <w:szCs w:val="20"/>
        </w:rPr>
        <w:t>placements</w:t>
      </w:r>
      <w:r w:rsidR="001E2D80" w:rsidRPr="005500F7">
        <w:rPr>
          <w:rFonts w:ascii="Aptos" w:hAnsi="Aptos" w:cs="Helvetica"/>
          <w:b/>
          <w:bCs/>
          <w:sz w:val="20"/>
          <w:szCs w:val="20"/>
        </w:rPr>
        <w:t xml:space="preserve"> of our dystonia patient cohort. </w:t>
      </w:r>
      <w:r w:rsidR="00E82441" w:rsidRPr="00F55D80">
        <w:rPr>
          <w:rFonts w:ascii="Aptos" w:hAnsi="Aptos" w:cs="Helvetica"/>
          <w:sz w:val="20"/>
          <w:szCs w:val="20"/>
        </w:rPr>
        <w:t>The optimal trajectory for stimulation, based on multiple MER trajectories, was selected for each hemisphere, and the lead electrode was placed along this trajectory.</w:t>
      </w:r>
      <w:r w:rsidR="00123E3F">
        <w:rPr>
          <w:rFonts w:ascii="Aptos" w:hAnsi="Aptos" w:cs="Helvetica"/>
          <w:sz w:val="20"/>
          <w:szCs w:val="20"/>
        </w:rPr>
        <w:t xml:space="preserve"> </w:t>
      </w:r>
      <w:r w:rsidR="001E2D80" w:rsidRPr="00F55D80">
        <w:rPr>
          <w:rFonts w:ascii="Aptos" w:hAnsi="Aptos" w:cs="Helvetica"/>
          <w:sz w:val="20"/>
          <w:szCs w:val="20"/>
        </w:rPr>
        <w:t>The</w:t>
      </w:r>
      <w:r w:rsidR="00044898" w:rsidRPr="00F55D80">
        <w:rPr>
          <w:rFonts w:ascii="Aptos" w:hAnsi="Aptos" w:cs="Helvetica"/>
          <w:sz w:val="20"/>
          <w:szCs w:val="20"/>
        </w:rPr>
        <w:t xml:space="preserve"> reconstruction of GPi, GPe, and recording depths are defined using the </w:t>
      </w:r>
      <w:r w:rsidR="00044898" w:rsidRPr="00F55D80">
        <w:rPr>
          <w:rFonts w:ascii="Aptos" w:hAnsi="Aptos" w:cs="Helvetica"/>
          <w:sz w:val="20"/>
          <w:szCs w:val="20"/>
          <w:lang w:val="en-CA"/>
        </w:rPr>
        <w:t>Distal Atlas in Montreal Neurological Institute space (p &gt; 0.5 thresholds for definitions of nuclei borders)</w:t>
      </w:r>
      <w:r w:rsidR="00044898" w:rsidRPr="00F55D80">
        <w:rPr>
          <w:rFonts w:ascii="Aptos" w:hAnsi="Aptos" w:cs="Helvetica"/>
          <w:sz w:val="20"/>
          <w:szCs w:val="20"/>
        </w:rPr>
        <w:t xml:space="preserve"> based on electrode reconstructions made with Lead-DBS </w:t>
      </w:r>
      <w:r w:rsidR="003245D4" w:rsidRPr="00F55D80">
        <w:rPr>
          <w:rFonts w:ascii="Aptos" w:hAnsi="Aptos" w:cs="Helvetica"/>
          <w:sz w:val="20"/>
          <w:szCs w:val="20"/>
        </w:rPr>
        <w:t>and using postoperative brain MRI or CT images</w:t>
      </w:r>
    </w:p>
    <w:p w14:paraId="797022FB" w14:textId="233B8B18" w:rsidR="00044898" w:rsidRPr="005500F7" w:rsidRDefault="00317B46" w:rsidP="00044898">
      <w:pPr>
        <w:rPr>
          <w:rFonts w:ascii="Aptos" w:hAnsi="Aptos"/>
          <w:b/>
          <w:bCs/>
          <w:sz w:val="20"/>
          <w:szCs w:val="20"/>
        </w:rPr>
      </w:pPr>
      <w:r>
        <w:rPr>
          <w:rFonts w:ascii="Aptos" w:hAnsi="Aptos"/>
          <w:b/>
          <w:bCs/>
          <w:noProof/>
          <w:sz w:val="20"/>
          <w:szCs w:val="20"/>
        </w:rPr>
        <w:drawing>
          <wp:inline distT="0" distB="0" distL="0" distR="0" wp14:anchorId="3B3D11BA" wp14:editId="552AFB30">
            <wp:extent cx="5760502" cy="3527425"/>
            <wp:effectExtent l="0" t="0" r="0" b="0"/>
            <wp:docPr id="1058504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04069"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502" cy="3527425"/>
                    </a:xfrm>
                    <a:prstGeom prst="rect">
                      <a:avLst/>
                    </a:prstGeom>
                  </pic:spPr>
                </pic:pic>
              </a:graphicData>
            </a:graphic>
          </wp:inline>
        </w:drawing>
      </w:r>
      <w:r w:rsidR="00044898" w:rsidRPr="005500F7">
        <w:rPr>
          <w:rFonts w:ascii="Aptos" w:hAnsi="Aptos"/>
          <w:b/>
          <w:bCs/>
          <w:sz w:val="20"/>
          <w:szCs w:val="20"/>
        </w:rPr>
        <w:br w:type="page"/>
      </w:r>
    </w:p>
    <w:p w14:paraId="1EBF94F0" w14:textId="134457BF" w:rsidR="00044898" w:rsidRPr="005500F7" w:rsidRDefault="006F2516" w:rsidP="00044898">
      <w:pPr>
        <w:jc w:val="both"/>
        <w:rPr>
          <w:rFonts w:ascii="Aptos" w:hAnsi="Aptos" w:cs="Helvetica"/>
          <w:b/>
          <w:bCs/>
          <w:sz w:val="20"/>
          <w:szCs w:val="20"/>
        </w:rPr>
      </w:pPr>
      <w:r w:rsidRPr="005500F7">
        <w:rPr>
          <w:rFonts w:ascii="Aptos" w:hAnsi="Aptos"/>
          <w:b/>
          <w:bCs/>
          <w:sz w:val="20"/>
          <w:szCs w:val="20"/>
        </w:rPr>
        <w:lastRenderedPageBreak/>
        <w:t xml:space="preserve">Supplementary Figure </w:t>
      </w:r>
      <w:r w:rsidR="00044898" w:rsidRPr="005500F7">
        <w:rPr>
          <w:rFonts w:ascii="Aptos" w:hAnsi="Aptos"/>
          <w:b/>
          <w:bCs/>
          <w:sz w:val="20"/>
          <w:szCs w:val="20"/>
        </w:rPr>
        <w:t>2</w:t>
      </w:r>
      <w:r w:rsidR="00B87F2F">
        <w:rPr>
          <w:rFonts w:ascii="Aptos" w:hAnsi="Aptos"/>
          <w:b/>
          <w:bCs/>
          <w:sz w:val="20"/>
          <w:szCs w:val="20"/>
        </w:rPr>
        <w:t>.</w:t>
      </w:r>
      <w:r w:rsidRPr="005500F7">
        <w:rPr>
          <w:rFonts w:ascii="Aptos" w:hAnsi="Aptos" w:cs="Helvetica"/>
          <w:b/>
          <w:bCs/>
          <w:sz w:val="20"/>
          <w:szCs w:val="20"/>
        </w:rPr>
        <w:t xml:space="preserve"> Example of microelectrode recordings across the depths of the central trajectory. </w:t>
      </w:r>
      <w:r w:rsidRPr="00F55D80">
        <w:rPr>
          <w:rFonts w:ascii="Aptos" w:hAnsi="Aptos" w:cs="Helvetica"/>
          <w:sz w:val="20"/>
          <w:szCs w:val="20"/>
        </w:rPr>
        <w:t xml:space="preserve">Single-unit activities were highlighted on the raw recordings and </w:t>
      </w:r>
      <w:r w:rsidR="005500F7" w:rsidRPr="00F55D80">
        <w:rPr>
          <w:rFonts w:ascii="Aptos" w:hAnsi="Aptos" w:cs="Helvetica"/>
          <w:sz w:val="20"/>
          <w:szCs w:val="20"/>
        </w:rPr>
        <w:t>color-coded</w:t>
      </w:r>
      <w:r w:rsidRPr="00F55D80">
        <w:rPr>
          <w:rFonts w:ascii="Aptos" w:hAnsi="Aptos" w:cs="Helvetica"/>
          <w:sz w:val="20"/>
          <w:szCs w:val="20"/>
        </w:rPr>
        <w:t xml:space="preserve"> based on their firing pattern (tonic, irregular, or bursty).</w:t>
      </w:r>
    </w:p>
    <w:p w14:paraId="4E9C578A" w14:textId="4ED22FF5" w:rsidR="00044898" w:rsidRPr="005500F7" w:rsidRDefault="000B5C82" w:rsidP="00044898">
      <w:pPr>
        <w:jc w:val="center"/>
        <w:rPr>
          <w:rFonts w:ascii="Aptos" w:hAnsi="Aptos" w:cs="Helvetica"/>
          <w:b/>
          <w:bCs/>
          <w:sz w:val="20"/>
          <w:szCs w:val="20"/>
          <w:lang w:val="en-CA"/>
        </w:rPr>
      </w:pPr>
      <w:r w:rsidRPr="005500F7">
        <w:rPr>
          <w:rFonts w:ascii="Aptos" w:hAnsi="Aptos" w:cs="Helvetica"/>
          <w:b/>
          <w:bCs/>
          <w:noProof/>
          <w:sz w:val="20"/>
          <w:szCs w:val="20"/>
          <w:lang w:val="en-CA"/>
        </w:rPr>
        <w:drawing>
          <wp:inline distT="0" distB="0" distL="0" distR="0" wp14:anchorId="708699BA" wp14:editId="7330E1E2">
            <wp:extent cx="5916460" cy="7246104"/>
            <wp:effectExtent l="0" t="0" r="8255" b="0"/>
            <wp:docPr id="1607660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60167" name="Picture 1"/>
                    <pic:cNvPicPr/>
                  </pic:nvPicPr>
                  <pic:blipFill rotWithShape="1">
                    <a:blip r:embed="rId12" cstate="print">
                      <a:extLst>
                        <a:ext uri="{28A0092B-C50C-407E-A947-70E740481C1C}">
                          <a14:useLocalDpi xmlns:a14="http://schemas.microsoft.com/office/drawing/2010/main" val="0"/>
                        </a:ext>
                      </a:extLst>
                    </a:blip>
                    <a:srcRect l="5428" t="6691" r="1857"/>
                    <a:stretch/>
                  </pic:blipFill>
                  <pic:spPr bwMode="auto">
                    <a:xfrm>
                      <a:off x="0" y="0"/>
                      <a:ext cx="5924361" cy="7255781"/>
                    </a:xfrm>
                    <a:prstGeom prst="rect">
                      <a:avLst/>
                    </a:prstGeom>
                    <a:ln>
                      <a:noFill/>
                    </a:ln>
                    <a:extLst>
                      <a:ext uri="{53640926-AAD7-44D8-BBD7-CCE9431645EC}">
                        <a14:shadowObscured xmlns:a14="http://schemas.microsoft.com/office/drawing/2010/main"/>
                      </a:ext>
                    </a:extLst>
                  </pic:spPr>
                </pic:pic>
              </a:graphicData>
            </a:graphic>
          </wp:inline>
        </w:drawing>
      </w:r>
    </w:p>
    <w:p w14:paraId="486487BF" w14:textId="71F64555" w:rsidR="00E55FF1" w:rsidRPr="005500F7" w:rsidRDefault="006F2516" w:rsidP="007C62E3">
      <w:pPr>
        <w:jc w:val="both"/>
        <w:rPr>
          <w:rFonts w:ascii="Aptos" w:hAnsi="Aptos"/>
          <w:noProof/>
          <w:sz w:val="20"/>
          <w:szCs w:val="20"/>
        </w:rPr>
      </w:pPr>
      <w:r w:rsidRPr="005500F7">
        <w:rPr>
          <w:rFonts w:ascii="Aptos" w:hAnsi="Aptos"/>
          <w:b/>
          <w:bCs/>
          <w:sz w:val="20"/>
          <w:szCs w:val="20"/>
        </w:rPr>
        <w:lastRenderedPageBreak/>
        <w:t xml:space="preserve">Supplementary Figure </w:t>
      </w:r>
      <w:r w:rsidR="00044898" w:rsidRPr="005500F7">
        <w:rPr>
          <w:rFonts w:ascii="Aptos" w:hAnsi="Aptos"/>
          <w:b/>
          <w:bCs/>
          <w:sz w:val="20"/>
          <w:szCs w:val="20"/>
        </w:rPr>
        <w:t>3</w:t>
      </w:r>
      <w:r w:rsidR="00B87F2F">
        <w:rPr>
          <w:rFonts w:ascii="Aptos" w:hAnsi="Aptos"/>
          <w:b/>
          <w:bCs/>
          <w:sz w:val="20"/>
          <w:szCs w:val="20"/>
        </w:rPr>
        <w:t>.</w:t>
      </w:r>
      <w:r w:rsidRPr="005500F7">
        <w:rPr>
          <w:rFonts w:ascii="Aptos" w:hAnsi="Aptos" w:cs="Helvetica"/>
          <w:b/>
          <w:bCs/>
          <w:sz w:val="20"/>
          <w:szCs w:val="20"/>
        </w:rPr>
        <w:t xml:space="preserve"> Example of tonic, irregular</w:t>
      </w:r>
      <w:r w:rsidR="005500F7" w:rsidRPr="005500F7">
        <w:rPr>
          <w:rFonts w:ascii="Aptos" w:hAnsi="Aptos" w:cs="Helvetica"/>
          <w:b/>
          <w:bCs/>
          <w:sz w:val="20"/>
          <w:szCs w:val="20"/>
        </w:rPr>
        <w:t>,</w:t>
      </w:r>
      <w:r w:rsidRPr="005500F7">
        <w:rPr>
          <w:rFonts w:ascii="Aptos" w:hAnsi="Aptos" w:cs="Helvetica"/>
          <w:b/>
          <w:bCs/>
          <w:sz w:val="20"/>
          <w:szCs w:val="20"/>
        </w:rPr>
        <w:t xml:space="preserve"> and bursting neurons with their corresponding raw recordings, action potentials, instantaneous firing rates, raster plots</w:t>
      </w:r>
      <w:r w:rsidR="005500F7" w:rsidRPr="005500F7">
        <w:rPr>
          <w:rFonts w:ascii="Aptos" w:hAnsi="Aptos" w:cs="Helvetica"/>
          <w:b/>
          <w:bCs/>
          <w:sz w:val="20"/>
          <w:szCs w:val="20"/>
        </w:rPr>
        <w:t>,</w:t>
      </w:r>
      <w:r w:rsidRPr="005500F7">
        <w:rPr>
          <w:rFonts w:ascii="Aptos" w:hAnsi="Aptos" w:cs="Helvetica"/>
          <w:b/>
          <w:bCs/>
          <w:sz w:val="20"/>
          <w:szCs w:val="20"/>
        </w:rPr>
        <w:t xml:space="preserve"> and interspike interval (ISI) histograms.</w:t>
      </w:r>
      <w:r w:rsidR="00E55FF1" w:rsidRPr="005500F7">
        <w:rPr>
          <w:rFonts w:ascii="Aptos" w:hAnsi="Aptos"/>
          <w:noProof/>
          <w:sz w:val="20"/>
          <w:szCs w:val="20"/>
        </w:rPr>
        <w:t xml:space="preserve"> </w:t>
      </w:r>
    </w:p>
    <w:p w14:paraId="2BA2B269" w14:textId="4C30B045" w:rsidR="00F4193D" w:rsidRPr="005500F7" w:rsidRDefault="000B5C82" w:rsidP="007C62E3">
      <w:pPr>
        <w:jc w:val="both"/>
        <w:rPr>
          <w:rFonts w:ascii="Aptos" w:hAnsi="Aptos" w:cs="Helvetica"/>
          <w:b/>
          <w:bCs/>
          <w:sz w:val="20"/>
          <w:szCs w:val="20"/>
          <w:lang w:val="en-CA"/>
        </w:rPr>
      </w:pPr>
      <w:r w:rsidRPr="005500F7">
        <w:rPr>
          <w:rFonts w:ascii="Aptos" w:hAnsi="Aptos" w:cs="Helvetica"/>
          <w:b/>
          <w:bCs/>
          <w:noProof/>
          <w:sz w:val="20"/>
          <w:szCs w:val="20"/>
          <w:lang w:val="en-CA"/>
        </w:rPr>
        <w:drawing>
          <wp:inline distT="0" distB="0" distL="0" distR="0" wp14:anchorId="02E71F56" wp14:editId="2F0F4D0D">
            <wp:extent cx="5760720" cy="6539865"/>
            <wp:effectExtent l="0" t="0" r="0" b="0"/>
            <wp:docPr id="899194587"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94587" name="Picture 2" descr="A screenshot of a grap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6539865"/>
                    </a:xfrm>
                    <a:prstGeom prst="rect">
                      <a:avLst/>
                    </a:prstGeom>
                  </pic:spPr>
                </pic:pic>
              </a:graphicData>
            </a:graphic>
          </wp:inline>
        </w:drawing>
      </w:r>
    </w:p>
    <w:p w14:paraId="5866AA4B" w14:textId="77777777" w:rsidR="00E55FF1" w:rsidRPr="005500F7" w:rsidRDefault="00E55FF1" w:rsidP="007C62E3">
      <w:pPr>
        <w:jc w:val="both"/>
        <w:rPr>
          <w:rFonts w:ascii="Aptos" w:hAnsi="Aptos" w:cs="Helvetica"/>
          <w:b/>
          <w:bCs/>
          <w:sz w:val="20"/>
          <w:szCs w:val="20"/>
          <w:lang w:val="en-CA"/>
        </w:rPr>
      </w:pPr>
    </w:p>
    <w:p w14:paraId="0FE7D7B6" w14:textId="77777777" w:rsidR="00E55FF1" w:rsidRPr="005500F7" w:rsidRDefault="00E55FF1" w:rsidP="007C62E3">
      <w:pPr>
        <w:jc w:val="both"/>
        <w:rPr>
          <w:rFonts w:ascii="Aptos" w:hAnsi="Aptos" w:cs="Helvetica"/>
          <w:b/>
          <w:bCs/>
          <w:sz w:val="20"/>
          <w:szCs w:val="20"/>
          <w:lang w:val="en-CA"/>
        </w:rPr>
      </w:pPr>
    </w:p>
    <w:p w14:paraId="1BA341A2" w14:textId="57C232B5" w:rsidR="00BA4C08" w:rsidRPr="005500F7" w:rsidRDefault="006F2516" w:rsidP="00BA7033">
      <w:pPr>
        <w:pStyle w:val="Heading1"/>
        <w:rPr>
          <w:rFonts w:ascii="Aptos" w:hAnsi="Aptos"/>
          <w:sz w:val="20"/>
          <w:szCs w:val="20"/>
        </w:rPr>
      </w:pPr>
      <w:r w:rsidRPr="005500F7">
        <w:rPr>
          <w:rFonts w:ascii="Aptos" w:hAnsi="Aptos"/>
          <w:sz w:val="20"/>
          <w:szCs w:val="20"/>
        </w:rPr>
        <w:lastRenderedPageBreak/>
        <w:t>Neural Feature Generation</w:t>
      </w:r>
    </w:p>
    <w:p w14:paraId="6119B55F" w14:textId="725C50C5" w:rsidR="004012F6" w:rsidRPr="005500F7" w:rsidRDefault="00CE65E8" w:rsidP="00F55D80">
      <w:pPr>
        <w:ind w:firstLine="360"/>
        <w:jc w:val="both"/>
        <w:rPr>
          <w:rFonts w:ascii="Aptos" w:hAnsi="Aptos"/>
          <w:sz w:val="20"/>
          <w:szCs w:val="20"/>
        </w:rPr>
      </w:pPr>
      <w:r w:rsidRPr="005500F7">
        <w:rPr>
          <w:rFonts w:ascii="Aptos" w:hAnsi="Aptos"/>
          <w:sz w:val="20"/>
          <w:szCs w:val="20"/>
        </w:rPr>
        <w:t>We conducted extensive neural feature extraction from MERs to characterize pallidal neural activity across different genetic variants. The extracted features included firing rate, firing irregularity, burstiness, neural pauses, and oscillatory behaviors. These neural characteristics provide crucial information about the neural dynamics within the globus pallidum and their potential associations with specific genetic forms of dystonia.</w:t>
      </w:r>
    </w:p>
    <w:p w14:paraId="324FEF54" w14:textId="77777777" w:rsidR="004012F6" w:rsidRPr="005500F7" w:rsidRDefault="006F2516" w:rsidP="005500F7">
      <w:pPr>
        <w:pStyle w:val="Heading2"/>
        <w:rPr>
          <w:sz w:val="20"/>
          <w:szCs w:val="20"/>
        </w:rPr>
      </w:pPr>
      <w:r w:rsidRPr="005500F7">
        <w:rPr>
          <w:sz w:val="20"/>
          <w:szCs w:val="20"/>
        </w:rPr>
        <w:t>Firing rate and firing regularity</w:t>
      </w:r>
    </w:p>
    <w:p w14:paraId="0EAC718E" w14:textId="3B773681" w:rsidR="002C7F29" w:rsidRPr="005500F7" w:rsidRDefault="00BA7033" w:rsidP="002C7F29">
      <w:pPr>
        <w:pStyle w:val="NoSpacing"/>
        <w:rPr>
          <w:rFonts w:ascii="Aptos" w:hAnsi="Aptos"/>
          <w:sz w:val="20"/>
          <w:szCs w:val="20"/>
        </w:rPr>
      </w:pPr>
      <w:r w:rsidRPr="005500F7">
        <w:rPr>
          <w:rFonts w:ascii="Aptos" w:hAnsi="Aptos"/>
          <w:sz w:val="20"/>
          <w:szCs w:val="20"/>
        </w:rPr>
        <w:t xml:space="preserve">Despite its usefulness, the mean firing rate does not provide a complete picture of the temporal firing </w:t>
      </w:r>
      <w:r w:rsidR="006F2516" w:rsidRPr="005500F7">
        <w:rPr>
          <w:rFonts w:ascii="Aptos" w:hAnsi="Aptos"/>
          <w:sz w:val="20"/>
          <w:szCs w:val="20"/>
        </w:rPr>
        <w:t>characteristics</w:t>
      </w:r>
      <w:r w:rsidRPr="005500F7">
        <w:rPr>
          <w:rFonts w:ascii="Aptos" w:hAnsi="Aptos"/>
          <w:sz w:val="20"/>
          <w:szCs w:val="20"/>
        </w:rPr>
        <w:t xml:space="preserve"> of a neuron. Consequently, researchers generally rely on other types of schemes for a better understanding of neural functions. An example of these schemes is the instantaneous firing rate of a neuron. We adopted </w:t>
      </w:r>
      <w:r w:rsidR="006F2516" w:rsidRPr="005500F7">
        <w:rPr>
          <w:rFonts w:ascii="Aptos" w:hAnsi="Aptos"/>
          <w:sz w:val="20"/>
          <w:szCs w:val="20"/>
        </w:rPr>
        <w:t>the adaptive kernel smoother</w:t>
      </w:r>
      <w:r w:rsidR="00CC2BF9" w:rsidRPr="005500F7">
        <w:rPr>
          <w:rFonts w:ascii="Aptos" w:hAnsi="Aptos"/>
          <w:sz w:val="20"/>
          <w:szCs w:val="20"/>
        </w:rPr>
        <w:fldChar w:fldCharType="begin"/>
      </w:r>
      <w:r w:rsidR="00FF4210">
        <w:rPr>
          <w:rFonts w:ascii="Aptos" w:hAnsi="Aptos"/>
          <w:sz w:val="20"/>
          <w:szCs w:val="20"/>
        </w:rPr>
        <w:instrText xml:space="preserve"> ADDIN ZOTERO_ITEM CSL_CITATION {"citationID":"wCJSNxRO","properties":{"formattedCitation":"\\super 107\\nosupersub{}","plainCitation":"107","noteIndex":0},"citationItems":[{"id":469,"uris":["http://zotero.org/users/local/qbj29eOf/items/DTRDN856"],"itemData":{"id":469,"type":"report","abstract":"Abstract\n          Neurons use sequences of action potentials (spikes) to convey information across neuronal networks. In neurophysiology experiments, information about external stimuli or behavioral tasks has been frequently characterized in term of neuronal firing rate. The firing rate is conventionally estimated by averaging spiking responses across multiple similar experiments (or trials). However, there exist a number of applications in neuroscience research that require firing rate to be estimated on a single trial basis. Estimating firing rate from a single trial is a challenging problem and current state-of-the-art methods do not perform well. To address this issue, we develop a new method for estimating firing rate based on kernel smoothing technique that considers the bandwidth as a random variable with prior distribution that is adaptively updated under a Bayesian framework. By carefully selecting the prior distribution together with Gaussian kernel function, an analytical expression can be achieved for the kernel bandwidth. We refer to the proposed method as Bayesian Adaptive Kernel Smoother (BAKS). We evaluate the performance of BAKS using synthetic spike train data generated by biologically plausible models: inhomogeneous Gamma (IG) and inhomogeneous inverse Gaussian (IIG). We also apply BAKS to real spike train data from non-human primate (NHP) motor and visual cortex. We benchmark the proposed method against the established and previously reported methods. These include: optimized kernel smoother (OKS), variable kernel smoother (VKS), local polynomial fit (Locfit), and Bayesian adaptive regression splines (BARS). Results using both synthetic and real data demonstrate that the proposed method achieves better performance compared to competing methods. This suggests that the proposed method could be useful for understanding the encoding mechanism of neurons in cognitive-related tasks. The proposed method could also potentially improve the performance of brain-machine interface (BMI) decoder that relies on estimated firing rate as the input.","genre":"preprint","language":"en","note":"DOI: 10.1101/204818","publisher":"Neuroscience","source":"DOI.org (Crossref)","title":"Estimation of neuronal firing rate using Bayesian Adaptive Kernel Smoother (BAKS)","URL":"http://biorxiv.org/lookup/doi/10.1101/204818","author":[{"family":"Ahmadi","given":"Nur"},{"family":"Constandinou","given":"Timothy G."},{"family":"Bouganis","given":"Christos-Savvas"}],"accessed":{"date-parts":[["2023",7,31]]},"issued":{"date-parts":[["2017",10,17]]}}}],"schema":"https://github.com/citation-style-language/schema/raw/master/csl-citation.json"} </w:instrText>
      </w:r>
      <w:r w:rsidR="00CC2BF9" w:rsidRPr="005500F7">
        <w:rPr>
          <w:rFonts w:ascii="Aptos" w:hAnsi="Aptos"/>
          <w:sz w:val="20"/>
          <w:szCs w:val="20"/>
        </w:rPr>
        <w:fldChar w:fldCharType="separate"/>
      </w:r>
      <w:r w:rsidR="00FF4210" w:rsidRPr="00FF4210">
        <w:rPr>
          <w:rFonts w:ascii="Aptos" w:hAnsi="Aptos" w:cs="Times New Roman"/>
          <w:sz w:val="20"/>
          <w:vertAlign w:val="superscript"/>
        </w:rPr>
        <w:t>107</w:t>
      </w:r>
      <w:r w:rsidR="00CC2BF9" w:rsidRPr="005500F7">
        <w:rPr>
          <w:rFonts w:ascii="Aptos" w:hAnsi="Aptos"/>
          <w:sz w:val="20"/>
          <w:szCs w:val="20"/>
        </w:rPr>
        <w:fldChar w:fldCharType="end"/>
      </w:r>
      <w:r w:rsidRPr="005500F7">
        <w:rPr>
          <w:rFonts w:ascii="Aptos" w:hAnsi="Aptos"/>
          <w:sz w:val="20"/>
          <w:szCs w:val="20"/>
        </w:rPr>
        <w:t xml:space="preserve"> (BAKS) </w:t>
      </w:r>
      <w:r w:rsidR="006F2516" w:rsidRPr="005500F7">
        <w:rPr>
          <w:rFonts w:ascii="Aptos" w:hAnsi="Aptos"/>
          <w:sz w:val="20"/>
          <w:szCs w:val="20"/>
        </w:rPr>
        <w:t xml:space="preserve">test </w:t>
      </w:r>
      <w:r w:rsidRPr="005500F7">
        <w:rPr>
          <w:rFonts w:ascii="Aptos" w:hAnsi="Aptos"/>
          <w:sz w:val="20"/>
          <w:szCs w:val="20"/>
        </w:rPr>
        <w:t xml:space="preserve">to estimate the instantaneous firing rate. BAKS uses a kernel smoothing technique with adaptive bandwidth. The neural process dynamics are encapsulated by the adaptive bandwidth for the selected kernel function. In this case, if the firing rate increases in the spike train, the bandwidth of the kernel function will be decreased by </w:t>
      </w:r>
      <w:r w:rsidR="006F2516" w:rsidRPr="005500F7">
        <w:rPr>
          <w:rFonts w:ascii="Aptos" w:hAnsi="Aptos"/>
          <w:sz w:val="20"/>
          <w:szCs w:val="20"/>
        </w:rPr>
        <w:t xml:space="preserve">the </w:t>
      </w:r>
      <w:r w:rsidRPr="005500F7">
        <w:rPr>
          <w:rFonts w:ascii="Aptos" w:hAnsi="Aptos"/>
          <w:sz w:val="20"/>
          <w:szCs w:val="20"/>
        </w:rPr>
        <w:t>BAKS</w:t>
      </w:r>
      <w:r w:rsidR="006F2516" w:rsidRPr="005500F7">
        <w:rPr>
          <w:rFonts w:ascii="Aptos" w:hAnsi="Aptos"/>
          <w:sz w:val="20"/>
          <w:szCs w:val="20"/>
        </w:rPr>
        <w:t xml:space="preserve"> algorithm</w:t>
      </w:r>
      <w:r w:rsidRPr="005500F7">
        <w:rPr>
          <w:rFonts w:ascii="Aptos" w:hAnsi="Aptos"/>
          <w:sz w:val="20"/>
          <w:szCs w:val="20"/>
        </w:rPr>
        <w:t xml:space="preserve">. The adaptation of the bandwidth paves the way for defining accurate </w:t>
      </w:r>
      <w:r w:rsidR="006F2516" w:rsidRPr="005500F7">
        <w:rPr>
          <w:rFonts w:ascii="Aptos" w:hAnsi="Aptos"/>
          <w:sz w:val="20"/>
          <w:szCs w:val="20"/>
        </w:rPr>
        <w:t>estimations</w:t>
      </w:r>
      <w:r w:rsidRPr="005500F7">
        <w:rPr>
          <w:rFonts w:ascii="Aptos" w:hAnsi="Aptos"/>
          <w:sz w:val="20"/>
          <w:szCs w:val="20"/>
        </w:rPr>
        <w:t xml:space="preserve"> of </w:t>
      </w:r>
      <w:r w:rsidR="006F2516" w:rsidRPr="005500F7">
        <w:rPr>
          <w:rFonts w:ascii="Aptos" w:hAnsi="Aptos"/>
          <w:sz w:val="20"/>
          <w:szCs w:val="20"/>
        </w:rPr>
        <w:t xml:space="preserve">the </w:t>
      </w:r>
      <w:r w:rsidRPr="005500F7">
        <w:rPr>
          <w:rFonts w:ascii="Aptos" w:hAnsi="Aptos"/>
          <w:sz w:val="20"/>
          <w:szCs w:val="20"/>
        </w:rPr>
        <w:t>instantaneous firing rate under slow and fast-spiking dynamics. The kernel bandwidth is recognized by BAKS as a random variable with a prior distribution. It uses an empirical Bayesian method to change the posterior bandwidth.</w:t>
      </w:r>
      <w:r w:rsidR="006F2516" w:rsidRPr="005500F7">
        <w:rPr>
          <w:rFonts w:ascii="Aptos" w:hAnsi="Aptos"/>
          <w:sz w:val="20"/>
          <w:szCs w:val="20"/>
        </w:rPr>
        <w:t xml:space="preserve"> </w:t>
      </w:r>
      <w:r w:rsidRPr="005500F7">
        <w:rPr>
          <w:rFonts w:ascii="Aptos" w:hAnsi="Aptos"/>
          <w:sz w:val="20"/>
          <w:szCs w:val="20"/>
        </w:rPr>
        <w:t xml:space="preserve">We set α = 4 and β = </w:t>
      </w:r>
      <w:proofErr w:type="gramStart"/>
      <w:r w:rsidRPr="005500F7">
        <w:rPr>
          <w:rFonts w:ascii="Aptos" w:hAnsi="Aptos"/>
          <w:sz w:val="20"/>
          <w:szCs w:val="20"/>
        </w:rPr>
        <w:t>N</w:t>
      </w:r>
      <w:r w:rsidRPr="005500F7">
        <w:rPr>
          <w:rFonts w:ascii="Aptos" w:hAnsi="Aptos"/>
          <w:sz w:val="20"/>
          <w:szCs w:val="20"/>
          <w:vertAlign w:val="superscript"/>
        </w:rPr>
        <w:t>(</w:t>
      </w:r>
      <w:proofErr w:type="gramEnd"/>
      <w:r w:rsidRPr="005500F7">
        <w:rPr>
          <w:rFonts w:ascii="Aptos" w:hAnsi="Aptos"/>
          <w:sz w:val="20"/>
          <w:szCs w:val="20"/>
          <w:vertAlign w:val="superscript"/>
        </w:rPr>
        <w:t>4/5)</w:t>
      </w:r>
      <w:r w:rsidRPr="005500F7">
        <w:rPr>
          <w:rFonts w:ascii="Aptos" w:hAnsi="Aptos"/>
          <w:sz w:val="20"/>
          <w:szCs w:val="20"/>
        </w:rPr>
        <w:t xml:space="preserve"> as two parameters of BAKS and estimated the instantaneous firing rate for each SUA.</w:t>
      </w:r>
    </w:p>
    <w:p w14:paraId="088D013F" w14:textId="0AE0B9B8" w:rsidR="00614CD1" w:rsidRPr="005500F7" w:rsidRDefault="006F2516" w:rsidP="00614CD1">
      <w:pPr>
        <w:jc w:val="both"/>
        <w:rPr>
          <w:rFonts w:ascii="Aptos" w:hAnsi="Aptos"/>
          <w:b/>
          <w:bCs/>
          <w:sz w:val="20"/>
          <w:szCs w:val="20"/>
        </w:rPr>
      </w:pPr>
      <w:r w:rsidRPr="005500F7">
        <w:rPr>
          <w:rFonts w:ascii="Aptos" w:hAnsi="Aptos"/>
          <w:b/>
          <w:bCs/>
          <w:sz w:val="20"/>
          <w:szCs w:val="20"/>
        </w:rPr>
        <w:t xml:space="preserve">Supplementary Table </w:t>
      </w:r>
      <w:r w:rsidR="00705731">
        <w:rPr>
          <w:rFonts w:ascii="Aptos" w:hAnsi="Aptos"/>
          <w:b/>
          <w:bCs/>
          <w:sz w:val="20"/>
          <w:szCs w:val="20"/>
        </w:rPr>
        <w:t xml:space="preserve">4. </w:t>
      </w:r>
      <w:r w:rsidRPr="005500F7">
        <w:rPr>
          <w:rFonts w:ascii="Aptos" w:hAnsi="Aptos"/>
          <w:b/>
          <w:bCs/>
          <w:sz w:val="20"/>
          <w:szCs w:val="20"/>
        </w:rPr>
        <w:t xml:space="preserve"> Firing rate- and firing regularity-related neural features, their descriptions, and formulations.</w:t>
      </w:r>
    </w:p>
    <w:tbl>
      <w:tblPr>
        <w:tblStyle w:val="TableGrid"/>
        <w:tblW w:w="9074" w:type="dxa"/>
        <w:jc w:val="center"/>
        <w:tblLook w:val="04A0" w:firstRow="1" w:lastRow="0" w:firstColumn="1" w:lastColumn="0" w:noHBand="0" w:noVBand="1"/>
      </w:tblPr>
      <w:tblGrid>
        <w:gridCol w:w="1179"/>
        <w:gridCol w:w="3178"/>
        <w:gridCol w:w="4717"/>
      </w:tblGrid>
      <w:tr w:rsidR="0017005C" w:rsidRPr="005500F7" w14:paraId="0889C52F" w14:textId="77777777" w:rsidTr="00FF6C33">
        <w:trPr>
          <w:trHeight w:val="291"/>
          <w:jc w:val="center"/>
        </w:trPr>
        <w:tc>
          <w:tcPr>
            <w:tcW w:w="852"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auto"/>
            <w:vAlign w:val="center"/>
          </w:tcPr>
          <w:p w14:paraId="24758B41" w14:textId="77777777" w:rsidR="004012F6" w:rsidRPr="005500F7" w:rsidRDefault="006F2516" w:rsidP="008961B7">
            <w:pPr>
              <w:jc w:val="center"/>
              <w:rPr>
                <w:rFonts w:ascii="Aptos" w:hAnsi="Aptos" w:cs="Helvetica"/>
                <w:b/>
                <w:bCs/>
                <w:sz w:val="20"/>
                <w:szCs w:val="20"/>
              </w:rPr>
            </w:pPr>
            <w:r w:rsidRPr="005500F7">
              <w:rPr>
                <w:rFonts w:ascii="Aptos" w:hAnsi="Aptos" w:cs="Helvetica"/>
                <w:b/>
                <w:bCs/>
                <w:sz w:val="20"/>
                <w:szCs w:val="20"/>
              </w:rPr>
              <w:t>Neural Feature</w:t>
            </w:r>
          </w:p>
        </w:tc>
        <w:tc>
          <w:tcPr>
            <w:tcW w:w="3462"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auto"/>
            <w:vAlign w:val="center"/>
          </w:tcPr>
          <w:p w14:paraId="4C6C0D63" w14:textId="77777777" w:rsidR="004012F6" w:rsidRPr="005500F7" w:rsidRDefault="006F2516" w:rsidP="008961B7">
            <w:pPr>
              <w:jc w:val="center"/>
              <w:rPr>
                <w:rFonts w:ascii="Aptos" w:hAnsi="Aptos" w:cs="Helvetica"/>
                <w:b/>
                <w:bCs/>
                <w:sz w:val="20"/>
                <w:szCs w:val="20"/>
              </w:rPr>
            </w:pPr>
            <w:r w:rsidRPr="005500F7">
              <w:rPr>
                <w:rFonts w:ascii="Aptos" w:hAnsi="Aptos" w:cs="Helvetica"/>
                <w:b/>
                <w:bCs/>
                <w:sz w:val="20"/>
                <w:szCs w:val="20"/>
              </w:rPr>
              <w:t>Definition</w:t>
            </w:r>
          </w:p>
        </w:tc>
        <w:tc>
          <w:tcPr>
            <w:tcW w:w="476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auto"/>
            <w:vAlign w:val="center"/>
          </w:tcPr>
          <w:p w14:paraId="684A6175" w14:textId="77777777" w:rsidR="004012F6" w:rsidRPr="005500F7" w:rsidRDefault="006F2516" w:rsidP="008961B7">
            <w:pPr>
              <w:jc w:val="center"/>
              <w:rPr>
                <w:rFonts w:ascii="Aptos" w:hAnsi="Aptos" w:cs="Helvetica"/>
                <w:b/>
                <w:bCs/>
                <w:sz w:val="20"/>
                <w:szCs w:val="20"/>
              </w:rPr>
            </w:pPr>
            <w:r w:rsidRPr="005500F7">
              <w:rPr>
                <w:rFonts w:ascii="Aptos" w:hAnsi="Aptos" w:cs="Helvetica"/>
                <w:b/>
                <w:bCs/>
                <w:sz w:val="20"/>
                <w:szCs w:val="20"/>
              </w:rPr>
              <w:t>Formulation</w:t>
            </w:r>
          </w:p>
        </w:tc>
      </w:tr>
      <w:tr w:rsidR="0017005C" w:rsidRPr="005500F7" w14:paraId="6214A6E2" w14:textId="77777777" w:rsidTr="00FF6C33">
        <w:trPr>
          <w:trHeight w:val="699"/>
          <w:jc w:val="center"/>
        </w:trPr>
        <w:tc>
          <w:tcPr>
            <w:tcW w:w="852" w:type="dxa"/>
            <w:tcBorders>
              <w:top w:val="single" w:sz="12" w:space="0" w:color="auto"/>
              <w:left w:val="single" w:sz="4" w:space="0" w:color="FFFFFF" w:themeColor="background1"/>
              <w:bottom w:val="single" w:sz="2" w:space="0" w:color="auto"/>
              <w:right w:val="single" w:sz="4" w:space="0" w:color="FFFFFF" w:themeColor="background1"/>
            </w:tcBorders>
            <w:shd w:val="clear" w:color="auto" w:fill="auto"/>
            <w:vAlign w:val="center"/>
          </w:tcPr>
          <w:p w14:paraId="285E6355" w14:textId="2AEE87B5" w:rsidR="008961B7" w:rsidRPr="005500F7" w:rsidRDefault="006F2516" w:rsidP="004E3777">
            <w:pPr>
              <w:rPr>
                <w:rFonts w:ascii="Aptos" w:hAnsi="Aptos" w:cs="Helvetica"/>
                <w:sz w:val="20"/>
                <w:szCs w:val="20"/>
              </w:rPr>
            </w:pPr>
            <w:r w:rsidRPr="005500F7">
              <w:rPr>
                <w:rFonts w:ascii="Aptos" w:hAnsi="Aptos" w:cs="Helvetica"/>
                <w:sz w:val="20"/>
                <w:szCs w:val="20"/>
              </w:rPr>
              <w:t>firing</w:t>
            </w:r>
            <w:r w:rsidR="00164B67">
              <w:rPr>
                <w:rFonts w:ascii="Aptos" w:hAnsi="Aptos" w:cs="Helvetica"/>
                <w:sz w:val="20"/>
                <w:szCs w:val="20"/>
              </w:rPr>
              <w:t xml:space="preserve"> </w:t>
            </w:r>
            <w:r w:rsidRPr="005500F7">
              <w:rPr>
                <w:rFonts w:ascii="Aptos" w:hAnsi="Aptos" w:cs="Helvetica"/>
                <w:sz w:val="20"/>
                <w:szCs w:val="20"/>
              </w:rPr>
              <w:t>rate</w:t>
            </w:r>
          </w:p>
        </w:tc>
        <w:tc>
          <w:tcPr>
            <w:tcW w:w="3462" w:type="dxa"/>
            <w:tcBorders>
              <w:top w:val="single" w:sz="12" w:space="0" w:color="auto"/>
              <w:left w:val="single" w:sz="4" w:space="0" w:color="FFFFFF" w:themeColor="background1"/>
              <w:bottom w:val="single" w:sz="2" w:space="0" w:color="auto"/>
              <w:right w:val="single" w:sz="4" w:space="0" w:color="FFFFFF" w:themeColor="background1"/>
            </w:tcBorders>
            <w:shd w:val="clear" w:color="auto" w:fill="auto"/>
            <w:vAlign w:val="center"/>
          </w:tcPr>
          <w:p w14:paraId="481583C1" w14:textId="77777777" w:rsidR="008961B7" w:rsidRPr="005500F7" w:rsidRDefault="006F2516" w:rsidP="008961B7">
            <w:pPr>
              <w:pStyle w:val="NoSpacing"/>
              <w:ind w:firstLine="0"/>
              <w:rPr>
                <w:rFonts w:ascii="Aptos" w:hAnsi="Aptos" w:cs="Helvetica"/>
                <w:sz w:val="20"/>
                <w:szCs w:val="20"/>
              </w:rPr>
            </w:pPr>
            <w:r w:rsidRPr="005500F7">
              <w:rPr>
                <w:rFonts w:ascii="Aptos" w:hAnsi="Aptos" w:cs="Helvetica"/>
                <w:sz w:val="20"/>
                <w:szCs w:val="20"/>
              </w:rPr>
              <w:t>It is the simplest and most widely used neural feature for neural data analysis. It is directly connected to the outcome of neural functioning.</w:t>
            </w:r>
          </w:p>
        </w:tc>
        <w:tc>
          <w:tcPr>
            <w:tcW w:w="4760" w:type="dxa"/>
            <w:tcBorders>
              <w:top w:val="single" w:sz="12" w:space="0" w:color="auto"/>
              <w:left w:val="single" w:sz="4" w:space="0" w:color="FFFFFF" w:themeColor="background1"/>
              <w:bottom w:val="single" w:sz="2" w:space="0" w:color="auto"/>
              <w:right w:val="single" w:sz="4" w:space="0" w:color="FFFFFF" w:themeColor="background1"/>
            </w:tcBorders>
            <w:shd w:val="clear" w:color="auto" w:fill="auto"/>
            <w:vAlign w:val="center"/>
          </w:tcPr>
          <w:p w14:paraId="7C6C4EB6" w14:textId="77777777" w:rsidR="008961B7" w:rsidRPr="005500F7" w:rsidRDefault="006F2516" w:rsidP="00F55D80">
            <w:pPr>
              <w:jc w:val="center"/>
              <w:rPr>
                <w:rFonts w:ascii="Aptos" w:hAnsi="Aptos" w:cs="Helvetica"/>
                <w:sz w:val="20"/>
                <w:szCs w:val="20"/>
              </w:rPr>
            </w:pPr>
            <w:r w:rsidRPr="005500F7">
              <w:rPr>
                <w:rFonts w:ascii="Aptos" w:hAnsi="Aptos" w:cs="Helvetica"/>
                <w:sz w:val="20"/>
                <w:szCs w:val="20"/>
              </w:rPr>
              <w:t>the rate parameter (</w:t>
            </w:r>
            <w:r w:rsidRPr="005500F7">
              <w:rPr>
                <w:rFonts w:ascii="Aptos" w:hAnsi="Aptos" w:cs="Calibri"/>
                <w:sz w:val="20"/>
                <w:szCs w:val="20"/>
              </w:rPr>
              <w:t>λ</w:t>
            </w:r>
            <w:r w:rsidRPr="005500F7">
              <w:rPr>
                <w:rFonts w:ascii="Aptos" w:hAnsi="Aptos" w:cs="Helvetica"/>
                <w:sz w:val="20"/>
                <w:szCs w:val="20"/>
              </w:rPr>
              <w:t>) of the fitted gamma distribution for the ISI distribution</w:t>
            </w:r>
          </w:p>
        </w:tc>
      </w:tr>
      <w:tr w:rsidR="0017005C" w:rsidRPr="005500F7" w14:paraId="3292D57D" w14:textId="77777777" w:rsidTr="00FF6C33">
        <w:trPr>
          <w:trHeight w:val="1827"/>
          <w:jc w:val="center"/>
        </w:trPr>
        <w:tc>
          <w:tcPr>
            <w:tcW w:w="852" w:type="dxa"/>
            <w:tcBorders>
              <w:top w:val="single" w:sz="2" w:space="0" w:color="auto"/>
              <w:left w:val="single" w:sz="4" w:space="0" w:color="FFFFFF" w:themeColor="background1"/>
              <w:right w:val="single" w:sz="4" w:space="0" w:color="FFFFFF" w:themeColor="background1"/>
            </w:tcBorders>
            <w:shd w:val="clear" w:color="auto" w:fill="auto"/>
            <w:vAlign w:val="center"/>
          </w:tcPr>
          <w:p w14:paraId="4D53153A" w14:textId="1BD8FC81" w:rsidR="008961B7" w:rsidRPr="005500F7" w:rsidRDefault="006F2516" w:rsidP="004E3777">
            <w:pPr>
              <w:pStyle w:val="NoSpacing"/>
              <w:ind w:firstLine="0"/>
              <w:jc w:val="left"/>
              <w:rPr>
                <w:rFonts w:ascii="Aptos" w:hAnsi="Aptos" w:cs="Helvetica"/>
                <w:b/>
                <w:bCs/>
                <w:sz w:val="20"/>
                <w:szCs w:val="20"/>
              </w:rPr>
            </w:pPr>
            <w:r w:rsidRPr="005500F7">
              <w:rPr>
                <w:rFonts w:ascii="Aptos" w:hAnsi="Aptos" w:cs="Helvetica"/>
                <w:sz w:val="20"/>
                <w:szCs w:val="20"/>
              </w:rPr>
              <w:t>firing</w:t>
            </w:r>
            <w:r w:rsidR="00164B67">
              <w:rPr>
                <w:rFonts w:ascii="Aptos" w:hAnsi="Aptos" w:cs="Helvetica"/>
                <w:sz w:val="20"/>
                <w:szCs w:val="20"/>
              </w:rPr>
              <w:t xml:space="preserve"> </w:t>
            </w:r>
            <w:r w:rsidRPr="005500F7">
              <w:rPr>
                <w:rFonts w:ascii="Aptos" w:hAnsi="Aptos" w:cs="Helvetica"/>
                <w:sz w:val="20"/>
                <w:szCs w:val="20"/>
              </w:rPr>
              <w:t>regularity</w:t>
            </w:r>
          </w:p>
        </w:tc>
        <w:tc>
          <w:tcPr>
            <w:tcW w:w="3462" w:type="dxa"/>
            <w:tcBorders>
              <w:top w:val="single" w:sz="2" w:space="0" w:color="auto"/>
              <w:left w:val="single" w:sz="4" w:space="0" w:color="FFFFFF" w:themeColor="background1"/>
              <w:right w:val="single" w:sz="4" w:space="0" w:color="FFFFFF" w:themeColor="background1"/>
            </w:tcBorders>
            <w:shd w:val="clear" w:color="auto" w:fill="auto"/>
            <w:vAlign w:val="center"/>
          </w:tcPr>
          <w:p w14:paraId="076225D8" w14:textId="0C7FAC83" w:rsidR="008961B7" w:rsidRPr="005500F7" w:rsidRDefault="006F2516" w:rsidP="008961B7">
            <w:pPr>
              <w:rPr>
                <w:rFonts w:ascii="Aptos" w:hAnsi="Aptos" w:cs="Helvetica"/>
                <w:sz w:val="20"/>
                <w:szCs w:val="20"/>
              </w:rPr>
            </w:pPr>
            <w:r w:rsidRPr="005500F7">
              <w:rPr>
                <w:rFonts w:ascii="Aptos" w:hAnsi="Aptos" w:cs="Helvetica"/>
                <w:sz w:val="20"/>
                <w:szCs w:val="20"/>
              </w:rPr>
              <w:t>This metric quantifies the regularity of the spiking of a neuron and provides intuition about the general firing characteristic of the neuron. Firing regularity</w:t>
            </w:r>
            <w:r w:rsidR="00CC2BF9" w:rsidRPr="005500F7">
              <w:rPr>
                <w:rFonts w:ascii="Aptos" w:hAnsi="Aptos" w:cs="Helvetica"/>
                <w:sz w:val="20"/>
                <w:szCs w:val="20"/>
                <w:vertAlign w:val="superscript"/>
              </w:rPr>
              <w:fldChar w:fldCharType="begin"/>
            </w:r>
            <w:r w:rsidR="00FF4210">
              <w:rPr>
                <w:rFonts w:ascii="Aptos" w:hAnsi="Aptos" w:cs="Helvetica"/>
                <w:sz w:val="20"/>
                <w:szCs w:val="20"/>
                <w:vertAlign w:val="superscript"/>
              </w:rPr>
              <w:instrText xml:space="preserve"> ADDIN ZOTERO_ITEM CSL_CITATION {"citationID":"9B2ujY6K","properties":{"formattedCitation":"\\super 108\\nosupersub{}","plainCitation":"108","noteIndex":0},"citationItems":[{"id":457,"uris":["http://zotero.org/users/local/qbj29eOf/items/26RH8L8N"],"itemData":{"id":457,"type":"article-journal","container-title":"Journal of Neural Engineering","DOI":"10.1088/1741-2552/ab37b4","ISSN":"1741-2552","issue":"6","journalAbbreviation":"J. Neural Eng.","page":"066011","source":"DOI.org (Crossref)","title":"Spatio-temporal structure of single neuron subthalamic activity identifies DBS target for anesthetized Tourette syndrome patients","volume":"16","author":[{"family":"Vissani","given":"Matteo"},{"family":"Cordella","given":"Roberto"},{"family":"Micera","given":"Silvestro"},{"family":"Eleopra","given":"Roberto"},{"family":"Romito","given":"Luigi M"},{"family":"Mazzoni","given":"Alberto"}],"issued":{"date-parts":[["2019",10,23]]}}}],"schema":"https://github.com/citation-style-language/schema/raw/master/csl-citation.json"} </w:instrText>
            </w:r>
            <w:r w:rsidR="00CC2BF9" w:rsidRPr="005500F7">
              <w:rPr>
                <w:rFonts w:ascii="Aptos" w:hAnsi="Aptos" w:cs="Helvetica"/>
                <w:sz w:val="20"/>
                <w:szCs w:val="20"/>
                <w:vertAlign w:val="superscript"/>
              </w:rPr>
              <w:fldChar w:fldCharType="separate"/>
            </w:r>
            <w:r w:rsidR="00FF4210" w:rsidRPr="00FF4210">
              <w:rPr>
                <w:rFonts w:ascii="Aptos" w:hAnsi="Aptos" w:cs="Times New Roman"/>
                <w:sz w:val="20"/>
                <w:vertAlign w:val="superscript"/>
              </w:rPr>
              <w:t>108</w:t>
            </w:r>
            <w:r w:rsidR="00CC2BF9" w:rsidRPr="005500F7">
              <w:rPr>
                <w:rFonts w:ascii="Aptos" w:hAnsi="Aptos" w:cs="Helvetica"/>
                <w:sz w:val="20"/>
                <w:szCs w:val="20"/>
                <w:vertAlign w:val="superscript"/>
              </w:rPr>
              <w:fldChar w:fldCharType="end"/>
            </w:r>
            <w:r w:rsidRPr="005500F7">
              <w:rPr>
                <w:rFonts w:ascii="Aptos" w:hAnsi="Aptos" w:cs="Helvetica"/>
                <w:sz w:val="20"/>
                <w:szCs w:val="20"/>
              </w:rPr>
              <w:t xml:space="preserve"> metrics can help us classify the neurons into subcategories based on their firing characteristic. </w:t>
            </w:r>
          </w:p>
        </w:tc>
        <w:tc>
          <w:tcPr>
            <w:tcW w:w="4760" w:type="dxa"/>
            <w:tcBorders>
              <w:top w:val="single" w:sz="2" w:space="0" w:color="auto"/>
              <w:left w:val="single" w:sz="4" w:space="0" w:color="FFFFFF" w:themeColor="background1"/>
              <w:right w:val="single" w:sz="4" w:space="0" w:color="FFFFFF" w:themeColor="background1"/>
            </w:tcBorders>
            <w:shd w:val="clear" w:color="auto" w:fill="auto"/>
            <w:vAlign w:val="center"/>
          </w:tcPr>
          <w:p w14:paraId="5B5285CA" w14:textId="77777777" w:rsidR="008961B7" w:rsidRPr="005500F7" w:rsidRDefault="006F2516" w:rsidP="008961B7">
            <w:pPr>
              <w:pStyle w:val="Caption"/>
              <w:jc w:val="center"/>
              <w:rPr>
                <w:rFonts w:ascii="Aptos" w:hAnsi="Aptos" w:cs="Helvetica"/>
                <w:color w:val="auto"/>
                <w:sz w:val="20"/>
                <w:szCs w:val="20"/>
                <w:shd w:val="clear" w:color="auto" w:fill="FFFFFF"/>
              </w:rPr>
            </w:pPr>
            <m:oMathPara>
              <m:oMath>
                <m:r>
                  <w:rPr>
                    <w:rStyle w:val="Emphasis"/>
                    <w:rFonts w:ascii="Cambria Math" w:hAnsi="Cambria Math" w:cs="Helvetica"/>
                    <w:color w:val="auto"/>
                    <w:sz w:val="20"/>
                    <w:szCs w:val="20"/>
                    <w:shd w:val="clear" w:color="auto" w:fill="FFFFFF"/>
                  </w:rPr>
                  <m:t>firing regularity=log(</m:t>
                </m:r>
                <m:r>
                  <w:rPr>
                    <w:rFonts w:ascii="Cambria Math" w:hAnsi="Cambria Math" w:cs="Helvetica"/>
                    <w:color w:val="auto"/>
                    <w:sz w:val="20"/>
                    <w:szCs w:val="20"/>
                    <w:shd w:val="clear" w:color="auto" w:fill="FFFFFF"/>
                  </w:rPr>
                  <m:t>κ)</m:t>
                </m:r>
              </m:oMath>
            </m:oMathPara>
          </w:p>
          <w:p w14:paraId="07E38AAD" w14:textId="77777777" w:rsidR="008961B7" w:rsidRPr="005500F7" w:rsidRDefault="008961B7" w:rsidP="008961B7">
            <w:pPr>
              <w:rPr>
                <w:rFonts w:ascii="Aptos" w:hAnsi="Aptos" w:cs="Helvetica"/>
                <w:sz w:val="20"/>
                <w:szCs w:val="20"/>
              </w:rPr>
            </w:pPr>
          </w:p>
          <w:p w14:paraId="3F4BBEBA" w14:textId="7C68B1BC" w:rsidR="008961B7" w:rsidRPr="005500F7" w:rsidRDefault="00FF6C33" w:rsidP="008961B7">
            <w:pPr>
              <w:pStyle w:val="Caption"/>
              <w:jc w:val="right"/>
              <w:rPr>
                <w:rFonts w:ascii="Aptos" w:hAnsi="Aptos" w:cs="Helvetica"/>
                <w:color w:val="auto"/>
                <w:sz w:val="20"/>
                <w:szCs w:val="20"/>
              </w:rPr>
            </w:pPr>
            <m:oMathPara>
              <m:oMath>
                <m:r>
                  <w:rPr>
                    <w:rFonts w:ascii="Cambria Math" w:hAnsi="Cambria Math" w:cs="Helvetica"/>
                    <w:color w:val="auto"/>
                    <w:sz w:val="20"/>
                    <w:szCs w:val="20"/>
                  </w:rPr>
                  <m:t xml:space="preserve">                                  firing pattern=</m:t>
                </m:r>
                <m:d>
                  <m:dPr>
                    <m:begChr m:val="{"/>
                    <m:endChr m:val="}"/>
                    <m:ctrlPr>
                      <w:rPr>
                        <w:rFonts w:ascii="Cambria Math" w:hAnsi="Cambria Math" w:cs="Helvetica"/>
                        <w:color w:val="auto"/>
                        <w:sz w:val="20"/>
                        <w:szCs w:val="20"/>
                      </w:rPr>
                    </m:ctrlPr>
                  </m:dPr>
                  <m:e>
                    <m:eqArr>
                      <m:eqArrPr>
                        <m:ctrlPr>
                          <w:rPr>
                            <w:rFonts w:ascii="Cambria Math" w:hAnsi="Cambria Math" w:cs="Helvetica"/>
                            <w:color w:val="auto"/>
                            <w:sz w:val="20"/>
                            <w:szCs w:val="20"/>
                          </w:rPr>
                        </m:ctrlPr>
                      </m:eqArrPr>
                      <m:e>
                        <m:eqArr>
                          <m:eqArrPr>
                            <m:ctrlPr>
                              <w:rPr>
                                <w:rFonts w:ascii="Cambria Math" w:hAnsi="Cambria Math" w:cs="Helvetica"/>
                                <w:color w:val="auto"/>
                                <w:sz w:val="20"/>
                                <w:szCs w:val="20"/>
                              </w:rPr>
                            </m:ctrlPr>
                          </m:eqArrPr>
                          <m:e>
                            <m:func>
                              <m:funcPr>
                                <m:ctrlPr>
                                  <w:rPr>
                                    <w:rStyle w:val="Emphasis"/>
                                    <w:rFonts w:ascii="Cambria Math" w:hAnsi="Cambria Math" w:cs="Helvetica"/>
                                    <w:i/>
                                    <w:iCs/>
                                    <w:color w:val="auto"/>
                                    <w:sz w:val="20"/>
                                    <w:szCs w:val="20"/>
                                    <w:shd w:val="clear" w:color="auto" w:fill="FFFFFF"/>
                                  </w:rPr>
                                </m:ctrlPr>
                              </m:funcPr>
                              <m:fName>
                                <m:r>
                                  <w:rPr>
                                    <w:rStyle w:val="Emphasis"/>
                                    <w:rFonts w:ascii="Cambria Math" w:hAnsi="Cambria Math" w:cs="Helvetica"/>
                                    <w:color w:val="auto"/>
                                    <w:sz w:val="20"/>
                                    <w:szCs w:val="20"/>
                                    <w:shd w:val="clear" w:color="auto" w:fill="FFFFFF"/>
                                  </w:rPr>
                                  <m:t>log</m:t>
                                </m:r>
                              </m:fName>
                              <m:e>
                                <m:d>
                                  <m:dPr>
                                    <m:ctrlPr>
                                      <w:rPr>
                                        <w:rStyle w:val="Emphasis"/>
                                        <w:rFonts w:ascii="Cambria Math" w:hAnsi="Cambria Math" w:cs="Helvetica"/>
                                        <w:i/>
                                        <w:iCs/>
                                        <w:color w:val="auto"/>
                                        <w:sz w:val="20"/>
                                        <w:szCs w:val="20"/>
                                        <w:shd w:val="clear" w:color="auto" w:fill="FFFFFF"/>
                                      </w:rPr>
                                    </m:ctrlPr>
                                  </m:dPr>
                                  <m:e>
                                    <m:r>
                                      <w:rPr>
                                        <w:rFonts w:ascii="Cambria Math" w:hAnsi="Cambria Math" w:cs="Helvetica"/>
                                        <w:color w:val="auto"/>
                                        <w:sz w:val="20"/>
                                        <w:szCs w:val="20"/>
                                        <w:shd w:val="clear" w:color="auto" w:fill="FFFFFF"/>
                                      </w:rPr>
                                      <m:t>κ</m:t>
                                    </m:r>
                                    <m:ctrlPr>
                                      <w:rPr>
                                        <w:rFonts w:ascii="Cambria Math" w:hAnsi="Cambria Math" w:cs="Helvetica"/>
                                        <w:color w:val="auto"/>
                                        <w:sz w:val="20"/>
                                        <w:szCs w:val="20"/>
                                        <w:shd w:val="clear" w:color="auto" w:fill="FFFFFF"/>
                                      </w:rPr>
                                    </m:ctrlPr>
                                  </m:e>
                                </m:d>
                              </m:e>
                            </m:func>
                            <m:r>
                              <w:rPr>
                                <w:rFonts w:ascii="Cambria Math" w:hAnsi="Cambria Math" w:cs="Helvetica"/>
                                <w:color w:val="auto"/>
                                <w:sz w:val="20"/>
                                <w:szCs w:val="20"/>
                              </w:rPr>
                              <m:t>≤-0.3,    bursting</m:t>
                            </m:r>
                          </m:e>
                          <m:e>
                            <m:func>
                              <m:funcPr>
                                <m:ctrlPr>
                                  <w:rPr>
                                    <w:rStyle w:val="Emphasis"/>
                                    <w:rFonts w:ascii="Cambria Math" w:hAnsi="Cambria Math" w:cs="Helvetica"/>
                                    <w:i/>
                                    <w:iCs/>
                                    <w:color w:val="auto"/>
                                    <w:sz w:val="20"/>
                                    <w:szCs w:val="20"/>
                                    <w:shd w:val="clear" w:color="auto" w:fill="FFFFFF"/>
                                  </w:rPr>
                                </m:ctrlPr>
                              </m:funcPr>
                              <m:fName>
                                <m:r>
                                  <w:rPr>
                                    <w:rStyle w:val="Emphasis"/>
                                    <w:rFonts w:ascii="Cambria Math" w:hAnsi="Cambria Math" w:cs="Helvetica"/>
                                    <w:color w:val="auto"/>
                                    <w:sz w:val="20"/>
                                    <w:szCs w:val="20"/>
                                    <w:shd w:val="clear" w:color="auto" w:fill="FFFFFF"/>
                                  </w:rPr>
                                  <m:t>log</m:t>
                                </m:r>
                              </m:fName>
                              <m:e>
                                <m:d>
                                  <m:dPr>
                                    <m:ctrlPr>
                                      <w:rPr>
                                        <w:rStyle w:val="Emphasis"/>
                                        <w:rFonts w:ascii="Cambria Math" w:hAnsi="Cambria Math" w:cs="Helvetica"/>
                                        <w:i/>
                                        <w:iCs/>
                                        <w:color w:val="auto"/>
                                        <w:sz w:val="20"/>
                                        <w:szCs w:val="20"/>
                                        <w:shd w:val="clear" w:color="auto" w:fill="FFFFFF"/>
                                      </w:rPr>
                                    </m:ctrlPr>
                                  </m:dPr>
                                  <m:e>
                                    <m:r>
                                      <w:rPr>
                                        <w:rFonts w:ascii="Cambria Math" w:hAnsi="Cambria Math" w:cs="Helvetica"/>
                                        <w:color w:val="auto"/>
                                        <w:sz w:val="20"/>
                                        <w:szCs w:val="20"/>
                                        <w:shd w:val="clear" w:color="auto" w:fill="FFFFFF"/>
                                      </w:rPr>
                                      <m:t>κ</m:t>
                                    </m:r>
                                    <m:ctrlPr>
                                      <w:rPr>
                                        <w:rFonts w:ascii="Cambria Math" w:hAnsi="Cambria Math" w:cs="Helvetica"/>
                                        <w:color w:val="auto"/>
                                        <w:sz w:val="20"/>
                                        <w:szCs w:val="20"/>
                                        <w:shd w:val="clear" w:color="auto" w:fill="FFFFFF"/>
                                      </w:rPr>
                                    </m:ctrlPr>
                                  </m:e>
                                </m:d>
                              </m:e>
                            </m:func>
                            <m:r>
                              <w:rPr>
                                <w:rFonts w:ascii="Cambria Math" w:hAnsi="Cambria Math" w:cs="Helvetica"/>
                                <w:color w:val="auto"/>
                                <w:sz w:val="20"/>
                                <w:szCs w:val="20"/>
                                <w:shd w:val="clear" w:color="auto" w:fill="FFFFFF"/>
                              </w:rPr>
                              <m:t>≥</m:t>
                            </m:r>
                            <m:r>
                              <w:rPr>
                                <w:rFonts w:ascii="Cambria Math" w:hAnsi="Cambria Math" w:cs="Helvetica"/>
                                <w:color w:val="auto"/>
                                <w:sz w:val="20"/>
                                <w:szCs w:val="20"/>
                              </w:rPr>
                              <m:t xml:space="preserve">0.3,    tonic    </m:t>
                            </m:r>
                          </m:e>
                        </m:eqArr>
                      </m:e>
                      <m:e>
                        <m:func>
                          <m:funcPr>
                            <m:ctrlPr>
                              <w:rPr>
                                <w:rStyle w:val="Emphasis"/>
                                <w:rFonts w:ascii="Cambria Math" w:hAnsi="Cambria Math" w:cs="Helvetica"/>
                                <w:i/>
                                <w:iCs/>
                                <w:color w:val="auto"/>
                                <w:sz w:val="20"/>
                                <w:szCs w:val="20"/>
                                <w:shd w:val="clear" w:color="auto" w:fill="FFFFFF"/>
                              </w:rPr>
                            </m:ctrlPr>
                          </m:funcPr>
                          <m:fName>
                            <m:r>
                              <w:rPr>
                                <w:rStyle w:val="Emphasis"/>
                                <w:rFonts w:ascii="Cambria Math" w:hAnsi="Cambria Math" w:cs="Helvetica"/>
                                <w:color w:val="auto"/>
                                <w:sz w:val="20"/>
                                <w:szCs w:val="20"/>
                                <w:shd w:val="clear" w:color="auto" w:fill="FFFFFF"/>
                              </w:rPr>
                              <m:t>-0.3&gt;log</m:t>
                            </m:r>
                          </m:fName>
                          <m:e>
                            <m:d>
                              <m:dPr>
                                <m:ctrlPr>
                                  <w:rPr>
                                    <w:rStyle w:val="Emphasis"/>
                                    <w:rFonts w:ascii="Cambria Math" w:hAnsi="Cambria Math" w:cs="Helvetica"/>
                                    <w:i/>
                                    <w:iCs/>
                                    <w:color w:val="auto"/>
                                    <w:sz w:val="20"/>
                                    <w:szCs w:val="20"/>
                                    <w:shd w:val="clear" w:color="auto" w:fill="FFFFFF"/>
                                  </w:rPr>
                                </m:ctrlPr>
                              </m:dPr>
                              <m:e>
                                <m:r>
                                  <w:rPr>
                                    <w:rFonts w:ascii="Cambria Math" w:hAnsi="Cambria Math" w:cs="Helvetica"/>
                                    <w:color w:val="auto"/>
                                    <w:sz w:val="20"/>
                                    <w:szCs w:val="20"/>
                                    <w:shd w:val="clear" w:color="auto" w:fill="FFFFFF"/>
                                  </w:rPr>
                                  <m:t>κ</m:t>
                                </m:r>
                                <m:ctrlPr>
                                  <w:rPr>
                                    <w:rFonts w:ascii="Cambria Math" w:hAnsi="Cambria Math" w:cs="Helvetica"/>
                                    <w:color w:val="auto"/>
                                    <w:sz w:val="20"/>
                                    <w:szCs w:val="20"/>
                                    <w:shd w:val="clear" w:color="auto" w:fill="FFFFFF"/>
                                  </w:rPr>
                                </m:ctrlPr>
                              </m:e>
                            </m:d>
                          </m:e>
                        </m:func>
                        <m:r>
                          <w:rPr>
                            <w:rFonts w:ascii="Cambria Math" w:hAnsi="Cambria Math" w:cs="Helvetica"/>
                            <w:color w:val="auto"/>
                            <w:sz w:val="20"/>
                            <w:szCs w:val="20"/>
                            <w:shd w:val="clear" w:color="auto" w:fill="FFFFFF"/>
                          </w:rPr>
                          <m:t>&gt;</m:t>
                        </m:r>
                        <m:r>
                          <w:rPr>
                            <w:rFonts w:ascii="Cambria Math" w:hAnsi="Cambria Math" w:cs="Helvetica"/>
                            <w:color w:val="auto"/>
                            <w:sz w:val="20"/>
                            <w:szCs w:val="20"/>
                          </w:rPr>
                          <m:t>0.3,    additional criterion</m:t>
                        </m:r>
                      </m:e>
                    </m:eqArr>
                  </m:e>
                </m:d>
              </m:oMath>
            </m:oMathPara>
          </w:p>
          <w:p w14:paraId="57E0C208" w14:textId="77777777" w:rsidR="008961B7" w:rsidRPr="005500F7" w:rsidRDefault="008961B7" w:rsidP="008961B7">
            <w:pPr>
              <w:rPr>
                <w:rFonts w:ascii="Aptos" w:hAnsi="Aptos" w:cs="Helvetica"/>
                <w:sz w:val="20"/>
                <w:szCs w:val="20"/>
              </w:rPr>
            </w:pPr>
          </w:p>
          <w:p w14:paraId="64808C4A" w14:textId="0A90A08F" w:rsidR="008961B7" w:rsidRPr="005500F7" w:rsidRDefault="00D0012A" w:rsidP="008961B7">
            <w:pPr>
              <w:rPr>
                <w:rFonts w:ascii="Aptos" w:hAnsi="Aptos" w:cs="Helvetica"/>
                <w:sz w:val="20"/>
                <w:szCs w:val="20"/>
              </w:rPr>
            </w:pPr>
            <m:oMathPara>
              <m:oMath>
                <m:r>
                  <w:rPr>
                    <w:rFonts w:ascii="Cambria Math" w:hAnsi="Cambria Math" w:cs="Helvetica"/>
                    <w:sz w:val="20"/>
                    <w:szCs w:val="20"/>
                  </w:rPr>
                  <m:t xml:space="preserve">                         additional criterion=</m:t>
                </m:r>
                <m:d>
                  <m:dPr>
                    <m:begChr m:val="{"/>
                    <m:endChr m:val="}"/>
                    <m:ctrlPr>
                      <w:rPr>
                        <w:rFonts w:ascii="Cambria Math" w:hAnsi="Cambria Math" w:cs="Helvetica"/>
                        <w:sz w:val="20"/>
                        <w:szCs w:val="20"/>
                      </w:rPr>
                    </m:ctrlPr>
                  </m:dPr>
                  <m:e>
                    <m:eqArr>
                      <m:eqArrPr>
                        <m:ctrlPr>
                          <w:rPr>
                            <w:rFonts w:ascii="Cambria Math" w:hAnsi="Cambria Math" w:cs="Helvetica"/>
                            <w:sz w:val="20"/>
                            <w:szCs w:val="20"/>
                          </w:rPr>
                        </m:ctrlPr>
                      </m:eqArrPr>
                      <m:e>
                        <m:r>
                          <w:rPr>
                            <w:rFonts w:ascii="Cambria Math" w:hAnsi="Cambria Math" w:cs="Helvetica"/>
                            <w:sz w:val="20"/>
                            <w:szCs w:val="20"/>
                            <w:shd w:val="clear" w:color="auto" w:fill="FFFFFF"/>
                          </w:rPr>
                          <m:t>70% samples&gt;| λ ± 0.5λ|</m:t>
                        </m:r>
                        <m:r>
                          <w:rPr>
                            <w:rFonts w:ascii="Cambria Math" w:hAnsi="Cambria Math" w:cs="Helvetica"/>
                            <w:sz w:val="20"/>
                            <w:szCs w:val="20"/>
                          </w:rPr>
                          <m:t>, bursting</m:t>
                        </m:r>
                      </m:e>
                      <m:e>
                        <m:r>
                          <w:rPr>
                            <w:rFonts w:ascii="Cambria Math" w:hAnsi="Cambria Math" w:cs="Helvetica"/>
                            <w:sz w:val="20"/>
                            <w:szCs w:val="20"/>
                            <w:shd w:val="clear" w:color="auto" w:fill="FFFFFF"/>
                          </w:rPr>
                          <m:t xml:space="preserve">  70% samples&lt;| λ ± 0.5λ|</m:t>
                        </m:r>
                        <m:r>
                          <w:rPr>
                            <w:rFonts w:ascii="Cambria Math" w:hAnsi="Cambria Math" w:cs="Helvetica"/>
                            <w:sz w:val="20"/>
                            <w:szCs w:val="20"/>
                          </w:rPr>
                          <m:t>, irregular</m:t>
                        </m:r>
                      </m:e>
                    </m:eqArr>
                  </m:e>
                </m:d>
              </m:oMath>
            </m:oMathPara>
          </w:p>
        </w:tc>
      </w:tr>
      <w:tr w:rsidR="0017005C" w:rsidRPr="005500F7" w14:paraId="4DAE4EE8" w14:textId="77777777" w:rsidTr="00FF6C33">
        <w:trPr>
          <w:trHeight w:val="291"/>
          <w:jc w:val="center"/>
        </w:trPr>
        <w:tc>
          <w:tcPr>
            <w:tcW w:w="852" w:type="dxa"/>
            <w:tcBorders>
              <w:left w:val="single" w:sz="4" w:space="0" w:color="FFFFFF" w:themeColor="background1"/>
              <w:right w:val="single" w:sz="4" w:space="0" w:color="FFFFFF" w:themeColor="background1"/>
            </w:tcBorders>
            <w:shd w:val="clear" w:color="auto" w:fill="auto"/>
            <w:vAlign w:val="center"/>
          </w:tcPr>
          <w:p w14:paraId="4614F7BF" w14:textId="77777777" w:rsidR="00AC01DD" w:rsidRPr="005500F7" w:rsidRDefault="006F2516" w:rsidP="004E3777">
            <w:pPr>
              <w:rPr>
                <w:rFonts w:ascii="Aptos" w:hAnsi="Aptos" w:cs="Helvetica"/>
                <w:sz w:val="20"/>
                <w:szCs w:val="20"/>
              </w:rPr>
            </w:pPr>
            <w:r w:rsidRPr="005500F7">
              <w:rPr>
                <w:rFonts w:ascii="Aptos" w:hAnsi="Aptos" w:cs="Helvetica"/>
                <w:sz w:val="20"/>
                <w:szCs w:val="20"/>
              </w:rPr>
              <w:t>cv</w:t>
            </w:r>
          </w:p>
        </w:tc>
        <w:tc>
          <w:tcPr>
            <w:tcW w:w="3462" w:type="dxa"/>
            <w:tcBorders>
              <w:left w:val="single" w:sz="4" w:space="0" w:color="FFFFFF" w:themeColor="background1"/>
              <w:right w:val="single" w:sz="4" w:space="0" w:color="FFFFFF" w:themeColor="background1"/>
            </w:tcBorders>
            <w:shd w:val="clear" w:color="auto" w:fill="auto"/>
            <w:vAlign w:val="center"/>
          </w:tcPr>
          <w:p w14:paraId="2D714456" w14:textId="182495ED" w:rsidR="00AC01DD" w:rsidRPr="005500F7" w:rsidRDefault="006F2516" w:rsidP="00AC01DD">
            <w:pPr>
              <w:rPr>
                <w:rFonts w:ascii="Aptos" w:hAnsi="Aptos" w:cs="Helvetica"/>
                <w:sz w:val="20"/>
                <w:szCs w:val="20"/>
              </w:rPr>
            </w:pPr>
            <w:r w:rsidRPr="005500F7">
              <w:rPr>
                <w:rFonts w:ascii="Aptos" w:hAnsi="Aptos" w:cs="Helvetica"/>
                <w:sz w:val="20"/>
                <w:szCs w:val="20"/>
              </w:rPr>
              <w:t>The coefficient of variation in spike trains is evaluated to quantify the width of the ISI distribution.</w:t>
            </w:r>
            <w:r w:rsidR="00CC2BF9" w:rsidRPr="005500F7">
              <w:rPr>
                <w:rFonts w:ascii="Aptos" w:hAnsi="Aptos" w:cs="Helvetica"/>
                <w:sz w:val="20"/>
                <w:szCs w:val="20"/>
                <w:vertAlign w:val="superscript"/>
              </w:rPr>
              <w:fldChar w:fldCharType="begin"/>
            </w:r>
            <w:r w:rsidR="00FF4210">
              <w:rPr>
                <w:rFonts w:ascii="Aptos" w:hAnsi="Aptos" w:cs="Helvetica"/>
                <w:sz w:val="20"/>
                <w:szCs w:val="20"/>
                <w:vertAlign w:val="superscript"/>
              </w:rPr>
              <w:instrText xml:space="preserve"> ADDIN ZOTERO_ITEM CSL_CITATION {"citationID":"aX9IZABK","properties":{"formattedCitation":"\\super 109\\nosupersub{}","plainCitation":"109","noteIndex":0},"citationItems":[{"id":460,"uris":["http://zotero.org/users/local/qbj29eOf/items/845WK787"],"itemData":{"id":460,"type":"article-journal","container-title":"Biological Cybernetics","DOI":"10.1007/s00422-017-0717-y","ISSN":"0340-1200, 1432-0770","issue":"3-4","journalAbbreviation":"Biol Cybern","language":"en","page":"229-235","source":"DOI.org (Crossref)","title":"Note on the coefficient of variations of neuronal spike trains","volume":"111","author":[{"family":"Lengler","given":"Johannes"},{"family":"Steger","given":"Angelika"}],"issued":{"date-parts":[["2017",8]]}}}],"schema":"https://github.com/citation-style-language/schema/raw/master/csl-citation.json"} </w:instrText>
            </w:r>
            <w:r w:rsidR="00CC2BF9" w:rsidRPr="005500F7">
              <w:rPr>
                <w:rFonts w:ascii="Aptos" w:hAnsi="Aptos" w:cs="Helvetica"/>
                <w:sz w:val="20"/>
                <w:szCs w:val="20"/>
                <w:vertAlign w:val="superscript"/>
              </w:rPr>
              <w:fldChar w:fldCharType="separate"/>
            </w:r>
            <w:r w:rsidR="00FF4210" w:rsidRPr="00FF4210">
              <w:rPr>
                <w:rFonts w:ascii="Aptos" w:hAnsi="Aptos" w:cs="Times New Roman"/>
                <w:sz w:val="20"/>
                <w:vertAlign w:val="superscript"/>
              </w:rPr>
              <w:t>109</w:t>
            </w:r>
            <w:r w:rsidR="00CC2BF9" w:rsidRPr="005500F7">
              <w:rPr>
                <w:rFonts w:ascii="Aptos" w:hAnsi="Aptos" w:cs="Helvetica"/>
                <w:sz w:val="20"/>
                <w:szCs w:val="20"/>
                <w:vertAlign w:val="superscript"/>
              </w:rPr>
              <w:fldChar w:fldCharType="end"/>
            </w:r>
            <w:r w:rsidRPr="005500F7">
              <w:rPr>
                <w:rFonts w:ascii="Aptos" w:hAnsi="Aptos" w:cs="Helvetica"/>
                <w:sz w:val="20"/>
                <w:szCs w:val="20"/>
              </w:rPr>
              <w:t xml:space="preserve"> It acts as a sort of measure for spike train irregularity.</w:t>
            </w:r>
          </w:p>
        </w:tc>
        <w:tc>
          <w:tcPr>
            <w:tcW w:w="4760" w:type="dxa"/>
            <w:tcBorders>
              <w:left w:val="single" w:sz="4" w:space="0" w:color="FFFFFF" w:themeColor="background1"/>
              <w:right w:val="single" w:sz="4" w:space="0" w:color="FFFFFF" w:themeColor="background1"/>
            </w:tcBorders>
            <w:shd w:val="clear" w:color="auto" w:fill="auto"/>
            <w:vAlign w:val="center"/>
          </w:tcPr>
          <w:p w14:paraId="6D576AEF" w14:textId="77777777" w:rsidR="00AC01DD" w:rsidRPr="005500F7" w:rsidRDefault="006F2516" w:rsidP="00AC01DD">
            <w:pPr>
              <w:rPr>
                <w:rFonts w:ascii="Aptos" w:hAnsi="Aptos" w:cs="Helvetica"/>
                <w:sz w:val="20"/>
                <w:szCs w:val="20"/>
              </w:rPr>
            </w:pPr>
            <m:oMathPara>
              <m:oMath>
                <m:r>
                  <w:rPr>
                    <w:rFonts w:ascii="Cambria Math" w:hAnsi="Cambria Math" w:cs="Helvetica"/>
                    <w:sz w:val="20"/>
                    <w:szCs w:val="20"/>
                  </w:rPr>
                  <m:t>cv=</m:t>
                </m:r>
                <m:f>
                  <m:fPr>
                    <m:ctrlPr>
                      <w:rPr>
                        <w:rFonts w:ascii="Cambria Math" w:hAnsi="Cambria Math" w:cs="Helvetica"/>
                        <w:sz w:val="20"/>
                        <w:szCs w:val="20"/>
                      </w:rPr>
                    </m:ctrlPr>
                  </m:fPr>
                  <m:num>
                    <m:rad>
                      <m:radPr>
                        <m:ctrlPr>
                          <w:rPr>
                            <w:rFonts w:ascii="Cambria Math" w:hAnsi="Cambria Math" w:cs="Helvetica"/>
                            <w:sz w:val="20"/>
                            <w:szCs w:val="20"/>
                          </w:rPr>
                        </m:ctrlPr>
                      </m:radPr>
                      <m:deg>
                        <m:r>
                          <w:rPr>
                            <w:rFonts w:ascii="Cambria Math" w:hAnsi="Cambria Math" w:cs="Helvetica"/>
                            <w:sz w:val="20"/>
                            <w:szCs w:val="20"/>
                          </w:rPr>
                          <m:t>2</m:t>
                        </m:r>
                      </m:deg>
                      <m:e>
                        <m:r>
                          <w:rPr>
                            <w:rFonts w:ascii="Cambria Math" w:hAnsi="Cambria Math" w:cs="Helvetica"/>
                            <w:sz w:val="20"/>
                            <w:szCs w:val="20"/>
                          </w:rPr>
                          <m:t>variance(ISI)</m:t>
                        </m:r>
                      </m:e>
                    </m:rad>
                  </m:num>
                  <m:den>
                    <m:r>
                      <w:rPr>
                        <w:rFonts w:ascii="Cambria Math" w:hAnsi="Cambria Math" w:cs="Helvetica"/>
                        <w:sz w:val="20"/>
                        <w:szCs w:val="20"/>
                      </w:rPr>
                      <m:t>mean(ISI)</m:t>
                    </m:r>
                  </m:den>
                </m:f>
              </m:oMath>
            </m:oMathPara>
          </w:p>
        </w:tc>
      </w:tr>
      <w:tr w:rsidR="0017005C" w:rsidRPr="005500F7" w14:paraId="4EDFA331" w14:textId="77777777" w:rsidTr="00FF6C33">
        <w:trPr>
          <w:trHeight w:val="291"/>
          <w:jc w:val="center"/>
        </w:trPr>
        <w:tc>
          <w:tcPr>
            <w:tcW w:w="852" w:type="dxa"/>
            <w:tcBorders>
              <w:left w:val="single" w:sz="4" w:space="0" w:color="FFFFFF" w:themeColor="background1"/>
              <w:right w:val="single" w:sz="4" w:space="0" w:color="FFFFFF" w:themeColor="background1"/>
            </w:tcBorders>
            <w:shd w:val="clear" w:color="auto" w:fill="auto"/>
            <w:vAlign w:val="center"/>
          </w:tcPr>
          <w:p w14:paraId="3315EC54" w14:textId="77777777" w:rsidR="00AC01DD" w:rsidRPr="005500F7" w:rsidRDefault="006F2516" w:rsidP="004E3777">
            <w:pPr>
              <w:rPr>
                <w:rFonts w:ascii="Aptos" w:hAnsi="Aptos" w:cs="Helvetica"/>
                <w:sz w:val="20"/>
                <w:szCs w:val="20"/>
              </w:rPr>
            </w:pPr>
            <w:r w:rsidRPr="005500F7">
              <w:rPr>
                <w:rFonts w:ascii="Aptos" w:hAnsi="Aptos" w:cs="Helvetica"/>
                <w:sz w:val="20"/>
                <w:szCs w:val="20"/>
              </w:rPr>
              <w:lastRenderedPageBreak/>
              <w:t>lv</w:t>
            </w:r>
          </w:p>
        </w:tc>
        <w:tc>
          <w:tcPr>
            <w:tcW w:w="3462" w:type="dxa"/>
            <w:tcBorders>
              <w:left w:val="single" w:sz="4" w:space="0" w:color="FFFFFF" w:themeColor="background1"/>
              <w:right w:val="single" w:sz="4" w:space="0" w:color="FFFFFF" w:themeColor="background1"/>
            </w:tcBorders>
            <w:shd w:val="clear" w:color="auto" w:fill="auto"/>
            <w:vAlign w:val="center"/>
          </w:tcPr>
          <w:p w14:paraId="6B182862" w14:textId="5260EB21" w:rsidR="00AC01DD" w:rsidRPr="005500F7" w:rsidRDefault="006F2516" w:rsidP="00AC01DD">
            <w:pPr>
              <w:rPr>
                <w:rFonts w:ascii="Aptos" w:hAnsi="Aptos" w:cs="Helvetica"/>
                <w:sz w:val="20"/>
                <w:szCs w:val="20"/>
              </w:rPr>
            </w:pPr>
            <w:r w:rsidRPr="005500F7">
              <w:rPr>
                <w:rFonts w:ascii="Aptos" w:hAnsi="Aptos" w:cs="Helvetica"/>
                <w:sz w:val="20"/>
                <w:szCs w:val="20"/>
              </w:rPr>
              <w:t xml:space="preserve">It is a metric originally defined to determine the intrinsic temporal dynamics of neuron spike trains. Lv compares temporal variations with their local rates, and it is specifically defined for nonstationary processes. In the equation, each </w:t>
            </w:r>
            <m:oMath>
              <m:r>
                <w:rPr>
                  <w:rFonts w:ascii="Cambria Math" w:hAnsi="Cambria Math" w:cs="Helvetica"/>
                  <w:sz w:val="20"/>
                  <w:szCs w:val="20"/>
                </w:rPr>
                <m:t>τ</m:t>
              </m:r>
            </m:oMath>
            <w:r w:rsidR="00CC2BF9" w:rsidRPr="005500F7">
              <w:rPr>
                <w:rFonts w:ascii="Aptos" w:hAnsi="Aptos" w:cs="Helvetica"/>
                <w:sz w:val="20"/>
                <w:szCs w:val="20"/>
              </w:rPr>
              <w:t xml:space="preserve"> value indicates the timing of an observed spike where N parameters represent the total number of spikes in a spike train.</w:t>
            </w:r>
            <w:r w:rsidR="00CC2BF9" w:rsidRPr="005500F7">
              <w:rPr>
                <w:rFonts w:ascii="Aptos" w:hAnsi="Aptos" w:cs="Helvetica"/>
                <w:sz w:val="20"/>
                <w:szCs w:val="20"/>
              </w:rPr>
              <w:fldChar w:fldCharType="begin"/>
            </w:r>
            <w:r w:rsidR="00FF4210">
              <w:rPr>
                <w:rFonts w:ascii="Aptos" w:hAnsi="Aptos" w:cs="Helvetica"/>
                <w:sz w:val="20"/>
                <w:szCs w:val="20"/>
              </w:rPr>
              <w:instrText xml:space="preserve"> ADDIN ZOTERO_ITEM CSL_CITATION {"citationID":"OeqyiQCh","properties":{"formattedCitation":"\\super 110\\nosupersub{}","plainCitation":"110","noteIndex":0},"citationItems":[{"id":461,"uris":["http://zotero.org/users/local/qbj29eOf/items/6LMNLQUW"],"itemData":{"id":461,"type":"article-journal","abstract":"Spike sequences recorded from four cortical areas of an awake behaving monkey were examined to explore characteristics that vary among neurons. We found that a measure of the local variation of interspike intervals, L\n              V\n              , is nearly the same for every spike sequence for any given neuron, while it varies significantly among neurons. The distributions of L\n              V\n              values for neuron ensembles in three of the four areas were found to be distinctly bimodal. Two groups of neurons classified according to the spiking irregularity exhibit different responses to the same stimulus. This suggests that neurons in each area can be classified into different groups possessing unique spiking statistics and corresponding functional properties.","container-title":"Neural Computation","DOI":"10.1162/089976603322518759","ISSN":"0899-7667, 1530-888X","issue":"12","journalAbbreviation":"Neural Computation","language":"en","page":"2823-2842","source":"DOI.org (Crossref)","title":"Differences in Spiking Patterns Among Cortical Neurons","volume":"15","author":[{"family":"Shinomoto","given":"Shigeru"},{"family":"Shima","given":"Keisetsu"},{"family":"Tanji","given":"Jun"}],"issued":{"date-parts":[["2003",12,1]]}}}],"schema":"https://github.com/citation-style-language/schema/raw/master/csl-citation.json"} </w:instrText>
            </w:r>
            <w:r w:rsidR="00CC2BF9" w:rsidRPr="005500F7">
              <w:rPr>
                <w:rFonts w:ascii="Aptos" w:hAnsi="Aptos" w:cs="Helvetica"/>
                <w:sz w:val="20"/>
                <w:szCs w:val="20"/>
              </w:rPr>
              <w:fldChar w:fldCharType="separate"/>
            </w:r>
            <w:r w:rsidR="00FF4210" w:rsidRPr="00FF4210">
              <w:rPr>
                <w:rFonts w:ascii="Aptos" w:hAnsi="Aptos" w:cs="Times New Roman"/>
                <w:sz w:val="20"/>
                <w:vertAlign w:val="superscript"/>
              </w:rPr>
              <w:t>110</w:t>
            </w:r>
            <w:r w:rsidR="00CC2BF9" w:rsidRPr="005500F7">
              <w:rPr>
                <w:rFonts w:ascii="Aptos" w:hAnsi="Aptos" w:cs="Helvetica"/>
                <w:sz w:val="20"/>
                <w:szCs w:val="20"/>
              </w:rPr>
              <w:fldChar w:fldCharType="end"/>
            </w:r>
          </w:p>
        </w:tc>
        <w:tc>
          <w:tcPr>
            <w:tcW w:w="4760" w:type="dxa"/>
            <w:tcBorders>
              <w:left w:val="single" w:sz="4" w:space="0" w:color="FFFFFF" w:themeColor="background1"/>
              <w:right w:val="single" w:sz="4" w:space="0" w:color="FFFFFF" w:themeColor="background1"/>
            </w:tcBorders>
            <w:shd w:val="clear" w:color="auto" w:fill="auto"/>
            <w:vAlign w:val="center"/>
          </w:tcPr>
          <w:p w14:paraId="18D21796" w14:textId="77777777" w:rsidR="00AC01DD" w:rsidRPr="005500F7" w:rsidRDefault="006F2516" w:rsidP="00AC01DD">
            <w:pPr>
              <w:rPr>
                <w:rFonts w:ascii="Aptos" w:hAnsi="Aptos" w:cs="Helvetica"/>
                <w:sz w:val="20"/>
                <w:szCs w:val="20"/>
              </w:rPr>
            </w:pPr>
            <m:oMathPara>
              <m:oMath>
                <m:r>
                  <w:rPr>
                    <w:rFonts w:ascii="Cambria Math" w:hAnsi="Cambria Math" w:cs="Helvetica"/>
                    <w:sz w:val="20"/>
                    <w:szCs w:val="20"/>
                  </w:rPr>
                  <m:t xml:space="preserve">lv= </m:t>
                </m:r>
                <m:f>
                  <m:fPr>
                    <m:ctrlPr>
                      <w:rPr>
                        <w:rFonts w:ascii="Cambria Math" w:hAnsi="Cambria Math" w:cs="Helvetica"/>
                        <w:sz w:val="20"/>
                        <w:szCs w:val="20"/>
                      </w:rPr>
                    </m:ctrlPr>
                  </m:fPr>
                  <m:num>
                    <m:r>
                      <w:rPr>
                        <w:rFonts w:ascii="Cambria Math" w:hAnsi="Cambria Math" w:cs="Helvetica"/>
                        <w:sz w:val="20"/>
                        <w:szCs w:val="20"/>
                      </w:rPr>
                      <m:t>3</m:t>
                    </m:r>
                  </m:num>
                  <m:den>
                    <m:r>
                      <w:rPr>
                        <w:rFonts w:ascii="Cambria Math" w:hAnsi="Cambria Math" w:cs="Helvetica"/>
                        <w:sz w:val="20"/>
                        <w:szCs w:val="20"/>
                      </w:rPr>
                      <m:t>N-2</m:t>
                    </m:r>
                  </m:den>
                </m:f>
                <m:nary>
                  <m:naryPr>
                    <m:chr m:val="∑"/>
                    <m:grow m:val="1"/>
                    <m:ctrlPr>
                      <w:rPr>
                        <w:rFonts w:ascii="Cambria Math" w:hAnsi="Cambria Math" w:cs="Helvetica"/>
                        <w:sz w:val="20"/>
                        <w:szCs w:val="20"/>
                      </w:rPr>
                    </m:ctrlPr>
                  </m:naryPr>
                  <m:sub>
                    <m:r>
                      <w:rPr>
                        <w:rFonts w:ascii="Cambria Math" w:eastAsia="Cambria Math" w:hAnsi="Cambria Math" w:cs="Helvetica"/>
                        <w:sz w:val="20"/>
                        <w:szCs w:val="20"/>
                      </w:rPr>
                      <m:t>n=0</m:t>
                    </m:r>
                  </m:sub>
                  <m:sup>
                    <m:r>
                      <w:rPr>
                        <w:rFonts w:ascii="Cambria Math" w:eastAsia="Cambria Math" w:hAnsi="Cambria Math" w:cs="Helvetica"/>
                        <w:sz w:val="20"/>
                        <w:szCs w:val="20"/>
                      </w:rPr>
                      <m:t>N-1</m:t>
                    </m:r>
                  </m:sup>
                  <m:e>
                    <m:sSup>
                      <m:sSupPr>
                        <m:ctrlPr>
                          <w:rPr>
                            <w:rFonts w:ascii="Cambria Math" w:hAnsi="Cambria Math" w:cs="Helvetica"/>
                            <w:sz w:val="20"/>
                            <w:szCs w:val="20"/>
                          </w:rPr>
                        </m:ctrlPr>
                      </m:sSupPr>
                      <m:e>
                        <m:d>
                          <m:dPr>
                            <m:ctrlPr>
                              <w:rPr>
                                <w:rFonts w:ascii="Cambria Math" w:hAnsi="Cambria Math" w:cs="Helvetica"/>
                                <w:sz w:val="20"/>
                                <w:szCs w:val="20"/>
                              </w:rPr>
                            </m:ctrlPr>
                          </m:dPr>
                          <m:e>
                            <m:f>
                              <m:fPr>
                                <m:ctrlPr>
                                  <w:rPr>
                                    <w:rFonts w:ascii="Cambria Math" w:hAnsi="Cambria Math" w:cs="Helvetica"/>
                                    <w:sz w:val="20"/>
                                    <w:szCs w:val="20"/>
                                  </w:rPr>
                                </m:ctrlPr>
                              </m:fPr>
                              <m:num>
                                <m:d>
                                  <m:dPr>
                                    <m:ctrlPr>
                                      <w:rPr>
                                        <w:rFonts w:ascii="Cambria Math" w:hAnsi="Cambria Math" w:cs="Helvetica"/>
                                        <w:sz w:val="20"/>
                                        <w:szCs w:val="20"/>
                                      </w:rPr>
                                    </m:ctrlPr>
                                  </m:dPr>
                                  <m:e>
                                    <m:sSub>
                                      <m:sSubPr>
                                        <m:ctrlPr>
                                          <w:rPr>
                                            <w:rFonts w:ascii="Cambria Math" w:hAnsi="Cambria Math" w:cs="Helvetica"/>
                                            <w:sz w:val="20"/>
                                            <w:szCs w:val="20"/>
                                          </w:rPr>
                                        </m:ctrlPr>
                                      </m:sSubPr>
                                      <m:e>
                                        <m:r>
                                          <w:rPr>
                                            <w:rFonts w:ascii="Cambria Math" w:hAnsi="Cambria Math" w:cs="Helvetica"/>
                                            <w:sz w:val="20"/>
                                            <w:szCs w:val="20"/>
                                          </w:rPr>
                                          <m:t>τ</m:t>
                                        </m:r>
                                      </m:e>
                                      <m:sub>
                                        <m:r>
                                          <w:rPr>
                                            <w:rFonts w:ascii="Cambria Math" w:hAnsi="Cambria Math" w:cs="Helvetica"/>
                                            <w:sz w:val="20"/>
                                            <w:szCs w:val="20"/>
                                          </w:rPr>
                                          <m:t>n+1</m:t>
                                        </m:r>
                                      </m:sub>
                                    </m:sSub>
                                    <m:r>
                                      <w:rPr>
                                        <w:rFonts w:ascii="Cambria Math" w:hAnsi="Cambria Math" w:cs="Helvetica"/>
                                        <w:sz w:val="20"/>
                                        <w:szCs w:val="20"/>
                                      </w:rPr>
                                      <m:t>-</m:t>
                                    </m:r>
                                    <m:sSub>
                                      <m:sSubPr>
                                        <m:ctrlPr>
                                          <w:rPr>
                                            <w:rFonts w:ascii="Cambria Math" w:hAnsi="Cambria Math" w:cs="Helvetica"/>
                                            <w:sz w:val="20"/>
                                            <w:szCs w:val="20"/>
                                          </w:rPr>
                                        </m:ctrlPr>
                                      </m:sSubPr>
                                      <m:e>
                                        <m:r>
                                          <w:rPr>
                                            <w:rFonts w:ascii="Cambria Math" w:hAnsi="Cambria Math" w:cs="Helvetica"/>
                                            <w:sz w:val="20"/>
                                            <w:szCs w:val="20"/>
                                          </w:rPr>
                                          <m:t>τ</m:t>
                                        </m:r>
                                      </m:e>
                                      <m:sub>
                                        <m:r>
                                          <w:rPr>
                                            <w:rFonts w:ascii="Cambria Math" w:hAnsi="Cambria Math" w:cs="Helvetica"/>
                                            <w:sz w:val="20"/>
                                            <w:szCs w:val="20"/>
                                          </w:rPr>
                                          <m:t>n</m:t>
                                        </m:r>
                                      </m:sub>
                                    </m:sSub>
                                  </m:e>
                                </m:d>
                                <m:r>
                                  <w:rPr>
                                    <w:rFonts w:ascii="Cambria Math" w:hAnsi="Cambria Math" w:cs="Helvetica"/>
                                    <w:sz w:val="20"/>
                                    <w:szCs w:val="20"/>
                                  </w:rPr>
                                  <m:t>-(</m:t>
                                </m:r>
                                <m:sSub>
                                  <m:sSubPr>
                                    <m:ctrlPr>
                                      <w:rPr>
                                        <w:rFonts w:ascii="Cambria Math" w:hAnsi="Cambria Math" w:cs="Helvetica"/>
                                        <w:sz w:val="20"/>
                                        <w:szCs w:val="20"/>
                                      </w:rPr>
                                    </m:ctrlPr>
                                  </m:sSubPr>
                                  <m:e>
                                    <m:r>
                                      <w:rPr>
                                        <w:rFonts w:ascii="Cambria Math" w:hAnsi="Cambria Math" w:cs="Helvetica"/>
                                        <w:sz w:val="20"/>
                                        <w:szCs w:val="20"/>
                                      </w:rPr>
                                      <m:t>τ</m:t>
                                    </m:r>
                                  </m:e>
                                  <m:sub>
                                    <m:r>
                                      <w:rPr>
                                        <w:rFonts w:ascii="Cambria Math" w:hAnsi="Cambria Math" w:cs="Helvetica"/>
                                        <w:sz w:val="20"/>
                                        <w:szCs w:val="20"/>
                                      </w:rPr>
                                      <m:t>n</m:t>
                                    </m:r>
                                  </m:sub>
                                </m:sSub>
                                <m:r>
                                  <w:rPr>
                                    <w:rFonts w:ascii="Cambria Math" w:hAnsi="Cambria Math" w:cs="Helvetica"/>
                                    <w:sz w:val="20"/>
                                    <w:szCs w:val="20"/>
                                  </w:rPr>
                                  <m:t>-</m:t>
                                </m:r>
                                <m:sSub>
                                  <m:sSubPr>
                                    <m:ctrlPr>
                                      <w:rPr>
                                        <w:rFonts w:ascii="Cambria Math" w:hAnsi="Cambria Math" w:cs="Helvetica"/>
                                        <w:sz w:val="20"/>
                                        <w:szCs w:val="20"/>
                                      </w:rPr>
                                    </m:ctrlPr>
                                  </m:sSubPr>
                                  <m:e>
                                    <m:r>
                                      <w:rPr>
                                        <w:rFonts w:ascii="Cambria Math" w:hAnsi="Cambria Math" w:cs="Helvetica"/>
                                        <w:sz w:val="20"/>
                                        <w:szCs w:val="20"/>
                                      </w:rPr>
                                      <m:t>τ</m:t>
                                    </m:r>
                                  </m:e>
                                  <m:sub>
                                    <m:r>
                                      <w:rPr>
                                        <w:rFonts w:ascii="Cambria Math" w:hAnsi="Cambria Math" w:cs="Helvetica"/>
                                        <w:sz w:val="20"/>
                                        <w:szCs w:val="20"/>
                                      </w:rPr>
                                      <m:t>n-1</m:t>
                                    </m:r>
                                  </m:sub>
                                </m:sSub>
                                <m:r>
                                  <w:rPr>
                                    <w:rFonts w:ascii="Cambria Math" w:hAnsi="Cambria Math" w:cs="Helvetica"/>
                                    <w:sz w:val="20"/>
                                    <w:szCs w:val="20"/>
                                  </w:rPr>
                                  <m:t>)</m:t>
                                </m:r>
                              </m:num>
                              <m:den>
                                <m:d>
                                  <m:dPr>
                                    <m:ctrlPr>
                                      <w:rPr>
                                        <w:rFonts w:ascii="Cambria Math" w:hAnsi="Cambria Math" w:cs="Helvetica"/>
                                        <w:sz w:val="20"/>
                                        <w:szCs w:val="20"/>
                                      </w:rPr>
                                    </m:ctrlPr>
                                  </m:dPr>
                                  <m:e>
                                    <m:sSub>
                                      <m:sSubPr>
                                        <m:ctrlPr>
                                          <w:rPr>
                                            <w:rFonts w:ascii="Cambria Math" w:hAnsi="Cambria Math" w:cs="Helvetica"/>
                                            <w:sz w:val="20"/>
                                            <w:szCs w:val="20"/>
                                          </w:rPr>
                                        </m:ctrlPr>
                                      </m:sSubPr>
                                      <m:e>
                                        <m:r>
                                          <w:rPr>
                                            <w:rFonts w:ascii="Cambria Math" w:hAnsi="Cambria Math" w:cs="Helvetica"/>
                                            <w:sz w:val="20"/>
                                            <w:szCs w:val="20"/>
                                          </w:rPr>
                                          <m:t>τ</m:t>
                                        </m:r>
                                      </m:e>
                                      <m:sub>
                                        <m:r>
                                          <w:rPr>
                                            <w:rFonts w:ascii="Cambria Math" w:hAnsi="Cambria Math" w:cs="Helvetica"/>
                                            <w:sz w:val="20"/>
                                            <w:szCs w:val="20"/>
                                          </w:rPr>
                                          <m:t>n+1</m:t>
                                        </m:r>
                                      </m:sub>
                                    </m:sSub>
                                    <m:r>
                                      <w:rPr>
                                        <w:rFonts w:ascii="Cambria Math" w:hAnsi="Cambria Math" w:cs="Helvetica"/>
                                        <w:sz w:val="20"/>
                                        <w:szCs w:val="20"/>
                                      </w:rPr>
                                      <m:t>-</m:t>
                                    </m:r>
                                    <m:sSub>
                                      <m:sSubPr>
                                        <m:ctrlPr>
                                          <w:rPr>
                                            <w:rFonts w:ascii="Cambria Math" w:hAnsi="Cambria Math" w:cs="Helvetica"/>
                                            <w:sz w:val="20"/>
                                            <w:szCs w:val="20"/>
                                          </w:rPr>
                                        </m:ctrlPr>
                                      </m:sSubPr>
                                      <m:e>
                                        <m:r>
                                          <w:rPr>
                                            <w:rFonts w:ascii="Cambria Math" w:hAnsi="Cambria Math" w:cs="Helvetica"/>
                                            <w:sz w:val="20"/>
                                            <w:szCs w:val="20"/>
                                          </w:rPr>
                                          <m:t>τ</m:t>
                                        </m:r>
                                      </m:e>
                                      <m:sub>
                                        <m:r>
                                          <w:rPr>
                                            <w:rFonts w:ascii="Cambria Math" w:hAnsi="Cambria Math" w:cs="Helvetica"/>
                                            <w:sz w:val="20"/>
                                            <w:szCs w:val="20"/>
                                          </w:rPr>
                                          <m:t>n</m:t>
                                        </m:r>
                                      </m:sub>
                                    </m:sSub>
                                  </m:e>
                                </m:d>
                                <m:r>
                                  <w:rPr>
                                    <w:rFonts w:ascii="Cambria Math" w:hAnsi="Cambria Math" w:cs="Helvetica"/>
                                    <w:sz w:val="20"/>
                                    <w:szCs w:val="20"/>
                                  </w:rPr>
                                  <m:t>-(</m:t>
                                </m:r>
                                <m:sSub>
                                  <m:sSubPr>
                                    <m:ctrlPr>
                                      <w:rPr>
                                        <w:rFonts w:ascii="Cambria Math" w:hAnsi="Cambria Math" w:cs="Helvetica"/>
                                        <w:sz w:val="20"/>
                                        <w:szCs w:val="20"/>
                                      </w:rPr>
                                    </m:ctrlPr>
                                  </m:sSubPr>
                                  <m:e>
                                    <m:r>
                                      <w:rPr>
                                        <w:rFonts w:ascii="Cambria Math" w:hAnsi="Cambria Math" w:cs="Helvetica"/>
                                        <w:sz w:val="20"/>
                                        <w:szCs w:val="20"/>
                                      </w:rPr>
                                      <m:t>τ</m:t>
                                    </m:r>
                                  </m:e>
                                  <m:sub>
                                    <m:r>
                                      <w:rPr>
                                        <w:rFonts w:ascii="Cambria Math" w:hAnsi="Cambria Math" w:cs="Helvetica"/>
                                        <w:sz w:val="20"/>
                                        <w:szCs w:val="20"/>
                                      </w:rPr>
                                      <m:t>n</m:t>
                                    </m:r>
                                  </m:sub>
                                </m:sSub>
                                <m:r>
                                  <w:rPr>
                                    <w:rFonts w:ascii="Cambria Math" w:hAnsi="Cambria Math" w:cs="Helvetica"/>
                                    <w:sz w:val="20"/>
                                    <w:szCs w:val="20"/>
                                  </w:rPr>
                                  <m:t>-</m:t>
                                </m:r>
                                <m:sSub>
                                  <m:sSubPr>
                                    <m:ctrlPr>
                                      <w:rPr>
                                        <w:rFonts w:ascii="Cambria Math" w:hAnsi="Cambria Math" w:cs="Helvetica"/>
                                        <w:sz w:val="20"/>
                                        <w:szCs w:val="20"/>
                                      </w:rPr>
                                    </m:ctrlPr>
                                  </m:sSubPr>
                                  <m:e>
                                    <m:r>
                                      <w:rPr>
                                        <w:rFonts w:ascii="Cambria Math" w:hAnsi="Cambria Math" w:cs="Helvetica"/>
                                        <w:sz w:val="20"/>
                                        <w:szCs w:val="20"/>
                                      </w:rPr>
                                      <m:t>τ</m:t>
                                    </m:r>
                                  </m:e>
                                  <m:sub>
                                    <m:r>
                                      <w:rPr>
                                        <w:rFonts w:ascii="Cambria Math" w:hAnsi="Cambria Math" w:cs="Helvetica"/>
                                        <w:sz w:val="20"/>
                                        <w:szCs w:val="20"/>
                                      </w:rPr>
                                      <m:t>n-1</m:t>
                                    </m:r>
                                  </m:sub>
                                </m:sSub>
                                <m:r>
                                  <w:rPr>
                                    <w:rFonts w:ascii="Cambria Math" w:hAnsi="Cambria Math" w:cs="Helvetica"/>
                                    <w:sz w:val="20"/>
                                    <w:szCs w:val="20"/>
                                  </w:rPr>
                                  <m:t>)</m:t>
                                </m:r>
                              </m:den>
                            </m:f>
                          </m:e>
                        </m:d>
                      </m:e>
                      <m:sup>
                        <m:r>
                          <w:rPr>
                            <w:rFonts w:ascii="Cambria Math" w:hAnsi="Cambria Math" w:cs="Helvetica"/>
                            <w:sz w:val="20"/>
                            <w:szCs w:val="20"/>
                          </w:rPr>
                          <m:t>2</m:t>
                        </m:r>
                      </m:sup>
                    </m:sSup>
                  </m:e>
                </m:nary>
              </m:oMath>
            </m:oMathPara>
          </w:p>
        </w:tc>
      </w:tr>
      <w:tr w:rsidR="0017005C" w:rsidRPr="005500F7" w14:paraId="5FD83C2F" w14:textId="77777777" w:rsidTr="00FF6C33">
        <w:trPr>
          <w:trHeight w:val="291"/>
          <w:jc w:val="center"/>
        </w:trPr>
        <w:tc>
          <w:tcPr>
            <w:tcW w:w="852" w:type="dxa"/>
            <w:tcBorders>
              <w:left w:val="single" w:sz="4" w:space="0" w:color="FFFFFF" w:themeColor="background1"/>
              <w:right w:val="single" w:sz="4" w:space="0" w:color="FFFFFF" w:themeColor="background1"/>
            </w:tcBorders>
            <w:shd w:val="clear" w:color="auto" w:fill="auto"/>
            <w:vAlign w:val="center"/>
          </w:tcPr>
          <w:p w14:paraId="74847680" w14:textId="6E5B9ADB" w:rsidR="00FF33FE" w:rsidRPr="005500F7" w:rsidRDefault="006F2516" w:rsidP="004E3777">
            <w:pPr>
              <w:rPr>
                <w:rFonts w:ascii="Aptos" w:hAnsi="Aptos" w:cs="Helvetica"/>
                <w:sz w:val="20"/>
                <w:szCs w:val="20"/>
              </w:rPr>
            </w:pPr>
            <w:r w:rsidRPr="005500F7">
              <w:rPr>
                <w:rFonts w:ascii="Aptos" w:hAnsi="Aptos" w:cs="Helvetica"/>
                <w:sz w:val="20"/>
                <w:szCs w:val="20"/>
              </w:rPr>
              <w:t>asymmetry</w:t>
            </w:r>
            <w:r w:rsidR="00CD0AC1">
              <w:rPr>
                <w:rFonts w:ascii="Aptos" w:hAnsi="Aptos" w:cs="Helvetica"/>
                <w:sz w:val="20"/>
                <w:szCs w:val="20"/>
              </w:rPr>
              <w:t xml:space="preserve"> </w:t>
            </w:r>
            <w:r w:rsidRPr="005500F7">
              <w:rPr>
                <w:rFonts w:ascii="Aptos" w:hAnsi="Aptos" w:cs="Helvetica"/>
                <w:sz w:val="20"/>
                <w:szCs w:val="20"/>
              </w:rPr>
              <w:t>index</w:t>
            </w:r>
          </w:p>
        </w:tc>
        <w:tc>
          <w:tcPr>
            <w:tcW w:w="3462" w:type="dxa"/>
            <w:tcBorders>
              <w:left w:val="single" w:sz="4" w:space="0" w:color="FFFFFF" w:themeColor="background1"/>
              <w:right w:val="single" w:sz="4" w:space="0" w:color="FFFFFF" w:themeColor="background1"/>
            </w:tcBorders>
            <w:shd w:val="clear" w:color="auto" w:fill="auto"/>
            <w:vAlign w:val="center"/>
          </w:tcPr>
          <w:p w14:paraId="18C2F554" w14:textId="77777777" w:rsidR="00FF33FE" w:rsidRPr="005500F7" w:rsidRDefault="006F2516" w:rsidP="00AC01DD">
            <w:pPr>
              <w:rPr>
                <w:rFonts w:ascii="Aptos" w:hAnsi="Aptos" w:cs="Helvetica"/>
                <w:sz w:val="20"/>
                <w:szCs w:val="20"/>
              </w:rPr>
            </w:pPr>
            <w:r w:rsidRPr="005500F7">
              <w:rPr>
                <w:rFonts w:ascii="Aptos" w:hAnsi="Aptos" w:cs="Helvetica"/>
                <w:sz w:val="20"/>
                <w:szCs w:val="20"/>
              </w:rPr>
              <w:t>A neural metric to measure spiking regularity which is based on ISI distribution statistics.</w:t>
            </w:r>
          </w:p>
        </w:tc>
        <w:tc>
          <w:tcPr>
            <w:tcW w:w="4760" w:type="dxa"/>
            <w:tcBorders>
              <w:left w:val="single" w:sz="4" w:space="0" w:color="FFFFFF" w:themeColor="background1"/>
              <w:right w:val="single" w:sz="4" w:space="0" w:color="FFFFFF" w:themeColor="background1"/>
            </w:tcBorders>
            <w:shd w:val="clear" w:color="auto" w:fill="auto"/>
            <w:vAlign w:val="center"/>
          </w:tcPr>
          <w:p w14:paraId="0A4A4F7E" w14:textId="4B50B407" w:rsidR="00FF33FE" w:rsidRPr="005500F7" w:rsidRDefault="006F2516" w:rsidP="00AC01DD">
            <w:pPr>
              <w:rPr>
                <w:rFonts w:ascii="Aptos" w:eastAsia="Times New Roman" w:hAnsi="Aptos" w:cs="Helvetica"/>
                <w:sz w:val="20"/>
                <w:szCs w:val="20"/>
              </w:rPr>
            </w:pPr>
            <m:oMathPara>
              <m:oMath>
                <m:r>
                  <w:rPr>
                    <w:rFonts w:ascii="Cambria Math" w:hAnsi="Cambria Math" w:cs="Helvetica"/>
                    <w:sz w:val="20"/>
                    <w:szCs w:val="20"/>
                  </w:rPr>
                  <m:t>asymmetry index=</m:t>
                </m:r>
                <m:f>
                  <m:fPr>
                    <m:ctrlPr>
                      <w:rPr>
                        <w:rFonts w:ascii="Cambria Math" w:hAnsi="Cambria Math" w:cs="Helvetica"/>
                        <w:sz w:val="20"/>
                        <w:szCs w:val="20"/>
                      </w:rPr>
                    </m:ctrlPr>
                  </m:fPr>
                  <m:num>
                    <m:r>
                      <w:rPr>
                        <w:rFonts w:ascii="Cambria Math" w:hAnsi="Cambria Math" w:cs="Helvetica"/>
                        <w:sz w:val="20"/>
                        <w:szCs w:val="20"/>
                      </w:rPr>
                      <m:t>mode(ISI)</m:t>
                    </m:r>
                  </m:num>
                  <m:den>
                    <m:r>
                      <w:rPr>
                        <w:rFonts w:ascii="Cambria Math" w:hAnsi="Cambria Math" w:cs="Helvetica"/>
                        <w:sz w:val="20"/>
                        <w:szCs w:val="20"/>
                      </w:rPr>
                      <m:t>mean(ISI)</m:t>
                    </m:r>
                  </m:den>
                </m:f>
              </m:oMath>
            </m:oMathPara>
          </w:p>
        </w:tc>
      </w:tr>
      <w:tr w:rsidR="0017005C" w:rsidRPr="005500F7" w14:paraId="61D1988A" w14:textId="77777777" w:rsidTr="00FF6C33">
        <w:trPr>
          <w:trHeight w:val="291"/>
          <w:jc w:val="center"/>
        </w:trPr>
        <w:tc>
          <w:tcPr>
            <w:tcW w:w="852" w:type="dxa"/>
            <w:tcBorders>
              <w:left w:val="single" w:sz="4" w:space="0" w:color="FFFFFF" w:themeColor="background1"/>
              <w:right w:val="single" w:sz="4" w:space="0" w:color="FFFFFF" w:themeColor="background1"/>
            </w:tcBorders>
            <w:shd w:val="clear" w:color="auto" w:fill="auto"/>
            <w:vAlign w:val="center"/>
          </w:tcPr>
          <w:p w14:paraId="0589C5BF" w14:textId="72173CBE" w:rsidR="00AC01DD" w:rsidRPr="005500F7" w:rsidRDefault="006F2516" w:rsidP="004E3777">
            <w:pPr>
              <w:rPr>
                <w:rFonts w:ascii="Aptos" w:hAnsi="Aptos" w:cs="Helvetica"/>
                <w:sz w:val="20"/>
                <w:szCs w:val="20"/>
              </w:rPr>
            </w:pPr>
            <w:r w:rsidRPr="005500F7">
              <w:rPr>
                <w:rFonts w:ascii="Aptos" w:hAnsi="Aptos" w:cs="Helvetica"/>
                <w:sz w:val="20"/>
                <w:szCs w:val="20"/>
              </w:rPr>
              <w:t>isi</w:t>
            </w:r>
            <w:r w:rsidR="00CD0AC1">
              <w:rPr>
                <w:rFonts w:ascii="Aptos" w:hAnsi="Aptos" w:cs="Helvetica"/>
                <w:sz w:val="20"/>
                <w:szCs w:val="20"/>
              </w:rPr>
              <w:t xml:space="preserve"> </w:t>
            </w:r>
            <w:r w:rsidRPr="005500F7">
              <w:rPr>
                <w:rFonts w:ascii="Aptos" w:hAnsi="Aptos" w:cs="Helvetica"/>
                <w:sz w:val="20"/>
                <w:szCs w:val="20"/>
              </w:rPr>
              <w:t>mean</w:t>
            </w:r>
          </w:p>
        </w:tc>
        <w:tc>
          <w:tcPr>
            <w:tcW w:w="3462" w:type="dxa"/>
            <w:tcBorders>
              <w:left w:val="single" w:sz="4" w:space="0" w:color="FFFFFF" w:themeColor="background1"/>
              <w:right w:val="single" w:sz="4" w:space="0" w:color="FFFFFF" w:themeColor="background1"/>
            </w:tcBorders>
            <w:shd w:val="clear" w:color="auto" w:fill="auto"/>
            <w:vAlign w:val="center"/>
          </w:tcPr>
          <w:p w14:paraId="1173EEBB" w14:textId="77777777" w:rsidR="00AC01DD" w:rsidRPr="005500F7" w:rsidRDefault="006F2516" w:rsidP="007C12C0">
            <w:pPr>
              <w:rPr>
                <w:rFonts w:ascii="Aptos" w:hAnsi="Aptos" w:cs="Helvetica"/>
                <w:sz w:val="20"/>
                <w:szCs w:val="20"/>
              </w:rPr>
            </w:pPr>
            <w:r w:rsidRPr="005500F7">
              <w:rPr>
                <w:rFonts w:ascii="Aptos" w:hAnsi="Aptos" w:cs="Helvetica"/>
                <w:sz w:val="20"/>
                <w:szCs w:val="20"/>
              </w:rPr>
              <w:t>The mean value of ISI represents the average temporal distance between two subsequent spikes of a neural structure. It is closely correlated with the mean firing rate.</w:t>
            </w:r>
          </w:p>
        </w:tc>
        <w:tc>
          <w:tcPr>
            <w:tcW w:w="4760" w:type="dxa"/>
            <w:tcBorders>
              <w:left w:val="single" w:sz="4" w:space="0" w:color="FFFFFF" w:themeColor="background1"/>
              <w:right w:val="single" w:sz="4" w:space="0" w:color="FFFFFF" w:themeColor="background1"/>
            </w:tcBorders>
            <w:shd w:val="clear" w:color="auto" w:fill="auto"/>
            <w:vAlign w:val="center"/>
          </w:tcPr>
          <w:p w14:paraId="279A3435" w14:textId="77777777" w:rsidR="00AC01DD" w:rsidRPr="005500F7" w:rsidRDefault="006F2516" w:rsidP="00AC01DD">
            <w:pPr>
              <w:rPr>
                <w:rFonts w:ascii="Aptos" w:hAnsi="Aptos" w:cs="Helvetica"/>
                <w:sz w:val="20"/>
                <w:szCs w:val="20"/>
              </w:rPr>
            </w:pPr>
            <m:oMathPara>
              <m:oMath>
                <m:r>
                  <w:rPr>
                    <w:rFonts w:ascii="Cambria Math" w:hAnsi="Cambria Math" w:cs="Helvetica"/>
                    <w:sz w:val="20"/>
                    <w:szCs w:val="20"/>
                  </w:rPr>
                  <m:t>IS</m:t>
                </m:r>
                <m:sSub>
                  <m:sSubPr>
                    <m:ctrlPr>
                      <w:rPr>
                        <w:rFonts w:ascii="Cambria Math" w:hAnsi="Cambria Math" w:cs="Helvetica"/>
                        <w:sz w:val="20"/>
                        <w:szCs w:val="20"/>
                      </w:rPr>
                    </m:ctrlPr>
                  </m:sSubPr>
                  <m:e>
                    <m:r>
                      <w:rPr>
                        <w:rFonts w:ascii="Cambria Math" w:hAnsi="Cambria Math" w:cs="Helvetica"/>
                        <w:sz w:val="20"/>
                        <w:szCs w:val="20"/>
                      </w:rPr>
                      <m:t>I</m:t>
                    </m:r>
                  </m:e>
                  <m:sub>
                    <m:r>
                      <w:rPr>
                        <w:rFonts w:ascii="Cambria Math" w:hAnsi="Cambria Math" w:cs="Helvetica"/>
                        <w:sz w:val="20"/>
                        <w:szCs w:val="20"/>
                      </w:rPr>
                      <m:t>mean</m:t>
                    </m:r>
                  </m:sub>
                </m:sSub>
                <m:r>
                  <m:rPr>
                    <m:sty m:val="p"/>
                  </m:rPr>
                  <w:rPr>
                    <w:rFonts w:ascii="Cambria Math" w:hAnsi="Cambria Math" w:cs="Helvetica"/>
                    <w:sz w:val="20"/>
                    <w:szCs w:val="20"/>
                  </w:rPr>
                  <m:t xml:space="preserve">= </m:t>
                </m:r>
                <m:r>
                  <w:rPr>
                    <w:rFonts w:ascii="Cambria Math" w:hAnsi="Cambria Math" w:cs="Helvetica"/>
                    <w:sz w:val="20"/>
                    <w:szCs w:val="20"/>
                  </w:rPr>
                  <m:t>shap</m:t>
                </m:r>
                <m:sSub>
                  <m:sSubPr>
                    <m:ctrlPr>
                      <w:rPr>
                        <w:rFonts w:ascii="Cambria Math" w:hAnsi="Cambria Math" w:cs="Helvetica"/>
                        <w:sz w:val="20"/>
                        <w:szCs w:val="20"/>
                      </w:rPr>
                    </m:ctrlPr>
                  </m:sSubPr>
                  <m:e>
                    <m:r>
                      <w:rPr>
                        <w:rFonts w:ascii="Cambria Math" w:hAnsi="Cambria Math" w:cs="Helvetica"/>
                        <w:sz w:val="20"/>
                        <w:szCs w:val="20"/>
                      </w:rPr>
                      <m:t>e</m:t>
                    </m:r>
                  </m:e>
                  <m:sub>
                    <m:r>
                      <w:rPr>
                        <w:rFonts w:ascii="Cambria Math" w:hAnsi="Cambria Math" w:cs="Helvetica"/>
                        <w:sz w:val="20"/>
                        <w:szCs w:val="20"/>
                      </w:rPr>
                      <m:t>param</m:t>
                    </m:r>
                  </m:sub>
                </m:sSub>
                <m:r>
                  <m:rPr>
                    <m:sty m:val="p"/>
                  </m:rPr>
                  <w:rPr>
                    <w:rFonts w:ascii="Cambria Math" w:hAnsi="Cambria Math" w:cs="Helvetica"/>
                    <w:sz w:val="20"/>
                    <w:szCs w:val="20"/>
                  </w:rPr>
                  <m:t>×</m:t>
                </m:r>
                <m:r>
                  <w:rPr>
                    <w:rFonts w:ascii="Cambria Math" w:hAnsi="Cambria Math" w:cs="Helvetica"/>
                    <w:sz w:val="20"/>
                    <w:szCs w:val="20"/>
                  </w:rPr>
                  <m:t>scal</m:t>
                </m:r>
                <m:sSub>
                  <m:sSubPr>
                    <m:ctrlPr>
                      <w:rPr>
                        <w:rFonts w:ascii="Cambria Math" w:hAnsi="Cambria Math" w:cs="Helvetica"/>
                        <w:sz w:val="20"/>
                        <w:szCs w:val="20"/>
                      </w:rPr>
                    </m:ctrlPr>
                  </m:sSubPr>
                  <m:e>
                    <m:r>
                      <w:rPr>
                        <w:rFonts w:ascii="Cambria Math" w:hAnsi="Cambria Math" w:cs="Helvetica"/>
                        <w:sz w:val="20"/>
                        <w:szCs w:val="20"/>
                      </w:rPr>
                      <m:t>e</m:t>
                    </m:r>
                  </m:e>
                  <m:sub>
                    <m:r>
                      <w:rPr>
                        <w:rFonts w:ascii="Cambria Math" w:hAnsi="Cambria Math" w:cs="Helvetica"/>
                        <w:sz w:val="20"/>
                        <w:szCs w:val="20"/>
                      </w:rPr>
                      <m:t>param</m:t>
                    </m:r>
                  </m:sub>
                </m:sSub>
              </m:oMath>
            </m:oMathPara>
          </w:p>
        </w:tc>
      </w:tr>
      <w:tr w:rsidR="0017005C" w:rsidRPr="005500F7" w14:paraId="3DD9AF39" w14:textId="77777777" w:rsidTr="00FF6C33">
        <w:trPr>
          <w:trHeight w:val="279"/>
          <w:jc w:val="center"/>
        </w:trPr>
        <w:tc>
          <w:tcPr>
            <w:tcW w:w="852" w:type="dxa"/>
            <w:tcBorders>
              <w:left w:val="single" w:sz="4" w:space="0" w:color="FFFFFF" w:themeColor="background1"/>
              <w:right w:val="single" w:sz="4" w:space="0" w:color="FFFFFF" w:themeColor="background1"/>
            </w:tcBorders>
            <w:shd w:val="clear" w:color="auto" w:fill="auto"/>
            <w:vAlign w:val="center"/>
          </w:tcPr>
          <w:p w14:paraId="40D5C451" w14:textId="00823AD1" w:rsidR="00AC01DD" w:rsidRPr="005500F7" w:rsidRDefault="006F2516" w:rsidP="004E3777">
            <w:pPr>
              <w:rPr>
                <w:rFonts w:ascii="Aptos" w:hAnsi="Aptos" w:cs="Helvetica"/>
                <w:sz w:val="20"/>
                <w:szCs w:val="20"/>
              </w:rPr>
            </w:pPr>
            <w:r w:rsidRPr="005500F7">
              <w:rPr>
                <w:rFonts w:ascii="Aptos" w:hAnsi="Aptos" w:cs="Helvetica"/>
                <w:sz w:val="20"/>
                <w:szCs w:val="20"/>
              </w:rPr>
              <w:t>isi</w:t>
            </w:r>
            <w:r w:rsidR="00CD0AC1">
              <w:rPr>
                <w:rFonts w:ascii="Aptos" w:hAnsi="Aptos" w:cs="Helvetica"/>
                <w:sz w:val="20"/>
                <w:szCs w:val="20"/>
              </w:rPr>
              <w:t xml:space="preserve"> </w:t>
            </w:r>
            <w:r w:rsidRPr="005500F7">
              <w:rPr>
                <w:rFonts w:ascii="Aptos" w:hAnsi="Aptos" w:cs="Helvetica"/>
                <w:sz w:val="20"/>
                <w:szCs w:val="20"/>
              </w:rPr>
              <w:t>std</w:t>
            </w:r>
          </w:p>
        </w:tc>
        <w:tc>
          <w:tcPr>
            <w:tcW w:w="3462" w:type="dxa"/>
            <w:tcBorders>
              <w:left w:val="single" w:sz="4" w:space="0" w:color="FFFFFF" w:themeColor="background1"/>
              <w:right w:val="single" w:sz="4" w:space="0" w:color="FFFFFF" w:themeColor="background1"/>
            </w:tcBorders>
            <w:shd w:val="clear" w:color="auto" w:fill="auto"/>
            <w:vAlign w:val="center"/>
          </w:tcPr>
          <w:p w14:paraId="63D93DA0" w14:textId="4EE3B613" w:rsidR="00AC01DD" w:rsidRPr="005500F7" w:rsidRDefault="006F2516" w:rsidP="007C12C0">
            <w:pPr>
              <w:rPr>
                <w:rFonts w:ascii="Aptos" w:hAnsi="Aptos" w:cs="Helvetica"/>
                <w:sz w:val="20"/>
                <w:szCs w:val="20"/>
              </w:rPr>
            </w:pPr>
            <w:r w:rsidRPr="005500F7">
              <w:rPr>
                <w:rFonts w:ascii="Aptos" w:hAnsi="Aptos" w:cs="Helvetica"/>
                <w:sz w:val="20"/>
                <w:szCs w:val="20"/>
              </w:rPr>
              <w:t xml:space="preserve">The standard deviation was calculated to define the dispersion around the mean of the ISI distribution. It indicates the uncertainty of the duration between two subsequent spikes in spike trains. </w:t>
            </w:r>
          </w:p>
        </w:tc>
        <w:tc>
          <w:tcPr>
            <w:tcW w:w="4760" w:type="dxa"/>
            <w:tcBorders>
              <w:left w:val="single" w:sz="4" w:space="0" w:color="FFFFFF" w:themeColor="background1"/>
              <w:right w:val="single" w:sz="4" w:space="0" w:color="FFFFFF" w:themeColor="background1"/>
            </w:tcBorders>
            <w:shd w:val="clear" w:color="auto" w:fill="auto"/>
            <w:vAlign w:val="center"/>
          </w:tcPr>
          <w:p w14:paraId="201E1A0A" w14:textId="77777777" w:rsidR="00AC01DD" w:rsidRPr="005500F7" w:rsidRDefault="006F2516" w:rsidP="00AC01DD">
            <w:pPr>
              <w:rPr>
                <w:rFonts w:ascii="Aptos" w:hAnsi="Aptos" w:cs="Helvetica"/>
                <w:sz w:val="20"/>
                <w:szCs w:val="20"/>
              </w:rPr>
            </w:pPr>
            <m:oMathPara>
              <m:oMath>
                <m:r>
                  <w:rPr>
                    <w:rFonts w:ascii="Cambria Math" w:hAnsi="Cambria Math" w:cs="Helvetica"/>
                    <w:sz w:val="20"/>
                    <w:szCs w:val="20"/>
                  </w:rPr>
                  <m:t>IS</m:t>
                </m:r>
                <m:sSub>
                  <m:sSubPr>
                    <m:ctrlPr>
                      <w:rPr>
                        <w:rFonts w:ascii="Cambria Math" w:hAnsi="Cambria Math" w:cs="Helvetica"/>
                        <w:sz w:val="20"/>
                        <w:szCs w:val="20"/>
                      </w:rPr>
                    </m:ctrlPr>
                  </m:sSubPr>
                  <m:e>
                    <m:r>
                      <w:rPr>
                        <w:rFonts w:ascii="Cambria Math" w:hAnsi="Cambria Math" w:cs="Helvetica"/>
                        <w:sz w:val="20"/>
                        <w:szCs w:val="20"/>
                      </w:rPr>
                      <m:t>I</m:t>
                    </m:r>
                  </m:e>
                  <m:sub>
                    <m:r>
                      <w:rPr>
                        <w:rFonts w:ascii="Cambria Math" w:hAnsi="Cambria Math" w:cs="Helvetica"/>
                        <w:sz w:val="20"/>
                        <w:szCs w:val="20"/>
                      </w:rPr>
                      <m:t>std</m:t>
                    </m:r>
                  </m:sub>
                </m:sSub>
                <m:r>
                  <m:rPr>
                    <m:sty m:val="p"/>
                  </m:rPr>
                  <w:rPr>
                    <w:rFonts w:ascii="Cambria Math" w:hAnsi="Cambria Math" w:cs="Helvetica"/>
                    <w:sz w:val="20"/>
                    <w:szCs w:val="20"/>
                  </w:rPr>
                  <m:t xml:space="preserve">= </m:t>
                </m:r>
                <m:rad>
                  <m:radPr>
                    <m:degHide m:val="1"/>
                    <m:ctrlPr>
                      <w:rPr>
                        <w:rFonts w:ascii="Cambria Math" w:hAnsi="Cambria Math" w:cs="Helvetica"/>
                        <w:sz w:val="20"/>
                        <w:szCs w:val="20"/>
                      </w:rPr>
                    </m:ctrlPr>
                  </m:radPr>
                  <m:deg/>
                  <m:e>
                    <m:r>
                      <w:rPr>
                        <w:rFonts w:ascii="Cambria Math" w:hAnsi="Cambria Math" w:cs="Helvetica"/>
                        <w:sz w:val="20"/>
                        <w:szCs w:val="20"/>
                      </w:rPr>
                      <m:t>shap</m:t>
                    </m:r>
                    <m:sSub>
                      <m:sSubPr>
                        <m:ctrlPr>
                          <w:rPr>
                            <w:rFonts w:ascii="Cambria Math" w:hAnsi="Cambria Math" w:cs="Helvetica"/>
                            <w:sz w:val="20"/>
                            <w:szCs w:val="20"/>
                          </w:rPr>
                        </m:ctrlPr>
                      </m:sSubPr>
                      <m:e>
                        <m:r>
                          <w:rPr>
                            <w:rFonts w:ascii="Cambria Math" w:hAnsi="Cambria Math" w:cs="Helvetica"/>
                            <w:sz w:val="20"/>
                            <w:szCs w:val="20"/>
                          </w:rPr>
                          <m:t>e</m:t>
                        </m:r>
                      </m:e>
                      <m:sub>
                        <m:r>
                          <w:rPr>
                            <w:rFonts w:ascii="Cambria Math" w:hAnsi="Cambria Math" w:cs="Helvetica"/>
                            <w:sz w:val="20"/>
                            <w:szCs w:val="20"/>
                          </w:rPr>
                          <m:t>param</m:t>
                        </m:r>
                      </m:sub>
                    </m:sSub>
                    <m:r>
                      <m:rPr>
                        <m:sty m:val="p"/>
                      </m:rPr>
                      <w:rPr>
                        <w:rFonts w:ascii="Cambria Math" w:hAnsi="Cambria Math" w:cs="Helvetica"/>
                        <w:sz w:val="20"/>
                        <w:szCs w:val="20"/>
                      </w:rPr>
                      <m:t xml:space="preserve"> ×</m:t>
                    </m:r>
                    <m:sSup>
                      <m:sSupPr>
                        <m:ctrlPr>
                          <w:rPr>
                            <w:rFonts w:ascii="Cambria Math" w:hAnsi="Cambria Math" w:cs="Helvetica"/>
                            <w:sz w:val="20"/>
                            <w:szCs w:val="20"/>
                          </w:rPr>
                        </m:ctrlPr>
                      </m:sSupPr>
                      <m:e>
                        <m:r>
                          <w:rPr>
                            <w:rFonts w:ascii="Cambria Math" w:hAnsi="Cambria Math" w:cs="Helvetica"/>
                            <w:sz w:val="20"/>
                            <w:szCs w:val="20"/>
                          </w:rPr>
                          <m:t>scal</m:t>
                        </m:r>
                        <m:sSub>
                          <m:sSubPr>
                            <m:ctrlPr>
                              <w:rPr>
                                <w:rFonts w:ascii="Cambria Math" w:hAnsi="Cambria Math" w:cs="Helvetica"/>
                                <w:sz w:val="20"/>
                                <w:szCs w:val="20"/>
                              </w:rPr>
                            </m:ctrlPr>
                          </m:sSubPr>
                          <m:e>
                            <m:r>
                              <w:rPr>
                                <w:rFonts w:ascii="Cambria Math" w:hAnsi="Cambria Math" w:cs="Helvetica"/>
                                <w:sz w:val="20"/>
                                <w:szCs w:val="20"/>
                              </w:rPr>
                              <m:t>e</m:t>
                            </m:r>
                          </m:e>
                          <m:sub>
                            <m:r>
                              <w:rPr>
                                <w:rFonts w:ascii="Cambria Math" w:hAnsi="Cambria Math" w:cs="Helvetica"/>
                                <w:sz w:val="20"/>
                                <w:szCs w:val="20"/>
                              </w:rPr>
                              <m:t>param</m:t>
                            </m:r>
                          </m:sub>
                        </m:sSub>
                      </m:e>
                      <m:sup>
                        <m:r>
                          <m:rPr>
                            <m:sty m:val="p"/>
                          </m:rPr>
                          <w:rPr>
                            <w:rFonts w:ascii="Cambria Math" w:hAnsi="Cambria Math" w:cs="Helvetica"/>
                            <w:sz w:val="20"/>
                            <w:szCs w:val="20"/>
                          </w:rPr>
                          <m:t>2</m:t>
                        </m:r>
                      </m:sup>
                    </m:sSup>
                  </m:e>
                </m:rad>
              </m:oMath>
            </m:oMathPara>
          </w:p>
        </w:tc>
      </w:tr>
      <w:tr w:rsidR="0017005C" w:rsidRPr="005500F7" w14:paraId="00C3F173" w14:textId="77777777" w:rsidTr="00FF6C33">
        <w:trPr>
          <w:trHeight w:val="291"/>
          <w:jc w:val="center"/>
        </w:trPr>
        <w:tc>
          <w:tcPr>
            <w:tcW w:w="852" w:type="dxa"/>
            <w:tcBorders>
              <w:left w:val="single" w:sz="4" w:space="0" w:color="FFFFFF" w:themeColor="background1"/>
              <w:right w:val="single" w:sz="4" w:space="0" w:color="FFFFFF" w:themeColor="background1"/>
            </w:tcBorders>
            <w:shd w:val="clear" w:color="auto" w:fill="auto"/>
            <w:vAlign w:val="center"/>
          </w:tcPr>
          <w:p w14:paraId="63240362" w14:textId="1F1705B9" w:rsidR="00AC01DD" w:rsidRPr="005500F7" w:rsidRDefault="006F2516" w:rsidP="004E3777">
            <w:pPr>
              <w:rPr>
                <w:rFonts w:ascii="Aptos" w:hAnsi="Aptos" w:cs="Helvetica"/>
                <w:sz w:val="20"/>
                <w:szCs w:val="20"/>
              </w:rPr>
            </w:pPr>
            <w:r w:rsidRPr="005500F7">
              <w:rPr>
                <w:rFonts w:ascii="Aptos" w:hAnsi="Aptos" w:cs="Helvetica"/>
                <w:sz w:val="20"/>
                <w:szCs w:val="20"/>
              </w:rPr>
              <w:t>isi</w:t>
            </w:r>
            <w:r w:rsidR="00CD0AC1">
              <w:rPr>
                <w:rFonts w:ascii="Aptos" w:hAnsi="Aptos" w:cs="Helvetica"/>
                <w:sz w:val="20"/>
                <w:szCs w:val="20"/>
              </w:rPr>
              <w:t xml:space="preserve"> </w:t>
            </w:r>
            <w:r w:rsidRPr="005500F7">
              <w:rPr>
                <w:rFonts w:ascii="Aptos" w:hAnsi="Aptos" w:cs="Helvetica"/>
                <w:sz w:val="20"/>
                <w:szCs w:val="20"/>
              </w:rPr>
              <w:t>skewness</w:t>
            </w:r>
          </w:p>
        </w:tc>
        <w:tc>
          <w:tcPr>
            <w:tcW w:w="3462" w:type="dxa"/>
            <w:tcBorders>
              <w:left w:val="single" w:sz="4" w:space="0" w:color="FFFFFF" w:themeColor="background1"/>
              <w:right w:val="single" w:sz="4" w:space="0" w:color="FFFFFF" w:themeColor="background1"/>
            </w:tcBorders>
            <w:shd w:val="clear" w:color="auto" w:fill="auto"/>
            <w:vAlign w:val="center"/>
          </w:tcPr>
          <w:p w14:paraId="77A2B318" w14:textId="77777777" w:rsidR="00AC01DD" w:rsidRPr="005500F7" w:rsidRDefault="006F2516" w:rsidP="007C12C0">
            <w:pPr>
              <w:rPr>
                <w:rFonts w:ascii="Aptos" w:hAnsi="Aptos" w:cs="Helvetica"/>
                <w:sz w:val="20"/>
                <w:szCs w:val="20"/>
              </w:rPr>
            </w:pPr>
            <w:r w:rsidRPr="005500F7">
              <w:rPr>
                <w:rFonts w:ascii="Aptos" w:hAnsi="Aptos" w:cs="Helvetica"/>
                <w:sz w:val="20"/>
                <w:szCs w:val="20"/>
              </w:rPr>
              <w:t>Skewness represents how ISI values are symmetrically distributed around the distribution mean.</w:t>
            </w:r>
          </w:p>
        </w:tc>
        <w:tc>
          <w:tcPr>
            <w:tcW w:w="4760" w:type="dxa"/>
            <w:tcBorders>
              <w:left w:val="single" w:sz="4" w:space="0" w:color="FFFFFF" w:themeColor="background1"/>
              <w:right w:val="single" w:sz="4" w:space="0" w:color="FFFFFF" w:themeColor="background1"/>
            </w:tcBorders>
            <w:shd w:val="clear" w:color="auto" w:fill="auto"/>
            <w:vAlign w:val="center"/>
          </w:tcPr>
          <w:p w14:paraId="37BDA085" w14:textId="77777777" w:rsidR="00AC01DD" w:rsidRPr="005500F7" w:rsidRDefault="006F2516" w:rsidP="00AC01DD">
            <w:pPr>
              <w:rPr>
                <w:rFonts w:ascii="Aptos" w:hAnsi="Aptos" w:cs="Helvetica"/>
                <w:sz w:val="20"/>
                <w:szCs w:val="20"/>
              </w:rPr>
            </w:pPr>
            <m:oMathPara>
              <m:oMath>
                <m:r>
                  <w:rPr>
                    <w:rFonts w:ascii="Cambria Math" w:hAnsi="Cambria Math" w:cs="Helvetica"/>
                    <w:sz w:val="20"/>
                    <w:szCs w:val="20"/>
                  </w:rPr>
                  <m:t>IS</m:t>
                </m:r>
                <m:sSub>
                  <m:sSubPr>
                    <m:ctrlPr>
                      <w:rPr>
                        <w:rFonts w:ascii="Cambria Math" w:hAnsi="Cambria Math" w:cs="Helvetica"/>
                        <w:sz w:val="20"/>
                        <w:szCs w:val="20"/>
                      </w:rPr>
                    </m:ctrlPr>
                  </m:sSubPr>
                  <m:e>
                    <m:r>
                      <w:rPr>
                        <w:rFonts w:ascii="Cambria Math" w:hAnsi="Cambria Math" w:cs="Helvetica"/>
                        <w:sz w:val="20"/>
                        <w:szCs w:val="20"/>
                      </w:rPr>
                      <m:t>I</m:t>
                    </m:r>
                  </m:e>
                  <m:sub>
                    <m:r>
                      <w:rPr>
                        <w:rFonts w:ascii="Cambria Math" w:hAnsi="Cambria Math" w:cs="Helvetica"/>
                        <w:sz w:val="20"/>
                        <w:szCs w:val="20"/>
                      </w:rPr>
                      <m:t>skewness</m:t>
                    </m:r>
                  </m:sub>
                </m:sSub>
                <m:r>
                  <m:rPr>
                    <m:sty m:val="p"/>
                  </m:rPr>
                  <w:rPr>
                    <w:rFonts w:ascii="Cambria Math" w:hAnsi="Cambria Math" w:cs="Helvetica"/>
                    <w:sz w:val="20"/>
                    <w:szCs w:val="20"/>
                  </w:rPr>
                  <m:t xml:space="preserve">= </m:t>
                </m:r>
                <m:f>
                  <m:fPr>
                    <m:ctrlPr>
                      <w:rPr>
                        <w:rFonts w:ascii="Cambria Math" w:hAnsi="Cambria Math" w:cs="Helvetica"/>
                        <w:sz w:val="20"/>
                        <w:szCs w:val="20"/>
                      </w:rPr>
                    </m:ctrlPr>
                  </m:fPr>
                  <m:num>
                    <m:r>
                      <m:rPr>
                        <m:sty m:val="p"/>
                      </m:rPr>
                      <w:rPr>
                        <w:rFonts w:ascii="Cambria Math" w:hAnsi="Cambria Math" w:cs="Helvetica"/>
                        <w:sz w:val="20"/>
                        <w:szCs w:val="20"/>
                      </w:rPr>
                      <m:t>2</m:t>
                    </m:r>
                  </m:num>
                  <m:den>
                    <m:rad>
                      <m:radPr>
                        <m:degHide m:val="1"/>
                        <m:ctrlPr>
                          <w:rPr>
                            <w:rFonts w:ascii="Cambria Math" w:hAnsi="Cambria Math" w:cs="Helvetica"/>
                            <w:sz w:val="20"/>
                            <w:szCs w:val="20"/>
                          </w:rPr>
                        </m:ctrlPr>
                      </m:radPr>
                      <m:deg/>
                      <m:e>
                        <m:r>
                          <w:rPr>
                            <w:rFonts w:ascii="Cambria Math" w:hAnsi="Cambria Math" w:cs="Helvetica"/>
                            <w:sz w:val="20"/>
                            <w:szCs w:val="20"/>
                          </w:rPr>
                          <m:t>shap</m:t>
                        </m:r>
                        <m:sSub>
                          <m:sSubPr>
                            <m:ctrlPr>
                              <w:rPr>
                                <w:rFonts w:ascii="Cambria Math" w:hAnsi="Cambria Math" w:cs="Helvetica"/>
                                <w:sz w:val="20"/>
                                <w:szCs w:val="20"/>
                              </w:rPr>
                            </m:ctrlPr>
                          </m:sSubPr>
                          <m:e>
                            <m:r>
                              <w:rPr>
                                <w:rFonts w:ascii="Cambria Math" w:hAnsi="Cambria Math" w:cs="Helvetica"/>
                                <w:sz w:val="20"/>
                                <w:szCs w:val="20"/>
                              </w:rPr>
                              <m:t>e</m:t>
                            </m:r>
                          </m:e>
                          <m:sub>
                            <m:r>
                              <w:rPr>
                                <w:rFonts w:ascii="Cambria Math" w:hAnsi="Cambria Math" w:cs="Helvetica"/>
                                <w:sz w:val="20"/>
                                <w:szCs w:val="20"/>
                              </w:rPr>
                              <m:t>param</m:t>
                            </m:r>
                          </m:sub>
                        </m:sSub>
                      </m:e>
                    </m:rad>
                  </m:den>
                </m:f>
              </m:oMath>
            </m:oMathPara>
          </w:p>
        </w:tc>
      </w:tr>
      <w:tr w:rsidR="0017005C" w:rsidRPr="005500F7" w14:paraId="2352CD24" w14:textId="77777777" w:rsidTr="00FF6C33">
        <w:trPr>
          <w:trHeight w:val="291"/>
          <w:jc w:val="center"/>
        </w:trPr>
        <w:tc>
          <w:tcPr>
            <w:tcW w:w="852" w:type="dxa"/>
            <w:tcBorders>
              <w:left w:val="single" w:sz="4" w:space="0" w:color="FFFFFF" w:themeColor="background1"/>
              <w:right w:val="single" w:sz="4" w:space="0" w:color="FFFFFF" w:themeColor="background1"/>
            </w:tcBorders>
            <w:shd w:val="clear" w:color="auto" w:fill="auto"/>
            <w:vAlign w:val="center"/>
          </w:tcPr>
          <w:p w14:paraId="7812882A" w14:textId="51433A9C" w:rsidR="00AC01DD" w:rsidRPr="005500F7" w:rsidRDefault="006F2516" w:rsidP="004E3777">
            <w:pPr>
              <w:rPr>
                <w:rFonts w:ascii="Aptos" w:hAnsi="Aptos" w:cs="Helvetica"/>
                <w:sz w:val="20"/>
                <w:szCs w:val="20"/>
              </w:rPr>
            </w:pPr>
            <w:r w:rsidRPr="005500F7">
              <w:rPr>
                <w:rFonts w:ascii="Aptos" w:hAnsi="Aptos" w:cs="Helvetica"/>
                <w:sz w:val="20"/>
                <w:szCs w:val="20"/>
              </w:rPr>
              <w:t>isi</w:t>
            </w:r>
            <w:r w:rsidR="00CD0AC1">
              <w:rPr>
                <w:rFonts w:ascii="Aptos" w:hAnsi="Aptos" w:cs="Helvetica"/>
                <w:sz w:val="20"/>
                <w:szCs w:val="20"/>
              </w:rPr>
              <w:t xml:space="preserve"> correlation coefficient</w:t>
            </w:r>
          </w:p>
        </w:tc>
        <w:tc>
          <w:tcPr>
            <w:tcW w:w="3462" w:type="dxa"/>
            <w:tcBorders>
              <w:left w:val="single" w:sz="4" w:space="0" w:color="FFFFFF" w:themeColor="background1"/>
              <w:right w:val="single" w:sz="4" w:space="0" w:color="FFFFFF" w:themeColor="background1"/>
            </w:tcBorders>
            <w:shd w:val="clear" w:color="auto" w:fill="auto"/>
            <w:vAlign w:val="center"/>
          </w:tcPr>
          <w:p w14:paraId="79FEA6B8" w14:textId="00FA847B" w:rsidR="00AC01DD" w:rsidRPr="005500F7" w:rsidRDefault="00CC2BF9" w:rsidP="007C12C0">
            <w:pPr>
              <w:rPr>
                <w:rFonts w:ascii="Aptos" w:hAnsi="Aptos" w:cs="Helvetica"/>
                <w:sz w:val="20"/>
                <w:szCs w:val="20"/>
              </w:rPr>
            </w:pPr>
            <w:r w:rsidRPr="005500F7">
              <w:rPr>
                <w:rFonts w:ascii="Aptos" w:hAnsi="Aptos" w:cs="Helvetica"/>
                <w:sz w:val="20"/>
                <w:szCs w:val="20"/>
              </w:rPr>
              <w:t>Correlations between interspike intervals occur due to a combination of intrinsic mechanisms and the temporal properties of the input stimulus. ISI correlation can provide indirect information from bursting to periodical phase-locked firing.</w:t>
            </w:r>
            <w:r w:rsidRPr="005500F7">
              <w:rPr>
                <w:rFonts w:ascii="Aptos" w:hAnsi="Aptos" w:cs="Helvetica"/>
                <w:sz w:val="20"/>
                <w:szCs w:val="20"/>
              </w:rPr>
              <w:fldChar w:fldCharType="begin"/>
            </w:r>
            <w:r w:rsidR="00FF4210">
              <w:rPr>
                <w:rFonts w:ascii="Aptos" w:hAnsi="Aptos" w:cs="Helvetica"/>
                <w:sz w:val="20"/>
                <w:szCs w:val="20"/>
              </w:rPr>
              <w:instrText xml:space="preserve"> ADDIN ZOTERO_ITEM CSL_CITATION {"citationID":"LHwlH2j7","properties":{"formattedCitation":"\\super 111\\nosupersub{}","plainCitation":"111","noteIndex":0},"citationItems":[{"id":462,"uris":["http://zotero.org/users/local/qbj29eOf/items/EM3HTEAN"],"itemData":{"id":462,"type":"article-journal","abstract":"Neurons produce action potentials or spikes in response to a wide variety of inputs. Correlations between interspike intervals are often seen in data from single neurons, and are due to a combination of intrinsic mechanisms and the temporal properties of the input stimulus. Here we review recent progress in our understanding of how intrinsic correlations arise in simple biophysically justified neuron models. We further describe the generic conditions under which these correlations enhance the rate of transfer of information about time-varying stimuli. This work points to the importance of studying non-renewal first passage time problems in nonlinear dynamical systems.","container-title":"Fluctuation and Noise Letters","DOI":"10.1142/S0219477504001793","ISSN":"0219-4775, 1793-6780","issue":"01","journalAbbreviation":"Fluct. Noise Lett.","language":"en","page":"L195-L205","source":"DOI.org (Crossref)","title":"ISI CORRELATIONS AND INFORMATION TRANSFER","volume":"04","author":[{"family":"Chacron","given":"Maurice J."},{"family":"Lindner","given":"Benjamin"},{"family":"Longtin","given":"André"}],"issued":{"date-parts":[["2004",3]]}}}],"schema":"https://github.com/citation-style-language/schema/raw/master/csl-citation.json"} </w:instrText>
            </w:r>
            <w:r w:rsidRPr="005500F7">
              <w:rPr>
                <w:rFonts w:ascii="Aptos" w:hAnsi="Aptos" w:cs="Helvetica"/>
                <w:sz w:val="20"/>
                <w:szCs w:val="20"/>
              </w:rPr>
              <w:fldChar w:fldCharType="separate"/>
            </w:r>
            <w:r w:rsidR="00FF4210" w:rsidRPr="00FF4210">
              <w:rPr>
                <w:rFonts w:ascii="Aptos" w:hAnsi="Aptos" w:cs="Times New Roman"/>
                <w:sz w:val="20"/>
                <w:vertAlign w:val="superscript"/>
              </w:rPr>
              <w:t>111</w:t>
            </w:r>
            <w:r w:rsidRPr="005500F7">
              <w:rPr>
                <w:rFonts w:ascii="Aptos" w:hAnsi="Aptos" w:cs="Helvetica"/>
                <w:sz w:val="20"/>
                <w:szCs w:val="20"/>
              </w:rPr>
              <w:fldChar w:fldCharType="end"/>
            </w:r>
            <w:r w:rsidR="006F2516" w:rsidRPr="005500F7">
              <w:rPr>
                <w:rFonts w:ascii="Aptos" w:hAnsi="Aptos" w:cs="Helvetica"/>
                <w:sz w:val="20"/>
                <w:szCs w:val="20"/>
              </w:rPr>
              <w:t xml:space="preserve"> ISI correlation is computed with the serial correlation coefficient formula.</w:t>
            </w:r>
          </w:p>
        </w:tc>
        <w:tc>
          <w:tcPr>
            <w:tcW w:w="4760" w:type="dxa"/>
            <w:tcBorders>
              <w:left w:val="single" w:sz="4" w:space="0" w:color="FFFFFF" w:themeColor="background1"/>
              <w:right w:val="single" w:sz="4" w:space="0" w:color="FFFFFF" w:themeColor="background1"/>
            </w:tcBorders>
            <w:shd w:val="clear" w:color="auto" w:fill="auto"/>
            <w:vAlign w:val="center"/>
          </w:tcPr>
          <w:p w14:paraId="28D42CE3" w14:textId="77777777" w:rsidR="00CD0AC1" w:rsidRPr="00F55D80" w:rsidRDefault="00000000" w:rsidP="00AC01DD">
            <w:pPr>
              <w:rPr>
                <w:rFonts w:ascii="Aptos" w:hAnsi="Aptos" w:cs="Helvetica"/>
                <w:sz w:val="20"/>
                <w:szCs w:val="20"/>
              </w:rPr>
            </w:pPr>
            <m:oMathPara>
              <m:oMathParaPr>
                <m:jc m:val="center"/>
              </m:oMathParaPr>
              <m:oMath>
                <m:sSub>
                  <m:sSubPr>
                    <m:ctrlPr>
                      <w:rPr>
                        <w:rFonts w:ascii="Cambria Math" w:hAnsi="Cambria Math" w:cs="Helvetica"/>
                        <w:i/>
                        <w:sz w:val="20"/>
                        <w:szCs w:val="20"/>
                      </w:rPr>
                    </m:ctrlPr>
                  </m:sSubPr>
                  <m:e>
                    <m:r>
                      <w:rPr>
                        <w:rFonts w:ascii="Cambria Math" w:hAnsi="Cambria Math" w:cs="Helvetica"/>
                        <w:sz w:val="20"/>
                        <w:szCs w:val="20"/>
                      </w:rPr>
                      <m:t>ISI</m:t>
                    </m:r>
                  </m:e>
                  <m:sub>
                    <m:r>
                      <w:rPr>
                        <w:rFonts w:ascii="Cambria Math" w:hAnsi="Cambria Math" w:cs="Helvetica"/>
                        <w:sz w:val="20"/>
                        <w:szCs w:val="20"/>
                      </w:rPr>
                      <m:t>rho</m:t>
                    </m:r>
                  </m:sub>
                </m:sSub>
                <m:r>
                  <w:rPr>
                    <w:rFonts w:ascii="Cambria Math" w:hAnsi="Cambria Math" w:cs="Helvetica"/>
                    <w:sz w:val="20"/>
                    <w:szCs w:val="20"/>
                  </w:rPr>
                  <m:t xml:space="preserve">= SCC </m:t>
                </m:r>
                <m:r>
                  <m:rPr>
                    <m:sty m:val="p"/>
                  </m:rPr>
                  <w:rPr>
                    <w:rFonts w:ascii="Cambria Math" w:hAnsi="Cambria Math" w:cs="Helvetica"/>
                    <w:sz w:val="20"/>
                    <w:szCs w:val="20"/>
                  </w:rPr>
                  <m:t xml:space="preserve">= </m:t>
                </m:r>
              </m:oMath>
            </m:oMathPara>
          </w:p>
          <w:p w14:paraId="394EE924" w14:textId="49F721B0" w:rsidR="00AC01DD" w:rsidRPr="00CD0AC1" w:rsidRDefault="00000000" w:rsidP="00AC01DD">
            <w:pPr>
              <w:rPr>
                <w:rFonts w:ascii="Aptos" w:hAnsi="Aptos" w:cs="Helvetica"/>
                <w:sz w:val="20"/>
                <w:szCs w:val="20"/>
              </w:rPr>
            </w:pPr>
            <m:oMathPara>
              <m:oMathParaPr>
                <m:jc m:val="center"/>
              </m:oMathParaPr>
              <m:oMath>
                <m:f>
                  <m:fPr>
                    <m:ctrlPr>
                      <w:rPr>
                        <w:rFonts w:ascii="Cambria Math" w:hAnsi="Cambria Math" w:cs="Helvetica"/>
                        <w:sz w:val="20"/>
                        <w:szCs w:val="20"/>
                      </w:rPr>
                    </m:ctrlPr>
                  </m:fPr>
                  <m:num>
                    <m:f>
                      <m:fPr>
                        <m:ctrlPr>
                          <w:rPr>
                            <w:rFonts w:ascii="Cambria Math" w:hAnsi="Cambria Math" w:cs="Helvetica"/>
                            <w:sz w:val="20"/>
                            <w:szCs w:val="20"/>
                          </w:rPr>
                        </m:ctrlPr>
                      </m:fPr>
                      <m:num>
                        <m:r>
                          <m:rPr>
                            <m:sty m:val="p"/>
                          </m:rPr>
                          <w:rPr>
                            <w:rFonts w:ascii="Cambria Math" w:hAnsi="Cambria Math" w:cs="Helvetica"/>
                            <w:sz w:val="20"/>
                            <w:szCs w:val="20"/>
                          </w:rPr>
                          <m:t>1</m:t>
                        </m:r>
                      </m:num>
                      <m:den>
                        <m:r>
                          <w:rPr>
                            <w:rFonts w:ascii="Cambria Math" w:hAnsi="Cambria Math" w:cs="Helvetica"/>
                            <w:sz w:val="20"/>
                            <w:szCs w:val="20"/>
                          </w:rPr>
                          <m:t>N</m:t>
                        </m:r>
                      </m:den>
                    </m:f>
                    <m:nary>
                      <m:naryPr>
                        <m:chr m:val="∑"/>
                        <m:limLoc m:val="undOvr"/>
                        <m:ctrlPr>
                          <w:rPr>
                            <w:rFonts w:ascii="Cambria Math" w:hAnsi="Cambria Math" w:cs="Helvetica"/>
                            <w:sz w:val="20"/>
                            <w:szCs w:val="20"/>
                          </w:rPr>
                        </m:ctrlPr>
                      </m:naryPr>
                      <m:sub>
                        <m:r>
                          <w:rPr>
                            <w:rFonts w:ascii="Cambria Math" w:hAnsi="Cambria Math" w:cs="Helvetica"/>
                            <w:sz w:val="20"/>
                            <w:szCs w:val="20"/>
                          </w:rPr>
                          <m:t>i</m:t>
                        </m:r>
                        <m:r>
                          <m:rPr>
                            <m:sty m:val="p"/>
                          </m:rPr>
                          <w:rPr>
                            <w:rFonts w:ascii="Cambria Math" w:hAnsi="Cambria Math" w:cs="Helvetica"/>
                            <w:sz w:val="20"/>
                            <w:szCs w:val="20"/>
                          </w:rPr>
                          <m:t>=1</m:t>
                        </m:r>
                      </m:sub>
                      <m:sup>
                        <m:r>
                          <w:rPr>
                            <w:rFonts w:ascii="Cambria Math" w:hAnsi="Cambria Math" w:cs="Helvetica"/>
                            <w:sz w:val="20"/>
                            <w:szCs w:val="20"/>
                          </w:rPr>
                          <m:t>N</m:t>
                        </m:r>
                      </m:sup>
                      <m:e>
                        <m:d>
                          <m:dPr>
                            <m:ctrlPr>
                              <w:rPr>
                                <w:rFonts w:ascii="Cambria Math" w:hAnsi="Cambria Math" w:cs="Helvetica"/>
                                <w:sz w:val="20"/>
                                <w:szCs w:val="20"/>
                              </w:rPr>
                            </m:ctrlPr>
                          </m:dPr>
                          <m:e>
                            <m:r>
                              <w:rPr>
                                <w:rFonts w:ascii="Cambria Math" w:hAnsi="Cambria Math" w:cs="Helvetica"/>
                                <w:sz w:val="20"/>
                                <w:szCs w:val="20"/>
                              </w:rPr>
                              <m:t>IS</m:t>
                            </m:r>
                            <m:sSub>
                              <m:sSubPr>
                                <m:ctrlPr>
                                  <w:rPr>
                                    <w:rFonts w:ascii="Cambria Math" w:hAnsi="Cambria Math" w:cs="Helvetica"/>
                                    <w:sz w:val="20"/>
                                    <w:szCs w:val="20"/>
                                  </w:rPr>
                                </m:ctrlPr>
                              </m:sSubPr>
                              <m:e>
                                <m:r>
                                  <w:rPr>
                                    <w:rFonts w:ascii="Cambria Math" w:hAnsi="Cambria Math" w:cs="Helvetica"/>
                                    <w:sz w:val="20"/>
                                    <w:szCs w:val="20"/>
                                  </w:rPr>
                                  <m:t>I</m:t>
                                </m:r>
                              </m:e>
                              <m:sub>
                                <m:r>
                                  <w:rPr>
                                    <w:rFonts w:ascii="Cambria Math" w:hAnsi="Cambria Math" w:cs="Helvetica"/>
                                    <w:sz w:val="20"/>
                                    <w:szCs w:val="20"/>
                                  </w:rPr>
                                  <m:t>i</m:t>
                                </m:r>
                              </m:sub>
                            </m:sSub>
                            <m:r>
                              <m:rPr>
                                <m:sty m:val="p"/>
                              </m:rPr>
                              <w:rPr>
                                <w:rFonts w:ascii="Cambria Math" w:hAnsi="Cambria Math" w:cs="Helvetica"/>
                                <w:sz w:val="20"/>
                                <w:szCs w:val="20"/>
                              </w:rPr>
                              <m:t>-</m:t>
                            </m:r>
                            <m:acc>
                              <m:accPr>
                                <m:chr m:val="̅"/>
                                <m:ctrlPr>
                                  <w:rPr>
                                    <w:rFonts w:ascii="Cambria Math" w:hAnsi="Cambria Math" w:cs="Helvetica"/>
                                    <w:sz w:val="20"/>
                                    <w:szCs w:val="20"/>
                                  </w:rPr>
                                </m:ctrlPr>
                              </m:accPr>
                              <m:e>
                                <m:r>
                                  <w:rPr>
                                    <w:rFonts w:ascii="Cambria Math" w:hAnsi="Cambria Math" w:cs="Helvetica"/>
                                    <w:sz w:val="20"/>
                                    <w:szCs w:val="20"/>
                                  </w:rPr>
                                  <m:t>IS</m:t>
                                </m:r>
                                <m:sSub>
                                  <m:sSubPr>
                                    <m:ctrlPr>
                                      <w:rPr>
                                        <w:rFonts w:ascii="Cambria Math" w:hAnsi="Cambria Math" w:cs="Helvetica"/>
                                        <w:sz w:val="20"/>
                                        <w:szCs w:val="20"/>
                                      </w:rPr>
                                    </m:ctrlPr>
                                  </m:sSubPr>
                                  <m:e>
                                    <m:r>
                                      <w:rPr>
                                        <w:rFonts w:ascii="Cambria Math" w:hAnsi="Cambria Math" w:cs="Helvetica"/>
                                        <w:sz w:val="20"/>
                                        <w:szCs w:val="20"/>
                                      </w:rPr>
                                      <m:t>I</m:t>
                                    </m:r>
                                  </m:e>
                                  <m:sub>
                                    <m:r>
                                      <w:rPr>
                                        <w:rFonts w:ascii="Cambria Math" w:hAnsi="Cambria Math" w:cs="Helvetica"/>
                                        <w:sz w:val="20"/>
                                        <w:szCs w:val="20"/>
                                      </w:rPr>
                                      <m:t>i</m:t>
                                    </m:r>
                                  </m:sub>
                                </m:sSub>
                              </m:e>
                            </m:acc>
                          </m:e>
                        </m:d>
                        <m:r>
                          <m:rPr>
                            <m:sty m:val="p"/>
                          </m:rPr>
                          <w:rPr>
                            <w:rFonts w:ascii="Cambria Math" w:hAnsi="Cambria Math" w:cs="Helvetica"/>
                            <w:sz w:val="20"/>
                            <w:szCs w:val="20"/>
                          </w:rPr>
                          <m:t>×(</m:t>
                        </m:r>
                        <m:r>
                          <w:rPr>
                            <w:rFonts w:ascii="Cambria Math" w:hAnsi="Cambria Math" w:cs="Helvetica"/>
                            <w:sz w:val="20"/>
                            <w:szCs w:val="20"/>
                          </w:rPr>
                          <m:t>IS</m:t>
                        </m:r>
                        <m:sSub>
                          <m:sSubPr>
                            <m:ctrlPr>
                              <w:rPr>
                                <w:rFonts w:ascii="Cambria Math" w:hAnsi="Cambria Math" w:cs="Helvetica"/>
                                <w:sz w:val="20"/>
                                <w:szCs w:val="20"/>
                              </w:rPr>
                            </m:ctrlPr>
                          </m:sSubPr>
                          <m:e>
                            <m:r>
                              <w:rPr>
                                <w:rFonts w:ascii="Cambria Math" w:hAnsi="Cambria Math" w:cs="Helvetica"/>
                                <w:sz w:val="20"/>
                                <w:szCs w:val="20"/>
                              </w:rPr>
                              <m:t>I</m:t>
                            </m:r>
                          </m:e>
                          <m:sub>
                            <m:r>
                              <w:rPr>
                                <w:rFonts w:ascii="Cambria Math" w:hAnsi="Cambria Math" w:cs="Helvetica"/>
                                <w:sz w:val="20"/>
                                <w:szCs w:val="20"/>
                              </w:rPr>
                              <m:t>i</m:t>
                            </m:r>
                            <m:r>
                              <m:rPr>
                                <m:sty m:val="p"/>
                              </m:rPr>
                              <w:rPr>
                                <w:rFonts w:ascii="Cambria Math" w:hAnsi="Cambria Math" w:cs="Helvetica"/>
                                <w:sz w:val="20"/>
                                <w:szCs w:val="20"/>
                              </w:rPr>
                              <m:t>+</m:t>
                            </m:r>
                            <m:r>
                              <w:rPr>
                                <w:rFonts w:ascii="Cambria Math" w:hAnsi="Cambria Math" w:cs="Helvetica"/>
                                <w:sz w:val="20"/>
                                <w:szCs w:val="20"/>
                              </w:rPr>
                              <m:t>k</m:t>
                            </m:r>
                          </m:sub>
                        </m:sSub>
                        <m:r>
                          <m:rPr>
                            <m:sty m:val="p"/>
                          </m:rPr>
                          <w:rPr>
                            <w:rFonts w:ascii="Cambria Math" w:hAnsi="Cambria Math" w:cs="Helvetica"/>
                            <w:sz w:val="20"/>
                            <w:szCs w:val="20"/>
                          </w:rPr>
                          <m:t>-</m:t>
                        </m:r>
                        <m:acc>
                          <m:accPr>
                            <m:chr m:val="̅"/>
                            <m:ctrlPr>
                              <w:rPr>
                                <w:rFonts w:ascii="Cambria Math" w:hAnsi="Cambria Math" w:cs="Helvetica"/>
                                <w:sz w:val="20"/>
                                <w:szCs w:val="20"/>
                              </w:rPr>
                            </m:ctrlPr>
                          </m:accPr>
                          <m:e>
                            <m:r>
                              <w:rPr>
                                <w:rFonts w:ascii="Cambria Math" w:hAnsi="Cambria Math" w:cs="Helvetica"/>
                                <w:sz w:val="20"/>
                                <w:szCs w:val="20"/>
                              </w:rPr>
                              <m:t>IS</m:t>
                            </m:r>
                            <m:sSub>
                              <m:sSubPr>
                                <m:ctrlPr>
                                  <w:rPr>
                                    <w:rFonts w:ascii="Cambria Math" w:hAnsi="Cambria Math" w:cs="Helvetica"/>
                                    <w:sz w:val="20"/>
                                    <w:szCs w:val="20"/>
                                  </w:rPr>
                                </m:ctrlPr>
                              </m:sSubPr>
                              <m:e>
                                <m:r>
                                  <w:rPr>
                                    <w:rFonts w:ascii="Cambria Math" w:hAnsi="Cambria Math" w:cs="Helvetica"/>
                                    <w:sz w:val="20"/>
                                    <w:szCs w:val="20"/>
                                  </w:rPr>
                                  <m:t>I</m:t>
                                </m:r>
                              </m:e>
                              <m:sub>
                                <m:r>
                                  <w:rPr>
                                    <w:rFonts w:ascii="Cambria Math" w:hAnsi="Cambria Math" w:cs="Helvetica"/>
                                    <w:sz w:val="20"/>
                                    <w:szCs w:val="20"/>
                                  </w:rPr>
                                  <m:t>i</m:t>
                                </m:r>
                                <m:r>
                                  <m:rPr>
                                    <m:sty m:val="p"/>
                                  </m:rPr>
                                  <w:rPr>
                                    <w:rFonts w:ascii="Cambria Math" w:hAnsi="Cambria Math" w:cs="Helvetica"/>
                                    <w:sz w:val="20"/>
                                    <w:szCs w:val="20"/>
                                  </w:rPr>
                                  <m:t>+</m:t>
                                </m:r>
                                <m:r>
                                  <w:rPr>
                                    <w:rFonts w:ascii="Cambria Math" w:hAnsi="Cambria Math" w:cs="Helvetica"/>
                                    <w:sz w:val="20"/>
                                    <w:szCs w:val="20"/>
                                  </w:rPr>
                                  <m:t>k</m:t>
                                </m:r>
                              </m:sub>
                            </m:sSub>
                          </m:e>
                        </m:acc>
                        <m:r>
                          <m:rPr>
                            <m:sty m:val="p"/>
                          </m:rPr>
                          <w:rPr>
                            <w:rFonts w:ascii="Cambria Math" w:hAnsi="Cambria Math" w:cs="Helvetica"/>
                            <w:sz w:val="20"/>
                            <w:szCs w:val="20"/>
                          </w:rPr>
                          <m:t>)</m:t>
                        </m:r>
                      </m:e>
                    </m:nary>
                  </m:num>
                  <m:den>
                    <m:f>
                      <m:fPr>
                        <m:ctrlPr>
                          <w:rPr>
                            <w:rFonts w:ascii="Cambria Math" w:hAnsi="Cambria Math" w:cs="Helvetica"/>
                            <w:sz w:val="20"/>
                            <w:szCs w:val="20"/>
                          </w:rPr>
                        </m:ctrlPr>
                      </m:fPr>
                      <m:num>
                        <m:r>
                          <m:rPr>
                            <m:sty m:val="p"/>
                          </m:rPr>
                          <w:rPr>
                            <w:rFonts w:ascii="Cambria Math" w:hAnsi="Cambria Math" w:cs="Helvetica"/>
                            <w:sz w:val="20"/>
                            <w:szCs w:val="20"/>
                          </w:rPr>
                          <m:t>1</m:t>
                        </m:r>
                      </m:num>
                      <m:den>
                        <m:r>
                          <w:rPr>
                            <w:rFonts w:ascii="Cambria Math" w:hAnsi="Cambria Math" w:cs="Helvetica"/>
                            <w:sz w:val="20"/>
                            <w:szCs w:val="20"/>
                          </w:rPr>
                          <m:t>N</m:t>
                        </m:r>
                      </m:den>
                    </m:f>
                    <m:nary>
                      <m:naryPr>
                        <m:chr m:val="∑"/>
                        <m:limLoc m:val="undOvr"/>
                        <m:ctrlPr>
                          <w:rPr>
                            <w:rFonts w:ascii="Cambria Math" w:hAnsi="Cambria Math" w:cs="Helvetica"/>
                            <w:sz w:val="20"/>
                            <w:szCs w:val="20"/>
                          </w:rPr>
                        </m:ctrlPr>
                      </m:naryPr>
                      <m:sub>
                        <m:r>
                          <w:rPr>
                            <w:rFonts w:ascii="Cambria Math" w:hAnsi="Cambria Math" w:cs="Helvetica"/>
                            <w:sz w:val="20"/>
                            <w:szCs w:val="20"/>
                          </w:rPr>
                          <m:t>i</m:t>
                        </m:r>
                        <m:r>
                          <m:rPr>
                            <m:sty m:val="p"/>
                          </m:rPr>
                          <w:rPr>
                            <w:rFonts w:ascii="Cambria Math" w:hAnsi="Cambria Math" w:cs="Helvetica"/>
                            <w:sz w:val="20"/>
                            <w:szCs w:val="20"/>
                          </w:rPr>
                          <m:t>=1</m:t>
                        </m:r>
                      </m:sub>
                      <m:sup>
                        <m:r>
                          <w:rPr>
                            <w:rFonts w:ascii="Cambria Math" w:hAnsi="Cambria Math" w:cs="Helvetica"/>
                            <w:sz w:val="20"/>
                            <w:szCs w:val="20"/>
                          </w:rPr>
                          <m:t>N</m:t>
                        </m:r>
                      </m:sup>
                      <m:e>
                        <m:sSup>
                          <m:sSupPr>
                            <m:ctrlPr>
                              <w:rPr>
                                <w:rFonts w:ascii="Cambria Math" w:hAnsi="Cambria Math" w:cs="Helvetica"/>
                                <w:sz w:val="20"/>
                                <w:szCs w:val="20"/>
                              </w:rPr>
                            </m:ctrlPr>
                          </m:sSupPr>
                          <m:e>
                            <m:r>
                              <m:rPr>
                                <m:sty m:val="p"/>
                              </m:rPr>
                              <w:rPr>
                                <w:rFonts w:ascii="Cambria Math" w:hAnsi="Cambria Math" w:cs="Helvetica"/>
                                <w:sz w:val="20"/>
                                <w:szCs w:val="20"/>
                              </w:rPr>
                              <m:t>(</m:t>
                            </m:r>
                            <m:r>
                              <w:rPr>
                                <w:rFonts w:ascii="Cambria Math" w:hAnsi="Cambria Math" w:cs="Helvetica"/>
                                <w:sz w:val="20"/>
                                <w:szCs w:val="20"/>
                              </w:rPr>
                              <m:t>IS</m:t>
                            </m:r>
                            <m:sSub>
                              <m:sSubPr>
                                <m:ctrlPr>
                                  <w:rPr>
                                    <w:rFonts w:ascii="Cambria Math" w:hAnsi="Cambria Math" w:cs="Helvetica"/>
                                    <w:sz w:val="20"/>
                                    <w:szCs w:val="20"/>
                                  </w:rPr>
                                </m:ctrlPr>
                              </m:sSubPr>
                              <m:e>
                                <m:r>
                                  <w:rPr>
                                    <w:rFonts w:ascii="Cambria Math" w:hAnsi="Cambria Math" w:cs="Helvetica"/>
                                    <w:sz w:val="20"/>
                                    <w:szCs w:val="20"/>
                                  </w:rPr>
                                  <m:t>I</m:t>
                                </m:r>
                              </m:e>
                              <m:sub>
                                <m:r>
                                  <w:rPr>
                                    <w:rFonts w:ascii="Cambria Math" w:hAnsi="Cambria Math" w:cs="Helvetica"/>
                                    <w:sz w:val="20"/>
                                    <w:szCs w:val="20"/>
                                  </w:rPr>
                                  <m:t>i</m:t>
                                </m:r>
                              </m:sub>
                            </m:sSub>
                            <m:r>
                              <m:rPr>
                                <m:sty m:val="p"/>
                              </m:rPr>
                              <w:rPr>
                                <w:rFonts w:ascii="Cambria Math" w:hAnsi="Cambria Math" w:cs="Helvetica"/>
                                <w:sz w:val="20"/>
                                <w:szCs w:val="20"/>
                              </w:rPr>
                              <m:t>-</m:t>
                            </m:r>
                            <m:acc>
                              <m:accPr>
                                <m:chr m:val="̅"/>
                                <m:ctrlPr>
                                  <w:rPr>
                                    <w:rFonts w:ascii="Cambria Math" w:hAnsi="Cambria Math" w:cs="Helvetica"/>
                                    <w:sz w:val="20"/>
                                    <w:szCs w:val="20"/>
                                  </w:rPr>
                                </m:ctrlPr>
                              </m:accPr>
                              <m:e>
                                <m:r>
                                  <w:rPr>
                                    <w:rFonts w:ascii="Cambria Math" w:hAnsi="Cambria Math" w:cs="Helvetica"/>
                                    <w:sz w:val="20"/>
                                    <w:szCs w:val="20"/>
                                  </w:rPr>
                                  <m:t>IS</m:t>
                                </m:r>
                                <m:sSub>
                                  <m:sSubPr>
                                    <m:ctrlPr>
                                      <w:rPr>
                                        <w:rFonts w:ascii="Cambria Math" w:hAnsi="Cambria Math" w:cs="Helvetica"/>
                                        <w:sz w:val="20"/>
                                        <w:szCs w:val="20"/>
                                      </w:rPr>
                                    </m:ctrlPr>
                                  </m:sSubPr>
                                  <m:e>
                                    <m:r>
                                      <w:rPr>
                                        <w:rFonts w:ascii="Cambria Math" w:hAnsi="Cambria Math" w:cs="Helvetica"/>
                                        <w:sz w:val="20"/>
                                        <w:szCs w:val="20"/>
                                      </w:rPr>
                                      <m:t>I</m:t>
                                    </m:r>
                                  </m:e>
                                  <m:sub>
                                    <m:r>
                                      <w:rPr>
                                        <w:rFonts w:ascii="Cambria Math" w:hAnsi="Cambria Math" w:cs="Helvetica"/>
                                        <w:sz w:val="20"/>
                                        <w:szCs w:val="20"/>
                                      </w:rPr>
                                      <m:t>i</m:t>
                                    </m:r>
                                  </m:sub>
                                </m:sSub>
                              </m:e>
                            </m:acc>
                            <m:r>
                              <m:rPr>
                                <m:sty m:val="p"/>
                              </m:rPr>
                              <w:rPr>
                                <w:rFonts w:ascii="Cambria Math" w:hAnsi="Cambria Math" w:cs="Helvetica"/>
                                <w:sz w:val="20"/>
                                <w:szCs w:val="20"/>
                              </w:rPr>
                              <m:t xml:space="preserve"> )</m:t>
                            </m:r>
                          </m:e>
                          <m:sup>
                            <m:r>
                              <m:rPr>
                                <m:sty m:val="p"/>
                              </m:rPr>
                              <w:rPr>
                                <w:rFonts w:ascii="Cambria Math" w:hAnsi="Cambria Math" w:cs="Helvetica"/>
                                <w:sz w:val="20"/>
                                <w:szCs w:val="20"/>
                              </w:rPr>
                              <m:t>2</m:t>
                            </m:r>
                          </m:sup>
                        </m:sSup>
                      </m:e>
                    </m:nary>
                  </m:den>
                </m:f>
              </m:oMath>
            </m:oMathPara>
          </w:p>
        </w:tc>
      </w:tr>
    </w:tbl>
    <w:p w14:paraId="3A94A75C" w14:textId="77777777" w:rsidR="004012F6" w:rsidRPr="005500F7" w:rsidRDefault="004012F6" w:rsidP="004012F6">
      <w:pPr>
        <w:jc w:val="both"/>
        <w:rPr>
          <w:rFonts w:ascii="Aptos" w:hAnsi="Aptos"/>
          <w:sz w:val="20"/>
          <w:szCs w:val="20"/>
        </w:rPr>
      </w:pPr>
    </w:p>
    <w:p w14:paraId="73E5409F" w14:textId="77777777" w:rsidR="00912631" w:rsidRPr="005500F7" w:rsidRDefault="006F2516" w:rsidP="005500F7">
      <w:pPr>
        <w:pStyle w:val="Heading2"/>
        <w:rPr>
          <w:sz w:val="20"/>
          <w:szCs w:val="20"/>
        </w:rPr>
      </w:pPr>
      <w:bookmarkStart w:id="5" w:name="_Toc83249734"/>
      <w:r w:rsidRPr="005500F7">
        <w:rPr>
          <w:sz w:val="20"/>
          <w:szCs w:val="20"/>
        </w:rPr>
        <w:t>Neural Bursting</w:t>
      </w:r>
      <w:bookmarkEnd w:id="5"/>
    </w:p>
    <w:p w14:paraId="3CED098D" w14:textId="0EA3FD54" w:rsidR="004012F6" w:rsidRPr="005500F7" w:rsidRDefault="006F2516" w:rsidP="004012F6">
      <w:pPr>
        <w:jc w:val="both"/>
        <w:rPr>
          <w:rFonts w:ascii="Aptos" w:hAnsi="Aptos"/>
          <w:sz w:val="20"/>
          <w:szCs w:val="20"/>
        </w:rPr>
      </w:pPr>
      <w:r w:rsidRPr="005500F7">
        <w:rPr>
          <w:rFonts w:ascii="Aptos" w:hAnsi="Aptos"/>
          <w:sz w:val="20"/>
          <w:szCs w:val="20"/>
        </w:rPr>
        <w:t>Bursting is a dynamic state in which a neuron repeatedly fires discrete groups or bursts of spikes in a small temporal region. There are a vast number of burst detections available in the literature. We used an approach called Rank Surprise</w:t>
      </w:r>
      <w:r w:rsidR="00CC2BF9" w:rsidRPr="005500F7">
        <w:rPr>
          <w:rFonts w:ascii="Aptos" w:hAnsi="Aptos"/>
          <w:sz w:val="20"/>
          <w:szCs w:val="20"/>
        </w:rPr>
        <w:fldChar w:fldCharType="begin"/>
      </w:r>
      <w:r w:rsidR="00FF4210">
        <w:rPr>
          <w:rFonts w:ascii="Aptos" w:hAnsi="Aptos"/>
          <w:sz w:val="20"/>
          <w:szCs w:val="20"/>
        </w:rPr>
        <w:instrText xml:space="preserve"> ADDIN ZOTERO_ITEM CSL_CITATION {"citationID":"HqlElELR","properties":{"formattedCitation":"\\super 112\\nosupersub{}","plainCitation":"112","noteIndex":0},"citationItems":[{"id":468,"uris":["http://zotero.org/users/local/qbj29eOf/items/MSX6PRIW"],"itemData":{"id":468,"type":"article-journal","container-title":"Journal of Neuroscience Methods","DOI":"10.1016/j.jneumeth.2006.09.024","ISSN":"01650270","issue":"2","journalAbbreviation":"Journal of Neuroscience Methods","language":"en","page":"349-358","source":"DOI.org (Crossref)","title":"A nonparametric approach for detection of bursts in spike trains","volume":"160","author":[{"family":"Gourévitch","given":"Boris"},{"family":"Eggermont","given":"Jos J."}],"issued":{"date-parts":[["2007",3]]}}}],"schema":"https://github.com/citation-style-language/schema/raw/master/csl-citation.json"} </w:instrText>
      </w:r>
      <w:r w:rsidR="00CC2BF9" w:rsidRPr="005500F7">
        <w:rPr>
          <w:rFonts w:ascii="Aptos" w:hAnsi="Aptos"/>
          <w:sz w:val="20"/>
          <w:szCs w:val="20"/>
        </w:rPr>
        <w:fldChar w:fldCharType="separate"/>
      </w:r>
      <w:r w:rsidR="00FF4210" w:rsidRPr="00FF4210">
        <w:rPr>
          <w:rFonts w:ascii="Aptos" w:hAnsi="Aptos" w:cs="Times New Roman"/>
          <w:sz w:val="20"/>
          <w:vertAlign w:val="superscript"/>
        </w:rPr>
        <w:t>112</w:t>
      </w:r>
      <w:r w:rsidR="00CC2BF9" w:rsidRPr="005500F7">
        <w:rPr>
          <w:rFonts w:ascii="Aptos" w:hAnsi="Aptos"/>
          <w:sz w:val="20"/>
          <w:szCs w:val="20"/>
        </w:rPr>
        <w:fldChar w:fldCharType="end"/>
      </w:r>
      <w:r w:rsidRPr="005500F7">
        <w:rPr>
          <w:rFonts w:ascii="Aptos" w:hAnsi="Aptos"/>
          <w:sz w:val="20"/>
          <w:szCs w:val="20"/>
        </w:rPr>
        <w:t xml:space="preserve"> for the detection of bursting activity. In this method, the ISI values are calculated and ordered with ascending trends. The ordered ISI values are given a rank. If the rank surprise </w:t>
      </w:r>
      <w:r w:rsidRPr="005500F7">
        <w:rPr>
          <w:rFonts w:ascii="Aptos" w:hAnsi="Aptos"/>
          <w:sz w:val="20"/>
          <w:szCs w:val="20"/>
        </w:rPr>
        <w:lastRenderedPageBreak/>
        <w:t>value is higher than the user-defined threshold, the temporal region will be registered as a busting activity. These regions are subtracted from the spike train, and the new iteration for finding the bursting region is initiated until there is no bursting region detected by the algorithm. Two parameters are user-defined: the largest ISI allowed in a burst (limit) and the minimum RS (threshold) that a burst must be considered valid. We selected 75% as the largest ISI allowed in a burst and 0.01 as the minimum significance level for the selected burst region.</w:t>
      </w:r>
    </w:p>
    <w:p w14:paraId="6C942E60" w14:textId="50200B3F" w:rsidR="00614CD1" w:rsidRPr="005500F7" w:rsidRDefault="006F2516" w:rsidP="00614CD1">
      <w:pPr>
        <w:jc w:val="both"/>
        <w:rPr>
          <w:rFonts w:ascii="Aptos" w:hAnsi="Aptos"/>
          <w:b/>
          <w:bCs/>
          <w:sz w:val="20"/>
          <w:szCs w:val="20"/>
        </w:rPr>
      </w:pPr>
      <w:r w:rsidRPr="005500F7">
        <w:rPr>
          <w:rFonts w:ascii="Aptos" w:hAnsi="Aptos"/>
          <w:b/>
          <w:bCs/>
          <w:sz w:val="20"/>
          <w:szCs w:val="20"/>
        </w:rPr>
        <w:t xml:space="preserve">Supplementary Table </w:t>
      </w:r>
      <w:r w:rsidR="00705731">
        <w:rPr>
          <w:rFonts w:ascii="Aptos" w:hAnsi="Aptos"/>
          <w:b/>
          <w:bCs/>
          <w:sz w:val="20"/>
          <w:szCs w:val="20"/>
        </w:rPr>
        <w:t>5.</w:t>
      </w:r>
      <w:r w:rsidRPr="005500F7">
        <w:rPr>
          <w:rFonts w:ascii="Aptos" w:hAnsi="Aptos"/>
          <w:b/>
          <w:bCs/>
          <w:sz w:val="20"/>
          <w:szCs w:val="20"/>
        </w:rPr>
        <w:t xml:space="preserve"> Neural burst-related features, their descriptions, and formulations.</w:t>
      </w:r>
    </w:p>
    <w:tbl>
      <w:tblPr>
        <w:tblStyle w:val="PlainTable11"/>
        <w:tblW w:w="9072" w:type="dxa"/>
        <w:tblInd w:w="108" w:type="dxa"/>
        <w:tblLayout w:type="fixed"/>
        <w:tblLook w:val="04A0" w:firstRow="1" w:lastRow="0" w:firstColumn="1" w:lastColumn="0" w:noHBand="0" w:noVBand="1"/>
      </w:tblPr>
      <w:tblGrid>
        <w:gridCol w:w="2268"/>
        <w:gridCol w:w="2127"/>
        <w:gridCol w:w="4677"/>
      </w:tblGrid>
      <w:tr w:rsidR="0017005C" w:rsidRPr="005500F7" w14:paraId="24DFB60C" w14:textId="77777777" w:rsidTr="00550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7C8D0B63" w14:textId="112D74F3" w:rsidR="00582B3B" w:rsidRPr="005500F7" w:rsidRDefault="006F2516" w:rsidP="004E3777">
            <w:pPr>
              <w:pStyle w:val="NoSpacing"/>
              <w:ind w:firstLine="0"/>
              <w:rPr>
                <w:rFonts w:ascii="Aptos" w:hAnsi="Aptos" w:cs="Times New Roman"/>
                <w:sz w:val="20"/>
                <w:szCs w:val="20"/>
              </w:rPr>
            </w:pPr>
            <w:r w:rsidRPr="005500F7">
              <w:rPr>
                <w:rFonts w:ascii="Aptos" w:hAnsi="Aptos" w:cs="Times New Roman"/>
                <w:b w:val="0"/>
                <w:bCs w:val="0"/>
                <w:sz w:val="20"/>
                <w:szCs w:val="20"/>
              </w:rPr>
              <w:t>burst</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spike</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proportion</w:t>
            </w:r>
          </w:p>
        </w:tc>
        <w:tc>
          <w:tcPr>
            <w:tcW w:w="2127"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49FACBCD" w14:textId="77777777" w:rsidR="00582B3B" w:rsidRPr="005500F7" w:rsidRDefault="006F2516" w:rsidP="00D44713">
            <w:pPr>
              <w:pStyle w:val="NoSpacing"/>
              <w:ind w:firstLine="0"/>
              <w:jc w:val="left"/>
              <w:cnfStyle w:val="100000000000" w:firstRow="1" w:lastRow="0" w:firstColumn="0" w:lastColumn="0" w:oddVBand="0" w:evenVBand="0" w:oddHBand="0" w:evenHBand="0" w:firstRowFirstColumn="0" w:firstRowLastColumn="0" w:lastRowFirstColumn="0" w:lastRowLastColumn="0"/>
              <w:rPr>
                <w:rFonts w:ascii="Aptos" w:hAnsi="Aptos" w:cs="Times New Roman"/>
                <w:sz w:val="20"/>
                <w:szCs w:val="20"/>
              </w:rPr>
            </w:pPr>
            <w:r w:rsidRPr="005500F7">
              <w:rPr>
                <w:rFonts w:ascii="Aptos" w:hAnsi="Aptos" w:cs="Times New Roman"/>
                <w:b w:val="0"/>
                <w:bCs w:val="0"/>
                <w:sz w:val="20"/>
                <w:szCs w:val="20"/>
              </w:rPr>
              <w:t>It represents the proportion of spikes that are located inside the burst intervals compared to all existing spikes in the spike train.</w:t>
            </w:r>
          </w:p>
        </w:tc>
        <w:tc>
          <w:tcPr>
            <w:tcW w:w="4677"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2ED410A6" w14:textId="3BCE94B0" w:rsidR="00BE2212" w:rsidRPr="001B2C81" w:rsidRDefault="00CD6F44" w:rsidP="00D44713">
            <w:pPr>
              <w:pStyle w:val="NoSpacing"/>
              <w:ind w:firstLine="0"/>
              <w:cnfStyle w:val="100000000000" w:firstRow="1" w:lastRow="0" w:firstColumn="0" w:lastColumn="0" w:oddVBand="0" w:evenVBand="0" w:oddHBand="0" w:evenHBand="0" w:firstRowFirstColumn="0" w:firstRowLastColumn="0" w:lastRowFirstColumn="0" w:lastRowLastColumn="0"/>
              <w:rPr>
                <w:rFonts w:ascii="Aptos" w:hAnsi="Aptos" w:cs="Times New Roman"/>
                <w:b w:val="0"/>
                <w:bCs w:val="0"/>
                <w:color w:val="auto"/>
                <w:sz w:val="20"/>
                <w:szCs w:val="20"/>
              </w:rPr>
            </w:pPr>
            <m:oMathPara>
              <m:oMath>
                <m:r>
                  <m:rPr>
                    <m:sty m:val="bi"/>
                  </m:rPr>
                  <w:rPr>
                    <w:rFonts w:ascii="Cambria Math" w:hAnsi="Cambria Math" w:cs="Times New Roman"/>
                    <w:color w:val="auto"/>
                    <w:sz w:val="20"/>
                    <w:szCs w:val="20"/>
                  </w:rPr>
                  <m:t>burst spike proportion=</m:t>
                </m:r>
              </m:oMath>
            </m:oMathPara>
          </w:p>
          <w:p w14:paraId="3569549C" w14:textId="5F0C0038" w:rsidR="00582B3B" w:rsidRPr="002C08A9" w:rsidRDefault="00CD6F44" w:rsidP="00D44713">
            <w:pPr>
              <w:pStyle w:val="NoSpacing"/>
              <w:ind w:firstLine="0"/>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sz w:val="20"/>
                <w:szCs w:val="20"/>
              </w:rPr>
            </w:pPr>
            <m:oMathPara>
              <m:oMath>
                <m:r>
                  <m:rPr>
                    <m:sty m:val="bi"/>
                  </m:rPr>
                  <w:rPr>
                    <w:rFonts w:ascii="Cambria Math" w:hAnsi="Cambria Math" w:cs="Times New Roman"/>
                    <w:color w:val="auto"/>
                    <w:sz w:val="20"/>
                    <w:szCs w:val="20"/>
                  </w:rPr>
                  <m:t xml:space="preserve"> </m:t>
                </m:r>
                <m:f>
                  <m:fPr>
                    <m:ctrlPr>
                      <w:rPr>
                        <w:rFonts w:ascii="Cambria Math" w:hAnsi="Cambria Math" w:cs="Times New Roman"/>
                        <w:b w:val="0"/>
                        <w:bCs w:val="0"/>
                        <w:color w:val="auto"/>
                        <w:sz w:val="20"/>
                        <w:szCs w:val="20"/>
                      </w:rPr>
                    </m:ctrlPr>
                  </m:fPr>
                  <m:num>
                    <m:nary>
                      <m:naryPr>
                        <m:chr m:val="∑"/>
                        <m:limLoc m:val="undOvr"/>
                        <m:ctrlPr>
                          <w:rPr>
                            <w:rFonts w:ascii="Cambria Math" w:hAnsi="Cambria Math" w:cs="Times New Roman"/>
                            <w:b w:val="0"/>
                            <w:bCs w:val="0"/>
                            <w:color w:val="auto"/>
                            <w:sz w:val="20"/>
                            <w:szCs w:val="20"/>
                          </w:rPr>
                        </m:ctrlPr>
                      </m:naryPr>
                      <m:sub>
                        <m:r>
                          <m:rPr>
                            <m:sty m:val="bi"/>
                          </m:rPr>
                          <w:rPr>
                            <w:rFonts w:ascii="Cambria Math" w:hAnsi="Cambria Math" w:cs="Times New Roman"/>
                            <w:color w:val="auto"/>
                            <w:sz w:val="20"/>
                            <w:szCs w:val="20"/>
                          </w:rPr>
                          <m:t>n=1</m:t>
                        </m:r>
                      </m:sub>
                      <m:sup>
                        <m:sSub>
                          <m:sSubPr>
                            <m:ctrlPr>
                              <w:rPr>
                                <w:rFonts w:ascii="Cambria Math" w:hAnsi="Cambria Math" w:cs="Times New Roman"/>
                                <w:b w:val="0"/>
                                <w:bCs w:val="0"/>
                                <w:color w:val="auto"/>
                                <w:sz w:val="20"/>
                                <w:szCs w:val="20"/>
                              </w:rPr>
                            </m:ctrlPr>
                          </m:sSubPr>
                          <m:e>
                            <m:r>
                              <m:rPr>
                                <m:sty m:val="bi"/>
                              </m:rPr>
                              <w:rPr>
                                <w:rFonts w:ascii="Cambria Math" w:hAnsi="Cambria Math" w:cs="Times New Roman"/>
                                <w:color w:val="auto"/>
                                <w:sz w:val="20"/>
                                <w:szCs w:val="20"/>
                              </w:rPr>
                              <m:t>N</m:t>
                            </m:r>
                          </m:e>
                          <m:sub>
                            <m:r>
                              <m:rPr>
                                <m:sty m:val="bi"/>
                              </m:rPr>
                              <w:rPr>
                                <w:rFonts w:ascii="Cambria Math" w:hAnsi="Cambria Math" w:cs="Times New Roman"/>
                                <w:color w:val="auto"/>
                                <w:sz w:val="20"/>
                                <w:szCs w:val="20"/>
                              </w:rPr>
                              <m:t>bursts</m:t>
                            </m:r>
                          </m:sub>
                        </m:sSub>
                      </m:sup>
                      <m:e>
                        <m:r>
                          <m:rPr>
                            <m:sty m:val="bi"/>
                          </m:rPr>
                          <w:rPr>
                            <w:rFonts w:ascii="Cambria Math" w:hAnsi="Cambria Math" w:cs="Times New Roman"/>
                            <w:color w:val="auto"/>
                            <w:sz w:val="20"/>
                            <w:szCs w:val="20"/>
                          </w:rPr>
                          <m:t>coun</m:t>
                        </m:r>
                        <m:sSub>
                          <m:sSubPr>
                            <m:ctrlPr>
                              <w:rPr>
                                <w:rFonts w:ascii="Cambria Math" w:hAnsi="Cambria Math" w:cs="Times New Roman"/>
                                <w:b w:val="0"/>
                                <w:bCs w:val="0"/>
                                <w:color w:val="auto"/>
                                <w:sz w:val="20"/>
                                <w:szCs w:val="20"/>
                              </w:rPr>
                            </m:ctrlPr>
                          </m:sSubPr>
                          <m:e>
                            <m:r>
                              <m:rPr>
                                <m:sty m:val="bi"/>
                              </m:rPr>
                              <w:rPr>
                                <w:rFonts w:ascii="Cambria Math" w:hAnsi="Cambria Math" w:cs="Times New Roman"/>
                                <w:color w:val="auto"/>
                                <w:sz w:val="20"/>
                                <w:szCs w:val="20"/>
                              </w:rPr>
                              <m:t>t</m:t>
                            </m:r>
                          </m:e>
                          <m:sub>
                            <m:r>
                              <m:rPr>
                                <m:sty m:val="bi"/>
                              </m:rPr>
                              <w:rPr>
                                <w:rFonts w:ascii="Cambria Math" w:hAnsi="Cambria Math" w:cs="Times New Roman"/>
                                <w:color w:val="auto"/>
                                <w:sz w:val="20"/>
                                <w:szCs w:val="20"/>
                              </w:rPr>
                              <m:t>n</m:t>
                            </m:r>
                          </m:sub>
                        </m:sSub>
                        <m:r>
                          <m:rPr>
                            <m:sty m:val="bi"/>
                          </m:rPr>
                          <w:rPr>
                            <w:rFonts w:ascii="Cambria Math" w:hAnsi="Cambria Math" w:cs="Times New Roman"/>
                            <w:color w:val="auto"/>
                            <w:sz w:val="20"/>
                            <w:szCs w:val="20"/>
                          </w:rPr>
                          <m:t>(spikes)</m:t>
                        </m:r>
                      </m:e>
                    </m:nary>
                  </m:num>
                  <m:den>
                    <m:r>
                      <m:rPr>
                        <m:sty m:val="bi"/>
                      </m:rPr>
                      <w:rPr>
                        <w:rFonts w:ascii="Cambria Math" w:hAnsi="Cambria Math" w:cs="Times New Roman"/>
                        <w:color w:val="auto"/>
                        <w:sz w:val="20"/>
                        <w:szCs w:val="20"/>
                      </w:rPr>
                      <m:t>count(all spikes)</m:t>
                    </m:r>
                  </m:den>
                </m:f>
              </m:oMath>
            </m:oMathPara>
          </w:p>
        </w:tc>
      </w:tr>
      <w:tr w:rsidR="0017005C" w:rsidRPr="005500F7" w14:paraId="1B50DFBA" w14:textId="77777777" w:rsidTr="00550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7ED01B15" w14:textId="78912817" w:rsidR="00582B3B" w:rsidRPr="005500F7" w:rsidRDefault="006F2516" w:rsidP="004E3777">
            <w:pPr>
              <w:pStyle w:val="NoSpacing"/>
              <w:ind w:firstLine="0"/>
              <w:rPr>
                <w:rFonts w:ascii="Aptos" w:hAnsi="Aptos" w:cs="Times New Roman"/>
                <w:sz w:val="20"/>
                <w:szCs w:val="20"/>
              </w:rPr>
            </w:pPr>
            <w:r w:rsidRPr="005500F7">
              <w:rPr>
                <w:rFonts w:ascii="Aptos" w:hAnsi="Aptos" w:cs="Times New Roman"/>
                <w:b w:val="0"/>
                <w:bCs w:val="0"/>
                <w:sz w:val="20"/>
                <w:szCs w:val="20"/>
              </w:rPr>
              <w:t>burst</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average</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spikes</w:t>
            </w:r>
          </w:p>
        </w:tc>
        <w:tc>
          <w:tcPr>
            <w:tcW w:w="2127"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10ABE540" w14:textId="77777777" w:rsidR="00582B3B" w:rsidRPr="005500F7" w:rsidRDefault="006F2516" w:rsidP="00582B3B">
            <w:pPr>
              <w:pStyle w:val="NoSpacing"/>
              <w:ind w:firstLine="0"/>
              <w:jc w:val="left"/>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The feature indicates the average number of spikes within the bursting interval.</w:t>
            </w:r>
          </w:p>
        </w:tc>
        <w:tc>
          <w:tcPr>
            <w:tcW w:w="4677"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4499A56D" w14:textId="73BC01D3" w:rsidR="00BE2212" w:rsidRPr="00F55D80" w:rsidRDefault="005500F7" w:rsidP="00582B3B">
            <w:pPr>
              <w:pStyle w:val="NoSpacing"/>
              <w:ind w:firstLine="0"/>
              <w:cnfStyle w:val="000000100000" w:firstRow="0" w:lastRow="0" w:firstColumn="0" w:lastColumn="0" w:oddVBand="0" w:evenVBand="0" w:oddHBand="1" w:evenHBand="0" w:firstRowFirstColumn="0" w:firstRowLastColumn="0" w:lastRowFirstColumn="0" w:lastRowLastColumn="0"/>
              <w:rPr>
                <w:rFonts w:ascii="Aptos" w:hAnsi="Aptos" w:cs="Times New Roman"/>
                <w:color w:val="auto"/>
                <w:sz w:val="20"/>
                <w:szCs w:val="20"/>
              </w:rPr>
            </w:pPr>
            <m:oMathPara>
              <m:oMath>
                <m:r>
                  <w:rPr>
                    <w:rFonts w:ascii="Cambria Math" w:hAnsi="Cambria Math" w:cs="Times New Roman"/>
                    <w:color w:val="auto"/>
                    <w:sz w:val="20"/>
                    <w:szCs w:val="20"/>
                  </w:rPr>
                  <m:t>burst average spikes=</m:t>
                </m:r>
              </m:oMath>
            </m:oMathPara>
          </w:p>
          <w:p w14:paraId="2D867C07" w14:textId="61819E10" w:rsidR="00582B3B" w:rsidRPr="005500F7" w:rsidRDefault="005500F7" w:rsidP="00582B3B">
            <w:pPr>
              <w:pStyle w:val="NoSpacing"/>
              <w:ind w:firstLine="0"/>
              <w:cnfStyle w:val="000000100000" w:firstRow="0" w:lastRow="0" w:firstColumn="0" w:lastColumn="0" w:oddVBand="0" w:evenVBand="0" w:oddHBand="1" w:evenHBand="0" w:firstRowFirstColumn="0" w:firstRowLastColumn="0" w:lastRowFirstColumn="0" w:lastRowLastColumn="0"/>
              <w:rPr>
                <w:rFonts w:ascii="Aptos" w:hAnsi="Aptos" w:cs="Times New Roman"/>
                <w:color w:val="auto"/>
                <w:sz w:val="20"/>
                <w:szCs w:val="20"/>
              </w:rPr>
            </w:pPr>
            <m:oMathPara>
              <m:oMath>
                <m:r>
                  <w:rPr>
                    <w:rFonts w:ascii="Cambria Math" w:hAnsi="Cambria Math" w:cs="Times New Roman"/>
                    <w:color w:val="auto"/>
                    <w:sz w:val="20"/>
                    <w:szCs w:val="20"/>
                  </w:rPr>
                  <m:t xml:space="preserve"> </m:t>
                </m:r>
                <m:f>
                  <m:fPr>
                    <m:ctrlPr>
                      <w:rPr>
                        <w:rFonts w:ascii="Cambria Math" w:hAnsi="Cambria Math" w:cs="Times New Roman"/>
                        <w:color w:val="auto"/>
                        <w:sz w:val="20"/>
                        <w:szCs w:val="20"/>
                      </w:rPr>
                    </m:ctrlPr>
                  </m:fPr>
                  <m:num>
                    <m:r>
                      <w:rPr>
                        <w:rFonts w:ascii="Cambria Math" w:hAnsi="Cambria Math" w:cs="Times New Roman"/>
                        <w:color w:val="auto"/>
                        <w:sz w:val="20"/>
                        <w:szCs w:val="20"/>
                      </w:rPr>
                      <m:t>1</m:t>
                    </m:r>
                  </m:num>
                  <m:den>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bursts</m:t>
                        </m:r>
                      </m:sub>
                    </m:sSub>
                  </m:den>
                </m:f>
                <m:nary>
                  <m:naryPr>
                    <m:chr m:val="∑"/>
                    <m:limLoc m:val="undOvr"/>
                    <m:ctrlPr>
                      <w:rPr>
                        <w:rFonts w:ascii="Cambria Math" w:hAnsi="Cambria Math" w:cs="Times New Roman"/>
                        <w:color w:val="auto"/>
                        <w:sz w:val="20"/>
                        <w:szCs w:val="20"/>
                      </w:rPr>
                    </m:ctrlPr>
                  </m:naryPr>
                  <m:sub>
                    <m:r>
                      <w:rPr>
                        <w:rFonts w:ascii="Cambria Math" w:hAnsi="Cambria Math" w:cs="Times New Roman"/>
                        <w:color w:val="auto"/>
                        <w:sz w:val="20"/>
                        <w:szCs w:val="20"/>
                      </w:rPr>
                      <m:t>n=1</m:t>
                    </m:r>
                  </m:sub>
                  <m:sup>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bursts</m:t>
                        </m:r>
                      </m:sub>
                    </m:sSub>
                  </m:sup>
                  <m:e>
                    <m:r>
                      <w:rPr>
                        <w:rFonts w:ascii="Cambria Math" w:hAnsi="Cambria Math" w:cs="Times New Roman"/>
                        <w:color w:val="auto"/>
                        <w:sz w:val="20"/>
                        <w:szCs w:val="20"/>
                      </w:rPr>
                      <m:t>coun</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t</m:t>
                        </m:r>
                      </m:e>
                      <m:sub>
                        <m:r>
                          <w:rPr>
                            <w:rFonts w:ascii="Cambria Math" w:hAnsi="Cambria Math" w:cs="Times New Roman"/>
                            <w:color w:val="auto"/>
                            <w:sz w:val="20"/>
                            <w:szCs w:val="20"/>
                          </w:rPr>
                          <m:t>n</m:t>
                        </m:r>
                      </m:sub>
                    </m:sSub>
                    <m:r>
                      <w:rPr>
                        <w:rFonts w:ascii="Cambria Math" w:hAnsi="Cambria Math" w:cs="Times New Roman"/>
                        <w:color w:val="auto"/>
                        <w:sz w:val="20"/>
                        <w:szCs w:val="20"/>
                      </w:rPr>
                      <m:t>(spikes)</m:t>
                    </m:r>
                  </m:e>
                </m:nary>
              </m:oMath>
            </m:oMathPara>
          </w:p>
        </w:tc>
      </w:tr>
      <w:tr w:rsidR="0017005C" w:rsidRPr="005500F7" w14:paraId="39BE23D4" w14:textId="77777777" w:rsidTr="005500F7">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08A3AB7B" w14:textId="0E9EE514" w:rsidR="00582B3B" w:rsidRPr="005500F7" w:rsidRDefault="006F2516" w:rsidP="004E3777">
            <w:pPr>
              <w:pStyle w:val="NoSpacing"/>
              <w:ind w:firstLine="0"/>
              <w:rPr>
                <w:rFonts w:ascii="Aptos" w:hAnsi="Aptos" w:cs="Times New Roman"/>
                <w:sz w:val="20"/>
                <w:szCs w:val="20"/>
              </w:rPr>
            </w:pPr>
            <w:r w:rsidRPr="005500F7">
              <w:rPr>
                <w:rFonts w:ascii="Aptos" w:hAnsi="Aptos" w:cs="Times New Roman"/>
                <w:b w:val="0"/>
                <w:bCs w:val="0"/>
                <w:sz w:val="20"/>
                <w:szCs w:val="20"/>
              </w:rPr>
              <w:t>burst</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index</w:t>
            </w:r>
          </w:p>
        </w:tc>
        <w:tc>
          <w:tcPr>
            <w:tcW w:w="2127"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09F6370C" w14:textId="77777777" w:rsidR="00582B3B" w:rsidRPr="005500F7" w:rsidRDefault="006F2516" w:rsidP="00582B3B">
            <w:pPr>
              <w:pStyle w:val="NoSpacing"/>
              <w:ind w:firstLine="0"/>
              <w:jc w:val="left"/>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The burst index</w:t>
            </w:r>
            <w:r w:rsidR="009B46F6" w:rsidRPr="005500F7">
              <w:rPr>
                <w:rFonts w:ascii="Aptos" w:hAnsi="Aptos" w:cs="Times New Roman"/>
                <w:sz w:val="20"/>
                <w:szCs w:val="20"/>
                <w:vertAlign w:val="superscript"/>
              </w:rPr>
              <w:t>12</w:t>
            </w:r>
            <w:r w:rsidRPr="005500F7">
              <w:rPr>
                <w:rFonts w:ascii="Aptos" w:hAnsi="Aptos" w:cs="Times New Roman"/>
                <w:sz w:val="20"/>
                <w:szCs w:val="20"/>
              </w:rPr>
              <w:t xml:space="preserve"> is a metric that is defined for the assessment of possible changes in firing patterns. It is a widely used feature for cortical neural analysis.</w:t>
            </w:r>
          </w:p>
        </w:tc>
        <w:tc>
          <w:tcPr>
            <w:tcW w:w="4677"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45AA8506" w14:textId="00C6F9A0" w:rsidR="00582B3B" w:rsidRPr="005500F7" w:rsidRDefault="006F2516" w:rsidP="00582B3B">
            <w:pPr>
              <w:pStyle w:val="NoSpacing"/>
              <w:ind w:firstLine="0"/>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20"/>
                <w:szCs w:val="20"/>
              </w:rPr>
            </w:pPr>
            <m:oMathPara>
              <m:oMath>
                <m:r>
                  <w:rPr>
                    <w:rFonts w:ascii="Cambria Math" w:hAnsi="Cambria Math" w:cs="Times New Roman"/>
                    <w:color w:val="auto"/>
                    <w:sz w:val="20"/>
                    <w:szCs w:val="20"/>
                  </w:rPr>
                  <m:t xml:space="preserve">burst index= </m:t>
                </m:r>
                <m:f>
                  <m:fPr>
                    <m:ctrlPr>
                      <w:rPr>
                        <w:rFonts w:ascii="Cambria Math" w:hAnsi="Cambria Math" w:cs="Times New Roman"/>
                        <w:color w:val="auto"/>
                        <w:sz w:val="20"/>
                        <w:szCs w:val="20"/>
                      </w:rPr>
                    </m:ctrlPr>
                  </m:fPr>
                  <m:num>
                    <m:r>
                      <w:rPr>
                        <w:rFonts w:ascii="Cambria Math" w:hAnsi="Cambria Math" w:cs="Times New Roman"/>
                        <w:color w:val="auto"/>
                        <w:sz w:val="20"/>
                        <w:szCs w:val="20"/>
                      </w:rPr>
                      <m:t>mean(ISI)</m:t>
                    </m:r>
                  </m:num>
                  <m:den>
                    <m:r>
                      <w:rPr>
                        <w:rFonts w:ascii="Cambria Math" w:hAnsi="Cambria Math" w:cs="Times New Roman"/>
                        <w:color w:val="auto"/>
                        <w:sz w:val="20"/>
                        <w:szCs w:val="20"/>
                      </w:rPr>
                      <m:t>mod(ISI)</m:t>
                    </m:r>
                  </m:den>
                </m:f>
              </m:oMath>
            </m:oMathPara>
          </w:p>
        </w:tc>
      </w:tr>
      <w:tr w:rsidR="0017005C" w:rsidRPr="005500F7" w14:paraId="397AFC4D" w14:textId="77777777" w:rsidTr="00550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4E713E07" w14:textId="1CA1A523" w:rsidR="00582B3B" w:rsidRPr="005500F7" w:rsidRDefault="00CD0AC1" w:rsidP="004E3777">
            <w:pPr>
              <w:pStyle w:val="NoSpacing"/>
              <w:ind w:firstLine="0"/>
              <w:rPr>
                <w:rFonts w:ascii="Aptos" w:hAnsi="Aptos" w:cs="Times New Roman"/>
                <w:sz w:val="20"/>
                <w:szCs w:val="20"/>
              </w:rPr>
            </w:pPr>
            <w:r>
              <w:rPr>
                <w:rFonts w:ascii="Aptos" w:hAnsi="Aptos" w:cs="Times New Roman"/>
                <w:b w:val="0"/>
                <w:bCs w:val="0"/>
                <w:sz w:val="20"/>
                <w:szCs w:val="20"/>
              </w:rPr>
              <w:t>i</w:t>
            </w:r>
            <w:r w:rsidR="006F2516" w:rsidRPr="005500F7">
              <w:rPr>
                <w:rFonts w:ascii="Aptos" w:hAnsi="Aptos" w:cs="Times New Roman"/>
                <w:b w:val="0"/>
                <w:bCs w:val="0"/>
                <w:sz w:val="20"/>
                <w:szCs w:val="20"/>
              </w:rPr>
              <w:t>nter</w:t>
            </w:r>
            <w:r>
              <w:rPr>
                <w:rFonts w:ascii="Aptos" w:hAnsi="Aptos" w:cs="Times New Roman"/>
                <w:b w:val="0"/>
                <w:bCs w:val="0"/>
                <w:sz w:val="20"/>
                <w:szCs w:val="20"/>
              </w:rPr>
              <w:t xml:space="preserve"> </w:t>
            </w:r>
            <w:r w:rsidR="006F2516" w:rsidRPr="005500F7">
              <w:rPr>
                <w:rFonts w:ascii="Aptos" w:hAnsi="Aptos" w:cs="Times New Roman"/>
                <w:b w:val="0"/>
                <w:bCs w:val="0"/>
                <w:sz w:val="20"/>
                <w:szCs w:val="20"/>
              </w:rPr>
              <w:t>burst</w:t>
            </w:r>
            <w:r>
              <w:rPr>
                <w:rFonts w:ascii="Aptos" w:hAnsi="Aptos" w:cs="Times New Roman"/>
                <w:b w:val="0"/>
                <w:bCs w:val="0"/>
                <w:sz w:val="20"/>
                <w:szCs w:val="20"/>
              </w:rPr>
              <w:t xml:space="preserve"> </w:t>
            </w:r>
            <w:r w:rsidR="006F2516" w:rsidRPr="005500F7">
              <w:rPr>
                <w:rFonts w:ascii="Aptos" w:hAnsi="Aptos" w:cs="Times New Roman"/>
                <w:b w:val="0"/>
                <w:bCs w:val="0"/>
                <w:sz w:val="20"/>
                <w:szCs w:val="20"/>
              </w:rPr>
              <w:t>duration</w:t>
            </w:r>
          </w:p>
        </w:tc>
        <w:tc>
          <w:tcPr>
            <w:tcW w:w="2127"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69656D5B" w14:textId="77777777" w:rsidR="00582B3B" w:rsidRPr="005500F7" w:rsidRDefault="006F2516" w:rsidP="00582B3B">
            <w:pPr>
              <w:pStyle w:val="NoSpacing"/>
              <w:ind w:firstLine="0"/>
              <w:jc w:val="left"/>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It indicates the average temporal distance between subsequent bursts.</w:t>
            </w:r>
          </w:p>
        </w:tc>
        <w:tc>
          <w:tcPr>
            <w:tcW w:w="4677"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441C81B3" w14:textId="0048E285" w:rsidR="005500F7" w:rsidRPr="005500F7" w:rsidRDefault="005500F7" w:rsidP="00582B3B">
            <w:pPr>
              <w:pStyle w:val="NoSpacing"/>
              <w:ind w:firstLine="0"/>
              <w:cnfStyle w:val="000000100000" w:firstRow="0" w:lastRow="0" w:firstColumn="0" w:lastColumn="0" w:oddVBand="0" w:evenVBand="0" w:oddHBand="1" w:evenHBand="0" w:firstRowFirstColumn="0" w:firstRowLastColumn="0" w:lastRowFirstColumn="0" w:lastRowLastColumn="0"/>
              <w:rPr>
                <w:rFonts w:ascii="Aptos" w:hAnsi="Aptos" w:cs="Times New Roman"/>
                <w:color w:val="auto"/>
                <w:sz w:val="20"/>
                <w:szCs w:val="20"/>
              </w:rPr>
            </w:pPr>
            <m:oMathPara>
              <m:oMath>
                <m:r>
                  <w:rPr>
                    <w:rFonts w:ascii="Cambria Math" w:hAnsi="Cambria Math" w:cs="Times New Roman"/>
                    <w:color w:val="auto"/>
                    <w:sz w:val="20"/>
                    <w:szCs w:val="20"/>
                  </w:rPr>
                  <m:t>inter burst duration=</m:t>
                </m:r>
              </m:oMath>
            </m:oMathPara>
          </w:p>
          <w:p w14:paraId="582C6066" w14:textId="551C9211" w:rsidR="00582B3B" w:rsidRPr="005500F7" w:rsidRDefault="006F2516" w:rsidP="00582B3B">
            <w:pPr>
              <w:pStyle w:val="NoSpacing"/>
              <w:ind w:firstLine="0"/>
              <w:cnfStyle w:val="000000100000" w:firstRow="0" w:lastRow="0" w:firstColumn="0" w:lastColumn="0" w:oddVBand="0" w:evenVBand="0" w:oddHBand="1" w:evenHBand="0" w:firstRowFirstColumn="0" w:firstRowLastColumn="0" w:lastRowFirstColumn="0" w:lastRowLastColumn="0"/>
              <w:rPr>
                <w:rFonts w:ascii="Aptos" w:hAnsi="Aptos" w:cs="Times New Roman"/>
                <w:color w:val="auto"/>
                <w:sz w:val="20"/>
                <w:szCs w:val="20"/>
              </w:rPr>
            </w:pPr>
            <m:oMathPara>
              <m:oMath>
                <m:r>
                  <w:rPr>
                    <w:rFonts w:ascii="Cambria Math" w:hAnsi="Cambria Math" w:cs="Times New Roman"/>
                    <w:color w:val="auto"/>
                    <w:sz w:val="20"/>
                    <w:szCs w:val="20"/>
                  </w:rPr>
                  <m:t xml:space="preserve"> </m:t>
                </m:r>
                <m:f>
                  <m:fPr>
                    <m:ctrlPr>
                      <w:rPr>
                        <w:rFonts w:ascii="Cambria Math" w:hAnsi="Cambria Math" w:cs="Times New Roman"/>
                        <w:color w:val="auto"/>
                        <w:sz w:val="20"/>
                        <w:szCs w:val="20"/>
                      </w:rPr>
                    </m:ctrlPr>
                  </m:fPr>
                  <m:num>
                    <m:r>
                      <w:rPr>
                        <w:rFonts w:ascii="Cambria Math" w:hAnsi="Cambria Math" w:cs="Times New Roman"/>
                        <w:color w:val="auto"/>
                        <w:sz w:val="20"/>
                        <w:szCs w:val="20"/>
                      </w:rPr>
                      <m:t>1</m:t>
                    </m:r>
                  </m:num>
                  <m:den>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bursts</m:t>
                        </m:r>
                      </m:sub>
                    </m:sSub>
                    <m:r>
                      <w:rPr>
                        <w:rFonts w:ascii="Cambria Math" w:hAnsi="Cambria Math" w:cs="Times New Roman"/>
                        <w:color w:val="auto"/>
                        <w:sz w:val="20"/>
                        <w:szCs w:val="20"/>
                      </w:rPr>
                      <m:t>-1</m:t>
                    </m:r>
                  </m:den>
                </m:f>
                <m:nary>
                  <m:naryPr>
                    <m:chr m:val="∑"/>
                    <m:limLoc m:val="undOvr"/>
                    <m:ctrlPr>
                      <w:rPr>
                        <w:rFonts w:ascii="Cambria Math" w:hAnsi="Cambria Math" w:cs="Times New Roman"/>
                        <w:color w:val="auto"/>
                        <w:sz w:val="20"/>
                        <w:szCs w:val="20"/>
                      </w:rPr>
                    </m:ctrlPr>
                  </m:naryPr>
                  <m:sub>
                    <m:r>
                      <w:rPr>
                        <w:rFonts w:ascii="Cambria Math" w:hAnsi="Cambria Math" w:cs="Times New Roman"/>
                        <w:color w:val="auto"/>
                        <w:sz w:val="20"/>
                        <w:szCs w:val="20"/>
                      </w:rPr>
                      <m:t>n=1</m:t>
                    </m:r>
                  </m:sub>
                  <m:sup>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bursts</m:t>
                        </m:r>
                      </m:sub>
                    </m:sSub>
                  </m:sup>
                  <m:e>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burst_star</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t</m:t>
                            </m:r>
                          </m:e>
                          <m:sub>
                            <m:r>
                              <w:rPr>
                                <w:rFonts w:ascii="Cambria Math" w:hAnsi="Cambria Math" w:cs="Times New Roman"/>
                                <w:color w:val="auto"/>
                                <w:sz w:val="20"/>
                                <w:szCs w:val="20"/>
                              </w:rPr>
                              <m:t>n+1</m:t>
                            </m:r>
                          </m:sub>
                        </m:sSub>
                        <m:r>
                          <w:rPr>
                            <w:rFonts w:ascii="Cambria Math" w:hAnsi="Cambria Math" w:cs="Times New Roman"/>
                            <w:color w:val="auto"/>
                            <w:sz w:val="20"/>
                            <w:szCs w:val="20"/>
                          </w:rPr>
                          <m:t xml:space="preserve"> </m:t>
                        </m:r>
                      </m:sub>
                    </m:sSub>
                    <m:r>
                      <w:rPr>
                        <w:rFonts w:ascii="Cambria Math" w:hAnsi="Cambria Math" w:cs="Times New Roman"/>
                        <w:color w:val="auto"/>
                        <w:sz w:val="20"/>
                        <w:szCs w:val="20"/>
                      </w:rPr>
                      <m:t>-</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burst_finis</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h</m:t>
                            </m:r>
                          </m:e>
                          <m:sub>
                            <m:r>
                              <w:rPr>
                                <w:rFonts w:ascii="Cambria Math" w:hAnsi="Cambria Math" w:cs="Times New Roman"/>
                                <w:color w:val="auto"/>
                                <w:sz w:val="20"/>
                                <w:szCs w:val="20"/>
                              </w:rPr>
                              <m:t>n</m:t>
                            </m:r>
                          </m:sub>
                        </m:sSub>
                      </m:sub>
                    </m:sSub>
                    <m:r>
                      <w:rPr>
                        <w:rFonts w:ascii="Cambria Math" w:hAnsi="Cambria Math" w:cs="Times New Roman"/>
                        <w:color w:val="auto"/>
                        <w:sz w:val="20"/>
                        <w:szCs w:val="20"/>
                      </w:rPr>
                      <m:t>)</m:t>
                    </m:r>
                  </m:e>
                </m:nary>
              </m:oMath>
            </m:oMathPara>
          </w:p>
        </w:tc>
      </w:tr>
      <w:tr w:rsidR="0017005C" w:rsidRPr="005500F7" w14:paraId="0BC1C630" w14:textId="77777777" w:rsidTr="005500F7">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3E2DE83F" w14:textId="0726C1A4" w:rsidR="00582B3B" w:rsidRPr="005500F7" w:rsidRDefault="006F2516" w:rsidP="004E3777">
            <w:pPr>
              <w:pStyle w:val="NoSpacing"/>
              <w:ind w:firstLine="0"/>
              <w:rPr>
                <w:rFonts w:ascii="Aptos" w:hAnsi="Aptos" w:cs="Times New Roman"/>
                <w:sz w:val="20"/>
                <w:szCs w:val="20"/>
              </w:rPr>
            </w:pPr>
            <w:r w:rsidRPr="005500F7">
              <w:rPr>
                <w:rFonts w:ascii="Aptos" w:hAnsi="Aptos" w:cs="Times New Roman"/>
                <w:b w:val="0"/>
                <w:bCs w:val="0"/>
                <w:sz w:val="20"/>
                <w:szCs w:val="20"/>
              </w:rPr>
              <w:t>burst</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frequency</w:t>
            </w:r>
          </w:p>
        </w:tc>
        <w:tc>
          <w:tcPr>
            <w:tcW w:w="2127"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02337D4D" w14:textId="77777777" w:rsidR="00582B3B" w:rsidRPr="005500F7" w:rsidRDefault="006F2516" w:rsidP="00582B3B">
            <w:pPr>
              <w:pStyle w:val="NoSpacing"/>
              <w:ind w:firstLine="0"/>
              <w:jc w:val="left"/>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The mean firing rate during the bursting intervals.</w:t>
            </w:r>
          </w:p>
        </w:tc>
        <w:tc>
          <w:tcPr>
            <w:tcW w:w="4677"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7B5B0D8C" w14:textId="74DF6254" w:rsidR="005500F7" w:rsidRPr="005500F7" w:rsidRDefault="005500F7" w:rsidP="00582B3B">
            <w:pPr>
              <w:pStyle w:val="NoSpacing"/>
              <w:ind w:firstLine="0"/>
              <w:cnfStyle w:val="000000000000" w:firstRow="0" w:lastRow="0" w:firstColumn="0" w:lastColumn="0" w:oddVBand="0" w:evenVBand="0" w:oddHBand="0" w:evenHBand="0" w:firstRowFirstColumn="0" w:firstRowLastColumn="0" w:lastRowFirstColumn="0" w:lastRowLastColumn="0"/>
              <w:rPr>
                <w:rFonts w:ascii="Aptos" w:hAnsi="Aptos" w:cs="Times New Roman"/>
                <w:color w:val="auto"/>
                <w:sz w:val="20"/>
                <w:szCs w:val="20"/>
              </w:rPr>
            </w:pPr>
            <m:oMathPara>
              <m:oMath>
                <m:r>
                  <w:rPr>
                    <w:rFonts w:ascii="Cambria Math" w:hAnsi="Cambria Math" w:cs="Times New Roman"/>
                    <w:color w:val="auto"/>
                    <w:sz w:val="20"/>
                    <w:szCs w:val="20"/>
                  </w:rPr>
                  <m:t>burst frequency=</m:t>
                </m:r>
              </m:oMath>
            </m:oMathPara>
          </w:p>
          <w:p w14:paraId="0C5AA03C" w14:textId="2AD9A9FD" w:rsidR="00582B3B" w:rsidRPr="005500F7" w:rsidRDefault="006F2516" w:rsidP="00582B3B">
            <w:pPr>
              <w:pStyle w:val="NoSpacing"/>
              <w:ind w:firstLine="0"/>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20"/>
                <w:szCs w:val="20"/>
              </w:rPr>
            </w:pPr>
            <m:oMathPara>
              <m:oMath>
                <m:r>
                  <w:rPr>
                    <w:rFonts w:ascii="Cambria Math" w:hAnsi="Cambria Math" w:cs="Times New Roman"/>
                    <w:color w:val="auto"/>
                    <w:sz w:val="20"/>
                    <w:szCs w:val="20"/>
                  </w:rPr>
                  <m:t xml:space="preserve"> </m:t>
                </m:r>
                <m:f>
                  <m:fPr>
                    <m:ctrlPr>
                      <w:rPr>
                        <w:rFonts w:ascii="Cambria Math" w:hAnsi="Cambria Math" w:cs="Times New Roman"/>
                        <w:color w:val="auto"/>
                        <w:sz w:val="20"/>
                        <w:szCs w:val="20"/>
                      </w:rPr>
                    </m:ctrlPr>
                  </m:fPr>
                  <m:num>
                    <m:r>
                      <w:rPr>
                        <w:rFonts w:ascii="Cambria Math" w:hAnsi="Cambria Math" w:cs="Times New Roman"/>
                        <w:color w:val="auto"/>
                        <w:sz w:val="20"/>
                        <w:szCs w:val="20"/>
                      </w:rPr>
                      <m:t>1</m:t>
                    </m:r>
                  </m:num>
                  <m:den>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bursts</m:t>
                        </m:r>
                      </m:sub>
                    </m:sSub>
                  </m:den>
                </m:f>
                <m:nary>
                  <m:naryPr>
                    <m:chr m:val="∑"/>
                    <m:limLoc m:val="undOvr"/>
                    <m:ctrlPr>
                      <w:rPr>
                        <w:rFonts w:ascii="Cambria Math" w:hAnsi="Cambria Math" w:cs="Times New Roman"/>
                        <w:color w:val="auto"/>
                        <w:sz w:val="20"/>
                        <w:szCs w:val="20"/>
                      </w:rPr>
                    </m:ctrlPr>
                  </m:naryPr>
                  <m:sub>
                    <m:r>
                      <w:rPr>
                        <w:rFonts w:ascii="Cambria Math" w:hAnsi="Cambria Math" w:cs="Times New Roman"/>
                        <w:color w:val="auto"/>
                        <w:sz w:val="20"/>
                        <w:szCs w:val="20"/>
                      </w:rPr>
                      <m:t>n=1</m:t>
                    </m:r>
                  </m:sub>
                  <m:sup>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bursts</m:t>
                        </m:r>
                      </m:sub>
                    </m:sSub>
                  </m:sup>
                  <m:e>
                    <m:f>
                      <m:fPr>
                        <m:ctrlPr>
                          <w:rPr>
                            <w:rFonts w:ascii="Cambria Math" w:hAnsi="Cambria Math" w:cs="Times New Roman"/>
                            <w:color w:val="auto"/>
                            <w:sz w:val="20"/>
                            <w:szCs w:val="20"/>
                          </w:rPr>
                        </m:ctrlPr>
                      </m:fPr>
                      <m:num>
                        <m:r>
                          <w:rPr>
                            <w:rFonts w:ascii="Cambria Math" w:hAnsi="Cambria Math" w:cs="Times New Roman"/>
                            <w:color w:val="auto"/>
                            <w:sz w:val="20"/>
                            <w:szCs w:val="20"/>
                          </w:rPr>
                          <m:t>coun</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t</m:t>
                            </m:r>
                          </m:e>
                          <m:sub>
                            <m:r>
                              <w:rPr>
                                <w:rFonts w:ascii="Cambria Math" w:hAnsi="Cambria Math" w:cs="Times New Roman"/>
                                <w:color w:val="auto"/>
                                <w:sz w:val="20"/>
                                <w:szCs w:val="20"/>
                              </w:rPr>
                              <m:t>n</m:t>
                            </m:r>
                          </m:sub>
                        </m:sSub>
                        <m:r>
                          <w:rPr>
                            <w:rFonts w:ascii="Cambria Math" w:hAnsi="Cambria Math" w:cs="Times New Roman"/>
                            <w:color w:val="auto"/>
                            <w:sz w:val="20"/>
                            <w:szCs w:val="20"/>
                          </w:rPr>
                          <m:t>(spikes)</m:t>
                        </m:r>
                      </m:num>
                      <m:den>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finis</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h</m:t>
                                </m:r>
                              </m:e>
                              <m:sub>
                                <m:r>
                                  <w:rPr>
                                    <w:rFonts w:ascii="Cambria Math" w:hAnsi="Cambria Math" w:cs="Times New Roman"/>
                                    <w:color w:val="auto"/>
                                    <w:sz w:val="20"/>
                                    <w:szCs w:val="20"/>
                                  </w:rPr>
                                  <m:t>n</m:t>
                                </m:r>
                              </m:sub>
                            </m:sSub>
                          </m:sub>
                        </m:sSub>
                        <m:r>
                          <w:rPr>
                            <w:rFonts w:ascii="Cambria Math" w:hAnsi="Cambria Math" w:cs="Times New Roman"/>
                            <w:color w:val="auto"/>
                            <w:sz w:val="20"/>
                            <w:szCs w:val="20"/>
                          </w:rPr>
                          <m:t>-</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star</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t</m:t>
                                </m:r>
                              </m:e>
                              <m:sub>
                                <m:r>
                                  <w:rPr>
                                    <w:rFonts w:ascii="Cambria Math" w:hAnsi="Cambria Math" w:cs="Times New Roman"/>
                                    <w:color w:val="auto"/>
                                    <w:sz w:val="20"/>
                                    <w:szCs w:val="20"/>
                                  </w:rPr>
                                  <m:t>n</m:t>
                                </m:r>
                              </m:sub>
                            </m:sSub>
                          </m:sub>
                        </m:sSub>
                        <m:r>
                          <w:rPr>
                            <w:rFonts w:ascii="Cambria Math" w:hAnsi="Cambria Math" w:cs="Times New Roman"/>
                            <w:color w:val="auto"/>
                            <w:sz w:val="20"/>
                            <w:szCs w:val="20"/>
                          </w:rPr>
                          <m:t>)</m:t>
                        </m:r>
                      </m:den>
                    </m:f>
                  </m:e>
                </m:nary>
              </m:oMath>
            </m:oMathPara>
          </w:p>
        </w:tc>
      </w:tr>
      <w:tr w:rsidR="0017005C" w:rsidRPr="005500F7" w14:paraId="5FA1D097" w14:textId="77777777" w:rsidTr="00550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23DCE63D" w14:textId="38CC301C" w:rsidR="00582B3B" w:rsidRPr="005500F7" w:rsidRDefault="006F2516" w:rsidP="004E3777">
            <w:pPr>
              <w:pStyle w:val="NoSpacing"/>
              <w:ind w:firstLine="0"/>
              <w:rPr>
                <w:rFonts w:ascii="Aptos" w:hAnsi="Aptos" w:cs="Times New Roman"/>
                <w:sz w:val="20"/>
                <w:szCs w:val="20"/>
              </w:rPr>
            </w:pPr>
            <w:r w:rsidRPr="005500F7">
              <w:rPr>
                <w:rFonts w:ascii="Aptos" w:hAnsi="Aptos" w:cs="Times New Roman"/>
                <w:b w:val="0"/>
                <w:bCs w:val="0"/>
                <w:sz w:val="20"/>
                <w:szCs w:val="20"/>
              </w:rPr>
              <w:t>burst</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duration</w:t>
            </w:r>
          </w:p>
        </w:tc>
        <w:tc>
          <w:tcPr>
            <w:tcW w:w="2127"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6C796F54" w14:textId="77777777" w:rsidR="00582B3B" w:rsidRPr="005500F7" w:rsidRDefault="00614CD1" w:rsidP="00582B3B">
            <w:pPr>
              <w:pStyle w:val="NoSpacing"/>
              <w:ind w:firstLine="0"/>
              <w:jc w:val="left"/>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The mean duration of bursting activity within the spike train.</w:t>
            </w:r>
          </w:p>
        </w:tc>
        <w:tc>
          <w:tcPr>
            <w:tcW w:w="4677"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60FE28D4" w14:textId="0C5E799E" w:rsidR="005500F7" w:rsidRPr="005500F7" w:rsidRDefault="005500F7" w:rsidP="00582B3B">
            <w:pPr>
              <w:pStyle w:val="NoSpacing"/>
              <w:ind w:firstLine="0"/>
              <w:cnfStyle w:val="000000100000" w:firstRow="0" w:lastRow="0" w:firstColumn="0" w:lastColumn="0" w:oddVBand="0" w:evenVBand="0" w:oddHBand="1" w:evenHBand="0" w:firstRowFirstColumn="0" w:firstRowLastColumn="0" w:lastRowFirstColumn="0" w:lastRowLastColumn="0"/>
              <w:rPr>
                <w:rFonts w:ascii="Aptos" w:hAnsi="Aptos" w:cs="Times New Roman"/>
                <w:color w:val="auto"/>
                <w:sz w:val="20"/>
                <w:szCs w:val="20"/>
              </w:rPr>
            </w:pPr>
            <m:oMathPara>
              <m:oMath>
                <m:r>
                  <w:rPr>
                    <w:rFonts w:ascii="Cambria Math" w:hAnsi="Cambria Math" w:cs="Times New Roman"/>
                    <w:color w:val="auto"/>
                    <w:sz w:val="20"/>
                    <w:szCs w:val="20"/>
                  </w:rPr>
                  <m:t>burst duration=</m:t>
                </m:r>
              </m:oMath>
            </m:oMathPara>
          </w:p>
          <w:p w14:paraId="09B0D32B" w14:textId="247CC0D3" w:rsidR="00582B3B" w:rsidRPr="005500F7" w:rsidRDefault="006F2516" w:rsidP="00582B3B">
            <w:pPr>
              <w:pStyle w:val="NoSpacing"/>
              <w:ind w:firstLine="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sz w:val="20"/>
                <w:szCs w:val="20"/>
              </w:rPr>
            </w:pPr>
            <m:oMathPara>
              <m:oMath>
                <m:r>
                  <w:rPr>
                    <w:rFonts w:ascii="Cambria Math" w:hAnsi="Cambria Math" w:cs="Times New Roman"/>
                    <w:color w:val="auto"/>
                    <w:sz w:val="20"/>
                    <w:szCs w:val="20"/>
                  </w:rPr>
                  <m:t xml:space="preserve"> </m:t>
                </m:r>
                <m:f>
                  <m:fPr>
                    <m:ctrlPr>
                      <w:rPr>
                        <w:rFonts w:ascii="Cambria Math" w:hAnsi="Cambria Math" w:cs="Times New Roman"/>
                        <w:color w:val="auto"/>
                        <w:sz w:val="20"/>
                        <w:szCs w:val="20"/>
                      </w:rPr>
                    </m:ctrlPr>
                  </m:fPr>
                  <m:num>
                    <m:r>
                      <w:rPr>
                        <w:rFonts w:ascii="Cambria Math" w:hAnsi="Cambria Math" w:cs="Times New Roman"/>
                        <w:color w:val="auto"/>
                        <w:sz w:val="20"/>
                        <w:szCs w:val="20"/>
                      </w:rPr>
                      <m:t>1</m:t>
                    </m:r>
                  </m:num>
                  <m:den>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bursts</m:t>
                        </m:r>
                      </m:sub>
                    </m:sSub>
                  </m:den>
                </m:f>
                <m:nary>
                  <m:naryPr>
                    <m:chr m:val="∑"/>
                    <m:limLoc m:val="undOvr"/>
                    <m:ctrlPr>
                      <w:rPr>
                        <w:rFonts w:ascii="Cambria Math" w:hAnsi="Cambria Math" w:cs="Times New Roman"/>
                        <w:color w:val="auto"/>
                        <w:sz w:val="20"/>
                        <w:szCs w:val="20"/>
                      </w:rPr>
                    </m:ctrlPr>
                  </m:naryPr>
                  <m:sub>
                    <m:r>
                      <w:rPr>
                        <w:rFonts w:ascii="Cambria Math" w:hAnsi="Cambria Math" w:cs="Times New Roman"/>
                        <w:color w:val="auto"/>
                        <w:sz w:val="20"/>
                        <w:szCs w:val="20"/>
                      </w:rPr>
                      <m:t>n=1</m:t>
                    </m:r>
                  </m:sub>
                  <m:sup>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bursts</m:t>
                        </m:r>
                      </m:sub>
                    </m:sSub>
                  </m:sup>
                  <m:e>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burst_finis</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h</m:t>
                            </m:r>
                          </m:e>
                          <m:sub>
                            <m:r>
                              <w:rPr>
                                <w:rFonts w:ascii="Cambria Math" w:hAnsi="Cambria Math" w:cs="Times New Roman"/>
                                <w:color w:val="auto"/>
                                <w:sz w:val="20"/>
                                <w:szCs w:val="20"/>
                              </w:rPr>
                              <m:t>n</m:t>
                            </m:r>
                          </m:sub>
                        </m:sSub>
                      </m:sub>
                    </m:sSub>
                    <m:r>
                      <w:rPr>
                        <w:rFonts w:ascii="Cambria Math" w:hAnsi="Cambria Math" w:cs="Times New Roman"/>
                        <w:color w:val="auto"/>
                        <w:sz w:val="20"/>
                        <w:szCs w:val="20"/>
                      </w:rPr>
                      <m:t>-</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burst_star</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t</m:t>
                            </m:r>
                          </m:e>
                          <m:sub>
                            <m:r>
                              <w:rPr>
                                <w:rFonts w:ascii="Cambria Math" w:hAnsi="Cambria Math" w:cs="Times New Roman"/>
                                <w:color w:val="auto"/>
                                <w:sz w:val="20"/>
                                <w:szCs w:val="20"/>
                              </w:rPr>
                              <m:t>n</m:t>
                            </m:r>
                          </m:sub>
                        </m:sSub>
                      </m:sub>
                    </m:sSub>
                    <m:r>
                      <w:rPr>
                        <w:rFonts w:ascii="Cambria Math" w:hAnsi="Cambria Math" w:cs="Times New Roman"/>
                        <w:color w:val="auto"/>
                        <w:sz w:val="20"/>
                        <w:szCs w:val="20"/>
                      </w:rPr>
                      <m:t xml:space="preserve">)   </m:t>
                    </m:r>
                  </m:e>
                </m:nary>
              </m:oMath>
            </m:oMathPara>
          </w:p>
        </w:tc>
      </w:tr>
      <w:tr w:rsidR="0017005C" w:rsidRPr="005500F7" w14:paraId="41DC783F" w14:textId="77777777" w:rsidTr="005500F7">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5DCC24FE" w14:textId="1F6C54E7" w:rsidR="006314A1" w:rsidRPr="005500F7" w:rsidRDefault="006F2516" w:rsidP="004E3777">
            <w:pPr>
              <w:pStyle w:val="NoSpacing"/>
              <w:ind w:firstLine="0"/>
              <w:rPr>
                <w:rFonts w:ascii="Aptos" w:hAnsi="Aptos" w:cs="Times New Roman"/>
                <w:sz w:val="20"/>
                <w:szCs w:val="20"/>
              </w:rPr>
            </w:pPr>
            <w:r w:rsidRPr="005500F7">
              <w:rPr>
                <w:rFonts w:ascii="Aptos" w:hAnsi="Aptos" w:cs="Times New Roman"/>
                <w:b w:val="0"/>
                <w:bCs w:val="0"/>
                <w:sz w:val="20"/>
                <w:szCs w:val="20"/>
              </w:rPr>
              <w:t>burst</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count</w:t>
            </w:r>
          </w:p>
        </w:tc>
        <w:tc>
          <w:tcPr>
            <w:tcW w:w="2127"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7BB412F0" w14:textId="77777777" w:rsidR="006314A1" w:rsidRPr="005500F7" w:rsidRDefault="006F2516" w:rsidP="00582B3B">
            <w:pPr>
              <w:pStyle w:val="NoSpacing"/>
              <w:ind w:firstLine="0"/>
              <w:jc w:val="left"/>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The number of spikes shows burstiness.</w:t>
            </w:r>
          </w:p>
        </w:tc>
        <w:tc>
          <w:tcPr>
            <w:tcW w:w="4677"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46478C41" w14:textId="1A01E5BB" w:rsidR="006314A1" w:rsidRPr="005500F7" w:rsidRDefault="006F2516" w:rsidP="00582B3B">
            <w:pPr>
              <w:pStyle w:val="NoSpacing"/>
              <w:ind w:firstLine="0"/>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auto"/>
                <w:sz w:val="20"/>
                <w:szCs w:val="20"/>
              </w:rPr>
            </w:pPr>
            <m:oMathPara>
              <m:oMath>
                <m:r>
                  <w:rPr>
                    <w:rFonts w:ascii="Cambria Math" w:hAnsi="Cambria Math" w:cs="Times New Roman"/>
                    <w:color w:val="auto"/>
                    <w:sz w:val="20"/>
                    <w:szCs w:val="20"/>
                  </w:rPr>
                  <m:t xml:space="preserve">burst count= </m:t>
                </m:r>
                <m:nary>
                  <m:naryPr>
                    <m:chr m:val="∑"/>
                    <m:limLoc m:val="undOvr"/>
                    <m:ctrlPr>
                      <w:rPr>
                        <w:rFonts w:ascii="Cambria Math" w:hAnsi="Cambria Math" w:cs="Times New Roman"/>
                        <w:color w:val="auto"/>
                        <w:sz w:val="20"/>
                        <w:szCs w:val="20"/>
                      </w:rPr>
                    </m:ctrlPr>
                  </m:naryPr>
                  <m:sub>
                    <m:r>
                      <w:rPr>
                        <w:rFonts w:ascii="Cambria Math" w:hAnsi="Cambria Math" w:cs="Times New Roman"/>
                        <w:color w:val="auto"/>
                        <w:sz w:val="20"/>
                        <w:szCs w:val="20"/>
                      </w:rPr>
                      <m:t>n=1</m:t>
                    </m:r>
                  </m:sub>
                  <m:sup>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bursts</m:t>
                        </m:r>
                      </m:sub>
                    </m:sSub>
                  </m:sup>
                  <m:e>
                    <m:r>
                      <w:rPr>
                        <w:rFonts w:ascii="Cambria Math" w:hAnsi="Cambria Math" w:cs="Times New Roman"/>
                        <w:color w:val="auto"/>
                        <w:sz w:val="20"/>
                        <w:szCs w:val="20"/>
                      </w:rPr>
                      <m:t>spike</m:t>
                    </m:r>
                  </m:e>
                </m:nary>
              </m:oMath>
            </m:oMathPara>
          </w:p>
        </w:tc>
      </w:tr>
    </w:tbl>
    <w:p w14:paraId="2CC92759" w14:textId="77777777" w:rsidR="005500F7" w:rsidRPr="005500F7" w:rsidRDefault="005500F7" w:rsidP="005500F7">
      <w:pPr>
        <w:rPr>
          <w:sz w:val="20"/>
          <w:szCs w:val="20"/>
        </w:rPr>
      </w:pPr>
      <w:bookmarkStart w:id="6" w:name="_Toc83249735"/>
    </w:p>
    <w:p w14:paraId="455E29D8" w14:textId="6CE66ECD" w:rsidR="00697B73" w:rsidRPr="005500F7" w:rsidRDefault="005500F7" w:rsidP="005500F7">
      <w:pPr>
        <w:pStyle w:val="Heading2"/>
        <w:rPr>
          <w:sz w:val="20"/>
          <w:szCs w:val="20"/>
        </w:rPr>
      </w:pPr>
      <w:r w:rsidRPr="005500F7">
        <w:rPr>
          <w:sz w:val="20"/>
          <w:szCs w:val="20"/>
        </w:rPr>
        <w:t>N</w:t>
      </w:r>
      <w:r w:rsidR="006F2516" w:rsidRPr="005500F7">
        <w:rPr>
          <w:sz w:val="20"/>
          <w:szCs w:val="20"/>
        </w:rPr>
        <w:t>eural Oscillations</w:t>
      </w:r>
      <w:bookmarkEnd w:id="6"/>
    </w:p>
    <w:p w14:paraId="48781404" w14:textId="7354C75B" w:rsidR="006314A1" w:rsidRPr="005500F7" w:rsidRDefault="009B46F6" w:rsidP="006314A1">
      <w:pPr>
        <w:pStyle w:val="NoSpacing"/>
        <w:rPr>
          <w:rFonts w:ascii="Aptos" w:hAnsi="Aptos" w:cs="Times New Roman"/>
          <w:sz w:val="20"/>
          <w:szCs w:val="20"/>
        </w:rPr>
      </w:pPr>
      <w:r w:rsidRPr="005500F7">
        <w:rPr>
          <w:rFonts w:ascii="Aptos" w:hAnsi="Aptos" w:cs="Times New Roman"/>
          <w:sz w:val="20"/>
          <w:szCs w:val="20"/>
        </w:rPr>
        <w:t>Neural oscillations are rhythmic patterns of neural activity in the CNS.</w:t>
      </w:r>
      <w:r w:rsidR="006F2516" w:rsidRPr="005500F7">
        <w:rPr>
          <w:rFonts w:ascii="Aptos" w:hAnsi="Aptos" w:cs="Times New Roman"/>
          <w:sz w:val="20"/>
          <w:szCs w:val="20"/>
        </w:rPr>
        <w:t xml:space="preserve"> </w:t>
      </w:r>
      <w:r w:rsidRPr="005500F7">
        <w:rPr>
          <w:rFonts w:ascii="Aptos" w:hAnsi="Aptos" w:cs="Times New Roman"/>
          <w:sz w:val="20"/>
          <w:szCs w:val="20"/>
        </w:rPr>
        <w:t>The generation of neural oscillations can be mediated by multiple factors</w:t>
      </w:r>
      <w:r w:rsidR="006F2516" w:rsidRPr="005500F7">
        <w:rPr>
          <w:rFonts w:ascii="Aptos" w:hAnsi="Aptos" w:cs="Times New Roman"/>
          <w:sz w:val="20"/>
          <w:szCs w:val="20"/>
        </w:rPr>
        <w:t>,</w:t>
      </w:r>
      <w:r w:rsidRPr="005500F7">
        <w:rPr>
          <w:rFonts w:ascii="Aptos" w:hAnsi="Aptos" w:cs="Times New Roman"/>
          <w:sz w:val="20"/>
          <w:szCs w:val="20"/>
        </w:rPr>
        <w:t xml:space="preserve"> such as intrinsic properties of the oscillating neurons or network-wide interactions between other neurons.</w:t>
      </w:r>
      <w:r w:rsidR="006F2516" w:rsidRPr="005500F7">
        <w:rPr>
          <w:rFonts w:ascii="Aptos" w:hAnsi="Aptos" w:cs="Times New Roman"/>
          <w:sz w:val="20"/>
          <w:szCs w:val="20"/>
        </w:rPr>
        <w:t xml:space="preserve"> </w:t>
      </w:r>
      <w:r w:rsidRPr="005500F7">
        <w:rPr>
          <w:rFonts w:ascii="Aptos" w:hAnsi="Aptos" w:cs="Times New Roman"/>
          <w:sz w:val="20"/>
          <w:szCs w:val="20"/>
        </w:rPr>
        <w:t xml:space="preserve">From this perspective, the rhythmic activity of neurons </w:t>
      </w:r>
      <w:r w:rsidRPr="005500F7">
        <w:rPr>
          <w:rFonts w:ascii="Aptos" w:hAnsi="Aptos" w:cs="Times New Roman"/>
          <w:sz w:val="20"/>
          <w:szCs w:val="20"/>
        </w:rPr>
        <w:lastRenderedPageBreak/>
        <w:t>plays a major role in neural processing and behavior.</w:t>
      </w:r>
      <w:r w:rsidR="00CC2BF9" w:rsidRPr="005500F7">
        <w:rPr>
          <w:rFonts w:ascii="Aptos" w:hAnsi="Aptos" w:cs="Times New Roman"/>
          <w:sz w:val="20"/>
          <w:szCs w:val="20"/>
          <w:vertAlign w:val="superscript"/>
        </w:rPr>
        <w:fldChar w:fldCharType="begin"/>
      </w:r>
      <w:r w:rsidR="00FF4210">
        <w:rPr>
          <w:rFonts w:ascii="Aptos" w:hAnsi="Aptos" w:cs="Times New Roman"/>
          <w:sz w:val="20"/>
          <w:szCs w:val="20"/>
          <w:vertAlign w:val="superscript"/>
        </w:rPr>
        <w:instrText xml:space="preserve"> ADDIN ZOTERO_ITEM CSL_CITATION {"citationID":"98r0MBXb","properties":{"formattedCitation":"\\super 113\\nosupersub{}","plainCitation":"113","noteIndex":0},"citationItems":[{"id":464,"uris":["http://zotero.org/users/local/qbj29eOf/items/98NM6HCF"],"itemData":{"id":464,"type":"article-journal","abstract":"Rhythmic brain activity plays an important role in neural processing and behavior. Features of these oscillations, including amplitude, phase, and spectrum, can be influenced by internal states (e.g., shifts in arousal, attention or cognitive ability) or external stimulation. Electromagnetic stimulation techniques such as transcranial magnetic stimulation, transcranial direct current stimulation, and transcranial alternating current stimulation are used increasingly in both research and clinical settings. Currently, the mechanisms whereby time-dependent external stimuli influence population-scale oscillations remain poorly understood. Here, we provide computational insights regarding the mapping between periodic pulsatile stimulation parameters such as amplitude and frequency and the response dynamics of recurrent, nonlinear spiking neural networks. Using a cortical model built of excitatory and inhibitory neurons, we explored a wide range of stimulation intensities and frequencies systematically. Our results suggest that rhythmic stimulation can form the basis of a control paradigm in which one can manipulate the intrinsic oscillatory properties of driven networks via a plurality of input-driven mechanisms. Our results show that, in addition to resonance and entrainment, nonlinear acceleration is involved in shaping the rhythmic response of our modeled network. Such nonlinear acceleration of spontaneous and synchronous oscillatory activity in a neural network occurs in regimes of intense, high-frequency rhythmic stimulation. These results open new perspectives on the manipulation of synchronous neural activity for basic and clinical research.\n            \n              SIGNIFICANCE STATEMENT\n              Oscillatory activity is widely recognized as a core mechanism for information transmission within and between brain circuits. Noninvasive stimulation methods can shape this activity, something that is increasingly capitalized upon in basic research and clinical practice. Here, we provide computational insights on the mechanistic bases for such effects. Our results show that rhythmic stimulation forms the basis of a control paradigm in which one can manipulate the intrinsic oscillatory properties of driven networks via a plurality of input-driven mechanisms. In addition to resonance and entrainment, nonlinear acceleration is involved in shaping the rhythmic response of our modeled network, particularly in regimes of high-frequency rhythmic stimulation. These results open new perspectives on the manipulation of synchronous neural activity for basic and clinical research.","container-title":"The Journal of Neuroscience","DOI":"10.1523/JNEUROSCI.0236-16.2016","ISSN":"0270-6474, 1529-2401","issue":"19","journalAbbreviation":"J. Neurosci.","language":"en","page":"5328-5337","source":"DOI.org (Crossref)","title":"Shaping Intrinsic Neural Oscillations with Periodic Stimulation","volume":"36","author":[{"family":"Herrmann","given":"Christoph S."},{"family":"Murray","given":"Micah M."},{"family":"Ionta","given":"Silvio"},{"family":"Hutt","given":"Axel"},{"family":"Lefebvre","given":"Jérémie"}],"issued":{"date-parts":[["2016",5,11]]}}}],"schema":"https://github.com/citation-style-language/schema/raw/master/csl-citation.json"} </w:instrText>
      </w:r>
      <w:r w:rsidR="00CC2BF9" w:rsidRPr="005500F7">
        <w:rPr>
          <w:rFonts w:ascii="Aptos" w:hAnsi="Aptos" w:cs="Times New Roman"/>
          <w:sz w:val="20"/>
          <w:szCs w:val="20"/>
          <w:vertAlign w:val="superscript"/>
        </w:rPr>
        <w:fldChar w:fldCharType="separate"/>
      </w:r>
      <w:r w:rsidR="00FF4210" w:rsidRPr="00FF4210">
        <w:rPr>
          <w:rFonts w:ascii="Aptos" w:hAnsi="Aptos" w:cs="Times New Roman"/>
          <w:sz w:val="20"/>
          <w:vertAlign w:val="superscript"/>
        </w:rPr>
        <w:t>113</w:t>
      </w:r>
      <w:r w:rsidR="00CC2BF9" w:rsidRPr="005500F7">
        <w:rPr>
          <w:rFonts w:ascii="Aptos" w:hAnsi="Aptos" w:cs="Times New Roman"/>
          <w:sz w:val="20"/>
          <w:szCs w:val="20"/>
          <w:vertAlign w:val="superscript"/>
        </w:rPr>
        <w:fldChar w:fldCharType="end"/>
      </w:r>
      <w:r w:rsidR="005B1294" w:rsidRPr="005500F7">
        <w:rPr>
          <w:rFonts w:ascii="Aptos" w:hAnsi="Aptos" w:cs="Times New Roman"/>
          <w:sz w:val="20"/>
          <w:szCs w:val="20"/>
          <w:vertAlign w:val="superscript"/>
        </w:rPr>
        <w:t xml:space="preserve"> </w:t>
      </w:r>
      <w:r w:rsidRPr="005500F7">
        <w:rPr>
          <w:rFonts w:ascii="Aptos" w:hAnsi="Aptos" w:cs="Times New Roman"/>
          <w:sz w:val="20"/>
          <w:szCs w:val="20"/>
        </w:rPr>
        <w:t xml:space="preserve">In addition to </w:t>
      </w:r>
      <w:r w:rsidR="006F2516" w:rsidRPr="005500F7">
        <w:rPr>
          <w:rFonts w:ascii="Aptos" w:hAnsi="Aptos" w:cs="Times New Roman"/>
          <w:sz w:val="20"/>
          <w:szCs w:val="20"/>
        </w:rPr>
        <w:t>their role in the</w:t>
      </w:r>
      <w:r w:rsidRPr="005500F7">
        <w:rPr>
          <w:rFonts w:ascii="Aptos" w:hAnsi="Aptos" w:cs="Times New Roman"/>
          <w:sz w:val="20"/>
          <w:szCs w:val="20"/>
        </w:rPr>
        <w:t xml:space="preserve"> normal functioning of neurons, neural oscillations can also </w:t>
      </w:r>
      <w:r w:rsidR="006F2516" w:rsidRPr="005500F7">
        <w:rPr>
          <w:rFonts w:ascii="Aptos" w:hAnsi="Aptos" w:cs="Times New Roman"/>
          <w:sz w:val="20"/>
          <w:szCs w:val="20"/>
        </w:rPr>
        <w:t>occur under</w:t>
      </w:r>
      <w:r w:rsidRPr="005500F7">
        <w:rPr>
          <w:rFonts w:ascii="Aptos" w:hAnsi="Aptos" w:cs="Times New Roman"/>
          <w:sz w:val="20"/>
          <w:szCs w:val="20"/>
        </w:rPr>
        <w:t xml:space="preserve"> pathological conditions. Pathological periodic bursting activity within the corticothalamic-basal ganglia network has been identified as a key hallmark of Parkinson's disease.</w:t>
      </w:r>
      <w:r w:rsidR="00CC2BF9" w:rsidRPr="005500F7">
        <w:rPr>
          <w:rFonts w:ascii="Aptos" w:hAnsi="Aptos" w:cs="Times New Roman"/>
          <w:sz w:val="20"/>
          <w:szCs w:val="20"/>
        </w:rPr>
        <w:fldChar w:fldCharType="begin"/>
      </w:r>
      <w:r w:rsidR="00FF4210">
        <w:rPr>
          <w:rFonts w:ascii="Aptos" w:hAnsi="Aptos" w:cs="Times New Roman"/>
          <w:sz w:val="20"/>
          <w:szCs w:val="20"/>
        </w:rPr>
        <w:instrText xml:space="preserve"> ADDIN ZOTERO_ITEM CSL_CITATION {"citationID":"KV9B8jd3","properties":{"formattedCitation":"\\super 114\\nosupersub{}","plainCitation":"114","noteIndex":0},"citationItems":[{"id":466,"uris":["http://zotero.org/users/local/qbj29eOf/items/8T2MKGFZ"],"itemData":{"id":466,"type":"article-journal","container-title":"The Journal of Neuroscience","DOI":"10.1523/JNEUROSCI.21-03-01033.2001","ISSN":"0270-6474, 1529-2401","issue":"3","journalAbbreviation":"J. Neurosci.","language":"en","page":"1033-1038","source":"DOI.org (Crossref)","title":"Dopamine Dependency of Oscillations between Subthalamic Nucleus and Pallidum in Parkinson's Disease","volume":"21","author":[{"family":"Brown","given":"Peter"},{"family":"Oliviero","given":"Antonio"},{"family":"Mazzone","given":"Paolo"},{"family":"Insola","given":"Angelo"},{"family":"Tonali","given":"Pietro"},{"family":"Di Lazzaro","given":"Vincenzo"}],"issued":{"date-parts":[["2001",2,1]]}}}],"schema":"https://github.com/citation-style-language/schema/raw/master/csl-citation.json"} </w:instrText>
      </w:r>
      <w:r w:rsidR="00CC2BF9" w:rsidRPr="005500F7">
        <w:rPr>
          <w:rFonts w:ascii="Aptos" w:hAnsi="Aptos" w:cs="Times New Roman"/>
          <w:sz w:val="20"/>
          <w:szCs w:val="20"/>
        </w:rPr>
        <w:fldChar w:fldCharType="separate"/>
      </w:r>
      <w:r w:rsidR="00FF4210" w:rsidRPr="00FF4210">
        <w:rPr>
          <w:rFonts w:ascii="Aptos" w:hAnsi="Aptos" w:cs="Times New Roman"/>
          <w:sz w:val="20"/>
          <w:vertAlign w:val="superscript"/>
        </w:rPr>
        <w:t>114</w:t>
      </w:r>
      <w:r w:rsidR="00CC2BF9" w:rsidRPr="005500F7">
        <w:rPr>
          <w:rFonts w:ascii="Aptos" w:hAnsi="Aptos" w:cs="Times New Roman"/>
          <w:sz w:val="20"/>
          <w:szCs w:val="20"/>
        </w:rPr>
        <w:fldChar w:fldCharType="end"/>
      </w:r>
    </w:p>
    <w:p w14:paraId="41A4C168" w14:textId="67BC6284" w:rsidR="00A814D3" w:rsidRPr="005500F7" w:rsidRDefault="006F2516" w:rsidP="00A814D3">
      <w:pPr>
        <w:pStyle w:val="NoSpacing"/>
        <w:spacing w:after="0"/>
        <w:rPr>
          <w:rFonts w:ascii="Aptos" w:hAnsi="Aptos" w:cs="Times New Roman"/>
          <w:sz w:val="20"/>
          <w:szCs w:val="20"/>
        </w:rPr>
      </w:pPr>
      <w:r w:rsidRPr="005500F7">
        <w:rPr>
          <w:rFonts w:ascii="Aptos" w:hAnsi="Aptos" w:cs="Times New Roman"/>
          <w:sz w:val="20"/>
          <w:szCs w:val="20"/>
        </w:rPr>
        <w:t>To detect neural oscillations, we utilized the widely used oscillation score</w:t>
      </w:r>
      <w:r w:rsidR="00EC1C69" w:rsidRPr="005500F7">
        <w:rPr>
          <w:rFonts w:ascii="Aptos" w:hAnsi="Aptos" w:cs="Times New Roman"/>
          <w:sz w:val="20"/>
          <w:szCs w:val="20"/>
        </w:rPr>
        <w:fldChar w:fldCharType="begin"/>
      </w:r>
      <w:r w:rsidR="00FF4210">
        <w:rPr>
          <w:rFonts w:ascii="Aptos" w:hAnsi="Aptos" w:cs="Times New Roman"/>
          <w:sz w:val="20"/>
          <w:szCs w:val="20"/>
        </w:rPr>
        <w:instrText xml:space="preserve"> ADDIN ZOTERO_ITEM CSL_CITATION {"citationID":"QSoZMDDI","properties":{"formattedCitation":"\\super 115\\nosupersub{}","plainCitation":"115","noteIndex":0},"citationItems":[{"id":563,"uris":["http://zotero.org/users/local/qbj29eOf/items/PFC6QMEK"],"itemData":{"id":563,"type":"article-journal","abstract":"We present a method that estimates the strength of neuronal oscillations at the cellular level, relying on autocorrelation histograms computed on spike trains. The method delivers a number, termed oscillation score, that estimates the degree to which a neuron is oscillating in a given frequency band. Moreover, it can also reliably identify the oscillation frequency and strength in the given band, independently of the oscillation in other frequency bands, and thus it can handle superimposed oscillations on multiple scales ( theta, alpha, beta, gamma, etc.). The method is relatively simple and fast. It can cope with a low number of spikes, converging exponentially fast with the number of spikes, to a stable estimation of the oscillation strength. It thus lends itself to the analysis of spike-sorted single-unit activity from electrophysiological recordings. We show that the method performs well on experimental data recorded from cat visual cortex and also compares favorably to other methods. In addition, we provide a measure, termed confidence score, that determines the stability of the oscillation score estimate over trials.","container-title":"Journal of Neurophysiology","DOI":"10.1152/jn.00772.2007","ISSN":"0022-3077, 1522-1598","issue":"3","journalAbbreviation":"Journal of Neurophysiology","language":"en","page":"1333-1353","source":"DOI.org (Crossref)","title":"The Oscillation Score: An Efficient Method for Estimating Oscillation Strength in Neuronal Activity","title-short":"The Oscillation Score","volume":"99","author":[{"family":"Mureşan","given":"Raul C."},{"family":"Jurjuţ","given":"Ovidiu F."},{"family":"Moca","given":"Vasile V."},{"family":"Singer","given":"Wolf"},{"family":"Nikolić","given":"Danko"}],"issued":{"date-parts":[["2008",3]]}}}],"schema":"https://github.com/citation-style-language/schema/raw/master/csl-citation.json"} </w:instrText>
      </w:r>
      <w:r w:rsidR="00EC1C69" w:rsidRPr="005500F7">
        <w:rPr>
          <w:rFonts w:ascii="Aptos" w:hAnsi="Aptos" w:cs="Times New Roman"/>
          <w:sz w:val="20"/>
          <w:szCs w:val="20"/>
        </w:rPr>
        <w:fldChar w:fldCharType="separate"/>
      </w:r>
      <w:r w:rsidR="00FF4210" w:rsidRPr="00FF4210">
        <w:rPr>
          <w:rFonts w:ascii="Aptos" w:hAnsi="Aptos" w:cs="Times New Roman"/>
          <w:sz w:val="20"/>
          <w:vertAlign w:val="superscript"/>
        </w:rPr>
        <w:t>115</w:t>
      </w:r>
      <w:r w:rsidR="00EC1C69" w:rsidRPr="005500F7">
        <w:rPr>
          <w:rFonts w:ascii="Aptos" w:hAnsi="Aptos" w:cs="Times New Roman"/>
          <w:sz w:val="20"/>
          <w:szCs w:val="20"/>
        </w:rPr>
        <w:fldChar w:fldCharType="end"/>
      </w:r>
      <w:r w:rsidRPr="005500F7">
        <w:rPr>
          <w:rFonts w:ascii="Aptos" w:hAnsi="Aptos" w:cs="Times New Roman"/>
          <w:sz w:val="20"/>
          <w:szCs w:val="20"/>
        </w:rPr>
        <w:t xml:space="preserve"> approach. This technique involves calculating autocorrelation histograms on spike trains to estimate the strength of neuronal oscillations at the single-neuron level. To establish a confidence measure for the oscillation scores in our single-trial experiments, we employed a bootstrap test with 100 iterations. In each iteration, we randomly shuffled the spike train while maintaining the number of spikes and the refractory period. Subsequently, we computed the oscillation score for the shuffled spike train. By repeating this process for 100 iterations, we obtained a null distribution of oscillation scores, representing random activity for the selected SUA. To determine the significance level for the computed oscillation score within a specific frequency band, we defined the boundaries of the 95th percentile of the null distribution (2.5% for the lower boundary and 97.5% for the upper boundary). If the original oscillation score exceeded the threshold defined by the upper boundary, we considered the observed oscillatory activity to be significant. Bootstrapping allowed us to assess the significance of the detected neural oscillations and provided a reliable measure for our analyses. Finally, we saved the oscillation frequencies for each frequency band.</w:t>
      </w:r>
    </w:p>
    <w:p w14:paraId="689C9875" w14:textId="77777777" w:rsidR="00A814D3" w:rsidRPr="005500F7" w:rsidRDefault="00A814D3" w:rsidP="00A814D3">
      <w:pPr>
        <w:pStyle w:val="NoSpacing"/>
        <w:spacing w:after="0"/>
        <w:rPr>
          <w:rFonts w:ascii="Aptos" w:hAnsi="Aptos" w:cs="Times New Roman"/>
          <w:sz w:val="20"/>
          <w:szCs w:val="20"/>
        </w:rPr>
      </w:pPr>
    </w:p>
    <w:p w14:paraId="5A91AD00" w14:textId="77777777" w:rsidR="00001DDC" w:rsidRPr="005500F7" w:rsidRDefault="006F2516" w:rsidP="005500F7">
      <w:pPr>
        <w:pStyle w:val="Heading2"/>
        <w:rPr>
          <w:sz w:val="20"/>
          <w:szCs w:val="20"/>
        </w:rPr>
      </w:pPr>
      <w:r w:rsidRPr="005500F7">
        <w:rPr>
          <w:sz w:val="20"/>
          <w:szCs w:val="20"/>
        </w:rPr>
        <w:t>Neural Pauses</w:t>
      </w:r>
    </w:p>
    <w:p w14:paraId="21A6B371" w14:textId="731C59E1" w:rsidR="00614CD1" w:rsidRPr="005500F7" w:rsidRDefault="006F2516" w:rsidP="00744713">
      <w:pPr>
        <w:ind w:firstLine="360"/>
        <w:jc w:val="both"/>
        <w:rPr>
          <w:rFonts w:ascii="Aptos" w:hAnsi="Aptos" w:cs="Helvetica"/>
          <w:sz w:val="20"/>
          <w:szCs w:val="20"/>
        </w:rPr>
      </w:pPr>
      <w:r w:rsidRPr="005500F7">
        <w:rPr>
          <w:rFonts w:ascii="Aptos" w:hAnsi="Aptos" w:cs="Helvetica"/>
          <w:sz w:val="20"/>
          <w:szCs w:val="20"/>
        </w:rPr>
        <w:t>In contrast</w:t>
      </w:r>
      <w:r w:rsidR="000958E5" w:rsidRPr="005500F7">
        <w:rPr>
          <w:rFonts w:ascii="Aptos" w:hAnsi="Aptos" w:cs="Helvetica"/>
          <w:sz w:val="20"/>
          <w:szCs w:val="20"/>
        </w:rPr>
        <w:t xml:space="preserve"> to neural bursts, neural pauses represent periods of hypoactivity in neurons, where spiking activity disappears. We consider neural pauses to be an essential mechanism for observing the behavior of SUA. These pauses can provide valuable insights into the dynamics of neural firing. Indeed, neural pauses have been previously utilized to distinguish neural activity within the external segment of the globus pallidum (GPe) between primary and secondary types of dystonia.</w:t>
      </w:r>
      <w:r w:rsidRPr="005500F7">
        <w:rPr>
          <w:rFonts w:ascii="Aptos" w:hAnsi="Aptos" w:cs="Helvetica"/>
          <w:sz w:val="20"/>
          <w:szCs w:val="20"/>
        </w:rPr>
        <w:fldChar w:fldCharType="begin"/>
      </w:r>
      <w:r w:rsidR="00FF4210">
        <w:rPr>
          <w:rFonts w:ascii="Aptos" w:hAnsi="Aptos" w:cs="Helvetica"/>
          <w:sz w:val="20"/>
          <w:szCs w:val="20"/>
        </w:rPr>
        <w:instrText xml:space="preserve"> ADDIN ZOTERO_ITEM CSL_CITATION {"citationID":"3pKh78hq","properties":{"formattedCitation":"\\super 116\\nosupersub{}","plainCitation":"116","noteIndex":0},"citationItems":[{"id":471,"uris":["http://zotero.org/users/local/qbj29eOf/items/XU8S784B"],"itemData":{"id":471,"type":"article-journal","container-title":"Experimental Neurology","DOI":"10.1016/j.expneurol.2008.12.006","ISSN":"00144886","issue":"2","journalAbbreviation":"Experimental Neurology","language":"en","page":"295-299","source":"DOI.org (Crossref)","title":"Single unit “pauser” characteristics of the globus pallidus pars externa distinguish primary dystonia from secondary dystonia and Parkinson's disease","volume":"216","author":[{"family":"Sani","given":"Sepehr"},{"family":"Ostrem","given":"Jill L."},{"family":"Shimamoto","given":"Shoichi"},{"family":"Levesque","given":"Nadja"},{"family":"Starr","given":"Philip A."}],"issued":{"date-parts":[["2009",4]]}}}],"schema":"https://github.com/citation-style-language/schema/raw/master/csl-citation.json"} </w:instrText>
      </w:r>
      <w:r w:rsidRPr="005500F7">
        <w:rPr>
          <w:rFonts w:ascii="Aptos" w:hAnsi="Aptos" w:cs="Helvetica"/>
          <w:sz w:val="20"/>
          <w:szCs w:val="20"/>
        </w:rPr>
        <w:fldChar w:fldCharType="separate"/>
      </w:r>
      <w:r w:rsidR="00FF4210" w:rsidRPr="00FF4210">
        <w:rPr>
          <w:rFonts w:ascii="Aptos" w:hAnsi="Aptos" w:cs="Times New Roman"/>
          <w:sz w:val="20"/>
          <w:vertAlign w:val="superscript"/>
        </w:rPr>
        <w:t>116</w:t>
      </w:r>
      <w:r w:rsidRPr="005500F7">
        <w:rPr>
          <w:rFonts w:ascii="Aptos" w:hAnsi="Aptos" w:cs="Helvetica"/>
          <w:sz w:val="20"/>
          <w:szCs w:val="20"/>
        </w:rPr>
        <w:fldChar w:fldCharType="end"/>
      </w:r>
      <w:r w:rsidRPr="005500F7">
        <w:rPr>
          <w:rFonts w:ascii="Aptos" w:hAnsi="Aptos" w:cs="Helvetica"/>
          <w:sz w:val="20"/>
          <w:szCs w:val="20"/>
        </w:rPr>
        <w:t xml:space="preserve"> For the detection of pauses, we used the Poisson Surprise</w:t>
      </w:r>
      <w:r w:rsidRPr="005500F7">
        <w:rPr>
          <w:rFonts w:ascii="Aptos" w:hAnsi="Aptos" w:cs="Helvetica"/>
          <w:sz w:val="20"/>
          <w:szCs w:val="20"/>
        </w:rPr>
        <w:fldChar w:fldCharType="begin"/>
      </w:r>
      <w:r w:rsidR="00FF4210">
        <w:rPr>
          <w:rFonts w:ascii="Aptos" w:hAnsi="Aptos" w:cs="Helvetica"/>
          <w:sz w:val="20"/>
          <w:szCs w:val="20"/>
        </w:rPr>
        <w:instrText xml:space="preserve"> ADDIN ZOTERO_ITEM CSL_CITATION {"citationID":"9q5HUK4o","properties":{"formattedCitation":"\\super 117\\nosupersub{}","plainCitation":"117","noteIndex":0},"citationItems":[{"id":473,"uris":["http://zotero.org/users/local/qbj29eOf/items/X3PJUIYY"],"itemData":{"id":473,"type":"article-journal","abstract":"The neurons of many basal ganglia nuclei, including the external and internal globus pallidus (GPe and GPi, respectively) and the substantia nigra pars reticulata (SNr) are characterized by their high-frequency (50-100 spikes/s) tonic discharge (HFD). However, the high firing rate of GPe neurons is interrupted by long pauses. We studied the extracellularly recorded spiking activity of 212 well-isolated HFD GPe and 52 GPi/SNr neurons from five monkeys during different states of behavioral activity. An algorithm that maximizes the surprise function was used to detect pauses and pauser cells (\"pausers\"). Only 6% of the GPi/SNr neurons versus as many as 56% of the GPe neurons were classified as pausers. The GPe average pause duration equals 0.62 s. The interpause intervals follow a Poissonian distribution with a frequency of 13 pauses/minute. No linear relationship was found between pause parameters (duration or frequency) and the firing rate of the cell. Pauses were preceded by various changes in firing rate but not dominantly by a decrease. The average amplitude and duration of the spike waveform was modulated only after the pause but not before it. Pauses of pairs of cells that were recorded simultaneously were not correlated. The probability of GPe cells to pause spontaneously was extremely variable among monkeys (30-90%) and inversely related to the degree of the monkey's motor activity. These findings suggest that spontaneous GPe pauses are related to low-arousal periods and are generated by a process that is independent of the discharge properties of the cells.","container-title":"The Journal of Neuroscience: The Official Journal of the Society for Neuroscience","DOI":"10.1523/JNEUROSCI.4156-06.2007","ISSN":"1529-2401","issue":"10","journalAbbreviation":"J Neurosci","language":"eng","note":"PMID: 17344390\nPMCID: PMC6672489","page":"2525-2538","source":"PubMed","title":"Statistical properties of pauses of the high-frequency discharge neurons in the external segment of the globus pallidus","volume":"27","author":[{"family":"Elias","given":"Shlomo"},{"family":"Joshua","given":"Mati"},{"family":"Goldberg","given":"Joshua A."},{"family":"Heimer","given":"Gali"},{"family":"Arkadir","given":"David"},{"family":"Morris","given":"Genela"},{"family":"Bergman","given":"Hagai"}],"issued":{"date-parts":[["2007",3,7]]}}}],"schema":"https://github.com/citation-style-language/schema/raw/master/csl-citation.json"} </w:instrText>
      </w:r>
      <w:r w:rsidRPr="005500F7">
        <w:rPr>
          <w:rFonts w:ascii="Aptos" w:hAnsi="Aptos" w:cs="Helvetica"/>
          <w:sz w:val="20"/>
          <w:szCs w:val="20"/>
        </w:rPr>
        <w:fldChar w:fldCharType="separate"/>
      </w:r>
      <w:r w:rsidR="00FF4210" w:rsidRPr="00FF4210">
        <w:rPr>
          <w:rFonts w:ascii="Aptos" w:hAnsi="Aptos" w:cs="Times New Roman"/>
          <w:sz w:val="20"/>
          <w:vertAlign w:val="superscript"/>
        </w:rPr>
        <w:t>117</w:t>
      </w:r>
      <w:r w:rsidRPr="005500F7">
        <w:rPr>
          <w:rFonts w:ascii="Aptos" w:hAnsi="Aptos" w:cs="Helvetica"/>
          <w:sz w:val="20"/>
          <w:szCs w:val="20"/>
        </w:rPr>
        <w:fldChar w:fldCharType="end"/>
      </w:r>
      <w:r w:rsidRPr="005500F7">
        <w:rPr>
          <w:rFonts w:ascii="Aptos" w:hAnsi="Aptos" w:cs="Helvetica"/>
          <w:sz w:val="20"/>
          <w:szCs w:val="20"/>
        </w:rPr>
        <w:t xml:space="preserve"> method. After detecting the temporal location of pauses in spike trains, we measured several metrics, such as pause frequency, pause count, pause duration, etc.</w:t>
      </w:r>
    </w:p>
    <w:p w14:paraId="133EB2BF" w14:textId="16E574B3" w:rsidR="00614CD1" w:rsidRPr="005500F7" w:rsidRDefault="006F2516" w:rsidP="00614CD1">
      <w:pPr>
        <w:jc w:val="both"/>
        <w:rPr>
          <w:rFonts w:ascii="Aptos" w:hAnsi="Aptos"/>
          <w:b/>
          <w:bCs/>
          <w:sz w:val="20"/>
          <w:szCs w:val="20"/>
        </w:rPr>
      </w:pPr>
      <w:r w:rsidRPr="005500F7">
        <w:rPr>
          <w:rFonts w:ascii="Aptos" w:hAnsi="Aptos"/>
          <w:b/>
          <w:bCs/>
          <w:sz w:val="20"/>
          <w:szCs w:val="20"/>
        </w:rPr>
        <w:t xml:space="preserve">Supplementary Table </w:t>
      </w:r>
      <w:r w:rsidR="00705731">
        <w:rPr>
          <w:rFonts w:ascii="Aptos" w:hAnsi="Aptos"/>
          <w:b/>
          <w:bCs/>
          <w:sz w:val="20"/>
          <w:szCs w:val="20"/>
        </w:rPr>
        <w:t>6.</w:t>
      </w:r>
      <w:r w:rsidRPr="005500F7">
        <w:rPr>
          <w:rFonts w:ascii="Aptos" w:hAnsi="Aptos"/>
          <w:b/>
          <w:bCs/>
          <w:sz w:val="20"/>
          <w:szCs w:val="20"/>
        </w:rPr>
        <w:t xml:space="preserve"> Neural pauses-related features, their descriptions, and formulations.</w:t>
      </w:r>
    </w:p>
    <w:tbl>
      <w:tblPr>
        <w:tblStyle w:val="PlainTable11"/>
        <w:tblW w:w="9072" w:type="dxa"/>
        <w:tblInd w:w="108" w:type="dxa"/>
        <w:tblLayout w:type="fixed"/>
        <w:tblLook w:val="04A0" w:firstRow="1" w:lastRow="0" w:firstColumn="1" w:lastColumn="0" w:noHBand="0" w:noVBand="1"/>
      </w:tblPr>
      <w:tblGrid>
        <w:gridCol w:w="1843"/>
        <w:gridCol w:w="2693"/>
        <w:gridCol w:w="4536"/>
      </w:tblGrid>
      <w:tr w:rsidR="0017005C" w:rsidRPr="005500F7" w14:paraId="5859814C" w14:textId="77777777" w:rsidTr="00F55D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675C01CE" w14:textId="55D6F92B" w:rsidR="00614CD1" w:rsidRPr="005500F7" w:rsidRDefault="006F2516" w:rsidP="004E3777">
            <w:pPr>
              <w:pStyle w:val="NoSpacing"/>
              <w:ind w:firstLine="0"/>
              <w:jc w:val="left"/>
              <w:rPr>
                <w:rFonts w:ascii="Aptos" w:hAnsi="Aptos" w:cs="Times New Roman"/>
                <w:sz w:val="20"/>
                <w:szCs w:val="20"/>
              </w:rPr>
            </w:pPr>
            <w:r w:rsidRPr="005500F7">
              <w:rPr>
                <w:rFonts w:ascii="Aptos" w:hAnsi="Aptos" w:cs="Times New Roman"/>
                <w:b w:val="0"/>
                <w:bCs w:val="0"/>
                <w:sz w:val="20"/>
                <w:szCs w:val="20"/>
              </w:rPr>
              <w:t>pause</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index</w:t>
            </w:r>
          </w:p>
        </w:tc>
        <w:tc>
          <w:tcPr>
            <w:tcW w:w="269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4FBE336C" w14:textId="72D5D672" w:rsidR="00614CD1" w:rsidRPr="005500F7" w:rsidRDefault="006F2516" w:rsidP="004F6AFB">
            <w:pPr>
              <w:pStyle w:val="NoSpacing"/>
              <w:ind w:firstLine="0"/>
              <w:jc w:val="left"/>
              <w:cnfStyle w:val="100000000000" w:firstRow="1" w:lastRow="0" w:firstColumn="0" w:lastColumn="0" w:oddVBand="0" w:evenVBand="0" w:oddHBand="0" w:evenHBand="0" w:firstRowFirstColumn="0" w:firstRowLastColumn="0" w:lastRowFirstColumn="0" w:lastRowLastColumn="0"/>
              <w:rPr>
                <w:rFonts w:ascii="Aptos" w:hAnsi="Aptos" w:cs="Times New Roman"/>
                <w:sz w:val="20"/>
                <w:szCs w:val="20"/>
              </w:rPr>
            </w:pPr>
            <w:r w:rsidRPr="005500F7">
              <w:rPr>
                <w:rFonts w:ascii="Aptos" w:hAnsi="Aptos" w:cs="Times New Roman"/>
                <w:b w:val="0"/>
                <w:bCs w:val="0"/>
                <w:sz w:val="20"/>
                <w:szCs w:val="20"/>
              </w:rPr>
              <w:t>number of ISI higher than 50ms divided by the number of ISI lower than 50ms.</w:t>
            </w:r>
            <w:r w:rsidRPr="005500F7">
              <w:rPr>
                <w:rFonts w:ascii="Aptos" w:hAnsi="Aptos" w:cs="Times New Roman"/>
                <w:sz w:val="20"/>
                <w:szCs w:val="20"/>
              </w:rPr>
              <w:fldChar w:fldCharType="begin"/>
            </w:r>
            <w:r w:rsidR="00FF4210">
              <w:rPr>
                <w:rFonts w:ascii="Aptos" w:hAnsi="Aptos" w:cs="Times New Roman"/>
                <w:b w:val="0"/>
                <w:bCs w:val="0"/>
                <w:sz w:val="20"/>
                <w:szCs w:val="20"/>
              </w:rPr>
              <w:instrText xml:space="preserve"> ADDIN ZOTERO_ITEM CSL_CITATION {"citationID":"3ONKj3r1","properties":{"formattedCitation":"\\super 118\\nosupersub{}","plainCitation":"118","noteIndex":0},"citationItems":[{"id":476,"uris":["http://zotero.org/users/local/qbj29eOf/items/BABE5HMF"],"itemData":{"id":476,"type":"article-journal","container-title":"Clinical Neurophysiology","DOI":"10.1016/j.clinph.2012.04.027","ISSN":"13882457","issue":"12","journalAbbreviation":"Clinical Neurophysiology","language":"en","page":"2406-2413","source":"DOI.org (Crossref)","title":"Deep brain stimulation: Subthalamic nucleus electrophysiological activity in awake and anesthetized patients","title-short":"Deep brain stimulation","volume":"123","author":[{"family":"Lettieri","given":"Christian"},{"family":"Rinaldo","given":"Sara"},{"family":"Devigili","given":"Grazia"},{"family":"Pauletto","given":"Giada"},{"family":"Verriello","given":"Lorenzo"},{"family":"Budai","given":"Riccardo"},{"family":"Fadiga","given":"Luciano"},{"family":"Oliynyk","given":"Andriy"},{"family":"Mondani","given":"Massimo"},{"family":"D’Auria","given":"Stanislao"},{"family":"Skrap","given":"Miran"},{"family":"Eleopra","given":"Roberto"}],"issued":{"date-parts":[["2012",12]]}}}],"schema":"https://github.com/citation-style-language/schema/raw/master/csl-citation.json"} </w:instrText>
            </w:r>
            <w:r w:rsidRPr="005500F7">
              <w:rPr>
                <w:rFonts w:ascii="Aptos" w:hAnsi="Aptos" w:cs="Times New Roman"/>
                <w:sz w:val="20"/>
                <w:szCs w:val="20"/>
              </w:rPr>
              <w:fldChar w:fldCharType="separate"/>
            </w:r>
            <w:r w:rsidR="00FF4210" w:rsidRPr="00FF4210">
              <w:rPr>
                <w:rFonts w:ascii="Aptos" w:hAnsi="Aptos" w:cs="Times New Roman"/>
                <w:sz w:val="20"/>
                <w:vertAlign w:val="superscript"/>
              </w:rPr>
              <w:t>118</w:t>
            </w:r>
            <w:r w:rsidRPr="005500F7">
              <w:rPr>
                <w:rFonts w:ascii="Aptos" w:hAnsi="Aptos" w:cs="Times New Roman"/>
                <w:sz w:val="20"/>
                <w:szCs w:val="20"/>
              </w:rPr>
              <w:fldChar w:fldCharType="end"/>
            </w:r>
          </w:p>
        </w:tc>
        <w:tc>
          <w:tcPr>
            <w:tcW w:w="4536"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4EC78C2D" w14:textId="4694F026" w:rsidR="00614CD1" w:rsidRPr="001B2C81" w:rsidRDefault="001B2C81" w:rsidP="004F6AFB">
            <w:pPr>
              <w:pStyle w:val="NoSpacing"/>
              <w:ind w:firstLine="0"/>
              <w:cnfStyle w:val="100000000000" w:firstRow="1" w:lastRow="0" w:firstColumn="0" w:lastColumn="0" w:oddVBand="0" w:evenVBand="0" w:oddHBand="0" w:evenHBand="0" w:firstRowFirstColumn="0" w:firstRowLastColumn="0" w:lastRowFirstColumn="0" w:lastRowLastColumn="0"/>
              <w:rPr>
                <w:rFonts w:ascii="Aptos" w:eastAsia="Times New Roman" w:hAnsi="Aptos" w:cs="Times New Roman"/>
                <w:b w:val="0"/>
                <w:bCs w:val="0"/>
                <w:sz w:val="20"/>
                <w:szCs w:val="20"/>
              </w:rPr>
            </w:pPr>
            <m:oMathPara>
              <m:oMath>
                <m:r>
                  <m:rPr>
                    <m:sty m:val="bi"/>
                  </m:rPr>
                  <w:rPr>
                    <w:rFonts w:ascii="Cambria Math" w:hAnsi="Cambria Math" w:cs="Times New Roman"/>
                    <w:color w:val="auto"/>
                    <w:sz w:val="20"/>
                    <w:szCs w:val="20"/>
                  </w:rPr>
                  <m:t xml:space="preserve">pause index = </m:t>
                </m:r>
                <m:f>
                  <m:fPr>
                    <m:ctrlPr>
                      <w:rPr>
                        <w:rFonts w:ascii="Cambria Math" w:hAnsi="Cambria Math" w:cs="Times New Roman"/>
                        <w:b w:val="0"/>
                        <w:bCs w:val="0"/>
                        <w:i/>
                        <w:color w:val="auto"/>
                        <w:sz w:val="20"/>
                        <w:szCs w:val="20"/>
                      </w:rPr>
                    </m:ctrlPr>
                  </m:fPr>
                  <m:num>
                    <m:nary>
                      <m:naryPr>
                        <m:chr m:val="∑"/>
                        <m:limLoc m:val="undOvr"/>
                        <m:ctrlPr>
                          <w:rPr>
                            <w:rFonts w:ascii="Cambria Math" w:hAnsi="Cambria Math" w:cs="Times New Roman"/>
                            <w:b w:val="0"/>
                            <w:bCs w:val="0"/>
                            <w:color w:val="auto"/>
                            <w:sz w:val="20"/>
                            <w:szCs w:val="20"/>
                          </w:rPr>
                        </m:ctrlPr>
                      </m:naryPr>
                      <m:sub>
                        <m:r>
                          <m:rPr>
                            <m:sty m:val="bi"/>
                          </m:rPr>
                          <w:rPr>
                            <w:rFonts w:ascii="Cambria Math" w:hAnsi="Cambria Math" w:cs="Times New Roman"/>
                            <w:color w:val="auto"/>
                            <w:sz w:val="20"/>
                            <w:szCs w:val="20"/>
                          </w:rPr>
                          <m:t>i=1</m:t>
                        </m:r>
                      </m:sub>
                      <m:sup>
                        <m:r>
                          <m:rPr>
                            <m:sty m:val="bi"/>
                          </m:rPr>
                          <w:rPr>
                            <w:rFonts w:ascii="Cambria Math" w:hAnsi="Cambria Math" w:cs="Times New Roman"/>
                            <w:color w:val="auto"/>
                            <w:sz w:val="20"/>
                            <w:szCs w:val="20"/>
                          </w:rPr>
                          <m:t>N</m:t>
                        </m:r>
                      </m:sup>
                      <m:e>
                        <m:sSub>
                          <m:sSubPr>
                            <m:ctrlPr>
                              <w:rPr>
                                <w:rFonts w:ascii="Cambria Math" w:hAnsi="Cambria Math" w:cs="Times New Roman"/>
                                <w:b w:val="0"/>
                                <w:bCs w:val="0"/>
                                <w:i/>
                                <w:color w:val="auto"/>
                                <w:sz w:val="20"/>
                                <w:szCs w:val="20"/>
                              </w:rPr>
                            </m:ctrlPr>
                          </m:sSubPr>
                          <m:e>
                            <m:r>
                              <m:rPr>
                                <m:sty m:val="bi"/>
                              </m:rPr>
                              <w:rPr>
                                <w:rFonts w:ascii="Cambria Math" w:hAnsi="Cambria Math" w:cs="Times New Roman"/>
                                <w:color w:val="auto"/>
                                <w:sz w:val="20"/>
                                <w:szCs w:val="20"/>
                              </w:rPr>
                              <m:t>δ</m:t>
                            </m:r>
                          </m:e>
                          <m:sub>
                            <m:sSub>
                              <m:sSubPr>
                                <m:ctrlPr>
                                  <w:rPr>
                                    <w:rFonts w:ascii="Cambria Math" w:hAnsi="Cambria Math" w:cs="Times New Roman"/>
                                    <w:b w:val="0"/>
                                    <w:bCs w:val="0"/>
                                    <w:i/>
                                    <w:color w:val="auto"/>
                                    <w:sz w:val="20"/>
                                    <w:szCs w:val="20"/>
                                  </w:rPr>
                                </m:ctrlPr>
                              </m:sSubPr>
                              <m:e>
                                <m:r>
                                  <m:rPr>
                                    <m:sty m:val="bi"/>
                                  </m:rPr>
                                  <w:rPr>
                                    <w:rFonts w:ascii="Cambria Math" w:hAnsi="Cambria Math" w:cs="Times New Roman"/>
                                    <w:color w:val="auto"/>
                                    <w:sz w:val="20"/>
                                    <w:szCs w:val="20"/>
                                  </w:rPr>
                                  <m:t>ISI</m:t>
                                </m:r>
                              </m:e>
                              <m:sub>
                                <m:r>
                                  <m:rPr>
                                    <m:sty m:val="bi"/>
                                  </m:rPr>
                                  <w:rPr>
                                    <w:rFonts w:ascii="Cambria Math" w:hAnsi="Cambria Math" w:cs="Times New Roman"/>
                                    <w:color w:val="auto"/>
                                    <w:sz w:val="20"/>
                                    <w:szCs w:val="20"/>
                                  </w:rPr>
                                  <m:t>i</m:t>
                                </m:r>
                              </m:sub>
                            </m:sSub>
                            <m:r>
                              <m:rPr>
                                <m:sty m:val="bi"/>
                              </m:rPr>
                              <w:rPr>
                                <w:rFonts w:ascii="Cambria Math" w:hAnsi="Cambria Math" w:cs="Times New Roman"/>
                                <w:color w:val="auto"/>
                                <w:sz w:val="20"/>
                                <w:szCs w:val="20"/>
                              </w:rPr>
                              <m:t>≥50</m:t>
                            </m:r>
                          </m:sub>
                        </m:sSub>
                      </m:e>
                    </m:nary>
                  </m:num>
                  <m:den>
                    <m:nary>
                      <m:naryPr>
                        <m:chr m:val="∑"/>
                        <m:limLoc m:val="undOvr"/>
                        <m:ctrlPr>
                          <w:rPr>
                            <w:rFonts w:ascii="Cambria Math" w:hAnsi="Cambria Math" w:cs="Times New Roman"/>
                            <w:b w:val="0"/>
                            <w:bCs w:val="0"/>
                            <w:color w:val="auto"/>
                            <w:sz w:val="20"/>
                            <w:szCs w:val="20"/>
                          </w:rPr>
                        </m:ctrlPr>
                      </m:naryPr>
                      <m:sub>
                        <m:r>
                          <m:rPr>
                            <m:sty m:val="bi"/>
                          </m:rPr>
                          <w:rPr>
                            <w:rFonts w:ascii="Cambria Math" w:hAnsi="Cambria Math" w:cs="Times New Roman"/>
                            <w:color w:val="auto"/>
                            <w:sz w:val="20"/>
                            <w:szCs w:val="20"/>
                          </w:rPr>
                          <m:t>i=1</m:t>
                        </m:r>
                      </m:sub>
                      <m:sup>
                        <m:r>
                          <m:rPr>
                            <m:sty m:val="bi"/>
                          </m:rPr>
                          <w:rPr>
                            <w:rFonts w:ascii="Cambria Math" w:hAnsi="Cambria Math" w:cs="Times New Roman"/>
                            <w:color w:val="auto"/>
                            <w:sz w:val="20"/>
                            <w:szCs w:val="20"/>
                          </w:rPr>
                          <m:t>N</m:t>
                        </m:r>
                      </m:sup>
                      <m:e>
                        <m:sSub>
                          <m:sSubPr>
                            <m:ctrlPr>
                              <w:rPr>
                                <w:rFonts w:ascii="Cambria Math" w:hAnsi="Cambria Math" w:cs="Times New Roman"/>
                                <w:b w:val="0"/>
                                <w:bCs w:val="0"/>
                                <w:i/>
                                <w:color w:val="auto"/>
                                <w:sz w:val="20"/>
                                <w:szCs w:val="20"/>
                              </w:rPr>
                            </m:ctrlPr>
                          </m:sSubPr>
                          <m:e>
                            <m:r>
                              <m:rPr>
                                <m:sty m:val="bi"/>
                              </m:rPr>
                              <w:rPr>
                                <w:rFonts w:ascii="Cambria Math" w:hAnsi="Cambria Math" w:cs="Times New Roman"/>
                                <w:color w:val="auto"/>
                                <w:sz w:val="20"/>
                                <w:szCs w:val="20"/>
                              </w:rPr>
                              <m:t>δ</m:t>
                            </m:r>
                          </m:e>
                          <m:sub>
                            <m:sSub>
                              <m:sSubPr>
                                <m:ctrlPr>
                                  <w:rPr>
                                    <w:rFonts w:ascii="Cambria Math" w:hAnsi="Cambria Math" w:cs="Times New Roman"/>
                                    <w:b w:val="0"/>
                                    <w:bCs w:val="0"/>
                                    <w:i/>
                                    <w:color w:val="auto"/>
                                    <w:sz w:val="20"/>
                                    <w:szCs w:val="20"/>
                                  </w:rPr>
                                </m:ctrlPr>
                              </m:sSubPr>
                              <m:e>
                                <m:r>
                                  <m:rPr>
                                    <m:sty m:val="bi"/>
                                  </m:rPr>
                                  <w:rPr>
                                    <w:rFonts w:ascii="Cambria Math" w:hAnsi="Cambria Math" w:cs="Times New Roman"/>
                                    <w:color w:val="auto"/>
                                    <w:sz w:val="20"/>
                                    <w:szCs w:val="20"/>
                                  </w:rPr>
                                  <m:t>ISI</m:t>
                                </m:r>
                              </m:e>
                              <m:sub>
                                <m:r>
                                  <m:rPr>
                                    <m:sty m:val="bi"/>
                                  </m:rPr>
                                  <w:rPr>
                                    <w:rFonts w:ascii="Cambria Math" w:hAnsi="Cambria Math" w:cs="Times New Roman"/>
                                    <w:color w:val="auto"/>
                                    <w:sz w:val="20"/>
                                    <w:szCs w:val="20"/>
                                  </w:rPr>
                                  <m:t>i</m:t>
                                </m:r>
                              </m:sub>
                            </m:sSub>
                            <m:r>
                              <m:rPr>
                                <m:sty m:val="bi"/>
                              </m:rPr>
                              <w:rPr>
                                <w:rFonts w:ascii="Cambria Math" w:hAnsi="Cambria Math" w:cs="Times New Roman"/>
                                <w:color w:val="auto"/>
                                <w:sz w:val="20"/>
                                <w:szCs w:val="20"/>
                              </w:rPr>
                              <m:t>&lt;50</m:t>
                            </m:r>
                          </m:sub>
                        </m:sSub>
                      </m:e>
                    </m:nary>
                  </m:den>
                </m:f>
              </m:oMath>
            </m:oMathPara>
          </w:p>
        </w:tc>
      </w:tr>
      <w:tr w:rsidR="0017005C" w:rsidRPr="005500F7" w14:paraId="650EB375" w14:textId="77777777" w:rsidTr="00F55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7CC23079" w14:textId="34289AC7" w:rsidR="00614CD1" w:rsidRPr="005500F7" w:rsidRDefault="006F2516" w:rsidP="004E3777">
            <w:pPr>
              <w:pStyle w:val="NoSpacing"/>
              <w:ind w:firstLine="0"/>
              <w:jc w:val="left"/>
              <w:rPr>
                <w:rFonts w:ascii="Aptos" w:hAnsi="Aptos" w:cs="Times New Roman"/>
                <w:sz w:val="20"/>
                <w:szCs w:val="20"/>
              </w:rPr>
            </w:pPr>
            <w:r w:rsidRPr="005500F7">
              <w:rPr>
                <w:rFonts w:ascii="Aptos" w:hAnsi="Aptos" w:cs="Times New Roman"/>
                <w:b w:val="0"/>
                <w:bCs w:val="0"/>
                <w:sz w:val="20"/>
                <w:szCs w:val="20"/>
              </w:rPr>
              <w:t>pause</w:t>
            </w:r>
            <w:r w:rsidR="009C28EC">
              <w:rPr>
                <w:rFonts w:ascii="Aptos" w:hAnsi="Aptos" w:cs="Times New Roman"/>
                <w:b w:val="0"/>
                <w:bCs w:val="0"/>
                <w:sz w:val="20"/>
                <w:szCs w:val="20"/>
              </w:rPr>
              <w:t xml:space="preserve"> </w:t>
            </w:r>
            <w:r w:rsidRPr="005500F7">
              <w:rPr>
                <w:rFonts w:ascii="Aptos" w:hAnsi="Aptos" w:cs="Times New Roman"/>
                <w:b w:val="0"/>
                <w:bCs w:val="0"/>
                <w:sz w:val="20"/>
                <w:szCs w:val="20"/>
              </w:rPr>
              <w:t>ratio</w:t>
            </w:r>
          </w:p>
        </w:tc>
        <w:tc>
          <w:tcPr>
            <w:tcW w:w="2693"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40CA996D" w14:textId="77777777" w:rsidR="00614CD1" w:rsidRPr="005500F7" w:rsidRDefault="006F2516" w:rsidP="004F6AFB">
            <w:pPr>
              <w:pStyle w:val="NoSpacing"/>
              <w:ind w:firstLine="0"/>
              <w:jc w:val="left"/>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cumulative of ISI higher than 50ms divided by the number of ISI lower than 50ms.</w:t>
            </w:r>
          </w:p>
        </w:tc>
        <w:tc>
          <w:tcPr>
            <w:tcW w:w="4536"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376CD406" w14:textId="14C68F99" w:rsidR="00614CD1" w:rsidRPr="005500F7" w:rsidRDefault="006F2516" w:rsidP="004F6AFB">
            <w:pPr>
              <w:pStyle w:val="NoSpacing"/>
              <w:ind w:firstLine="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sz w:val="20"/>
                <w:szCs w:val="20"/>
              </w:rPr>
            </w:pPr>
            <m:oMathPara>
              <m:oMath>
                <m:r>
                  <w:rPr>
                    <w:rFonts w:ascii="Cambria Math" w:hAnsi="Cambria Math" w:cs="Times New Roman"/>
                    <w:color w:val="auto"/>
                    <w:sz w:val="20"/>
                    <w:szCs w:val="20"/>
                  </w:rPr>
                  <m:t xml:space="preserve">pause ratio = </m:t>
                </m:r>
                <m:f>
                  <m:fPr>
                    <m:ctrlPr>
                      <w:rPr>
                        <w:rFonts w:ascii="Cambria Math" w:hAnsi="Cambria Math" w:cs="Times New Roman"/>
                        <w:i/>
                        <w:color w:val="auto"/>
                        <w:sz w:val="20"/>
                        <w:szCs w:val="20"/>
                      </w:rPr>
                    </m:ctrlPr>
                  </m:fPr>
                  <m:num>
                    <m:nary>
                      <m:naryPr>
                        <m:chr m:val="∑"/>
                        <m:limLoc m:val="undOvr"/>
                        <m:ctrlPr>
                          <w:rPr>
                            <w:rFonts w:ascii="Cambria Math" w:hAnsi="Cambria Math" w:cs="Times New Roman"/>
                            <w:color w:val="auto"/>
                            <w:sz w:val="20"/>
                            <w:szCs w:val="20"/>
                          </w:rPr>
                        </m:ctrlPr>
                      </m:naryPr>
                      <m:sub>
                        <m:r>
                          <w:rPr>
                            <w:rFonts w:ascii="Cambria Math" w:hAnsi="Cambria Math" w:cs="Times New Roman"/>
                            <w:color w:val="auto"/>
                            <w:sz w:val="20"/>
                            <w:szCs w:val="20"/>
                          </w:rPr>
                          <m:t>i=1</m:t>
                        </m:r>
                      </m:sub>
                      <m:sup>
                        <m:r>
                          <w:rPr>
                            <w:rFonts w:ascii="Cambria Math" w:hAnsi="Cambria Math" w:cs="Times New Roman"/>
                            <w:color w:val="auto"/>
                            <w:sz w:val="20"/>
                            <w:szCs w:val="20"/>
                          </w:rPr>
                          <m:t>N</m:t>
                        </m:r>
                      </m:sup>
                      <m:e>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ISI</m:t>
                            </m:r>
                          </m:e>
                          <m:sub>
                            <m:r>
                              <w:rPr>
                                <w:rFonts w:ascii="Cambria Math" w:hAnsi="Cambria Math" w:cs="Times New Roman"/>
                                <w:color w:val="auto"/>
                                <w:sz w:val="20"/>
                                <w:szCs w:val="20"/>
                              </w:rPr>
                              <m:t>i</m:t>
                            </m:r>
                          </m:sub>
                        </m:sSub>
                        <m:r>
                          <w:rPr>
                            <w:rFonts w:ascii="Cambria Math" w:hAnsi="Cambria Math" w:cs="Times New Roman"/>
                            <w:color w:val="auto"/>
                            <w:sz w:val="20"/>
                            <w:szCs w:val="20"/>
                          </w:rPr>
                          <m:t>≥50</m:t>
                        </m:r>
                      </m:e>
                    </m:nary>
                  </m:num>
                  <m:den>
                    <m:nary>
                      <m:naryPr>
                        <m:chr m:val="∑"/>
                        <m:limLoc m:val="undOvr"/>
                        <m:ctrlPr>
                          <w:rPr>
                            <w:rFonts w:ascii="Cambria Math" w:hAnsi="Cambria Math" w:cs="Times New Roman"/>
                            <w:color w:val="auto"/>
                            <w:sz w:val="20"/>
                            <w:szCs w:val="20"/>
                          </w:rPr>
                        </m:ctrlPr>
                      </m:naryPr>
                      <m:sub>
                        <m:r>
                          <w:rPr>
                            <w:rFonts w:ascii="Cambria Math" w:hAnsi="Cambria Math" w:cs="Times New Roman"/>
                            <w:color w:val="auto"/>
                            <w:sz w:val="20"/>
                            <w:szCs w:val="20"/>
                          </w:rPr>
                          <m:t>i=1</m:t>
                        </m:r>
                      </m:sub>
                      <m:sup>
                        <m:r>
                          <w:rPr>
                            <w:rFonts w:ascii="Cambria Math" w:hAnsi="Cambria Math" w:cs="Times New Roman"/>
                            <w:color w:val="auto"/>
                            <w:sz w:val="20"/>
                            <w:szCs w:val="20"/>
                          </w:rPr>
                          <m:t>N</m:t>
                        </m:r>
                      </m:sup>
                      <m:e>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δ</m:t>
                            </m:r>
                          </m:e>
                          <m:sub>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ISI</m:t>
                                </m:r>
                              </m:e>
                              <m:sub>
                                <m:r>
                                  <w:rPr>
                                    <w:rFonts w:ascii="Cambria Math" w:hAnsi="Cambria Math" w:cs="Times New Roman"/>
                                    <w:color w:val="auto"/>
                                    <w:sz w:val="20"/>
                                    <w:szCs w:val="20"/>
                                  </w:rPr>
                                  <m:t>i</m:t>
                                </m:r>
                              </m:sub>
                            </m:sSub>
                            <m:r>
                              <w:rPr>
                                <w:rFonts w:ascii="Cambria Math" w:hAnsi="Cambria Math" w:cs="Times New Roman"/>
                                <w:color w:val="auto"/>
                                <w:sz w:val="20"/>
                                <w:szCs w:val="20"/>
                              </w:rPr>
                              <m:t>&lt;50</m:t>
                            </m:r>
                          </m:sub>
                        </m:sSub>
                      </m:e>
                    </m:nary>
                  </m:den>
                </m:f>
              </m:oMath>
            </m:oMathPara>
          </w:p>
        </w:tc>
      </w:tr>
      <w:tr w:rsidR="0017005C" w:rsidRPr="005500F7" w14:paraId="54867ADE" w14:textId="77777777" w:rsidTr="00F55D80">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00078213" w14:textId="207FA91D" w:rsidR="00614CD1" w:rsidRPr="005500F7" w:rsidRDefault="006F2516" w:rsidP="004E3777">
            <w:pPr>
              <w:pStyle w:val="NoSpacing"/>
              <w:ind w:firstLine="0"/>
              <w:jc w:val="left"/>
              <w:rPr>
                <w:rFonts w:ascii="Aptos" w:hAnsi="Aptos" w:cs="Times New Roman"/>
                <w:sz w:val="20"/>
                <w:szCs w:val="20"/>
              </w:rPr>
            </w:pPr>
            <w:r w:rsidRPr="005500F7">
              <w:rPr>
                <w:rFonts w:ascii="Aptos" w:hAnsi="Aptos" w:cs="Times New Roman"/>
                <w:b w:val="0"/>
                <w:bCs w:val="0"/>
                <w:sz w:val="20"/>
                <w:szCs w:val="20"/>
              </w:rPr>
              <w:t>pause</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freq</w:t>
            </w:r>
            <w:r w:rsidR="00CD0AC1">
              <w:rPr>
                <w:rFonts w:ascii="Aptos" w:hAnsi="Aptos" w:cs="Times New Roman"/>
                <w:b w:val="0"/>
                <w:bCs w:val="0"/>
                <w:sz w:val="20"/>
                <w:szCs w:val="20"/>
              </w:rPr>
              <w:t>uency</w:t>
            </w:r>
          </w:p>
        </w:tc>
        <w:tc>
          <w:tcPr>
            <w:tcW w:w="269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3B15BBF7" w14:textId="77777777" w:rsidR="00614CD1" w:rsidRPr="005500F7" w:rsidRDefault="006F2516" w:rsidP="004F6AFB">
            <w:pPr>
              <w:pStyle w:val="NoSpacing"/>
              <w:ind w:firstLine="0"/>
              <w:jc w:val="left"/>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The mean firing rate during the pause intervals.</w:t>
            </w:r>
          </w:p>
        </w:tc>
        <w:tc>
          <w:tcPr>
            <w:tcW w:w="4536"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11147B06" w14:textId="5C8790C7" w:rsidR="00CD0AC1" w:rsidRPr="00F55D80" w:rsidRDefault="00B87F2F" w:rsidP="004F6AFB">
            <w:pPr>
              <w:pStyle w:val="NoSpacing"/>
              <w:ind w:firstLine="0"/>
              <w:cnfStyle w:val="000000000000" w:firstRow="0" w:lastRow="0" w:firstColumn="0" w:lastColumn="0" w:oddVBand="0" w:evenVBand="0" w:oddHBand="0" w:evenHBand="0" w:firstRowFirstColumn="0" w:firstRowLastColumn="0" w:lastRowFirstColumn="0" w:lastRowLastColumn="0"/>
              <w:rPr>
                <w:rFonts w:ascii="Aptos" w:hAnsi="Aptos" w:cs="Times New Roman"/>
                <w:color w:val="auto"/>
                <w:sz w:val="20"/>
                <w:szCs w:val="20"/>
              </w:rPr>
            </w:pPr>
            <m:oMathPara>
              <m:oMath>
                <m:r>
                  <w:rPr>
                    <w:rFonts w:ascii="Cambria Math" w:hAnsi="Cambria Math" w:cs="Times New Roman"/>
                    <w:color w:val="auto"/>
                    <w:sz w:val="20"/>
                    <w:szCs w:val="20"/>
                  </w:rPr>
                  <m:t>pause frequency=</m:t>
                </m:r>
              </m:oMath>
            </m:oMathPara>
          </w:p>
          <w:p w14:paraId="4BD8BAE3" w14:textId="7CCAF48B" w:rsidR="00614CD1" w:rsidRPr="005500F7" w:rsidRDefault="00B87F2F" w:rsidP="004F6AFB">
            <w:pPr>
              <w:pStyle w:val="NoSpacing"/>
              <w:ind w:firstLine="0"/>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20"/>
                <w:szCs w:val="20"/>
              </w:rPr>
            </w:pPr>
            <m:oMathPara>
              <m:oMath>
                <m:r>
                  <w:rPr>
                    <w:rFonts w:ascii="Cambria Math" w:hAnsi="Cambria Math" w:cs="Times New Roman"/>
                    <w:color w:val="auto"/>
                    <w:sz w:val="20"/>
                    <w:szCs w:val="20"/>
                  </w:rPr>
                  <m:t xml:space="preserve"> </m:t>
                </m:r>
                <m:f>
                  <m:fPr>
                    <m:ctrlPr>
                      <w:rPr>
                        <w:rFonts w:ascii="Cambria Math" w:hAnsi="Cambria Math" w:cs="Times New Roman"/>
                        <w:color w:val="auto"/>
                        <w:sz w:val="20"/>
                        <w:szCs w:val="20"/>
                      </w:rPr>
                    </m:ctrlPr>
                  </m:fPr>
                  <m:num>
                    <m:r>
                      <w:rPr>
                        <w:rFonts w:ascii="Cambria Math" w:hAnsi="Cambria Math" w:cs="Times New Roman"/>
                        <w:color w:val="auto"/>
                        <w:sz w:val="20"/>
                        <w:szCs w:val="20"/>
                      </w:rPr>
                      <m:t>1</m:t>
                    </m:r>
                  </m:num>
                  <m:den>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pauses</m:t>
                        </m:r>
                      </m:sub>
                    </m:sSub>
                  </m:den>
                </m:f>
                <m:nary>
                  <m:naryPr>
                    <m:chr m:val="∑"/>
                    <m:limLoc m:val="undOvr"/>
                    <m:ctrlPr>
                      <w:rPr>
                        <w:rFonts w:ascii="Cambria Math" w:hAnsi="Cambria Math" w:cs="Times New Roman"/>
                        <w:color w:val="auto"/>
                        <w:sz w:val="20"/>
                        <w:szCs w:val="20"/>
                      </w:rPr>
                    </m:ctrlPr>
                  </m:naryPr>
                  <m:sub>
                    <m:r>
                      <w:rPr>
                        <w:rFonts w:ascii="Cambria Math" w:hAnsi="Cambria Math" w:cs="Times New Roman"/>
                        <w:color w:val="auto"/>
                        <w:sz w:val="20"/>
                        <w:szCs w:val="20"/>
                      </w:rPr>
                      <m:t>n=1</m:t>
                    </m:r>
                  </m:sub>
                  <m:sup>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pauses</m:t>
                        </m:r>
                      </m:sub>
                    </m:sSub>
                  </m:sup>
                  <m:e>
                    <m:f>
                      <m:fPr>
                        <m:ctrlPr>
                          <w:rPr>
                            <w:rFonts w:ascii="Cambria Math" w:hAnsi="Cambria Math" w:cs="Times New Roman"/>
                            <w:color w:val="auto"/>
                            <w:sz w:val="20"/>
                            <w:szCs w:val="20"/>
                          </w:rPr>
                        </m:ctrlPr>
                      </m:fPr>
                      <m:num>
                        <m:r>
                          <w:rPr>
                            <w:rFonts w:ascii="Cambria Math" w:hAnsi="Cambria Math" w:cs="Times New Roman"/>
                            <w:color w:val="auto"/>
                            <w:sz w:val="20"/>
                            <w:szCs w:val="20"/>
                          </w:rPr>
                          <m:t>coun</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t</m:t>
                            </m:r>
                          </m:e>
                          <m:sub>
                            <m:r>
                              <w:rPr>
                                <w:rFonts w:ascii="Cambria Math" w:hAnsi="Cambria Math" w:cs="Times New Roman"/>
                                <w:color w:val="auto"/>
                                <w:sz w:val="20"/>
                                <w:szCs w:val="20"/>
                              </w:rPr>
                              <m:t>n</m:t>
                            </m:r>
                          </m:sub>
                        </m:sSub>
                        <m:r>
                          <w:rPr>
                            <w:rFonts w:ascii="Cambria Math" w:hAnsi="Cambria Math" w:cs="Times New Roman"/>
                            <w:color w:val="auto"/>
                            <w:sz w:val="20"/>
                            <w:szCs w:val="20"/>
                          </w:rPr>
                          <m:t>(spikes)</m:t>
                        </m:r>
                      </m:num>
                      <m:den>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finis</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h</m:t>
                                </m:r>
                              </m:e>
                              <m:sub>
                                <m:r>
                                  <w:rPr>
                                    <w:rFonts w:ascii="Cambria Math" w:hAnsi="Cambria Math" w:cs="Times New Roman"/>
                                    <w:color w:val="auto"/>
                                    <w:sz w:val="20"/>
                                    <w:szCs w:val="20"/>
                                  </w:rPr>
                                  <m:t>n</m:t>
                                </m:r>
                              </m:sub>
                            </m:sSub>
                          </m:sub>
                        </m:sSub>
                        <m:r>
                          <w:rPr>
                            <w:rFonts w:ascii="Cambria Math" w:hAnsi="Cambria Math" w:cs="Times New Roman"/>
                            <w:color w:val="auto"/>
                            <w:sz w:val="20"/>
                            <w:szCs w:val="20"/>
                          </w:rPr>
                          <m:t>-</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star</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t</m:t>
                                </m:r>
                              </m:e>
                              <m:sub>
                                <m:r>
                                  <w:rPr>
                                    <w:rFonts w:ascii="Cambria Math" w:hAnsi="Cambria Math" w:cs="Times New Roman"/>
                                    <w:color w:val="auto"/>
                                    <w:sz w:val="20"/>
                                    <w:szCs w:val="20"/>
                                  </w:rPr>
                                  <m:t>n</m:t>
                                </m:r>
                              </m:sub>
                            </m:sSub>
                          </m:sub>
                        </m:sSub>
                        <m:r>
                          <w:rPr>
                            <w:rFonts w:ascii="Cambria Math" w:hAnsi="Cambria Math" w:cs="Times New Roman"/>
                            <w:color w:val="auto"/>
                            <w:sz w:val="20"/>
                            <w:szCs w:val="20"/>
                          </w:rPr>
                          <m:t>)</m:t>
                        </m:r>
                      </m:den>
                    </m:f>
                  </m:e>
                </m:nary>
              </m:oMath>
            </m:oMathPara>
          </w:p>
        </w:tc>
      </w:tr>
      <w:tr w:rsidR="0017005C" w:rsidRPr="005500F7" w14:paraId="609BFF68" w14:textId="77777777" w:rsidTr="00F55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46247FC6" w14:textId="57CA1AED" w:rsidR="00614CD1" w:rsidRPr="005500F7" w:rsidRDefault="006F2516" w:rsidP="004E3777">
            <w:pPr>
              <w:pStyle w:val="NoSpacing"/>
              <w:ind w:firstLine="0"/>
              <w:jc w:val="left"/>
              <w:rPr>
                <w:rFonts w:ascii="Aptos" w:hAnsi="Aptos" w:cs="Times New Roman"/>
                <w:sz w:val="20"/>
                <w:szCs w:val="20"/>
              </w:rPr>
            </w:pPr>
            <w:r w:rsidRPr="005500F7">
              <w:rPr>
                <w:rFonts w:ascii="Aptos" w:hAnsi="Aptos" w:cs="Times New Roman"/>
                <w:b w:val="0"/>
                <w:bCs w:val="0"/>
                <w:sz w:val="20"/>
                <w:szCs w:val="20"/>
              </w:rPr>
              <w:t>pause</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duration</w:t>
            </w:r>
          </w:p>
        </w:tc>
        <w:tc>
          <w:tcPr>
            <w:tcW w:w="2693"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0146A2B4" w14:textId="77777777" w:rsidR="00614CD1" w:rsidRPr="005500F7" w:rsidRDefault="006F2516" w:rsidP="00614CD1">
            <w:pPr>
              <w:pStyle w:val="NoSpacing"/>
              <w:ind w:firstLine="0"/>
              <w:jc w:val="left"/>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The mean duration of pauses within the spike train.</w:t>
            </w:r>
          </w:p>
        </w:tc>
        <w:tc>
          <w:tcPr>
            <w:tcW w:w="4536"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612A5F4E" w14:textId="77777777" w:rsidR="00B87F2F" w:rsidRPr="00B87F2F" w:rsidRDefault="00B87F2F" w:rsidP="00614CD1">
            <w:pPr>
              <w:pStyle w:val="NoSpacing"/>
              <w:ind w:firstLine="0"/>
              <w:cnfStyle w:val="000000100000" w:firstRow="0" w:lastRow="0" w:firstColumn="0" w:lastColumn="0" w:oddVBand="0" w:evenVBand="0" w:oddHBand="1" w:evenHBand="0" w:firstRowFirstColumn="0" w:firstRowLastColumn="0" w:lastRowFirstColumn="0" w:lastRowLastColumn="0"/>
              <w:rPr>
                <w:rFonts w:ascii="Aptos" w:hAnsi="Aptos" w:cs="Times New Roman"/>
                <w:color w:val="auto"/>
                <w:sz w:val="20"/>
                <w:szCs w:val="20"/>
              </w:rPr>
            </w:pPr>
            <m:oMathPara>
              <m:oMath>
                <m:r>
                  <w:rPr>
                    <w:rFonts w:ascii="Cambria Math" w:hAnsi="Cambria Math" w:cs="Times New Roman"/>
                    <w:color w:val="auto"/>
                    <w:sz w:val="20"/>
                    <w:szCs w:val="20"/>
                  </w:rPr>
                  <m:t>paus</m:t>
                </m:r>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e</m:t>
                    </m:r>
                  </m:e>
                  <m:sub>
                    <m:r>
                      <w:rPr>
                        <w:rFonts w:ascii="Cambria Math" w:hAnsi="Cambria Math" w:cs="Times New Roman"/>
                        <w:color w:val="auto"/>
                        <w:sz w:val="20"/>
                        <w:szCs w:val="20"/>
                      </w:rPr>
                      <m:t>duration</m:t>
                    </m:r>
                  </m:sub>
                </m:sSub>
                <m:r>
                  <w:rPr>
                    <w:rFonts w:ascii="Cambria Math" w:hAnsi="Cambria Math" w:cs="Times New Roman"/>
                    <w:color w:val="auto"/>
                    <w:sz w:val="20"/>
                    <w:szCs w:val="20"/>
                  </w:rPr>
                  <m:t xml:space="preserve">= </m:t>
                </m:r>
              </m:oMath>
            </m:oMathPara>
          </w:p>
          <w:p w14:paraId="0DDC89B8" w14:textId="7CDA638F" w:rsidR="00614CD1" w:rsidRPr="005500F7" w:rsidRDefault="00000000" w:rsidP="00614CD1">
            <w:pPr>
              <w:pStyle w:val="NoSpacing"/>
              <w:ind w:firstLine="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sz w:val="20"/>
                <w:szCs w:val="20"/>
              </w:rPr>
            </w:pPr>
            <m:oMathPara>
              <m:oMath>
                <m:f>
                  <m:fPr>
                    <m:ctrlPr>
                      <w:rPr>
                        <w:rFonts w:ascii="Cambria Math" w:hAnsi="Cambria Math" w:cs="Times New Roman"/>
                        <w:color w:val="auto"/>
                        <w:sz w:val="20"/>
                        <w:szCs w:val="20"/>
                      </w:rPr>
                    </m:ctrlPr>
                  </m:fPr>
                  <m:num>
                    <m:r>
                      <w:rPr>
                        <w:rFonts w:ascii="Cambria Math" w:hAnsi="Cambria Math" w:cs="Times New Roman"/>
                        <w:color w:val="auto"/>
                        <w:sz w:val="20"/>
                        <w:szCs w:val="20"/>
                      </w:rPr>
                      <m:t>1</m:t>
                    </m:r>
                  </m:num>
                  <m:den>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pauses</m:t>
                        </m:r>
                      </m:sub>
                    </m:sSub>
                  </m:den>
                </m:f>
                <m:nary>
                  <m:naryPr>
                    <m:chr m:val="∑"/>
                    <m:limLoc m:val="undOvr"/>
                    <m:ctrlPr>
                      <w:rPr>
                        <w:rFonts w:ascii="Cambria Math" w:hAnsi="Cambria Math" w:cs="Times New Roman"/>
                        <w:color w:val="auto"/>
                        <w:sz w:val="20"/>
                        <w:szCs w:val="20"/>
                      </w:rPr>
                    </m:ctrlPr>
                  </m:naryPr>
                  <m:sub>
                    <m:r>
                      <w:rPr>
                        <w:rFonts w:ascii="Cambria Math" w:hAnsi="Cambria Math" w:cs="Times New Roman"/>
                        <w:color w:val="auto"/>
                        <w:sz w:val="20"/>
                        <w:szCs w:val="20"/>
                      </w:rPr>
                      <m:t>n=1</m:t>
                    </m:r>
                  </m:sub>
                  <m:sup>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pauses</m:t>
                        </m:r>
                      </m:sub>
                    </m:sSub>
                  </m:sup>
                  <m:e>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pause_finis</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h</m:t>
                            </m:r>
                          </m:e>
                          <m:sub>
                            <m:r>
                              <w:rPr>
                                <w:rFonts w:ascii="Cambria Math" w:hAnsi="Cambria Math" w:cs="Times New Roman"/>
                                <w:color w:val="auto"/>
                                <w:sz w:val="20"/>
                                <w:szCs w:val="20"/>
                              </w:rPr>
                              <m:t>n</m:t>
                            </m:r>
                          </m:sub>
                        </m:sSub>
                      </m:sub>
                    </m:sSub>
                    <m:r>
                      <w:rPr>
                        <w:rFonts w:ascii="Cambria Math" w:hAnsi="Cambria Math" w:cs="Times New Roman"/>
                        <w:color w:val="auto"/>
                        <w:sz w:val="20"/>
                        <w:szCs w:val="20"/>
                      </w:rPr>
                      <m:t>-</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pause_star</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t</m:t>
                            </m:r>
                          </m:e>
                          <m:sub>
                            <m:r>
                              <w:rPr>
                                <w:rFonts w:ascii="Cambria Math" w:hAnsi="Cambria Math" w:cs="Times New Roman"/>
                                <w:color w:val="auto"/>
                                <w:sz w:val="20"/>
                                <w:szCs w:val="20"/>
                              </w:rPr>
                              <m:t>n</m:t>
                            </m:r>
                          </m:sub>
                        </m:sSub>
                      </m:sub>
                    </m:sSub>
                    <m:r>
                      <w:rPr>
                        <w:rFonts w:ascii="Cambria Math" w:hAnsi="Cambria Math" w:cs="Times New Roman"/>
                        <w:color w:val="auto"/>
                        <w:sz w:val="20"/>
                        <w:szCs w:val="20"/>
                      </w:rPr>
                      <m:t xml:space="preserve">)   </m:t>
                    </m:r>
                  </m:e>
                </m:nary>
              </m:oMath>
            </m:oMathPara>
          </w:p>
        </w:tc>
      </w:tr>
      <w:tr w:rsidR="0017005C" w:rsidRPr="005500F7" w14:paraId="5F07131E" w14:textId="77777777" w:rsidTr="00F55D80">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5BA21A86" w14:textId="7F77E0DE" w:rsidR="00614CD1" w:rsidRPr="005500F7" w:rsidRDefault="006F2516" w:rsidP="004E3777">
            <w:pPr>
              <w:pStyle w:val="NoSpacing"/>
              <w:ind w:firstLine="0"/>
              <w:jc w:val="left"/>
              <w:rPr>
                <w:rFonts w:ascii="Aptos" w:hAnsi="Aptos" w:cs="Times New Roman"/>
                <w:sz w:val="20"/>
                <w:szCs w:val="20"/>
              </w:rPr>
            </w:pPr>
            <w:r w:rsidRPr="005500F7">
              <w:rPr>
                <w:rFonts w:ascii="Aptos" w:hAnsi="Aptos" w:cs="Times New Roman"/>
                <w:b w:val="0"/>
                <w:bCs w:val="0"/>
                <w:sz w:val="20"/>
                <w:szCs w:val="20"/>
              </w:rPr>
              <w:lastRenderedPageBreak/>
              <w:t>pause</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count</w:t>
            </w:r>
          </w:p>
        </w:tc>
        <w:tc>
          <w:tcPr>
            <w:tcW w:w="269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74E071D3" w14:textId="77777777" w:rsidR="00614CD1" w:rsidRPr="005500F7" w:rsidRDefault="006F2516" w:rsidP="00614CD1">
            <w:pPr>
              <w:pStyle w:val="NoSpacing"/>
              <w:ind w:firstLine="0"/>
              <w:jc w:val="left"/>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The number of spikes in the pause regions.</w:t>
            </w:r>
          </w:p>
        </w:tc>
        <w:tc>
          <w:tcPr>
            <w:tcW w:w="4536"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617BA21D" w14:textId="34FA9EA2" w:rsidR="00614CD1" w:rsidRPr="005500F7" w:rsidRDefault="006F2516" w:rsidP="00614CD1">
            <w:pPr>
              <w:pStyle w:val="NoSpacing"/>
              <w:ind w:firstLine="0"/>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sz w:val="20"/>
                <w:szCs w:val="20"/>
              </w:rPr>
            </w:pPr>
            <m:oMathPara>
              <m:oMath>
                <m:r>
                  <w:rPr>
                    <w:rFonts w:ascii="Cambria Math" w:eastAsia="Times New Roman" w:hAnsi="Cambria Math" w:cs="Times New Roman"/>
                    <w:sz w:val="20"/>
                    <w:szCs w:val="20"/>
                  </w:rPr>
                  <m:t xml:space="preserve">pause count= </m:t>
                </m:r>
                <m:nary>
                  <m:naryPr>
                    <m:chr m:val="∑"/>
                    <m:limLoc m:val="undOvr"/>
                    <m:ctrlPr>
                      <w:rPr>
                        <w:rFonts w:ascii="Cambria Math" w:eastAsia="Times New Roman" w:hAnsi="Cambria Math" w:cs="Times New Roman"/>
                        <w:sz w:val="20"/>
                        <w:szCs w:val="20"/>
                      </w:rPr>
                    </m:ctrlPr>
                  </m:naryPr>
                  <m:sub>
                    <m:r>
                      <w:rPr>
                        <w:rFonts w:ascii="Cambria Math" w:eastAsia="Times New Roman" w:hAnsi="Cambria Math" w:cs="Times New Roman"/>
                        <w:sz w:val="20"/>
                        <w:szCs w:val="20"/>
                      </w:rPr>
                      <m:t>n=1</m:t>
                    </m:r>
                  </m:sub>
                  <m:sup>
                    <m:sSub>
                      <m:sSubPr>
                        <m:ctrlPr>
                          <w:rPr>
                            <w:rFonts w:ascii="Cambria Math" w:eastAsia="Times New Roman" w:hAnsi="Cambria Math" w:cs="Times New Roman"/>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pause_spike</m:t>
                        </m:r>
                      </m:sub>
                    </m:sSub>
                  </m:sup>
                  <m:e>
                    <m:r>
                      <w:rPr>
                        <w:rFonts w:ascii="Cambria Math" w:eastAsia="Times New Roman" w:hAnsi="Cambria Math" w:cs="Times New Roman"/>
                        <w:sz w:val="20"/>
                        <w:szCs w:val="20"/>
                      </w:rPr>
                      <m:t>1</m:t>
                    </m:r>
                  </m:e>
                </m:nary>
              </m:oMath>
            </m:oMathPara>
          </w:p>
        </w:tc>
      </w:tr>
      <w:tr w:rsidR="0017005C" w:rsidRPr="005500F7" w14:paraId="412C6F76" w14:textId="77777777" w:rsidTr="00F55D8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06E15E6A" w14:textId="7A26991C" w:rsidR="00614CD1" w:rsidRPr="005500F7" w:rsidRDefault="006F2516" w:rsidP="004E3777">
            <w:pPr>
              <w:pStyle w:val="NoSpacing"/>
              <w:ind w:firstLine="0"/>
              <w:jc w:val="left"/>
              <w:rPr>
                <w:rFonts w:ascii="Aptos" w:hAnsi="Aptos" w:cs="Times New Roman"/>
                <w:sz w:val="20"/>
                <w:szCs w:val="20"/>
              </w:rPr>
            </w:pPr>
            <w:r w:rsidRPr="005500F7">
              <w:rPr>
                <w:rFonts w:ascii="Aptos" w:hAnsi="Aptos" w:cs="Times New Roman"/>
                <w:b w:val="0"/>
                <w:bCs w:val="0"/>
                <w:sz w:val="20"/>
                <w:szCs w:val="20"/>
              </w:rPr>
              <w:t>pause</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time</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proportion</w:t>
            </w:r>
          </w:p>
        </w:tc>
        <w:tc>
          <w:tcPr>
            <w:tcW w:w="2693"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0EEFABBA" w14:textId="77777777" w:rsidR="00614CD1" w:rsidRPr="005500F7" w:rsidRDefault="006F2516" w:rsidP="00614CD1">
            <w:pPr>
              <w:pStyle w:val="NoSpacing"/>
              <w:ind w:firstLine="0"/>
              <w:jc w:val="left"/>
              <w:cnfStyle w:val="000000100000" w:firstRow="0" w:lastRow="0" w:firstColumn="0" w:lastColumn="0" w:oddVBand="0" w:evenVBand="0" w:oddHBand="1"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Amount of time spent in the pause state compared to the total recording duration</w:t>
            </w:r>
          </w:p>
        </w:tc>
        <w:tc>
          <w:tcPr>
            <w:tcW w:w="4536"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3D178F20" w14:textId="35CCC307" w:rsidR="00CD0AC1" w:rsidRPr="00F55D80" w:rsidRDefault="00CD0AC1" w:rsidP="00614CD1">
            <w:pPr>
              <w:pStyle w:val="NoSpacing"/>
              <w:ind w:firstLine="0"/>
              <w:cnfStyle w:val="000000100000" w:firstRow="0" w:lastRow="0" w:firstColumn="0" w:lastColumn="0" w:oddVBand="0" w:evenVBand="0" w:oddHBand="1" w:evenHBand="0" w:firstRowFirstColumn="0" w:firstRowLastColumn="0" w:lastRowFirstColumn="0" w:lastRowLastColumn="0"/>
              <w:rPr>
                <w:rFonts w:ascii="Aptos" w:hAnsi="Aptos" w:cs="Times New Roman"/>
                <w:color w:val="auto"/>
                <w:sz w:val="20"/>
                <w:szCs w:val="20"/>
              </w:rPr>
            </w:pPr>
            <m:oMathPara>
              <m:oMath>
                <m:r>
                  <w:rPr>
                    <w:rFonts w:ascii="Cambria Math" w:hAnsi="Cambria Math" w:cs="Times New Roman"/>
                    <w:color w:val="auto"/>
                    <w:sz w:val="20"/>
                    <w:szCs w:val="20"/>
                  </w:rPr>
                  <m:t xml:space="preserve">pause time proportion= </m:t>
                </m:r>
              </m:oMath>
            </m:oMathPara>
          </w:p>
          <w:p w14:paraId="1B9BC049" w14:textId="4077557E" w:rsidR="00614CD1" w:rsidRPr="005500F7" w:rsidRDefault="00000000" w:rsidP="00614CD1">
            <w:pPr>
              <w:pStyle w:val="NoSpacing"/>
              <w:ind w:firstLine="0"/>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sz w:val="20"/>
                <w:szCs w:val="20"/>
              </w:rPr>
            </w:pPr>
            <m:oMathPara>
              <m:oMath>
                <m:f>
                  <m:fPr>
                    <m:ctrlPr>
                      <w:rPr>
                        <w:rFonts w:ascii="Cambria Math" w:hAnsi="Cambria Math" w:cs="Times New Roman"/>
                        <w:color w:val="auto"/>
                        <w:sz w:val="20"/>
                        <w:szCs w:val="20"/>
                      </w:rPr>
                    </m:ctrlPr>
                  </m:fPr>
                  <m:num>
                    <m:nary>
                      <m:naryPr>
                        <m:chr m:val="∑"/>
                        <m:limLoc m:val="undOvr"/>
                        <m:ctrlPr>
                          <w:rPr>
                            <w:rFonts w:ascii="Cambria Math" w:hAnsi="Cambria Math" w:cs="Times New Roman"/>
                            <w:color w:val="auto"/>
                            <w:sz w:val="20"/>
                            <w:szCs w:val="20"/>
                          </w:rPr>
                        </m:ctrlPr>
                      </m:naryPr>
                      <m:sub>
                        <m:r>
                          <w:rPr>
                            <w:rFonts w:ascii="Cambria Math" w:hAnsi="Cambria Math" w:cs="Times New Roman"/>
                            <w:color w:val="auto"/>
                            <w:sz w:val="20"/>
                            <w:szCs w:val="20"/>
                          </w:rPr>
                          <m:t>n=1</m:t>
                        </m:r>
                      </m:sub>
                      <m:sup>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pauses</m:t>
                            </m:r>
                          </m:sub>
                        </m:sSub>
                      </m:sup>
                      <m:e>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finis</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h</m:t>
                                </m:r>
                              </m:e>
                              <m:sub>
                                <m:r>
                                  <w:rPr>
                                    <w:rFonts w:ascii="Cambria Math" w:hAnsi="Cambria Math" w:cs="Times New Roman"/>
                                    <w:color w:val="auto"/>
                                    <w:sz w:val="20"/>
                                    <w:szCs w:val="20"/>
                                  </w:rPr>
                                  <m:t>n</m:t>
                                </m:r>
                              </m:sub>
                            </m:sSub>
                          </m:sub>
                        </m:sSub>
                        <m:r>
                          <w:rPr>
                            <w:rFonts w:ascii="Cambria Math" w:hAnsi="Cambria Math" w:cs="Times New Roman"/>
                            <w:color w:val="auto"/>
                            <w:sz w:val="20"/>
                            <w:szCs w:val="20"/>
                          </w:rPr>
                          <m:t>-</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star</m:t>
                            </m:r>
                            <m:sSub>
                              <m:sSubPr>
                                <m:ctrlPr>
                                  <w:rPr>
                                    <w:rFonts w:ascii="Cambria Math" w:hAnsi="Cambria Math" w:cs="Times New Roman"/>
                                    <w:color w:val="auto"/>
                                    <w:sz w:val="20"/>
                                    <w:szCs w:val="20"/>
                                  </w:rPr>
                                </m:ctrlPr>
                              </m:sSubPr>
                              <m:e>
                                <m:r>
                                  <w:rPr>
                                    <w:rFonts w:ascii="Cambria Math" w:hAnsi="Cambria Math" w:cs="Times New Roman"/>
                                    <w:color w:val="auto"/>
                                    <w:sz w:val="20"/>
                                    <w:szCs w:val="20"/>
                                  </w:rPr>
                                  <m:t>t</m:t>
                                </m:r>
                              </m:e>
                              <m:sub>
                                <m:r>
                                  <w:rPr>
                                    <w:rFonts w:ascii="Cambria Math" w:hAnsi="Cambria Math" w:cs="Times New Roman"/>
                                    <w:color w:val="auto"/>
                                    <w:sz w:val="20"/>
                                    <w:szCs w:val="20"/>
                                  </w:rPr>
                                  <m:t>n</m:t>
                                </m:r>
                              </m:sub>
                            </m:sSub>
                          </m:sub>
                        </m:sSub>
                        <m:r>
                          <w:rPr>
                            <w:rFonts w:ascii="Cambria Math" w:hAnsi="Cambria Math" w:cs="Times New Roman"/>
                            <w:color w:val="auto"/>
                            <w:sz w:val="20"/>
                            <w:szCs w:val="20"/>
                          </w:rPr>
                          <m:t>)</m:t>
                        </m:r>
                      </m:e>
                    </m:nary>
                  </m:num>
                  <m:den>
                    <m:sSub>
                      <m:sSubPr>
                        <m:ctrlPr>
                          <w:rPr>
                            <w:rFonts w:ascii="Cambria Math" w:hAnsi="Cambria Math" w:cs="Times New Roman"/>
                            <w:color w:val="auto"/>
                            <w:sz w:val="20"/>
                            <w:szCs w:val="20"/>
                          </w:rPr>
                        </m:ctrlPr>
                      </m:sSubPr>
                      <m:e>
                        <m:r>
                          <w:rPr>
                            <w:rFonts w:ascii="Cambria Math" w:hAnsi="Cambria Math" w:cs="Times New Roman"/>
                            <w:color w:val="auto"/>
                            <w:sz w:val="20"/>
                            <w:szCs w:val="20"/>
                          </w:rPr>
                          <m:t>τ</m:t>
                        </m:r>
                      </m:e>
                      <m:sub>
                        <m:r>
                          <w:rPr>
                            <w:rFonts w:ascii="Cambria Math" w:hAnsi="Cambria Math" w:cs="Times New Roman"/>
                            <w:color w:val="auto"/>
                            <w:sz w:val="20"/>
                            <w:szCs w:val="20"/>
                          </w:rPr>
                          <m:t>recording</m:t>
                        </m:r>
                      </m:sub>
                    </m:sSub>
                  </m:den>
                </m:f>
              </m:oMath>
            </m:oMathPara>
          </w:p>
        </w:tc>
      </w:tr>
      <w:tr w:rsidR="0017005C" w:rsidRPr="005500F7" w14:paraId="4853C8C4" w14:textId="77777777" w:rsidTr="00F55D80">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45D89C5C" w14:textId="677DD975" w:rsidR="00614CD1" w:rsidRPr="005500F7" w:rsidRDefault="006F2516" w:rsidP="004E3777">
            <w:pPr>
              <w:pStyle w:val="NoSpacing"/>
              <w:ind w:firstLine="0"/>
              <w:jc w:val="left"/>
              <w:rPr>
                <w:rFonts w:ascii="Aptos" w:hAnsi="Aptos" w:cs="Times New Roman"/>
                <w:sz w:val="20"/>
                <w:szCs w:val="20"/>
              </w:rPr>
            </w:pPr>
            <w:r w:rsidRPr="005500F7">
              <w:rPr>
                <w:rFonts w:ascii="Aptos" w:hAnsi="Aptos" w:cs="Times New Roman"/>
                <w:b w:val="0"/>
                <w:bCs w:val="0"/>
                <w:sz w:val="20"/>
                <w:szCs w:val="20"/>
              </w:rPr>
              <w:t>pause</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spike</w:t>
            </w:r>
            <w:r w:rsidR="00CD0AC1">
              <w:rPr>
                <w:rFonts w:ascii="Aptos" w:hAnsi="Aptos" w:cs="Times New Roman"/>
                <w:b w:val="0"/>
                <w:bCs w:val="0"/>
                <w:sz w:val="20"/>
                <w:szCs w:val="20"/>
              </w:rPr>
              <w:t xml:space="preserve"> </w:t>
            </w:r>
            <w:r w:rsidRPr="005500F7">
              <w:rPr>
                <w:rFonts w:ascii="Aptos" w:hAnsi="Aptos" w:cs="Times New Roman"/>
                <w:b w:val="0"/>
                <w:bCs w:val="0"/>
                <w:sz w:val="20"/>
                <w:szCs w:val="20"/>
              </w:rPr>
              <w:t>proportion</w:t>
            </w:r>
          </w:p>
        </w:tc>
        <w:tc>
          <w:tcPr>
            <w:tcW w:w="2693"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21F3569B" w14:textId="77777777" w:rsidR="00614CD1" w:rsidRPr="005500F7" w:rsidRDefault="006F2516" w:rsidP="00614CD1">
            <w:pPr>
              <w:pStyle w:val="NoSpacing"/>
              <w:ind w:firstLine="0"/>
              <w:jc w:val="left"/>
              <w:cnfStyle w:val="000000000000" w:firstRow="0" w:lastRow="0" w:firstColumn="0" w:lastColumn="0" w:oddVBand="0" w:evenVBand="0" w:oddHBand="0" w:evenHBand="0" w:firstRowFirstColumn="0" w:firstRowLastColumn="0" w:lastRowFirstColumn="0" w:lastRowLastColumn="0"/>
              <w:rPr>
                <w:rFonts w:ascii="Aptos" w:hAnsi="Aptos" w:cs="Times New Roman"/>
                <w:sz w:val="20"/>
                <w:szCs w:val="20"/>
              </w:rPr>
            </w:pPr>
            <w:r w:rsidRPr="005500F7">
              <w:rPr>
                <w:rFonts w:ascii="Aptos" w:hAnsi="Aptos" w:cs="Times New Roman"/>
                <w:sz w:val="20"/>
                <w:szCs w:val="20"/>
              </w:rPr>
              <w:t>The ratio between spikes that occurred in the pause state and the total number of spikes</w:t>
            </w:r>
          </w:p>
        </w:tc>
        <w:tc>
          <w:tcPr>
            <w:tcW w:w="4536" w:type="dxa"/>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vAlign w:val="center"/>
          </w:tcPr>
          <w:p w14:paraId="0F4E4257" w14:textId="1110B7AE" w:rsidR="00614CD1" w:rsidRPr="005500F7" w:rsidRDefault="00CD0AC1" w:rsidP="00614CD1">
            <w:pPr>
              <w:pStyle w:val="NoSpacing"/>
              <w:ind w:firstLine="0"/>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color w:val="auto"/>
                <w:sz w:val="20"/>
                <w:szCs w:val="20"/>
              </w:rPr>
            </w:pPr>
            <m:oMathPara>
              <m:oMath>
                <m:r>
                  <w:rPr>
                    <w:rFonts w:ascii="Cambria Math" w:hAnsi="Cambria Math" w:cs="Times New Roman"/>
                    <w:color w:val="auto"/>
                    <w:sz w:val="20"/>
                    <w:szCs w:val="20"/>
                  </w:rPr>
                  <m:t xml:space="preserve">pause spike proportion= </m:t>
                </m:r>
                <m:f>
                  <m:fPr>
                    <m:ctrlPr>
                      <w:rPr>
                        <w:rFonts w:ascii="Cambria Math" w:hAnsi="Cambria Math" w:cs="Times New Roman"/>
                        <w:color w:val="auto"/>
                        <w:sz w:val="20"/>
                        <w:szCs w:val="20"/>
                      </w:rPr>
                    </m:ctrlPr>
                  </m:fPr>
                  <m:num>
                    <m:sSub>
                      <m:sSubPr>
                        <m:ctrlPr>
                          <w:rPr>
                            <w:rFonts w:ascii="Cambria Math" w:hAnsi="Cambria Math" w:cs="Times New Roman"/>
                            <w:i/>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pauses</m:t>
                        </m:r>
                      </m:sub>
                    </m:sSub>
                  </m:num>
                  <m:den>
                    <m:sSub>
                      <m:sSubPr>
                        <m:ctrlPr>
                          <w:rPr>
                            <w:rFonts w:ascii="Cambria Math" w:hAnsi="Cambria Math" w:cs="Times New Roman"/>
                            <w:color w:val="auto"/>
                            <w:sz w:val="20"/>
                            <w:szCs w:val="20"/>
                          </w:rPr>
                        </m:ctrlPr>
                      </m:sSubPr>
                      <m:e>
                        <m:r>
                          <w:rPr>
                            <w:rFonts w:ascii="Cambria Math" w:hAnsi="Cambria Math" w:cs="Times New Roman"/>
                            <w:color w:val="auto"/>
                            <w:sz w:val="20"/>
                            <w:szCs w:val="20"/>
                          </w:rPr>
                          <m:t>N</m:t>
                        </m:r>
                      </m:e>
                      <m:sub>
                        <m:r>
                          <w:rPr>
                            <w:rFonts w:ascii="Cambria Math" w:hAnsi="Cambria Math" w:cs="Times New Roman"/>
                            <w:color w:val="auto"/>
                            <w:sz w:val="20"/>
                            <w:szCs w:val="20"/>
                          </w:rPr>
                          <m:t>spikes</m:t>
                        </m:r>
                      </m:sub>
                    </m:sSub>
                  </m:den>
                </m:f>
              </m:oMath>
            </m:oMathPara>
          </w:p>
        </w:tc>
      </w:tr>
    </w:tbl>
    <w:p w14:paraId="40E10167" w14:textId="77777777" w:rsidR="004E3777" w:rsidRPr="005500F7" w:rsidRDefault="004E3777" w:rsidP="004E3777">
      <w:pPr>
        <w:rPr>
          <w:rFonts w:ascii="Aptos" w:hAnsi="Aptos"/>
          <w:sz w:val="20"/>
          <w:szCs w:val="20"/>
        </w:rPr>
      </w:pPr>
    </w:p>
    <w:p w14:paraId="184E6B90" w14:textId="77777777" w:rsidR="004B51E4" w:rsidRPr="005500F7" w:rsidRDefault="006F2516" w:rsidP="004B51E4">
      <w:pPr>
        <w:pStyle w:val="Heading1"/>
        <w:rPr>
          <w:rFonts w:ascii="Aptos" w:hAnsi="Aptos"/>
          <w:sz w:val="20"/>
          <w:szCs w:val="20"/>
        </w:rPr>
      </w:pPr>
      <w:r w:rsidRPr="005500F7">
        <w:rPr>
          <w:rFonts w:ascii="Aptos" w:hAnsi="Aptos"/>
          <w:sz w:val="20"/>
          <w:szCs w:val="20"/>
        </w:rPr>
        <w:t>Effect Size Interpretation</w:t>
      </w:r>
    </w:p>
    <w:p w14:paraId="138126DE" w14:textId="40882140" w:rsidR="004B51E4" w:rsidRPr="005500F7" w:rsidRDefault="006F2516" w:rsidP="004B51E4">
      <w:pPr>
        <w:jc w:val="both"/>
        <w:rPr>
          <w:rFonts w:ascii="Aptos" w:hAnsi="Aptos"/>
          <w:sz w:val="20"/>
          <w:szCs w:val="20"/>
        </w:rPr>
      </w:pPr>
      <w:r w:rsidRPr="005500F7">
        <w:rPr>
          <w:rFonts w:ascii="Aptos" w:hAnsi="Aptos"/>
          <w:sz w:val="20"/>
          <w:szCs w:val="20"/>
        </w:rPr>
        <w:t>For the Kruskal</w:t>
      </w:r>
      <w:r w:rsidRPr="005500F7">
        <w:rPr>
          <w:rFonts w:ascii="Arial" w:hAnsi="Arial" w:cs="Arial"/>
          <w:sz w:val="20"/>
          <w:szCs w:val="20"/>
        </w:rPr>
        <w:t>‒</w:t>
      </w:r>
      <w:r w:rsidRPr="005500F7">
        <w:rPr>
          <w:rFonts w:ascii="Aptos" w:hAnsi="Aptos"/>
          <w:sz w:val="20"/>
          <w:szCs w:val="20"/>
        </w:rPr>
        <w:t>Wallis and Mann</w:t>
      </w:r>
      <w:r w:rsidRPr="005500F7">
        <w:rPr>
          <w:rFonts w:ascii="Arial" w:hAnsi="Arial" w:cs="Arial"/>
          <w:sz w:val="20"/>
          <w:szCs w:val="20"/>
        </w:rPr>
        <w:t>‒</w:t>
      </w:r>
      <w:r w:rsidRPr="005500F7">
        <w:rPr>
          <w:rFonts w:ascii="Aptos" w:hAnsi="Aptos"/>
          <w:sz w:val="20"/>
          <w:szCs w:val="20"/>
        </w:rPr>
        <w:t>Whitney U tests, we measured Cohen’s d effect size and followed general guidelines for interpreting effect size</w:t>
      </w:r>
      <w:r w:rsidRPr="005500F7">
        <w:rPr>
          <w:rFonts w:ascii="Aptos" w:hAnsi="Aptos"/>
          <w:sz w:val="20"/>
          <w:szCs w:val="20"/>
        </w:rPr>
        <w:fldChar w:fldCharType="begin"/>
      </w:r>
      <w:r w:rsidR="00FF4210">
        <w:rPr>
          <w:rFonts w:ascii="Aptos" w:hAnsi="Aptos"/>
          <w:sz w:val="20"/>
          <w:szCs w:val="20"/>
        </w:rPr>
        <w:instrText xml:space="preserve"> ADDIN ZOTERO_ITEM CSL_CITATION {"citationID":"eOU8brbe","properties":{"formattedCitation":"\\super 119,120\\nosupersub{}","plainCitation":"119,120","noteIndex":0},"citationItems":[{"id":560,"uris":["http://zotero.org/users/local/qbj29eOf/items/HGTFGQZQ"],"itemData":{"id":560,"type":"article-journal","container-title":"Journal of Experimental Psychology: General","DOI":"10.1037/a0024338","ISSN":"1939-2222, 0096-3445","issue":"1","journalAbbreviation":"Journal of Experimental Psychology: General","language":"en","page":"2-18","source":"DOI.org (Crossref)","title":"Effect size estimates: Current use, calculations, and interpretation.","title-short":"Effect size estimates","volume":"141","author":[{"family":"Fritz","given":"Catherine O."},{"family":"Morris","given":"Peter E."},{"family":"Richler","given":"Jennifer J."}],"issued":{"date-parts":[["2012"]]}},"label":"page"},{"id":561,"uris":["http://zotero.org/users/local/qbj29eOf/items/7RB4JURA"],"itemData":{"id":561,"type":"book","edition":"0","ISBN":"978-1-134-74270-7","language":"en","note":"DOI: 10.4324/9780203771587","publisher":"Routledge","source":"DOI.org (Crossref)","title":"Statistical Power Analysis for the Behavioral Sciences","URL":"https://www.taylorfrancis.com/books/9781134742707","author":[{"family":"Cohen","given":"Jacob"}],"accessed":{"date-parts":[["2023",9,22]]},"issued":{"date-parts":[["2013",5,13]]}},"label":"page"}],"schema":"https://github.com/citation-style-language/schema/raw/master/csl-citation.json"} </w:instrText>
      </w:r>
      <w:r w:rsidRPr="005500F7">
        <w:rPr>
          <w:rFonts w:ascii="Aptos" w:hAnsi="Aptos"/>
          <w:sz w:val="20"/>
          <w:szCs w:val="20"/>
        </w:rPr>
        <w:fldChar w:fldCharType="separate"/>
      </w:r>
      <w:r w:rsidR="00FF4210" w:rsidRPr="00FF4210">
        <w:rPr>
          <w:rFonts w:ascii="Aptos" w:hAnsi="Aptos" w:cs="Times New Roman"/>
          <w:sz w:val="20"/>
          <w:vertAlign w:val="superscript"/>
        </w:rPr>
        <w:t>119,120</w:t>
      </w:r>
      <w:r w:rsidRPr="005500F7">
        <w:rPr>
          <w:rFonts w:ascii="Aptos" w:hAnsi="Aptos"/>
          <w:sz w:val="20"/>
          <w:szCs w:val="20"/>
        </w:rPr>
        <w:fldChar w:fldCharType="end"/>
      </w:r>
      <w:r w:rsidRPr="005500F7">
        <w:rPr>
          <w:rFonts w:ascii="Aptos" w:hAnsi="Aptos"/>
          <w:sz w:val="20"/>
          <w:szCs w:val="20"/>
        </w:rPr>
        <w:t>:</w:t>
      </w:r>
    </w:p>
    <w:p w14:paraId="6980DC02" w14:textId="77777777" w:rsidR="00B87F2F" w:rsidRDefault="006F2516" w:rsidP="007779E7">
      <w:pPr>
        <w:pStyle w:val="ListParagraph"/>
        <w:numPr>
          <w:ilvl w:val="0"/>
          <w:numId w:val="26"/>
        </w:numPr>
        <w:rPr>
          <w:rFonts w:ascii="Aptos" w:hAnsi="Aptos"/>
          <w:sz w:val="20"/>
          <w:szCs w:val="20"/>
        </w:rPr>
      </w:pPr>
      <w:r w:rsidRPr="005500F7">
        <w:rPr>
          <w:rFonts w:ascii="Aptos" w:hAnsi="Aptos"/>
          <w:sz w:val="20"/>
          <w:szCs w:val="20"/>
        </w:rPr>
        <w:t>0.2 ≤small effect&lt;0.5</w:t>
      </w:r>
      <w:r w:rsidR="007779E7" w:rsidRPr="005500F7">
        <w:rPr>
          <w:rFonts w:ascii="Aptos" w:hAnsi="Aptos"/>
          <w:sz w:val="20"/>
          <w:szCs w:val="20"/>
        </w:rPr>
        <w:t xml:space="preserve"> </w:t>
      </w:r>
    </w:p>
    <w:p w14:paraId="4FE2D11E" w14:textId="77777777" w:rsidR="00B87F2F" w:rsidRDefault="006F2516" w:rsidP="007779E7">
      <w:pPr>
        <w:pStyle w:val="ListParagraph"/>
        <w:numPr>
          <w:ilvl w:val="0"/>
          <w:numId w:val="26"/>
        </w:numPr>
        <w:rPr>
          <w:rFonts w:ascii="Aptos" w:hAnsi="Aptos"/>
          <w:sz w:val="20"/>
          <w:szCs w:val="20"/>
        </w:rPr>
      </w:pPr>
      <w:r w:rsidRPr="005500F7">
        <w:rPr>
          <w:rFonts w:ascii="Aptos" w:hAnsi="Aptos"/>
          <w:sz w:val="20"/>
          <w:szCs w:val="20"/>
        </w:rPr>
        <w:t>0.5≤medium effect&lt;0.8</w:t>
      </w:r>
      <w:r w:rsidR="007779E7" w:rsidRPr="005500F7">
        <w:rPr>
          <w:rFonts w:ascii="Aptos" w:hAnsi="Aptos"/>
          <w:sz w:val="20"/>
          <w:szCs w:val="20"/>
        </w:rPr>
        <w:t xml:space="preserve"> </w:t>
      </w:r>
    </w:p>
    <w:p w14:paraId="11CB1DC0" w14:textId="5CF220D7" w:rsidR="004B51E4" w:rsidRPr="005500F7" w:rsidRDefault="006F2516" w:rsidP="007779E7">
      <w:pPr>
        <w:pStyle w:val="ListParagraph"/>
        <w:numPr>
          <w:ilvl w:val="0"/>
          <w:numId w:val="26"/>
        </w:numPr>
        <w:rPr>
          <w:rFonts w:ascii="Aptos" w:hAnsi="Aptos"/>
          <w:sz w:val="20"/>
          <w:szCs w:val="20"/>
        </w:rPr>
      </w:pPr>
      <w:r w:rsidRPr="005500F7">
        <w:rPr>
          <w:rFonts w:ascii="Aptos" w:hAnsi="Aptos"/>
          <w:sz w:val="20"/>
          <w:szCs w:val="20"/>
        </w:rPr>
        <w:t>0.8≥large effect</w:t>
      </w:r>
    </w:p>
    <w:p w14:paraId="384116FB" w14:textId="3C50A210" w:rsidR="004B51E4" w:rsidRPr="005500F7" w:rsidRDefault="006F2516" w:rsidP="004B51E4">
      <w:pPr>
        <w:jc w:val="both"/>
        <w:rPr>
          <w:rFonts w:ascii="Aptos" w:hAnsi="Aptos"/>
          <w:sz w:val="20"/>
          <w:szCs w:val="20"/>
        </w:rPr>
      </w:pPr>
      <w:r w:rsidRPr="005500F7">
        <w:rPr>
          <w:rFonts w:ascii="Aptos" w:hAnsi="Aptos"/>
          <w:sz w:val="20"/>
          <w:szCs w:val="20"/>
        </w:rPr>
        <w:t xml:space="preserve">For the chi-square test, we utilized Cramer’s v as the effect size metric, which falls within the range of 0 to 1. We followed these ranges </w:t>
      </w:r>
      <w:r w:rsidR="005500F7" w:rsidRPr="005500F7">
        <w:rPr>
          <w:rFonts w:ascii="Aptos" w:hAnsi="Aptos"/>
          <w:sz w:val="20"/>
          <w:szCs w:val="20"/>
        </w:rPr>
        <w:t>to interpret</w:t>
      </w:r>
      <w:r w:rsidRPr="005500F7">
        <w:rPr>
          <w:rFonts w:ascii="Aptos" w:hAnsi="Aptos"/>
          <w:sz w:val="20"/>
          <w:szCs w:val="20"/>
        </w:rPr>
        <w:t xml:space="preserve"> the effect size</w:t>
      </w:r>
      <w:r w:rsidRPr="005500F7">
        <w:rPr>
          <w:rFonts w:ascii="Aptos" w:hAnsi="Aptos"/>
          <w:sz w:val="20"/>
          <w:szCs w:val="20"/>
        </w:rPr>
        <w:fldChar w:fldCharType="begin"/>
      </w:r>
      <w:r w:rsidR="00FF4210">
        <w:rPr>
          <w:rFonts w:ascii="Aptos" w:hAnsi="Aptos"/>
          <w:sz w:val="20"/>
          <w:szCs w:val="20"/>
        </w:rPr>
        <w:instrText xml:space="preserve"> ADDIN ZOTERO_ITEM CSL_CITATION {"citationID":"jvuUpeeI","properties":{"formattedCitation":"\\super 120\\nosupersub{}","plainCitation":"120","noteIndex":0},"citationItems":[{"id":561,"uris":["http://zotero.org/users/local/qbj29eOf/items/7RB4JURA"],"itemData":{"id":561,"type":"book","edition":"0","ISBN":"978-1-134-74270-7","language":"en","note":"DOI: 10.4324/9780203771587","publisher":"Routledge","source":"DOI.org (Crossref)","title":"Statistical Power Analysis for the Behavioral Sciences","URL":"https://www.taylorfrancis.com/books/9781134742707","author":[{"family":"Cohen","given":"Jacob"}],"accessed":{"date-parts":[["2023",9,22]]},"issued":{"date-parts":[["2013",5,13]]}}}],"schema":"https://github.com/citation-style-language/schema/raw/master/csl-citation.json"} </w:instrText>
      </w:r>
      <w:r w:rsidRPr="005500F7">
        <w:rPr>
          <w:rFonts w:ascii="Aptos" w:hAnsi="Aptos"/>
          <w:sz w:val="20"/>
          <w:szCs w:val="20"/>
        </w:rPr>
        <w:fldChar w:fldCharType="separate"/>
      </w:r>
      <w:r w:rsidR="00FF4210" w:rsidRPr="00FF4210">
        <w:rPr>
          <w:rFonts w:ascii="Aptos" w:hAnsi="Aptos" w:cs="Times New Roman"/>
          <w:sz w:val="20"/>
          <w:vertAlign w:val="superscript"/>
        </w:rPr>
        <w:t>120</w:t>
      </w:r>
      <w:r w:rsidRPr="005500F7">
        <w:rPr>
          <w:rFonts w:ascii="Aptos" w:hAnsi="Aptos"/>
          <w:sz w:val="20"/>
          <w:szCs w:val="20"/>
        </w:rPr>
        <w:fldChar w:fldCharType="end"/>
      </w:r>
      <w:r w:rsidRPr="005500F7">
        <w:rPr>
          <w:rFonts w:ascii="Aptos" w:hAnsi="Aptos"/>
          <w:sz w:val="20"/>
          <w:szCs w:val="20"/>
        </w:rPr>
        <w:t>:</w:t>
      </w:r>
    </w:p>
    <w:p w14:paraId="2F221B05" w14:textId="77777777" w:rsidR="00B87F2F" w:rsidRDefault="007779E7" w:rsidP="007779E7">
      <w:pPr>
        <w:pStyle w:val="ListParagraph"/>
        <w:numPr>
          <w:ilvl w:val="0"/>
          <w:numId w:val="27"/>
        </w:numPr>
        <w:rPr>
          <w:rFonts w:ascii="Aptos" w:hAnsi="Aptos"/>
          <w:sz w:val="20"/>
          <w:szCs w:val="20"/>
        </w:rPr>
      </w:pPr>
      <w:r w:rsidRPr="005500F7">
        <w:rPr>
          <w:rFonts w:ascii="Aptos" w:hAnsi="Aptos"/>
          <w:sz w:val="20"/>
          <w:szCs w:val="20"/>
        </w:rPr>
        <w:t>s</w:t>
      </w:r>
      <w:r w:rsidR="006F2516" w:rsidRPr="005500F7">
        <w:rPr>
          <w:rFonts w:ascii="Aptos" w:hAnsi="Aptos"/>
          <w:sz w:val="20"/>
          <w:szCs w:val="20"/>
        </w:rPr>
        <w:t>mall effect&lt;0.15</w:t>
      </w:r>
      <w:r w:rsidRPr="005500F7">
        <w:rPr>
          <w:rFonts w:ascii="Aptos" w:hAnsi="Aptos"/>
          <w:sz w:val="20"/>
          <w:szCs w:val="20"/>
        </w:rPr>
        <w:t xml:space="preserve"> </w:t>
      </w:r>
    </w:p>
    <w:p w14:paraId="37A4A8E9" w14:textId="77777777" w:rsidR="00B87F2F" w:rsidRDefault="006F2516" w:rsidP="007779E7">
      <w:pPr>
        <w:pStyle w:val="ListParagraph"/>
        <w:numPr>
          <w:ilvl w:val="0"/>
          <w:numId w:val="27"/>
        </w:numPr>
        <w:rPr>
          <w:rFonts w:ascii="Aptos" w:hAnsi="Aptos"/>
          <w:sz w:val="20"/>
          <w:szCs w:val="20"/>
        </w:rPr>
      </w:pPr>
      <w:r w:rsidRPr="005500F7">
        <w:rPr>
          <w:rFonts w:ascii="Aptos" w:hAnsi="Aptos"/>
          <w:sz w:val="20"/>
          <w:szCs w:val="20"/>
        </w:rPr>
        <w:t>0.15≤medium effect&lt;0.25</w:t>
      </w:r>
      <w:r w:rsidR="007779E7" w:rsidRPr="005500F7">
        <w:rPr>
          <w:rFonts w:ascii="Aptos" w:hAnsi="Aptos"/>
          <w:sz w:val="20"/>
          <w:szCs w:val="20"/>
        </w:rPr>
        <w:t xml:space="preserve"> </w:t>
      </w:r>
    </w:p>
    <w:p w14:paraId="58905EE6" w14:textId="2ACDE3B0" w:rsidR="004B51E4" w:rsidRDefault="007779E7" w:rsidP="007779E7">
      <w:pPr>
        <w:pStyle w:val="ListParagraph"/>
        <w:numPr>
          <w:ilvl w:val="0"/>
          <w:numId w:val="27"/>
        </w:numPr>
        <w:rPr>
          <w:rFonts w:ascii="Aptos" w:hAnsi="Aptos"/>
          <w:sz w:val="20"/>
          <w:szCs w:val="20"/>
        </w:rPr>
      </w:pPr>
      <w:r w:rsidRPr="005500F7">
        <w:rPr>
          <w:rFonts w:ascii="Aptos" w:hAnsi="Aptos"/>
          <w:sz w:val="20"/>
          <w:szCs w:val="20"/>
        </w:rPr>
        <w:t>large effect</w:t>
      </w:r>
      <w:r w:rsidR="006F2516" w:rsidRPr="005500F7">
        <w:rPr>
          <w:rFonts w:ascii="Aptos" w:hAnsi="Aptos"/>
          <w:sz w:val="20"/>
          <w:szCs w:val="20"/>
        </w:rPr>
        <w:t xml:space="preserve"> ≥0.25 </w:t>
      </w:r>
    </w:p>
    <w:p w14:paraId="5F94522D" w14:textId="77777777" w:rsidR="005500F7" w:rsidRDefault="005500F7" w:rsidP="005500F7">
      <w:pPr>
        <w:rPr>
          <w:rFonts w:ascii="Aptos" w:hAnsi="Aptos"/>
          <w:sz w:val="20"/>
          <w:szCs w:val="20"/>
        </w:rPr>
      </w:pPr>
    </w:p>
    <w:p w14:paraId="5A2E4357" w14:textId="77777777" w:rsidR="005500F7" w:rsidRDefault="005500F7" w:rsidP="005500F7">
      <w:pPr>
        <w:rPr>
          <w:rFonts w:ascii="Aptos" w:hAnsi="Aptos"/>
          <w:sz w:val="20"/>
          <w:szCs w:val="20"/>
        </w:rPr>
      </w:pPr>
    </w:p>
    <w:p w14:paraId="429E63EF" w14:textId="0A361EBD" w:rsidR="00427380" w:rsidRDefault="00427380">
      <w:pPr>
        <w:rPr>
          <w:rFonts w:ascii="Aptos" w:hAnsi="Aptos"/>
          <w:sz w:val="20"/>
          <w:szCs w:val="20"/>
        </w:rPr>
      </w:pPr>
      <w:r>
        <w:rPr>
          <w:rFonts w:ascii="Aptos" w:hAnsi="Aptos"/>
          <w:sz w:val="20"/>
          <w:szCs w:val="20"/>
        </w:rPr>
        <w:br w:type="page"/>
      </w:r>
    </w:p>
    <w:p w14:paraId="35957F43" w14:textId="77777777" w:rsidR="00BB6A15" w:rsidRPr="005500F7" w:rsidRDefault="006F2516" w:rsidP="00BB6A15">
      <w:pPr>
        <w:pStyle w:val="Heading1"/>
        <w:rPr>
          <w:rFonts w:ascii="Aptos" w:hAnsi="Aptos"/>
          <w:sz w:val="20"/>
          <w:szCs w:val="20"/>
        </w:rPr>
      </w:pPr>
      <w:r w:rsidRPr="005500F7">
        <w:rPr>
          <w:rFonts w:ascii="Aptos" w:hAnsi="Aptos"/>
          <w:sz w:val="20"/>
          <w:szCs w:val="20"/>
        </w:rPr>
        <w:lastRenderedPageBreak/>
        <w:t>Neural Feature Categories</w:t>
      </w:r>
    </w:p>
    <w:p w14:paraId="434001C9" w14:textId="77777777" w:rsidR="00A0527A" w:rsidRPr="005500F7" w:rsidRDefault="006F2516" w:rsidP="00A0527A">
      <w:pPr>
        <w:rPr>
          <w:rFonts w:ascii="Aptos" w:hAnsi="Aptos"/>
          <w:sz w:val="20"/>
          <w:szCs w:val="20"/>
        </w:rPr>
      </w:pPr>
      <w:r w:rsidRPr="005500F7">
        <w:rPr>
          <w:rFonts w:ascii="Aptos" w:hAnsi="Aptos"/>
          <w:sz w:val="20"/>
          <w:szCs w:val="20"/>
        </w:rPr>
        <w:t>We categorized the neural features based on their association with a specific neural phenomenon for several analyses.</w:t>
      </w:r>
    </w:p>
    <w:p w14:paraId="09914AB3" w14:textId="587A221B" w:rsidR="00BB6A15" w:rsidRPr="005500F7" w:rsidRDefault="00E345AE" w:rsidP="00A0527A">
      <w:pPr>
        <w:jc w:val="both"/>
        <w:rPr>
          <w:rFonts w:ascii="Aptos" w:hAnsi="Aptos"/>
          <w:b/>
          <w:bCs/>
          <w:sz w:val="20"/>
          <w:szCs w:val="20"/>
        </w:rPr>
      </w:pPr>
      <w:r w:rsidRPr="005500F7">
        <w:rPr>
          <w:rFonts w:ascii="Aptos" w:hAnsi="Aptos"/>
          <w:b/>
          <w:bCs/>
          <w:sz w:val="20"/>
          <w:szCs w:val="20"/>
        </w:rPr>
        <w:t xml:space="preserve">Supplementary Table </w:t>
      </w:r>
      <w:r w:rsidR="00705731">
        <w:rPr>
          <w:rFonts w:ascii="Aptos" w:hAnsi="Aptos"/>
          <w:b/>
          <w:bCs/>
          <w:sz w:val="20"/>
          <w:szCs w:val="20"/>
        </w:rPr>
        <w:t>7.</w:t>
      </w:r>
      <w:r w:rsidRPr="005500F7">
        <w:rPr>
          <w:rFonts w:ascii="Aptos" w:hAnsi="Aptos"/>
          <w:b/>
          <w:bCs/>
          <w:sz w:val="20"/>
          <w:szCs w:val="20"/>
        </w:rPr>
        <w:t xml:space="preserve"> Neural features and the neural phenomena </w:t>
      </w:r>
      <w:r w:rsidR="006F2516" w:rsidRPr="005500F7">
        <w:rPr>
          <w:rFonts w:ascii="Aptos" w:hAnsi="Aptos"/>
          <w:b/>
          <w:bCs/>
          <w:sz w:val="20"/>
          <w:szCs w:val="20"/>
        </w:rPr>
        <w:t xml:space="preserve">associated with </w:t>
      </w:r>
      <w:r w:rsidR="007779E7" w:rsidRPr="005500F7">
        <w:rPr>
          <w:rFonts w:ascii="Aptos" w:hAnsi="Aptos"/>
          <w:b/>
          <w:bCs/>
          <w:sz w:val="20"/>
          <w:szCs w:val="20"/>
        </w:rPr>
        <w:t>them.</w:t>
      </w:r>
    </w:p>
    <w:tbl>
      <w:tblPr>
        <w:tblStyle w:val="TableGrid"/>
        <w:tblW w:w="0" w:type="auto"/>
        <w:jc w:val="center"/>
        <w:tblLook w:val="04A0" w:firstRow="1" w:lastRow="0" w:firstColumn="1" w:lastColumn="0" w:noHBand="0" w:noVBand="1"/>
      </w:tblPr>
      <w:tblGrid>
        <w:gridCol w:w="2819"/>
        <w:gridCol w:w="1525"/>
        <w:gridCol w:w="1286"/>
        <w:gridCol w:w="1032"/>
        <w:gridCol w:w="1317"/>
        <w:gridCol w:w="1066"/>
      </w:tblGrid>
      <w:tr w:rsidR="007779E7" w:rsidRPr="005500F7" w14:paraId="624DA3FB" w14:textId="77777777" w:rsidTr="00855BFE">
        <w:trPr>
          <w:trHeight w:val="278"/>
          <w:jc w:val="center"/>
        </w:trPr>
        <w:tc>
          <w:tcPr>
            <w:tcW w:w="2819"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25EB5DDD" w14:textId="77777777" w:rsidR="007779E7" w:rsidRPr="005500F7" w:rsidRDefault="007779E7" w:rsidP="009A5B7D">
            <w:pPr>
              <w:pStyle w:val="NoSpacing"/>
              <w:ind w:firstLine="0"/>
              <w:jc w:val="center"/>
              <w:rPr>
                <w:rFonts w:ascii="Aptos" w:hAnsi="Aptos" w:cs="Times New Roman"/>
                <w:sz w:val="20"/>
                <w:szCs w:val="20"/>
              </w:rPr>
            </w:pPr>
            <w:bookmarkStart w:id="7" w:name="_Hlk147237508"/>
            <w:r w:rsidRPr="005500F7">
              <w:rPr>
                <w:rFonts w:ascii="Aptos" w:hAnsi="Aptos" w:cs="Times New Roman"/>
                <w:b/>
                <w:sz w:val="20"/>
                <w:szCs w:val="20"/>
              </w:rPr>
              <w:t>Neural Feature</w:t>
            </w:r>
          </w:p>
        </w:tc>
        <w:tc>
          <w:tcPr>
            <w:tcW w:w="1525"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517CC0E6" w14:textId="19BBFC95" w:rsidR="007779E7" w:rsidRPr="005500F7" w:rsidRDefault="007779E7" w:rsidP="00112247">
            <w:pPr>
              <w:pStyle w:val="NoSpacing"/>
              <w:ind w:firstLine="0"/>
              <w:jc w:val="center"/>
              <w:rPr>
                <w:rFonts w:ascii="Aptos" w:hAnsi="Aptos" w:cs="Times New Roman"/>
                <w:b/>
                <w:sz w:val="20"/>
                <w:szCs w:val="20"/>
              </w:rPr>
            </w:pPr>
            <w:r w:rsidRPr="005500F7">
              <w:rPr>
                <w:rFonts w:ascii="Aptos" w:hAnsi="Aptos" w:cs="Times New Roman"/>
                <w:b/>
                <w:sz w:val="20"/>
                <w:szCs w:val="20"/>
              </w:rPr>
              <w:t>Regularity</w:t>
            </w:r>
          </w:p>
        </w:tc>
        <w:tc>
          <w:tcPr>
            <w:tcW w:w="1286"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3A011AAF" w14:textId="5C8948D5" w:rsidR="007779E7" w:rsidRPr="005500F7" w:rsidRDefault="007779E7" w:rsidP="00112247">
            <w:pPr>
              <w:pStyle w:val="NoSpacing"/>
              <w:ind w:firstLine="0"/>
              <w:jc w:val="center"/>
              <w:rPr>
                <w:rFonts w:ascii="Aptos" w:hAnsi="Aptos" w:cs="Times New Roman"/>
                <w:b/>
                <w:sz w:val="20"/>
                <w:szCs w:val="20"/>
              </w:rPr>
            </w:pPr>
            <w:r w:rsidRPr="005500F7">
              <w:rPr>
                <w:rFonts w:ascii="Aptos" w:hAnsi="Aptos" w:cs="Times New Roman"/>
                <w:b/>
                <w:sz w:val="20"/>
                <w:szCs w:val="20"/>
              </w:rPr>
              <w:t>Bursts</w:t>
            </w:r>
          </w:p>
        </w:tc>
        <w:tc>
          <w:tcPr>
            <w:tcW w:w="1032" w:type="dxa"/>
            <w:tcBorders>
              <w:top w:val="single" w:sz="4" w:space="0" w:color="FFFFFF" w:themeColor="background1"/>
              <w:left w:val="single" w:sz="4" w:space="0" w:color="FFFFFF" w:themeColor="background1"/>
              <w:bottom w:val="single" w:sz="12" w:space="0" w:color="auto"/>
              <w:right w:val="single" w:sz="12" w:space="0" w:color="FFFFFF" w:themeColor="background1"/>
            </w:tcBorders>
            <w:vAlign w:val="center"/>
          </w:tcPr>
          <w:p w14:paraId="57699153" w14:textId="20970436" w:rsidR="007779E7" w:rsidRPr="005500F7" w:rsidRDefault="007779E7" w:rsidP="009A5B7D">
            <w:pPr>
              <w:pStyle w:val="NoSpacing"/>
              <w:ind w:firstLine="0"/>
              <w:jc w:val="center"/>
              <w:rPr>
                <w:rFonts w:ascii="Aptos" w:hAnsi="Aptos" w:cs="Times New Roman"/>
                <w:b/>
                <w:sz w:val="20"/>
                <w:szCs w:val="20"/>
              </w:rPr>
            </w:pPr>
            <w:r w:rsidRPr="005500F7">
              <w:rPr>
                <w:rFonts w:ascii="Aptos" w:hAnsi="Aptos" w:cs="Times New Roman"/>
                <w:b/>
                <w:sz w:val="20"/>
                <w:szCs w:val="20"/>
              </w:rPr>
              <w:t>Pauses</w:t>
            </w:r>
          </w:p>
        </w:tc>
        <w:tc>
          <w:tcPr>
            <w:tcW w:w="1241"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07F9109F" w14:textId="7B69B022" w:rsidR="007779E7" w:rsidRPr="005500F7" w:rsidRDefault="007779E7" w:rsidP="009A5B7D">
            <w:pPr>
              <w:pStyle w:val="NoSpacing"/>
              <w:ind w:firstLine="0"/>
              <w:jc w:val="center"/>
              <w:rPr>
                <w:rFonts w:ascii="Aptos" w:hAnsi="Aptos" w:cs="Times New Roman"/>
                <w:b/>
                <w:sz w:val="20"/>
                <w:szCs w:val="20"/>
              </w:rPr>
            </w:pPr>
            <w:r w:rsidRPr="005500F7">
              <w:rPr>
                <w:rFonts w:ascii="Aptos" w:hAnsi="Aptos" w:cs="Times New Roman"/>
                <w:b/>
                <w:sz w:val="20"/>
                <w:szCs w:val="20"/>
              </w:rPr>
              <w:t>Oscillations</w:t>
            </w:r>
          </w:p>
        </w:tc>
        <w:tc>
          <w:tcPr>
            <w:tcW w:w="1066"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78FF53B6" w14:textId="77777777" w:rsidR="007779E7" w:rsidRPr="005500F7" w:rsidRDefault="007779E7" w:rsidP="009A5B7D">
            <w:pPr>
              <w:pStyle w:val="NoSpacing"/>
              <w:ind w:firstLine="0"/>
              <w:jc w:val="center"/>
              <w:rPr>
                <w:rFonts w:ascii="Aptos" w:hAnsi="Aptos" w:cs="Times New Roman"/>
                <w:b/>
                <w:sz w:val="20"/>
                <w:szCs w:val="20"/>
              </w:rPr>
            </w:pPr>
            <w:r w:rsidRPr="005500F7">
              <w:rPr>
                <w:rFonts w:ascii="Aptos" w:hAnsi="Aptos" w:cs="Times New Roman"/>
                <w:b/>
                <w:sz w:val="20"/>
                <w:szCs w:val="20"/>
              </w:rPr>
              <w:t>Pattern</w:t>
            </w:r>
          </w:p>
        </w:tc>
      </w:tr>
      <w:tr w:rsidR="007779E7" w:rsidRPr="005500F7" w14:paraId="7569F51A" w14:textId="77777777" w:rsidTr="007779E7">
        <w:trPr>
          <w:jc w:val="center"/>
        </w:trPr>
        <w:tc>
          <w:tcPr>
            <w:tcW w:w="2819" w:type="dxa"/>
            <w:tcBorders>
              <w:top w:val="single" w:sz="12" w:space="0" w:color="auto"/>
              <w:left w:val="single" w:sz="4" w:space="0" w:color="FFFFFF" w:themeColor="background1"/>
              <w:bottom w:val="single" w:sz="4" w:space="0" w:color="FFFFFF" w:themeColor="background1"/>
              <w:right w:val="single" w:sz="4" w:space="0" w:color="FFFFFF" w:themeColor="background1"/>
            </w:tcBorders>
            <w:vAlign w:val="center"/>
          </w:tcPr>
          <w:p w14:paraId="5798BE35" w14:textId="49633A91"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firing</w:t>
            </w:r>
            <w:r w:rsidR="00500008">
              <w:rPr>
                <w:rFonts w:ascii="Aptos" w:hAnsi="Aptos" w:cs="Times New Roman"/>
                <w:sz w:val="20"/>
                <w:szCs w:val="20"/>
              </w:rPr>
              <w:t xml:space="preserve"> </w:t>
            </w:r>
            <w:r w:rsidRPr="005500F7">
              <w:rPr>
                <w:rFonts w:ascii="Aptos" w:hAnsi="Aptos" w:cs="Times New Roman"/>
                <w:sz w:val="20"/>
                <w:szCs w:val="20"/>
              </w:rPr>
              <w:t>rate</w:t>
            </w:r>
          </w:p>
        </w:tc>
        <w:tc>
          <w:tcPr>
            <w:tcW w:w="1525"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19C5D1EB"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5512F5F8"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5372FD84"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7D74834C"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79DDEC59"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40C96255"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CECDE2D" w14:textId="7ECABAE4"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firing</w:t>
            </w:r>
            <w:r w:rsidR="00500008">
              <w:rPr>
                <w:rFonts w:ascii="Aptos" w:hAnsi="Aptos" w:cs="Times New Roman"/>
                <w:sz w:val="20"/>
                <w:szCs w:val="20"/>
              </w:rPr>
              <w:t xml:space="preserve"> </w:t>
            </w:r>
            <w:r w:rsidRPr="005500F7">
              <w:rPr>
                <w:rFonts w:ascii="Aptos" w:hAnsi="Aptos" w:cs="Times New Roman"/>
                <w:sz w:val="20"/>
                <w:szCs w:val="20"/>
              </w:rPr>
              <w:t>regularity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146EBE"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E93561"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B1B995"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295FF9"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539AF1"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4C1142E0"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CE3C69" w14:textId="77777777"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cv</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F04057"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E12C4A"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6CCEE6"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4A3A5B"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AD5EA5"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12255492"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3F6BCF" w14:textId="77777777"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lv</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17CC47"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047EBB"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7EBBF4"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FD4852"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CC52FA"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7B783578"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2A319E" w14:textId="4270C473"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isi</w:t>
            </w:r>
            <w:r w:rsidR="00500008">
              <w:rPr>
                <w:rFonts w:ascii="Aptos" w:hAnsi="Aptos" w:cs="Times New Roman"/>
                <w:sz w:val="20"/>
                <w:szCs w:val="20"/>
              </w:rPr>
              <w:t xml:space="preserve"> </w:t>
            </w:r>
            <w:r w:rsidRPr="005500F7">
              <w:rPr>
                <w:rFonts w:ascii="Aptos" w:hAnsi="Aptos" w:cs="Times New Roman"/>
                <w:sz w:val="20"/>
                <w:szCs w:val="20"/>
              </w:rPr>
              <w:t>mean</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BE464E"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9BD1E4"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CFCA1B"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894313"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DF24DD"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0FF5E02C"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A845B6" w14:textId="7B2D40EC"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isi</w:t>
            </w:r>
            <w:r w:rsidR="00500008">
              <w:rPr>
                <w:rFonts w:ascii="Aptos" w:hAnsi="Aptos" w:cs="Times New Roman"/>
                <w:sz w:val="20"/>
                <w:szCs w:val="20"/>
              </w:rPr>
              <w:t xml:space="preserve"> </w:t>
            </w:r>
            <w:r w:rsidRPr="005500F7">
              <w:rPr>
                <w:rFonts w:ascii="Aptos" w:hAnsi="Aptos" w:cs="Times New Roman"/>
                <w:sz w:val="20"/>
                <w:szCs w:val="20"/>
              </w:rPr>
              <w:t>std</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87408A"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C3DDC7"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1FE77E"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00C28F"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34D678"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5DBB5A56"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A5B666" w14:textId="12209313"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isi</w:t>
            </w:r>
            <w:r w:rsidR="00500008">
              <w:rPr>
                <w:rFonts w:ascii="Aptos" w:hAnsi="Aptos" w:cs="Times New Roman"/>
                <w:sz w:val="20"/>
                <w:szCs w:val="20"/>
              </w:rPr>
              <w:t xml:space="preserve"> </w:t>
            </w:r>
            <w:r w:rsidRPr="005500F7">
              <w:rPr>
                <w:rFonts w:ascii="Aptos" w:hAnsi="Aptos" w:cs="Times New Roman"/>
                <w:sz w:val="20"/>
                <w:szCs w:val="20"/>
              </w:rPr>
              <w:t>skewness</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534CA7"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B0AE8F"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258296"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0F77C8"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72EB7B"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4A5E9A1B"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85894E" w14:textId="06B704C4"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isi</w:t>
            </w:r>
            <w:r w:rsidR="00500008">
              <w:rPr>
                <w:rFonts w:ascii="Aptos" w:hAnsi="Aptos" w:cs="Times New Roman"/>
                <w:sz w:val="20"/>
                <w:szCs w:val="20"/>
              </w:rPr>
              <w:t xml:space="preserve"> </w:t>
            </w:r>
            <w:r w:rsidRPr="005500F7">
              <w:rPr>
                <w:rFonts w:ascii="Aptos" w:hAnsi="Aptos" w:cs="Times New Roman"/>
                <w:sz w:val="20"/>
                <w:szCs w:val="20"/>
              </w:rPr>
              <w:t>rho</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F15D09"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8B0B18"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3575FA"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FBE4FD"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8CB0C6"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7666958F"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4AD627" w14:textId="363E83E8"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pause</w:t>
            </w:r>
            <w:r w:rsidR="00500008">
              <w:rPr>
                <w:rFonts w:ascii="Aptos" w:hAnsi="Aptos" w:cs="Times New Roman"/>
                <w:sz w:val="20"/>
                <w:szCs w:val="20"/>
              </w:rPr>
              <w:t xml:space="preserve"> </w:t>
            </w:r>
            <w:r w:rsidRPr="005500F7">
              <w:rPr>
                <w:rFonts w:ascii="Aptos" w:hAnsi="Aptos" w:cs="Times New Roman"/>
                <w:sz w:val="20"/>
                <w:szCs w:val="20"/>
              </w:rPr>
              <w:t>index</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064F91"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272665"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F8DDC9"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6153D8"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DA478F"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0F559730"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8847FDD" w14:textId="175737AC"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pause</w:t>
            </w:r>
            <w:r w:rsidR="00500008">
              <w:rPr>
                <w:rFonts w:ascii="Aptos" w:hAnsi="Aptos" w:cs="Times New Roman"/>
                <w:sz w:val="20"/>
                <w:szCs w:val="20"/>
              </w:rPr>
              <w:t xml:space="preserve"> </w:t>
            </w:r>
            <w:r w:rsidRPr="005500F7">
              <w:rPr>
                <w:rFonts w:ascii="Aptos" w:hAnsi="Aptos" w:cs="Times New Roman"/>
                <w:sz w:val="20"/>
                <w:szCs w:val="20"/>
              </w:rPr>
              <w:t>ratio</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2A374B"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983BAB"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36000A"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AC4F36"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677A5A"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5FFF685F"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95C7EE" w14:textId="07FF738A"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asymmetry</w:t>
            </w:r>
            <w:r w:rsidR="00500008">
              <w:rPr>
                <w:rFonts w:ascii="Aptos" w:hAnsi="Aptos" w:cs="Times New Roman"/>
                <w:sz w:val="20"/>
                <w:szCs w:val="20"/>
              </w:rPr>
              <w:t xml:space="preserve"> </w:t>
            </w:r>
            <w:r w:rsidRPr="005500F7">
              <w:rPr>
                <w:rFonts w:ascii="Aptos" w:hAnsi="Aptos" w:cs="Times New Roman"/>
                <w:sz w:val="20"/>
                <w:szCs w:val="20"/>
              </w:rPr>
              <w:t>index</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23D7D7"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C3FE6"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CC50DE"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472738"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B86FA0"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7A559F90"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453F307" w14:textId="6E00357E"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tonic</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9F50AD"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6BD5D"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FB5B52"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EB3E04"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B70880"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697492AB"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D74B3A" w14:textId="1911241A"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irregular</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6DC9E8"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E7C151"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F019F6"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20F4E4"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5FB8D9"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r>
      <w:tr w:rsidR="007779E7" w:rsidRPr="005500F7" w14:paraId="468EAEE5"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2B8A7B" w14:textId="41A2C0B4"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burst</w:t>
            </w:r>
            <w:r w:rsidR="00500008">
              <w:rPr>
                <w:rFonts w:ascii="Aptos" w:hAnsi="Aptos" w:cs="Times New Roman"/>
                <w:sz w:val="20"/>
                <w:szCs w:val="20"/>
              </w:rPr>
              <w:t xml:space="preserve"> </w:t>
            </w:r>
            <w:r w:rsidRPr="005500F7">
              <w:rPr>
                <w:rFonts w:ascii="Aptos" w:hAnsi="Aptos" w:cs="Times New Roman"/>
                <w:sz w:val="20"/>
                <w:szCs w:val="20"/>
              </w:rPr>
              <w:t>index</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6C5AC9"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E3C382"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D0410B"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5C35A3"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82849C"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368DE0CB"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AD86A9E" w14:textId="50E9C14E"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burst</w:t>
            </w:r>
            <w:r w:rsidR="00500008">
              <w:rPr>
                <w:rFonts w:ascii="Aptos" w:hAnsi="Aptos" w:cs="Times New Roman"/>
                <w:sz w:val="20"/>
                <w:szCs w:val="20"/>
              </w:rPr>
              <w:t xml:space="preserve"> </w:t>
            </w:r>
            <w:r w:rsidRPr="005500F7">
              <w:rPr>
                <w:rFonts w:ascii="Aptos" w:hAnsi="Aptos" w:cs="Times New Roman"/>
                <w:sz w:val="20"/>
                <w:szCs w:val="20"/>
              </w:rPr>
              <w:t>average</w:t>
            </w:r>
            <w:r w:rsidR="00500008">
              <w:rPr>
                <w:rFonts w:ascii="Aptos" w:hAnsi="Aptos" w:cs="Times New Roman"/>
                <w:sz w:val="20"/>
                <w:szCs w:val="20"/>
              </w:rPr>
              <w:t xml:space="preserve"> </w:t>
            </w:r>
            <w:r w:rsidRPr="005500F7">
              <w:rPr>
                <w:rFonts w:ascii="Aptos" w:hAnsi="Aptos" w:cs="Times New Roman"/>
                <w:sz w:val="20"/>
                <w:szCs w:val="20"/>
              </w:rPr>
              <w:t>spikes</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7F3107"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889650"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FB3A73"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FE413D"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19BDEA"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0FD9114B"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F5AAFA" w14:textId="331488C9"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burst</w:t>
            </w:r>
            <w:r w:rsidR="00500008">
              <w:rPr>
                <w:rFonts w:ascii="Aptos" w:hAnsi="Aptos" w:cs="Times New Roman"/>
                <w:sz w:val="20"/>
                <w:szCs w:val="20"/>
              </w:rPr>
              <w:t xml:space="preserve"> </w:t>
            </w:r>
            <w:r w:rsidRPr="005500F7">
              <w:rPr>
                <w:rFonts w:ascii="Aptos" w:hAnsi="Aptos" w:cs="Times New Roman"/>
                <w:sz w:val="20"/>
                <w:szCs w:val="20"/>
              </w:rPr>
              <w:t>spike</w:t>
            </w:r>
            <w:r w:rsidR="00500008">
              <w:rPr>
                <w:rFonts w:ascii="Aptos" w:hAnsi="Aptos" w:cs="Times New Roman"/>
                <w:sz w:val="20"/>
                <w:szCs w:val="20"/>
              </w:rPr>
              <w:t xml:space="preserve"> </w:t>
            </w:r>
            <w:r w:rsidRPr="005500F7">
              <w:rPr>
                <w:rFonts w:ascii="Aptos" w:hAnsi="Aptos" w:cs="Times New Roman"/>
                <w:sz w:val="20"/>
                <w:szCs w:val="20"/>
              </w:rPr>
              <w:t>proportion</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AD33DB"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AB15EE"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74F5DF"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093E82"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AFF18C"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6DB46C6C"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57931A8" w14:textId="35D05ACA"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burst</w:t>
            </w:r>
            <w:r w:rsidR="00500008">
              <w:rPr>
                <w:rFonts w:ascii="Aptos" w:hAnsi="Aptos" w:cs="Times New Roman"/>
                <w:sz w:val="20"/>
                <w:szCs w:val="20"/>
              </w:rPr>
              <w:t xml:space="preserve"> </w:t>
            </w:r>
            <w:r w:rsidRPr="005500F7">
              <w:rPr>
                <w:rFonts w:ascii="Aptos" w:hAnsi="Aptos" w:cs="Times New Roman"/>
                <w:sz w:val="20"/>
                <w:szCs w:val="20"/>
              </w:rPr>
              <w:t>duration</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72B17A"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0F7F0A"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89AE25"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EACA09"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559A35"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77E65EE6"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B052F0" w14:textId="19CF8478"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inter</w:t>
            </w:r>
            <w:r w:rsidR="00500008">
              <w:rPr>
                <w:rFonts w:ascii="Aptos" w:hAnsi="Aptos" w:cs="Times New Roman"/>
                <w:sz w:val="20"/>
                <w:szCs w:val="20"/>
              </w:rPr>
              <w:t xml:space="preserve"> </w:t>
            </w:r>
            <w:r w:rsidRPr="005500F7">
              <w:rPr>
                <w:rFonts w:ascii="Aptos" w:hAnsi="Aptos" w:cs="Times New Roman"/>
                <w:sz w:val="20"/>
                <w:szCs w:val="20"/>
              </w:rPr>
              <w:t>burst</w:t>
            </w:r>
            <w:r w:rsidR="00500008">
              <w:rPr>
                <w:rFonts w:ascii="Aptos" w:hAnsi="Aptos" w:cs="Times New Roman"/>
                <w:sz w:val="20"/>
                <w:szCs w:val="20"/>
              </w:rPr>
              <w:t xml:space="preserve"> </w:t>
            </w:r>
            <w:r w:rsidRPr="005500F7">
              <w:rPr>
                <w:rFonts w:ascii="Aptos" w:hAnsi="Aptos" w:cs="Times New Roman"/>
                <w:sz w:val="20"/>
                <w:szCs w:val="20"/>
              </w:rPr>
              <w:t>duration</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6A83A6"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495592"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64627B"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22FB7A"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1640D4"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4FE884D3"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D38D32" w14:textId="49199F79"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burst</w:t>
            </w:r>
            <w:r w:rsidR="00500008">
              <w:rPr>
                <w:rFonts w:ascii="Aptos" w:hAnsi="Aptos" w:cs="Times New Roman"/>
                <w:sz w:val="20"/>
                <w:szCs w:val="20"/>
              </w:rPr>
              <w:t xml:space="preserve"> </w:t>
            </w:r>
            <w:r w:rsidRPr="005500F7">
              <w:rPr>
                <w:rFonts w:ascii="Aptos" w:hAnsi="Aptos" w:cs="Times New Roman"/>
                <w:sz w:val="20"/>
                <w:szCs w:val="20"/>
              </w:rPr>
              <w:t>freq</w:t>
            </w:r>
            <w:r w:rsidR="00500008">
              <w:rPr>
                <w:rFonts w:ascii="Aptos" w:hAnsi="Aptos" w:cs="Times New Roman"/>
                <w:sz w:val="20"/>
                <w:szCs w:val="20"/>
              </w:rPr>
              <w:t>uency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DCA9E1"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6DFA19"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20775D"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8FDC03"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F845E4"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24208BE3"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3C7B54" w14:textId="7707C16A"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burst</w:t>
            </w:r>
            <w:r w:rsidR="00500008">
              <w:rPr>
                <w:rFonts w:ascii="Aptos" w:hAnsi="Aptos" w:cs="Times New Roman"/>
                <w:sz w:val="20"/>
                <w:szCs w:val="20"/>
              </w:rPr>
              <w:t xml:space="preserve"> </w:t>
            </w:r>
            <w:r w:rsidRPr="005500F7">
              <w:rPr>
                <w:rFonts w:ascii="Aptos" w:hAnsi="Aptos" w:cs="Times New Roman"/>
                <w:sz w:val="20"/>
                <w:szCs w:val="20"/>
              </w:rPr>
              <w:t>count</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5415D6"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D6A828"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FDD249"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79067F"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FB1705"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392181E0" w14:textId="77777777" w:rsidTr="007779E7">
        <w:trPr>
          <w:trHeight w:val="93"/>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A34E9F" w14:textId="7F940540"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bursting</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0BE45C"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44528B"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1F9661"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D8F90E"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D7648E"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r>
      <w:tr w:rsidR="007779E7" w:rsidRPr="005500F7" w14:paraId="12543CC5"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580521B" w14:textId="6C9A714B"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pause</w:t>
            </w:r>
            <w:r w:rsidR="00500008">
              <w:rPr>
                <w:rFonts w:ascii="Aptos" w:hAnsi="Aptos" w:cs="Times New Roman"/>
                <w:sz w:val="20"/>
                <w:szCs w:val="20"/>
              </w:rPr>
              <w:t xml:space="preserve"> </w:t>
            </w:r>
            <w:r w:rsidRPr="005500F7">
              <w:rPr>
                <w:rFonts w:ascii="Aptos" w:hAnsi="Aptos" w:cs="Times New Roman"/>
                <w:sz w:val="20"/>
                <w:szCs w:val="20"/>
              </w:rPr>
              <w:t>freq</w:t>
            </w:r>
            <w:r w:rsidR="00500008">
              <w:rPr>
                <w:rFonts w:ascii="Aptos" w:hAnsi="Aptos" w:cs="Times New Roman"/>
                <w:sz w:val="20"/>
                <w:szCs w:val="20"/>
              </w:rPr>
              <w:t>uency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DAA695"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35749F"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7F771"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6C714F"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43B393"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2A98C89F"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4AC1454" w14:textId="7BF92CA0"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pause</w:t>
            </w:r>
            <w:r w:rsidR="00500008">
              <w:rPr>
                <w:rFonts w:ascii="Aptos" w:hAnsi="Aptos" w:cs="Times New Roman"/>
                <w:sz w:val="20"/>
                <w:szCs w:val="20"/>
              </w:rPr>
              <w:t xml:space="preserve"> </w:t>
            </w:r>
            <w:r w:rsidRPr="005500F7">
              <w:rPr>
                <w:rFonts w:ascii="Aptos" w:hAnsi="Aptos" w:cs="Times New Roman"/>
                <w:sz w:val="20"/>
                <w:szCs w:val="20"/>
              </w:rPr>
              <w:t>duration</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94AE4A"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EF0335"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5AD62E"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D778F4"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48051B"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74943B7F"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555719" w14:textId="11DE27A2"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pause</w:t>
            </w:r>
            <w:r w:rsidR="00500008">
              <w:rPr>
                <w:rFonts w:ascii="Aptos" w:hAnsi="Aptos" w:cs="Times New Roman"/>
                <w:sz w:val="20"/>
                <w:szCs w:val="20"/>
              </w:rPr>
              <w:t xml:space="preserve"> </w:t>
            </w:r>
            <w:r w:rsidRPr="005500F7">
              <w:rPr>
                <w:rFonts w:ascii="Aptos" w:hAnsi="Aptos" w:cs="Times New Roman"/>
                <w:sz w:val="20"/>
                <w:szCs w:val="20"/>
              </w:rPr>
              <w:t>time</w:t>
            </w:r>
            <w:r w:rsidR="00500008">
              <w:rPr>
                <w:rFonts w:ascii="Aptos" w:hAnsi="Aptos" w:cs="Times New Roman"/>
                <w:sz w:val="20"/>
                <w:szCs w:val="20"/>
              </w:rPr>
              <w:t xml:space="preserve"> </w:t>
            </w:r>
            <w:r w:rsidRPr="005500F7">
              <w:rPr>
                <w:rFonts w:ascii="Aptos" w:hAnsi="Aptos" w:cs="Times New Roman"/>
                <w:sz w:val="20"/>
                <w:szCs w:val="20"/>
              </w:rPr>
              <w:t>proportion</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FB4407"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6DBA99"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9C7BAA"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40FACF"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E286B4"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33C1F888"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BB7E3B" w14:textId="173240D2"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pause</w:t>
            </w:r>
            <w:r w:rsidR="00500008">
              <w:rPr>
                <w:rFonts w:ascii="Aptos" w:hAnsi="Aptos" w:cs="Times New Roman"/>
                <w:sz w:val="20"/>
                <w:szCs w:val="20"/>
              </w:rPr>
              <w:t xml:space="preserve"> </w:t>
            </w:r>
            <w:r w:rsidRPr="005500F7">
              <w:rPr>
                <w:rFonts w:ascii="Aptos" w:hAnsi="Aptos" w:cs="Times New Roman"/>
                <w:sz w:val="20"/>
                <w:szCs w:val="20"/>
              </w:rPr>
              <w:t>spike</w:t>
            </w:r>
            <w:r w:rsidR="00500008">
              <w:rPr>
                <w:rFonts w:ascii="Aptos" w:hAnsi="Aptos" w:cs="Times New Roman"/>
                <w:sz w:val="20"/>
                <w:szCs w:val="20"/>
              </w:rPr>
              <w:t xml:space="preserve"> </w:t>
            </w:r>
            <w:r w:rsidRPr="005500F7">
              <w:rPr>
                <w:rFonts w:ascii="Aptos" w:hAnsi="Aptos" w:cs="Times New Roman"/>
                <w:sz w:val="20"/>
                <w:szCs w:val="20"/>
              </w:rPr>
              <w:t>proportion</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E68A75"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5A6913"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7DA4B8"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24DDC4"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5C8783"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73CA1433"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683C9E" w14:textId="7DED7846"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pause</w:t>
            </w:r>
            <w:r w:rsidR="00500008">
              <w:rPr>
                <w:rFonts w:ascii="Aptos" w:hAnsi="Aptos" w:cs="Times New Roman"/>
                <w:sz w:val="20"/>
                <w:szCs w:val="20"/>
              </w:rPr>
              <w:t xml:space="preserve"> </w:t>
            </w:r>
            <w:r w:rsidRPr="005500F7">
              <w:rPr>
                <w:rFonts w:ascii="Aptos" w:hAnsi="Aptos" w:cs="Times New Roman"/>
                <w:sz w:val="20"/>
                <w:szCs w:val="20"/>
              </w:rPr>
              <w:t>count</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EA509E"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23815B"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267699"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A08CD9" w14:textId="77777777" w:rsidR="007779E7" w:rsidRPr="005500F7" w:rsidRDefault="007779E7" w:rsidP="003F7295">
            <w:pPr>
              <w:pStyle w:val="NoSpacing"/>
              <w:ind w:firstLine="0"/>
              <w:jc w:val="center"/>
              <w:rPr>
                <w:rFonts w:ascii="Aptos" w:hAnsi="Aptos" w:cs="Times New Roman"/>
                <w:sz w:val="20"/>
                <w:szCs w:val="20"/>
              </w:rPr>
            </w:pP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481C53"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4FED900D"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75DED7" w14:textId="28F8F195" w:rsidR="007779E7" w:rsidRPr="005500F7" w:rsidRDefault="00D91039" w:rsidP="004E3777">
            <w:pPr>
              <w:pStyle w:val="NoSpacing"/>
              <w:ind w:firstLine="0"/>
              <w:jc w:val="left"/>
              <w:rPr>
                <w:rFonts w:ascii="Aptos" w:hAnsi="Aptos" w:cs="Times New Roman"/>
                <w:sz w:val="20"/>
                <w:szCs w:val="20"/>
              </w:rPr>
            </w:pPr>
            <w:r>
              <w:rPr>
                <w:rFonts w:ascii="Aptos" w:hAnsi="Aptos" w:cs="Times New Roman"/>
                <w:sz w:val="20"/>
                <w:szCs w:val="20"/>
              </w:rPr>
              <w:t xml:space="preserve">delta </w:t>
            </w:r>
            <w:r w:rsidR="007779E7" w:rsidRPr="005500F7">
              <w:rPr>
                <w:rFonts w:ascii="Aptos" w:hAnsi="Aptos" w:cs="Times New Roman"/>
                <w:sz w:val="20"/>
                <w:szCs w:val="20"/>
              </w:rPr>
              <w:t>oscillation</w:t>
            </w:r>
            <w:r>
              <w:rPr>
                <w:rFonts w:ascii="Aptos" w:hAnsi="Aptos" w:cs="Times New Roman"/>
                <w:sz w:val="20"/>
                <w:szCs w:val="20"/>
              </w:rPr>
              <w:t xml:space="preserve"> </w:t>
            </w:r>
            <w:r w:rsidR="007779E7" w:rsidRPr="005500F7">
              <w:rPr>
                <w:rFonts w:ascii="Aptos" w:hAnsi="Aptos" w:cs="Times New Roman"/>
                <w:sz w:val="20"/>
                <w:szCs w:val="20"/>
              </w:rPr>
              <w:t>frequency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F2B0C1"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739D01"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5AEE61"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77CFDC"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6E15D9"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5517ED7E"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BC19A3" w14:textId="5D92DF7E" w:rsidR="007779E7" w:rsidRPr="005500F7" w:rsidRDefault="00500008" w:rsidP="004E3777">
            <w:pPr>
              <w:pStyle w:val="NoSpacing"/>
              <w:ind w:firstLine="0"/>
              <w:jc w:val="left"/>
              <w:rPr>
                <w:rFonts w:ascii="Aptos" w:hAnsi="Aptos" w:cs="Times New Roman"/>
                <w:sz w:val="20"/>
                <w:szCs w:val="20"/>
              </w:rPr>
            </w:pPr>
            <w:r w:rsidRPr="005500F7">
              <w:rPr>
                <w:rFonts w:ascii="Aptos" w:hAnsi="Aptos" w:cs="Times New Roman"/>
                <w:sz w:val="20"/>
                <w:szCs w:val="20"/>
              </w:rPr>
              <w:t xml:space="preserve">theta </w:t>
            </w:r>
            <w:r w:rsidR="007779E7" w:rsidRPr="005500F7">
              <w:rPr>
                <w:rFonts w:ascii="Aptos" w:hAnsi="Aptos" w:cs="Times New Roman"/>
                <w:sz w:val="20"/>
                <w:szCs w:val="20"/>
              </w:rPr>
              <w:t>oscillation</w:t>
            </w:r>
            <w:r w:rsidR="00D91039">
              <w:rPr>
                <w:rFonts w:ascii="Aptos" w:hAnsi="Aptos" w:cs="Times New Roman"/>
                <w:sz w:val="20"/>
                <w:szCs w:val="20"/>
              </w:rPr>
              <w:t xml:space="preserve"> </w:t>
            </w:r>
            <w:r w:rsidR="007779E7" w:rsidRPr="005500F7">
              <w:rPr>
                <w:rFonts w:ascii="Aptos" w:hAnsi="Aptos" w:cs="Times New Roman"/>
                <w:sz w:val="20"/>
                <w:szCs w:val="20"/>
              </w:rPr>
              <w:t>frequency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07707"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532832"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3A1282"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E4C0F1"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CAD4D5"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066FD7F0"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FEF01D" w14:textId="74D38B44" w:rsidR="007779E7" w:rsidRPr="005500F7" w:rsidRDefault="00500008" w:rsidP="004E3777">
            <w:pPr>
              <w:pStyle w:val="NoSpacing"/>
              <w:ind w:firstLine="0"/>
              <w:jc w:val="left"/>
              <w:rPr>
                <w:rFonts w:ascii="Aptos" w:hAnsi="Aptos" w:cs="Times New Roman"/>
                <w:sz w:val="20"/>
                <w:szCs w:val="20"/>
              </w:rPr>
            </w:pPr>
            <w:r w:rsidRPr="005500F7">
              <w:rPr>
                <w:rFonts w:ascii="Aptos" w:hAnsi="Aptos" w:cs="Times New Roman"/>
                <w:sz w:val="20"/>
                <w:szCs w:val="20"/>
              </w:rPr>
              <w:t xml:space="preserve">alpha </w:t>
            </w:r>
            <w:r w:rsidR="007779E7" w:rsidRPr="005500F7">
              <w:rPr>
                <w:rFonts w:ascii="Aptos" w:hAnsi="Aptos" w:cs="Times New Roman"/>
                <w:sz w:val="20"/>
                <w:szCs w:val="20"/>
              </w:rPr>
              <w:t>oscillation</w:t>
            </w:r>
            <w:r>
              <w:rPr>
                <w:rFonts w:ascii="Aptos" w:hAnsi="Aptos" w:cs="Times New Roman"/>
                <w:sz w:val="20"/>
                <w:szCs w:val="20"/>
              </w:rPr>
              <w:t xml:space="preserve"> </w:t>
            </w:r>
            <w:r w:rsidR="007779E7" w:rsidRPr="005500F7">
              <w:rPr>
                <w:rFonts w:ascii="Aptos" w:hAnsi="Aptos" w:cs="Times New Roman"/>
                <w:sz w:val="20"/>
                <w:szCs w:val="20"/>
              </w:rPr>
              <w:t>frequency</w:t>
            </w:r>
            <w:r w:rsidRPr="005500F7" w:rsidDel="00500008">
              <w:rPr>
                <w:rFonts w:ascii="Aptos" w:hAnsi="Aptos" w:cs="Times New Roman"/>
                <w:sz w:val="20"/>
                <w:szCs w:val="20"/>
              </w:rPr>
              <w:t xml:space="preserve"> </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4E4D3E"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F63304"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100516"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9FCE4B"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BA0104"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7737B2F7"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BBBCCDC" w14:textId="7D374E45" w:rsidR="007779E7" w:rsidRPr="005500F7" w:rsidRDefault="00500008" w:rsidP="004E3777">
            <w:pPr>
              <w:pStyle w:val="NoSpacing"/>
              <w:ind w:firstLine="0"/>
              <w:jc w:val="left"/>
              <w:rPr>
                <w:rFonts w:ascii="Aptos" w:hAnsi="Aptos" w:cs="Times New Roman"/>
                <w:sz w:val="20"/>
                <w:szCs w:val="20"/>
              </w:rPr>
            </w:pPr>
            <w:r w:rsidRPr="005500F7">
              <w:rPr>
                <w:rFonts w:ascii="Aptos" w:hAnsi="Aptos" w:cs="Times New Roman"/>
                <w:sz w:val="20"/>
                <w:szCs w:val="20"/>
              </w:rPr>
              <w:t xml:space="preserve">beta </w:t>
            </w:r>
            <w:r w:rsidR="007779E7" w:rsidRPr="005500F7">
              <w:rPr>
                <w:rFonts w:ascii="Aptos" w:hAnsi="Aptos" w:cs="Times New Roman"/>
                <w:sz w:val="20"/>
                <w:szCs w:val="20"/>
              </w:rPr>
              <w:t>oscillation</w:t>
            </w:r>
            <w:r>
              <w:rPr>
                <w:rFonts w:ascii="Aptos" w:hAnsi="Aptos" w:cs="Times New Roman"/>
                <w:sz w:val="20"/>
                <w:szCs w:val="20"/>
              </w:rPr>
              <w:t xml:space="preserve"> </w:t>
            </w:r>
            <w:r w:rsidR="007779E7" w:rsidRPr="005500F7">
              <w:rPr>
                <w:rFonts w:ascii="Aptos" w:hAnsi="Aptos" w:cs="Times New Roman"/>
                <w:sz w:val="20"/>
                <w:szCs w:val="20"/>
              </w:rPr>
              <w:t>frequency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AED004"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6EF6DA"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00FB62"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B8D7E9"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3FE268"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630DF707"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D9B0EE" w14:textId="5C7F92CC" w:rsidR="007779E7" w:rsidRPr="005500F7" w:rsidRDefault="00500008" w:rsidP="004E3777">
            <w:pPr>
              <w:pStyle w:val="NoSpacing"/>
              <w:ind w:firstLine="0"/>
              <w:jc w:val="left"/>
              <w:rPr>
                <w:rFonts w:ascii="Aptos" w:hAnsi="Aptos" w:cs="Times New Roman"/>
                <w:sz w:val="20"/>
                <w:szCs w:val="20"/>
              </w:rPr>
            </w:pPr>
            <w:r w:rsidRPr="005500F7">
              <w:rPr>
                <w:rFonts w:ascii="Aptos" w:hAnsi="Aptos" w:cs="Times New Roman"/>
                <w:sz w:val="20"/>
                <w:szCs w:val="20"/>
              </w:rPr>
              <w:t xml:space="preserve">gamma </w:t>
            </w:r>
            <w:r w:rsidR="007779E7" w:rsidRPr="005500F7">
              <w:rPr>
                <w:rFonts w:ascii="Aptos" w:hAnsi="Aptos" w:cs="Times New Roman"/>
                <w:sz w:val="20"/>
                <w:szCs w:val="20"/>
              </w:rPr>
              <w:t>oscillation</w:t>
            </w:r>
            <w:r>
              <w:rPr>
                <w:rFonts w:ascii="Aptos" w:hAnsi="Aptos" w:cs="Times New Roman"/>
                <w:sz w:val="20"/>
                <w:szCs w:val="20"/>
              </w:rPr>
              <w:t xml:space="preserve"> </w:t>
            </w:r>
            <w:r w:rsidR="007779E7" w:rsidRPr="005500F7">
              <w:rPr>
                <w:rFonts w:ascii="Aptos" w:hAnsi="Aptos" w:cs="Times New Roman"/>
                <w:sz w:val="20"/>
                <w:szCs w:val="20"/>
              </w:rPr>
              <w:t>frequency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657665"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7BFC05"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804B6B"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DA2E9A"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3A7E8C"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5CD08E3A"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CAC1C1" w14:textId="2995F3E6"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delta</w:t>
            </w:r>
            <w:r w:rsidR="00500008">
              <w:rPr>
                <w:rFonts w:ascii="Aptos" w:hAnsi="Aptos" w:cs="Times New Roman"/>
                <w:sz w:val="20"/>
                <w:szCs w:val="20"/>
              </w:rPr>
              <w:t xml:space="preserve"> </w:t>
            </w:r>
            <w:r w:rsidRPr="005500F7">
              <w:rPr>
                <w:rFonts w:ascii="Aptos" w:hAnsi="Aptos" w:cs="Times New Roman"/>
                <w:sz w:val="20"/>
                <w:szCs w:val="20"/>
              </w:rPr>
              <w:t>band</w:t>
            </w:r>
            <w:r w:rsidR="00500008">
              <w:rPr>
                <w:rFonts w:ascii="Aptos" w:hAnsi="Aptos" w:cs="Times New Roman"/>
                <w:sz w:val="20"/>
                <w:szCs w:val="20"/>
              </w:rPr>
              <w:t xml:space="preserve"> </w:t>
            </w:r>
            <w:r w:rsidRPr="005500F7">
              <w:rPr>
                <w:rFonts w:ascii="Aptos" w:hAnsi="Aptos" w:cs="Times New Roman"/>
                <w:sz w:val="20"/>
                <w:szCs w:val="20"/>
              </w:rPr>
              <w:t>oscillatory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77C667"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034D96"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C44A1D"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5BED1E"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A43C51"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77A906E8"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ED3404" w14:textId="26674F8B"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theta</w:t>
            </w:r>
            <w:r w:rsidR="00500008">
              <w:rPr>
                <w:rFonts w:ascii="Aptos" w:hAnsi="Aptos" w:cs="Times New Roman"/>
                <w:sz w:val="20"/>
                <w:szCs w:val="20"/>
              </w:rPr>
              <w:t xml:space="preserve"> </w:t>
            </w:r>
            <w:r w:rsidRPr="005500F7">
              <w:rPr>
                <w:rFonts w:ascii="Aptos" w:hAnsi="Aptos" w:cs="Times New Roman"/>
                <w:sz w:val="20"/>
                <w:szCs w:val="20"/>
              </w:rPr>
              <w:t>band</w:t>
            </w:r>
            <w:r w:rsidR="00500008">
              <w:rPr>
                <w:rFonts w:ascii="Aptos" w:hAnsi="Aptos" w:cs="Times New Roman"/>
                <w:sz w:val="20"/>
                <w:szCs w:val="20"/>
              </w:rPr>
              <w:t xml:space="preserve"> </w:t>
            </w:r>
            <w:r w:rsidRPr="005500F7">
              <w:rPr>
                <w:rFonts w:ascii="Aptos" w:hAnsi="Aptos" w:cs="Times New Roman"/>
                <w:sz w:val="20"/>
                <w:szCs w:val="20"/>
              </w:rPr>
              <w:t>oscillatory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F15B56"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49E2EF"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93CBDB"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007304"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492DDB"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466A0DC2"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7AF568" w14:textId="4F10A629"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alpha</w:t>
            </w:r>
            <w:r w:rsidR="00500008">
              <w:rPr>
                <w:rFonts w:ascii="Aptos" w:hAnsi="Aptos" w:cs="Times New Roman"/>
                <w:sz w:val="20"/>
                <w:szCs w:val="20"/>
              </w:rPr>
              <w:t xml:space="preserve"> </w:t>
            </w:r>
            <w:r w:rsidRPr="005500F7">
              <w:rPr>
                <w:rFonts w:ascii="Aptos" w:hAnsi="Aptos" w:cs="Times New Roman"/>
                <w:sz w:val="20"/>
                <w:szCs w:val="20"/>
              </w:rPr>
              <w:t>band</w:t>
            </w:r>
            <w:r w:rsidR="00500008">
              <w:rPr>
                <w:rFonts w:ascii="Aptos" w:hAnsi="Aptos" w:cs="Times New Roman"/>
                <w:sz w:val="20"/>
                <w:szCs w:val="20"/>
              </w:rPr>
              <w:t xml:space="preserve"> </w:t>
            </w:r>
            <w:r w:rsidRPr="005500F7">
              <w:rPr>
                <w:rFonts w:ascii="Aptos" w:hAnsi="Aptos" w:cs="Times New Roman"/>
                <w:sz w:val="20"/>
                <w:szCs w:val="20"/>
              </w:rPr>
              <w:t>oscillatory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256BD3"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A65DB7"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65E3B6"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DD99BA"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5F61E4"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4F232858"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9EAA42" w14:textId="7D9CC05C"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beta</w:t>
            </w:r>
            <w:r w:rsidR="00500008">
              <w:rPr>
                <w:rFonts w:ascii="Aptos" w:hAnsi="Aptos" w:cs="Times New Roman"/>
                <w:sz w:val="20"/>
                <w:szCs w:val="20"/>
              </w:rPr>
              <w:t xml:space="preserve"> </w:t>
            </w:r>
            <w:r w:rsidRPr="005500F7">
              <w:rPr>
                <w:rFonts w:ascii="Aptos" w:hAnsi="Aptos" w:cs="Times New Roman"/>
                <w:sz w:val="20"/>
                <w:szCs w:val="20"/>
              </w:rPr>
              <w:t>band</w:t>
            </w:r>
            <w:r w:rsidR="00500008">
              <w:rPr>
                <w:rFonts w:ascii="Aptos" w:hAnsi="Aptos" w:cs="Times New Roman"/>
                <w:sz w:val="20"/>
                <w:szCs w:val="20"/>
              </w:rPr>
              <w:t xml:space="preserve"> </w:t>
            </w:r>
            <w:r w:rsidRPr="005500F7">
              <w:rPr>
                <w:rFonts w:ascii="Aptos" w:hAnsi="Aptos" w:cs="Times New Roman"/>
                <w:sz w:val="20"/>
                <w:szCs w:val="20"/>
              </w:rPr>
              <w:t>oscillatory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F69D8F"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077341"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DD6BA4"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77430E"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426B5"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5B2D21D7"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2CF9602" w14:textId="05EAA380"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gamma</w:t>
            </w:r>
            <w:r w:rsidR="00500008">
              <w:rPr>
                <w:rFonts w:ascii="Aptos" w:hAnsi="Aptos" w:cs="Times New Roman"/>
                <w:sz w:val="20"/>
                <w:szCs w:val="20"/>
              </w:rPr>
              <w:t xml:space="preserve"> </w:t>
            </w:r>
            <w:r w:rsidRPr="005500F7">
              <w:rPr>
                <w:rFonts w:ascii="Aptos" w:hAnsi="Aptos" w:cs="Times New Roman"/>
                <w:sz w:val="20"/>
                <w:szCs w:val="20"/>
              </w:rPr>
              <w:t>band</w:t>
            </w:r>
            <w:r w:rsidR="00500008">
              <w:rPr>
                <w:rFonts w:ascii="Aptos" w:hAnsi="Aptos" w:cs="Times New Roman"/>
                <w:sz w:val="20"/>
                <w:szCs w:val="20"/>
              </w:rPr>
              <w:t xml:space="preserve"> </w:t>
            </w:r>
            <w:r w:rsidRPr="005500F7">
              <w:rPr>
                <w:rFonts w:ascii="Aptos" w:hAnsi="Aptos" w:cs="Times New Roman"/>
                <w:sz w:val="20"/>
                <w:szCs w:val="20"/>
              </w:rPr>
              <w:t>oscillatory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BA7CA1"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4C0547"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7357FF"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03BE5B"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AA987A" w14:textId="77777777" w:rsidR="007779E7" w:rsidRPr="005500F7" w:rsidRDefault="007779E7" w:rsidP="003F7295">
            <w:pPr>
              <w:pStyle w:val="NoSpacing"/>
              <w:ind w:firstLine="0"/>
              <w:jc w:val="center"/>
              <w:rPr>
                <w:rFonts w:ascii="Aptos" w:hAnsi="Aptos" w:cs="Times New Roman"/>
                <w:sz w:val="20"/>
                <w:szCs w:val="20"/>
              </w:rPr>
            </w:pPr>
          </w:p>
        </w:tc>
      </w:tr>
      <w:tr w:rsidR="007779E7" w:rsidRPr="005500F7" w14:paraId="03033B6C" w14:textId="77777777" w:rsidTr="007779E7">
        <w:trPr>
          <w:jc w:val="center"/>
        </w:trPr>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781E61" w14:textId="2BAA43EA" w:rsidR="007779E7" w:rsidRPr="005500F7" w:rsidRDefault="007779E7" w:rsidP="004E3777">
            <w:pPr>
              <w:pStyle w:val="NoSpacing"/>
              <w:ind w:firstLine="0"/>
              <w:jc w:val="left"/>
              <w:rPr>
                <w:rFonts w:ascii="Aptos" w:hAnsi="Aptos" w:cs="Times New Roman"/>
                <w:sz w:val="20"/>
                <w:szCs w:val="20"/>
              </w:rPr>
            </w:pPr>
            <w:r w:rsidRPr="005500F7">
              <w:rPr>
                <w:rFonts w:ascii="Aptos" w:hAnsi="Aptos" w:cs="Times New Roman"/>
                <w:sz w:val="20"/>
                <w:szCs w:val="20"/>
              </w:rPr>
              <w:t>oscillatory</w:t>
            </w:r>
          </w:p>
        </w:tc>
        <w:tc>
          <w:tcPr>
            <w:tcW w:w="15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3250F2" w14:textId="77777777" w:rsidR="007779E7" w:rsidRPr="005500F7" w:rsidRDefault="007779E7" w:rsidP="003F7295">
            <w:pPr>
              <w:pStyle w:val="NoSpacing"/>
              <w:ind w:firstLine="0"/>
              <w:jc w:val="center"/>
              <w:rPr>
                <w:rFonts w:ascii="Aptos" w:hAnsi="Aptos" w:cs="Times New Roman"/>
                <w:sz w:val="20"/>
                <w:szCs w:val="20"/>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58285D" w14:textId="77777777" w:rsidR="007779E7" w:rsidRPr="005500F7" w:rsidRDefault="007779E7" w:rsidP="003F7295">
            <w:pPr>
              <w:pStyle w:val="NoSpacing"/>
              <w:ind w:firstLine="0"/>
              <w:jc w:val="center"/>
              <w:rPr>
                <w:rFonts w:ascii="Aptos" w:hAnsi="Aptos" w:cs="Times New Roman"/>
                <w:sz w:val="20"/>
                <w:szCs w:val="20"/>
              </w:rPr>
            </w:pP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112019" w14:textId="77777777" w:rsidR="007779E7" w:rsidRPr="005500F7" w:rsidRDefault="007779E7" w:rsidP="003F7295">
            <w:pPr>
              <w:pStyle w:val="NoSpacing"/>
              <w:ind w:firstLine="0"/>
              <w:jc w:val="center"/>
              <w:rPr>
                <w:rFonts w:ascii="Aptos" w:hAnsi="Aptos" w:cs="Times New Roman"/>
                <w:sz w:val="20"/>
                <w:szCs w:val="20"/>
              </w:rPr>
            </w:pPr>
          </w:p>
        </w:tc>
        <w:tc>
          <w:tcPr>
            <w:tcW w:w="12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092E48"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c>
          <w:tcPr>
            <w:tcW w:w="1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4159C5" w14:textId="77777777" w:rsidR="007779E7" w:rsidRPr="005500F7" w:rsidRDefault="007779E7" w:rsidP="003F7295">
            <w:pPr>
              <w:pStyle w:val="NoSpacing"/>
              <w:ind w:firstLine="0"/>
              <w:jc w:val="center"/>
              <w:rPr>
                <w:rFonts w:ascii="Aptos" w:hAnsi="Aptos" w:cs="Times New Roman"/>
                <w:sz w:val="20"/>
                <w:szCs w:val="20"/>
              </w:rPr>
            </w:pPr>
            <w:r w:rsidRPr="005500F7">
              <w:rPr>
                <w:rFonts w:ascii="Aptos" w:hAnsi="Aptos" w:cs="Times New Roman"/>
                <w:sz w:val="20"/>
                <w:szCs w:val="20"/>
              </w:rPr>
              <w:t>X</w:t>
            </w:r>
          </w:p>
        </w:tc>
      </w:tr>
      <w:bookmarkEnd w:id="7"/>
    </w:tbl>
    <w:p w14:paraId="2E22CC08" w14:textId="77777777" w:rsidR="004E3777" w:rsidRPr="005500F7" w:rsidRDefault="004E3777" w:rsidP="00131C42">
      <w:pPr>
        <w:rPr>
          <w:rFonts w:ascii="Aptos" w:hAnsi="Aptos"/>
          <w:b/>
          <w:bCs/>
          <w:sz w:val="20"/>
          <w:szCs w:val="20"/>
        </w:rPr>
      </w:pPr>
    </w:p>
    <w:p w14:paraId="41A962FE" w14:textId="77777777" w:rsidR="005500F7" w:rsidRDefault="005500F7" w:rsidP="00131C42">
      <w:pPr>
        <w:rPr>
          <w:rFonts w:ascii="Aptos" w:hAnsi="Aptos"/>
          <w:b/>
          <w:bCs/>
          <w:sz w:val="20"/>
          <w:szCs w:val="20"/>
        </w:rPr>
      </w:pPr>
    </w:p>
    <w:p w14:paraId="6012115A" w14:textId="5C8E0403" w:rsidR="00131C42" w:rsidRPr="005500F7" w:rsidRDefault="00131C42" w:rsidP="00465A56">
      <w:pPr>
        <w:jc w:val="both"/>
        <w:rPr>
          <w:rFonts w:ascii="Aptos" w:hAnsi="Aptos" w:cs="Helvetica"/>
          <w:b/>
          <w:bCs/>
          <w:sz w:val="20"/>
          <w:szCs w:val="20"/>
          <w:lang w:val="en-CA"/>
        </w:rPr>
      </w:pPr>
      <w:r w:rsidRPr="005500F7">
        <w:rPr>
          <w:rFonts w:ascii="Aptos" w:hAnsi="Aptos"/>
          <w:b/>
          <w:bCs/>
          <w:sz w:val="20"/>
          <w:szCs w:val="20"/>
        </w:rPr>
        <w:lastRenderedPageBreak/>
        <w:t>Supplementary Figure 4 –</w:t>
      </w:r>
      <w:r w:rsidRPr="005500F7">
        <w:rPr>
          <w:rFonts w:ascii="Aptos" w:hAnsi="Aptos" w:cs="Helvetica"/>
          <w:b/>
          <w:bCs/>
          <w:sz w:val="20"/>
          <w:szCs w:val="20"/>
        </w:rPr>
        <w:t xml:space="preserve"> Details of the two stratification strategies developed for dystonia genes</w:t>
      </w:r>
      <w:r w:rsidR="00164B67">
        <w:rPr>
          <w:rFonts w:ascii="Aptos" w:hAnsi="Aptos" w:cs="Helvetica"/>
          <w:b/>
          <w:bCs/>
          <w:sz w:val="20"/>
          <w:szCs w:val="20"/>
        </w:rPr>
        <w:t xml:space="preserve">. </w:t>
      </w:r>
      <w:bookmarkStart w:id="8" w:name="_Hlk174187978"/>
      <w:r w:rsidR="00691569" w:rsidRPr="00691569">
        <w:rPr>
          <w:rFonts w:ascii="Aptos" w:hAnsi="Aptos" w:cs="Helvetica"/>
          <w:sz w:val="20"/>
          <w:szCs w:val="20"/>
        </w:rPr>
        <w:t>(A) Pooling of neurons from patients with pathogenic mutations in the same dystonia gene. (B) Schematic representation of stratification by thresholding approach. (C) Schematic representation of stratification by distance approach, which categorizes dystonia genes based on the cumulative distance between neural feature value distributions.</w:t>
      </w:r>
      <w:bookmarkEnd w:id="8"/>
    </w:p>
    <w:p w14:paraId="4F69AADE" w14:textId="16C67A1D" w:rsidR="00131C42" w:rsidRPr="005500F7" w:rsidRDefault="000B5C82" w:rsidP="005500F7">
      <w:pPr>
        <w:rPr>
          <w:sz w:val="20"/>
          <w:szCs w:val="20"/>
          <w:lang w:val="en-CA"/>
        </w:rPr>
      </w:pPr>
      <w:r w:rsidRPr="005500F7">
        <w:rPr>
          <w:noProof/>
          <w:sz w:val="20"/>
          <w:szCs w:val="20"/>
          <w:lang w:val="en-CA"/>
        </w:rPr>
        <w:drawing>
          <wp:inline distT="0" distB="0" distL="0" distR="0" wp14:anchorId="574766B4" wp14:editId="710AC338">
            <wp:extent cx="5601960" cy="4826000"/>
            <wp:effectExtent l="0" t="0" r="0" b="0"/>
            <wp:docPr id="595700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0005"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01960" cy="4826000"/>
                    </a:xfrm>
                    <a:prstGeom prst="rect">
                      <a:avLst/>
                    </a:prstGeom>
                  </pic:spPr>
                </pic:pic>
              </a:graphicData>
            </a:graphic>
          </wp:inline>
        </w:drawing>
      </w:r>
    </w:p>
    <w:p w14:paraId="0161DAC8" w14:textId="6643BAFF" w:rsidR="00895D2B" w:rsidRPr="005500F7" w:rsidRDefault="006F2516" w:rsidP="00895D2B">
      <w:pPr>
        <w:pStyle w:val="Heading1"/>
        <w:rPr>
          <w:rFonts w:ascii="Aptos" w:hAnsi="Aptos"/>
          <w:sz w:val="20"/>
          <w:szCs w:val="20"/>
        </w:rPr>
      </w:pPr>
      <w:r w:rsidRPr="005500F7">
        <w:rPr>
          <w:rFonts w:ascii="Aptos" w:hAnsi="Aptos"/>
          <w:sz w:val="20"/>
          <w:szCs w:val="20"/>
        </w:rPr>
        <w:t>Computational pipeline for neural decoders</w:t>
      </w:r>
    </w:p>
    <w:p w14:paraId="6B997B9B" w14:textId="77777777" w:rsidR="005500F7" w:rsidRPr="005500F7" w:rsidRDefault="006F2516" w:rsidP="005500F7">
      <w:pPr>
        <w:jc w:val="both"/>
        <w:rPr>
          <w:rFonts w:ascii="Aptos" w:hAnsi="Aptos" w:cs="Helvetica"/>
          <w:sz w:val="20"/>
          <w:szCs w:val="20"/>
        </w:rPr>
      </w:pPr>
      <w:r w:rsidRPr="005500F7">
        <w:rPr>
          <w:rFonts w:ascii="Aptos" w:hAnsi="Aptos" w:cs="Helvetica"/>
          <w:sz w:val="20"/>
          <w:szCs w:val="20"/>
        </w:rPr>
        <w:t xml:space="preserve">We selected the random forest tree and gradient boosting approaches, along with a voting classifier that combines the predictions of these two techniques through a soft voting mechanism. We applied a stratified 5-fold cross-validation approach in which, in each fold, we trained the models with 80% of the neurons, and then, we used the remaining 20% of the neurons to test the performances of the trained models. To assess and contrast the performance of the trained models, we relied on metrics such as the balanced accuracy score, weighted area under the curve (AUC), and weighted F1 score. We averaged the scores of these three metrics fivefold to define the final performance of each decoder. Furthermore, we conducted a comprehensive validation of our trained models using a bootstrap test with 100 iterations. In each iteration, we introduced randomness by shuffling the genetic variant information (the label </w:t>
      </w:r>
      <w:r w:rsidRPr="005500F7">
        <w:rPr>
          <w:rFonts w:ascii="Aptos" w:hAnsi="Aptos" w:cs="Helvetica"/>
          <w:sz w:val="20"/>
          <w:szCs w:val="20"/>
        </w:rPr>
        <w:lastRenderedPageBreak/>
        <w:t>attribute); subsequently, we determined the average performance of the models as described in the previous paragraph. By repeating this procedure across all iterations, we generated a distribution of values (consisting of 100 scores) representing the model's performance under random circumstances. These distributions offer insights into the models' performances in the context of random events. Subsequently, we calculated the 95th percentile of this random-event distribution for each metric, establishing an upper threshold for the models' classification performances in random events.</w:t>
      </w:r>
      <w:r w:rsidRPr="005500F7">
        <w:rPr>
          <w:rFonts w:ascii="Aptos" w:hAnsi="Aptos" w:cs="Helvetica"/>
          <w:b/>
          <w:bCs/>
          <w:sz w:val="20"/>
          <w:szCs w:val="20"/>
        </w:rPr>
        <w:t xml:space="preserve"> </w:t>
      </w:r>
      <w:r w:rsidRPr="005500F7">
        <w:rPr>
          <w:rFonts w:ascii="Aptos" w:hAnsi="Aptos" w:cs="Helvetica"/>
          <w:sz w:val="20"/>
          <w:szCs w:val="20"/>
        </w:rPr>
        <w:t>We expected that the trained models/decoders would surpass these defined thresholds when applied to the actual dataset. In instances where this did not occur, it would indicate that the model had learned the random fluctuations or errors in the neural data rather than the distinct patterns associated with each genetic variant.</w:t>
      </w:r>
    </w:p>
    <w:p w14:paraId="480339FC" w14:textId="55DF1E47" w:rsidR="00C40612" w:rsidRPr="005500F7" w:rsidRDefault="006F2516" w:rsidP="005500F7">
      <w:pPr>
        <w:pStyle w:val="Heading2"/>
        <w:rPr>
          <w:rFonts w:cs="Helvetica"/>
          <w:sz w:val="20"/>
          <w:szCs w:val="20"/>
          <w:lang w:val="en-CA"/>
        </w:rPr>
      </w:pPr>
      <w:r w:rsidRPr="005500F7">
        <w:rPr>
          <w:sz w:val="20"/>
          <w:szCs w:val="20"/>
        </w:rPr>
        <w:t>One-vs-one (OVO) Decoding</w:t>
      </w:r>
    </w:p>
    <w:p w14:paraId="03E55A9A" w14:textId="5B0751D6" w:rsidR="005500F7" w:rsidRPr="005500F7" w:rsidRDefault="006F2516" w:rsidP="00956C03">
      <w:pPr>
        <w:jc w:val="both"/>
        <w:rPr>
          <w:rFonts w:ascii="Aptos" w:hAnsi="Aptos" w:cs="Helvetica"/>
          <w:sz w:val="20"/>
          <w:szCs w:val="20"/>
        </w:rPr>
      </w:pPr>
      <w:r w:rsidRPr="005500F7">
        <w:rPr>
          <w:rFonts w:ascii="Aptos" w:hAnsi="Aptos" w:cs="Helvetica"/>
          <w:sz w:val="20"/>
          <w:szCs w:val="20"/>
        </w:rPr>
        <w:t>Given the intricate nature of decoding neural activity at the SUA level, our initial focus was on classifying the neural patterns between dystonia-causing gene pairs. In total, we identified 36 possible gene pairs. For OVO decoding, we selected neural features that exhibited at least a medium effect size (</w:t>
      </w:r>
      <w:r w:rsidRPr="005500F7">
        <w:rPr>
          <w:rFonts w:ascii="Aptos" w:hAnsi="Aptos" w:cs="Helvetica"/>
          <w:i/>
          <w:iCs/>
          <w:sz w:val="20"/>
          <w:szCs w:val="20"/>
        </w:rPr>
        <w:t xml:space="preserve">Cohen's d </w:t>
      </w:r>
      <w:r w:rsidRPr="005500F7">
        <w:rPr>
          <w:rFonts w:ascii="Aptos" w:hAnsi="Aptos" w:cs="Helvetica"/>
          <w:sz w:val="20"/>
          <w:szCs w:val="20"/>
        </w:rPr>
        <w:t xml:space="preserve">≥ 0.8 or </w:t>
      </w:r>
      <w:r w:rsidRPr="005500F7">
        <w:rPr>
          <w:rFonts w:ascii="Aptos" w:hAnsi="Aptos" w:cs="Helvetica"/>
          <w:i/>
          <w:iCs/>
          <w:sz w:val="20"/>
          <w:szCs w:val="20"/>
        </w:rPr>
        <w:t>Cramer's v</w:t>
      </w:r>
      <w:r w:rsidRPr="005500F7">
        <w:rPr>
          <w:rFonts w:ascii="Aptos" w:hAnsi="Aptos" w:cs="Helvetica"/>
          <w:sz w:val="20"/>
          <w:szCs w:val="20"/>
        </w:rPr>
        <w:t xml:space="preserve"> ≥ 0.25), which signifies their practical utility, for the variants in each pair.</w:t>
      </w:r>
      <w:r w:rsidR="00C61F28">
        <w:rPr>
          <w:rFonts w:ascii="Aptos" w:hAnsi="Aptos" w:cs="Helvetica"/>
          <w:sz w:val="20"/>
          <w:szCs w:val="20"/>
        </w:rPr>
        <w:t xml:space="preserve"> </w:t>
      </w:r>
      <w:r w:rsidR="000B481B">
        <w:rPr>
          <w:rFonts w:ascii="Aptos" w:hAnsi="Aptos" w:cs="Helvetica"/>
          <w:sz w:val="20"/>
          <w:szCs w:val="20"/>
        </w:rPr>
        <w:t>We included all features in the model training for gene pairs where this condition was not met</w:t>
      </w:r>
      <w:r w:rsidR="00C61F28">
        <w:rPr>
          <w:rFonts w:ascii="Aptos" w:hAnsi="Aptos" w:cs="Helvetica"/>
          <w:sz w:val="20"/>
          <w:szCs w:val="20"/>
        </w:rPr>
        <w:t>.</w:t>
      </w:r>
      <w:r w:rsidR="00131C42" w:rsidRPr="005500F7">
        <w:rPr>
          <w:rFonts w:ascii="Aptos" w:hAnsi="Aptos" w:cs="Helvetica"/>
          <w:sz w:val="20"/>
          <w:szCs w:val="20"/>
          <w:lang w:val="en-CA"/>
        </w:rPr>
        <w:t xml:space="preserve"> </w:t>
      </w:r>
      <w:r w:rsidRPr="005500F7">
        <w:rPr>
          <w:rFonts w:ascii="Aptos" w:hAnsi="Aptos" w:cs="Helvetica"/>
          <w:sz w:val="20"/>
          <w:szCs w:val="20"/>
        </w:rPr>
        <w:t xml:space="preserve">We presented the performance of the random forest (RF) tree classifier, gradient boost classifier, and voting classifier in terms of balanced accuracy, weighted area under the curve (AUC), and weighted F1 (Supplementary Table </w:t>
      </w:r>
      <w:r w:rsidR="000B481B">
        <w:rPr>
          <w:rFonts w:ascii="Aptos" w:hAnsi="Aptos" w:cs="Helvetica"/>
          <w:sz w:val="20"/>
          <w:szCs w:val="20"/>
        </w:rPr>
        <w:t>8</w:t>
      </w:r>
      <w:r w:rsidRPr="005500F7">
        <w:rPr>
          <w:rFonts w:ascii="Aptos" w:hAnsi="Aptos" w:cs="Helvetica"/>
          <w:sz w:val="20"/>
          <w:szCs w:val="20"/>
        </w:rPr>
        <w:t>).</w:t>
      </w:r>
    </w:p>
    <w:p w14:paraId="2F319D53" w14:textId="3F776E6D" w:rsidR="00BB6A15" w:rsidRDefault="001A4566" w:rsidP="00BB6A15">
      <w:pPr>
        <w:jc w:val="both"/>
        <w:rPr>
          <w:rFonts w:ascii="Aptos" w:hAnsi="Aptos"/>
          <w:b/>
          <w:bCs/>
          <w:sz w:val="20"/>
          <w:szCs w:val="20"/>
        </w:rPr>
      </w:pPr>
      <w:r w:rsidRPr="005500F7">
        <w:rPr>
          <w:rFonts w:ascii="Aptos" w:hAnsi="Aptos"/>
          <w:b/>
          <w:bCs/>
          <w:sz w:val="20"/>
          <w:szCs w:val="20"/>
        </w:rPr>
        <w:t xml:space="preserve">Supplementary Table </w:t>
      </w:r>
      <w:r w:rsidR="00705731">
        <w:rPr>
          <w:rFonts w:ascii="Aptos" w:hAnsi="Aptos"/>
          <w:b/>
          <w:bCs/>
          <w:sz w:val="20"/>
          <w:szCs w:val="20"/>
        </w:rPr>
        <w:t>8.</w:t>
      </w:r>
      <w:r w:rsidRPr="005500F7">
        <w:rPr>
          <w:rFonts w:ascii="Aptos" w:hAnsi="Aptos"/>
          <w:b/>
          <w:bCs/>
          <w:sz w:val="20"/>
          <w:szCs w:val="20"/>
        </w:rPr>
        <w:t xml:space="preserve"> The one-vs-one (OVO) decoding performances</w:t>
      </w:r>
    </w:p>
    <w:p w14:paraId="52B34F8D" w14:textId="77777777" w:rsidR="001B4080" w:rsidRPr="005500F7" w:rsidRDefault="001B4080" w:rsidP="00BB6A15">
      <w:pPr>
        <w:jc w:val="both"/>
        <w:rPr>
          <w:rFonts w:ascii="Aptos" w:hAnsi="Aptos"/>
          <w:b/>
          <w:bCs/>
          <w:sz w:val="20"/>
          <w:szCs w:val="20"/>
        </w:rPr>
      </w:pPr>
    </w:p>
    <w:tbl>
      <w:tblPr>
        <w:tblStyle w:val="TableGrid"/>
        <w:tblW w:w="11326" w:type="dxa"/>
        <w:jc w:val="center"/>
        <w:tblLook w:val="04A0" w:firstRow="1" w:lastRow="0" w:firstColumn="1" w:lastColumn="0" w:noHBand="0" w:noVBand="1"/>
      </w:tblPr>
      <w:tblGrid>
        <w:gridCol w:w="908"/>
        <w:gridCol w:w="908"/>
        <w:gridCol w:w="1068"/>
        <w:gridCol w:w="1051"/>
        <w:gridCol w:w="1051"/>
        <w:gridCol w:w="1068"/>
        <w:gridCol w:w="1051"/>
        <w:gridCol w:w="1051"/>
        <w:gridCol w:w="1068"/>
        <w:gridCol w:w="1051"/>
        <w:gridCol w:w="1051"/>
      </w:tblGrid>
      <w:tr w:rsidR="0017005C" w:rsidRPr="005500F7" w14:paraId="7E0F21A8" w14:textId="77777777" w:rsidTr="0050587B">
        <w:trPr>
          <w:trHeight w:val="364"/>
          <w:jc w:val="center"/>
        </w:trPr>
        <w:tc>
          <w:tcPr>
            <w:tcW w:w="1816" w:type="dxa"/>
            <w:gridSpan w:val="2"/>
            <w:vMerge w:val="restart"/>
            <w:tcBorders>
              <w:top w:val="single" w:sz="4" w:space="0" w:color="FFFFFF" w:themeColor="background1"/>
              <w:left w:val="single" w:sz="4" w:space="0" w:color="FFFFFF" w:themeColor="background1"/>
              <w:right w:val="single" w:sz="4" w:space="0" w:color="FFFFFF" w:themeColor="background1"/>
            </w:tcBorders>
            <w:vAlign w:val="center"/>
          </w:tcPr>
          <w:p w14:paraId="1D6D54F1" w14:textId="77777777" w:rsidR="0029224C" w:rsidRPr="005500F7" w:rsidRDefault="006F2516" w:rsidP="0029224C">
            <w:pPr>
              <w:pStyle w:val="NoSpacing"/>
              <w:rPr>
                <w:rFonts w:ascii="Aptos" w:hAnsi="Aptos" w:cs="Times New Roman"/>
                <w:b/>
                <w:sz w:val="20"/>
                <w:szCs w:val="20"/>
              </w:rPr>
            </w:pPr>
            <w:r w:rsidRPr="005500F7">
              <w:rPr>
                <w:rFonts w:ascii="Aptos" w:hAnsi="Aptos" w:cs="Times New Roman"/>
                <w:b/>
                <w:sz w:val="20"/>
                <w:szCs w:val="20"/>
              </w:rPr>
              <w:t>Gene Pair</w:t>
            </w:r>
          </w:p>
        </w:tc>
        <w:tc>
          <w:tcPr>
            <w:tcW w:w="3170" w:type="dxa"/>
            <w:gridSpan w:val="3"/>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06606896"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Random Forest Classifier</w:t>
            </w:r>
          </w:p>
        </w:tc>
        <w:tc>
          <w:tcPr>
            <w:tcW w:w="3170" w:type="dxa"/>
            <w:gridSpan w:val="3"/>
            <w:tcBorders>
              <w:top w:val="single" w:sz="4" w:space="0" w:color="FFFFFF" w:themeColor="background1"/>
              <w:left w:val="single" w:sz="4" w:space="0" w:color="FFFFFF" w:themeColor="background1"/>
              <w:bottom w:val="single" w:sz="12" w:space="0" w:color="auto"/>
              <w:right w:val="single" w:sz="12" w:space="0" w:color="FFFFFF" w:themeColor="background1"/>
            </w:tcBorders>
            <w:vAlign w:val="center"/>
          </w:tcPr>
          <w:p w14:paraId="3B98FD76" w14:textId="14E17BC2" w:rsidR="0029224C" w:rsidRPr="005500F7" w:rsidRDefault="006F2516" w:rsidP="00DA6B87">
            <w:pPr>
              <w:pStyle w:val="NoSpacing"/>
              <w:ind w:firstLine="0"/>
              <w:jc w:val="center"/>
              <w:rPr>
                <w:rFonts w:ascii="Aptos" w:hAnsi="Aptos" w:cs="Times New Roman"/>
                <w:b/>
                <w:sz w:val="20"/>
                <w:szCs w:val="20"/>
              </w:rPr>
            </w:pPr>
            <w:bookmarkStart w:id="9" w:name="_Hlk147234945"/>
            <w:r w:rsidRPr="005500F7">
              <w:rPr>
                <w:rFonts w:ascii="Aptos" w:hAnsi="Aptos" w:cs="Times New Roman"/>
                <w:b/>
                <w:sz w:val="20"/>
                <w:szCs w:val="20"/>
              </w:rPr>
              <w:t>Gradient Boost Classifier</w:t>
            </w:r>
            <w:bookmarkEnd w:id="9"/>
          </w:p>
        </w:tc>
        <w:tc>
          <w:tcPr>
            <w:tcW w:w="3170" w:type="dxa"/>
            <w:gridSpan w:val="3"/>
            <w:tcBorders>
              <w:top w:val="single" w:sz="4" w:space="0" w:color="FFFFFF" w:themeColor="background1"/>
              <w:left w:val="single" w:sz="4" w:space="0" w:color="FFFFFF" w:themeColor="background1"/>
              <w:bottom w:val="single" w:sz="12" w:space="0" w:color="auto"/>
              <w:right w:val="single" w:sz="12" w:space="0" w:color="FFFFFF" w:themeColor="background1"/>
            </w:tcBorders>
            <w:vAlign w:val="center"/>
          </w:tcPr>
          <w:p w14:paraId="77406FD4"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Voting Classifier</w:t>
            </w:r>
          </w:p>
        </w:tc>
      </w:tr>
      <w:tr w:rsidR="0017005C" w:rsidRPr="005500F7" w14:paraId="33A7924F" w14:textId="77777777" w:rsidTr="0050587B">
        <w:trPr>
          <w:trHeight w:val="364"/>
          <w:jc w:val="center"/>
        </w:trPr>
        <w:tc>
          <w:tcPr>
            <w:tcW w:w="1816" w:type="dxa"/>
            <w:gridSpan w:val="2"/>
            <w:vMerge/>
            <w:tcBorders>
              <w:left w:val="single" w:sz="4" w:space="0" w:color="FFFFFF" w:themeColor="background1"/>
              <w:bottom w:val="single" w:sz="12" w:space="0" w:color="auto"/>
              <w:right w:val="single" w:sz="4" w:space="0" w:color="FFFFFF" w:themeColor="background1"/>
            </w:tcBorders>
            <w:vAlign w:val="center"/>
          </w:tcPr>
          <w:p w14:paraId="258B1DCC" w14:textId="77777777" w:rsidR="0029224C" w:rsidRPr="005500F7" w:rsidRDefault="0029224C" w:rsidP="00DA6B87">
            <w:pPr>
              <w:pStyle w:val="NoSpacing"/>
              <w:ind w:firstLine="0"/>
              <w:jc w:val="center"/>
              <w:rPr>
                <w:rFonts w:ascii="Aptos" w:hAnsi="Aptos" w:cs="Times New Roman"/>
                <w:b/>
                <w:sz w:val="20"/>
                <w:szCs w:val="20"/>
              </w:rPr>
            </w:pPr>
          </w:p>
        </w:tc>
        <w:tc>
          <w:tcPr>
            <w:tcW w:w="1068"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6502E703"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balanced</w:t>
            </w:r>
          </w:p>
          <w:p w14:paraId="3B653801"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accuracy</w:t>
            </w:r>
          </w:p>
        </w:tc>
        <w:tc>
          <w:tcPr>
            <w:tcW w:w="1051"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35225701"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weighted</w:t>
            </w:r>
          </w:p>
          <w:p w14:paraId="017096A3"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AUC</w:t>
            </w:r>
          </w:p>
        </w:tc>
        <w:tc>
          <w:tcPr>
            <w:tcW w:w="1051"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574F9373"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weighted</w:t>
            </w:r>
          </w:p>
          <w:p w14:paraId="22D89160"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F1</w:t>
            </w:r>
          </w:p>
        </w:tc>
        <w:tc>
          <w:tcPr>
            <w:tcW w:w="1068"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694DD2B5"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balanced</w:t>
            </w:r>
          </w:p>
          <w:p w14:paraId="69996ADA"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accuracy</w:t>
            </w:r>
          </w:p>
        </w:tc>
        <w:tc>
          <w:tcPr>
            <w:tcW w:w="1051" w:type="dxa"/>
            <w:tcBorders>
              <w:top w:val="single" w:sz="4" w:space="0" w:color="FFFFFF" w:themeColor="background1"/>
              <w:left w:val="single" w:sz="4" w:space="0" w:color="FFFFFF" w:themeColor="background1"/>
              <w:bottom w:val="single" w:sz="12" w:space="0" w:color="auto"/>
              <w:right w:val="single" w:sz="12" w:space="0" w:color="FFFFFF" w:themeColor="background1"/>
            </w:tcBorders>
            <w:vAlign w:val="center"/>
          </w:tcPr>
          <w:p w14:paraId="3DA52C20"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weighted</w:t>
            </w:r>
          </w:p>
          <w:p w14:paraId="049A95EE"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AUC</w:t>
            </w:r>
          </w:p>
        </w:tc>
        <w:tc>
          <w:tcPr>
            <w:tcW w:w="1051" w:type="dxa"/>
            <w:tcBorders>
              <w:top w:val="single" w:sz="4" w:space="0" w:color="FFFFFF" w:themeColor="background1"/>
              <w:left w:val="single" w:sz="4" w:space="0" w:color="FFFFFF" w:themeColor="background1"/>
              <w:bottom w:val="single" w:sz="12" w:space="0" w:color="auto"/>
              <w:right w:val="single" w:sz="12" w:space="0" w:color="FFFFFF" w:themeColor="background1"/>
            </w:tcBorders>
            <w:vAlign w:val="center"/>
          </w:tcPr>
          <w:p w14:paraId="397677D2"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weighted</w:t>
            </w:r>
          </w:p>
          <w:p w14:paraId="10DF7B26"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F1</w:t>
            </w:r>
          </w:p>
        </w:tc>
        <w:tc>
          <w:tcPr>
            <w:tcW w:w="1068"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68841BB2"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balanced</w:t>
            </w:r>
          </w:p>
          <w:p w14:paraId="2F277307"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accuracy</w:t>
            </w:r>
          </w:p>
        </w:tc>
        <w:tc>
          <w:tcPr>
            <w:tcW w:w="1051" w:type="dxa"/>
            <w:tcBorders>
              <w:top w:val="single" w:sz="4" w:space="0" w:color="FFFFFF" w:themeColor="background1"/>
              <w:left w:val="single" w:sz="4" w:space="0" w:color="FFFFFF" w:themeColor="background1"/>
              <w:bottom w:val="single" w:sz="12" w:space="0" w:color="auto"/>
              <w:right w:val="single" w:sz="12" w:space="0" w:color="FFFFFF" w:themeColor="background1"/>
            </w:tcBorders>
            <w:vAlign w:val="center"/>
          </w:tcPr>
          <w:p w14:paraId="17749495"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weighted</w:t>
            </w:r>
          </w:p>
          <w:p w14:paraId="6E74E514"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AUC</w:t>
            </w:r>
          </w:p>
        </w:tc>
        <w:tc>
          <w:tcPr>
            <w:tcW w:w="1051" w:type="dxa"/>
            <w:tcBorders>
              <w:top w:val="single" w:sz="4" w:space="0" w:color="FFFFFF" w:themeColor="background1"/>
              <w:left w:val="single" w:sz="4" w:space="0" w:color="FFFFFF" w:themeColor="background1"/>
              <w:bottom w:val="single" w:sz="12" w:space="0" w:color="auto"/>
              <w:right w:val="single" w:sz="12" w:space="0" w:color="FFFFFF" w:themeColor="background1"/>
            </w:tcBorders>
            <w:vAlign w:val="center"/>
          </w:tcPr>
          <w:p w14:paraId="15851F03"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weighted</w:t>
            </w:r>
          </w:p>
          <w:p w14:paraId="2F037B8D" w14:textId="77777777" w:rsidR="0029224C" w:rsidRPr="005500F7" w:rsidRDefault="006F2516" w:rsidP="00DA6B87">
            <w:pPr>
              <w:pStyle w:val="NoSpacing"/>
              <w:ind w:firstLine="0"/>
              <w:jc w:val="center"/>
              <w:rPr>
                <w:rFonts w:ascii="Aptos" w:hAnsi="Aptos" w:cs="Times New Roman"/>
                <w:b/>
                <w:sz w:val="20"/>
                <w:szCs w:val="20"/>
              </w:rPr>
            </w:pPr>
            <w:r w:rsidRPr="005500F7">
              <w:rPr>
                <w:rFonts w:ascii="Aptos" w:hAnsi="Aptos" w:cs="Times New Roman"/>
                <w:b/>
                <w:sz w:val="20"/>
                <w:szCs w:val="20"/>
              </w:rPr>
              <w:t>F1</w:t>
            </w:r>
          </w:p>
        </w:tc>
      </w:tr>
      <w:tr w:rsidR="0050587B" w:rsidRPr="005500F7" w14:paraId="25C9F313" w14:textId="77777777" w:rsidTr="003C106F">
        <w:trPr>
          <w:jc w:val="center"/>
        </w:trPr>
        <w:tc>
          <w:tcPr>
            <w:tcW w:w="908" w:type="dxa"/>
            <w:tcBorders>
              <w:top w:val="single" w:sz="12" w:space="0" w:color="auto"/>
              <w:left w:val="single" w:sz="4" w:space="0" w:color="FFFFFF" w:themeColor="background1"/>
              <w:bottom w:val="single" w:sz="4" w:space="0" w:color="FFFFFF" w:themeColor="background1"/>
              <w:right w:val="single" w:sz="4" w:space="0" w:color="FFFFFF" w:themeColor="background1"/>
            </w:tcBorders>
            <w:vAlign w:val="center"/>
          </w:tcPr>
          <w:p w14:paraId="3EA4C27B"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AOPEP</w:t>
            </w:r>
          </w:p>
        </w:tc>
        <w:tc>
          <w:tcPr>
            <w:tcW w:w="908"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51C5C418"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GNAL</w:t>
            </w:r>
          </w:p>
        </w:tc>
        <w:tc>
          <w:tcPr>
            <w:tcW w:w="1068"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2B00BDA3" w14:textId="589A23DE"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0.78</w:t>
            </w:r>
          </w:p>
        </w:tc>
        <w:tc>
          <w:tcPr>
            <w:tcW w:w="1051"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5677E5CA" w14:textId="2C5EE945"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0.84</w:t>
            </w:r>
          </w:p>
        </w:tc>
        <w:tc>
          <w:tcPr>
            <w:tcW w:w="1051"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50B74C7A" w14:textId="5027CBF0"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0.78</w:t>
            </w:r>
          </w:p>
        </w:tc>
        <w:tc>
          <w:tcPr>
            <w:tcW w:w="1068"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22FDB2D9" w14:textId="21C7A828"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0.74</w:t>
            </w:r>
          </w:p>
        </w:tc>
        <w:tc>
          <w:tcPr>
            <w:tcW w:w="1051"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79C2F017" w14:textId="038AC493"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0.80</w:t>
            </w:r>
          </w:p>
        </w:tc>
        <w:tc>
          <w:tcPr>
            <w:tcW w:w="1051"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4681AA93" w14:textId="7DA3FE29"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0.74</w:t>
            </w:r>
          </w:p>
        </w:tc>
        <w:tc>
          <w:tcPr>
            <w:tcW w:w="1068"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7779ABEE" w14:textId="175A6508"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0.75</w:t>
            </w:r>
          </w:p>
        </w:tc>
        <w:tc>
          <w:tcPr>
            <w:tcW w:w="1051"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11C5C432" w14:textId="01E29A62"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0.82</w:t>
            </w:r>
          </w:p>
        </w:tc>
        <w:tc>
          <w:tcPr>
            <w:tcW w:w="1051"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6B047A05" w14:textId="6D495719"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0.75</w:t>
            </w:r>
          </w:p>
        </w:tc>
      </w:tr>
      <w:tr w:rsidR="0050587B" w:rsidRPr="005500F7" w14:paraId="3F784D15" w14:textId="77777777" w:rsidTr="003C106F">
        <w:trPr>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7EF10D"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AOPEP</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F24EB2"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KMT2B</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C1EDBD" w14:textId="319F4E73"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CA34CA" w14:textId="47915FA1"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580E04" w14:textId="2F0E72C4"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0.82</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1E60C1" w14:textId="5855836C"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72B9E1" w14:textId="639FA53E"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51F0E9" w14:textId="7E9321A6"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0.83</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94045E" w14:textId="6D7ECD3F"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786F4C" w14:textId="3494D21D"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52BF0E" w14:textId="4C4D6F7C"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0.82</w:t>
            </w:r>
          </w:p>
        </w:tc>
      </w:tr>
      <w:tr w:rsidR="0050587B" w:rsidRPr="005500F7" w14:paraId="0D7E5BA4" w14:textId="77777777" w:rsidTr="003C106F">
        <w:trPr>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320609"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AOPEP</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1E2DDB"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PANK2</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D2194D" w14:textId="51BAD6CA"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218ACC" w14:textId="07CEEF0F"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D67646" w14:textId="28B5C69A"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0.74</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841DD1" w14:textId="6090C59B"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78B237" w14:textId="2CF9A5F9"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59D946" w14:textId="0061130F"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F11E7C" w14:textId="2724D282"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2B3C89" w14:textId="4AAC9793"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BE242C" w14:textId="5A3FBC2A"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0.71</w:t>
            </w:r>
          </w:p>
        </w:tc>
      </w:tr>
      <w:tr w:rsidR="0050587B" w:rsidRPr="005500F7" w14:paraId="0FBF8E68" w14:textId="77777777" w:rsidTr="003C106F">
        <w:trPr>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8E6A22"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AOPEP</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8A8619"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PLA2G6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474E90" w14:textId="5A228853"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9DD037" w14:textId="79D4B5A9"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49A905" w14:textId="704A089B"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0.85</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E5F2E4" w14:textId="63391805"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A3F902" w14:textId="205B5F72"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0.90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9495F3" w14:textId="6C6953E8"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0.87</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49450D" w14:textId="1FC4CDAA"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EAB8ED" w14:textId="5C12B944"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C50E39" w14:textId="555A3C9E"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0.87</w:t>
            </w:r>
          </w:p>
        </w:tc>
      </w:tr>
      <w:tr w:rsidR="0050587B" w:rsidRPr="005500F7" w14:paraId="06BD00B9" w14:textId="77777777" w:rsidTr="003C106F">
        <w:trPr>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C6DC43"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AOPEP</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FCBDD2"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SGCE</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0B0612" w14:textId="01D46E37"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F49FC8" w14:textId="4D94EE46"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A27AD2" w14:textId="6585D968"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0.90</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4EA8D9" w14:textId="5AF263CA"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B06F84" w14:textId="1FEB23A3"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0.93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B2D6F9" w14:textId="1AC2E33B"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0.93</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EDD4E5" w14:textId="41941F0F"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0CFEC6" w14:textId="6A784702"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0.90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96EADE" w14:textId="2348F949"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0.94</w:t>
            </w:r>
          </w:p>
        </w:tc>
      </w:tr>
      <w:tr w:rsidR="0050587B" w:rsidRPr="005500F7" w14:paraId="53730B65" w14:textId="77777777" w:rsidTr="003C106F">
        <w:trPr>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D163EB"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AOPEP</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F2F660"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THAP1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E2B011" w14:textId="41902C07"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896B4B" w14:textId="52F5DF75"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E60465" w14:textId="3D8A8051"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0.67</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4382F7" w14:textId="05698416"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040344" w14:textId="3BFCFF9B"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FE10C2" w14:textId="73E6BF50"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0.67</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5C022" w14:textId="76465061"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38DA80" w14:textId="02867DDF"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234DF8" w14:textId="7C978563"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0.66</w:t>
            </w:r>
          </w:p>
        </w:tc>
      </w:tr>
      <w:tr w:rsidR="0050587B" w:rsidRPr="005500F7" w14:paraId="6CF200D1" w14:textId="77777777" w:rsidTr="003C106F">
        <w:trPr>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88F588"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AOPEP</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406C6D"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TOR1A</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8C5B8D" w14:textId="5BE51BB4"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A114C8" w14:textId="7F64B927"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A6E725" w14:textId="56201B88"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0.89</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FE298B" w14:textId="28CD0EBE"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8C9A30" w14:textId="5DBB5CCC"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042031" w14:textId="77E3ECC6"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0.91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53E247" w14:textId="7DFF72FE"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1C758A" w14:textId="4BEB7F45"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60E5E" w14:textId="247E63CB"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0.92</w:t>
            </w:r>
          </w:p>
        </w:tc>
      </w:tr>
      <w:tr w:rsidR="0050587B" w:rsidRPr="005500F7" w14:paraId="4D4143DB" w14:textId="77777777" w:rsidTr="003C106F">
        <w:trPr>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163582"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AOPEP</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0F7F23"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VPS16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8D436B" w14:textId="1FC7218A"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605AAF" w14:textId="355E66DA"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8393F6" w14:textId="019C8A1F"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0.85</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D01A8A" w14:textId="6D6B8154"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96CF42" w14:textId="504D6AF4"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9A20D8" w14:textId="450CE630"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0.87</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EAE0B3" w14:textId="1AE78739"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0.73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BB11E4" w14:textId="3F3B49A2"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AA09A8" w14:textId="6084A0F8"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0.87</w:t>
            </w:r>
          </w:p>
        </w:tc>
      </w:tr>
      <w:tr w:rsidR="0050587B" w:rsidRPr="005500F7" w14:paraId="69CE3A99" w14:textId="77777777" w:rsidTr="003C106F">
        <w:trPr>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D4F506"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GNAL</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C8BBDA"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KMT2B</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DB576A" w14:textId="5B20311E"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B54057" w14:textId="7D0942BB"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724AB4" w14:textId="67520348"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0.65</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A8DA64" w14:textId="5054CB07"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0.58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CF2A0A" w14:textId="5FFDBEA2"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C70D7" w14:textId="248726B1"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0.63</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D1AC36" w14:textId="6FE425F8"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C89816" w14:textId="1E919AD9"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7F8997" w14:textId="52EE4522" w:rsidR="0050587B" w:rsidRPr="00872870" w:rsidRDefault="0050587B" w:rsidP="0050587B">
            <w:pPr>
              <w:pStyle w:val="NoSpacing"/>
              <w:ind w:firstLine="0"/>
              <w:jc w:val="center"/>
              <w:rPr>
                <w:rFonts w:ascii="Aptos" w:hAnsi="Aptos" w:cs="Times New Roman"/>
                <w:sz w:val="20"/>
                <w:szCs w:val="20"/>
              </w:rPr>
            </w:pPr>
            <w:r w:rsidRPr="003C106F">
              <w:rPr>
                <w:rFonts w:ascii="Aptos" w:hAnsi="Aptos"/>
                <w:sz w:val="20"/>
                <w:szCs w:val="20"/>
              </w:rPr>
              <w:t>0.66</w:t>
            </w:r>
          </w:p>
        </w:tc>
      </w:tr>
      <w:tr w:rsidR="0050587B" w:rsidRPr="005500F7" w14:paraId="01EF0B27"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7AAEA22"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GNAL</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E4D911"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PANK2</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683C4B" w14:textId="19DEFC1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DDB7ED" w14:textId="1A792CC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E5DF29" w14:textId="35B6EFBC"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0.78</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AEE483" w14:textId="4617D04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814D69" w14:textId="1A9EB4A6"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83641F" w14:textId="5585114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A4F531" w14:textId="6CF3D95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5F436D" w14:textId="61E663B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AA7249" w14:textId="5E8CD78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0.77</w:t>
            </w:r>
          </w:p>
        </w:tc>
      </w:tr>
      <w:tr w:rsidR="0050587B" w:rsidRPr="005500F7" w14:paraId="3DEAAAA6"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8B8639"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GNAL</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A9153E"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PLA2G6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A0E8E1" w14:textId="5C34FA4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12D529" w14:textId="77737F3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83C11" w14:textId="24E53F7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0.57</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753E87" w14:textId="09C1BA3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EC9FAD" w14:textId="68108F1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B6997F" w14:textId="5E4F36E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0.58</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2B7B79" w14:textId="1FFA474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2C9EBB" w14:textId="5F8D8FA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D25A9A" w14:textId="54CD45EC"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0.60</w:t>
            </w:r>
          </w:p>
        </w:tc>
      </w:tr>
      <w:tr w:rsidR="0050587B" w:rsidRPr="005500F7" w14:paraId="76BA8119"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EA180F0"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GNAL</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DC60D6"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SGCE</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7BD013" w14:textId="62004E6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EA5D0B" w14:textId="40CD36F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00374C" w14:textId="1BC352C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0.73</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5669AD" w14:textId="2F4AEE4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20F07B" w14:textId="68A4527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B68856" w14:textId="02FD7BC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0.73</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990336" w14:textId="51831AA6"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1D22C1" w14:textId="2DA22E7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CB34F0" w14:textId="41DD8C1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0.73</w:t>
            </w:r>
          </w:p>
        </w:tc>
      </w:tr>
      <w:tr w:rsidR="0050587B" w:rsidRPr="005500F7" w14:paraId="68BD0CF5"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BF798D6"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GNAL</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AF3438"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THAP1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73002B" w14:textId="6B54D1D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DA3175" w14:textId="3002B30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A84C6B" w14:textId="729B7EB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0.79</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886289" w14:textId="525A1F6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390E6A" w14:textId="6672BCD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EAE109" w14:textId="5AC3F79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0.69</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7D8BB" w14:textId="2AFF755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D25C31" w14:textId="254557A2"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27B0F9" w14:textId="703FB13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0.71</w:t>
            </w:r>
          </w:p>
        </w:tc>
      </w:tr>
      <w:tr w:rsidR="0050587B" w:rsidRPr="005500F7" w14:paraId="468729B2"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7A6FE4D"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GNAL</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76AE03"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TOR1A</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FE5AFF" w14:textId="567DD91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F59B11" w14:textId="34FDAF4E"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4A9805" w14:textId="033B116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B6BE2D" w14:textId="0C17CD5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AA8D53" w14:textId="082CBD6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FCA635" w14:textId="3769DCA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0.80</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811F3C" w14:textId="734242D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9834CA" w14:textId="500A2A8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2DE3C0" w14:textId="310F99A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0.81</w:t>
            </w:r>
          </w:p>
        </w:tc>
      </w:tr>
      <w:tr w:rsidR="0050587B" w:rsidRPr="005500F7" w14:paraId="013A60AD"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577B03"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GNAL</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170AC4"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VPS16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04D187" w14:textId="3E8740A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E6F717" w14:textId="65C78F4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A21F66" w14:textId="33D1278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0.73</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9B5110" w14:textId="79E66CD6"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81B7D1" w14:textId="17EA452E"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75A113" w14:textId="116CBDD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0.73</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B108B5" w14:textId="13BCC46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A7C113" w14:textId="4BC7FD62"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A6CE05" w14:textId="5250818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0.72</w:t>
            </w:r>
          </w:p>
        </w:tc>
      </w:tr>
      <w:tr w:rsidR="0050587B" w:rsidRPr="005500F7" w14:paraId="6C29FB9F"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79B6B92"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KMT2B</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7A85A6"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PANK2</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660CCB" w14:textId="7584F0B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059946" w14:textId="0813F8A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D5B785" w14:textId="0135B8B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0.72</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EE3FC8" w14:textId="04FC0CD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11D87E" w14:textId="54863F9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AAFE90" w14:textId="3D42903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0.72</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F4BB45" w14:textId="3DA3F22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C1218E" w14:textId="558D063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31161B" w14:textId="1E34ACEC"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0.72</w:t>
            </w:r>
          </w:p>
        </w:tc>
      </w:tr>
      <w:tr w:rsidR="0050587B" w:rsidRPr="005500F7" w14:paraId="09C533D6"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A6FFAB"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KMT2B</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AB152C"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PLA2G6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57E87E" w14:textId="65DAA902"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EE364" w14:textId="1092925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E66752" w14:textId="6203BFB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0.59</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166F28" w14:textId="44DE68E2"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B33E7B" w14:textId="236A6FA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70AC5B" w14:textId="454B4E4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0.54</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90F754" w14:textId="75072BD2"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6D03F1" w14:textId="2F29074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3D17C1" w14:textId="540A2A7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0.58</w:t>
            </w:r>
          </w:p>
        </w:tc>
      </w:tr>
      <w:tr w:rsidR="0050587B" w:rsidRPr="005500F7" w14:paraId="17524A15"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6261CB"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KMT2B</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4EACC4"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SGCE</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46DD81" w14:textId="250B8C4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AC72E8" w14:textId="4711DF2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C10E57" w14:textId="13AAC71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0.74</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4FF45A" w14:textId="19A3A03C"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5DE4E0" w14:textId="3546D51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2270D2" w14:textId="7969D58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0.74</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4EDD1E" w14:textId="6C30A342"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857D8C" w14:textId="20F3FC5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2E3FCB" w14:textId="4B233AB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0.74</w:t>
            </w:r>
          </w:p>
        </w:tc>
      </w:tr>
      <w:tr w:rsidR="0050587B" w:rsidRPr="005500F7" w14:paraId="672E227C"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F0BA5B"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KMT2B</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2A0DC7"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THAP1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5F412B" w14:textId="21914EE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53D91A" w14:textId="5E8D09D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BC830D" w14:textId="63BFB56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0.79</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FC63F0" w14:textId="4CA0108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92BC56" w14:textId="33A61302"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501A64" w14:textId="05340E0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113E94" w14:textId="390A849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9A7BD9" w14:textId="638CBC1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8E03A1" w14:textId="2917A8A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0.81</w:t>
            </w:r>
          </w:p>
        </w:tc>
      </w:tr>
      <w:tr w:rsidR="0050587B" w:rsidRPr="005500F7" w14:paraId="7D6A8B66"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EDD792"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lastRenderedPageBreak/>
              <w:t>KMT2B</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73E4CB"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TOR1A</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1CF0D4" w14:textId="0BADC54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4FA785" w14:textId="247691A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DA5D20" w14:textId="73BFAC5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0.69</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339438" w14:textId="1B4316D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C9FFC9" w14:textId="77D0078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669AE2" w14:textId="02BE971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0.68</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50BA46" w14:textId="64B66846"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06F81C" w14:textId="44CB445C"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68F422" w14:textId="450A62B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0.69</w:t>
            </w:r>
          </w:p>
        </w:tc>
      </w:tr>
      <w:tr w:rsidR="0050587B" w:rsidRPr="005500F7" w14:paraId="20A3DDFB"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B72BA18"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KMT2B</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5A163D"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VPS16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14152D" w14:textId="3A7A433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7D324A" w14:textId="7F71D0B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F4403" w14:textId="4C6236EE"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0.70</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E0D5C5" w14:textId="6EE238E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5C6A0" w14:textId="77AECE96"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51C82F" w14:textId="08383F5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0.68</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7987AA" w14:textId="70E1AC6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5687BC" w14:textId="1CA03BD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A1FE41" w14:textId="4A259A1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0.69</w:t>
            </w:r>
          </w:p>
        </w:tc>
      </w:tr>
      <w:tr w:rsidR="0050587B" w:rsidRPr="005500F7" w14:paraId="5049AB2F"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9879BE8"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PANK2</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74F62F"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PLA2G6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15604A" w14:textId="1F94B05C"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1BAA0F" w14:textId="263E6AA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57DD9C" w14:textId="438E491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0.70</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DD938C" w14:textId="449772B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722E95" w14:textId="0119A60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720A54" w14:textId="5002836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0.70</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0330A1" w14:textId="0B77D6B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6D4A8F" w14:textId="0F76118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22106" w14:textId="3F8B9EC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0.71</w:t>
            </w:r>
          </w:p>
        </w:tc>
      </w:tr>
      <w:tr w:rsidR="0050587B" w:rsidRPr="005500F7" w14:paraId="7E329696"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5391945"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PANK2</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8B34D2"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SGCE</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764470" w14:textId="6A57AC6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2C68F5" w14:textId="407E09BE"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C36AFA" w14:textId="3E489072"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0.78</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EBC8D8" w14:textId="00DA37C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84E003" w14:textId="4E99FF3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9288E3" w14:textId="04E0D6D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0.78</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9A5656" w14:textId="409EF70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EF1454" w14:textId="2D78C51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EBDAB9" w14:textId="0D2D66D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0.79</w:t>
            </w:r>
          </w:p>
        </w:tc>
      </w:tr>
      <w:tr w:rsidR="0050587B" w:rsidRPr="005500F7" w14:paraId="4CBE1617"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C7FF36"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PANK2</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96AB3D"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THAP1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33F6EF" w14:textId="21CDE52C"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951C5F" w14:textId="72DD97E2"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6E3192" w14:textId="3A189D3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0.59</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706557" w14:textId="5D53C78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EC7007" w14:textId="7219841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92A9F0" w14:textId="57EE4E16"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0.52</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8E3D85" w14:textId="6C367E1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DAEF47" w14:textId="018FA82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1A8071" w14:textId="7F3370D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0.58</w:t>
            </w:r>
          </w:p>
        </w:tc>
      </w:tr>
      <w:tr w:rsidR="0050587B" w:rsidRPr="005500F7" w14:paraId="4078FC40"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623C2F"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PANK2</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ABAA05"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TOR1A</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A65E95" w14:textId="737C74D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8728A9" w14:textId="089B633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2FAD84" w14:textId="4C39888C"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0.73</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07DCA" w14:textId="563847B6"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868A40" w14:textId="4823FDB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7260E3" w14:textId="27C82A5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0.75</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FBC1AD" w14:textId="450D50E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41E230" w14:textId="2AE58D1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8F2B32" w14:textId="436205F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0.75</w:t>
            </w:r>
          </w:p>
        </w:tc>
      </w:tr>
      <w:tr w:rsidR="0050587B" w:rsidRPr="005500F7" w14:paraId="07582324"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C71E9FB"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PANK2</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2A2E02"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VPS16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33C4E4" w14:textId="228BBC6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152137" w14:textId="65C8B0C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A81246" w14:textId="5F32ED4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0.67</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D1D25D" w14:textId="3FC5A9F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7FDF7A" w14:textId="1D16352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AD0CCE" w14:textId="780223D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0.67</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D13199" w14:textId="0526911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6890AE" w14:textId="3398844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830B5F" w14:textId="7D188E9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0.68</w:t>
            </w:r>
          </w:p>
        </w:tc>
      </w:tr>
      <w:tr w:rsidR="0050587B" w:rsidRPr="005500F7" w14:paraId="0BD6E6D3"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48D792"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PLA2G6</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82DE6C"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SGCE</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9B9BAA" w14:textId="3222D9B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AFBF12" w14:textId="7E066D5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41E82F" w14:textId="579D56C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753A53" w14:textId="4A16142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4B6788" w14:textId="4C0F5D6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CF9D08" w14:textId="047E23D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0.59</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80077" w14:textId="76319B2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C6B6C9" w14:textId="681A6C9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5F29E5" w14:textId="58C541C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0.60</w:t>
            </w:r>
          </w:p>
        </w:tc>
      </w:tr>
      <w:tr w:rsidR="0050587B" w:rsidRPr="005500F7" w14:paraId="0F221D68"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61DBB5"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PLA2G6</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368B4B"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THAP1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8A7C3D" w14:textId="2278AC4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CCE848" w14:textId="0A771DB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F7EDDF" w14:textId="16BB556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0.77</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6D4413" w14:textId="2BC880E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D9725B" w14:textId="4604E226"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04E4A7" w14:textId="44649E4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0.74</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C49B1C" w14:textId="6319C94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7F3CBD" w14:textId="6F4BE32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4A0803" w14:textId="4D55ABF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0.74</w:t>
            </w:r>
          </w:p>
        </w:tc>
      </w:tr>
      <w:tr w:rsidR="0050587B" w:rsidRPr="005500F7" w14:paraId="5A7121F3"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CEC8BE"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PLA2G6</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7F012"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TOR1A</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C1D495" w14:textId="6AB27B6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051D24" w14:textId="5C349DA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3BACB9" w14:textId="69918A0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0.72</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5DE2FE" w14:textId="0F681CE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D9F414" w14:textId="2828DFB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7579E2" w14:textId="431C6D7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0.69</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D1AC0B" w14:textId="34A0483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C1ECC5" w14:textId="03FF6BF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A54C69" w14:textId="78DD40C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0.71</w:t>
            </w:r>
          </w:p>
        </w:tc>
      </w:tr>
      <w:tr w:rsidR="0050587B" w:rsidRPr="005500F7" w14:paraId="4E95F9A4"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303DE5"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PLA2G6</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C35321"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VPS16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590A21" w14:textId="5B0B545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E6789E" w14:textId="5CB0124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0.66</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AE1D11" w14:textId="69BA2B3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0.65</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9DDC95" w14:textId="2619061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241DF0" w14:textId="290B9F2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9D69E9" w14:textId="3DE4C21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0.64</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F4F4CC" w14:textId="0BF6543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601830" w14:textId="040A228B"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8CE0BA" w14:textId="13DBF07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0.65</w:t>
            </w:r>
          </w:p>
        </w:tc>
      </w:tr>
      <w:tr w:rsidR="0050587B" w:rsidRPr="005500F7" w14:paraId="413CE401"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A96D9A6"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SGCE</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28A3AD"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THAP1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1BECAE" w14:textId="77A3A62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5397F7" w14:textId="5C2AA346"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F9C6E1" w14:textId="6AC6A4B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0.83</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F9229" w14:textId="61AB17F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A7025D" w14:textId="7BC2496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1290F7" w14:textId="6786A78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0.83</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500BC7" w14:textId="33D56EA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E0A609" w14:textId="1E031EF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4E91D1" w14:textId="78C7ADD6"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0.82</w:t>
            </w:r>
          </w:p>
        </w:tc>
      </w:tr>
      <w:tr w:rsidR="0050587B" w:rsidRPr="005500F7" w14:paraId="7D736E41"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803D57A"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SGCE</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217E5E"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TOR1A</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F995D7" w14:textId="1F64EF3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F65411" w14:textId="7E39F036"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03C67F" w14:textId="0FC142A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0.65</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E2EA6C" w14:textId="0426BE0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482DD7" w14:textId="5D55300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136D92" w14:textId="2820E87E"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0.62</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5F330F" w14:textId="1184031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0.62</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36A90D" w14:textId="1077509E"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00596C" w14:textId="4C5C66E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0.62</w:t>
            </w:r>
          </w:p>
        </w:tc>
      </w:tr>
      <w:tr w:rsidR="0050587B" w:rsidRPr="005500F7" w14:paraId="42CB340F"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59B4A4" w14:textId="77777777" w:rsidR="0050587B" w:rsidRPr="005500F7" w:rsidRDefault="0050587B" w:rsidP="0050587B">
            <w:pPr>
              <w:pStyle w:val="NoSpacing"/>
              <w:ind w:firstLine="0"/>
              <w:jc w:val="center"/>
              <w:rPr>
                <w:rFonts w:ascii="Aptos" w:hAnsi="Aptos" w:cs="Times New Roman"/>
                <w:b/>
                <w:bCs/>
                <w:i/>
                <w:iCs/>
                <w:sz w:val="20"/>
                <w:szCs w:val="20"/>
              </w:rPr>
            </w:pPr>
            <w:r w:rsidRPr="005500F7">
              <w:rPr>
                <w:rFonts w:ascii="Aptos" w:hAnsi="Aptos" w:cs="Times New Roman"/>
                <w:i/>
                <w:iCs/>
                <w:sz w:val="20"/>
                <w:szCs w:val="20"/>
              </w:rPr>
              <w:t>SGCE</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73C954"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VPS16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FF5583" w14:textId="0FE4C44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804CB1" w14:textId="5649894A"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0B14CB" w14:textId="5E24C50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297834" w14:textId="43A6B17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F52F2B" w14:textId="6CF431D2"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1F5B04" w14:textId="6F28399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0.64</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F36C7E" w14:textId="7535B90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95CE8E" w14:textId="29075E4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21DA95" w14:textId="1AB816C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0.64</w:t>
            </w:r>
          </w:p>
        </w:tc>
      </w:tr>
      <w:tr w:rsidR="0050587B" w:rsidRPr="005500F7" w14:paraId="0B3AE201"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990A8E"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THAP1</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369AA9"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TOR1A</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D844A0" w14:textId="234E42A8"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CD7217" w14:textId="0C5FFEA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9E862B" w14:textId="59B8009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8DE0BD" w14:textId="02FA763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F36037" w14:textId="5D9711D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BF089B" w14:textId="079580B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0.82</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B9E811" w14:textId="0D76C74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0.68</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08B223" w14:textId="20C741B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A6BA04" w14:textId="172FC971"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0.82</w:t>
            </w:r>
          </w:p>
        </w:tc>
      </w:tr>
      <w:tr w:rsidR="0050587B" w:rsidRPr="005500F7" w14:paraId="405D112F" w14:textId="77777777" w:rsidTr="003C106F">
        <w:trPr>
          <w:trHeight w:val="56"/>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CFCFCD4"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THAP1</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7C4142"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VPS16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E05EB5" w14:textId="1F4FB8F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0.67</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9E4EE0" w14:textId="5078799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44AA6F" w14:textId="38DD216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0.75</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4B53F7" w14:textId="1656F87C"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0.60</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E11D4B" w14:textId="218769E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2DBC08" w14:textId="62F6162F"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936D6D" w14:textId="15BDF86C"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D9C571" w14:textId="33EFF79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84789" w14:textId="17F92F3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0.75</w:t>
            </w:r>
          </w:p>
        </w:tc>
      </w:tr>
      <w:tr w:rsidR="0050587B" w:rsidRPr="005500F7" w14:paraId="0F7646FC" w14:textId="77777777" w:rsidTr="003C106F">
        <w:trPr>
          <w:trHeight w:val="64"/>
          <w:jc w:val="center"/>
        </w:trPr>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691DAD"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TOR1A</w:t>
            </w:r>
          </w:p>
        </w:tc>
        <w:tc>
          <w:tcPr>
            <w:tcW w:w="9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A45B60" w14:textId="77777777" w:rsidR="0050587B" w:rsidRPr="005500F7" w:rsidRDefault="0050587B" w:rsidP="0050587B">
            <w:pPr>
              <w:pStyle w:val="NoSpacing"/>
              <w:ind w:firstLine="0"/>
              <w:jc w:val="center"/>
              <w:rPr>
                <w:rFonts w:ascii="Aptos" w:hAnsi="Aptos" w:cs="Times New Roman"/>
                <w:i/>
                <w:iCs/>
                <w:sz w:val="20"/>
                <w:szCs w:val="20"/>
              </w:rPr>
            </w:pPr>
            <w:r w:rsidRPr="005500F7">
              <w:rPr>
                <w:rFonts w:ascii="Aptos" w:hAnsi="Aptos" w:cs="Times New Roman"/>
                <w:i/>
                <w:iCs/>
                <w:sz w:val="20"/>
                <w:szCs w:val="20"/>
              </w:rPr>
              <w:t>VPS16</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52506F" w14:textId="4D95645D"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E49502" w14:textId="773828A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0.64</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3529AB" w14:textId="407BE1C9"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0.61</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8C6AF3" w14:textId="6B91BD80"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EFC058" w14:textId="511FBD67"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0.63</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B2E888" w14:textId="49B1F375"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0.60</w:t>
            </w:r>
          </w:p>
        </w:tc>
        <w:tc>
          <w:tcPr>
            <w:tcW w:w="1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8F66D9" w14:textId="4AD59D94"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0.59</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696A93" w14:textId="000B1AF3"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0.65</w:t>
            </w:r>
          </w:p>
        </w:tc>
        <w:tc>
          <w:tcPr>
            <w:tcW w:w="1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2A57C7" w14:textId="45158A22" w:rsidR="0050587B" w:rsidRPr="00872870" w:rsidRDefault="0050587B" w:rsidP="0050587B">
            <w:pPr>
              <w:pStyle w:val="NoSpacing"/>
              <w:ind w:firstLine="0"/>
              <w:jc w:val="center"/>
              <w:rPr>
                <w:rFonts w:ascii="Aptos" w:hAnsi="Aptos" w:cs="Times New Roman"/>
                <w:b/>
                <w:bCs/>
                <w:sz w:val="20"/>
                <w:szCs w:val="20"/>
              </w:rPr>
            </w:pPr>
            <w:r w:rsidRPr="003C106F">
              <w:rPr>
                <w:rFonts w:ascii="Aptos" w:hAnsi="Aptos"/>
                <w:sz w:val="20"/>
                <w:szCs w:val="20"/>
              </w:rPr>
              <w:t>0.60</w:t>
            </w:r>
          </w:p>
        </w:tc>
      </w:tr>
    </w:tbl>
    <w:p w14:paraId="64C90403" w14:textId="77777777" w:rsidR="00131C42" w:rsidRPr="005500F7" w:rsidRDefault="00131C42" w:rsidP="00956C03">
      <w:pPr>
        <w:jc w:val="both"/>
        <w:rPr>
          <w:rFonts w:ascii="Aptos" w:hAnsi="Aptos" w:cs="Helvetica"/>
          <w:sz w:val="20"/>
          <w:szCs w:val="20"/>
          <w:lang w:val="en-CA"/>
        </w:rPr>
      </w:pPr>
    </w:p>
    <w:p w14:paraId="2C07ACCA" w14:textId="77777777" w:rsidR="00BA386C" w:rsidRPr="005500F7" w:rsidRDefault="006F2516" w:rsidP="005500F7">
      <w:pPr>
        <w:pStyle w:val="Heading2"/>
        <w:rPr>
          <w:sz w:val="20"/>
          <w:szCs w:val="20"/>
          <w:lang w:val="en-CA"/>
        </w:rPr>
      </w:pPr>
      <w:r w:rsidRPr="005500F7">
        <w:rPr>
          <w:sz w:val="20"/>
          <w:szCs w:val="20"/>
        </w:rPr>
        <w:t>One-vs-rest (OVR) decoding</w:t>
      </w:r>
    </w:p>
    <w:p w14:paraId="3D7C8EDC" w14:textId="77777777" w:rsidR="00EC1C69" w:rsidRDefault="006F2516" w:rsidP="00EC1C69">
      <w:pPr>
        <w:ind w:left="360"/>
        <w:jc w:val="both"/>
        <w:rPr>
          <w:rFonts w:ascii="Aptos" w:hAnsi="Aptos" w:cs="Helvetica"/>
          <w:sz w:val="20"/>
          <w:szCs w:val="20"/>
        </w:rPr>
      </w:pPr>
      <w:r w:rsidRPr="005500F7">
        <w:rPr>
          <w:rFonts w:ascii="Aptos" w:hAnsi="Aptos" w:cs="Helvetica"/>
          <w:sz w:val="20"/>
          <w:szCs w:val="20"/>
        </w:rPr>
        <w:t xml:space="preserve">Furthermore, we also tried to successfully decode neurons associated with each genetic dystonia syndrome in contrast to the others. Employing a neural feature selection scheme </w:t>
      </w:r>
      <w:proofErr w:type="gramStart"/>
      <w:r w:rsidRPr="005500F7">
        <w:rPr>
          <w:rFonts w:ascii="Aptos" w:hAnsi="Aptos" w:cs="Helvetica"/>
          <w:sz w:val="20"/>
          <w:szCs w:val="20"/>
        </w:rPr>
        <w:t>similar to</w:t>
      </w:r>
      <w:proofErr w:type="gramEnd"/>
      <w:r w:rsidRPr="005500F7">
        <w:rPr>
          <w:rFonts w:ascii="Aptos" w:hAnsi="Aptos" w:cs="Helvetica"/>
          <w:sz w:val="20"/>
          <w:szCs w:val="20"/>
        </w:rPr>
        <w:t xml:space="preserve"> OVO decoding, we initiated Mann</w:t>
      </w:r>
      <w:r w:rsidRPr="005500F7">
        <w:rPr>
          <w:rFonts w:ascii="Arial" w:hAnsi="Arial" w:cs="Arial"/>
          <w:sz w:val="20"/>
          <w:szCs w:val="20"/>
        </w:rPr>
        <w:t>‒</w:t>
      </w:r>
      <w:r w:rsidRPr="005500F7">
        <w:rPr>
          <w:rFonts w:ascii="Aptos" w:hAnsi="Aptos" w:cs="Helvetica"/>
          <w:sz w:val="20"/>
          <w:szCs w:val="20"/>
        </w:rPr>
        <w:t>Whitney U tests with Holm</w:t>
      </w:r>
      <w:r w:rsidRPr="005500F7">
        <w:rPr>
          <w:rFonts w:ascii="Aptos" w:hAnsi="Aptos" w:cs="Aptos"/>
          <w:sz w:val="20"/>
          <w:szCs w:val="20"/>
        </w:rPr>
        <w:t>–</w:t>
      </w:r>
      <w:r w:rsidRPr="005500F7">
        <w:rPr>
          <w:rFonts w:ascii="Aptos" w:hAnsi="Aptos" w:cs="Helvetica"/>
          <w:sz w:val="20"/>
          <w:szCs w:val="20"/>
        </w:rPr>
        <w:t>Bonferroni correction in an OVR fashion. These tests aimed to pinpoint neural features distinguishing the neurons of the selected genetic dystonia syndromes from the rest, with corresponding p values provided in Supplementary Table 7. For OVR decoding, we exclusively employed the random forest classifier method, as different algorithms yielded comparable results in OVO decoding. The outcomes are presented in terms of balanced accuracy, weighted area under the curve (AUC), weighted F1, and recall scores, with a particular emphasis on recall, given the focus on targeting neurons of the specific genetic syndrome rather than the remaining syndromes (Supplementary Table 8).</w:t>
      </w:r>
    </w:p>
    <w:p w14:paraId="7DF89120" w14:textId="77777777" w:rsidR="00C908E5" w:rsidRDefault="00C908E5" w:rsidP="00EC1C69">
      <w:pPr>
        <w:ind w:left="360"/>
        <w:jc w:val="both"/>
        <w:rPr>
          <w:rFonts w:ascii="Aptos" w:hAnsi="Aptos" w:cs="Helvetica"/>
          <w:sz w:val="20"/>
          <w:szCs w:val="20"/>
        </w:rPr>
      </w:pPr>
    </w:p>
    <w:p w14:paraId="551203CF" w14:textId="77777777" w:rsidR="00C908E5" w:rsidRDefault="00C908E5" w:rsidP="00EC1C69">
      <w:pPr>
        <w:ind w:left="360"/>
        <w:jc w:val="both"/>
        <w:rPr>
          <w:rFonts w:ascii="Aptos" w:hAnsi="Aptos" w:cs="Helvetica"/>
          <w:sz w:val="20"/>
          <w:szCs w:val="20"/>
        </w:rPr>
      </w:pPr>
    </w:p>
    <w:p w14:paraId="31A96DF5" w14:textId="77777777" w:rsidR="00C908E5" w:rsidRDefault="00C908E5" w:rsidP="00EC1C69">
      <w:pPr>
        <w:ind w:left="360"/>
        <w:jc w:val="both"/>
        <w:rPr>
          <w:rFonts w:ascii="Aptos" w:hAnsi="Aptos" w:cs="Helvetica"/>
          <w:sz w:val="20"/>
          <w:szCs w:val="20"/>
        </w:rPr>
      </w:pPr>
    </w:p>
    <w:p w14:paraId="26070514" w14:textId="77777777" w:rsidR="00C908E5" w:rsidRDefault="00C908E5" w:rsidP="00EC1C69">
      <w:pPr>
        <w:ind w:left="360"/>
        <w:jc w:val="both"/>
        <w:rPr>
          <w:rFonts w:ascii="Aptos" w:hAnsi="Aptos" w:cs="Helvetica"/>
          <w:sz w:val="20"/>
          <w:szCs w:val="20"/>
        </w:rPr>
      </w:pPr>
    </w:p>
    <w:p w14:paraId="78AAD9D9" w14:textId="77777777" w:rsidR="00C908E5" w:rsidRDefault="00C908E5" w:rsidP="00EC1C69">
      <w:pPr>
        <w:ind w:left="360"/>
        <w:jc w:val="both"/>
        <w:rPr>
          <w:rFonts w:ascii="Aptos" w:hAnsi="Aptos" w:cs="Helvetica"/>
          <w:sz w:val="20"/>
          <w:szCs w:val="20"/>
        </w:rPr>
      </w:pPr>
    </w:p>
    <w:p w14:paraId="26237E70" w14:textId="77777777" w:rsidR="00C908E5" w:rsidRDefault="00C908E5" w:rsidP="00EC1C69">
      <w:pPr>
        <w:ind w:left="360"/>
        <w:jc w:val="both"/>
        <w:rPr>
          <w:rFonts w:ascii="Aptos" w:hAnsi="Aptos" w:cs="Helvetica"/>
          <w:sz w:val="20"/>
          <w:szCs w:val="20"/>
        </w:rPr>
      </w:pPr>
    </w:p>
    <w:p w14:paraId="6AD01EA5" w14:textId="77777777" w:rsidR="00C908E5" w:rsidRDefault="00C908E5" w:rsidP="00EC1C69">
      <w:pPr>
        <w:ind w:left="360"/>
        <w:jc w:val="both"/>
        <w:rPr>
          <w:rFonts w:ascii="Aptos" w:hAnsi="Aptos" w:cs="Helvetica"/>
          <w:sz w:val="20"/>
          <w:szCs w:val="20"/>
        </w:rPr>
      </w:pPr>
    </w:p>
    <w:p w14:paraId="3FC877F9" w14:textId="77777777" w:rsidR="00C908E5" w:rsidRDefault="00C908E5" w:rsidP="00EC1C69">
      <w:pPr>
        <w:ind w:left="360"/>
        <w:jc w:val="both"/>
        <w:rPr>
          <w:rFonts w:ascii="Aptos" w:hAnsi="Aptos" w:cs="Helvetica"/>
          <w:sz w:val="20"/>
          <w:szCs w:val="20"/>
        </w:rPr>
      </w:pPr>
    </w:p>
    <w:p w14:paraId="5ACD6164" w14:textId="77777777" w:rsidR="00C908E5" w:rsidRDefault="00C908E5" w:rsidP="00EC1C69">
      <w:pPr>
        <w:ind w:left="360"/>
        <w:jc w:val="both"/>
        <w:rPr>
          <w:rFonts w:ascii="Aptos" w:hAnsi="Aptos" w:cs="Helvetica"/>
          <w:sz w:val="20"/>
          <w:szCs w:val="20"/>
        </w:rPr>
      </w:pPr>
    </w:p>
    <w:p w14:paraId="0E01A3D6" w14:textId="77777777" w:rsidR="00C908E5" w:rsidRPr="005500F7" w:rsidRDefault="00C908E5" w:rsidP="00EC1C69">
      <w:pPr>
        <w:ind w:left="360"/>
        <w:jc w:val="both"/>
        <w:rPr>
          <w:rFonts w:ascii="Aptos" w:hAnsi="Aptos" w:cs="Helvetica"/>
          <w:sz w:val="20"/>
          <w:szCs w:val="20"/>
          <w:lang w:val="en-CA"/>
        </w:rPr>
      </w:pPr>
    </w:p>
    <w:p w14:paraId="6E8160B7" w14:textId="3641F03F" w:rsidR="00E345AE" w:rsidRDefault="006F2516" w:rsidP="005241D6">
      <w:pPr>
        <w:jc w:val="both"/>
        <w:rPr>
          <w:rFonts w:ascii="Aptos" w:hAnsi="Aptos" w:cs="Helvetica"/>
          <w:b/>
          <w:bCs/>
          <w:sz w:val="20"/>
          <w:szCs w:val="20"/>
        </w:rPr>
      </w:pPr>
      <w:bookmarkStart w:id="10" w:name="_Hlk147307302"/>
      <w:r w:rsidRPr="005500F7">
        <w:rPr>
          <w:rFonts w:ascii="Aptos" w:hAnsi="Aptos"/>
          <w:b/>
          <w:bCs/>
          <w:sz w:val="20"/>
          <w:szCs w:val="20"/>
        </w:rPr>
        <w:t xml:space="preserve">Supplementary </w:t>
      </w:r>
      <w:r w:rsidR="00C908E5">
        <w:rPr>
          <w:rFonts w:ascii="Aptos" w:hAnsi="Aptos"/>
          <w:b/>
          <w:bCs/>
          <w:sz w:val="20"/>
          <w:szCs w:val="20"/>
        </w:rPr>
        <w:t>Figure</w:t>
      </w:r>
      <w:r w:rsidR="00C908E5" w:rsidRPr="005500F7">
        <w:rPr>
          <w:rFonts w:ascii="Aptos" w:hAnsi="Aptos"/>
          <w:b/>
          <w:bCs/>
          <w:sz w:val="20"/>
          <w:szCs w:val="20"/>
        </w:rPr>
        <w:t xml:space="preserve"> </w:t>
      </w:r>
      <w:bookmarkEnd w:id="10"/>
      <w:r w:rsidR="00C908E5">
        <w:rPr>
          <w:rFonts w:ascii="Aptos" w:hAnsi="Aptos"/>
          <w:b/>
          <w:bCs/>
          <w:sz w:val="20"/>
          <w:szCs w:val="20"/>
        </w:rPr>
        <w:t>5</w:t>
      </w:r>
      <w:r w:rsidR="00705731">
        <w:rPr>
          <w:rFonts w:ascii="Aptos" w:hAnsi="Aptos"/>
          <w:b/>
          <w:bCs/>
          <w:sz w:val="20"/>
          <w:szCs w:val="20"/>
        </w:rPr>
        <w:t>.</w:t>
      </w:r>
      <w:r w:rsidRPr="005500F7">
        <w:rPr>
          <w:rFonts w:ascii="Aptos" w:hAnsi="Aptos"/>
          <w:b/>
          <w:bCs/>
          <w:sz w:val="20"/>
          <w:szCs w:val="20"/>
        </w:rPr>
        <w:t xml:space="preserve"> </w:t>
      </w:r>
      <w:r w:rsidRPr="005500F7">
        <w:rPr>
          <w:rFonts w:ascii="Aptos" w:hAnsi="Aptos" w:cs="Helvetica"/>
          <w:b/>
          <w:bCs/>
          <w:sz w:val="20"/>
          <w:szCs w:val="20"/>
        </w:rPr>
        <w:t>One-vs-rest statistical comparisons of pallidal neurons in patients with genetic dystonia syndromes</w:t>
      </w:r>
    </w:p>
    <w:p w14:paraId="7B592F06" w14:textId="3C5E9D2F" w:rsidR="008A43B8" w:rsidRPr="005500F7" w:rsidRDefault="008A43B8" w:rsidP="005241D6">
      <w:pPr>
        <w:jc w:val="both"/>
        <w:rPr>
          <w:rFonts w:ascii="Aptos" w:hAnsi="Aptos" w:cs="Helvetica"/>
          <w:b/>
          <w:bCs/>
          <w:sz w:val="20"/>
          <w:szCs w:val="20"/>
          <w:lang w:val="en-CA"/>
        </w:rPr>
      </w:pPr>
      <w:r>
        <w:rPr>
          <w:rFonts w:ascii="Aptos" w:hAnsi="Aptos" w:cs="Helvetica"/>
          <w:b/>
          <w:bCs/>
          <w:noProof/>
          <w:sz w:val="20"/>
          <w:szCs w:val="20"/>
          <w:lang w:val="en-CA"/>
        </w:rPr>
        <w:drawing>
          <wp:inline distT="0" distB="0" distL="0" distR="0" wp14:anchorId="3A85311C" wp14:editId="03DDAE6F">
            <wp:extent cx="5758813" cy="2713990"/>
            <wp:effectExtent l="0" t="0" r="0" b="0"/>
            <wp:docPr id="1163607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07539"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58813" cy="2713990"/>
                    </a:xfrm>
                    <a:prstGeom prst="rect">
                      <a:avLst/>
                    </a:prstGeom>
                    <a:noFill/>
                    <a:ln>
                      <a:noFill/>
                    </a:ln>
                  </pic:spPr>
                </pic:pic>
              </a:graphicData>
            </a:graphic>
          </wp:inline>
        </w:drawing>
      </w:r>
    </w:p>
    <w:p w14:paraId="52B2A0B8" w14:textId="77777777" w:rsidR="004E3777" w:rsidRPr="005500F7" w:rsidRDefault="004E3777" w:rsidP="005241D6">
      <w:pPr>
        <w:jc w:val="both"/>
        <w:rPr>
          <w:rFonts w:ascii="Aptos" w:hAnsi="Aptos"/>
          <w:b/>
          <w:bCs/>
          <w:sz w:val="20"/>
          <w:szCs w:val="20"/>
        </w:rPr>
      </w:pPr>
    </w:p>
    <w:p w14:paraId="211657E1" w14:textId="0BF25590" w:rsidR="00150C34" w:rsidRPr="005500F7" w:rsidRDefault="006F2516" w:rsidP="005241D6">
      <w:pPr>
        <w:jc w:val="both"/>
        <w:rPr>
          <w:rFonts w:ascii="Aptos" w:hAnsi="Aptos" w:cs="Helvetica"/>
          <w:b/>
          <w:bCs/>
          <w:sz w:val="20"/>
          <w:szCs w:val="20"/>
          <w:lang w:val="en-CA"/>
        </w:rPr>
      </w:pPr>
      <w:r w:rsidRPr="005500F7">
        <w:rPr>
          <w:rFonts w:ascii="Aptos" w:hAnsi="Aptos"/>
          <w:b/>
          <w:bCs/>
          <w:sz w:val="20"/>
          <w:szCs w:val="20"/>
        </w:rPr>
        <w:t xml:space="preserve">Supplementary Table </w:t>
      </w:r>
      <w:r w:rsidR="00FB7628">
        <w:rPr>
          <w:rFonts w:ascii="Aptos" w:hAnsi="Aptos"/>
          <w:b/>
          <w:bCs/>
          <w:sz w:val="20"/>
          <w:szCs w:val="20"/>
        </w:rPr>
        <w:t>9</w:t>
      </w:r>
      <w:r w:rsidR="00705731">
        <w:rPr>
          <w:rFonts w:ascii="Aptos" w:hAnsi="Aptos"/>
          <w:b/>
          <w:bCs/>
          <w:sz w:val="20"/>
          <w:szCs w:val="20"/>
        </w:rPr>
        <w:t>.</w:t>
      </w:r>
      <w:r w:rsidRPr="005500F7">
        <w:rPr>
          <w:rFonts w:ascii="Aptos" w:hAnsi="Aptos" w:cs="Helvetica"/>
          <w:b/>
          <w:bCs/>
          <w:sz w:val="20"/>
          <w:szCs w:val="20"/>
        </w:rPr>
        <w:t xml:space="preserve"> The one-vs-rest (OVR) decoding performances</w:t>
      </w:r>
    </w:p>
    <w:tbl>
      <w:tblPr>
        <w:tblStyle w:val="TableGrid"/>
        <w:tblW w:w="9889" w:type="dxa"/>
        <w:tblLook w:val="04A0" w:firstRow="1" w:lastRow="0" w:firstColumn="1" w:lastColumn="0" w:noHBand="0" w:noVBand="1"/>
      </w:tblPr>
      <w:tblGrid>
        <w:gridCol w:w="2819"/>
        <w:gridCol w:w="2356"/>
        <w:gridCol w:w="2357"/>
        <w:gridCol w:w="2357"/>
      </w:tblGrid>
      <w:tr w:rsidR="00872870" w:rsidRPr="005500F7" w14:paraId="18CA8927" w14:textId="77777777" w:rsidTr="00872870">
        <w:trPr>
          <w:trHeight w:val="364"/>
        </w:trPr>
        <w:tc>
          <w:tcPr>
            <w:tcW w:w="2819"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713612E0" w14:textId="77777777" w:rsidR="00872870" w:rsidRPr="005500F7" w:rsidRDefault="00872870" w:rsidP="00A03DD4">
            <w:pPr>
              <w:pStyle w:val="NoSpacing"/>
              <w:ind w:firstLine="0"/>
              <w:jc w:val="center"/>
              <w:rPr>
                <w:rFonts w:ascii="Aptos" w:hAnsi="Aptos" w:cs="Times New Roman"/>
                <w:sz w:val="20"/>
                <w:szCs w:val="20"/>
              </w:rPr>
            </w:pPr>
            <w:bookmarkStart w:id="11" w:name="_Hlk184050853"/>
            <w:r w:rsidRPr="005500F7">
              <w:rPr>
                <w:rFonts w:ascii="Aptos" w:hAnsi="Aptos" w:cs="Times New Roman"/>
                <w:b/>
                <w:sz w:val="20"/>
                <w:szCs w:val="20"/>
              </w:rPr>
              <w:t>Neural Decoder</w:t>
            </w:r>
          </w:p>
        </w:tc>
        <w:tc>
          <w:tcPr>
            <w:tcW w:w="2356"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427F07CC" w14:textId="77777777" w:rsidR="00872870" w:rsidRPr="005500F7" w:rsidRDefault="00872870" w:rsidP="00A03DD4">
            <w:pPr>
              <w:pStyle w:val="NoSpacing"/>
              <w:ind w:firstLine="0"/>
              <w:jc w:val="center"/>
              <w:rPr>
                <w:rFonts w:ascii="Aptos" w:hAnsi="Aptos" w:cs="Times New Roman"/>
                <w:b/>
                <w:sz w:val="20"/>
                <w:szCs w:val="20"/>
              </w:rPr>
            </w:pPr>
            <w:r w:rsidRPr="005500F7">
              <w:rPr>
                <w:rFonts w:ascii="Aptos" w:hAnsi="Aptos" w:cs="Times New Roman"/>
                <w:b/>
                <w:sz w:val="20"/>
                <w:szCs w:val="20"/>
              </w:rPr>
              <w:t>balanced</w:t>
            </w:r>
          </w:p>
          <w:p w14:paraId="1E5AF0A8" w14:textId="77777777" w:rsidR="00872870" w:rsidRPr="005500F7" w:rsidRDefault="00872870" w:rsidP="00A03DD4">
            <w:pPr>
              <w:pStyle w:val="NoSpacing"/>
              <w:ind w:firstLine="0"/>
              <w:jc w:val="center"/>
              <w:rPr>
                <w:rFonts w:ascii="Aptos" w:hAnsi="Aptos" w:cs="Times New Roman"/>
                <w:b/>
                <w:sz w:val="20"/>
                <w:szCs w:val="20"/>
              </w:rPr>
            </w:pPr>
            <w:r w:rsidRPr="005500F7">
              <w:rPr>
                <w:rFonts w:ascii="Aptos" w:hAnsi="Aptos" w:cs="Times New Roman"/>
                <w:b/>
                <w:sz w:val="20"/>
                <w:szCs w:val="20"/>
              </w:rPr>
              <w:t>accuracy</w:t>
            </w:r>
          </w:p>
        </w:tc>
        <w:tc>
          <w:tcPr>
            <w:tcW w:w="2357" w:type="dxa"/>
            <w:tcBorders>
              <w:top w:val="single" w:sz="4" w:space="0" w:color="FFFFFF" w:themeColor="background1"/>
              <w:left w:val="single" w:sz="4" w:space="0" w:color="FFFFFF" w:themeColor="background1"/>
              <w:bottom w:val="single" w:sz="12" w:space="0" w:color="auto"/>
              <w:right w:val="single" w:sz="4" w:space="0" w:color="FFFFFF" w:themeColor="background1"/>
            </w:tcBorders>
            <w:vAlign w:val="center"/>
          </w:tcPr>
          <w:p w14:paraId="21CF24D1" w14:textId="77777777" w:rsidR="00872870" w:rsidRPr="005500F7" w:rsidRDefault="00872870" w:rsidP="00A03DD4">
            <w:pPr>
              <w:pStyle w:val="NoSpacing"/>
              <w:ind w:firstLine="0"/>
              <w:jc w:val="center"/>
              <w:rPr>
                <w:rFonts w:ascii="Aptos" w:hAnsi="Aptos" w:cs="Times New Roman"/>
                <w:b/>
                <w:sz w:val="20"/>
                <w:szCs w:val="20"/>
              </w:rPr>
            </w:pPr>
            <w:r w:rsidRPr="005500F7">
              <w:rPr>
                <w:rFonts w:ascii="Aptos" w:hAnsi="Aptos" w:cs="Times New Roman"/>
                <w:b/>
                <w:sz w:val="20"/>
                <w:szCs w:val="20"/>
              </w:rPr>
              <w:t>weighted</w:t>
            </w:r>
          </w:p>
          <w:p w14:paraId="22C419DA" w14:textId="77777777" w:rsidR="00872870" w:rsidRPr="005500F7" w:rsidRDefault="00872870" w:rsidP="00A03DD4">
            <w:pPr>
              <w:pStyle w:val="NoSpacing"/>
              <w:ind w:firstLine="0"/>
              <w:jc w:val="center"/>
              <w:rPr>
                <w:rFonts w:ascii="Aptos" w:hAnsi="Aptos" w:cs="Times New Roman"/>
                <w:b/>
                <w:sz w:val="20"/>
                <w:szCs w:val="20"/>
              </w:rPr>
            </w:pPr>
            <w:r w:rsidRPr="005500F7">
              <w:rPr>
                <w:rFonts w:ascii="Aptos" w:hAnsi="Aptos" w:cs="Times New Roman"/>
                <w:b/>
                <w:sz w:val="20"/>
                <w:szCs w:val="20"/>
              </w:rPr>
              <w:t>AUC</w:t>
            </w:r>
          </w:p>
        </w:tc>
        <w:tc>
          <w:tcPr>
            <w:tcW w:w="2357" w:type="dxa"/>
            <w:tcBorders>
              <w:top w:val="single" w:sz="4" w:space="0" w:color="FFFFFF" w:themeColor="background1"/>
              <w:left w:val="single" w:sz="4" w:space="0" w:color="FFFFFF" w:themeColor="background1"/>
              <w:bottom w:val="single" w:sz="12" w:space="0" w:color="auto"/>
              <w:right w:val="single" w:sz="12" w:space="0" w:color="FFFFFF" w:themeColor="background1"/>
            </w:tcBorders>
            <w:vAlign w:val="center"/>
          </w:tcPr>
          <w:p w14:paraId="58209550" w14:textId="77777777" w:rsidR="00872870" w:rsidRPr="005500F7" w:rsidRDefault="00872870" w:rsidP="00150C34">
            <w:pPr>
              <w:pStyle w:val="NoSpacing"/>
              <w:ind w:firstLine="0"/>
              <w:jc w:val="center"/>
              <w:rPr>
                <w:rFonts w:ascii="Aptos" w:hAnsi="Aptos" w:cs="Times New Roman"/>
                <w:b/>
                <w:sz w:val="20"/>
                <w:szCs w:val="20"/>
              </w:rPr>
            </w:pPr>
            <w:r w:rsidRPr="005500F7">
              <w:rPr>
                <w:rFonts w:ascii="Aptos" w:hAnsi="Aptos" w:cs="Times New Roman"/>
                <w:b/>
                <w:sz w:val="20"/>
                <w:szCs w:val="20"/>
              </w:rPr>
              <w:t>weighted</w:t>
            </w:r>
          </w:p>
          <w:p w14:paraId="750D0516" w14:textId="77777777" w:rsidR="00872870" w:rsidRPr="005500F7" w:rsidRDefault="00872870" w:rsidP="00150C34">
            <w:pPr>
              <w:pStyle w:val="NoSpacing"/>
              <w:ind w:firstLine="0"/>
              <w:jc w:val="center"/>
              <w:rPr>
                <w:rFonts w:ascii="Aptos" w:hAnsi="Aptos" w:cs="Times New Roman"/>
                <w:b/>
                <w:sz w:val="20"/>
                <w:szCs w:val="20"/>
              </w:rPr>
            </w:pPr>
            <w:r w:rsidRPr="005500F7">
              <w:rPr>
                <w:rFonts w:ascii="Aptos" w:hAnsi="Aptos" w:cs="Times New Roman"/>
                <w:b/>
                <w:sz w:val="20"/>
                <w:szCs w:val="20"/>
              </w:rPr>
              <w:t>F1</w:t>
            </w:r>
          </w:p>
        </w:tc>
      </w:tr>
      <w:tr w:rsidR="00872870" w:rsidRPr="005500F7" w14:paraId="5AB4116D" w14:textId="77777777" w:rsidTr="00872870">
        <w:tc>
          <w:tcPr>
            <w:tcW w:w="2819"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2CFC6E8B" w14:textId="77777777" w:rsidR="00872870" w:rsidRPr="005500F7" w:rsidRDefault="00872870" w:rsidP="00872870">
            <w:pPr>
              <w:pStyle w:val="NoSpacing"/>
              <w:ind w:firstLine="0"/>
              <w:jc w:val="center"/>
              <w:rPr>
                <w:rFonts w:ascii="Aptos" w:hAnsi="Aptos" w:cs="Times New Roman"/>
                <w:sz w:val="20"/>
                <w:szCs w:val="20"/>
              </w:rPr>
            </w:pPr>
            <w:r w:rsidRPr="001F7708">
              <w:rPr>
                <w:rFonts w:ascii="Aptos" w:hAnsi="Aptos"/>
                <w:i/>
                <w:iCs/>
                <w:sz w:val="20"/>
                <w:szCs w:val="20"/>
              </w:rPr>
              <w:t>AOPEP</w:t>
            </w:r>
            <w:r w:rsidRPr="005500F7">
              <w:rPr>
                <w:rFonts w:ascii="Aptos" w:hAnsi="Aptos"/>
                <w:sz w:val="20"/>
                <w:szCs w:val="20"/>
              </w:rPr>
              <w:t xml:space="preserve"> vs REST</w:t>
            </w:r>
          </w:p>
        </w:tc>
        <w:tc>
          <w:tcPr>
            <w:tcW w:w="2356"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6B298803" w14:textId="6AC9281D"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0.756284</w:t>
            </w:r>
          </w:p>
        </w:tc>
        <w:tc>
          <w:tcPr>
            <w:tcW w:w="2357"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3353B9CD" w14:textId="4214C038"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0.820838</w:t>
            </w:r>
          </w:p>
        </w:tc>
        <w:tc>
          <w:tcPr>
            <w:tcW w:w="2357"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2E0BB7BA" w14:textId="311EFC89"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0.85273</w:t>
            </w:r>
          </w:p>
        </w:tc>
      </w:tr>
      <w:tr w:rsidR="00872870" w:rsidRPr="005500F7" w14:paraId="02F3E7CB" w14:textId="77777777" w:rsidTr="00872870">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0D75FD" w14:textId="77777777" w:rsidR="00872870" w:rsidRPr="005500F7" w:rsidRDefault="00872870" w:rsidP="00872870">
            <w:pPr>
              <w:pStyle w:val="NoSpacing"/>
              <w:ind w:firstLine="0"/>
              <w:jc w:val="center"/>
              <w:rPr>
                <w:rFonts w:ascii="Aptos" w:hAnsi="Aptos" w:cs="Times New Roman"/>
                <w:sz w:val="20"/>
                <w:szCs w:val="20"/>
              </w:rPr>
            </w:pPr>
            <w:r w:rsidRPr="001F7708">
              <w:rPr>
                <w:rFonts w:ascii="Aptos" w:hAnsi="Aptos"/>
                <w:i/>
                <w:iCs/>
                <w:sz w:val="20"/>
                <w:szCs w:val="20"/>
              </w:rPr>
              <w:t>KMT2B</w:t>
            </w:r>
            <w:r w:rsidRPr="005500F7">
              <w:rPr>
                <w:rFonts w:ascii="Aptos" w:hAnsi="Aptos"/>
                <w:sz w:val="20"/>
                <w:szCs w:val="20"/>
              </w:rPr>
              <w:t xml:space="preserve"> vs REST</w:t>
            </w:r>
          </w:p>
        </w:tc>
        <w:tc>
          <w:tcPr>
            <w:tcW w:w="23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743A43" w14:textId="0CCAE598"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0.540599192</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EBDD88" w14:textId="5ED6B92E"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0.648056565</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9E5EEF" w14:textId="6E8B060E"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0.744992797</w:t>
            </w:r>
          </w:p>
        </w:tc>
      </w:tr>
      <w:tr w:rsidR="00872870" w:rsidRPr="005500F7" w14:paraId="44053EFA" w14:textId="77777777" w:rsidTr="00872870">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1003DA" w14:textId="77777777" w:rsidR="00872870" w:rsidRPr="005500F7" w:rsidRDefault="00872870" w:rsidP="00872870">
            <w:pPr>
              <w:pStyle w:val="NoSpacing"/>
              <w:ind w:firstLine="0"/>
              <w:jc w:val="center"/>
              <w:rPr>
                <w:rFonts w:ascii="Aptos" w:hAnsi="Aptos" w:cs="Times New Roman"/>
                <w:sz w:val="20"/>
                <w:szCs w:val="20"/>
              </w:rPr>
            </w:pPr>
            <w:r w:rsidRPr="001F7708">
              <w:rPr>
                <w:rFonts w:ascii="Aptos" w:hAnsi="Aptos"/>
                <w:i/>
                <w:iCs/>
                <w:sz w:val="20"/>
                <w:szCs w:val="20"/>
              </w:rPr>
              <w:t>GNAL</w:t>
            </w:r>
            <w:r w:rsidRPr="005500F7">
              <w:rPr>
                <w:rFonts w:ascii="Aptos" w:hAnsi="Aptos"/>
                <w:sz w:val="20"/>
                <w:szCs w:val="20"/>
              </w:rPr>
              <w:t xml:space="preserve"> vs REST</w:t>
            </w:r>
          </w:p>
        </w:tc>
        <w:tc>
          <w:tcPr>
            <w:tcW w:w="23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70A960" w14:textId="667439F3"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0.557050439</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1E96ED" w14:textId="13E00AA7"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0.562206689</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90CDC6" w14:textId="15056750"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0.813473037</w:t>
            </w:r>
          </w:p>
        </w:tc>
      </w:tr>
      <w:tr w:rsidR="00872870" w:rsidRPr="005500F7" w14:paraId="46D85876" w14:textId="77777777" w:rsidTr="00872870">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4DD0F8" w14:textId="77777777" w:rsidR="00872870" w:rsidRPr="005500F7" w:rsidRDefault="00872870" w:rsidP="00872870">
            <w:pPr>
              <w:pStyle w:val="NoSpacing"/>
              <w:ind w:firstLine="0"/>
              <w:jc w:val="center"/>
              <w:rPr>
                <w:rFonts w:ascii="Aptos" w:hAnsi="Aptos" w:cs="Times New Roman"/>
                <w:sz w:val="20"/>
                <w:szCs w:val="20"/>
              </w:rPr>
            </w:pPr>
            <w:r w:rsidRPr="001F7708">
              <w:rPr>
                <w:rFonts w:ascii="Aptos" w:hAnsi="Aptos"/>
                <w:i/>
                <w:iCs/>
                <w:sz w:val="20"/>
                <w:szCs w:val="20"/>
              </w:rPr>
              <w:t>PANK2</w:t>
            </w:r>
            <w:r w:rsidRPr="005500F7">
              <w:rPr>
                <w:rFonts w:ascii="Aptos" w:hAnsi="Aptos"/>
                <w:sz w:val="20"/>
                <w:szCs w:val="20"/>
              </w:rPr>
              <w:t xml:space="preserve"> vs REST</w:t>
            </w:r>
          </w:p>
        </w:tc>
        <w:tc>
          <w:tcPr>
            <w:tcW w:w="23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566CE4" w14:textId="0B5915D9"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0.686158</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9C6CE1" w14:textId="73A7D8A1"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0.740158</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09A590" w14:textId="092E9E8A"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0.721691</w:t>
            </w:r>
          </w:p>
        </w:tc>
      </w:tr>
      <w:tr w:rsidR="00872870" w:rsidRPr="005500F7" w14:paraId="0F5C22EE" w14:textId="77777777" w:rsidTr="00872870">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C69336" w14:textId="77777777" w:rsidR="00872870" w:rsidRPr="005500F7" w:rsidRDefault="00872870" w:rsidP="00872870">
            <w:pPr>
              <w:pStyle w:val="NoSpacing"/>
              <w:ind w:firstLine="0"/>
              <w:jc w:val="center"/>
              <w:rPr>
                <w:rFonts w:ascii="Aptos" w:hAnsi="Aptos" w:cs="Times New Roman"/>
                <w:sz w:val="20"/>
                <w:szCs w:val="20"/>
              </w:rPr>
            </w:pPr>
            <w:r w:rsidRPr="001F7708">
              <w:rPr>
                <w:rFonts w:ascii="Aptos" w:hAnsi="Aptos"/>
                <w:i/>
                <w:iCs/>
                <w:sz w:val="20"/>
                <w:szCs w:val="20"/>
              </w:rPr>
              <w:t>PLA2G6</w:t>
            </w:r>
            <w:r w:rsidRPr="005500F7">
              <w:rPr>
                <w:rFonts w:ascii="Aptos" w:hAnsi="Aptos"/>
                <w:sz w:val="20"/>
                <w:szCs w:val="20"/>
              </w:rPr>
              <w:t xml:space="preserve"> vs REST</w:t>
            </w:r>
          </w:p>
        </w:tc>
        <w:tc>
          <w:tcPr>
            <w:tcW w:w="23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0A717D" w14:textId="5C84C5F5"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0.607557056</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B0670F" w14:textId="6CAB4030"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0.629575991</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6E6916" w14:textId="00CA58C5"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0.810978847</w:t>
            </w:r>
          </w:p>
        </w:tc>
      </w:tr>
      <w:tr w:rsidR="00872870" w:rsidRPr="005500F7" w14:paraId="07AFDE49" w14:textId="77777777" w:rsidTr="00872870">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B4B576" w14:textId="77777777" w:rsidR="00872870" w:rsidRPr="005500F7" w:rsidRDefault="00872870" w:rsidP="00872870">
            <w:pPr>
              <w:pStyle w:val="NoSpacing"/>
              <w:ind w:firstLine="0"/>
              <w:jc w:val="center"/>
              <w:rPr>
                <w:rFonts w:ascii="Aptos" w:hAnsi="Aptos" w:cs="Times New Roman"/>
                <w:sz w:val="20"/>
                <w:szCs w:val="20"/>
              </w:rPr>
            </w:pPr>
            <w:r w:rsidRPr="001F7708">
              <w:rPr>
                <w:rFonts w:ascii="Aptos" w:hAnsi="Aptos"/>
                <w:i/>
                <w:iCs/>
                <w:sz w:val="20"/>
                <w:szCs w:val="20"/>
              </w:rPr>
              <w:t>SGCE</w:t>
            </w:r>
            <w:r w:rsidRPr="005500F7">
              <w:rPr>
                <w:rFonts w:ascii="Aptos" w:hAnsi="Aptos"/>
                <w:sz w:val="20"/>
                <w:szCs w:val="20"/>
              </w:rPr>
              <w:t xml:space="preserve"> vs REST</w:t>
            </w:r>
          </w:p>
        </w:tc>
        <w:tc>
          <w:tcPr>
            <w:tcW w:w="23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A26821" w14:textId="6DBC1D42"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0.6082774</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8181EB" w14:textId="64BB66CF"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0.666171851</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61FC99" w14:textId="046405EB"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0.695081905</w:t>
            </w:r>
          </w:p>
        </w:tc>
      </w:tr>
      <w:tr w:rsidR="00872870" w:rsidRPr="005500F7" w14:paraId="666D30E1" w14:textId="77777777" w:rsidTr="00872870">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EF3997" w14:textId="77777777" w:rsidR="00872870" w:rsidRPr="005500F7" w:rsidRDefault="00872870" w:rsidP="00872870">
            <w:pPr>
              <w:pStyle w:val="NoSpacing"/>
              <w:ind w:firstLine="0"/>
              <w:jc w:val="center"/>
              <w:rPr>
                <w:rFonts w:ascii="Aptos" w:hAnsi="Aptos" w:cs="Times New Roman"/>
                <w:sz w:val="20"/>
                <w:szCs w:val="20"/>
              </w:rPr>
            </w:pPr>
            <w:r w:rsidRPr="001F7708">
              <w:rPr>
                <w:rFonts w:ascii="Aptos" w:hAnsi="Aptos"/>
                <w:i/>
                <w:iCs/>
                <w:sz w:val="20"/>
                <w:szCs w:val="20"/>
              </w:rPr>
              <w:t>THAP1</w:t>
            </w:r>
            <w:r w:rsidRPr="005500F7">
              <w:rPr>
                <w:rFonts w:ascii="Aptos" w:hAnsi="Aptos"/>
                <w:sz w:val="20"/>
                <w:szCs w:val="20"/>
              </w:rPr>
              <w:t xml:space="preserve"> vs REST</w:t>
            </w:r>
          </w:p>
        </w:tc>
        <w:tc>
          <w:tcPr>
            <w:tcW w:w="23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109A1" w14:textId="0C43BF5F"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0.716332</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5B530A" w14:textId="1E115F6E"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0.77672</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8D54B6" w14:textId="1B86B01E"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0.789802</w:t>
            </w:r>
          </w:p>
        </w:tc>
      </w:tr>
      <w:tr w:rsidR="00872870" w:rsidRPr="005500F7" w14:paraId="29BCEEE7" w14:textId="77777777" w:rsidTr="00872870">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F90F4B" w14:textId="77777777" w:rsidR="00872870" w:rsidRPr="005500F7" w:rsidRDefault="00872870" w:rsidP="00872870">
            <w:pPr>
              <w:pStyle w:val="NoSpacing"/>
              <w:ind w:firstLine="0"/>
              <w:jc w:val="center"/>
              <w:rPr>
                <w:rFonts w:ascii="Aptos" w:hAnsi="Aptos" w:cs="Times New Roman"/>
                <w:sz w:val="20"/>
                <w:szCs w:val="20"/>
              </w:rPr>
            </w:pPr>
            <w:r w:rsidRPr="001F7708">
              <w:rPr>
                <w:rFonts w:ascii="Aptos" w:hAnsi="Aptos"/>
                <w:i/>
                <w:iCs/>
                <w:sz w:val="20"/>
                <w:szCs w:val="20"/>
              </w:rPr>
              <w:t>TOR1A</w:t>
            </w:r>
            <w:r w:rsidRPr="005500F7">
              <w:rPr>
                <w:rFonts w:ascii="Aptos" w:hAnsi="Aptos"/>
                <w:sz w:val="20"/>
                <w:szCs w:val="20"/>
              </w:rPr>
              <w:t xml:space="preserve"> vs REST</w:t>
            </w:r>
          </w:p>
        </w:tc>
        <w:tc>
          <w:tcPr>
            <w:tcW w:w="23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CC64C5" w14:textId="191F285F"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0.584547</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42C012" w14:textId="5B5C8433"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0.614407</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CF389A" w14:textId="07488181"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0.560128</w:t>
            </w:r>
          </w:p>
        </w:tc>
      </w:tr>
      <w:tr w:rsidR="00872870" w:rsidRPr="005500F7" w14:paraId="3AC7AACD" w14:textId="77777777" w:rsidTr="00872870">
        <w:tc>
          <w:tcPr>
            <w:tcW w:w="2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25CBF7" w14:textId="77777777" w:rsidR="00872870" w:rsidRPr="005500F7" w:rsidRDefault="00872870" w:rsidP="00872870">
            <w:pPr>
              <w:pStyle w:val="NoSpacing"/>
              <w:ind w:firstLine="0"/>
              <w:jc w:val="center"/>
              <w:rPr>
                <w:rFonts w:ascii="Aptos" w:hAnsi="Aptos" w:cs="Times New Roman"/>
                <w:sz w:val="20"/>
                <w:szCs w:val="20"/>
              </w:rPr>
            </w:pPr>
            <w:r w:rsidRPr="001F7708">
              <w:rPr>
                <w:rFonts w:ascii="Aptos" w:hAnsi="Aptos"/>
                <w:i/>
                <w:iCs/>
                <w:sz w:val="20"/>
                <w:szCs w:val="20"/>
              </w:rPr>
              <w:t>VPS16</w:t>
            </w:r>
            <w:r w:rsidRPr="005500F7">
              <w:rPr>
                <w:rFonts w:ascii="Aptos" w:hAnsi="Aptos"/>
                <w:sz w:val="20"/>
                <w:szCs w:val="20"/>
              </w:rPr>
              <w:t xml:space="preserve"> vs REST</w:t>
            </w:r>
          </w:p>
        </w:tc>
        <w:tc>
          <w:tcPr>
            <w:tcW w:w="23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0E9779" w14:textId="039CF7B3"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0.56385</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D5E782" w14:textId="37D74C98"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0.641069</w:t>
            </w:r>
          </w:p>
        </w:tc>
        <w:tc>
          <w:tcPr>
            <w:tcW w:w="2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1F24F1" w14:textId="59A23065" w:rsidR="00872870" w:rsidRPr="00872870" w:rsidRDefault="00872870" w:rsidP="00872870">
            <w:pPr>
              <w:pStyle w:val="NoSpacing"/>
              <w:ind w:firstLine="0"/>
              <w:jc w:val="center"/>
              <w:rPr>
                <w:rFonts w:ascii="Aptos" w:hAnsi="Aptos" w:cs="Times New Roman"/>
                <w:sz w:val="20"/>
                <w:szCs w:val="20"/>
              </w:rPr>
            </w:pPr>
            <w:r w:rsidRPr="00872870">
              <w:rPr>
                <w:rFonts w:ascii="Aptos" w:hAnsi="Aptos"/>
                <w:sz w:val="20"/>
                <w:szCs w:val="20"/>
              </w:rPr>
              <w:t>0.734393</w:t>
            </w:r>
          </w:p>
        </w:tc>
      </w:tr>
      <w:bookmarkEnd w:id="11"/>
    </w:tbl>
    <w:p w14:paraId="3473B0FE" w14:textId="31EFA4ED" w:rsidR="005B31A5" w:rsidRPr="00167780" w:rsidRDefault="005B31A5" w:rsidP="00167780">
      <w:pPr>
        <w:jc w:val="both"/>
        <w:rPr>
          <w:rFonts w:ascii="Aptos" w:hAnsi="Aptos"/>
          <w:noProof/>
          <w:sz w:val="20"/>
          <w:szCs w:val="20"/>
          <w:lang w:val="en-CA"/>
        </w:rPr>
      </w:pPr>
      <w:r w:rsidRPr="00167780">
        <w:rPr>
          <w:rFonts w:ascii="Aptos" w:hAnsi="Aptos"/>
          <w:noProof/>
          <w:lang w:val="en-CA"/>
        </w:rPr>
        <w:br w:type="page"/>
      </w:r>
    </w:p>
    <w:p w14:paraId="502B5108" w14:textId="77777777" w:rsidR="004D239A" w:rsidRPr="00465A56" w:rsidRDefault="006F2516" w:rsidP="007E6912">
      <w:pPr>
        <w:pStyle w:val="NoSpacing"/>
        <w:spacing w:after="0"/>
        <w:ind w:firstLine="0"/>
        <w:rPr>
          <w:rFonts w:ascii="Aptos" w:hAnsi="Aptos" w:cs="Times New Roman"/>
          <w:b/>
          <w:bCs/>
          <w:sz w:val="20"/>
          <w:szCs w:val="20"/>
          <w:lang w:val="en-US"/>
        </w:rPr>
      </w:pPr>
      <w:r w:rsidRPr="00465A56">
        <w:rPr>
          <w:rFonts w:ascii="Aptos" w:hAnsi="Aptos" w:cs="Times New Roman"/>
          <w:b/>
          <w:bCs/>
          <w:sz w:val="20"/>
          <w:szCs w:val="20"/>
          <w:lang w:val="en-US"/>
        </w:rPr>
        <w:lastRenderedPageBreak/>
        <w:t>REFERENCES</w:t>
      </w:r>
    </w:p>
    <w:p w14:paraId="7E1CF7AB" w14:textId="77777777" w:rsidR="00292BDA" w:rsidRPr="00465A56" w:rsidRDefault="00292BDA" w:rsidP="007E6912">
      <w:pPr>
        <w:pStyle w:val="NoSpacing"/>
        <w:spacing w:after="0"/>
        <w:ind w:firstLine="0"/>
        <w:rPr>
          <w:rFonts w:ascii="Aptos" w:hAnsi="Aptos" w:cs="Times New Roman"/>
          <w:b/>
          <w:bCs/>
          <w:sz w:val="20"/>
          <w:szCs w:val="20"/>
          <w:lang w:val="en-US"/>
        </w:rPr>
      </w:pPr>
    </w:p>
    <w:p w14:paraId="23A87E5B" w14:textId="77777777" w:rsidR="00EE7B65" w:rsidRPr="00872870" w:rsidRDefault="006F2516" w:rsidP="00EE7B65">
      <w:pPr>
        <w:pStyle w:val="Bibliography"/>
        <w:rPr>
          <w:lang w:val="it-IT"/>
        </w:rPr>
      </w:pPr>
      <w:r w:rsidRPr="001F7708">
        <w:rPr>
          <w:rFonts w:ascii="Aptos" w:hAnsi="Aptos"/>
          <w:b/>
          <w:bCs/>
          <w:sz w:val="20"/>
          <w:szCs w:val="20"/>
        </w:rPr>
        <w:fldChar w:fldCharType="begin"/>
      </w:r>
      <w:r w:rsidR="005500F7" w:rsidRPr="001F7708">
        <w:rPr>
          <w:rFonts w:ascii="Aptos" w:hAnsi="Aptos"/>
          <w:b/>
          <w:bCs/>
          <w:sz w:val="20"/>
          <w:szCs w:val="20"/>
          <w:lang w:val="en-US"/>
        </w:rPr>
        <w:instrText xml:space="preserve"> ADDIN ZOTERO_BIBL {"uncited":[],"omitted":[],"custom":[]} CSL_BIBLIOGRAPHY </w:instrText>
      </w:r>
      <w:r w:rsidRPr="001F7708">
        <w:rPr>
          <w:rFonts w:ascii="Aptos" w:hAnsi="Aptos"/>
          <w:b/>
          <w:bCs/>
          <w:sz w:val="20"/>
          <w:szCs w:val="20"/>
        </w:rPr>
        <w:fldChar w:fldCharType="separate"/>
      </w:r>
      <w:r w:rsidR="00EE7B65">
        <w:t>1.</w:t>
      </w:r>
      <w:r w:rsidR="00EE7B65">
        <w:tab/>
        <w:t xml:space="preserve">Thomsen M, Lange LM, Klein C, Lohmann K. </w:t>
      </w:r>
      <w:proofErr w:type="gramStart"/>
      <w:r w:rsidR="00EE7B65">
        <w:rPr>
          <w:smallCaps/>
        </w:rPr>
        <w:t>MDSGene</w:t>
      </w:r>
      <w:r w:rsidR="00EE7B65">
        <w:t> :</w:t>
      </w:r>
      <w:proofErr w:type="gramEnd"/>
      <w:r w:rsidR="00EE7B65">
        <w:t xml:space="preserve"> Extending the List of Isolated Dystonia Genes by </w:t>
      </w:r>
      <w:r w:rsidR="00EE7B65">
        <w:rPr>
          <w:smallCaps/>
        </w:rPr>
        <w:t xml:space="preserve"> </w:t>
      </w:r>
      <w:r w:rsidR="00EE7B65">
        <w:rPr>
          <w:i/>
          <w:iCs/>
          <w:smallCaps/>
        </w:rPr>
        <w:t>VPS16</w:t>
      </w:r>
      <w:r w:rsidR="00EE7B65">
        <w:rPr>
          <w:smallCaps/>
        </w:rPr>
        <w:t xml:space="preserve"> </w:t>
      </w:r>
      <w:r w:rsidR="00EE7B65">
        <w:t xml:space="preserve"> , </w:t>
      </w:r>
      <w:r w:rsidR="00EE7B65">
        <w:rPr>
          <w:smallCaps/>
        </w:rPr>
        <w:t xml:space="preserve"> </w:t>
      </w:r>
      <w:r w:rsidR="00EE7B65">
        <w:rPr>
          <w:i/>
          <w:iCs/>
          <w:smallCaps/>
        </w:rPr>
        <w:t>EIF2AK2</w:t>
      </w:r>
      <w:r w:rsidR="00EE7B65">
        <w:rPr>
          <w:smallCaps/>
        </w:rPr>
        <w:t xml:space="preserve"> </w:t>
      </w:r>
      <w:r w:rsidR="00EE7B65">
        <w:t xml:space="preserve"> , and </w:t>
      </w:r>
      <w:r w:rsidR="00EE7B65">
        <w:rPr>
          <w:smallCaps/>
        </w:rPr>
        <w:t xml:space="preserve"> </w:t>
      </w:r>
      <w:r w:rsidR="00EE7B65">
        <w:rPr>
          <w:i/>
          <w:iCs/>
          <w:smallCaps/>
        </w:rPr>
        <w:t>AOPEP</w:t>
      </w:r>
      <w:r w:rsidR="00EE7B65">
        <w:rPr>
          <w:smallCaps/>
        </w:rPr>
        <w:t xml:space="preserve"> </w:t>
      </w:r>
      <w:r w:rsidR="00EE7B65">
        <w:t xml:space="preserve">. </w:t>
      </w:r>
      <w:r w:rsidR="00EE7B65" w:rsidRPr="00872870">
        <w:rPr>
          <w:i/>
          <w:iCs/>
          <w:lang w:val="it-IT"/>
        </w:rPr>
        <w:t>Mov Disord</w:t>
      </w:r>
      <w:r w:rsidR="00EE7B65" w:rsidRPr="00872870">
        <w:rPr>
          <w:lang w:val="it-IT"/>
        </w:rPr>
        <w:t xml:space="preserve">. 2023;38(3):507-508. </w:t>
      </w:r>
      <w:proofErr w:type="gramStart"/>
      <w:r w:rsidR="00EE7B65" w:rsidRPr="00872870">
        <w:rPr>
          <w:lang w:val="it-IT"/>
        </w:rPr>
        <w:t>doi:10.1002</w:t>
      </w:r>
      <w:proofErr w:type="gramEnd"/>
      <w:r w:rsidR="00EE7B65" w:rsidRPr="00872870">
        <w:rPr>
          <w:lang w:val="it-IT"/>
        </w:rPr>
        <w:t>/mds.29327</w:t>
      </w:r>
    </w:p>
    <w:p w14:paraId="12042381" w14:textId="77777777" w:rsidR="00EE7B65" w:rsidRDefault="00EE7B65" w:rsidP="00EE7B65">
      <w:pPr>
        <w:pStyle w:val="Bibliography"/>
      </w:pPr>
      <w:r w:rsidRPr="00872870">
        <w:rPr>
          <w:lang w:val="it-IT"/>
        </w:rPr>
        <w:t>2.</w:t>
      </w:r>
      <w:r w:rsidRPr="00872870">
        <w:rPr>
          <w:lang w:val="it-IT"/>
        </w:rPr>
        <w:tab/>
        <w:t xml:space="preserve">Garavaglia B, Vallian S, Romito LM, et al. </w:t>
      </w:r>
      <w:r>
        <w:t xml:space="preserve">AOPEP variants as a novel cause of recessive dystonia: Generalized dystonia and dystonia-parkinsonism. </w:t>
      </w:r>
      <w:r>
        <w:rPr>
          <w:i/>
          <w:iCs/>
        </w:rPr>
        <w:t>Parkinsonism Relat Disord</w:t>
      </w:r>
      <w:r>
        <w:t xml:space="preserve">. </w:t>
      </w:r>
      <w:proofErr w:type="gramStart"/>
      <w:r>
        <w:t>2022;97:52</w:t>
      </w:r>
      <w:proofErr w:type="gramEnd"/>
      <w:r>
        <w:t xml:space="preserve">-56. </w:t>
      </w:r>
      <w:proofErr w:type="gramStart"/>
      <w:r>
        <w:t>doi:10.1016/j.parkreldis</w:t>
      </w:r>
      <w:proofErr w:type="gramEnd"/>
      <w:r>
        <w:t>.2022.03.007</w:t>
      </w:r>
    </w:p>
    <w:p w14:paraId="43D2D96A" w14:textId="77777777" w:rsidR="00EE7B65" w:rsidRDefault="00EE7B65" w:rsidP="00EE7B65">
      <w:pPr>
        <w:pStyle w:val="Bibliography"/>
      </w:pPr>
      <w:r>
        <w:t>3.</w:t>
      </w:r>
      <w:r>
        <w:tab/>
        <w:t xml:space="preserve">Zech M, Kumar KR, Reining S, et al. </w:t>
      </w:r>
      <w:proofErr w:type="gramStart"/>
      <w:r>
        <w:t xml:space="preserve">Biallelic </w:t>
      </w:r>
      <w:r>
        <w:rPr>
          <w:smallCaps/>
        </w:rPr>
        <w:t xml:space="preserve"> </w:t>
      </w:r>
      <w:r>
        <w:rPr>
          <w:i/>
          <w:iCs/>
          <w:smallCaps/>
        </w:rPr>
        <w:t>AOPEP</w:t>
      </w:r>
      <w:proofErr w:type="gramEnd"/>
      <w:r>
        <w:rPr>
          <w:smallCaps/>
        </w:rPr>
        <w:t xml:space="preserve"> </w:t>
      </w:r>
      <w:r>
        <w:t xml:space="preserve"> Loss‐of‐Function Variants Cause Progressive Dystonia with Prominent Limb Involvement. </w:t>
      </w:r>
      <w:r>
        <w:rPr>
          <w:i/>
          <w:iCs/>
        </w:rPr>
        <w:t>Mov Disord</w:t>
      </w:r>
      <w:r>
        <w:t>. 2022;37(1):137-147. doi:10.1002/mds.28804</w:t>
      </w:r>
    </w:p>
    <w:p w14:paraId="0AEB9147" w14:textId="77777777" w:rsidR="00EE7B65" w:rsidRDefault="00EE7B65" w:rsidP="00EE7B65">
      <w:pPr>
        <w:pStyle w:val="Bibliography"/>
      </w:pPr>
      <w:r>
        <w:t>4.</w:t>
      </w:r>
      <w:r>
        <w:tab/>
        <w:t xml:space="preserve">Fevga C, Ferraro F, Breedveld GJ, Savant Sankhla C, Bonifati V. </w:t>
      </w:r>
      <w:r>
        <w:rPr>
          <w:smallCaps/>
        </w:rPr>
        <w:t xml:space="preserve"> </w:t>
      </w:r>
      <w:proofErr w:type="gramStart"/>
      <w:r>
        <w:rPr>
          <w:i/>
          <w:iCs/>
          <w:smallCaps/>
        </w:rPr>
        <w:t>AOPEP</w:t>
      </w:r>
      <w:r>
        <w:rPr>
          <w:smallCaps/>
        </w:rPr>
        <w:t xml:space="preserve"> </w:t>
      </w:r>
      <w:r>
        <w:t xml:space="preserve"> Homozygous</w:t>
      </w:r>
      <w:proofErr w:type="gramEnd"/>
      <w:r>
        <w:t xml:space="preserve"> Loss‐of‐Function Variant in an Indian Patient with Early‐Onset Generalized Dystonia. </w:t>
      </w:r>
      <w:r>
        <w:rPr>
          <w:i/>
          <w:iCs/>
        </w:rPr>
        <w:t>Mov Disord</w:t>
      </w:r>
      <w:r>
        <w:t>. 2022;37(4):874-875. doi:10.1002/mds.28928</w:t>
      </w:r>
    </w:p>
    <w:p w14:paraId="0A30F523" w14:textId="77777777" w:rsidR="00EE7B65" w:rsidRPr="00872870" w:rsidRDefault="00EE7B65" w:rsidP="00EE7B65">
      <w:pPr>
        <w:pStyle w:val="Bibliography"/>
        <w:rPr>
          <w:lang w:val="it-IT"/>
        </w:rPr>
      </w:pPr>
      <w:r>
        <w:t>5.</w:t>
      </w:r>
      <w:r>
        <w:tab/>
        <w:t xml:space="preserve">Menden B, Gutschalk A, Wunderlich G, Haack TB. Expanded Genetic Spectrum and Variable Disease Onset </w:t>
      </w:r>
      <w:proofErr w:type="gramStart"/>
      <w:r>
        <w:t xml:space="preserve">in </w:t>
      </w:r>
      <w:r>
        <w:rPr>
          <w:smallCaps/>
        </w:rPr>
        <w:t xml:space="preserve"> </w:t>
      </w:r>
      <w:r>
        <w:rPr>
          <w:i/>
          <w:iCs/>
          <w:smallCaps/>
        </w:rPr>
        <w:t>AOPEP</w:t>
      </w:r>
      <w:proofErr w:type="gramEnd"/>
      <w:r>
        <w:rPr>
          <w:smallCaps/>
        </w:rPr>
        <w:t xml:space="preserve"> </w:t>
      </w:r>
      <w:r>
        <w:t xml:space="preserve"> ‐Associated Dystonia. </w:t>
      </w:r>
      <w:r w:rsidRPr="00872870">
        <w:rPr>
          <w:i/>
          <w:iCs/>
          <w:lang w:val="it-IT"/>
        </w:rPr>
        <w:t>Mov Disord</w:t>
      </w:r>
      <w:r w:rsidRPr="00872870">
        <w:rPr>
          <w:lang w:val="it-IT"/>
        </w:rPr>
        <w:t xml:space="preserve">. 2022;37(5):1113-1115. </w:t>
      </w:r>
      <w:proofErr w:type="gramStart"/>
      <w:r w:rsidRPr="00872870">
        <w:rPr>
          <w:lang w:val="it-IT"/>
        </w:rPr>
        <w:t>doi:10.1002</w:t>
      </w:r>
      <w:proofErr w:type="gramEnd"/>
      <w:r w:rsidRPr="00872870">
        <w:rPr>
          <w:lang w:val="it-IT"/>
        </w:rPr>
        <w:t>/mds.29021</w:t>
      </w:r>
    </w:p>
    <w:p w14:paraId="1338F6DD" w14:textId="77777777" w:rsidR="00EE7B65" w:rsidRDefault="00EE7B65" w:rsidP="00EE7B65">
      <w:pPr>
        <w:pStyle w:val="Bibliography"/>
      </w:pPr>
      <w:r w:rsidRPr="00872870">
        <w:rPr>
          <w:lang w:val="it-IT"/>
        </w:rPr>
        <w:t>6.</w:t>
      </w:r>
      <w:r w:rsidRPr="00872870">
        <w:rPr>
          <w:lang w:val="it-IT"/>
        </w:rPr>
        <w:tab/>
        <w:t xml:space="preserve">Lin J, Li C, Cui Y, et al. </w:t>
      </w:r>
      <w:r>
        <w:t xml:space="preserve">Mutation screening of AOPEP variants in a large dystonia cohort. </w:t>
      </w:r>
      <w:r>
        <w:rPr>
          <w:i/>
          <w:iCs/>
        </w:rPr>
        <w:t>J Neurol</w:t>
      </w:r>
      <w:r>
        <w:t>. 2023;270(6):3225-3233. doi:10.1007/s00415-023-11665-7</w:t>
      </w:r>
    </w:p>
    <w:p w14:paraId="0B634A24" w14:textId="77777777" w:rsidR="00EE7B65" w:rsidRDefault="00EE7B65" w:rsidP="00EE7B65">
      <w:pPr>
        <w:pStyle w:val="Bibliography"/>
      </w:pPr>
      <w:r>
        <w:t>7.</w:t>
      </w:r>
      <w:r>
        <w:tab/>
        <w:t xml:space="preserve">Fuchs T, Saunders-Pullman R, Masuho I, et al. Mutations in GNAL cause primary torsion dystonia. </w:t>
      </w:r>
      <w:r>
        <w:rPr>
          <w:i/>
          <w:iCs/>
        </w:rPr>
        <w:t>Nat Genet</w:t>
      </w:r>
      <w:r>
        <w:t>. 2013;45(1):88-92. doi:10.1038/ng.2496</w:t>
      </w:r>
    </w:p>
    <w:p w14:paraId="7B1FEFFC" w14:textId="77777777" w:rsidR="00EE7B65" w:rsidRDefault="00EE7B65" w:rsidP="00EE7B65">
      <w:pPr>
        <w:pStyle w:val="Bibliography"/>
      </w:pPr>
      <w:r>
        <w:t>8.</w:t>
      </w:r>
      <w:r>
        <w:tab/>
        <w:t xml:space="preserve">Tisch S, Kumar KR. Pallidal Deep Brain Stimulation for Monogenic Dystonia: The Effect of Gene on Outcome. </w:t>
      </w:r>
      <w:r>
        <w:rPr>
          <w:i/>
          <w:iCs/>
        </w:rPr>
        <w:t>Front Neurol</w:t>
      </w:r>
      <w:r>
        <w:t xml:space="preserve">. </w:t>
      </w:r>
      <w:proofErr w:type="gramStart"/>
      <w:r>
        <w:t>2021;11:630391</w:t>
      </w:r>
      <w:proofErr w:type="gramEnd"/>
      <w:r>
        <w:t>. doi:10.3389/fneur.2020.630391</w:t>
      </w:r>
    </w:p>
    <w:p w14:paraId="13469D7F" w14:textId="77777777" w:rsidR="00EE7B65" w:rsidRDefault="00EE7B65" w:rsidP="00EE7B65">
      <w:pPr>
        <w:pStyle w:val="Bibliography"/>
      </w:pPr>
      <w:r>
        <w:t>9.</w:t>
      </w:r>
      <w:r>
        <w:tab/>
        <w:t xml:space="preserve">Dobričić V, Kresojević N, Westenberger A, et al. De novo mutation in the </w:t>
      </w:r>
      <w:r>
        <w:rPr>
          <w:i/>
          <w:iCs/>
        </w:rPr>
        <w:t>GNAL</w:t>
      </w:r>
      <w:r>
        <w:t xml:space="preserve"> gene causing seemingly sporadic dystonia in a Serbian patient: DE NOVO </w:t>
      </w:r>
      <w:r>
        <w:rPr>
          <w:i/>
          <w:iCs/>
        </w:rPr>
        <w:t>GNAL</w:t>
      </w:r>
      <w:r>
        <w:t xml:space="preserve"> (DYT25) MUTATION. </w:t>
      </w:r>
      <w:r>
        <w:rPr>
          <w:i/>
          <w:iCs/>
        </w:rPr>
        <w:t>Mov Disord</w:t>
      </w:r>
      <w:r>
        <w:t>. 2014;29(9):1190-1193. doi:10.1002/mds.25876</w:t>
      </w:r>
    </w:p>
    <w:p w14:paraId="1714C9DC" w14:textId="77777777" w:rsidR="00EE7B65" w:rsidRDefault="00EE7B65" w:rsidP="00EE7B65">
      <w:pPr>
        <w:pStyle w:val="Bibliography"/>
      </w:pPr>
      <w:r>
        <w:t>10.</w:t>
      </w:r>
      <w:r>
        <w:tab/>
        <w:t xml:space="preserve">Zech M, Boesch S, Sycha T, Mueller J, Poewe W, Winkelmann J. </w:t>
      </w:r>
      <w:r>
        <w:rPr>
          <w:i/>
          <w:iCs/>
        </w:rPr>
        <w:t>TOR1A, THAP</w:t>
      </w:r>
      <w:proofErr w:type="gramStart"/>
      <w:r>
        <w:rPr>
          <w:i/>
          <w:iCs/>
        </w:rPr>
        <w:t>1</w:t>
      </w:r>
      <w:r>
        <w:t xml:space="preserve"> ,</w:t>
      </w:r>
      <w:proofErr w:type="gramEnd"/>
      <w:r>
        <w:t xml:space="preserve"> and </w:t>
      </w:r>
      <w:r>
        <w:rPr>
          <w:i/>
          <w:iCs/>
        </w:rPr>
        <w:t>GNAL</w:t>
      </w:r>
      <w:r>
        <w:t xml:space="preserve"> mutational screening in Austrian patients with primary isolated dystonia: Letter to the Editors. </w:t>
      </w:r>
      <w:r>
        <w:rPr>
          <w:i/>
          <w:iCs/>
        </w:rPr>
        <w:t>Mov Disord</w:t>
      </w:r>
      <w:r>
        <w:t>. 2015;30(13):1853-1854. doi:10.1002/mds.26458</w:t>
      </w:r>
    </w:p>
    <w:p w14:paraId="1390C3A8" w14:textId="77777777" w:rsidR="00EE7B65" w:rsidRDefault="00EE7B65" w:rsidP="00EE7B65">
      <w:pPr>
        <w:pStyle w:val="Bibliography"/>
      </w:pPr>
      <w:r>
        <w:t>11.</w:t>
      </w:r>
      <w:r>
        <w:tab/>
        <w:t xml:space="preserve">Miao J, Wan XH, Sun Y, Feng JC, Cheng FB. Mutation screening of GNAL gene in patients with primary dystonia from Northeast China. </w:t>
      </w:r>
      <w:r>
        <w:rPr>
          <w:i/>
          <w:iCs/>
        </w:rPr>
        <w:t>Parkinsonism Relat Disord</w:t>
      </w:r>
      <w:r>
        <w:t xml:space="preserve">. 2013;19(10):910-912. </w:t>
      </w:r>
      <w:proofErr w:type="gramStart"/>
      <w:r>
        <w:t>doi:10.1016/j.parkreldis</w:t>
      </w:r>
      <w:proofErr w:type="gramEnd"/>
      <w:r>
        <w:t>.2013.05.011</w:t>
      </w:r>
    </w:p>
    <w:p w14:paraId="33AEC97E" w14:textId="77777777" w:rsidR="00EE7B65" w:rsidRDefault="00EE7B65" w:rsidP="00EE7B65">
      <w:pPr>
        <w:pStyle w:val="Bibliography"/>
      </w:pPr>
      <w:r>
        <w:t>12.</w:t>
      </w:r>
      <w:r>
        <w:tab/>
        <w:t xml:space="preserve">Vemula SR, Puschmann A, Xiao J, et al. Role of Gα(olf) in familial and sporadic adult-onset primary dystonia. </w:t>
      </w:r>
      <w:r>
        <w:rPr>
          <w:i/>
          <w:iCs/>
        </w:rPr>
        <w:t>Hum Mol Genet</w:t>
      </w:r>
      <w:r>
        <w:t>. 2013;22(12):2510-2519. doi:10.1093/hmg/ddt102</w:t>
      </w:r>
    </w:p>
    <w:p w14:paraId="5374A8DC" w14:textId="77777777" w:rsidR="00EE7B65" w:rsidRDefault="00EE7B65" w:rsidP="00EE7B65">
      <w:pPr>
        <w:pStyle w:val="Bibliography"/>
      </w:pPr>
      <w:r>
        <w:lastRenderedPageBreak/>
        <w:t>13.</w:t>
      </w:r>
      <w:r>
        <w:tab/>
        <w:t xml:space="preserve">Saunders-Pullman R, Fuchs T, San Luciano M, et al. Heterogeneity in primary dystonia: Lessons from </w:t>
      </w:r>
      <w:r>
        <w:rPr>
          <w:i/>
          <w:iCs/>
        </w:rPr>
        <w:t>THAP</w:t>
      </w:r>
      <w:proofErr w:type="gramStart"/>
      <w:r>
        <w:rPr>
          <w:i/>
          <w:iCs/>
        </w:rPr>
        <w:t>1</w:t>
      </w:r>
      <w:r>
        <w:t xml:space="preserve"> ,</w:t>
      </w:r>
      <w:proofErr w:type="gramEnd"/>
      <w:r>
        <w:t xml:space="preserve"> </w:t>
      </w:r>
      <w:r>
        <w:rPr>
          <w:i/>
          <w:iCs/>
        </w:rPr>
        <w:t>GNAL</w:t>
      </w:r>
      <w:r>
        <w:t xml:space="preserve"> , and </w:t>
      </w:r>
      <w:r>
        <w:rPr>
          <w:i/>
          <w:iCs/>
        </w:rPr>
        <w:t>TOR1A</w:t>
      </w:r>
      <w:r>
        <w:t xml:space="preserve"> in Amish-Mennonites: </w:t>
      </w:r>
      <w:r>
        <w:rPr>
          <w:i/>
          <w:iCs/>
        </w:rPr>
        <w:t>THAP1</w:t>
      </w:r>
      <w:r>
        <w:t xml:space="preserve"> , </w:t>
      </w:r>
      <w:r>
        <w:rPr>
          <w:i/>
          <w:iCs/>
        </w:rPr>
        <w:t>GNAL</w:t>
      </w:r>
      <w:r>
        <w:t xml:space="preserve"> , AND </w:t>
      </w:r>
      <w:r>
        <w:rPr>
          <w:i/>
          <w:iCs/>
        </w:rPr>
        <w:t>TOR1A</w:t>
      </w:r>
      <w:r>
        <w:t xml:space="preserve"> in Amish-Mennonites. </w:t>
      </w:r>
      <w:r>
        <w:rPr>
          <w:i/>
          <w:iCs/>
        </w:rPr>
        <w:t>Mov Disord</w:t>
      </w:r>
      <w:r>
        <w:t>. 2014;29(6):812-818. doi:10.1002/mds.25818</w:t>
      </w:r>
    </w:p>
    <w:p w14:paraId="3D7EE1B4" w14:textId="77777777" w:rsidR="00EE7B65" w:rsidRPr="003C106F" w:rsidRDefault="00EE7B65" w:rsidP="00EE7B65">
      <w:pPr>
        <w:pStyle w:val="Bibliography"/>
        <w:rPr>
          <w:lang w:val="it-IT"/>
        </w:rPr>
      </w:pPr>
      <w:r>
        <w:t>14.</w:t>
      </w:r>
      <w:r>
        <w:tab/>
        <w:t xml:space="preserve">Ziegan J, Wittstock M, Westenberger A, et al. Novel </w:t>
      </w:r>
      <w:r>
        <w:rPr>
          <w:i/>
          <w:iCs/>
        </w:rPr>
        <w:t>GNAL</w:t>
      </w:r>
      <w:r>
        <w:t xml:space="preserve"> mutations in two German patients with sporadic dystonia: LETTERS: NEW OBSERVATIONS. </w:t>
      </w:r>
      <w:r w:rsidRPr="003C106F">
        <w:rPr>
          <w:i/>
          <w:iCs/>
          <w:lang w:val="it-IT"/>
        </w:rPr>
        <w:t>Mov Disord</w:t>
      </w:r>
      <w:r w:rsidRPr="003C106F">
        <w:rPr>
          <w:lang w:val="it-IT"/>
        </w:rPr>
        <w:t xml:space="preserve">. 2014;29(14):1833-1834. </w:t>
      </w:r>
      <w:proofErr w:type="gramStart"/>
      <w:r w:rsidRPr="003C106F">
        <w:rPr>
          <w:lang w:val="it-IT"/>
        </w:rPr>
        <w:t>doi:10.1002</w:t>
      </w:r>
      <w:proofErr w:type="gramEnd"/>
      <w:r w:rsidRPr="003C106F">
        <w:rPr>
          <w:lang w:val="it-IT"/>
        </w:rPr>
        <w:t>/mds.26066</w:t>
      </w:r>
    </w:p>
    <w:p w14:paraId="47A591CE" w14:textId="77777777" w:rsidR="00EE7B65" w:rsidRDefault="00EE7B65" w:rsidP="00EE7B65">
      <w:pPr>
        <w:pStyle w:val="Bibliography"/>
      </w:pPr>
      <w:r w:rsidRPr="003C106F">
        <w:rPr>
          <w:lang w:val="it-IT"/>
        </w:rPr>
        <w:t>15.</w:t>
      </w:r>
      <w:r w:rsidRPr="003C106F">
        <w:rPr>
          <w:lang w:val="it-IT"/>
        </w:rPr>
        <w:tab/>
        <w:t xml:space="preserve">Carecchio M, Panteghini C, Reale C, et al. </w:t>
      </w:r>
      <w:r>
        <w:t xml:space="preserve">Novel GNAL mutation with intra-familial clinical heterogeneity: Expanding the phenotype. </w:t>
      </w:r>
      <w:r>
        <w:rPr>
          <w:i/>
          <w:iCs/>
        </w:rPr>
        <w:t>Parkinsonism Relat Disord</w:t>
      </w:r>
      <w:r>
        <w:t xml:space="preserve">. </w:t>
      </w:r>
      <w:proofErr w:type="gramStart"/>
      <w:r>
        <w:t>2016;23:66</w:t>
      </w:r>
      <w:proofErr w:type="gramEnd"/>
      <w:r>
        <w:t xml:space="preserve">-71. </w:t>
      </w:r>
      <w:proofErr w:type="gramStart"/>
      <w:r>
        <w:t>doi:10.1016/j.parkreldis</w:t>
      </w:r>
      <w:proofErr w:type="gramEnd"/>
      <w:r>
        <w:t>.2015.12.012</w:t>
      </w:r>
    </w:p>
    <w:p w14:paraId="35D75664" w14:textId="77777777" w:rsidR="00EE7B65" w:rsidRDefault="00EE7B65" w:rsidP="00EE7B65">
      <w:pPr>
        <w:pStyle w:val="Bibliography"/>
      </w:pPr>
      <w:r>
        <w:t>16.</w:t>
      </w:r>
      <w:r>
        <w:tab/>
        <w:t xml:space="preserve">LeDoux MS, Vemula SR, Xiao J, et al. Clinical and genetic features of cervical dystonia in a large multicenter cohort. </w:t>
      </w:r>
      <w:r>
        <w:rPr>
          <w:i/>
          <w:iCs/>
        </w:rPr>
        <w:t>Neurol Genet</w:t>
      </w:r>
      <w:r>
        <w:t>. 2016;2(3</w:t>
      </w:r>
      <w:proofErr w:type="gramStart"/>
      <w:r>
        <w:t>):e</w:t>
      </w:r>
      <w:proofErr w:type="gramEnd"/>
      <w:r>
        <w:t>69. doi:10.1212/NXG.0000000000000069</w:t>
      </w:r>
    </w:p>
    <w:p w14:paraId="211A09E7" w14:textId="77777777" w:rsidR="00EE7B65" w:rsidRDefault="00EE7B65" w:rsidP="00EE7B65">
      <w:pPr>
        <w:pStyle w:val="Bibliography"/>
      </w:pPr>
      <w:r>
        <w:t>17.</w:t>
      </w:r>
      <w:r>
        <w:tab/>
        <w:t xml:space="preserve">Sarva H, Trosch R, Kiss ZHT, et al. Deep Brain Stimulation in Isolated Dystonia </w:t>
      </w:r>
      <w:proofErr w:type="gramStart"/>
      <w:r>
        <w:t>With</w:t>
      </w:r>
      <w:proofErr w:type="gramEnd"/>
      <w:r>
        <w:t xml:space="preserve"> a </w:t>
      </w:r>
      <w:r>
        <w:rPr>
          <w:i/>
          <w:iCs/>
        </w:rPr>
        <w:t>GNAL</w:t>
      </w:r>
      <w:r>
        <w:t xml:space="preserve"> Mutation. </w:t>
      </w:r>
      <w:r>
        <w:rPr>
          <w:i/>
          <w:iCs/>
        </w:rPr>
        <w:t>Mov Disord</w:t>
      </w:r>
      <w:r>
        <w:t>. 2019;34(2):301-303. doi:10.1002/mds.27585</w:t>
      </w:r>
    </w:p>
    <w:p w14:paraId="7EFAB902" w14:textId="77777777" w:rsidR="00EE7B65" w:rsidRDefault="00EE7B65" w:rsidP="00EE7B65">
      <w:pPr>
        <w:pStyle w:val="Bibliography"/>
      </w:pPr>
      <w:r>
        <w:t>18.</w:t>
      </w:r>
      <w:r>
        <w:tab/>
        <w:t xml:space="preserve">Domingo A, Yadav R, Ozelius LJ. Isolated dystonia: clinical and genetic updates. </w:t>
      </w:r>
      <w:r>
        <w:rPr>
          <w:i/>
          <w:iCs/>
        </w:rPr>
        <w:t>J Neural Transm</w:t>
      </w:r>
      <w:r>
        <w:t>. 2021;128(4):405-416. doi:10.1007/s00702-020-02268-x</w:t>
      </w:r>
    </w:p>
    <w:p w14:paraId="7398769D" w14:textId="77777777" w:rsidR="00EE7B65" w:rsidRDefault="00EE7B65" w:rsidP="00EE7B65">
      <w:pPr>
        <w:pStyle w:val="Bibliography"/>
      </w:pPr>
      <w:r>
        <w:t>19.</w:t>
      </w:r>
      <w:r>
        <w:tab/>
        <w:t xml:space="preserve">Fan S, Cao Q, Peng B, et al. A new mutation in the GNAL gene in familial dystonia presenting with mental symptoms. </w:t>
      </w:r>
      <w:r>
        <w:rPr>
          <w:i/>
          <w:iCs/>
        </w:rPr>
        <w:t>Neurol Sci</w:t>
      </w:r>
      <w:r>
        <w:t>. 2022;43(7):4547-4549. doi:10.1007/s10072-022-06060-5</w:t>
      </w:r>
    </w:p>
    <w:p w14:paraId="3B0B4CA9" w14:textId="77777777" w:rsidR="00EE7B65" w:rsidRDefault="00EE7B65" w:rsidP="00EE7B65">
      <w:pPr>
        <w:pStyle w:val="Bibliography"/>
      </w:pPr>
      <w:r>
        <w:t>20.</w:t>
      </w:r>
      <w:r>
        <w:tab/>
        <w:t xml:space="preserve">Zech M, Boesch S, Maier EM, et al. Haploinsufficiency of KMT2B, Encoding the Lysine-Specific Histone Methyltransferase 2B, Results in Early-Onset Generalized Dystonia. </w:t>
      </w:r>
      <w:r>
        <w:rPr>
          <w:i/>
          <w:iCs/>
        </w:rPr>
        <w:t>Am J Hum Genet</w:t>
      </w:r>
      <w:r>
        <w:t xml:space="preserve">. 2016;99(6):1377-1387. </w:t>
      </w:r>
      <w:proofErr w:type="gramStart"/>
      <w:r>
        <w:t>doi:10.1016/j.ajhg</w:t>
      </w:r>
      <w:proofErr w:type="gramEnd"/>
      <w:r>
        <w:t>.2016.10.010</w:t>
      </w:r>
    </w:p>
    <w:p w14:paraId="3B88D154" w14:textId="77777777" w:rsidR="00EE7B65" w:rsidRPr="003C106F" w:rsidRDefault="00EE7B65" w:rsidP="00EE7B65">
      <w:pPr>
        <w:pStyle w:val="Bibliography"/>
        <w:rPr>
          <w:lang w:val="it-IT"/>
        </w:rPr>
      </w:pPr>
      <w:r>
        <w:t>21.</w:t>
      </w:r>
      <w:r>
        <w:tab/>
        <w:t xml:space="preserve">UK10K Consortium, Deciphering Developmental Disorders Study, NIHR BioResource Rare Diseases Consortium, et al. Mutations in the histone methyltransferase gene KMT2B cause complex early-onset dystonia. </w:t>
      </w:r>
      <w:r w:rsidRPr="003C106F">
        <w:rPr>
          <w:i/>
          <w:iCs/>
          <w:lang w:val="it-IT"/>
        </w:rPr>
        <w:t>Nat Genet</w:t>
      </w:r>
      <w:r w:rsidRPr="003C106F">
        <w:rPr>
          <w:lang w:val="it-IT"/>
        </w:rPr>
        <w:t xml:space="preserve">. 2017;49(2):223-237. </w:t>
      </w:r>
      <w:proofErr w:type="gramStart"/>
      <w:r w:rsidRPr="003C106F">
        <w:rPr>
          <w:lang w:val="it-IT"/>
        </w:rPr>
        <w:t>doi:10.1038</w:t>
      </w:r>
      <w:proofErr w:type="gramEnd"/>
      <w:r w:rsidRPr="003C106F">
        <w:rPr>
          <w:lang w:val="it-IT"/>
        </w:rPr>
        <w:t>/ng.3740</w:t>
      </w:r>
    </w:p>
    <w:p w14:paraId="0AD34681" w14:textId="77777777" w:rsidR="00EE7B65" w:rsidRPr="003C106F" w:rsidRDefault="00EE7B65" w:rsidP="00EE7B65">
      <w:pPr>
        <w:pStyle w:val="Bibliography"/>
        <w:rPr>
          <w:lang w:val="it-IT"/>
        </w:rPr>
      </w:pPr>
      <w:r w:rsidRPr="003C106F">
        <w:rPr>
          <w:lang w:val="it-IT"/>
        </w:rPr>
        <w:t>22.</w:t>
      </w:r>
      <w:r w:rsidRPr="003C106F">
        <w:rPr>
          <w:lang w:val="it-IT"/>
        </w:rPr>
        <w:tab/>
        <w:t xml:space="preserve">Carecchio M, Invernizzi F, Gonzàlez‐Latapi P, et al. </w:t>
      </w:r>
      <w:r>
        <w:t xml:space="preserve">Frequency and phenotypic spectrum of </w:t>
      </w:r>
      <w:r>
        <w:rPr>
          <w:i/>
          <w:iCs/>
        </w:rPr>
        <w:t>KMT2B</w:t>
      </w:r>
      <w:r>
        <w:t xml:space="preserve"> dystonia in childhood: A single‐center cohort study. </w:t>
      </w:r>
      <w:r w:rsidRPr="003C106F">
        <w:rPr>
          <w:i/>
          <w:iCs/>
          <w:lang w:val="it-IT"/>
        </w:rPr>
        <w:t>Mov Disord</w:t>
      </w:r>
      <w:r w:rsidRPr="003C106F">
        <w:rPr>
          <w:lang w:val="it-IT"/>
        </w:rPr>
        <w:t xml:space="preserve">. 2019;34(10):1516-1527. </w:t>
      </w:r>
      <w:proofErr w:type="gramStart"/>
      <w:r w:rsidRPr="003C106F">
        <w:rPr>
          <w:lang w:val="it-IT"/>
        </w:rPr>
        <w:t>doi:10.1002</w:t>
      </w:r>
      <w:proofErr w:type="gramEnd"/>
      <w:r w:rsidRPr="003C106F">
        <w:rPr>
          <w:lang w:val="it-IT"/>
        </w:rPr>
        <w:t>/mds.27771</w:t>
      </w:r>
    </w:p>
    <w:p w14:paraId="6644852C" w14:textId="77777777" w:rsidR="00EE7B65" w:rsidRDefault="00EE7B65" w:rsidP="00EE7B65">
      <w:pPr>
        <w:pStyle w:val="Bibliography"/>
      </w:pPr>
      <w:r w:rsidRPr="003C106F">
        <w:rPr>
          <w:lang w:val="it-IT"/>
        </w:rPr>
        <w:t>23.</w:t>
      </w:r>
      <w:r w:rsidRPr="003C106F">
        <w:rPr>
          <w:lang w:val="it-IT"/>
        </w:rPr>
        <w:tab/>
        <w:t xml:space="preserve">Li X yao, Dai L fang, Wan X hua, et al. </w:t>
      </w:r>
      <w:r>
        <w:t xml:space="preserve">Clinical phenotypes, genotypes and treatment in Chinese dystonia patients with KMT2B variants. </w:t>
      </w:r>
      <w:r>
        <w:rPr>
          <w:i/>
          <w:iCs/>
        </w:rPr>
        <w:t>Parkinsonism Relat Disord</w:t>
      </w:r>
      <w:r>
        <w:t xml:space="preserve">. </w:t>
      </w:r>
      <w:proofErr w:type="gramStart"/>
      <w:r>
        <w:t>2020;77:76</w:t>
      </w:r>
      <w:proofErr w:type="gramEnd"/>
      <w:r>
        <w:t xml:space="preserve">-82. </w:t>
      </w:r>
      <w:proofErr w:type="gramStart"/>
      <w:r>
        <w:t>doi:10.1016/j.parkreldis</w:t>
      </w:r>
      <w:proofErr w:type="gramEnd"/>
      <w:r>
        <w:t>.2020.06.002</w:t>
      </w:r>
    </w:p>
    <w:p w14:paraId="6DB5DFAB" w14:textId="77777777" w:rsidR="00EE7B65" w:rsidRDefault="00EE7B65" w:rsidP="00EE7B65">
      <w:pPr>
        <w:pStyle w:val="Bibliography"/>
      </w:pPr>
      <w:r>
        <w:t>24.</w:t>
      </w:r>
      <w:r>
        <w:tab/>
        <w:t xml:space="preserve">Cif L, Demailly D, Lin JP, et al. </w:t>
      </w:r>
      <w:r>
        <w:rPr>
          <w:i/>
          <w:iCs/>
        </w:rPr>
        <w:t>KMT2B</w:t>
      </w:r>
      <w:r>
        <w:t xml:space="preserve"> -related disorders: expansion of the phenotypic spectrum and long-term efficacy of deep brain stimulation. </w:t>
      </w:r>
      <w:r>
        <w:rPr>
          <w:i/>
          <w:iCs/>
        </w:rPr>
        <w:t>Brain</w:t>
      </w:r>
      <w:r>
        <w:t>. 2020;143(11):3242-3261. doi:10.1093/brain/awaa304</w:t>
      </w:r>
    </w:p>
    <w:p w14:paraId="75529888" w14:textId="77777777" w:rsidR="00EE7B65" w:rsidRDefault="00EE7B65" w:rsidP="00EE7B65">
      <w:pPr>
        <w:pStyle w:val="Bibliography"/>
      </w:pPr>
      <w:r>
        <w:t>25.</w:t>
      </w:r>
      <w:r>
        <w:tab/>
        <w:t xml:space="preserve">Zech M, Lam DD, Winkelmann J. Update on KMT2B-Related Dystonia. </w:t>
      </w:r>
      <w:r>
        <w:rPr>
          <w:i/>
          <w:iCs/>
        </w:rPr>
        <w:t>Curr Neurol Neurosci Rep</w:t>
      </w:r>
      <w:r>
        <w:t>. 2019;19(11):92. doi:10.1007/s11910-019-1007-y</w:t>
      </w:r>
    </w:p>
    <w:p w14:paraId="7CB28B85" w14:textId="77777777" w:rsidR="00EE7B65" w:rsidRDefault="00EE7B65" w:rsidP="00EE7B65">
      <w:pPr>
        <w:pStyle w:val="Bibliography"/>
      </w:pPr>
      <w:r>
        <w:lastRenderedPageBreak/>
        <w:t>26.</w:t>
      </w:r>
      <w:r>
        <w:tab/>
        <w:t xml:space="preserve">Zech M, Jech R, Havránková P, et al. </w:t>
      </w:r>
      <w:r>
        <w:rPr>
          <w:i/>
          <w:iCs/>
        </w:rPr>
        <w:t>KMT2B</w:t>
      </w:r>
      <w:r>
        <w:t xml:space="preserve"> rare missense variants in generalized dystonia: </w:t>
      </w:r>
      <w:r>
        <w:rPr>
          <w:i/>
          <w:iCs/>
        </w:rPr>
        <w:t>KMT2B</w:t>
      </w:r>
      <w:r>
        <w:t xml:space="preserve"> Missense Variants in Dystonia. </w:t>
      </w:r>
      <w:r>
        <w:rPr>
          <w:i/>
          <w:iCs/>
        </w:rPr>
        <w:t>Mov Disord</w:t>
      </w:r>
      <w:r>
        <w:t>. 2017;32(7):1087-1091. doi:10.1002/mds.27026</w:t>
      </w:r>
    </w:p>
    <w:p w14:paraId="689F5FBB" w14:textId="77777777" w:rsidR="00EE7B65" w:rsidRDefault="00EE7B65" w:rsidP="00EE7B65">
      <w:pPr>
        <w:pStyle w:val="Bibliography"/>
      </w:pPr>
      <w:r>
        <w:t>27.</w:t>
      </w:r>
      <w:r>
        <w:tab/>
        <w:t xml:space="preserve">Dafsari HS, Sprute R, Wunderlich G, et al. Novel mutations in KMT2B offer pathophysiological insights into childhood-onset progressive dystonia. </w:t>
      </w:r>
      <w:r>
        <w:rPr>
          <w:i/>
          <w:iCs/>
        </w:rPr>
        <w:t>J Hum Genet</w:t>
      </w:r>
      <w:r>
        <w:t>. 2019;64(8):803-813. doi:10.1038/s10038-019-0625-1</w:t>
      </w:r>
    </w:p>
    <w:p w14:paraId="452870DC" w14:textId="77777777" w:rsidR="00EE7B65" w:rsidRDefault="00EE7B65" w:rsidP="00EE7B65">
      <w:pPr>
        <w:pStyle w:val="Bibliography"/>
      </w:pPr>
      <w:r>
        <w:t>28.</w:t>
      </w:r>
      <w:r>
        <w:tab/>
        <w:t xml:space="preserve">Aksoy A, Yayıcı Köken Ö, Ceylan AC, Toptaş Dedeoğlu Ö. </w:t>
      </w:r>
      <w:r>
        <w:rPr>
          <w:b/>
          <w:bCs/>
          <w:i/>
          <w:iCs/>
        </w:rPr>
        <w:t>KMT2B</w:t>
      </w:r>
      <w:r>
        <w:t xml:space="preserve">-Related Dystonia: Challenges in Diagnosis and Treatment. </w:t>
      </w:r>
      <w:r>
        <w:rPr>
          <w:i/>
          <w:iCs/>
        </w:rPr>
        <w:t>Mol Syndromol</w:t>
      </w:r>
      <w:r>
        <w:t>. 2022;13(2):159-164. doi:10.1159/000518974</w:t>
      </w:r>
    </w:p>
    <w:p w14:paraId="3B7E7F4A" w14:textId="77777777" w:rsidR="00EE7B65" w:rsidRDefault="00EE7B65" w:rsidP="00EE7B65">
      <w:pPr>
        <w:pStyle w:val="Bibliography"/>
      </w:pPr>
      <w:r>
        <w:t>29.</w:t>
      </w:r>
      <w:r>
        <w:tab/>
        <w:t xml:space="preserve">Kumar KR, Davis RL, Tchan MC, et al. Whole genome sequencing for the genetic diagnosis of heterogenous dystonia phenotypes. </w:t>
      </w:r>
      <w:r>
        <w:rPr>
          <w:i/>
          <w:iCs/>
        </w:rPr>
        <w:t>Parkinsonism Relat Disord</w:t>
      </w:r>
      <w:r>
        <w:t xml:space="preserve">. </w:t>
      </w:r>
      <w:proofErr w:type="gramStart"/>
      <w:r>
        <w:t>2019;69:111</w:t>
      </w:r>
      <w:proofErr w:type="gramEnd"/>
      <w:r>
        <w:t xml:space="preserve">-118. </w:t>
      </w:r>
      <w:proofErr w:type="gramStart"/>
      <w:r>
        <w:t>doi:10.1016/j.parkreldis</w:t>
      </w:r>
      <w:proofErr w:type="gramEnd"/>
      <w:r>
        <w:t>.2019.11.004</w:t>
      </w:r>
    </w:p>
    <w:p w14:paraId="7EE60BC7" w14:textId="77777777" w:rsidR="00EE7B65" w:rsidRDefault="00EE7B65" w:rsidP="00EE7B65">
      <w:pPr>
        <w:pStyle w:val="Bibliography"/>
      </w:pPr>
      <w:r>
        <w:t>30.</w:t>
      </w:r>
      <w:r>
        <w:tab/>
        <w:t xml:space="preserve">Cao Z, Yao H, Bao X, et al. DYT28 Responsive to Pallidal Deep Brain Stimulation. </w:t>
      </w:r>
      <w:r>
        <w:rPr>
          <w:i/>
          <w:iCs/>
        </w:rPr>
        <w:t>Mov Disord Clin Pract</w:t>
      </w:r>
      <w:r>
        <w:t>. 2020;7(1):97-99. doi:10.1002/mdc3.12862</w:t>
      </w:r>
    </w:p>
    <w:p w14:paraId="5A5EBF96" w14:textId="77777777" w:rsidR="00EE7B65" w:rsidRDefault="00EE7B65" w:rsidP="00EE7B65">
      <w:pPr>
        <w:pStyle w:val="Bibliography"/>
      </w:pPr>
      <w:r>
        <w:t>31.</w:t>
      </w:r>
      <w:r>
        <w:tab/>
        <w:t xml:space="preserve">Kawarai T, Miyamoto R, Nakagawa E, et al. Phenotype variability and allelic heterogeneity in KMT2B-Associated disease. </w:t>
      </w:r>
      <w:r>
        <w:rPr>
          <w:i/>
          <w:iCs/>
        </w:rPr>
        <w:t>Parkinsonism Relat Disord</w:t>
      </w:r>
      <w:r>
        <w:t xml:space="preserve">. </w:t>
      </w:r>
      <w:proofErr w:type="gramStart"/>
      <w:r>
        <w:t>2018;52:55</w:t>
      </w:r>
      <w:proofErr w:type="gramEnd"/>
      <w:r>
        <w:t xml:space="preserve">-61. </w:t>
      </w:r>
      <w:proofErr w:type="gramStart"/>
      <w:r>
        <w:t>doi:10.1016/j.parkreldis</w:t>
      </w:r>
      <w:proofErr w:type="gramEnd"/>
      <w:r>
        <w:t>.2018.03.022</w:t>
      </w:r>
    </w:p>
    <w:p w14:paraId="7FE8C5B7" w14:textId="77777777" w:rsidR="00EE7B65" w:rsidRDefault="00EE7B65" w:rsidP="00EE7B65">
      <w:pPr>
        <w:pStyle w:val="Bibliography"/>
      </w:pPr>
      <w:r>
        <w:t>32.</w:t>
      </w:r>
      <w:r>
        <w:tab/>
        <w:t xml:space="preserve">Thomas M, Hayflick SJ, Jankovic J. Clinical heterogeneity of neurodegeneration with brain iron accumulation (Hallervorden-Spatz syndrome) and pantothenate kinase-associated neurodegeneration: Hallervorden-Spatz Syndrome and PKAN. </w:t>
      </w:r>
      <w:r>
        <w:rPr>
          <w:i/>
          <w:iCs/>
        </w:rPr>
        <w:t>Mov Disord</w:t>
      </w:r>
      <w:r>
        <w:t>. 2004;19(1):36-42. doi:10.1002/mds.10650</w:t>
      </w:r>
    </w:p>
    <w:p w14:paraId="1FF5F0B9" w14:textId="77777777" w:rsidR="00EE7B65" w:rsidRDefault="00EE7B65" w:rsidP="00EE7B65">
      <w:pPr>
        <w:pStyle w:val="Bibliography"/>
      </w:pPr>
      <w:r>
        <w:t>33.</w:t>
      </w:r>
      <w:r>
        <w:tab/>
        <w:t xml:space="preserve">Umemura A, Jaggi JL, Dolinskas CA, Stern MB, Baltuch GH. Pallidal deep brain stimulation for longstanding severe generalized dystonia in Hallervorden—Spatz syndrome: Case report. </w:t>
      </w:r>
      <w:r>
        <w:rPr>
          <w:i/>
          <w:iCs/>
        </w:rPr>
        <w:t>J Neurosurg</w:t>
      </w:r>
      <w:r>
        <w:t>. 2004;100(4):706-709. doi:10.3171/jns.2004.100.4.0706</w:t>
      </w:r>
    </w:p>
    <w:p w14:paraId="3920AAC5" w14:textId="77777777" w:rsidR="00EE7B65" w:rsidRDefault="00EE7B65" w:rsidP="00EE7B65">
      <w:pPr>
        <w:pStyle w:val="Bibliography"/>
      </w:pPr>
      <w:r>
        <w:t>34.</w:t>
      </w:r>
      <w:r>
        <w:tab/>
        <w:t xml:space="preserve">Hogarth P. Neurodegeneration with Brain Iron Accumulation: Diagnosis and Management. </w:t>
      </w:r>
      <w:r>
        <w:rPr>
          <w:i/>
          <w:iCs/>
        </w:rPr>
        <w:t>J Mov Disord</w:t>
      </w:r>
      <w:r>
        <w:t>. 2015;8(1):1-13. doi:10.14802/jmd.14034</w:t>
      </w:r>
    </w:p>
    <w:p w14:paraId="35441EEF" w14:textId="77777777" w:rsidR="00EE7B65" w:rsidRDefault="00EE7B65" w:rsidP="00EE7B65">
      <w:pPr>
        <w:pStyle w:val="Bibliography"/>
      </w:pPr>
      <w:r>
        <w:t>35.</w:t>
      </w:r>
      <w:r>
        <w:tab/>
        <w:t xml:space="preserve">Clement F, Devos D, Moreau C, Coubes P, Destee A, Defebvre L. Neurodegeneration with brain iron accumulation: clinical, radiographic and genetic heterogeneity and corresponding therapeutic options. </w:t>
      </w:r>
      <w:r>
        <w:rPr>
          <w:i/>
          <w:iCs/>
        </w:rPr>
        <w:t>Acta Neurol Belg</w:t>
      </w:r>
      <w:r>
        <w:t>. 2007;107(1):26-31.</w:t>
      </w:r>
    </w:p>
    <w:p w14:paraId="116388B9" w14:textId="77777777" w:rsidR="00EE7B65" w:rsidRDefault="00EE7B65" w:rsidP="00EE7B65">
      <w:pPr>
        <w:pStyle w:val="Bibliography"/>
      </w:pPr>
      <w:r>
        <w:t>36.</w:t>
      </w:r>
      <w:r>
        <w:tab/>
        <w:t xml:space="preserve">Li WB, Shen NX, Zhang C, et al. Novel PANK2 Mutations in Patients </w:t>
      </w:r>
      <w:proofErr w:type="gramStart"/>
      <w:r>
        <w:t>With</w:t>
      </w:r>
      <w:proofErr w:type="gramEnd"/>
      <w:r>
        <w:t xml:space="preserve"> Pantothenate Kinase-Associated Neurodegeneration and the Genotype–Phenotype Correlation. </w:t>
      </w:r>
      <w:r>
        <w:rPr>
          <w:i/>
          <w:iCs/>
        </w:rPr>
        <w:t>Front Aging Neurosci</w:t>
      </w:r>
      <w:r>
        <w:t xml:space="preserve">. </w:t>
      </w:r>
      <w:proofErr w:type="gramStart"/>
      <w:r>
        <w:t>2022;14:848919</w:t>
      </w:r>
      <w:proofErr w:type="gramEnd"/>
      <w:r>
        <w:t>. doi:10.3389/fnagi.2022.848919</w:t>
      </w:r>
    </w:p>
    <w:p w14:paraId="3280E924" w14:textId="77777777" w:rsidR="00EE7B65" w:rsidRDefault="00EE7B65" w:rsidP="00EE7B65">
      <w:pPr>
        <w:pStyle w:val="Bibliography"/>
      </w:pPr>
      <w:r>
        <w:t>37.</w:t>
      </w:r>
      <w:r>
        <w:tab/>
        <w:t xml:space="preserve">Chang X, Zhang J, Jiang Y, Wang J, Wu Y. Natural history and genotype‐phenotype correlation of pantothenate kinase‐associated neurodegeneration. </w:t>
      </w:r>
      <w:r>
        <w:rPr>
          <w:i/>
          <w:iCs/>
        </w:rPr>
        <w:t>CNS Neurosci Ther</w:t>
      </w:r>
      <w:r>
        <w:t>. 2020;26(7):754-761. doi:10.1111/cns.13294</w:t>
      </w:r>
    </w:p>
    <w:p w14:paraId="167CCBF1" w14:textId="77777777" w:rsidR="00EE7B65" w:rsidRDefault="00EE7B65" w:rsidP="00EE7B65">
      <w:pPr>
        <w:pStyle w:val="Bibliography"/>
      </w:pPr>
      <w:r>
        <w:lastRenderedPageBreak/>
        <w:t>38.</w:t>
      </w:r>
      <w:r>
        <w:tab/>
        <w:t xml:space="preserve">Mikati MA, Yehya A, Darwish H, Karam P, Comair Y. Deep brain stimulation as a mode of treatment of early onset pantothenate kinase-associated neurodegeneration. </w:t>
      </w:r>
      <w:r>
        <w:rPr>
          <w:i/>
          <w:iCs/>
        </w:rPr>
        <w:t>Eur J Paediatr Neurol</w:t>
      </w:r>
      <w:r>
        <w:t xml:space="preserve">. 2009;13(1):61-64. </w:t>
      </w:r>
      <w:proofErr w:type="gramStart"/>
      <w:r>
        <w:t>doi:10.1016/j.ejpn</w:t>
      </w:r>
      <w:proofErr w:type="gramEnd"/>
      <w:r>
        <w:t>.2008.01.006</w:t>
      </w:r>
    </w:p>
    <w:p w14:paraId="4CA8A96D" w14:textId="77777777" w:rsidR="00EE7B65" w:rsidRPr="003C106F" w:rsidRDefault="00EE7B65" w:rsidP="00EE7B65">
      <w:pPr>
        <w:pStyle w:val="Bibliography"/>
        <w:rPr>
          <w:lang w:val="it-IT"/>
        </w:rPr>
      </w:pPr>
      <w:r>
        <w:t>39.</w:t>
      </w:r>
      <w:r>
        <w:tab/>
        <w:t xml:space="preserve">Lim BC, Ki CS, Cho A, et al. Pantothenate kinase-associated neurodegeneration in Korea: recurrent R440P mutation in PANK2 and outcome of deep brain stimulation: Pantothenate kinase-associated neurodegeneration in Korea. </w:t>
      </w:r>
      <w:r w:rsidRPr="003C106F">
        <w:rPr>
          <w:i/>
          <w:iCs/>
          <w:lang w:val="it-IT"/>
        </w:rPr>
        <w:t>Eur J Neurol</w:t>
      </w:r>
      <w:r w:rsidRPr="003C106F">
        <w:rPr>
          <w:lang w:val="it-IT"/>
        </w:rPr>
        <w:t xml:space="preserve">. 2012;19(4):556-561. </w:t>
      </w:r>
      <w:proofErr w:type="gramStart"/>
      <w:r w:rsidRPr="003C106F">
        <w:rPr>
          <w:lang w:val="it-IT"/>
        </w:rPr>
        <w:t>doi:10.1111</w:t>
      </w:r>
      <w:proofErr w:type="gramEnd"/>
      <w:r w:rsidRPr="003C106F">
        <w:rPr>
          <w:lang w:val="it-IT"/>
        </w:rPr>
        <w:t>/j.1468-1331.2011.03589.x</w:t>
      </w:r>
    </w:p>
    <w:p w14:paraId="7D78A25F" w14:textId="77777777" w:rsidR="00EE7B65" w:rsidRPr="003C106F" w:rsidRDefault="00EE7B65" w:rsidP="00EE7B65">
      <w:pPr>
        <w:pStyle w:val="Bibliography"/>
        <w:rPr>
          <w:lang w:val="it-IT"/>
        </w:rPr>
      </w:pPr>
      <w:r w:rsidRPr="003C106F">
        <w:rPr>
          <w:lang w:val="it-IT"/>
        </w:rPr>
        <w:t>40.</w:t>
      </w:r>
      <w:r w:rsidRPr="003C106F">
        <w:rPr>
          <w:lang w:val="it-IT"/>
        </w:rPr>
        <w:tab/>
        <w:t xml:space="preserve">Akcakaya NH, Iseri SU, Bilir B, et al. </w:t>
      </w:r>
      <w:r>
        <w:t xml:space="preserve">Clinical and genetic features of PKAN patients in a tertiary centre in Turkey. </w:t>
      </w:r>
      <w:r w:rsidRPr="003C106F">
        <w:rPr>
          <w:i/>
          <w:iCs/>
          <w:lang w:val="it-IT"/>
        </w:rPr>
        <w:t>Clin Neurol Neurosurg</w:t>
      </w:r>
      <w:r w:rsidRPr="003C106F">
        <w:rPr>
          <w:lang w:val="it-IT"/>
        </w:rPr>
        <w:t xml:space="preserve">. </w:t>
      </w:r>
      <w:proofErr w:type="gramStart"/>
      <w:r w:rsidRPr="003C106F">
        <w:rPr>
          <w:lang w:val="it-IT"/>
        </w:rPr>
        <w:t>2017;154:34</w:t>
      </w:r>
      <w:proofErr w:type="gramEnd"/>
      <w:r w:rsidRPr="003C106F">
        <w:rPr>
          <w:lang w:val="it-IT"/>
        </w:rPr>
        <w:t xml:space="preserve">-42. </w:t>
      </w:r>
      <w:proofErr w:type="gramStart"/>
      <w:r w:rsidRPr="003C106F">
        <w:rPr>
          <w:lang w:val="it-IT"/>
        </w:rPr>
        <w:t>doi:10.1016/j.clineuro</w:t>
      </w:r>
      <w:proofErr w:type="gramEnd"/>
      <w:r w:rsidRPr="003C106F">
        <w:rPr>
          <w:lang w:val="it-IT"/>
        </w:rPr>
        <w:t>.2017.01.011</w:t>
      </w:r>
    </w:p>
    <w:p w14:paraId="17FA064F" w14:textId="77777777" w:rsidR="00EE7B65" w:rsidRDefault="00EE7B65" w:rsidP="00EE7B65">
      <w:pPr>
        <w:pStyle w:val="Bibliography"/>
      </w:pPr>
      <w:r w:rsidRPr="003C106F">
        <w:rPr>
          <w:lang w:val="it-IT"/>
        </w:rPr>
        <w:t>41.</w:t>
      </w:r>
      <w:r w:rsidRPr="003C106F">
        <w:rPr>
          <w:lang w:val="it-IT"/>
        </w:rPr>
        <w:tab/>
        <w:t xml:space="preserve">Artusi CA, Dwivedi A, Romagnolo A, et al. </w:t>
      </w:r>
      <w:r>
        <w:t xml:space="preserve">Differential response to pallidal deep brain stimulation among monogenic dystonias: systematic review and meta-analysis. </w:t>
      </w:r>
      <w:r>
        <w:rPr>
          <w:i/>
          <w:iCs/>
        </w:rPr>
        <w:t>J Neurol Neurosurg Psychiatry</w:t>
      </w:r>
      <w:r>
        <w:t>. 2020;91(4):426-433. doi:10.1136/jnnp-2019-322169</w:t>
      </w:r>
    </w:p>
    <w:p w14:paraId="6DD0B879" w14:textId="77777777" w:rsidR="00EE7B65" w:rsidRDefault="00EE7B65" w:rsidP="00EE7B65">
      <w:pPr>
        <w:pStyle w:val="Bibliography"/>
      </w:pPr>
      <w:r>
        <w:t>42.</w:t>
      </w:r>
      <w:r>
        <w:tab/>
        <w:t xml:space="preserve">Herzog R, Weissbach A, Bäumer T, Münchau A. Complex dystonias: an update on diagnosis and care. </w:t>
      </w:r>
      <w:r>
        <w:rPr>
          <w:i/>
          <w:iCs/>
        </w:rPr>
        <w:t>J Neural Transm</w:t>
      </w:r>
      <w:r>
        <w:t>. 2021;128(4):431-445. doi:10.1007/s00702-020-02275-y</w:t>
      </w:r>
    </w:p>
    <w:p w14:paraId="7B41E780" w14:textId="77777777" w:rsidR="00EE7B65" w:rsidRPr="003C106F" w:rsidRDefault="00EE7B65" w:rsidP="00EE7B65">
      <w:pPr>
        <w:pStyle w:val="Bibliography"/>
        <w:rPr>
          <w:lang w:val="it-IT"/>
        </w:rPr>
      </w:pPr>
      <w:r>
        <w:t>43.</w:t>
      </w:r>
      <w:r>
        <w:tab/>
        <w:t xml:space="preserve">Speelman JD, Contarino MF, Schuurman PR, Tijssen MAJ, De Bie RMA. Deep brain stimulation for dystonia: patient selection and outcomes: Deep brain stimulation for dystonia. </w:t>
      </w:r>
      <w:r w:rsidRPr="003C106F">
        <w:rPr>
          <w:i/>
          <w:iCs/>
          <w:lang w:val="it-IT"/>
        </w:rPr>
        <w:t>Eur J Neurol</w:t>
      </w:r>
      <w:r w:rsidRPr="003C106F">
        <w:rPr>
          <w:lang w:val="it-IT"/>
        </w:rPr>
        <w:t xml:space="preserve">. </w:t>
      </w:r>
      <w:proofErr w:type="gramStart"/>
      <w:r w:rsidRPr="003C106F">
        <w:rPr>
          <w:lang w:val="it-IT"/>
        </w:rPr>
        <w:t>2010;17:102</w:t>
      </w:r>
      <w:proofErr w:type="gramEnd"/>
      <w:r w:rsidRPr="003C106F">
        <w:rPr>
          <w:lang w:val="it-IT"/>
        </w:rPr>
        <w:t xml:space="preserve">-106. </w:t>
      </w:r>
      <w:proofErr w:type="gramStart"/>
      <w:r w:rsidRPr="003C106F">
        <w:rPr>
          <w:lang w:val="it-IT"/>
        </w:rPr>
        <w:t>doi:10.1111</w:t>
      </w:r>
      <w:proofErr w:type="gramEnd"/>
      <w:r w:rsidRPr="003C106F">
        <w:rPr>
          <w:lang w:val="it-IT"/>
        </w:rPr>
        <w:t>/j.1468-1331.2010.03060.x</w:t>
      </w:r>
    </w:p>
    <w:p w14:paraId="2A5B08EC" w14:textId="77777777" w:rsidR="00EE7B65" w:rsidRDefault="00EE7B65" w:rsidP="00EE7B65">
      <w:pPr>
        <w:pStyle w:val="Bibliography"/>
      </w:pPr>
      <w:r w:rsidRPr="003C106F">
        <w:rPr>
          <w:lang w:val="it-IT"/>
        </w:rPr>
        <w:t>44.</w:t>
      </w:r>
      <w:r w:rsidRPr="003C106F">
        <w:rPr>
          <w:lang w:val="it-IT"/>
        </w:rPr>
        <w:tab/>
        <w:t xml:space="preserve">Schneider SA, Bhatia KP. </w:t>
      </w:r>
      <w:r>
        <w:t xml:space="preserve">Rare Causes of Dystonia Parkinsonism. </w:t>
      </w:r>
      <w:r>
        <w:rPr>
          <w:i/>
          <w:iCs/>
        </w:rPr>
        <w:t>Curr Neurol Neurosci Rep</w:t>
      </w:r>
      <w:r>
        <w:t>. 2010;10(6):431-439. doi:10.1007/s11910-010-0136-0</w:t>
      </w:r>
    </w:p>
    <w:p w14:paraId="0171FD1C" w14:textId="77777777" w:rsidR="00EE7B65" w:rsidRDefault="00EE7B65" w:rsidP="00EE7B65">
      <w:pPr>
        <w:pStyle w:val="Bibliography"/>
      </w:pPr>
      <w:r>
        <w:t>45.</w:t>
      </w:r>
      <w:r>
        <w:tab/>
        <w:t xml:space="preserve">Kim J, Shin H, Youn J, Ki CS, Cho AR, Cho JW. A Novel </w:t>
      </w:r>
      <w:r>
        <w:rPr>
          <w:i/>
          <w:iCs/>
        </w:rPr>
        <w:t>PANK2</w:t>
      </w:r>
      <w:r>
        <w:t xml:space="preserve"> Gene Mutation with Sudden-Onset Dystonia. </w:t>
      </w:r>
      <w:r>
        <w:rPr>
          <w:i/>
          <w:iCs/>
        </w:rPr>
        <w:t>Can J Neurol Sci J Can Sci Neurol</w:t>
      </w:r>
      <w:r>
        <w:t>. 2012;39(3):395-397. doi:10.1017/S0317167100013597</w:t>
      </w:r>
    </w:p>
    <w:p w14:paraId="0D07D791" w14:textId="77777777" w:rsidR="00EE7B65" w:rsidRPr="003C106F" w:rsidRDefault="00EE7B65" w:rsidP="00EE7B65">
      <w:pPr>
        <w:pStyle w:val="Bibliography"/>
        <w:rPr>
          <w:lang w:val="it-IT"/>
        </w:rPr>
      </w:pPr>
      <w:r>
        <w:t>46.</w:t>
      </w:r>
      <w:r>
        <w:tab/>
        <w:t xml:space="preserve">Guo Y pei, Tang B sha, Guo J feng. PLA2G6-Associated Neurodegeneration (PLAN): Review of Clinical Phenotypes and Genotypes. </w:t>
      </w:r>
      <w:r w:rsidRPr="003C106F">
        <w:rPr>
          <w:i/>
          <w:iCs/>
          <w:lang w:val="it-IT"/>
        </w:rPr>
        <w:t>Front Neurol</w:t>
      </w:r>
      <w:r w:rsidRPr="003C106F">
        <w:rPr>
          <w:lang w:val="it-IT"/>
        </w:rPr>
        <w:t xml:space="preserve">. </w:t>
      </w:r>
      <w:proofErr w:type="gramStart"/>
      <w:r w:rsidRPr="003C106F">
        <w:rPr>
          <w:lang w:val="it-IT"/>
        </w:rPr>
        <w:t>2018;9:1100</w:t>
      </w:r>
      <w:proofErr w:type="gramEnd"/>
      <w:r w:rsidRPr="003C106F">
        <w:rPr>
          <w:lang w:val="it-IT"/>
        </w:rPr>
        <w:t xml:space="preserve">. </w:t>
      </w:r>
      <w:proofErr w:type="gramStart"/>
      <w:r w:rsidRPr="003C106F">
        <w:rPr>
          <w:lang w:val="it-IT"/>
        </w:rPr>
        <w:t>doi:10.3389</w:t>
      </w:r>
      <w:proofErr w:type="gramEnd"/>
      <w:r w:rsidRPr="003C106F">
        <w:rPr>
          <w:lang w:val="it-IT"/>
        </w:rPr>
        <w:t>/fneur.2018.01100</w:t>
      </w:r>
    </w:p>
    <w:p w14:paraId="00E59898" w14:textId="77777777" w:rsidR="00EE7B65" w:rsidRDefault="00EE7B65" w:rsidP="00EE7B65">
      <w:pPr>
        <w:pStyle w:val="Bibliography"/>
      </w:pPr>
      <w:r w:rsidRPr="003C106F">
        <w:rPr>
          <w:lang w:val="it-IT"/>
        </w:rPr>
        <w:t>47.</w:t>
      </w:r>
      <w:r w:rsidRPr="003C106F">
        <w:rPr>
          <w:lang w:val="it-IT"/>
        </w:rPr>
        <w:tab/>
        <w:t xml:space="preserve">Magrinelli F, Mehta S, Di Lazzaro G, et al. </w:t>
      </w:r>
      <w:r>
        <w:t xml:space="preserve">Dissecting the Phenotype and Genotype </w:t>
      </w:r>
      <w:proofErr w:type="gramStart"/>
      <w:r>
        <w:t xml:space="preserve">of </w:t>
      </w:r>
      <w:r>
        <w:rPr>
          <w:smallCaps/>
        </w:rPr>
        <w:t xml:space="preserve"> </w:t>
      </w:r>
      <w:r>
        <w:rPr>
          <w:i/>
          <w:iCs/>
          <w:smallCaps/>
        </w:rPr>
        <w:t>PLA</w:t>
      </w:r>
      <w:proofErr w:type="gramEnd"/>
      <w:r>
        <w:rPr>
          <w:i/>
          <w:iCs/>
          <w:smallCaps/>
        </w:rPr>
        <w:t>2G6</w:t>
      </w:r>
      <w:r>
        <w:rPr>
          <w:smallCaps/>
        </w:rPr>
        <w:t xml:space="preserve"> </w:t>
      </w:r>
      <w:r>
        <w:t xml:space="preserve"> ‐Related Parkinsonism. </w:t>
      </w:r>
      <w:r>
        <w:rPr>
          <w:i/>
          <w:iCs/>
        </w:rPr>
        <w:t>Mov Disord</w:t>
      </w:r>
      <w:r>
        <w:t>. 2022;37(1):148-161. doi:10.1002/mds.28807</w:t>
      </w:r>
    </w:p>
    <w:p w14:paraId="031B9FB4" w14:textId="77777777" w:rsidR="00EE7B65" w:rsidRDefault="00EE7B65" w:rsidP="00EE7B65">
      <w:pPr>
        <w:pStyle w:val="Bibliography"/>
      </w:pPr>
      <w:r>
        <w:t>48.</w:t>
      </w:r>
      <w:r>
        <w:tab/>
        <w:t xml:space="preserve">Jia F, Fellner A, Kumar KR. Monogenic Parkinson’s Disease: Genotype, Phenotype, Pathophysiology, and Genetic Testing. </w:t>
      </w:r>
      <w:r>
        <w:rPr>
          <w:i/>
          <w:iCs/>
        </w:rPr>
        <w:t>Genes</w:t>
      </w:r>
      <w:r>
        <w:t>. 2022;13(3):471. doi:10.3390/genes13030471</w:t>
      </w:r>
    </w:p>
    <w:p w14:paraId="55CA791F" w14:textId="77777777" w:rsidR="00EE7B65" w:rsidRPr="003C106F" w:rsidRDefault="00EE7B65" w:rsidP="00EE7B65">
      <w:pPr>
        <w:pStyle w:val="Bibliography"/>
        <w:rPr>
          <w:lang w:val="it-IT"/>
        </w:rPr>
      </w:pPr>
      <w:r>
        <w:t>49.</w:t>
      </w:r>
      <w:r>
        <w:tab/>
        <w:t xml:space="preserve">Sina F, Shojaee S, Elahi E, Paisán-Ruiz C. R632W mutation in </w:t>
      </w:r>
      <w:r>
        <w:rPr>
          <w:i/>
          <w:iCs/>
        </w:rPr>
        <w:t>PLA2G6</w:t>
      </w:r>
      <w:r>
        <w:t xml:space="preserve"> segregates with dystonia-parkinsonism in a consanguineous Iranian family. </w:t>
      </w:r>
      <w:r w:rsidRPr="003C106F">
        <w:rPr>
          <w:i/>
          <w:iCs/>
          <w:lang w:val="it-IT"/>
        </w:rPr>
        <w:t>Eur J Neurol</w:t>
      </w:r>
      <w:r w:rsidRPr="003C106F">
        <w:rPr>
          <w:lang w:val="it-IT"/>
        </w:rPr>
        <w:t xml:space="preserve">. 2009;16(1):101-104. </w:t>
      </w:r>
      <w:proofErr w:type="gramStart"/>
      <w:r w:rsidRPr="003C106F">
        <w:rPr>
          <w:lang w:val="it-IT"/>
        </w:rPr>
        <w:t>doi:10.1111</w:t>
      </w:r>
      <w:proofErr w:type="gramEnd"/>
      <w:r w:rsidRPr="003C106F">
        <w:rPr>
          <w:lang w:val="it-IT"/>
        </w:rPr>
        <w:t>/j.1468-1331.2008.02356.x</w:t>
      </w:r>
    </w:p>
    <w:p w14:paraId="539574D9" w14:textId="77777777" w:rsidR="00EE7B65" w:rsidRPr="003C106F" w:rsidRDefault="00EE7B65" w:rsidP="00EE7B65">
      <w:pPr>
        <w:pStyle w:val="Bibliography"/>
        <w:rPr>
          <w:lang w:val="it-IT"/>
        </w:rPr>
      </w:pPr>
      <w:r w:rsidRPr="003C106F">
        <w:rPr>
          <w:lang w:val="it-IT"/>
        </w:rPr>
        <w:t>50.</w:t>
      </w:r>
      <w:r w:rsidRPr="003C106F">
        <w:rPr>
          <w:lang w:val="it-IT"/>
        </w:rPr>
        <w:tab/>
        <w:t xml:space="preserve">Paisan-Ruiz C, Bhatia KP, Li A, et al. </w:t>
      </w:r>
      <w:r>
        <w:t xml:space="preserve">Characterization of PLA2G6 as a locus for dystonia-parkinsonism. </w:t>
      </w:r>
      <w:r w:rsidRPr="003C106F">
        <w:rPr>
          <w:i/>
          <w:iCs/>
          <w:lang w:val="it-IT"/>
        </w:rPr>
        <w:t>Ann Neurol</w:t>
      </w:r>
      <w:r w:rsidRPr="003C106F">
        <w:rPr>
          <w:lang w:val="it-IT"/>
        </w:rPr>
        <w:t xml:space="preserve">. 2008;65(1):19-23. </w:t>
      </w:r>
      <w:proofErr w:type="gramStart"/>
      <w:r w:rsidRPr="003C106F">
        <w:rPr>
          <w:lang w:val="it-IT"/>
        </w:rPr>
        <w:t>doi:10.1002</w:t>
      </w:r>
      <w:proofErr w:type="gramEnd"/>
      <w:r w:rsidRPr="003C106F">
        <w:rPr>
          <w:lang w:val="it-IT"/>
        </w:rPr>
        <w:t>/ana.21415</w:t>
      </w:r>
    </w:p>
    <w:p w14:paraId="27B082D3" w14:textId="77777777" w:rsidR="00EE7B65" w:rsidRDefault="00EE7B65" w:rsidP="00EE7B65">
      <w:pPr>
        <w:pStyle w:val="Bibliography"/>
      </w:pPr>
      <w:r w:rsidRPr="003C106F">
        <w:rPr>
          <w:lang w:val="it-IT"/>
        </w:rPr>
        <w:lastRenderedPageBreak/>
        <w:t>51.</w:t>
      </w:r>
      <w:r w:rsidRPr="003C106F">
        <w:rPr>
          <w:lang w:val="it-IT"/>
        </w:rPr>
        <w:tab/>
        <w:t xml:space="preserve">Cif L, Kurian MA, Gonzalez V, et al. </w:t>
      </w:r>
      <w:r>
        <w:t xml:space="preserve">Atypical </w:t>
      </w:r>
      <w:r>
        <w:rPr>
          <w:i/>
          <w:iCs/>
        </w:rPr>
        <w:t>PLA2G6</w:t>
      </w:r>
      <w:r>
        <w:t xml:space="preserve"> -Associated Neurodegeneration: Social Communication Impairment, Dystonia and Response to Deep Brain Stimulation. </w:t>
      </w:r>
      <w:r>
        <w:rPr>
          <w:i/>
          <w:iCs/>
        </w:rPr>
        <w:t>Mov Disord Clin Pract</w:t>
      </w:r>
      <w:r>
        <w:t>. 2014;1(2):128-131. doi:10.1002/mdc3.12030</w:t>
      </w:r>
    </w:p>
    <w:p w14:paraId="399791E6" w14:textId="77777777" w:rsidR="00EE7B65" w:rsidRDefault="00EE7B65" w:rsidP="00EE7B65">
      <w:pPr>
        <w:pStyle w:val="Bibliography"/>
      </w:pPr>
      <w:r>
        <w:t>52.</w:t>
      </w:r>
      <w:r>
        <w:tab/>
        <w:t xml:space="preserve">Illingworth MA, Meyer E, Chong WK, et al. PLA2G6-associated neurodegeneration (PLAN): Further expansion of the clinical, radiological and mutation spectrum associated with infantile and atypical childhood-onset disease. </w:t>
      </w:r>
      <w:r>
        <w:rPr>
          <w:i/>
          <w:iCs/>
        </w:rPr>
        <w:t>Mol Genet Metab</w:t>
      </w:r>
      <w:r>
        <w:t xml:space="preserve">. 2014;112(2):183-189. </w:t>
      </w:r>
      <w:proofErr w:type="gramStart"/>
      <w:r>
        <w:t>doi:10.1016/j.ymgme</w:t>
      </w:r>
      <w:proofErr w:type="gramEnd"/>
      <w:r>
        <w:t>.2014.03.008</w:t>
      </w:r>
    </w:p>
    <w:p w14:paraId="06C4F5B5" w14:textId="77777777" w:rsidR="00EE7B65" w:rsidRDefault="00EE7B65" w:rsidP="00EE7B65">
      <w:pPr>
        <w:pStyle w:val="Bibliography"/>
      </w:pPr>
      <w:r>
        <w:t>53.</w:t>
      </w:r>
      <w:r>
        <w:tab/>
        <w:t xml:space="preserve">Ozes B, Karagoz N, Schüle R, et al. PLA2G6 mutations associated with a continuous clinical spectrum from neuroaxonal dystrophy to hereditary spastic paraplegia. </w:t>
      </w:r>
      <w:r>
        <w:rPr>
          <w:i/>
          <w:iCs/>
        </w:rPr>
        <w:t>Clin Genet</w:t>
      </w:r>
      <w:r>
        <w:t>. 2017;92(5):534-539. doi:10.1111/cge.13008</w:t>
      </w:r>
    </w:p>
    <w:p w14:paraId="4D12C95D" w14:textId="77777777" w:rsidR="00EE7B65" w:rsidRDefault="00EE7B65" w:rsidP="00EE7B65">
      <w:pPr>
        <w:pStyle w:val="Bibliography"/>
      </w:pPr>
      <w:r>
        <w:t>54.</w:t>
      </w:r>
      <w:r>
        <w:tab/>
        <w:t xml:space="preserve">Chen YJ, Chen YC, Dong HL, et al. Novel PLA2G6 mutations and clinical heterogeneity in Chinese cases with phospholipase A2-associated neurodegeneration. </w:t>
      </w:r>
      <w:r>
        <w:rPr>
          <w:i/>
          <w:iCs/>
        </w:rPr>
        <w:t>Parkinsonism Relat Disord</w:t>
      </w:r>
      <w:r>
        <w:t xml:space="preserve">. </w:t>
      </w:r>
      <w:proofErr w:type="gramStart"/>
      <w:r>
        <w:t>2018;49:88</w:t>
      </w:r>
      <w:proofErr w:type="gramEnd"/>
      <w:r>
        <w:t xml:space="preserve">-94. </w:t>
      </w:r>
      <w:proofErr w:type="gramStart"/>
      <w:r>
        <w:t>doi:10.1016/j.parkreldis</w:t>
      </w:r>
      <w:proofErr w:type="gramEnd"/>
      <w:r>
        <w:t>.2018.02.010</w:t>
      </w:r>
    </w:p>
    <w:p w14:paraId="64C3DFDB" w14:textId="77777777" w:rsidR="00EE7B65" w:rsidRDefault="00EE7B65" w:rsidP="00EE7B65">
      <w:pPr>
        <w:pStyle w:val="Bibliography"/>
      </w:pPr>
      <w:r>
        <w:t>55.</w:t>
      </w:r>
      <w:r>
        <w:tab/>
        <w:t xml:space="preserve">Darling A, Aguilera-Albesa S, Tello CA, et al. PLA2G6-associated neurodegeneration: New insights into brain abnormalities and disease progression. </w:t>
      </w:r>
      <w:r>
        <w:rPr>
          <w:i/>
          <w:iCs/>
        </w:rPr>
        <w:t>Parkinsonism Relat Disord</w:t>
      </w:r>
      <w:r>
        <w:t xml:space="preserve">. </w:t>
      </w:r>
      <w:proofErr w:type="gramStart"/>
      <w:r>
        <w:t>2019;61:179</w:t>
      </w:r>
      <w:proofErr w:type="gramEnd"/>
      <w:r>
        <w:t xml:space="preserve">-186. </w:t>
      </w:r>
      <w:proofErr w:type="gramStart"/>
      <w:r>
        <w:t>doi:10.1016/j.parkreldis</w:t>
      </w:r>
      <w:proofErr w:type="gramEnd"/>
      <w:r>
        <w:t>.2018.10.013</w:t>
      </w:r>
    </w:p>
    <w:p w14:paraId="496FC40D" w14:textId="77777777" w:rsidR="00EE7B65" w:rsidRDefault="00EE7B65" w:rsidP="00EE7B65">
      <w:pPr>
        <w:pStyle w:val="Bibliography"/>
      </w:pPr>
      <w:r>
        <w:t>56.</w:t>
      </w:r>
      <w:r>
        <w:tab/>
        <w:t xml:space="preserve">Lu CS, Lai SC, Wu RM, et al. PLA2G6 mutations in PARK14-linked young-onset parkinsonism and sporadic Parkinson’s disease. </w:t>
      </w:r>
      <w:r>
        <w:rPr>
          <w:i/>
          <w:iCs/>
        </w:rPr>
        <w:t>Am J Med Genet B Neuropsychiatr Genet</w:t>
      </w:r>
      <w:r>
        <w:t>. 2012;159</w:t>
      </w:r>
      <w:proofErr w:type="gramStart"/>
      <w:r>
        <w:t>B(</w:t>
      </w:r>
      <w:proofErr w:type="gramEnd"/>
      <w:r>
        <w:t>2):183-191. doi:10.1002/ajmg.b.32012</w:t>
      </w:r>
    </w:p>
    <w:p w14:paraId="5FC10B5A" w14:textId="77777777" w:rsidR="00EE7B65" w:rsidRDefault="00EE7B65" w:rsidP="00EE7B65">
      <w:pPr>
        <w:pStyle w:val="Bibliography"/>
      </w:pPr>
      <w:r>
        <w:t>57.</w:t>
      </w:r>
      <w:r>
        <w:tab/>
        <w:t xml:space="preserve">Roze E, Lang AE, Vidailhet M. Myoclonus-dystonia: classification, phenomenology, pathogenesis, and treatment. </w:t>
      </w:r>
      <w:r>
        <w:rPr>
          <w:i/>
          <w:iCs/>
        </w:rPr>
        <w:t>Curr Opin Neurol</w:t>
      </w:r>
      <w:r>
        <w:t>. 2018;31(4):484-490. doi:10.1097/WCO.0000000000000577</w:t>
      </w:r>
    </w:p>
    <w:p w14:paraId="0BDD535D" w14:textId="77777777" w:rsidR="00EE7B65" w:rsidRPr="003C106F" w:rsidRDefault="00EE7B65" w:rsidP="00EE7B65">
      <w:pPr>
        <w:pStyle w:val="Bibliography"/>
        <w:rPr>
          <w:lang w:val="it-IT"/>
        </w:rPr>
      </w:pPr>
      <w:r>
        <w:t>58.</w:t>
      </w:r>
      <w:r>
        <w:tab/>
        <w:t xml:space="preserve">Valente EM, Edwards MJ, Mir P, et al. The epsilon-sarcoglycan gene in myoclonic syndromes. </w:t>
      </w:r>
      <w:r w:rsidRPr="003C106F">
        <w:rPr>
          <w:i/>
          <w:iCs/>
          <w:lang w:val="it-IT"/>
        </w:rPr>
        <w:t>Neurology</w:t>
      </w:r>
      <w:r w:rsidRPr="003C106F">
        <w:rPr>
          <w:lang w:val="it-IT"/>
        </w:rPr>
        <w:t xml:space="preserve">. 2005;64(4):737-739. </w:t>
      </w:r>
      <w:proofErr w:type="gramStart"/>
      <w:r w:rsidRPr="003C106F">
        <w:rPr>
          <w:lang w:val="it-IT"/>
        </w:rPr>
        <w:t>doi:10.1212/01.WNL</w:t>
      </w:r>
      <w:proofErr w:type="gramEnd"/>
      <w:r w:rsidRPr="003C106F">
        <w:rPr>
          <w:lang w:val="it-IT"/>
        </w:rPr>
        <w:t>.0000151979.68010.9B</w:t>
      </w:r>
    </w:p>
    <w:p w14:paraId="44D3DE31" w14:textId="77777777" w:rsidR="00EE7B65" w:rsidRDefault="00EE7B65" w:rsidP="00EE7B65">
      <w:pPr>
        <w:pStyle w:val="Bibliography"/>
      </w:pPr>
      <w:r w:rsidRPr="003C106F">
        <w:rPr>
          <w:lang w:val="it-IT"/>
        </w:rPr>
        <w:t>59.</w:t>
      </w:r>
      <w:r w:rsidRPr="003C106F">
        <w:rPr>
          <w:lang w:val="it-IT"/>
        </w:rPr>
        <w:tab/>
        <w:t xml:space="preserve">Carecchio M, Magliozzi M, Copetti M, et al. </w:t>
      </w:r>
      <w:r>
        <w:t xml:space="preserve">Defining the Epsilon-Sarcoglycan (SGCE) Gene Phenotypic Signature in Myoclonus-Dystonia: A Reappraisal of Genetic Testing Criteria: Reappraisal of </w:t>
      </w:r>
      <w:r>
        <w:rPr>
          <w:i/>
          <w:iCs/>
        </w:rPr>
        <w:t>SGCE</w:t>
      </w:r>
      <w:r>
        <w:t xml:space="preserve"> Genetic Testing Criteria. </w:t>
      </w:r>
      <w:r>
        <w:rPr>
          <w:i/>
          <w:iCs/>
        </w:rPr>
        <w:t>Mov Disord</w:t>
      </w:r>
      <w:r>
        <w:t>. 2013;28(6):787-794. doi:10.1002/mds.25506</w:t>
      </w:r>
    </w:p>
    <w:p w14:paraId="0EFFDB9D" w14:textId="77777777" w:rsidR="00EE7B65" w:rsidRDefault="00EE7B65" w:rsidP="00EE7B65">
      <w:pPr>
        <w:pStyle w:val="Bibliography"/>
      </w:pPr>
      <w:r>
        <w:t>60.</w:t>
      </w:r>
      <w:r>
        <w:tab/>
        <w:t xml:space="preserve">Klein C. Myoclonus and Myoclonus-Dystonias. In: </w:t>
      </w:r>
      <w:r>
        <w:rPr>
          <w:i/>
          <w:iCs/>
        </w:rPr>
        <w:t>Genetics of Movement Disorders</w:t>
      </w:r>
      <w:r>
        <w:t>. Elsevier; 2003:451-471. doi:10.1016/B978-012566652-7/50042-3</w:t>
      </w:r>
    </w:p>
    <w:p w14:paraId="0898D966" w14:textId="77777777" w:rsidR="00EE7B65" w:rsidRDefault="00EE7B65" w:rsidP="00EE7B65">
      <w:pPr>
        <w:pStyle w:val="Bibliography"/>
      </w:pPr>
      <w:r>
        <w:t>61.</w:t>
      </w:r>
      <w:r>
        <w:tab/>
        <w:t xml:space="preserve">Grünewald A, Djarmati A, Lohmann-Hedrich K, et al. Myoclonus-dystonia: significance of large </w:t>
      </w:r>
      <w:r>
        <w:rPr>
          <w:i/>
          <w:iCs/>
        </w:rPr>
        <w:t>SGCE</w:t>
      </w:r>
      <w:r>
        <w:t xml:space="preserve"> deletions. </w:t>
      </w:r>
      <w:r>
        <w:rPr>
          <w:i/>
          <w:iCs/>
        </w:rPr>
        <w:t>Hum Mutat</w:t>
      </w:r>
      <w:r>
        <w:t>. 2008;29(2):331-332. doi:10.1002/humu.9521</w:t>
      </w:r>
    </w:p>
    <w:p w14:paraId="6AD8DCD8" w14:textId="77777777" w:rsidR="00EE7B65" w:rsidRDefault="00EE7B65" w:rsidP="00EE7B65">
      <w:pPr>
        <w:pStyle w:val="Bibliography"/>
      </w:pPr>
      <w:r>
        <w:t>62.</w:t>
      </w:r>
      <w:r>
        <w:tab/>
        <w:t xml:space="preserve">Asmus F, Salih F, Hjermind LE, et al. Myoclonus-dystonia due to genomic deletions in the epsilon-sarcoglycan gene. </w:t>
      </w:r>
      <w:r>
        <w:rPr>
          <w:i/>
          <w:iCs/>
        </w:rPr>
        <w:t>Ann Neurol</w:t>
      </w:r>
      <w:r>
        <w:t>. 2005;58(5):792-797. doi:10.1002/ana.20661</w:t>
      </w:r>
    </w:p>
    <w:p w14:paraId="1C9D2C8D" w14:textId="77777777" w:rsidR="00EE7B65" w:rsidRDefault="00EE7B65" w:rsidP="00EE7B65">
      <w:pPr>
        <w:pStyle w:val="Bibliography"/>
      </w:pPr>
      <w:r>
        <w:lastRenderedPageBreak/>
        <w:t>63.</w:t>
      </w:r>
      <w:r>
        <w:tab/>
        <w:t xml:space="preserve">Hjermind LE, Werdelin LM, Eiberg H, Krag-Olsen B, Dupont E, Sorensen SA. A novel mutation in the -sarcoglycan gene causing myoclonus-dystonia syndrome. </w:t>
      </w:r>
      <w:r>
        <w:rPr>
          <w:i/>
          <w:iCs/>
        </w:rPr>
        <w:t>Neurology</w:t>
      </w:r>
      <w:r>
        <w:t xml:space="preserve">. 2003;60(9):1536-1539. </w:t>
      </w:r>
      <w:proofErr w:type="gramStart"/>
      <w:r>
        <w:t>doi:10.1212/01.WNL</w:t>
      </w:r>
      <w:proofErr w:type="gramEnd"/>
      <w:r>
        <w:t>.0000061480.86610.BF</w:t>
      </w:r>
    </w:p>
    <w:p w14:paraId="54C2EE38" w14:textId="77777777" w:rsidR="00EE7B65" w:rsidRDefault="00EE7B65" w:rsidP="00EE7B65">
      <w:pPr>
        <w:pStyle w:val="Bibliography"/>
      </w:pPr>
      <w:r>
        <w:t>64.</w:t>
      </w:r>
      <w:r>
        <w:tab/>
        <w:t xml:space="preserve">Schule B. Genetic heterogeneity in ten families with myoclonus-dystonia. </w:t>
      </w:r>
      <w:r>
        <w:rPr>
          <w:i/>
          <w:iCs/>
        </w:rPr>
        <w:t>J Neurol Neurosurg Psychiatry</w:t>
      </w:r>
      <w:r>
        <w:t>. 2004;75(8):1181-1185. doi:10.1136/jnnp.2003.027177</w:t>
      </w:r>
    </w:p>
    <w:p w14:paraId="5539C1BE" w14:textId="77777777" w:rsidR="00EE7B65" w:rsidRDefault="00EE7B65" w:rsidP="00EE7B65">
      <w:pPr>
        <w:pStyle w:val="Bibliography"/>
      </w:pPr>
      <w:r>
        <w:t>65.</w:t>
      </w:r>
      <w:r>
        <w:tab/>
        <w:t xml:space="preserve">Ritz K, Gerrits MCF, Foncke EMJ, et al. Myoclonus-dystonia: clinical and genetic evaluation of a large cohort. </w:t>
      </w:r>
      <w:r>
        <w:rPr>
          <w:i/>
          <w:iCs/>
        </w:rPr>
        <w:t>J Neurol Neurosurg Psychiatry</w:t>
      </w:r>
      <w:r>
        <w:t>. 2009;80(6):653-658. doi:10.1136/jnnp.2008.162099</w:t>
      </w:r>
    </w:p>
    <w:p w14:paraId="23CA8957" w14:textId="77777777" w:rsidR="00EE7B65" w:rsidRDefault="00EE7B65" w:rsidP="00EE7B65">
      <w:pPr>
        <w:pStyle w:val="Bibliography"/>
      </w:pPr>
      <w:r>
        <w:t>66.</w:t>
      </w:r>
      <w:r>
        <w:tab/>
        <w:t xml:space="preserve">Nardocci N, Zorzi G, Barzaghi C, et al. Myoclonus-dystonia syndrome: Clinical presentation, disease course, and genetic features in 11 families: A Clinical and Genetic Study of MDS. </w:t>
      </w:r>
      <w:r>
        <w:rPr>
          <w:i/>
          <w:iCs/>
        </w:rPr>
        <w:t>Mov Disord</w:t>
      </w:r>
      <w:r>
        <w:t>. 2008;23(1):28-34. doi:10.1002/mds.21715</w:t>
      </w:r>
    </w:p>
    <w:p w14:paraId="2C0396FD" w14:textId="77777777" w:rsidR="00EE7B65" w:rsidRDefault="00EE7B65" w:rsidP="00EE7B65">
      <w:pPr>
        <w:pStyle w:val="Bibliography"/>
      </w:pPr>
      <w:r>
        <w:t>67.</w:t>
      </w:r>
      <w:r>
        <w:tab/>
        <w:t xml:space="preserve">Hjermind LE, Vissing J, Asmus F, et al. No muscle involvement in myoclonus-dystonia caused by ɛ-sarcoglycan gene mutations. </w:t>
      </w:r>
      <w:r>
        <w:rPr>
          <w:i/>
          <w:iCs/>
        </w:rPr>
        <w:t>Eur J Neurol</w:t>
      </w:r>
      <w:r>
        <w:t>. 2008;15(5):525-529. doi:10.1111/j.1468-1331.</w:t>
      </w:r>
      <w:proofErr w:type="gramStart"/>
      <w:r>
        <w:t>2008.02116.x</w:t>
      </w:r>
      <w:proofErr w:type="gramEnd"/>
    </w:p>
    <w:p w14:paraId="20C42D39" w14:textId="77777777" w:rsidR="00EE7B65" w:rsidRDefault="00EE7B65" w:rsidP="00EE7B65">
      <w:pPr>
        <w:pStyle w:val="Bibliography"/>
      </w:pPr>
      <w:r>
        <w:t>68.</w:t>
      </w:r>
      <w:r>
        <w:tab/>
        <w:t xml:space="preserve">Saunders–Pullman R, Shriberg J, Heiman G, et al. Myoclonus dystonia: Possible association with obsessive–compulsive disorder and alcohol dependence. </w:t>
      </w:r>
      <w:r>
        <w:rPr>
          <w:i/>
          <w:iCs/>
        </w:rPr>
        <w:t>Neurology</w:t>
      </w:r>
      <w:r>
        <w:t>. 2002;58(2):242-245. doi:10.1212/WNL.58.2.242</w:t>
      </w:r>
    </w:p>
    <w:p w14:paraId="210797DC" w14:textId="77777777" w:rsidR="00EE7B65" w:rsidRDefault="00EE7B65" w:rsidP="00EE7B65">
      <w:pPr>
        <w:pStyle w:val="Bibliography"/>
      </w:pPr>
      <w:r>
        <w:t>69.</w:t>
      </w:r>
      <w:r>
        <w:tab/>
        <w:t xml:space="preserve">Fuchs T, Gavarini S, Saunders-Pullman R, et al. Mutations in the THAP1 gene are responsible for DYT6 primary torsion dystonia. </w:t>
      </w:r>
      <w:r>
        <w:rPr>
          <w:i/>
          <w:iCs/>
        </w:rPr>
        <w:t>Nat Genet</w:t>
      </w:r>
      <w:r>
        <w:t>. 2009;41(3):286-288. doi:10.1038/ng.304</w:t>
      </w:r>
    </w:p>
    <w:p w14:paraId="3B599695" w14:textId="77777777" w:rsidR="00EE7B65" w:rsidRDefault="00EE7B65" w:rsidP="00EE7B65">
      <w:pPr>
        <w:pStyle w:val="Bibliography"/>
      </w:pPr>
      <w:r>
        <w:t>70.</w:t>
      </w:r>
      <w:r>
        <w:tab/>
        <w:t xml:space="preserve">Bressman SB, Raymond D, Fuchs T, Heiman GA, Ozelius LJ, Saunders-Pullman R. Mutations in THAP1 (DYT6) in early-onset dystonia: a genetic screening study. </w:t>
      </w:r>
      <w:r>
        <w:rPr>
          <w:i/>
          <w:iCs/>
        </w:rPr>
        <w:t>Lancet Neurol</w:t>
      </w:r>
      <w:r>
        <w:t>. 2009;8(5):441-446. doi:10.1016/S1474-4422(09)70081-X</w:t>
      </w:r>
    </w:p>
    <w:p w14:paraId="76F2ACCA" w14:textId="77777777" w:rsidR="00EE7B65" w:rsidRDefault="00EE7B65" w:rsidP="00EE7B65">
      <w:pPr>
        <w:pStyle w:val="Bibliography"/>
      </w:pPr>
      <w:r>
        <w:t>71.</w:t>
      </w:r>
      <w:r>
        <w:tab/>
        <w:t xml:space="preserve">Lange LM, Junker J, Loens S, et al. Genotype–Phenotype Relations for Isolated Dystonia Genes: </w:t>
      </w:r>
      <w:r>
        <w:rPr>
          <w:smallCaps/>
        </w:rPr>
        <w:t>MDSGene</w:t>
      </w:r>
      <w:r>
        <w:t xml:space="preserve"> Systematic Review. </w:t>
      </w:r>
      <w:r>
        <w:rPr>
          <w:i/>
          <w:iCs/>
        </w:rPr>
        <w:t>Mov Disord</w:t>
      </w:r>
      <w:r>
        <w:t>. 2021;36(5):1086-1103. doi:10.1002/mds.28485</w:t>
      </w:r>
    </w:p>
    <w:p w14:paraId="56DBB958" w14:textId="77777777" w:rsidR="00EE7B65" w:rsidRDefault="00EE7B65" w:rsidP="00EE7B65">
      <w:pPr>
        <w:pStyle w:val="Bibliography"/>
      </w:pPr>
      <w:r>
        <w:t>72.</w:t>
      </w:r>
      <w:r>
        <w:tab/>
        <w:t xml:space="preserve">Blanchard A, Ea V, Roubertie A, et al. DYT6 dystonia: Review of the literature and creation of the UMD locus-specific database (LSDB) for mutations in the THAP1 gene. </w:t>
      </w:r>
      <w:r>
        <w:rPr>
          <w:i/>
          <w:iCs/>
        </w:rPr>
        <w:t>Hum Mutat</w:t>
      </w:r>
      <w:r>
        <w:t>. 2011;32(11):1213-1224. doi:10.1002/humu.21564</w:t>
      </w:r>
    </w:p>
    <w:p w14:paraId="46623777" w14:textId="77777777" w:rsidR="00EE7B65" w:rsidRDefault="00EE7B65" w:rsidP="00EE7B65">
      <w:pPr>
        <w:pStyle w:val="Bibliography"/>
      </w:pPr>
      <w:r>
        <w:t>73.</w:t>
      </w:r>
      <w:r>
        <w:tab/>
        <w:t xml:space="preserve">Xiao J, Zhao Y, Bastian RW, et al. Novel THAP1 sequence variants in primary dystonia. </w:t>
      </w:r>
      <w:r>
        <w:rPr>
          <w:i/>
          <w:iCs/>
        </w:rPr>
        <w:t>Neurology</w:t>
      </w:r>
      <w:r>
        <w:t>. 2010;74(3):229-238. doi:10.1212/WNL.0b013e3181ca00ca</w:t>
      </w:r>
    </w:p>
    <w:p w14:paraId="40F6A98C" w14:textId="77777777" w:rsidR="00EE7B65" w:rsidRDefault="00EE7B65" w:rsidP="00EE7B65">
      <w:pPr>
        <w:pStyle w:val="Bibliography"/>
      </w:pPr>
      <w:r>
        <w:t>74.</w:t>
      </w:r>
      <w:r>
        <w:tab/>
        <w:t xml:space="preserve">Xiromerisiou G, Houlden H, Scarmeas N, et al. THAP1 mutations and dystonia phenotypes: Genotype phenotype correlations. </w:t>
      </w:r>
      <w:r>
        <w:rPr>
          <w:i/>
          <w:iCs/>
        </w:rPr>
        <w:t>Mov Disord</w:t>
      </w:r>
      <w:r>
        <w:t>. 2012;27(10):1290-1294. doi:10.1002/mds.25146</w:t>
      </w:r>
    </w:p>
    <w:p w14:paraId="51D3271E" w14:textId="77777777" w:rsidR="00EE7B65" w:rsidRDefault="00EE7B65" w:rsidP="00EE7B65">
      <w:pPr>
        <w:pStyle w:val="Bibliography"/>
      </w:pPr>
      <w:r>
        <w:t>75.</w:t>
      </w:r>
      <w:r>
        <w:tab/>
        <w:t xml:space="preserve">Dauer W. Inherited Isolated Dystonia: Clinical Genetics and Gene Function. </w:t>
      </w:r>
      <w:r>
        <w:rPr>
          <w:i/>
          <w:iCs/>
        </w:rPr>
        <w:t>Neurotherapeutics</w:t>
      </w:r>
      <w:r>
        <w:t>. 2014;11(4):807-816. doi:10.1007/s13311-014-0297-7</w:t>
      </w:r>
    </w:p>
    <w:p w14:paraId="2C9079C6" w14:textId="77777777" w:rsidR="00EE7B65" w:rsidRDefault="00EE7B65" w:rsidP="00EE7B65">
      <w:pPr>
        <w:pStyle w:val="Bibliography"/>
      </w:pPr>
      <w:r>
        <w:t>76.</w:t>
      </w:r>
      <w:r>
        <w:tab/>
        <w:t xml:space="preserve">Lohmann K, Klein C. Update on the Genetics of Dystonia. </w:t>
      </w:r>
      <w:r>
        <w:rPr>
          <w:i/>
          <w:iCs/>
        </w:rPr>
        <w:t>Curr Neurol Neurosci Rep</w:t>
      </w:r>
      <w:r>
        <w:t>. 2017;17(3):26. doi:10.1007/s11910-017-0735-0</w:t>
      </w:r>
    </w:p>
    <w:p w14:paraId="3D9C6C88" w14:textId="77777777" w:rsidR="00EE7B65" w:rsidRDefault="00EE7B65" w:rsidP="00EE7B65">
      <w:pPr>
        <w:pStyle w:val="Bibliography"/>
      </w:pPr>
      <w:r>
        <w:lastRenderedPageBreak/>
        <w:t>77.</w:t>
      </w:r>
      <w:r>
        <w:tab/>
        <w:t xml:space="preserve">Ozelius LJ, Hewett JW, Page CE, et al. The early-onset torsion dystonia gene (DYT1) encodes an ATP-binding protein. </w:t>
      </w:r>
      <w:r>
        <w:rPr>
          <w:i/>
          <w:iCs/>
        </w:rPr>
        <w:t>Nat Genet</w:t>
      </w:r>
      <w:r>
        <w:t>. 1997;17(1):40-48. doi:10.1038/ng0997-40</w:t>
      </w:r>
    </w:p>
    <w:p w14:paraId="34FC81D0" w14:textId="77777777" w:rsidR="00EE7B65" w:rsidRDefault="00EE7B65" w:rsidP="00EE7B65">
      <w:pPr>
        <w:pStyle w:val="Bibliography"/>
      </w:pPr>
      <w:r>
        <w:t>78.</w:t>
      </w:r>
      <w:r>
        <w:tab/>
        <w:t xml:space="preserve">Bressman SB. Dystonia genotypes, phenotypes, and classification. </w:t>
      </w:r>
      <w:r>
        <w:rPr>
          <w:i/>
          <w:iCs/>
        </w:rPr>
        <w:t>Adv Neurol</w:t>
      </w:r>
      <w:r>
        <w:t xml:space="preserve">. </w:t>
      </w:r>
      <w:proofErr w:type="gramStart"/>
      <w:r>
        <w:t>2004;94:101</w:t>
      </w:r>
      <w:proofErr w:type="gramEnd"/>
      <w:r>
        <w:t>-107.</w:t>
      </w:r>
    </w:p>
    <w:p w14:paraId="560CCB53" w14:textId="77777777" w:rsidR="00EE7B65" w:rsidRDefault="00EE7B65" w:rsidP="00EE7B65">
      <w:pPr>
        <w:pStyle w:val="Bibliography"/>
      </w:pPr>
      <w:r>
        <w:t>79.</w:t>
      </w:r>
      <w:r>
        <w:tab/>
        <w:t xml:space="preserve">Fasano A, Nardocci N, Elia AE, Zorzi G, Bentivoglio AR, Albanese A. Non-DYT1 early-onset primary torsion dystonia: Comparison with DYT1 phenotype and review of the literature. </w:t>
      </w:r>
      <w:r>
        <w:rPr>
          <w:i/>
          <w:iCs/>
        </w:rPr>
        <w:t>Mov Disord</w:t>
      </w:r>
      <w:r>
        <w:t>. 2006;21(9):1411-1418. doi:10.1002/mds.21000</w:t>
      </w:r>
    </w:p>
    <w:p w14:paraId="43E102EC" w14:textId="77777777" w:rsidR="00EE7B65" w:rsidRDefault="00EE7B65" w:rsidP="00EE7B65">
      <w:pPr>
        <w:pStyle w:val="Bibliography"/>
      </w:pPr>
      <w:r>
        <w:t>80.</w:t>
      </w:r>
      <w:r>
        <w:tab/>
        <w:t xml:space="preserve">Bressman SB, Sabatti C, Raymond D, et al. The DYT1 phenotype and guidelines for diagnostic testing. </w:t>
      </w:r>
      <w:r>
        <w:rPr>
          <w:i/>
          <w:iCs/>
        </w:rPr>
        <w:t>Neurology</w:t>
      </w:r>
      <w:r>
        <w:t>. 2000;54(9):1746-1753. doi:10.1212/WNL.54.9.1746</w:t>
      </w:r>
    </w:p>
    <w:p w14:paraId="2A39F46C" w14:textId="77777777" w:rsidR="00EE7B65" w:rsidRDefault="00EE7B65" w:rsidP="00EE7B65">
      <w:pPr>
        <w:pStyle w:val="Bibliography"/>
      </w:pPr>
      <w:r>
        <w:t>81.</w:t>
      </w:r>
      <w:r>
        <w:tab/>
        <w:t xml:space="preserve">Steel D, Zech M, Zhao C, et al. Loss‐of‐Function Variants in </w:t>
      </w:r>
      <w:r>
        <w:rPr>
          <w:smallCaps/>
        </w:rPr>
        <w:t>HOPS</w:t>
      </w:r>
      <w:r>
        <w:t xml:space="preserve"> Complex </w:t>
      </w:r>
      <w:proofErr w:type="gramStart"/>
      <w:r>
        <w:t xml:space="preserve">Genes </w:t>
      </w:r>
      <w:r>
        <w:rPr>
          <w:smallCaps/>
        </w:rPr>
        <w:t xml:space="preserve"> </w:t>
      </w:r>
      <w:r>
        <w:rPr>
          <w:i/>
          <w:iCs/>
          <w:smallCaps/>
        </w:rPr>
        <w:t>VPS</w:t>
      </w:r>
      <w:proofErr w:type="gramEnd"/>
      <w:r>
        <w:rPr>
          <w:i/>
          <w:iCs/>
          <w:smallCaps/>
        </w:rPr>
        <w:t>16</w:t>
      </w:r>
      <w:r>
        <w:rPr>
          <w:smallCaps/>
        </w:rPr>
        <w:t xml:space="preserve"> </w:t>
      </w:r>
      <w:r>
        <w:t xml:space="preserve"> and </w:t>
      </w:r>
      <w:r>
        <w:rPr>
          <w:smallCaps/>
        </w:rPr>
        <w:t xml:space="preserve"> </w:t>
      </w:r>
      <w:r>
        <w:rPr>
          <w:i/>
          <w:iCs/>
          <w:smallCaps/>
        </w:rPr>
        <w:t>VPS41</w:t>
      </w:r>
      <w:r>
        <w:rPr>
          <w:smallCaps/>
        </w:rPr>
        <w:t xml:space="preserve"> </w:t>
      </w:r>
      <w:r>
        <w:t xml:space="preserve"> Cause Early Onset Dystonia Associated with Lysosomal Abnormalities. </w:t>
      </w:r>
      <w:r>
        <w:rPr>
          <w:i/>
          <w:iCs/>
        </w:rPr>
        <w:t>Ann Neurol</w:t>
      </w:r>
      <w:r>
        <w:t>. 2020;88(5):867-877. doi:10.1002/ana.25879</w:t>
      </w:r>
    </w:p>
    <w:p w14:paraId="0C62A12A" w14:textId="77777777" w:rsidR="00EE7B65" w:rsidRDefault="00EE7B65" w:rsidP="00EE7B65">
      <w:pPr>
        <w:pStyle w:val="Bibliography"/>
      </w:pPr>
      <w:r>
        <w:t>82.</w:t>
      </w:r>
      <w:r>
        <w:tab/>
        <w:t xml:space="preserve">Cai X, Chen X, Wu S, et al. Homozygous mutation of VPS16 gene is responsible for an autosomal recessive adolescent-onset primary dystonia. </w:t>
      </w:r>
      <w:r>
        <w:rPr>
          <w:i/>
          <w:iCs/>
        </w:rPr>
        <w:t>Sci Rep</w:t>
      </w:r>
      <w:r>
        <w:t>. 2016;6(1):25834. doi:10.1038/srep25834</w:t>
      </w:r>
    </w:p>
    <w:p w14:paraId="3ECD7823" w14:textId="77777777" w:rsidR="00EE7B65" w:rsidRDefault="00EE7B65" w:rsidP="00EE7B65">
      <w:pPr>
        <w:pStyle w:val="Bibliography"/>
      </w:pPr>
      <w:r>
        <w:t>83.</w:t>
      </w:r>
      <w:r>
        <w:tab/>
        <w:t xml:space="preserve">Ostrozovicova M, Jech R, Steel D, et al. A </w:t>
      </w:r>
      <w:proofErr w:type="gramStart"/>
      <w:r>
        <w:t xml:space="preserve">Recurrent </w:t>
      </w:r>
      <w:r>
        <w:rPr>
          <w:smallCaps/>
        </w:rPr>
        <w:t xml:space="preserve"> </w:t>
      </w:r>
      <w:r>
        <w:rPr>
          <w:i/>
          <w:iCs/>
          <w:smallCaps/>
        </w:rPr>
        <w:t>VPS</w:t>
      </w:r>
      <w:proofErr w:type="gramEnd"/>
      <w:r>
        <w:rPr>
          <w:i/>
          <w:iCs/>
          <w:smallCaps/>
        </w:rPr>
        <w:t>16</w:t>
      </w:r>
      <w:r>
        <w:rPr>
          <w:smallCaps/>
        </w:rPr>
        <w:t xml:space="preserve"> </w:t>
      </w:r>
      <w:r>
        <w:t xml:space="preserve"> p.Arg187* Nonsense Variant in Early‐Onset Generalized Dystonia. </w:t>
      </w:r>
      <w:r>
        <w:rPr>
          <w:i/>
          <w:iCs/>
        </w:rPr>
        <w:t>Mov Disord</w:t>
      </w:r>
      <w:r>
        <w:t>. 2021;36(8):1984-1985. doi:10.1002/mds.28647</w:t>
      </w:r>
    </w:p>
    <w:p w14:paraId="6B86B32D" w14:textId="77777777" w:rsidR="00EE7B65" w:rsidRDefault="00EE7B65" w:rsidP="00EE7B65">
      <w:pPr>
        <w:pStyle w:val="Bibliography"/>
      </w:pPr>
      <w:r>
        <w:t>84.</w:t>
      </w:r>
      <w:r>
        <w:tab/>
        <w:t xml:space="preserve">Pott H, Brüggemann N, Reese R, et al. </w:t>
      </w:r>
      <w:proofErr w:type="gramStart"/>
      <w:r>
        <w:t xml:space="preserve">Truncating </w:t>
      </w:r>
      <w:r>
        <w:rPr>
          <w:smallCaps/>
        </w:rPr>
        <w:t xml:space="preserve"> </w:t>
      </w:r>
      <w:r>
        <w:rPr>
          <w:i/>
          <w:iCs/>
          <w:smallCaps/>
        </w:rPr>
        <w:t>VPS</w:t>
      </w:r>
      <w:proofErr w:type="gramEnd"/>
      <w:r>
        <w:rPr>
          <w:i/>
          <w:iCs/>
          <w:smallCaps/>
        </w:rPr>
        <w:t>16</w:t>
      </w:r>
      <w:r>
        <w:rPr>
          <w:smallCaps/>
        </w:rPr>
        <w:t xml:space="preserve"> </w:t>
      </w:r>
      <w:r>
        <w:t xml:space="preserve"> Mutations Are Rare in Early Onset Dystonia. </w:t>
      </w:r>
      <w:r>
        <w:rPr>
          <w:i/>
          <w:iCs/>
        </w:rPr>
        <w:t>Ann Neurol</w:t>
      </w:r>
      <w:r>
        <w:t>. 2021;89(3):625-626. doi:10.1002/ana.25990</w:t>
      </w:r>
    </w:p>
    <w:p w14:paraId="2994A4BC" w14:textId="77777777" w:rsidR="00EE7B65" w:rsidRDefault="00EE7B65" w:rsidP="00EE7B65">
      <w:pPr>
        <w:pStyle w:val="Bibliography"/>
      </w:pPr>
      <w:r>
        <w:t>85.</w:t>
      </w:r>
      <w:r>
        <w:tab/>
        <w:t xml:space="preserve">Gu X, Lin J, Hou Y, Zhang L, Shang H. De Novo Missense Mutation </w:t>
      </w:r>
      <w:proofErr w:type="gramStart"/>
      <w:r>
        <w:t xml:space="preserve">of </w:t>
      </w:r>
      <w:r>
        <w:rPr>
          <w:smallCaps/>
        </w:rPr>
        <w:t xml:space="preserve"> </w:t>
      </w:r>
      <w:r>
        <w:rPr>
          <w:i/>
          <w:iCs/>
          <w:smallCaps/>
        </w:rPr>
        <w:t>VPS</w:t>
      </w:r>
      <w:proofErr w:type="gramEnd"/>
      <w:r>
        <w:rPr>
          <w:i/>
          <w:iCs/>
          <w:smallCaps/>
        </w:rPr>
        <w:t>16</w:t>
      </w:r>
      <w:r>
        <w:rPr>
          <w:smallCaps/>
        </w:rPr>
        <w:t xml:space="preserve"> </w:t>
      </w:r>
      <w:r>
        <w:t xml:space="preserve"> in a Chinese Patient with Generalized Dystonia with Myoclonus. </w:t>
      </w:r>
      <w:r>
        <w:rPr>
          <w:i/>
          <w:iCs/>
        </w:rPr>
        <w:t>Mov Disord Clin Pract</w:t>
      </w:r>
      <w:r>
        <w:t>. 2022;9(4):551-552. doi:10.1002/mdc3.13392</w:t>
      </w:r>
    </w:p>
    <w:p w14:paraId="46807C9D" w14:textId="77777777" w:rsidR="00EE7B65" w:rsidRDefault="00EE7B65" w:rsidP="00EE7B65">
      <w:pPr>
        <w:pStyle w:val="Bibliography"/>
      </w:pPr>
      <w:r>
        <w:t>86.</w:t>
      </w:r>
      <w:r>
        <w:tab/>
        <w:t xml:space="preserve">Li LX, Jiang LT, Liu Y, et al. Mutation screening of VPS16 gene in patients with isolated dystonia. </w:t>
      </w:r>
      <w:r>
        <w:rPr>
          <w:i/>
          <w:iCs/>
        </w:rPr>
        <w:t>Parkinsonism Relat Disord</w:t>
      </w:r>
      <w:r>
        <w:t xml:space="preserve">. </w:t>
      </w:r>
      <w:proofErr w:type="gramStart"/>
      <w:r>
        <w:t>2021;83:63</w:t>
      </w:r>
      <w:proofErr w:type="gramEnd"/>
      <w:r>
        <w:t xml:space="preserve">-65. </w:t>
      </w:r>
      <w:proofErr w:type="gramStart"/>
      <w:r>
        <w:t>doi:10.1016/j.parkreldis</w:t>
      </w:r>
      <w:proofErr w:type="gramEnd"/>
      <w:r>
        <w:t>.2020.12.014</w:t>
      </w:r>
    </w:p>
    <w:p w14:paraId="4A397557" w14:textId="77777777" w:rsidR="00EE7B65" w:rsidRDefault="00EE7B65" w:rsidP="00EE7B65">
      <w:pPr>
        <w:pStyle w:val="Bibliography"/>
      </w:pPr>
      <w:r>
        <w:t>87.</w:t>
      </w:r>
      <w:r>
        <w:tab/>
        <w:t xml:space="preserve">Li X, Wang L, Guo Y, Wan X. Mutations in </w:t>
      </w:r>
      <w:proofErr w:type="gramStart"/>
      <w:r>
        <w:t xml:space="preserve">the </w:t>
      </w:r>
      <w:r>
        <w:rPr>
          <w:smallCaps/>
        </w:rPr>
        <w:t xml:space="preserve"> </w:t>
      </w:r>
      <w:r>
        <w:rPr>
          <w:i/>
          <w:iCs/>
          <w:smallCaps/>
        </w:rPr>
        <w:t>VPS</w:t>
      </w:r>
      <w:proofErr w:type="gramEnd"/>
      <w:r>
        <w:rPr>
          <w:i/>
          <w:iCs/>
          <w:smallCaps/>
        </w:rPr>
        <w:t>16</w:t>
      </w:r>
      <w:r>
        <w:rPr>
          <w:smallCaps/>
        </w:rPr>
        <w:t xml:space="preserve"> </w:t>
      </w:r>
      <w:r>
        <w:t xml:space="preserve"> Gene in 56 </w:t>
      </w:r>
      <w:r>
        <w:rPr>
          <w:smallCaps/>
        </w:rPr>
        <w:t>Early‐Onset</w:t>
      </w:r>
      <w:r>
        <w:t xml:space="preserve"> Dystonia Patients. </w:t>
      </w:r>
      <w:r>
        <w:rPr>
          <w:i/>
          <w:iCs/>
        </w:rPr>
        <w:t>Mov Disord</w:t>
      </w:r>
      <w:r>
        <w:t>. 2021;36(3):780-781. doi:10.1002/mds.28540</w:t>
      </w:r>
    </w:p>
    <w:p w14:paraId="19577070" w14:textId="77777777" w:rsidR="00EE7B65" w:rsidRDefault="00EE7B65" w:rsidP="00EE7B65">
      <w:pPr>
        <w:pStyle w:val="Bibliography"/>
      </w:pPr>
      <w:r>
        <w:t>88.</w:t>
      </w:r>
      <w:r>
        <w:tab/>
        <w:t xml:space="preserve">Park J, Reilaender A, Petry-Schmelzer JN, et al. Transcript-Specific Loss-of-Function Variants in </w:t>
      </w:r>
      <w:r>
        <w:rPr>
          <w:i/>
          <w:iCs/>
        </w:rPr>
        <w:t>VPS16</w:t>
      </w:r>
      <w:r>
        <w:t xml:space="preserve"> Are Enriched in Patients </w:t>
      </w:r>
      <w:proofErr w:type="gramStart"/>
      <w:r>
        <w:t>With</w:t>
      </w:r>
      <w:proofErr w:type="gramEnd"/>
      <w:r>
        <w:t xml:space="preserve"> Dystonia. </w:t>
      </w:r>
      <w:r>
        <w:rPr>
          <w:i/>
          <w:iCs/>
        </w:rPr>
        <w:t>Neurol Genet</w:t>
      </w:r>
      <w:r>
        <w:t>. 2022;8(1</w:t>
      </w:r>
      <w:proofErr w:type="gramStart"/>
      <w:r>
        <w:t>):e</w:t>
      </w:r>
      <w:proofErr w:type="gramEnd"/>
      <w:r>
        <w:t>644. doi:10.1212/NXG.0000000000000644</w:t>
      </w:r>
    </w:p>
    <w:p w14:paraId="4A812665" w14:textId="77777777" w:rsidR="00EE7B65" w:rsidRDefault="00EE7B65" w:rsidP="00EE7B65">
      <w:pPr>
        <w:pStyle w:val="Bibliography"/>
      </w:pPr>
      <w:r>
        <w:t>89.</w:t>
      </w:r>
      <w:r>
        <w:tab/>
        <w:t xml:space="preserve">Petry-Schmelzer JN, Park J, Haack TB, Visser-Vandewalle V, Barbe MT, Wunderlich G. Long-term benefit of pallidal deep brain stimulation in a patient with VPS16-associated dystonia. </w:t>
      </w:r>
      <w:r>
        <w:rPr>
          <w:i/>
          <w:iCs/>
        </w:rPr>
        <w:t>Neurol Res Pract</w:t>
      </w:r>
      <w:r>
        <w:t>. 2022;4(1):21. doi:10.1186/s42466-022-00185-w</w:t>
      </w:r>
    </w:p>
    <w:p w14:paraId="57AAC2E3" w14:textId="77777777" w:rsidR="00EE7B65" w:rsidRDefault="00EE7B65" w:rsidP="00EE7B65">
      <w:pPr>
        <w:pStyle w:val="Bibliography"/>
      </w:pPr>
      <w:r>
        <w:t>90.</w:t>
      </w:r>
      <w:r>
        <w:tab/>
        <w:t xml:space="preserve">Santos M, Massano J, Lopes AM, Brandão AF, Freixo JP, Oliveira J. Aberrant Splicing Caused by a Novel VPS16 Variant Linked to Dystonia Type 30. </w:t>
      </w:r>
      <w:r>
        <w:rPr>
          <w:i/>
          <w:iCs/>
        </w:rPr>
        <w:t>neurogenetics</w:t>
      </w:r>
      <w:r>
        <w:t>. Published online May 24, 2023. doi:10.1007/s10048-023-00720-0</w:t>
      </w:r>
    </w:p>
    <w:p w14:paraId="4D036245" w14:textId="77777777" w:rsidR="00EE7B65" w:rsidRDefault="00EE7B65" w:rsidP="00EE7B65">
      <w:pPr>
        <w:pStyle w:val="Bibliography"/>
      </w:pPr>
      <w:r>
        <w:lastRenderedPageBreak/>
        <w:t>91.</w:t>
      </w:r>
      <w:r>
        <w:tab/>
        <w:t xml:space="preserve">Monfrini E, Avanzino L, Palermo G, et al. </w:t>
      </w:r>
      <w:proofErr w:type="gramStart"/>
      <w:r>
        <w:t xml:space="preserve">Dominant </w:t>
      </w:r>
      <w:r>
        <w:rPr>
          <w:smallCaps/>
        </w:rPr>
        <w:t xml:space="preserve"> </w:t>
      </w:r>
      <w:r>
        <w:rPr>
          <w:i/>
          <w:iCs/>
          <w:smallCaps/>
        </w:rPr>
        <w:t>VPS</w:t>
      </w:r>
      <w:proofErr w:type="gramEnd"/>
      <w:r>
        <w:rPr>
          <w:i/>
          <w:iCs/>
          <w:smallCaps/>
        </w:rPr>
        <w:t>16</w:t>
      </w:r>
      <w:r>
        <w:rPr>
          <w:smallCaps/>
        </w:rPr>
        <w:t xml:space="preserve"> </w:t>
      </w:r>
      <w:r>
        <w:t xml:space="preserve"> Pathogenic Variants: Not Only Isolated Dystonia. </w:t>
      </w:r>
      <w:r>
        <w:rPr>
          <w:i/>
          <w:iCs/>
        </w:rPr>
        <w:t>Mov Disord Clin Pract</w:t>
      </w:r>
      <w:r>
        <w:t>. 2024;11(1):87-93. doi:10.1002/mdc3.13927</w:t>
      </w:r>
    </w:p>
    <w:p w14:paraId="15DDC8CF" w14:textId="77777777" w:rsidR="00EE7B65" w:rsidRDefault="00EE7B65" w:rsidP="00EE7B65">
      <w:pPr>
        <w:pStyle w:val="Bibliography"/>
      </w:pPr>
      <w:r>
        <w:t>92.</w:t>
      </w:r>
      <w:r>
        <w:tab/>
        <w:t xml:space="preserve">Garavaglia B, Vallian S, Romito LM, et al. AOPEP variants as a novel cause of recessive dystonia: Generalized dystonia and dystonia-parkinsonism. </w:t>
      </w:r>
      <w:r>
        <w:rPr>
          <w:i/>
          <w:iCs/>
        </w:rPr>
        <w:t>Parkinsonism Relat Disord</w:t>
      </w:r>
      <w:r>
        <w:t xml:space="preserve">. </w:t>
      </w:r>
      <w:proofErr w:type="gramStart"/>
      <w:r>
        <w:t>2022;97:52</w:t>
      </w:r>
      <w:proofErr w:type="gramEnd"/>
      <w:r>
        <w:t xml:space="preserve">-56. </w:t>
      </w:r>
      <w:proofErr w:type="gramStart"/>
      <w:r>
        <w:t>doi:10.1016/j.parkreldis</w:t>
      </w:r>
      <w:proofErr w:type="gramEnd"/>
      <w:r>
        <w:t>.2022.03.007</w:t>
      </w:r>
    </w:p>
    <w:p w14:paraId="786D7B92" w14:textId="77777777" w:rsidR="00EE7B65" w:rsidRPr="003C106F" w:rsidRDefault="00EE7B65" w:rsidP="00EE7B65">
      <w:pPr>
        <w:pStyle w:val="Bibliography"/>
        <w:rPr>
          <w:lang w:val="it-IT"/>
        </w:rPr>
      </w:pPr>
      <w:r>
        <w:t>93.</w:t>
      </w:r>
      <w:r>
        <w:tab/>
        <w:t xml:space="preserve">Hess CW, Raymond D, Aguiar PDC, et al. Myoclonus-dystonia, obsessive-compulsive disorder, and alcohol dependence in            </w:t>
      </w:r>
      <w:r>
        <w:rPr>
          <w:i/>
          <w:iCs/>
        </w:rPr>
        <w:t>SGCE</w:t>
      </w:r>
      <w:r>
        <w:t xml:space="preserve">            mutation carriers. </w:t>
      </w:r>
      <w:r w:rsidRPr="003C106F">
        <w:rPr>
          <w:i/>
          <w:iCs/>
          <w:lang w:val="it-IT"/>
        </w:rPr>
        <w:t>Neurology</w:t>
      </w:r>
      <w:r w:rsidRPr="003C106F">
        <w:rPr>
          <w:lang w:val="it-IT"/>
        </w:rPr>
        <w:t xml:space="preserve">. 2007;68(7):522-524. </w:t>
      </w:r>
      <w:proofErr w:type="gramStart"/>
      <w:r w:rsidRPr="003C106F">
        <w:rPr>
          <w:lang w:val="it-IT"/>
        </w:rPr>
        <w:t>doi:10.1212/01.wnl</w:t>
      </w:r>
      <w:proofErr w:type="gramEnd"/>
      <w:r w:rsidRPr="003C106F">
        <w:rPr>
          <w:lang w:val="it-IT"/>
        </w:rPr>
        <w:t>.0000253188.76092.06</w:t>
      </w:r>
    </w:p>
    <w:p w14:paraId="1B2A9018" w14:textId="77777777" w:rsidR="00EE7B65" w:rsidRPr="003C106F" w:rsidRDefault="00EE7B65" w:rsidP="00EE7B65">
      <w:pPr>
        <w:pStyle w:val="Bibliography"/>
        <w:rPr>
          <w:lang w:val="it-IT"/>
        </w:rPr>
      </w:pPr>
      <w:r w:rsidRPr="003C106F">
        <w:rPr>
          <w:lang w:val="it-IT"/>
        </w:rPr>
        <w:t>94.</w:t>
      </w:r>
      <w:r w:rsidRPr="003C106F">
        <w:rPr>
          <w:lang w:val="it-IT"/>
        </w:rPr>
        <w:tab/>
        <w:t xml:space="preserve">Danielsson A, Carecchio M, Cif L, et al. </w:t>
      </w:r>
      <w:r>
        <w:t xml:space="preserve">Pallidal Deep Brain Stimulation in DYT6 Dystonia: Clinical Outcome and Predictive Factors for Motor Improvement. </w:t>
      </w:r>
      <w:r w:rsidRPr="003C106F">
        <w:rPr>
          <w:i/>
          <w:iCs/>
          <w:lang w:val="it-IT"/>
        </w:rPr>
        <w:t>J Clin Med</w:t>
      </w:r>
      <w:r w:rsidRPr="003C106F">
        <w:rPr>
          <w:lang w:val="it-IT"/>
        </w:rPr>
        <w:t xml:space="preserve">. 2019;8(12):2163. </w:t>
      </w:r>
      <w:proofErr w:type="gramStart"/>
      <w:r w:rsidRPr="003C106F">
        <w:rPr>
          <w:lang w:val="it-IT"/>
        </w:rPr>
        <w:t>doi:10.3390</w:t>
      </w:r>
      <w:proofErr w:type="gramEnd"/>
      <w:r w:rsidRPr="003C106F">
        <w:rPr>
          <w:lang w:val="it-IT"/>
        </w:rPr>
        <w:t>/jcm8122163</w:t>
      </w:r>
    </w:p>
    <w:p w14:paraId="4AE6AC87" w14:textId="77777777" w:rsidR="00EE7B65" w:rsidRDefault="00EE7B65" w:rsidP="00EE7B65">
      <w:pPr>
        <w:pStyle w:val="Bibliography"/>
      </w:pPr>
      <w:r w:rsidRPr="003C106F">
        <w:rPr>
          <w:lang w:val="it-IT"/>
        </w:rPr>
        <w:t>95.</w:t>
      </w:r>
      <w:r w:rsidRPr="003C106F">
        <w:rPr>
          <w:lang w:val="it-IT"/>
        </w:rPr>
        <w:tab/>
        <w:t xml:space="preserve">Romito LM, Colucci F, Zorzi G, et al. </w:t>
      </w:r>
      <w:r>
        <w:t xml:space="preserve">Illustration of the long-term efficacy of pallidal deep brain stimulation in a patient with PKAN dystonia. </w:t>
      </w:r>
      <w:r>
        <w:rPr>
          <w:i/>
          <w:iCs/>
        </w:rPr>
        <w:t>Parkinsonism Relat Disord</w:t>
      </w:r>
      <w:r>
        <w:t xml:space="preserve">. </w:t>
      </w:r>
      <w:proofErr w:type="gramStart"/>
      <w:r>
        <w:t>2024;123:106977</w:t>
      </w:r>
      <w:proofErr w:type="gramEnd"/>
      <w:r>
        <w:t xml:space="preserve">. </w:t>
      </w:r>
      <w:proofErr w:type="gramStart"/>
      <w:r>
        <w:t>doi:10.1016/j.parkreldis</w:t>
      </w:r>
      <w:proofErr w:type="gramEnd"/>
      <w:r>
        <w:t>.2024.106977</w:t>
      </w:r>
    </w:p>
    <w:p w14:paraId="0E759FA5" w14:textId="77777777" w:rsidR="00EE7B65" w:rsidRPr="003C106F" w:rsidRDefault="00EE7B65" w:rsidP="00EE7B65">
      <w:pPr>
        <w:pStyle w:val="Bibliography"/>
        <w:rPr>
          <w:lang w:val="it-IT"/>
        </w:rPr>
      </w:pPr>
      <w:r>
        <w:t>96.</w:t>
      </w:r>
      <w:r>
        <w:tab/>
        <w:t xml:space="preserve">Duga V, Giossi R, Romito LM, et al. Long-term GPi DBS in pediatric non-degenerative genetic dystonia: a cohort study and a meta-analysis. </w:t>
      </w:r>
      <w:r w:rsidRPr="003C106F">
        <w:rPr>
          <w:i/>
          <w:iCs/>
          <w:lang w:val="it-IT"/>
        </w:rPr>
        <w:t>Mov Disord</w:t>
      </w:r>
      <w:r w:rsidRPr="003C106F">
        <w:rPr>
          <w:lang w:val="it-IT"/>
        </w:rPr>
        <w:t xml:space="preserve">. </w:t>
      </w:r>
      <w:proofErr w:type="gramStart"/>
      <w:r w:rsidRPr="003C106F">
        <w:rPr>
          <w:lang w:val="it-IT"/>
        </w:rPr>
        <w:t>doi:10.1002</w:t>
      </w:r>
      <w:proofErr w:type="gramEnd"/>
      <w:r w:rsidRPr="003C106F">
        <w:rPr>
          <w:lang w:val="it-IT"/>
        </w:rPr>
        <w:t>/mds.29815</w:t>
      </w:r>
    </w:p>
    <w:p w14:paraId="517A464C" w14:textId="77777777" w:rsidR="00EE7B65" w:rsidRPr="003C106F" w:rsidRDefault="00EE7B65" w:rsidP="00EE7B65">
      <w:pPr>
        <w:pStyle w:val="Bibliography"/>
        <w:rPr>
          <w:lang w:val="it-IT"/>
        </w:rPr>
      </w:pPr>
      <w:r w:rsidRPr="003C106F">
        <w:rPr>
          <w:lang w:val="it-IT"/>
        </w:rPr>
        <w:t>97.</w:t>
      </w:r>
      <w:r w:rsidRPr="003C106F">
        <w:rPr>
          <w:lang w:val="it-IT"/>
        </w:rPr>
        <w:tab/>
        <w:t xml:space="preserve">Carecchio M, Invernizzi F, Gonzàlez‐Latapi P, et al. </w:t>
      </w:r>
      <w:r>
        <w:t xml:space="preserve">Frequency and phenotypic spectrum of </w:t>
      </w:r>
      <w:r>
        <w:rPr>
          <w:i/>
          <w:iCs/>
        </w:rPr>
        <w:t>KMT2B</w:t>
      </w:r>
      <w:r>
        <w:t xml:space="preserve"> dystonia in childhood: A single‐center cohort study. </w:t>
      </w:r>
      <w:r w:rsidRPr="003C106F">
        <w:rPr>
          <w:i/>
          <w:iCs/>
          <w:lang w:val="it-IT"/>
        </w:rPr>
        <w:t>Mov Disord</w:t>
      </w:r>
      <w:r w:rsidRPr="003C106F">
        <w:rPr>
          <w:lang w:val="it-IT"/>
        </w:rPr>
        <w:t xml:space="preserve">. 2019;34(10):1516-1527. </w:t>
      </w:r>
      <w:proofErr w:type="gramStart"/>
      <w:r w:rsidRPr="003C106F">
        <w:rPr>
          <w:lang w:val="it-IT"/>
        </w:rPr>
        <w:t>doi:10.1002</w:t>
      </w:r>
      <w:proofErr w:type="gramEnd"/>
      <w:r w:rsidRPr="003C106F">
        <w:rPr>
          <w:lang w:val="it-IT"/>
        </w:rPr>
        <w:t>/mds.27771</w:t>
      </w:r>
    </w:p>
    <w:p w14:paraId="5AE7A4C7" w14:textId="77777777" w:rsidR="00EE7B65" w:rsidRDefault="00EE7B65" w:rsidP="00EE7B65">
      <w:pPr>
        <w:pStyle w:val="Bibliography"/>
      </w:pPr>
      <w:r w:rsidRPr="003C106F">
        <w:rPr>
          <w:lang w:val="it-IT"/>
        </w:rPr>
        <w:t>98.</w:t>
      </w:r>
      <w:r w:rsidRPr="003C106F">
        <w:rPr>
          <w:lang w:val="it-IT"/>
        </w:rPr>
        <w:tab/>
        <w:t xml:space="preserve">Lunardini F, Satolli S, Levi V, Rossi Sebastiano D, Zorzi GS. </w:t>
      </w:r>
      <w:r>
        <w:t xml:space="preserve">The effect of GPi-DBS assessed by gait analysis in DYT11 dystonia: a case study. </w:t>
      </w:r>
      <w:r>
        <w:rPr>
          <w:i/>
          <w:iCs/>
        </w:rPr>
        <w:t>Neurol Sci</w:t>
      </w:r>
      <w:r>
        <w:t>. 2024;45(1):335-340. doi:10.1007/s10072-023-07063-6</w:t>
      </w:r>
    </w:p>
    <w:p w14:paraId="03A957F7" w14:textId="77777777" w:rsidR="00EE7B65" w:rsidRPr="003C106F" w:rsidRDefault="00EE7B65" w:rsidP="00EE7B65">
      <w:pPr>
        <w:pStyle w:val="Bibliography"/>
        <w:rPr>
          <w:lang w:val="it-IT"/>
        </w:rPr>
      </w:pPr>
      <w:r>
        <w:t>99.</w:t>
      </w:r>
      <w:r>
        <w:tab/>
        <w:t xml:space="preserve">Romito LM, Paio F, Andreasi NG, et al. A novel GNAL pathogenic variant leading to generalized dystonia: Immediate and sustained response to globus pallidus internus deep brain stimulation. </w:t>
      </w:r>
      <w:r w:rsidRPr="003C106F">
        <w:rPr>
          <w:i/>
          <w:iCs/>
          <w:lang w:val="it-IT"/>
        </w:rPr>
        <w:t>Parkinsonism Relat Disord</w:t>
      </w:r>
      <w:r w:rsidRPr="003C106F">
        <w:rPr>
          <w:lang w:val="it-IT"/>
        </w:rPr>
        <w:t xml:space="preserve">. </w:t>
      </w:r>
      <w:proofErr w:type="gramStart"/>
      <w:r w:rsidRPr="003C106F">
        <w:rPr>
          <w:lang w:val="it-IT"/>
        </w:rPr>
        <w:t>2023;115:105833</w:t>
      </w:r>
      <w:proofErr w:type="gramEnd"/>
      <w:r w:rsidRPr="003C106F">
        <w:rPr>
          <w:lang w:val="it-IT"/>
        </w:rPr>
        <w:t xml:space="preserve">. </w:t>
      </w:r>
      <w:proofErr w:type="gramStart"/>
      <w:r w:rsidRPr="003C106F">
        <w:rPr>
          <w:lang w:val="it-IT"/>
        </w:rPr>
        <w:t>doi:10.1016/j.parkreldis</w:t>
      </w:r>
      <w:proofErr w:type="gramEnd"/>
      <w:r w:rsidRPr="003C106F">
        <w:rPr>
          <w:lang w:val="it-IT"/>
        </w:rPr>
        <w:t>.2023.105833</w:t>
      </w:r>
    </w:p>
    <w:p w14:paraId="12A040E7" w14:textId="77777777" w:rsidR="00EE7B65" w:rsidRDefault="00EE7B65" w:rsidP="00EE7B65">
      <w:pPr>
        <w:pStyle w:val="Bibliography"/>
      </w:pPr>
      <w:r w:rsidRPr="003C106F">
        <w:rPr>
          <w:lang w:val="it-IT"/>
        </w:rPr>
        <w:t>100.</w:t>
      </w:r>
      <w:r w:rsidRPr="003C106F">
        <w:rPr>
          <w:lang w:val="it-IT"/>
        </w:rPr>
        <w:tab/>
        <w:t xml:space="preserve">Carecchio M, Panteghini C, Reale C, et al. </w:t>
      </w:r>
      <w:r>
        <w:t xml:space="preserve">Novel GNAL mutation with intra-familial clinical heterogeneity: Expanding the phenotype. </w:t>
      </w:r>
      <w:r>
        <w:rPr>
          <w:i/>
          <w:iCs/>
        </w:rPr>
        <w:t>Parkinsonism Relat Disord</w:t>
      </w:r>
      <w:r>
        <w:t xml:space="preserve">. </w:t>
      </w:r>
      <w:proofErr w:type="gramStart"/>
      <w:r>
        <w:t>2016;23:66</w:t>
      </w:r>
      <w:proofErr w:type="gramEnd"/>
      <w:r>
        <w:t xml:space="preserve">-71. </w:t>
      </w:r>
      <w:proofErr w:type="gramStart"/>
      <w:r>
        <w:t>doi:10.1016/j.parkreldis</w:t>
      </w:r>
      <w:proofErr w:type="gramEnd"/>
      <w:r>
        <w:t>.2015.12.012</w:t>
      </w:r>
    </w:p>
    <w:p w14:paraId="28E68ACD" w14:textId="77777777" w:rsidR="00EE7B65" w:rsidRDefault="00EE7B65" w:rsidP="00EE7B65">
      <w:pPr>
        <w:pStyle w:val="Bibliography"/>
      </w:pPr>
      <w:r>
        <w:t>101.</w:t>
      </w:r>
      <w:r>
        <w:tab/>
        <w:t xml:space="preserve">Levi V, Franzini A, Rinaldo S, et al. Globus pallidus internus activity during simultaneous bilateral microelectrode recordings in status dystonicus. </w:t>
      </w:r>
      <w:r>
        <w:rPr>
          <w:i/>
          <w:iCs/>
        </w:rPr>
        <w:t>Acta Neurochir (Wien)</w:t>
      </w:r>
      <w:r>
        <w:t>. 2021;163(1):211-217. doi:10.1007/s00701-020-04618-w</w:t>
      </w:r>
    </w:p>
    <w:p w14:paraId="2F67ACBF" w14:textId="77777777" w:rsidR="00EE7B65" w:rsidRDefault="00EE7B65" w:rsidP="00EE7B65">
      <w:pPr>
        <w:pStyle w:val="Bibliography"/>
      </w:pPr>
      <w:r>
        <w:t>102.</w:t>
      </w:r>
      <w:r>
        <w:tab/>
        <w:t xml:space="preserve">Gold C, Henze DA, Koch C, Buzsáki G. On the Origin of the Extracellular Action Potential Waveform: A Modeling Study. </w:t>
      </w:r>
      <w:r>
        <w:rPr>
          <w:i/>
          <w:iCs/>
        </w:rPr>
        <w:t>J Neurophysiol</w:t>
      </w:r>
      <w:r>
        <w:t>. 2006;95(5):3113-3128. doi:10.1152/jn.00979.2005</w:t>
      </w:r>
    </w:p>
    <w:p w14:paraId="375ADFCC" w14:textId="77777777" w:rsidR="00EE7B65" w:rsidRDefault="00EE7B65" w:rsidP="00EE7B65">
      <w:pPr>
        <w:pStyle w:val="Bibliography"/>
      </w:pPr>
      <w:r>
        <w:t>103.</w:t>
      </w:r>
      <w:r>
        <w:tab/>
        <w:t xml:space="preserve">Quiroga RQ, Nadasdy Z, Ben-Shaul Y. Unsupervised Spike Detection and Sorting with Wavelets and Superparamagnetic Clustering. </w:t>
      </w:r>
      <w:r>
        <w:rPr>
          <w:i/>
          <w:iCs/>
        </w:rPr>
        <w:t>Neural Comput</w:t>
      </w:r>
      <w:r>
        <w:t>. 2004;16(8):1661-1687. doi:10.1162/089976604774201631</w:t>
      </w:r>
    </w:p>
    <w:p w14:paraId="344868BB" w14:textId="77777777" w:rsidR="00EE7B65" w:rsidRDefault="00EE7B65" w:rsidP="00EE7B65">
      <w:pPr>
        <w:pStyle w:val="Bibliography"/>
      </w:pPr>
      <w:r>
        <w:lastRenderedPageBreak/>
        <w:t>104.</w:t>
      </w:r>
      <w:r>
        <w:tab/>
        <w:t xml:space="preserve">Moran A, Bar-Gad I. Revealing neuronal functional organization through the relation between multi-scale oscillatory extracellular signals. </w:t>
      </w:r>
      <w:r>
        <w:rPr>
          <w:i/>
          <w:iCs/>
        </w:rPr>
        <w:t>J Neurosci Methods</w:t>
      </w:r>
      <w:r>
        <w:t xml:space="preserve">. 2010;186(1):116-129. </w:t>
      </w:r>
      <w:proofErr w:type="gramStart"/>
      <w:r>
        <w:t>doi:10.1016/j.jneumeth</w:t>
      </w:r>
      <w:proofErr w:type="gramEnd"/>
      <w:r>
        <w:t>.2009.10.024</w:t>
      </w:r>
    </w:p>
    <w:p w14:paraId="58E69CAF" w14:textId="77777777" w:rsidR="00EE7B65" w:rsidRDefault="00EE7B65" w:rsidP="00EE7B65">
      <w:pPr>
        <w:pStyle w:val="Bibliography"/>
      </w:pPr>
      <w:r>
        <w:t>105.</w:t>
      </w:r>
      <w:r>
        <w:tab/>
        <w:t xml:space="preserve">Abeles M. </w:t>
      </w:r>
      <w:r>
        <w:rPr>
          <w:i/>
          <w:iCs/>
        </w:rPr>
        <w:t>Corticonics: Neural Circuits of the Cerebral Cortex</w:t>
      </w:r>
      <w:r>
        <w:t>. 1st ed. Cambridge University Press; 1991. doi:10.1017/CBO9780511574566</w:t>
      </w:r>
    </w:p>
    <w:p w14:paraId="2215BBBE" w14:textId="77777777" w:rsidR="00EE7B65" w:rsidRDefault="00EE7B65" w:rsidP="00EE7B65">
      <w:pPr>
        <w:pStyle w:val="Bibliography"/>
      </w:pPr>
      <w:r>
        <w:t>106.</w:t>
      </w:r>
      <w:r>
        <w:tab/>
        <w:t xml:space="preserve">Giorni A, Windels F, Stratton PG, et al. Single-unit activity of the anterior Globus pallidus internus in Tourette patients and posterior Globus pallidus internus in dystonic patients. </w:t>
      </w:r>
      <w:r>
        <w:rPr>
          <w:i/>
          <w:iCs/>
        </w:rPr>
        <w:t>Clin Neurophysiol</w:t>
      </w:r>
      <w:r>
        <w:t xml:space="preserve">. 2017;128(12):2510-2518. </w:t>
      </w:r>
      <w:proofErr w:type="gramStart"/>
      <w:r>
        <w:t>doi:10.1016/j.clinph</w:t>
      </w:r>
      <w:proofErr w:type="gramEnd"/>
      <w:r>
        <w:t>.2017.10.003</w:t>
      </w:r>
    </w:p>
    <w:p w14:paraId="36D03D84" w14:textId="77777777" w:rsidR="00EE7B65" w:rsidRDefault="00EE7B65" w:rsidP="00EE7B65">
      <w:pPr>
        <w:pStyle w:val="Bibliography"/>
      </w:pPr>
      <w:r>
        <w:t>107.</w:t>
      </w:r>
      <w:r>
        <w:tab/>
        <w:t xml:space="preserve">Ahmadi N, Constandinou TG, Bouganis CS. </w:t>
      </w:r>
      <w:r>
        <w:rPr>
          <w:i/>
          <w:iCs/>
        </w:rPr>
        <w:t>Estimation of Neuronal Firing Rate Using Bayesian Adaptive Kernel Smoother (BAKS)</w:t>
      </w:r>
      <w:r>
        <w:t>. Neuroscience; 2017. doi:10.1101/204818</w:t>
      </w:r>
    </w:p>
    <w:p w14:paraId="6DD4D475" w14:textId="77777777" w:rsidR="00EE7B65" w:rsidRDefault="00EE7B65" w:rsidP="00EE7B65">
      <w:pPr>
        <w:pStyle w:val="Bibliography"/>
      </w:pPr>
      <w:r>
        <w:t>108.</w:t>
      </w:r>
      <w:r>
        <w:tab/>
        <w:t xml:space="preserve">Vissani M, Cordella R, Micera S, Eleopra R, Romito LM, Mazzoni A. Spatio-temporal structure of single neuron subthalamic activity identifies DBS target for anesthetized Tourette syndrome patients. </w:t>
      </w:r>
      <w:r>
        <w:rPr>
          <w:i/>
          <w:iCs/>
        </w:rPr>
        <w:t>J Neural Eng</w:t>
      </w:r>
      <w:r>
        <w:t>. 2019;16(6):066011. doi:10.1088/1741-2552/ab37b4</w:t>
      </w:r>
    </w:p>
    <w:p w14:paraId="18E76EBD" w14:textId="77777777" w:rsidR="00EE7B65" w:rsidRDefault="00EE7B65" w:rsidP="00EE7B65">
      <w:pPr>
        <w:pStyle w:val="Bibliography"/>
      </w:pPr>
      <w:r>
        <w:t>109.</w:t>
      </w:r>
      <w:r>
        <w:tab/>
        <w:t xml:space="preserve">Lengler J, Steger A. Note on the coefficient of variations of neuronal spike trains. </w:t>
      </w:r>
      <w:r>
        <w:rPr>
          <w:i/>
          <w:iCs/>
        </w:rPr>
        <w:t>Biol Cybern</w:t>
      </w:r>
      <w:r>
        <w:t>. 2017;111(3-4):229-235. doi:10.1007/s00422-017-0717-y</w:t>
      </w:r>
    </w:p>
    <w:p w14:paraId="0190013C" w14:textId="77777777" w:rsidR="00EE7B65" w:rsidRDefault="00EE7B65" w:rsidP="00EE7B65">
      <w:pPr>
        <w:pStyle w:val="Bibliography"/>
      </w:pPr>
      <w:r>
        <w:t>110.</w:t>
      </w:r>
      <w:r>
        <w:tab/>
        <w:t xml:space="preserve">Shinomoto S, Shima K, Tanji J. Differences in Spiking Patterns Among Cortical Neurons. </w:t>
      </w:r>
      <w:r>
        <w:rPr>
          <w:i/>
          <w:iCs/>
        </w:rPr>
        <w:t>Neural Comput</w:t>
      </w:r>
      <w:r>
        <w:t>. 2003;15(12):2823-2842. doi:10.1162/089976603322518759</w:t>
      </w:r>
    </w:p>
    <w:p w14:paraId="0C8C1399" w14:textId="77777777" w:rsidR="00EE7B65" w:rsidRDefault="00EE7B65" w:rsidP="00EE7B65">
      <w:pPr>
        <w:pStyle w:val="Bibliography"/>
      </w:pPr>
      <w:r>
        <w:t>111.</w:t>
      </w:r>
      <w:r>
        <w:tab/>
        <w:t xml:space="preserve">Chacron MJ, Lindner B, Longtin A. ISI CORRELATIONS AND INFORMATION TRANSFER. </w:t>
      </w:r>
      <w:r>
        <w:rPr>
          <w:i/>
          <w:iCs/>
        </w:rPr>
        <w:t>Fluct Noise Lett</w:t>
      </w:r>
      <w:r>
        <w:t>. 2004;04(01</w:t>
      </w:r>
      <w:proofErr w:type="gramStart"/>
      <w:r>
        <w:t>):L</w:t>
      </w:r>
      <w:proofErr w:type="gramEnd"/>
      <w:r>
        <w:t>195-L205. doi:10.1142/S0219477504001793</w:t>
      </w:r>
    </w:p>
    <w:p w14:paraId="74D87BEB" w14:textId="77777777" w:rsidR="00EE7B65" w:rsidRDefault="00EE7B65" w:rsidP="00EE7B65">
      <w:pPr>
        <w:pStyle w:val="Bibliography"/>
      </w:pPr>
      <w:r>
        <w:t>112.</w:t>
      </w:r>
      <w:r>
        <w:tab/>
        <w:t xml:space="preserve">Gourévitch B, Eggermont JJ. A nonparametric approach for detection of bursts in spike trains. </w:t>
      </w:r>
      <w:r>
        <w:rPr>
          <w:i/>
          <w:iCs/>
        </w:rPr>
        <w:t>J Neurosci Methods</w:t>
      </w:r>
      <w:r>
        <w:t xml:space="preserve">. 2007;160(2):349-358. </w:t>
      </w:r>
      <w:proofErr w:type="gramStart"/>
      <w:r>
        <w:t>doi:10.1016/j.jneumeth</w:t>
      </w:r>
      <w:proofErr w:type="gramEnd"/>
      <w:r>
        <w:t>.2006.09.024</w:t>
      </w:r>
    </w:p>
    <w:p w14:paraId="3016D993" w14:textId="77777777" w:rsidR="00EE7B65" w:rsidRDefault="00EE7B65" w:rsidP="00EE7B65">
      <w:pPr>
        <w:pStyle w:val="Bibliography"/>
      </w:pPr>
      <w:r>
        <w:t>113.</w:t>
      </w:r>
      <w:r>
        <w:tab/>
        <w:t xml:space="preserve">Herrmann CS, Murray MM, Ionta S, Hutt A, Lefebvre J. Shaping Intrinsic Neural Oscillations with Periodic Stimulation. </w:t>
      </w:r>
      <w:r>
        <w:rPr>
          <w:i/>
          <w:iCs/>
        </w:rPr>
        <w:t>J Neurosci</w:t>
      </w:r>
      <w:r>
        <w:t>. 2016;36(19):5328-5337. doi:10.1523/JNEUROSCI.0236-16.2016</w:t>
      </w:r>
    </w:p>
    <w:p w14:paraId="77A5AD8C" w14:textId="77777777" w:rsidR="00EE7B65" w:rsidRDefault="00EE7B65" w:rsidP="00EE7B65">
      <w:pPr>
        <w:pStyle w:val="Bibliography"/>
      </w:pPr>
      <w:r>
        <w:t>114.</w:t>
      </w:r>
      <w:r>
        <w:tab/>
        <w:t xml:space="preserve">Brown P, Oliviero A, Mazzone P, Insola A, Tonali P, Di Lazzaro V. Dopamine Dependency of Oscillations between Subthalamic Nucleus and Pallidum in Parkinson’s Disease. </w:t>
      </w:r>
      <w:r>
        <w:rPr>
          <w:i/>
          <w:iCs/>
        </w:rPr>
        <w:t>J Neurosci</w:t>
      </w:r>
      <w:r>
        <w:t>. 2001;21(3):1033-1038. doi:10.1523/JNEUROSCI.21-03-01033.2001</w:t>
      </w:r>
    </w:p>
    <w:p w14:paraId="29FFC933" w14:textId="77777777" w:rsidR="00EE7B65" w:rsidRDefault="00EE7B65" w:rsidP="00EE7B65">
      <w:pPr>
        <w:pStyle w:val="Bibliography"/>
      </w:pPr>
      <w:r>
        <w:t>115.</w:t>
      </w:r>
      <w:r>
        <w:tab/>
        <w:t xml:space="preserve">Mureşan RC, Jurjuţ OF, Moca VV, Singer W, Nikolić D. The Oscillation Score: An Efficient Method for Estimating Oscillation Strength in Neuronal Activity. </w:t>
      </w:r>
      <w:r>
        <w:rPr>
          <w:i/>
          <w:iCs/>
        </w:rPr>
        <w:t>J Neurophysiol</w:t>
      </w:r>
      <w:r>
        <w:t>. 2008;99(3):1333-1353. doi:10.1152/jn.00772.2007</w:t>
      </w:r>
    </w:p>
    <w:p w14:paraId="54D66E63" w14:textId="77777777" w:rsidR="00EE7B65" w:rsidRDefault="00EE7B65" w:rsidP="00EE7B65">
      <w:pPr>
        <w:pStyle w:val="Bibliography"/>
      </w:pPr>
      <w:r>
        <w:t>116.</w:t>
      </w:r>
      <w:r>
        <w:tab/>
        <w:t xml:space="preserve">Sani S, Ostrem JL, Shimamoto S, Levesque N, Starr PA. Single unit “pauser” characteristics of the globus pallidus pars externa distinguish primary dystonia from secondary dystonia and Parkinson’s disease. </w:t>
      </w:r>
      <w:r>
        <w:rPr>
          <w:i/>
          <w:iCs/>
        </w:rPr>
        <w:t>Exp Neurol</w:t>
      </w:r>
      <w:r>
        <w:t xml:space="preserve">. 2009;216(2):295-299. </w:t>
      </w:r>
      <w:proofErr w:type="gramStart"/>
      <w:r>
        <w:t>doi:10.1016/j.expneurol</w:t>
      </w:r>
      <w:proofErr w:type="gramEnd"/>
      <w:r>
        <w:t>.2008.12.006</w:t>
      </w:r>
    </w:p>
    <w:p w14:paraId="4155A308" w14:textId="77777777" w:rsidR="00EE7B65" w:rsidRPr="003C106F" w:rsidRDefault="00EE7B65" w:rsidP="00EE7B65">
      <w:pPr>
        <w:pStyle w:val="Bibliography"/>
        <w:rPr>
          <w:lang w:val="it-IT"/>
        </w:rPr>
      </w:pPr>
      <w:r>
        <w:lastRenderedPageBreak/>
        <w:t>117.</w:t>
      </w:r>
      <w:r>
        <w:tab/>
        <w:t xml:space="preserve">Elias S, Joshua M, Goldberg JA, et al. Statistical properties of pauses of the high-frequency discharge neurons in the external segment of the globus pallidus. </w:t>
      </w:r>
      <w:r w:rsidRPr="003C106F">
        <w:rPr>
          <w:i/>
          <w:iCs/>
          <w:lang w:val="it-IT"/>
        </w:rPr>
        <w:t>J Neurosci Off J Soc Neurosci</w:t>
      </w:r>
      <w:r w:rsidRPr="003C106F">
        <w:rPr>
          <w:lang w:val="it-IT"/>
        </w:rPr>
        <w:t xml:space="preserve">. 2007;27(10):2525-2538. </w:t>
      </w:r>
      <w:proofErr w:type="gramStart"/>
      <w:r w:rsidRPr="003C106F">
        <w:rPr>
          <w:lang w:val="it-IT"/>
        </w:rPr>
        <w:t>doi:10.1523</w:t>
      </w:r>
      <w:proofErr w:type="gramEnd"/>
      <w:r w:rsidRPr="003C106F">
        <w:rPr>
          <w:lang w:val="it-IT"/>
        </w:rPr>
        <w:t>/JNEUROSCI.4156-06.2007</w:t>
      </w:r>
    </w:p>
    <w:p w14:paraId="0D5C464C" w14:textId="77777777" w:rsidR="00EE7B65" w:rsidRDefault="00EE7B65" w:rsidP="00EE7B65">
      <w:pPr>
        <w:pStyle w:val="Bibliography"/>
      </w:pPr>
      <w:r w:rsidRPr="003C106F">
        <w:rPr>
          <w:lang w:val="it-IT"/>
        </w:rPr>
        <w:t>118.</w:t>
      </w:r>
      <w:r w:rsidRPr="003C106F">
        <w:rPr>
          <w:lang w:val="it-IT"/>
        </w:rPr>
        <w:tab/>
        <w:t xml:space="preserve">Lettieri C, Rinaldo S, Devigili G, et al. </w:t>
      </w:r>
      <w:r>
        <w:t xml:space="preserve">Deep brain stimulation: Subthalamic nucleus electrophysiological activity in awake and anesthetized patients. </w:t>
      </w:r>
      <w:r>
        <w:rPr>
          <w:i/>
          <w:iCs/>
        </w:rPr>
        <w:t>Clin Neurophysiol</w:t>
      </w:r>
      <w:r>
        <w:t xml:space="preserve">. 2012;123(12):2406-2413. </w:t>
      </w:r>
      <w:proofErr w:type="gramStart"/>
      <w:r>
        <w:t>doi:10.1016/j.clinph</w:t>
      </w:r>
      <w:proofErr w:type="gramEnd"/>
      <w:r>
        <w:t>.2012.04.027</w:t>
      </w:r>
    </w:p>
    <w:p w14:paraId="280183AA" w14:textId="77777777" w:rsidR="00EE7B65" w:rsidRDefault="00EE7B65" w:rsidP="00EE7B65">
      <w:pPr>
        <w:pStyle w:val="Bibliography"/>
      </w:pPr>
      <w:r>
        <w:t>119.</w:t>
      </w:r>
      <w:r>
        <w:tab/>
        <w:t xml:space="preserve">Fritz CO, Morris PE, Richler JJ. Effect size estimates: Current use, calculations, and interpretation. </w:t>
      </w:r>
      <w:r>
        <w:rPr>
          <w:i/>
          <w:iCs/>
        </w:rPr>
        <w:t>J Exp Psychol Gen</w:t>
      </w:r>
      <w:r>
        <w:t>. 2012;141(1):2-18. doi:10.1037/a0024338</w:t>
      </w:r>
    </w:p>
    <w:p w14:paraId="5D24D11F" w14:textId="77777777" w:rsidR="00EE7B65" w:rsidRDefault="00EE7B65" w:rsidP="00EE7B65">
      <w:pPr>
        <w:pStyle w:val="Bibliography"/>
      </w:pPr>
      <w:r>
        <w:t>120.</w:t>
      </w:r>
      <w:r>
        <w:tab/>
        <w:t xml:space="preserve">Cohen J. </w:t>
      </w:r>
      <w:r>
        <w:rPr>
          <w:i/>
          <w:iCs/>
        </w:rPr>
        <w:t>Statistical Power Analysis for the Behavioral Sciences</w:t>
      </w:r>
      <w:r>
        <w:t>. 0 ed. Routledge; 2013. doi:10.4324/9780203771587</w:t>
      </w:r>
    </w:p>
    <w:p w14:paraId="3C10D607" w14:textId="48A6112D" w:rsidR="004D239A" w:rsidRPr="001F7708" w:rsidRDefault="006F2516" w:rsidP="00A24492">
      <w:pPr>
        <w:pStyle w:val="Bibliography"/>
        <w:rPr>
          <w:rFonts w:ascii="Aptos" w:hAnsi="Aptos"/>
          <w:sz w:val="20"/>
          <w:szCs w:val="20"/>
        </w:rPr>
      </w:pPr>
      <w:r w:rsidRPr="001F7708">
        <w:rPr>
          <w:rFonts w:ascii="Aptos" w:hAnsi="Aptos" w:cs="Times New Roman"/>
          <w:b/>
          <w:bCs/>
          <w:sz w:val="20"/>
          <w:szCs w:val="20"/>
        </w:rPr>
        <w:fldChar w:fldCharType="end"/>
      </w:r>
    </w:p>
    <w:p w14:paraId="6CEF9C70" w14:textId="77777777" w:rsidR="001E0E77" w:rsidRPr="005500F7" w:rsidRDefault="006F2516" w:rsidP="001C7EF6">
      <w:pPr>
        <w:pStyle w:val="reference"/>
        <w:rPr>
          <w:rFonts w:ascii="Aptos" w:hAnsi="Aptos"/>
          <w:sz w:val="20"/>
          <w:szCs w:val="20"/>
        </w:rPr>
      </w:pPr>
      <w:r w:rsidRPr="005500F7">
        <w:rPr>
          <w:rFonts w:ascii="Aptos" w:hAnsi="Aptos"/>
          <w:i/>
          <w:iCs/>
          <w:sz w:val="20"/>
          <w:szCs w:val="20"/>
        </w:rPr>
        <w:br/>
      </w:r>
    </w:p>
    <w:sectPr w:rsidR="001E0E77" w:rsidRPr="005500F7" w:rsidSect="00F4465B">
      <w:headerReference w:type="default" r:id="rId16"/>
      <w:footerReference w:type="default" r:id="rId17"/>
      <w:pgSz w:w="11906" w:h="16838" w:code="9"/>
      <w:pgMar w:top="1417" w:right="1417" w:bottom="1417" w:left="1417"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19C1F" w14:textId="77777777" w:rsidR="00043A85" w:rsidRDefault="00043A85">
      <w:pPr>
        <w:spacing w:after="0" w:line="240" w:lineRule="auto"/>
      </w:pPr>
      <w:r>
        <w:separator/>
      </w:r>
    </w:p>
  </w:endnote>
  <w:endnote w:type="continuationSeparator" w:id="0">
    <w:p w14:paraId="2E5F0DC5" w14:textId="77777777" w:rsidR="00043A85" w:rsidRDefault="00043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Roboto Cn">
    <w:altName w:val="Arial"/>
    <w:charset w:val="A2"/>
    <w:family w:val="auto"/>
    <w:pitch w:val="variable"/>
    <w:sig w:usb0="E00002EF" w:usb1="5000205B" w:usb2="0000002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Roboto-Condensed">
    <w:altName w:val="Roboto"/>
    <w:panose1 w:val="00000000000000000000"/>
    <w:charset w:val="00"/>
    <w:family w:val="roman"/>
    <w:notTrueType/>
    <w:pitch w:val="default"/>
  </w:font>
  <w:font w:name="Roboto-CondensedItalic">
    <w:altName w:val="Roboto"/>
    <w:panose1 w:val="00000000000000000000"/>
    <w:charset w:val="00"/>
    <w:family w:val="roman"/>
    <w:notTrueType/>
    <w:pitch w:val="default"/>
  </w:font>
  <w:font w:name="Roboto-BoldCondensed">
    <w:altName w:val="Roboto"/>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A00000AF" w:usb1="40000048" w:usb2="00000000" w:usb3="00000000" w:csb0="0000011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1378068"/>
      <w:docPartObj>
        <w:docPartGallery w:val="Page Numbers (Bottom of Page)"/>
        <w:docPartUnique/>
      </w:docPartObj>
    </w:sdtPr>
    <w:sdtEndPr>
      <w:rPr>
        <w:noProof/>
      </w:rPr>
    </w:sdtEndPr>
    <w:sdtContent>
      <w:p w14:paraId="43ACD7BB" w14:textId="77777777" w:rsidR="006F173E" w:rsidRPr="004764B7" w:rsidRDefault="006F2516">
        <w:pPr>
          <w:pStyle w:val="Footer"/>
          <w:jc w:val="right"/>
        </w:pPr>
        <w:r w:rsidRPr="004764B7">
          <w:rPr>
            <w:rFonts w:ascii="Roboto Cn" w:hAnsi="Roboto Cn"/>
          </w:rPr>
          <w:fldChar w:fldCharType="begin"/>
        </w:r>
        <w:r w:rsidRPr="004764B7">
          <w:rPr>
            <w:rFonts w:ascii="Roboto Cn" w:hAnsi="Roboto Cn"/>
          </w:rPr>
          <w:instrText xml:space="preserve"> PAGE   \* MERGEFORMAT </w:instrText>
        </w:r>
        <w:r w:rsidRPr="004764B7">
          <w:rPr>
            <w:rFonts w:ascii="Roboto Cn" w:hAnsi="Roboto Cn"/>
          </w:rPr>
          <w:fldChar w:fldCharType="separate"/>
        </w:r>
        <w:r w:rsidR="000F0251">
          <w:rPr>
            <w:rFonts w:ascii="Roboto Cn" w:hAnsi="Roboto Cn"/>
            <w:noProof/>
          </w:rPr>
          <w:t>1</w:t>
        </w:r>
        <w:r w:rsidRPr="004764B7">
          <w:rPr>
            <w:rFonts w:ascii="Roboto Cn" w:hAnsi="Roboto Cn"/>
            <w:noProof/>
          </w:rPr>
          <w:fldChar w:fldCharType="end"/>
        </w:r>
      </w:p>
    </w:sdtContent>
  </w:sdt>
  <w:p w14:paraId="58DCF022" w14:textId="77777777" w:rsidR="006F173E" w:rsidRPr="004764B7" w:rsidRDefault="006F173E">
    <w:pPr>
      <w:pStyle w:val="Footer"/>
    </w:pPr>
  </w:p>
  <w:p w14:paraId="2EF521F8" w14:textId="77777777" w:rsidR="003C0015" w:rsidRDefault="003C0015"/>
  <w:p w14:paraId="0D24E3DD" w14:textId="77777777" w:rsidR="005D69AB" w:rsidRDefault="005D69AB"/>
  <w:p w14:paraId="5B4654AC" w14:textId="77777777" w:rsidR="005D69AB" w:rsidRDefault="005D69AB" w:rsidP="004012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85150" w14:textId="77777777" w:rsidR="00043A85" w:rsidRDefault="00043A85">
      <w:pPr>
        <w:spacing w:after="0" w:line="240" w:lineRule="auto"/>
      </w:pPr>
      <w:r>
        <w:separator/>
      </w:r>
    </w:p>
  </w:footnote>
  <w:footnote w:type="continuationSeparator" w:id="0">
    <w:p w14:paraId="482C6202" w14:textId="77777777" w:rsidR="00043A85" w:rsidRDefault="00043A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97483" w14:textId="77777777" w:rsidR="00457AE1" w:rsidRPr="00895F5C" w:rsidRDefault="006F2516" w:rsidP="00457AE1">
    <w:pPr>
      <w:pStyle w:val="NoSpacing"/>
      <w:ind w:firstLine="0"/>
      <w:rPr>
        <w:rFonts w:ascii="Gill Sans MT" w:hAnsi="Gill Sans MT"/>
        <w:b/>
        <w:bCs/>
      </w:rPr>
    </w:pPr>
    <w:r w:rsidRPr="00895F5C">
      <w:rPr>
        <w:rFonts w:ascii="Gill Sans MT" w:hAnsi="Gill Sans MT"/>
        <w:b/>
        <w:bCs/>
      </w:rPr>
      <w:t>Supplementary Methods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F02CA"/>
    <w:multiLevelType w:val="hybridMultilevel"/>
    <w:tmpl w:val="62E41C12"/>
    <w:lvl w:ilvl="0" w:tplc="F45C2664">
      <w:start w:val="1"/>
      <w:numFmt w:val="bullet"/>
      <w:lvlText w:val=""/>
      <w:lvlJc w:val="left"/>
      <w:pPr>
        <w:ind w:left="502" w:hanging="360"/>
      </w:pPr>
      <w:rPr>
        <w:rFonts w:ascii="Symbol" w:hAnsi="Symbol" w:hint="default"/>
      </w:rPr>
    </w:lvl>
    <w:lvl w:ilvl="1" w:tplc="2B14F194" w:tentative="1">
      <w:start w:val="1"/>
      <w:numFmt w:val="bullet"/>
      <w:lvlText w:val="o"/>
      <w:lvlJc w:val="left"/>
      <w:pPr>
        <w:ind w:left="1222" w:hanging="360"/>
      </w:pPr>
      <w:rPr>
        <w:rFonts w:ascii="Courier New" w:hAnsi="Courier New" w:cs="Courier New" w:hint="default"/>
      </w:rPr>
    </w:lvl>
    <w:lvl w:ilvl="2" w:tplc="76E81016" w:tentative="1">
      <w:start w:val="1"/>
      <w:numFmt w:val="bullet"/>
      <w:lvlText w:val=""/>
      <w:lvlJc w:val="left"/>
      <w:pPr>
        <w:ind w:left="1942" w:hanging="360"/>
      </w:pPr>
      <w:rPr>
        <w:rFonts w:ascii="Wingdings" w:hAnsi="Wingdings" w:hint="default"/>
      </w:rPr>
    </w:lvl>
    <w:lvl w:ilvl="3" w:tplc="62142818" w:tentative="1">
      <w:start w:val="1"/>
      <w:numFmt w:val="bullet"/>
      <w:lvlText w:val=""/>
      <w:lvlJc w:val="left"/>
      <w:pPr>
        <w:ind w:left="2662" w:hanging="360"/>
      </w:pPr>
      <w:rPr>
        <w:rFonts w:ascii="Symbol" w:hAnsi="Symbol" w:hint="default"/>
      </w:rPr>
    </w:lvl>
    <w:lvl w:ilvl="4" w:tplc="AB9E7B70" w:tentative="1">
      <w:start w:val="1"/>
      <w:numFmt w:val="bullet"/>
      <w:lvlText w:val="o"/>
      <w:lvlJc w:val="left"/>
      <w:pPr>
        <w:ind w:left="3382" w:hanging="360"/>
      </w:pPr>
      <w:rPr>
        <w:rFonts w:ascii="Courier New" w:hAnsi="Courier New" w:cs="Courier New" w:hint="default"/>
      </w:rPr>
    </w:lvl>
    <w:lvl w:ilvl="5" w:tplc="D910BC3C" w:tentative="1">
      <w:start w:val="1"/>
      <w:numFmt w:val="bullet"/>
      <w:lvlText w:val=""/>
      <w:lvlJc w:val="left"/>
      <w:pPr>
        <w:ind w:left="4102" w:hanging="360"/>
      </w:pPr>
      <w:rPr>
        <w:rFonts w:ascii="Wingdings" w:hAnsi="Wingdings" w:hint="default"/>
      </w:rPr>
    </w:lvl>
    <w:lvl w:ilvl="6" w:tplc="CD06E662" w:tentative="1">
      <w:start w:val="1"/>
      <w:numFmt w:val="bullet"/>
      <w:lvlText w:val=""/>
      <w:lvlJc w:val="left"/>
      <w:pPr>
        <w:ind w:left="4822" w:hanging="360"/>
      </w:pPr>
      <w:rPr>
        <w:rFonts w:ascii="Symbol" w:hAnsi="Symbol" w:hint="default"/>
      </w:rPr>
    </w:lvl>
    <w:lvl w:ilvl="7" w:tplc="FAEA96D4" w:tentative="1">
      <w:start w:val="1"/>
      <w:numFmt w:val="bullet"/>
      <w:lvlText w:val="o"/>
      <w:lvlJc w:val="left"/>
      <w:pPr>
        <w:ind w:left="5542" w:hanging="360"/>
      </w:pPr>
      <w:rPr>
        <w:rFonts w:ascii="Courier New" w:hAnsi="Courier New" w:cs="Courier New" w:hint="default"/>
      </w:rPr>
    </w:lvl>
    <w:lvl w:ilvl="8" w:tplc="B16E428C" w:tentative="1">
      <w:start w:val="1"/>
      <w:numFmt w:val="bullet"/>
      <w:lvlText w:val=""/>
      <w:lvlJc w:val="left"/>
      <w:pPr>
        <w:ind w:left="6262" w:hanging="360"/>
      </w:pPr>
      <w:rPr>
        <w:rFonts w:ascii="Wingdings" w:hAnsi="Wingdings" w:hint="default"/>
      </w:rPr>
    </w:lvl>
  </w:abstractNum>
  <w:abstractNum w:abstractNumId="1" w15:restartNumberingAfterBreak="0">
    <w:nsid w:val="0EC53C26"/>
    <w:multiLevelType w:val="multilevel"/>
    <w:tmpl w:val="C1FC8B3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764FF1"/>
    <w:multiLevelType w:val="hybridMultilevel"/>
    <w:tmpl w:val="164818DA"/>
    <w:lvl w:ilvl="0" w:tplc="208ACA5C">
      <w:start w:val="1"/>
      <w:numFmt w:val="bullet"/>
      <w:lvlText w:val=""/>
      <w:lvlJc w:val="left"/>
      <w:pPr>
        <w:ind w:left="767" w:hanging="360"/>
      </w:pPr>
      <w:rPr>
        <w:rFonts w:ascii="Symbol" w:hAnsi="Symbol" w:hint="default"/>
      </w:rPr>
    </w:lvl>
    <w:lvl w:ilvl="1" w:tplc="DCEA8D7C" w:tentative="1">
      <w:start w:val="1"/>
      <w:numFmt w:val="bullet"/>
      <w:lvlText w:val="o"/>
      <w:lvlJc w:val="left"/>
      <w:pPr>
        <w:ind w:left="1487" w:hanging="360"/>
      </w:pPr>
      <w:rPr>
        <w:rFonts w:ascii="Courier New" w:hAnsi="Courier New" w:cs="Courier New" w:hint="default"/>
      </w:rPr>
    </w:lvl>
    <w:lvl w:ilvl="2" w:tplc="60F4E6F0" w:tentative="1">
      <w:start w:val="1"/>
      <w:numFmt w:val="bullet"/>
      <w:lvlText w:val=""/>
      <w:lvlJc w:val="left"/>
      <w:pPr>
        <w:ind w:left="2207" w:hanging="360"/>
      </w:pPr>
      <w:rPr>
        <w:rFonts w:ascii="Wingdings" w:hAnsi="Wingdings" w:hint="default"/>
      </w:rPr>
    </w:lvl>
    <w:lvl w:ilvl="3" w:tplc="33C2F7CC" w:tentative="1">
      <w:start w:val="1"/>
      <w:numFmt w:val="bullet"/>
      <w:lvlText w:val=""/>
      <w:lvlJc w:val="left"/>
      <w:pPr>
        <w:ind w:left="2927" w:hanging="360"/>
      </w:pPr>
      <w:rPr>
        <w:rFonts w:ascii="Symbol" w:hAnsi="Symbol" w:hint="default"/>
      </w:rPr>
    </w:lvl>
    <w:lvl w:ilvl="4" w:tplc="D8689250" w:tentative="1">
      <w:start w:val="1"/>
      <w:numFmt w:val="bullet"/>
      <w:lvlText w:val="o"/>
      <w:lvlJc w:val="left"/>
      <w:pPr>
        <w:ind w:left="3647" w:hanging="360"/>
      </w:pPr>
      <w:rPr>
        <w:rFonts w:ascii="Courier New" w:hAnsi="Courier New" w:cs="Courier New" w:hint="default"/>
      </w:rPr>
    </w:lvl>
    <w:lvl w:ilvl="5" w:tplc="9CA4AB40" w:tentative="1">
      <w:start w:val="1"/>
      <w:numFmt w:val="bullet"/>
      <w:lvlText w:val=""/>
      <w:lvlJc w:val="left"/>
      <w:pPr>
        <w:ind w:left="4367" w:hanging="360"/>
      </w:pPr>
      <w:rPr>
        <w:rFonts w:ascii="Wingdings" w:hAnsi="Wingdings" w:hint="default"/>
      </w:rPr>
    </w:lvl>
    <w:lvl w:ilvl="6" w:tplc="3A86760E" w:tentative="1">
      <w:start w:val="1"/>
      <w:numFmt w:val="bullet"/>
      <w:lvlText w:val=""/>
      <w:lvlJc w:val="left"/>
      <w:pPr>
        <w:ind w:left="5087" w:hanging="360"/>
      </w:pPr>
      <w:rPr>
        <w:rFonts w:ascii="Symbol" w:hAnsi="Symbol" w:hint="default"/>
      </w:rPr>
    </w:lvl>
    <w:lvl w:ilvl="7" w:tplc="5268C082" w:tentative="1">
      <w:start w:val="1"/>
      <w:numFmt w:val="bullet"/>
      <w:lvlText w:val="o"/>
      <w:lvlJc w:val="left"/>
      <w:pPr>
        <w:ind w:left="5807" w:hanging="360"/>
      </w:pPr>
      <w:rPr>
        <w:rFonts w:ascii="Courier New" w:hAnsi="Courier New" w:cs="Courier New" w:hint="default"/>
      </w:rPr>
    </w:lvl>
    <w:lvl w:ilvl="8" w:tplc="E5569E8E" w:tentative="1">
      <w:start w:val="1"/>
      <w:numFmt w:val="bullet"/>
      <w:lvlText w:val=""/>
      <w:lvlJc w:val="left"/>
      <w:pPr>
        <w:ind w:left="6527" w:hanging="360"/>
      </w:pPr>
      <w:rPr>
        <w:rFonts w:ascii="Wingdings" w:hAnsi="Wingdings" w:hint="default"/>
      </w:rPr>
    </w:lvl>
  </w:abstractNum>
  <w:abstractNum w:abstractNumId="3" w15:restartNumberingAfterBreak="0">
    <w:nsid w:val="26FC432E"/>
    <w:multiLevelType w:val="hybridMultilevel"/>
    <w:tmpl w:val="1C703F08"/>
    <w:lvl w:ilvl="0" w:tplc="5ADADC40">
      <w:start w:val="1"/>
      <w:numFmt w:val="bullet"/>
      <w:lvlText w:val=""/>
      <w:lvlJc w:val="left"/>
      <w:pPr>
        <w:ind w:left="720" w:hanging="360"/>
      </w:pPr>
      <w:rPr>
        <w:rFonts w:ascii="Symbol" w:hAnsi="Symbol" w:hint="default"/>
      </w:rPr>
    </w:lvl>
    <w:lvl w:ilvl="1" w:tplc="38C2DC38" w:tentative="1">
      <w:start w:val="1"/>
      <w:numFmt w:val="bullet"/>
      <w:lvlText w:val="o"/>
      <w:lvlJc w:val="left"/>
      <w:pPr>
        <w:ind w:left="1440" w:hanging="360"/>
      </w:pPr>
      <w:rPr>
        <w:rFonts w:ascii="Courier New" w:hAnsi="Courier New" w:cs="Courier New" w:hint="default"/>
      </w:rPr>
    </w:lvl>
    <w:lvl w:ilvl="2" w:tplc="E58E0CAA" w:tentative="1">
      <w:start w:val="1"/>
      <w:numFmt w:val="bullet"/>
      <w:lvlText w:val=""/>
      <w:lvlJc w:val="left"/>
      <w:pPr>
        <w:ind w:left="2160" w:hanging="360"/>
      </w:pPr>
      <w:rPr>
        <w:rFonts w:ascii="Wingdings" w:hAnsi="Wingdings" w:hint="default"/>
      </w:rPr>
    </w:lvl>
    <w:lvl w:ilvl="3" w:tplc="4DA2A6BA" w:tentative="1">
      <w:start w:val="1"/>
      <w:numFmt w:val="bullet"/>
      <w:lvlText w:val=""/>
      <w:lvlJc w:val="left"/>
      <w:pPr>
        <w:ind w:left="2880" w:hanging="360"/>
      </w:pPr>
      <w:rPr>
        <w:rFonts w:ascii="Symbol" w:hAnsi="Symbol" w:hint="default"/>
      </w:rPr>
    </w:lvl>
    <w:lvl w:ilvl="4" w:tplc="CC14C476" w:tentative="1">
      <w:start w:val="1"/>
      <w:numFmt w:val="bullet"/>
      <w:lvlText w:val="o"/>
      <w:lvlJc w:val="left"/>
      <w:pPr>
        <w:ind w:left="3600" w:hanging="360"/>
      </w:pPr>
      <w:rPr>
        <w:rFonts w:ascii="Courier New" w:hAnsi="Courier New" w:cs="Courier New" w:hint="default"/>
      </w:rPr>
    </w:lvl>
    <w:lvl w:ilvl="5" w:tplc="9196A384" w:tentative="1">
      <w:start w:val="1"/>
      <w:numFmt w:val="bullet"/>
      <w:lvlText w:val=""/>
      <w:lvlJc w:val="left"/>
      <w:pPr>
        <w:ind w:left="4320" w:hanging="360"/>
      </w:pPr>
      <w:rPr>
        <w:rFonts w:ascii="Wingdings" w:hAnsi="Wingdings" w:hint="default"/>
      </w:rPr>
    </w:lvl>
    <w:lvl w:ilvl="6" w:tplc="79F6311A" w:tentative="1">
      <w:start w:val="1"/>
      <w:numFmt w:val="bullet"/>
      <w:lvlText w:val=""/>
      <w:lvlJc w:val="left"/>
      <w:pPr>
        <w:ind w:left="5040" w:hanging="360"/>
      </w:pPr>
      <w:rPr>
        <w:rFonts w:ascii="Symbol" w:hAnsi="Symbol" w:hint="default"/>
      </w:rPr>
    </w:lvl>
    <w:lvl w:ilvl="7" w:tplc="1BF4B6B6" w:tentative="1">
      <w:start w:val="1"/>
      <w:numFmt w:val="bullet"/>
      <w:lvlText w:val="o"/>
      <w:lvlJc w:val="left"/>
      <w:pPr>
        <w:ind w:left="5760" w:hanging="360"/>
      </w:pPr>
      <w:rPr>
        <w:rFonts w:ascii="Courier New" w:hAnsi="Courier New" w:cs="Courier New" w:hint="default"/>
      </w:rPr>
    </w:lvl>
    <w:lvl w:ilvl="8" w:tplc="D946DE62" w:tentative="1">
      <w:start w:val="1"/>
      <w:numFmt w:val="bullet"/>
      <w:lvlText w:val=""/>
      <w:lvlJc w:val="left"/>
      <w:pPr>
        <w:ind w:left="6480" w:hanging="360"/>
      </w:pPr>
      <w:rPr>
        <w:rFonts w:ascii="Wingdings" w:hAnsi="Wingdings" w:hint="default"/>
      </w:rPr>
    </w:lvl>
  </w:abstractNum>
  <w:abstractNum w:abstractNumId="4" w15:restartNumberingAfterBreak="0">
    <w:nsid w:val="2B436D67"/>
    <w:multiLevelType w:val="multilevel"/>
    <w:tmpl w:val="8D6A98C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C3F00BF"/>
    <w:multiLevelType w:val="hybridMultilevel"/>
    <w:tmpl w:val="B11861A2"/>
    <w:lvl w:ilvl="0" w:tplc="31447E68">
      <w:start w:val="1"/>
      <w:numFmt w:val="bullet"/>
      <w:lvlText w:val=""/>
      <w:lvlJc w:val="left"/>
      <w:pPr>
        <w:ind w:left="720" w:hanging="360"/>
      </w:pPr>
      <w:rPr>
        <w:rFonts w:ascii="Symbol" w:hAnsi="Symbol" w:hint="default"/>
      </w:rPr>
    </w:lvl>
    <w:lvl w:ilvl="1" w:tplc="FC0620CA" w:tentative="1">
      <w:start w:val="1"/>
      <w:numFmt w:val="bullet"/>
      <w:lvlText w:val="o"/>
      <w:lvlJc w:val="left"/>
      <w:pPr>
        <w:ind w:left="1440" w:hanging="360"/>
      </w:pPr>
      <w:rPr>
        <w:rFonts w:ascii="Courier New" w:hAnsi="Courier New" w:cs="Courier New" w:hint="default"/>
      </w:rPr>
    </w:lvl>
    <w:lvl w:ilvl="2" w:tplc="441C5D3C" w:tentative="1">
      <w:start w:val="1"/>
      <w:numFmt w:val="bullet"/>
      <w:lvlText w:val=""/>
      <w:lvlJc w:val="left"/>
      <w:pPr>
        <w:ind w:left="2160" w:hanging="360"/>
      </w:pPr>
      <w:rPr>
        <w:rFonts w:ascii="Wingdings" w:hAnsi="Wingdings" w:hint="default"/>
      </w:rPr>
    </w:lvl>
    <w:lvl w:ilvl="3" w:tplc="2168DD3E" w:tentative="1">
      <w:start w:val="1"/>
      <w:numFmt w:val="bullet"/>
      <w:lvlText w:val=""/>
      <w:lvlJc w:val="left"/>
      <w:pPr>
        <w:ind w:left="2880" w:hanging="360"/>
      </w:pPr>
      <w:rPr>
        <w:rFonts w:ascii="Symbol" w:hAnsi="Symbol" w:hint="default"/>
      </w:rPr>
    </w:lvl>
    <w:lvl w:ilvl="4" w:tplc="55EA45E2" w:tentative="1">
      <w:start w:val="1"/>
      <w:numFmt w:val="bullet"/>
      <w:lvlText w:val="o"/>
      <w:lvlJc w:val="left"/>
      <w:pPr>
        <w:ind w:left="3600" w:hanging="360"/>
      </w:pPr>
      <w:rPr>
        <w:rFonts w:ascii="Courier New" w:hAnsi="Courier New" w:cs="Courier New" w:hint="default"/>
      </w:rPr>
    </w:lvl>
    <w:lvl w:ilvl="5" w:tplc="84BEFED4" w:tentative="1">
      <w:start w:val="1"/>
      <w:numFmt w:val="bullet"/>
      <w:lvlText w:val=""/>
      <w:lvlJc w:val="left"/>
      <w:pPr>
        <w:ind w:left="4320" w:hanging="360"/>
      </w:pPr>
      <w:rPr>
        <w:rFonts w:ascii="Wingdings" w:hAnsi="Wingdings" w:hint="default"/>
      </w:rPr>
    </w:lvl>
    <w:lvl w:ilvl="6" w:tplc="B282D474" w:tentative="1">
      <w:start w:val="1"/>
      <w:numFmt w:val="bullet"/>
      <w:lvlText w:val=""/>
      <w:lvlJc w:val="left"/>
      <w:pPr>
        <w:ind w:left="5040" w:hanging="360"/>
      </w:pPr>
      <w:rPr>
        <w:rFonts w:ascii="Symbol" w:hAnsi="Symbol" w:hint="default"/>
      </w:rPr>
    </w:lvl>
    <w:lvl w:ilvl="7" w:tplc="1C207320" w:tentative="1">
      <w:start w:val="1"/>
      <w:numFmt w:val="bullet"/>
      <w:lvlText w:val="o"/>
      <w:lvlJc w:val="left"/>
      <w:pPr>
        <w:ind w:left="5760" w:hanging="360"/>
      </w:pPr>
      <w:rPr>
        <w:rFonts w:ascii="Courier New" w:hAnsi="Courier New" w:cs="Courier New" w:hint="default"/>
      </w:rPr>
    </w:lvl>
    <w:lvl w:ilvl="8" w:tplc="0AA6FAA4" w:tentative="1">
      <w:start w:val="1"/>
      <w:numFmt w:val="bullet"/>
      <w:lvlText w:val=""/>
      <w:lvlJc w:val="left"/>
      <w:pPr>
        <w:ind w:left="6480" w:hanging="360"/>
      </w:pPr>
      <w:rPr>
        <w:rFonts w:ascii="Wingdings" w:hAnsi="Wingdings" w:hint="default"/>
      </w:rPr>
    </w:lvl>
  </w:abstractNum>
  <w:abstractNum w:abstractNumId="6" w15:restartNumberingAfterBreak="0">
    <w:nsid w:val="3D3F5A86"/>
    <w:multiLevelType w:val="hybridMultilevel"/>
    <w:tmpl w:val="33966C6A"/>
    <w:lvl w:ilvl="0" w:tplc="E4E49162">
      <w:start w:val="1"/>
      <w:numFmt w:val="bullet"/>
      <w:lvlText w:val=""/>
      <w:lvlJc w:val="left"/>
      <w:pPr>
        <w:ind w:left="720" w:hanging="360"/>
      </w:pPr>
      <w:rPr>
        <w:rFonts w:ascii="Symbol" w:hAnsi="Symbol" w:hint="default"/>
      </w:rPr>
    </w:lvl>
    <w:lvl w:ilvl="1" w:tplc="D096B6EA" w:tentative="1">
      <w:start w:val="1"/>
      <w:numFmt w:val="bullet"/>
      <w:lvlText w:val="o"/>
      <w:lvlJc w:val="left"/>
      <w:pPr>
        <w:ind w:left="1440" w:hanging="360"/>
      </w:pPr>
      <w:rPr>
        <w:rFonts w:ascii="Courier New" w:hAnsi="Courier New" w:cs="Courier New" w:hint="default"/>
      </w:rPr>
    </w:lvl>
    <w:lvl w:ilvl="2" w:tplc="DF404694" w:tentative="1">
      <w:start w:val="1"/>
      <w:numFmt w:val="bullet"/>
      <w:lvlText w:val=""/>
      <w:lvlJc w:val="left"/>
      <w:pPr>
        <w:ind w:left="2160" w:hanging="360"/>
      </w:pPr>
      <w:rPr>
        <w:rFonts w:ascii="Wingdings" w:hAnsi="Wingdings" w:hint="default"/>
      </w:rPr>
    </w:lvl>
    <w:lvl w:ilvl="3" w:tplc="0AD4C12A" w:tentative="1">
      <w:start w:val="1"/>
      <w:numFmt w:val="bullet"/>
      <w:lvlText w:val=""/>
      <w:lvlJc w:val="left"/>
      <w:pPr>
        <w:ind w:left="2880" w:hanging="360"/>
      </w:pPr>
      <w:rPr>
        <w:rFonts w:ascii="Symbol" w:hAnsi="Symbol" w:hint="default"/>
      </w:rPr>
    </w:lvl>
    <w:lvl w:ilvl="4" w:tplc="F072D3A6" w:tentative="1">
      <w:start w:val="1"/>
      <w:numFmt w:val="bullet"/>
      <w:lvlText w:val="o"/>
      <w:lvlJc w:val="left"/>
      <w:pPr>
        <w:ind w:left="3600" w:hanging="360"/>
      </w:pPr>
      <w:rPr>
        <w:rFonts w:ascii="Courier New" w:hAnsi="Courier New" w:cs="Courier New" w:hint="default"/>
      </w:rPr>
    </w:lvl>
    <w:lvl w:ilvl="5" w:tplc="FE6AB0DE" w:tentative="1">
      <w:start w:val="1"/>
      <w:numFmt w:val="bullet"/>
      <w:lvlText w:val=""/>
      <w:lvlJc w:val="left"/>
      <w:pPr>
        <w:ind w:left="4320" w:hanging="360"/>
      </w:pPr>
      <w:rPr>
        <w:rFonts w:ascii="Wingdings" w:hAnsi="Wingdings" w:hint="default"/>
      </w:rPr>
    </w:lvl>
    <w:lvl w:ilvl="6" w:tplc="A4B2BE20" w:tentative="1">
      <w:start w:val="1"/>
      <w:numFmt w:val="bullet"/>
      <w:lvlText w:val=""/>
      <w:lvlJc w:val="left"/>
      <w:pPr>
        <w:ind w:left="5040" w:hanging="360"/>
      </w:pPr>
      <w:rPr>
        <w:rFonts w:ascii="Symbol" w:hAnsi="Symbol" w:hint="default"/>
      </w:rPr>
    </w:lvl>
    <w:lvl w:ilvl="7" w:tplc="451E1B94" w:tentative="1">
      <w:start w:val="1"/>
      <w:numFmt w:val="bullet"/>
      <w:lvlText w:val="o"/>
      <w:lvlJc w:val="left"/>
      <w:pPr>
        <w:ind w:left="5760" w:hanging="360"/>
      </w:pPr>
      <w:rPr>
        <w:rFonts w:ascii="Courier New" w:hAnsi="Courier New" w:cs="Courier New" w:hint="default"/>
      </w:rPr>
    </w:lvl>
    <w:lvl w:ilvl="8" w:tplc="84AE914A" w:tentative="1">
      <w:start w:val="1"/>
      <w:numFmt w:val="bullet"/>
      <w:lvlText w:val=""/>
      <w:lvlJc w:val="left"/>
      <w:pPr>
        <w:ind w:left="6480" w:hanging="360"/>
      </w:pPr>
      <w:rPr>
        <w:rFonts w:ascii="Wingdings" w:hAnsi="Wingdings" w:hint="default"/>
      </w:rPr>
    </w:lvl>
  </w:abstractNum>
  <w:abstractNum w:abstractNumId="7" w15:restartNumberingAfterBreak="0">
    <w:nsid w:val="42DA7889"/>
    <w:multiLevelType w:val="hybridMultilevel"/>
    <w:tmpl w:val="E592B1CE"/>
    <w:lvl w:ilvl="0" w:tplc="4A2A8F5C">
      <w:start w:val="1"/>
      <w:numFmt w:val="bullet"/>
      <w:lvlText w:val=""/>
      <w:lvlJc w:val="left"/>
      <w:pPr>
        <w:ind w:left="720" w:hanging="360"/>
      </w:pPr>
      <w:rPr>
        <w:rFonts w:ascii="Symbol" w:hAnsi="Symbol" w:hint="default"/>
      </w:rPr>
    </w:lvl>
    <w:lvl w:ilvl="1" w:tplc="30F6ABF2" w:tentative="1">
      <w:start w:val="1"/>
      <w:numFmt w:val="bullet"/>
      <w:lvlText w:val="o"/>
      <w:lvlJc w:val="left"/>
      <w:pPr>
        <w:ind w:left="1440" w:hanging="360"/>
      </w:pPr>
      <w:rPr>
        <w:rFonts w:ascii="Courier New" w:hAnsi="Courier New" w:cs="Courier New" w:hint="default"/>
      </w:rPr>
    </w:lvl>
    <w:lvl w:ilvl="2" w:tplc="D63443AE" w:tentative="1">
      <w:start w:val="1"/>
      <w:numFmt w:val="bullet"/>
      <w:lvlText w:val=""/>
      <w:lvlJc w:val="left"/>
      <w:pPr>
        <w:ind w:left="2160" w:hanging="360"/>
      </w:pPr>
      <w:rPr>
        <w:rFonts w:ascii="Wingdings" w:hAnsi="Wingdings" w:hint="default"/>
      </w:rPr>
    </w:lvl>
    <w:lvl w:ilvl="3" w:tplc="D0D8652E" w:tentative="1">
      <w:start w:val="1"/>
      <w:numFmt w:val="bullet"/>
      <w:lvlText w:val=""/>
      <w:lvlJc w:val="left"/>
      <w:pPr>
        <w:ind w:left="2880" w:hanging="360"/>
      </w:pPr>
      <w:rPr>
        <w:rFonts w:ascii="Symbol" w:hAnsi="Symbol" w:hint="default"/>
      </w:rPr>
    </w:lvl>
    <w:lvl w:ilvl="4" w:tplc="076290A6" w:tentative="1">
      <w:start w:val="1"/>
      <w:numFmt w:val="bullet"/>
      <w:lvlText w:val="o"/>
      <w:lvlJc w:val="left"/>
      <w:pPr>
        <w:ind w:left="3600" w:hanging="360"/>
      </w:pPr>
      <w:rPr>
        <w:rFonts w:ascii="Courier New" w:hAnsi="Courier New" w:cs="Courier New" w:hint="default"/>
      </w:rPr>
    </w:lvl>
    <w:lvl w:ilvl="5" w:tplc="D418402C" w:tentative="1">
      <w:start w:val="1"/>
      <w:numFmt w:val="bullet"/>
      <w:lvlText w:val=""/>
      <w:lvlJc w:val="left"/>
      <w:pPr>
        <w:ind w:left="4320" w:hanging="360"/>
      </w:pPr>
      <w:rPr>
        <w:rFonts w:ascii="Wingdings" w:hAnsi="Wingdings" w:hint="default"/>
      </w:rPr>
    </w:lvl>
    <w:lvl w:ilvl="6" w:tplc="68829BA4" w:tentative="1">
      <w:start w:val="1"/>
      <w:numFmt w:val="bullet"/>
      <w:lvlText w:val=""/>
      <w:lvlJc w:val="left"/>
      <w:pPr>
        <w:ind w:left="5040" w:hanging="360"/>
      </w:pPr>
      <w:rPr>
        <w:rFonts w:ascii="Symbol" w:hAnsi="Symbol" w:hint="default"/>
      </w:rPr>
    </w:lvl>
    <w:lvl w:ilvl="7" w:tplc="5F58287E" w:tentative="1">
      <w:start w:val="1"/>
      <w:numFmt w:val="bullet"/>
      <w:lvlText w:val="o"/>
      <w:lvlJc w:val="left"/>
      <w:pPr>
        <w:ind w:left="5760" w:hanging="360"/>
      </w:pPr>
      <w:rPr>
        <w:rFonts w:ascii="Courier New" w:hAnsi="Courier New" w:cs="Courier New" w:hint="default"/>
      </w:rPr>
    </w:lvl>
    <w:lvl w:ilvl="8" w:tplc="F112D7EE" w:tentative="1">
      <w:start w:val="1"/>
      <w:numFmt w:val="bullet"/>
      <w:lvlText w:val=""/>
      <w:lvlJc w:val="left"/>
      <w:pPr>
        <w:ind w:left="6480" w:hanging="360"/>
      </w:pPr>
      <w:rPr>
        <w:rFonts w:ascii="Wingdings" w:hAnsi="Wingdings" w:hint="default"/>
      </w:rPr>
    </w:lvl>
  </w:abstractNum>
  <w:abstractNum w:abstractNumId="8" w15:restartNumberingAfterBreak="0">
    <w:nsid w:val="4F007293"/>
    <w:multiLevelType w:val="hybridMultilevel"/>
    <w:tmpl w:val="698EC874"/>
    <w:lvl w:ilvl="0" w:tplc="2482D73A">
      <w:start w:val="1"/>
      <w:numFmt w:val="bullet"/>
      <w:lvlText w:val=""/>
      <w:lvlJc w:val="left"/>
      <w:pPr>
        <w:ind w:left="1080" w:hanging="360"/>
      </w:pPr>
      <w:rPr>
        <w:rFonts w:ascii="Symbol" w:hAnsi="Symbol" w:hint="default"/>
      </w:rPr>
    </w:lvl>
    <w:lvl w:ilvl="1" w:tplc="7BA4BBCE" w:tentative="1">
      <w:start w:val="1"/>
      <w:numFmt w:val="bullet"/>
      <w:lvlText w:val="o"/>
      <w:lvlJc w:val="left"/>
      <w:pPr>
        <w:ind w:left="1800" w:hanging="360"/>
      </w:pPr>
      <w:rPr>
        <w:rFonts w:ascii="Courier New" w:hAnsi="Courier New" w:cs="Courier New" w:hint="default"/>
      </w:rPr>
    </w:lvl>
    <w:lvl w:ilvl="2" w:tplc="6032D088" w:tentative="1">
      <w:start w:val="1"/>
      <w:numFmt w:val="bullet"/>
      <w:lvlText w:val=""/>
      <w:lvlJc w:val="left"/>
      <w:pPr>
        <w:ind w:left="2520" w:hanging="360"/>
      </w:pPr>
      <w:rPr>
        <w:rFonts w:ascii="Wingdings" w:hAnsi="Wingdings" w:hint="default"/>
      </w:rPr>
    </w:lvl>
    <w:lvl w:ilvl="3" w:tplc="A282EC98" w:tentative="1">
      <w:start w:val="1"/>
      <w:numFmt w:val="bullet"/>
      <w:lvlText w:val=""/>
      <w:lvlJc w:val="left"/>
      <w:pPr>
        <w:ind w:left="3240" w:hanging="360"/>
      </w:pPr>
      <w:rPr>
        <w:rFonts w:ascii="Symbol" w:hAnsi="Symbol" w:hint="default"/>
      </w:rPr>
    </w:lvl>
    <w:lvl w:ilvl="4" w:tplc="3E00E16A" w:tentative="1">
      <w:start w:val="1"/>
      <w:numFmt w:val="bullet"/>
      <w:lvlText w:val="o"/>
      <w:lvlJc w:val="left"/>
      <w:pPr>
        <w:ind w:left="3960" w:hanging="360"/>
      </w:pPr>
      <w:rPr>
        <w:rFonts w:ascii="Courier New" w:hAnsi="Courier New" w:cs="Courier New" w:hint="default"/>
      </w:rPr>
    </w:lvl>
    <w:lvl w:ilvl="5" w:tplc="3AEAA44E" w:tentative="1">
      <w:start w:val="1"/>
      <w:numFmt w:val="bullet"/>
      <w:lvlText w:val=""/>
      <w:lvlJc w:val="left"/>
      <w:pPr>
        <w:ind w:left="4680" w:hanging="360"/>
      </w:pPr>
      <w:rPr>
        <w:rFonts w:ascii="Wingdings" w:hAnsi="Wingdings" w:hint="default"/>
      </w:rPr>
    </w:lvl>
    <w:lvl w:ilvl="6" w:tplc="F2880468" w:tentative="1">
      <w:start w:val="1"/>
      <w:numFmt w:val="bullet"/>
      <w:lvlText w:val=""/>
      <w:lvlJc w:val="left"/>
      <w:pPr>
        <w:ind w:left="5400" w:hanging="360"/>
      </w:pPr>
      <w:rPr>
        <w:rFonts w:ascii="Symbol" w:hAnsi="Symbol" w:hint="default"/>
      </w:rPr>
    </w:lvl>
    <w:lvl w:ilvl="7" w:tplc="7CBA905C" w:tentative="1">
      <w:start w:val="1"/>
      <w:numFmt w:val="bullet"/>
      <w:lvlText w:val="o"/>
      <w:lvlJc w:val="left"/>
      <w:pPr>
        <w:ind w:left="6120" w:hanging="360"/>
      </w:pPr>
      <w:rPr>
        <w:rFonts w:ascii="Courier New" w:hAnsi="Courier New" w:cs="Courier New" w:hint="default"/>
      </w:rPr>
    </w:lvl>
    <w:lvl w:ilvl="8" w:tplc="8E8867B4" w:tentative="1">
      <w:start w:val="1"/>
      <w:numFmt w:val="bullet"/>
      <w:lvlText w:val=""/>
      <w:lvlJc w:val="left"/>
      <w:pPr>
        <w:ind w:left="6840" w:hanging="360"/>
      </w:pPr>
      <w:rPr>
        <w:rFonts w:ascii="Wingdings" w:hAnsi="Wingdings" w:hint="default"/>
      </w:rPr>
    </w:lvl>
  </w:abstractNum>
  <w:abstractNum w:abstractNumId="9" w15:restartNumberingAfterBreak="0">
    <w:nsid w:val="51631614"/>
    <w:multiLevelType w:val="hybridMultilevel"/>
    <w:tmpl w:val="6BAE48E6"/>
    <w:lvl w:ilvl="0" w:tplc="058E5FF2">
      <w:start w:val="1"/>
      <w:numFmt w:val="lowerLetter"/>
      <w:lvlText w:val="%1."/>
      <w:lvlJc w:val="left"/>
      <w:pPr>
        <w:ind w:left="720" w:hanging="360"/>
      </w:pPr>
    </w:lvl>
    <w:lvl w:ilvl="1" w:tplc="36F6DE64" w:tentative="1">
      <w:start w:val="1"/>
      <w:numFmt w:val="lowerLetter"/>
      <w:lvlText w:val="%2."/>
      <w:lvlJc w:val="left"/>
      <w:pPr>
        <w:ind w:left="1440" w:hanging="360"/>
      </w:pPr>
    </w:lvl>
    <w:lvl w:ilvl="2" w:tplc="53EE4012" w:tentative="1">
      <w:start w:val="1"/>
      <w:numFmt w:val="lowerRoman"/>
      <w:lvlText w:val="%3."/>
      <w:lvlJc w:val="right"/>
      <w:pPr>
        <w:ind w:left="2160" w:hanging="180"/>
      </w:pPr>
    </w:lvl>
    <w:lvl w:ilvl="3" w:tplc="4044F03C" w:tentative="1">
      <w:start w:val="1"/>
      <w:numFmt w:val="decimal"/>
      <w:lvlText w:val="%4."/>
      <w:lvlJc w:val="left"/>
      <w:pPr>
        <w:ind w:left="2880" w:hanging="360"/>
      </w:pPr>
    </w:lvl>
    <w:lvl w:ilvl="4" w:tplc="BE1E3DAC" w:tentative="1">
      <w:start w:val="1"/>
      <w:numFmt w:val="lowerLetter"/>
      <w:lvlText w:val="%5."/>
      <w:lvlJc w:val="left"/>
      <w:pPr>
        <w:ind w:left="3600" w:hanging="360"/>
      </w:pPr>
    </w:lvl>
    <w:lvl w:ilvl="5" w:tplc="391A046C" w:tentative="1">
      <w:start w:val="1"/>
      <w:numFmt w:val="lowerRoman"/>
      <w:lvlText w:val="%6."/>
      <w:lvlJc w:val="right"/>
      <w:pPr>
        <w:ind w:left="4320" w:hanging="180"/>
      </w:pPr>
    </w:lvl>
    <w:lvl w:ilvl="6" w:tplc="DBFCE444" w:tentative="1">
      <w:start w:val="1"/>
      <w:numFmt w:val="decimal"/>
      <w:lvlText w:val="%7."/>
      <w:lvlJc w:val="left"/>
      <w:pPr>
        <w:ind w:left="5040" w:hanging="360"/>
      </w:pPr>
    </w:lvl>
    <w:lvl w:ilvl="7" w:tplc="9FA4C166" w:tentative="1">
      <w:start w:val="1"/>
      <w:numFmt w:val="lowerLetter"/>
      <w:lvlText w:val="%8."/>
      <w:lvlJc w:val="left"/>
      <w:pPr>
        <w:ind w:left="5760" w:hanging="360"/>
      </w:pPr>
    </w:lvl>
    <w:lvl w:ilvl="8" w:tplc="FC7A64EA" w:tentative="1">
      <w:start w:val="1"/>
      <w:numFmt w:val="lowerRoman"/>
      <w:lvlText w:val="%9."/>
      <w:lvlJc w:val="right"/>
      <w:pPr>
        <w:ind w:left="6480" w:hanging="180"/>
      </w:pPr>
    </w:lvl>
  </w:abstractNum>
  <w:abstractNum w:abstractNumId="10" w15:restartNumberingAfterBreak="0">
    <w:nsid w:val="53437598"/>
    <w:multiLevelType w:val="hybridMultilevel"/>
    <w:tmpl w:val="0F0ED9CE"/>
    <w:lvl w:ilvl="0" w:tplc="CE983C70">
      <w:start w:val="1"/>
      <w:numFmt w:val="bullet"/>
      <w:lvlText w:val=""/>
      <w:lvlJc w:val="left"/>
      <w:pPr>
        <w:ind w:left="767" w:hanging="360"/>
      </w:pPr>
      <w:rPr>
        <w:rFonts w:ascii="Symbol" w:hAnsi="Symbol" w:hint="default"/>
      </w:rPr>
    </w:lvl>
    <w:lvl w:ilvl="1" w:tplc="05FCD552" w:tentative="1">
      <w:start w:val="1"/>
      <w:numFmt w:val="bullet"/>
      <w:lvlText w:val="o"/>
      <w:lvlJc w:val="left"/>
      <w:pPr>
        <w:ind w:left="1487" w:hanging="360"/>
      </w:pPr>
      <w:rPr>
        <w:rFonts w:ascii="Courier New" w:hAnsi="Courier New" w:cs="Courier New" w:hint="default"/>
      </w:rPr>
    </w:lvl>
    <w:lvl w:ilvl="2" w:tplc="679E87D8" w:tentative="1">
      <w:start w:val="1"/>
      <w:numFmt w:val="bullet"/>
      <w:lvlText w:val=""/>
      <w:lvlJc w:val="left"/>
      <w:pPr>
        <w:ind w:left="2207" w:hanging="360"/>
      </w:pPr>
      <w:rPr>
        <w:rFonts w:ascii="Wingdings" w:hAnsi="Wingdings" w:hint="default"/>
      </w:rPr>
    </w:lvl>
    <w:lvl w:ilvl="3" w:tplc="CF66FD6E" w:tentative="1">
      <w:start w:val="1"/>
      <w:numFmt w:val="bullet"/>
      <w:lvlText w:val=""/>
      <w:lvlJc w:val="left"/>
      <w:pPr>
        <w:ind w:left="2927" w:hanging="360"/>
      </w:pPr>
      <w:rPr>
        <w:rFonts w:ascii="Symbol" w:hAnsi="Symbol" w:hint="default"/>
      </w:rPr>
    </w:lvl>
    <w:lvl w:ilvl="4" w:tplc="FB0A56F4" w:tentative="1">
      <w:start w:val="1"/>
      <w:numFmt w:val="bullet"/>
      <w:lvlText w:val="o"/>
      <w:lvlJc w:val="left"/>
      <w:pPr>
        <w:ind w:left="3647" w:hanging="360"/>
      </w:pPr>
      <w:rPr>
        <w:rFonts w:ascii="Courier New" w:hAnsi="Courier New" w:cs="Courier New" w:hint="default"/>
      </w:rPr>
    </w:lvl>
    <w:lvl w:ilvl="5" w:tplc="43626EC2" w:tentative="1">
      <w:start w:val="1"/>
      <w:numFmt w:val="bullet"/>
      <w:lvlText w:val=""/>
      <w:lvlJc w:val="left"/>
      <w:pPr>
        <w:ind w:left="4367" w:hanging="360"/>
      </w:pPr>
      <w:rPr>
        <w:rFonts w:ascii="Wingdings" w:hAnsi="Wingdings" w:hint="default"/>
      </w:rPr>
    </w:lvl>
    <w:lvl w:ilvl="6" w:tplc="61963A2E" w:tentative="1">
      <w:start w:val="1"/>
      <w:numFmt w:val="bullet"/>
      <w:lvlText w:val=""/>
      <w:lvlJc w:val="left"/>
      <w:pPr>
        <w:ind w:left="5087" w:hanging="360"/>
      </w:pPr>
      <w:rPr>
        <w:rFonts w:ascii="Symbol" w:hAnsi="Symbol" w:hint="default"/>
      </w:rPr>
    </w:lvl>
    <w:lvl w:ilvl="7" w:tplc="4FB690B2" w:tentative="1">
      <w:start w:val="1"/>
      <w:numFmt w:val="bullet"/>
      <w:lvlText w:val="o"/>
      <w:lvlJc w:val="left"/>
      <w:pPr>
        <w:ind w:left="5807" w:hanging="360"/>
      </w:pPr>
      <w:rPr>
        <w:rFonts w:ascii="Courier New" w:hAnsi="Courier New" w:cs="Courier New" w:hint="default"/>
      </w:rPr>
    </w:lvl>
    <w:lvl w:ilvl="8" w:tplc="77BA9902" w:tentative="1">
      <w:start w:val="1"/>
      <w:numFmt w:val="bullet"/>
      <w:lvlText w:val=""/>
      <w:lvlJc w:val="left"/>
      <w:pPr>
        <w:ind w:left="6527" w:hanging="360"/>
      </w:pPr>
      <w:rPr>
        <w:rFonts w:ascii="Wingdings" w:hAnsi="Wingdings" w:hint="default"/>
      </w:rPr>
    </w:lvl>
  </w:abstractNum>
  <w:abstractNum w:abstractNumId="11" w15:restartNumberingAfterBreak="0">
    <w:nsid w:val="604221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D0530F"/>
    <w:multiLevelType w:val="hybridMultilevel"/>
    <w:tmpl w:val="43D4712A"/>
    <w:lvl w:ilvl="0" w:tplc="C75472D8">
      <w:start w:val="1"/>
      <w:numFmt w:val="bullet"/>
      <w:lvlText w:val=""/>
      <w:lvlJc w:val="left"/>
      <w:pPr>
        <w:ind w:left="1080" w:hanging="360"/>
      </w:pPr>
      <w:rPr>
        <w:rFonts w:ascii="Symbol" w:hAnsi="Symbol" w:hint="default"/>
      </w:rPr>
    </w:lvl>
    <w:lvl w:ilvl="1" w:tplc="23560714" w:tentative="1">
      <w:start w:val="1"/>
      <w:numFmt w:val="bullet"/>
      <w:lvlText w:val="o"/>
      <w:lvlJc w:val="left"/>
      <w:pPr>
        <w:ind w:left="1800" w:hanging="360"/>
      </w:pPr>
      <w:rPr>
        <w:rFonts w:ascii="Courier New" w:hAnsi="Courier New" w:cs="Courier New" w:hint="default"/>
      </w:rPr>
    </w:lvl>
    <w:lvl w:ilvl="2" w:tplc="DB063684" w:tentative="1">
      <w:start w:val="1"/>
      <w:numFmt w:val="bullet"/>
      <w:lvlText w:val=""/>
      <w:lvlJc w:val="left"/>
      <w:pPr>
        <w:ind w:left="2520" w:hanging="360"/>
      </w:pPr>
      <w:rPr>
        <w:rFonts w:ascii="Wingdings" w:hAnsi="Wingdings" w:hint="default"/>
      </w:rPr>
    </w:lvl>
    <w:lvl w:ilvl="3" w:tplc="CCBC0122" w:tentative="1">
      <w:start w:val="1"/>
      <w:numFmt w:val="bullet"/>
      <w:lvlText w:val=""/>
      <w:lvlJc w:val="left"/>
      <w:pPr>
        <w:ind w:left="3240" w:hanging="360"/>
      </w:pPr>
      <w:rPr>
        <w:rFonts w:ascii="Symbol" w:hAnsi="Symbol" w:hint="default"/>
      </w:rPr>
    </w:lvl>
    <w:lvl w:ilvl="4" w:tplc="F7C86D56" w:tentative="1">
      <w:start w:val="1"/>
      <w:numFmt w:val="bullet"/>
      <w:lvlText w:val="o"/>
      <w:lvlJc w:val="left"/>
      <w:pPr>
        <w:ind w:left="3960" w:hanging="360"/>
      </w:pPr>
      <w:rPr>
        <w:rFonts w:ascii="Courier New" w:hAnsi="Courier New" w:cs="Courier New" w:hint="default"/>
      </w:rPr>
    </w:lvl>
    <w:lvl w:ilvl="5" w:tplc="D33AE106" w:tentative="1">
      <w:start w:val="1"/>
      <w:numFmt w:val="bullet"/>
      <w:lvlText w:val=""/>
      <w:lvlJc w:val="left"/>
      <w:pPr>
        <w:ind w:left="4680" w:hanging="360"/>
      </w:pPr>
      <w:rPr>
        <w:rFonts w:ascii="Wingdings" w:hAnsi="Wingdings" w:hint="default"/>
      </w:rPr>
    </w:lvl>
    <w:lvl w:ilvl="6" w:tplc="3BD60A80" w:tentative="1">
      <w:start w:val="1"/>
      <w:numFmt w:val="bullet"/>
      <w:lvlText w:val=""/>
      <w:lvlJc w:val="left"/>
      <w:pPr>
        <w:ind w:left="5400" w:hanging="360"/>
      </w:pPr>
      <w:rPr>
        <w:rFonts w:ascii="Symbol" w:hAnsi="Symbol" w:hint="default"/>
      </w:rPr>
    </w:lvl>
    <w:lvl w:ilvl="7" w:tplc="1DA48386" w:tentative="1">
      <w:start w:val="1"/>
      <w:numFmt w:val="bullet"/>
      <w:lvlText w:val="o"/>
      <w:lvlJc w:val="left"/>
      <w:pPr>
        <w:ind w:left="6120" w:hanging="360"/>
      </w:pPr>
      <w:rPr>
        <w:rFonts w:ascii="Courier New" w:hAnsi="Courier New" w:cs="Courier New" w:hint="default"/>
      </w:rPr>
    </w:lvl>
    <w:lvl w:ilvl="8" w:tplc="15DC09FC" w:tentative="1">
      <w:start w:val="1"/>
      <w:numFmt w:val="bullet"/>
      <w:lvlText w:val=""/>
      <w:lvlJc w:val="left"/>
      <w:pPr>
        <w:ind w:left="6840" w:hanging="360"/>
      </w:pPr>
      <w:rPr>
        <w:rFonts w:ascii="Wingdings" w:hAnsi="Wingdings" w:hint="default"/>
      </w:rPr>
    </w:lvl>
  </w:abstractNum>
  <w:abstractNum w:abstractNumId="13" w15:restartNumberingAfterBreak="0">
    <w:nsid w:val="616C3A1E"/>
    <w:multiLevelType w:val="multilevel"/>
    <w:tmpl w:val="7A581454"/>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2B32E82"/>
    <w:multiLevelType w:val="hybridMultilevel"/>
    <w:tmpl w:val="F82C7588"/>
    <w:lvl w:ilvl="0" w:tplc="F7869924">
      <w:start w:val="1"/>
      <w:numFmt w:val="bullet"/>
      <w:lvlText w:val=""/>
      <w:lvlJc w:val="left"/>
      <w:pPr>
        <w:ind w:left="720" w:hanging="360"/>
      </w:pPr>
      <w:rPr>
        <w:rFonts w:ascii="Symbol" w:hAnsi="Symbol" w:hint="default"/>
      </w:rPr>
    </w:lvl>
    <w:lvl w:ilvl="1" w:tplc="82906716" w:tentative="1">
      <w:start w:val="1"/>
      <w:numFmt w:val="bullet"/>
      <w:lvlText w:val="o"/>
      <w:lvlJc w:val="left"/>
      <w:pPr>
        <w:ind w:left="1440" w:hanging="360"/>
      </w:pPr>
      <w:rPr>
        <w:rFonts w:ascii="Courier New" w:hAnsi="Courier New" w:cs="Courier New" w:hint="default"/>
      </w:rPr>
    </w:lvl>
    <w:lvl w:ilvl="2" w:tplc="152EF682" w:tentative="1">
      <w:start w:val="1"/>
      <w:numFmt w:val="bullet"/>
      <w:lvlText w:val=""/>
      <w:lvlJc w:val="left"/>
      <w:pPr>
        <w:ind w:left="2160" w:hanging="360"/>
      </w:pPr>
      <w:rPr>
        <w:rFonts w:ascii="Wingdings" w:hAnsi="Wingdings" w:hint="default"/>
      </w:rPr>
    </w:lvl>
    <w:lvl w:ilvl="3" w:tplc="928A585C" w:tentative="1">
      <w:start w:val="1"/>
      <w:numFmt w:val="bullet"/>
      <w:lvlText w:val=""/>
      <w:lvlJc w:val="left"/>
      <w:pPr>
        <w:ind w:left="2880" w:hanging="360"/>
      </w:pPr>
      <w:rPr>
        <w:rFonts w:ascii="Symbol" w:hAnsi="Symbol" w:hint="default"/>
      </w:rPr>
    </w:lvl>
    <w:lvl w:ilvl="4" w:tplc="1504AC50" w:tentative="1">
      <w:start w:val="1"/>
      <w:numFmt w:val="bullet"/>
      <w:lvlText w:val="o"/>
      <w:lvlJc w:val="left"/>
      <w:pPr>
        <w:ind w:left="3600" w:hanging="360"/>
      </w:pPr>
      <w:rPr>
        <w:rFonts w:ascii="Courier New" w:hAnsi="Courier New" w:cs="Courier New" w:hint="default"/>
      </w:rPr>
    </w:lvl>
    <w:lvl w:ilvl="5" w:tplc="FCBC4CBA" w:tentative="1">
      <w:start w:val="1"/>
      <w:numFmt w:val="bullet"/>
      <w:lvlText w:val=""/>
      <w:lvlJc w:val="left"/>
      <w:pPr>
        <w:ind w:left="4320" w:hanging="360"/>
      </w:pPr>
      <w:rPr>
        <w:rFonts w:ascii="Wingdings" w:hAnsi="Wingdings" w:hint="default"/>
      </w:rPr>
    </w:lvl>
    <w:lvl w:ilvl="6" w:tplc="0E60B76E" w:tentative="1">
      <w:start w:val="1"/>
      <w:numFmt w:val="bullet"/>
      <w:lvlText w:val=""/>
      <w:lvlJc w:val="left"/>
      <w:pPr>
        <w:ind w:left="5040" w:hanging="360"/>
      </w:pPr>
      <w:rPr>
        <w:rFonts w:ascii="Symbol" w:hAnsi="Symbol" w:hint="default"/>
      </w:rPr>
    </w:lvl>
    <w:lvl w:ilvl="7" w:tplc="A112A6F0" w:tentative="1">
      <w:start w:val="1"/>
      <w:numFmt w:val="bullet"/>
      <w:lvlText w:val="o"/>
      <w:lvlJc w:val="left"/>
      <w:pPr>
        <w:ind w:left="5760" w:hanging="360"/>
      </w:pPr>
      <w:rPr>
        <w:rFonts w:ascii="Courier New" w:hAnsi="Courier New" w:cs="Courier New" w:hint="default"/>
      </w:rPr>
    </w:lvl>
    <w:lvl w:ilvl="8" w:tplc="E20A4738" w:tentative="1">
      <w:start w:val="1"/>
      <w:numFmt w:val="bullet"/>
      <w:lvlText w:val=""/>
      <w:lvlJc w:val="left"/>
      <w:pPr>
        <w:ind w:left="6480" w:hanging="360"/>
      </w:pPr>
      <w:rPr>
        <w:rFonts w:ascii="Wingdings" w:hAnsi="Wingdings" w:hint="default"/>
      </w:rPr>
    </w:lvl>
  </w:abstractNum>
  <w:abstractNum w:abstractNumId="15" w15:restartNumberingAfterBreak="0">
    <w:nsid w:val="692F02C0"/>
    <w:multiLevelType w:val="hybridMultilevel"/>
    <w:tmpl w:val="4BD81208"/>
    <w:lvl w:ilvl="0" w:tplc="A99E8386">
      <w:start w:val="1"/>
      <w:numFmt w:val="bullet"/>
      <w:lvlText w:val=""/>
      <w:lvlJc w:val="left"/>
      <w:pPr>
        <w:ind w:left="720" w:hanging="360"/>
      </w:pPr>
      <w:rPr>
        <w:rFonts w:ascii="Symbol" w:hAnsi="Symbol" w:hint="default"/>
      </w:rPr>
    </w:lvl>
    <w:lvl w:ilvl="1" w:tplc="53AE990C" w:tentative="1">
      <w:start w:val="1"/>
      <w:numFmt w:val="bullet"/>
      <w:lvlText w:val="o"/>
      <w:lvlJc w:val="left"/>
      <w:pPr>
        <w:ind w:left="1440" w:hanging="360"/>
      </w:pPr>
      <w:rPr>
        <w:rFonts w:ascii="Courier New" w:hAnsi="Courier New" w:cs="Courier New" w:hint="default"/>
      </w:rPr>
    </w:lvl>
    <w:lvl w:ilvl="2" w:tplc="DD525506" w:tentative="1">
      <w:start w:val="1"/>
      <w:numFmt w:val="bullet"/>
      <w:lvlText w:val=""/>
      <w:lvlJc w:val="left"/>
      <w:pPr>
        <w:ind w:left="2160" w:hanging="360"/>
      </w:pPr>
      <w:rPr>
        <w:rFonts w:ascii="Wingdings" w:hAnsi="Wingdings" w:hint="default"/>
      </w:rPr>
    </w:lvl>
    <w:lvl w:ilvl="3" w:tplc="3F48228E" w:tentative="1">
      <w:start w:val="1"/>
      <w:numFmt w:val="bullet"/>
      <w:lvlText w:val=""/>
      <w:lvlJc w:val="left"/>
      <w:pPr>
        <w:ind w:left="2880" w:hanging="360"/>
      </w:pPr>
      <w:rPr>
        <w:rFonts w:ascii="Symbol" w:hAnsi="Symbol" w:hint="default"/>
      </w:rPr>
    </w:lvl>
    <w:lvl w:ilvl="4" w:tplc="22E87D2C" w:tentative="1">
      <w:start w:val="1"/>
      <w:numFmt w:val="bullet"/>
      <w:lvlText w:val="o"/>
      <w:lvlJc w:val="left"/>
      <w:pPr>
        <w:ind w:left="3600" w:hanging="360"/>
      </w:pPr>
      <w:rPr>
        <w:rFonts w:ascii="Courier New" w:hAnsi="Courier New" w:cs="Courier New" w:hint="default"/>
      </w:rPr>
    </w:lvl>
    <w:lvl w:ilvl="5" w:tplc="623AAEE0" w:tentative="1">
      <w:start w:val="1"/>
      <w:numFmt w:val="bullet"/>
      <w:lvlText w:val=""/>
      <w:lvlJc w:val="left"/>
      <w:pPr>
        <w:ind w:left="4320" w:hanging="360"/>
      </w:pPr>
      <w:rPr>
        <w:rFonts w:ascii="Wingdings" w:hAnsi="Wingdings" w:hint="default"/>
      </w:rPr>
    </w:lvl>
    <w:lvl w:ilvl="6" w:tplc="54D2681E" w:tentative="1">
      <w:start w:val="1"/>
      <w:numFmt w:val="bullet"/>
      <w:lvlText w:val=""/>
      <w:lvlJc w:val="left"/>
      <w:pPr>
        <w:ind w:left="5040" w:hanging="360"/>
      </w:pPr>
      <w:rPr>
        <w:rFonts w:ascii="Symbol" w:hAnsi="Symbol" w:hint="default"/>
      </w:rPr>
    </w:lvl>
    <w:lvl w:ilvl="7" w:tplc="CBC00B22" w:tentative="1">
      <w:start w:val="1"/>
      <w:numFmt w:val="bullet"/>
      <w:lvlText w:val="o"/>
      <w:lvlJc w:val="left"/>
      <w:pPr>
        <w:ind w:left="5760" w:hanging="360"/>
      </w:pPr>
      <w:rPr>
        <w:rFonts w:ascii="Courier New" w:hAnsi="Courier New" w:cs="Courier New" w:hint="default"/>
      </w:rPr>
    </w:lvl>
    <w:lvl w:ilvl="8" w:tplc="88D6DBE2" w:tentative="1">
      <w:start w:val="1"/>
      <w:numFmt w:val="bullet"/>
      <w:lvlText w:val=""/>
      <w:lvlJc w:val="left"/>
      <w:pPr>
        <w:ind w:left="6480" w:hanging="360"/>
      </w:pPr>
      <w:rPr>
        <w:rFonts w:ascii="Wingdings" w:hAnsi="Wingdings" w:hint="default"/>
      </w:rPr>
    </w:lvl>
  </w:abstractNum>
  <w:abstractNum w:abstractNumId="16" w15:restartNumberingAfterBreak="0">
    <w:nsid w:val="6C042D36"/>
    <w:multiLevelType w:val="hybridMultilevel"/>
    <w:tmpl w:val="6088BC70"/>
    <w:lvl w:ilvl="0" w:tplc="F3047546">
      <w:start w:val="1"/>
      <w:numFmt w:val="bullet"/>
      <w:lvlText w:val=""/>
      <w:lvlJc w:val="left"/>
      <w:pPr>
        <w:ind w:left="720" w:hanging="360"/>
      </w:pPr>
      <w:rPr>
        <w:rFonts w:ascii="Symbol" w:hAnsi="Symbol" w:hint="default"/>
      </w:rPr>
    </w:lvl>
    <w:lvl w:ilvl="1" w:tplc="9DB6E764" w:tentative="1">
      <w:start w:val="1"/>
      <w:numFmt w:val="bullet"/>
      <w:lvlText w:val="o"/>
      <w:lvlJc w:val="left"/>
      <w:pPr>
        <w:ind w:left="1440" w:hanging="360"/>
      </w:pPr>
      <w:rPr>
        <w:rFonts w:ascii="Courier New" w:hAnsi="Courier New" w:cs="Courier New" w:hint="default"/>
      </w:rPr>
    </w:lvl>
    <w:lvl w:ilvl="2" w:tplc="A9C67E8A" w:tentative="1">
      <w:start w:val="1"/>
      <w:numFmt w:val="bullet"/>
      <w:lvlText w:val=""/>
      <w:lvlJc w:val="left"/>
      <w:pPr>
        <w:ind w:left="2160" w:hanging="360"/>
      </w:pPr>
      <w:rPr>
        <w:rFonts w:ascii="Wingdings" w:hAnsi="Wingdings" w:hint="default"/>
      </w:rPr>
    </w:lvl>
    <w:lvl w:ilvl="3" w:tplc="EA4053C2" w:tentative="1">
      <w:start w:val="1"/>
      <w:numFmt w:val="bullet"/>
      <w:lvlText w:val=""/>
      <w:lvlJc w:val="left"/>
      <w:pPr>
        <w:ind w:left="2880" w:hanging="360"/>
      </w:pPr>
      <w:rPr>
        <w:rFonts w:ascii="Symbol" w:hAnsi="Symbol" w:hint="default"/>
      </w:rPr>
    </w:lvl>
    <w:lvl w:ilvl="4" w:tplc="CBEA48A6" w:tentative="1">
      <w:start w:val="1"/>
      <w:numFmt w:val="bullet"/>
      <w:lvlText w:val="o"/>
      <w:lvlJc w:val="left"/>
      <w:pPr>
        <w:ind w:left="3600" w:hanging="360"/>
      </w:pPr>
      <w:rPr>
        <w:rFonts w:ascii="Courier New" w:hAnsi="Courier New" w:cs="Courier New" w:hint="default"/>
      </w:rPr>
    </w:lvl>
    <w:lvl w:ilvl="5" w:tplc="6AB2ACD4" w:tentative="1">
      <w:start w:val="1"/>
      <w:numFmt w:val="bullet"/>
      <w:lvlText w:val=""/>
      <w:lvlJc w:val="left"/>
      <w:pPr>
        <w:ind w:left="4320" w:hanging="360"/>
      </w:pPr>
      <w:rPr>
        <w:rFonts w:ascii="Wingdings" w:hAnsi="Wingdings" w:hint="default"/>
      </w:rPr>
    </w:lvl>
    <w:lvl w:ilvl="6" w:tplc="C986C6EE" w:tentative="1">
      <w:start w:val="1"/>
      <w:numFmt w:val="bullet"/>
      <w:lvlText w:val=""/>
      <w:lvlJc w:val="left"/>
      <w:pPr>
        <w:ind w:left="5040" w:hanging="360"/>
      </w:pPr>
      <w:rPr>
        <w:rFonts w:ascii="Symbol" w:hAnsi="Symbol" w:hint="default"/>
      </w:rPr>
    </w:lvl>
    <w:lvl w:ilvl="7" w:tplc="4BE873F6" w:tentative="1">
      <w:start w:val="1"/>
      <w:numFmt w:val="bullet"/>
      <w:lvlText w:val="o"/>
      <w:lvlJc w:val="left"/>
      <w:pPr>
        <w:ind w:left="5760" w:hanging="360"/>
      </w:pPr>
      <w:rPr>
        <w:rFonts w:ascii="Courier New" w:hAnsi="Courier New" w:cs="Courier New" w:hint="default"/>
      </w:rPr>
    </w:lvl>
    <w:lvl w:ilvl="8" w:tplc="0E58BA0C" w:tentative="1">
      <w:start w:val="1"/>
      <w:numFmt w:val="bullet"/>
      <w:lvlText w:val=""/>
      <w:lvlJc w:val="left"/>
      <w:pPr>
        <w:ind w:left="6480" w:hanging="360"/>
      </w:pPr>
      <w:rPr>
        <w:rFonts w:ascii="Wingdings" w:hAnsi="Wingdings" w:hint="default"/>
      </w:rPr>
    </w:lvl>
  </w:abstractNum>
  <w:abstractNum w:abstractNumId="17" w15:restartNumberingAfterBreak="0">
    <w:nsid w:val="6C8F77BF"/>
    <w:multiLevelType w:val="hybridMultilevel"/>
    <w:tmpl w:val="52F86CA8"/>
    <w:lvl w:ilvl="0" w:tplc="980A5DCC">
      <w:start w:val="1"/>
      <w:numFmt w:val="bullet"/>
      <w:lvlText w:val=""/>
      <w:lvlJc w:val="left"/>
      <w:pPr>
        <w:ind w:left="720" w:hanging="360"/>
      </w:pPr>
      <w:rPr>
        <w:rFonts w:ascii="Symbol" w:hAnsi="Symbol" w:hint="default"/>
      </w:rPr>
    </w:lvl>
    <w:lvl w:ilvl="1" w:tplc="CFAEFB52" w:tentative="1">
      <w:start w:val="1"/>
      <w:numFmt w:val="bullet"/>
      <w:lvlText w:val="o"/>
      <w:lvlJc w:val="left"/>
      <w:pPr>
        <w:ind w:left="1440" w:hanging="360"/>
      </w:pPr>
      <w:rPr>
        <w:rFonts w:ascii="Courier New" w:hAnsi="Courier New" w:cs="Courier New" w:hint="default"/>
      </w:rPr>
    </w:lvl>
    <w:lvl w:ilvl="2" w:tplc="44444A80" w:tentative="1">
      <w:start w:val="1"/>
      <w:numFmt w:val="bullet"/>
      <w:lvlText w:val=""/>
      <w:lvlJc w:val="left"/>
      <w:pPr>
        <w:ind w:left="2160" w:hanging="360"/>
      </w:pPr>
      <w:rPr>
        <w:rFonts w:ascii="Wingdings" w:hAnsi="Wingdings" w:hint="default"/>
      </w:rPr>
    </w:lvl>
    <w:lvl w:ilvl="3" w:tplc="6DB417A6" w:tentative="1">
      <w:start w:val="1"/>
      <w:numFmt w:val="bullet"/>
      <w:lvlText w:val=""/>
      <w:lvlJc w:val="left"/>
      <w:pPr>
        <w:ind w:left="2880" w:hanging="360"/>
      </w:pPr>
      <w:rPr>
        <w:rFonts w:ascii="Symbol" w:hAnsi="Symbol" w:hint="default"/>
      </w:rPr>
    </w:lvl>
    <w:lvl w:ilvl="4" w:tplc="8C4CE6BC" w:tentative="1">
      <w:start w:val="1"/>
      <w:numFmt w:val="bullet"/>
      <w:lvlText w:val="o"/>
      <w:lvlJc w:val="left"/>
      <w:pPr>
        <w:ind w:left="3600" w:hanging="360"/>
      </w:pPr>
      <w:rPr>
        <w:rFonts w:ascii="Courier New" w:hAnsi="Courier New" w:cs="Courier New" w:hint="default"/>
      </w:rPr>
    </w:lvl>
    <w:lvl w:ilvl="5" w:tplc="427035A0" w:tentative="1">
      <w:start w:val="1"/>
      <w:numFmt w:val="bullet"/>
      <w:lvlText w:val=""/>
      <w:lvlJc w:val="left"/>
      <w:pPr>
        <w:ind w:left="4320" w:hanging="360"/>
      </w:pPr>
      <w:rPr>
        <w:rFonts w:ascii="Wingdings" w:hAnsi="Wingdings" w:hint="default"/>
      </w:rPr>
    </w:lvl>
    <w:lvl w:ilvl="6" w:tplc="CCBE4FBC" w:tentative="1">
      <w:start w:val="1"/>
      <w:numFmt w:val="bullet"/>
      <w:lvlText w:val=""/>
      <w:lvlJc w:val="left"/>
      <w:pPr>
        <w:ind w:left="5040" w:hanging="360"/>
      </w:pPr>
      <w:rPr>
        <w:rFonts w:ascii="Symbol" w:hAnsi="Symbol" w:hint="default"/>
      </w:rPr>
    </w:lvl>
    <w:lvl w:ilvl="7" w:tplc="3794AF5E" w:tentative="1">
      <w:start w:val="1"/>
      <w:numFmt w:val="bullet"/>
      <w:lvlText w:val="o"/>
      <w:lvlJc w:val="left"/>
      <w:pPr>
        <w:ind w:left="5760" w:hanging="360"/>
      </w:pPr>
      <w:rPr>
        <w:rFonts w:ascii="Courier New" w:hAnsi="Courier New" w:cs="Courier New" w:hint="default"/>
      </w:rPr>
    </w:lvl>
    <w:lvl w:ilvl="8" w:tplc="4E4AC636" w:tentative="1">
      <w:start w:val="1"/>
      <w:numFmt w:val="bullet"/>
      <w:lvlText w:val=""/>
      <w:lvlJc w:val="left"/>
      <w:pPr>
        <w:ind w:left="6480" w:hanging="360"/>
      </w:pPr>
      <w:rPr>
        <w:rFonts w:ascii="Wingdings" w:hAnsi="Wingdings" w:hint="default"/>
      </w:rPr>
    </w:lvl>
  </w:abstractNum>
  <w:abstractNum w:abstractNumId="18" w15:restartNumberingAfterBreak="0">
    <w:nsid w:val="6CF072B0"/>
    <w:multiLevelType w:val="multilevel"/>
    <w:tmpl w:val="0562FBE4"/>
    <w:lvl w:ilvl="0">
      <w:start w:val="1"/>
      <w:numFmt w:val="decimal"/>
      <w:lvlText w:val="%1."/>
      <w:lvlJc w:val="left"/>
      <w:pPr>
        <w:ind w:left="720" w:hanging="360"/>
      </w:pPr>
      <w:rPr>
        <w:rFonts w:hint="default"/>
      </w:rPr>
    </w:lvl>
    <w:lvl w:ilvl="1">
      <w:start w:val="1"/>
      <w:numFmt w:val="decimal"/>
      <w:isLg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DF47938"/>
    <w:multiLevelType w:val="hybridMultilevel"/>
    <w:tmpl w:val="3614F33C"/>
    <w:lvl w:ilvl="0" w:tplc="A620A8D8">
      <w:start w:val="1"/>
      <w:numFmt w:val="bullet"/>
      <w:lvlText w:val=""/>
      <w:lvlJc w:val="left"/>
      <w:pPr>
        <w:ind w:left="1080" w:hanging="360"/>
      </w:pPr>
      <w:rPr>
        <w:rFonts w:ascii="Symbol" w:hAnsi="Symbol" w:hint="default"/>
      </w:rPr>
    </w:lvl>
    <w:lvl w:ilvl="1" w:tplc="0BD42E64" w:tentative="1">
      <w:start w:val="1"/>
      <w:numFmt w:val="bullet"/>
      <w:lvlText w:val="o"/>
      <w:lvlJc w:val="left"/>
      <w:pPr>
        <w:ind w:left="1800" w:hanging="360"/>
      </w:pPr>
      <w:rPr>
        <w:rFonts w:ascii="Courier New" w:hAnsi="Courier New" w:cs="Courier New" w:hint="default"/>
      </w:rPr>
    </w:lvl>
    <w:lvl w:ilvl="2" w:tplc="419EB7E0" w:tentative="1">
      <w:start w:val="1"/>
      <w:numFmt w:val="bullet"/>
      <w:lvlText w:val=""/>
      <w:lvlJc w:val="left"/>
      <w:pPr>
        <w:ind w:left="2520" w:hanging="360"/>
      </w:pPr>
      <w:rPr>
        <w:rFonts w:ascii="Wingdings" w:hAnsi="Wingdings" w:hint="default"/>
      </w:rPr>
    </w:lvl>
    <w:lvl w:ilvl="3" w:tplc="7E480C46" w:tentative="1">
      <w:start w:val="1"/>
      <w:numFmt w:val="bullet"/>
      <w:lvlText w:val=""/>
      <w:lvlJc w:val="left"/>
      <w:pPr>
        <w:ind w:left="3240" w:hanging="360"/>
      </w:pPr>
      <w:rPr>
        <w:rFonts w:ascii="Symbol" w:hAnsi="Symbol" w:hint="default"/>
      </w:rPr>
    </w:lvl>
    <w:lvl w:ilvl="4" w:tplc="42D40F1C" w:tentative="1">
      <w:start w:val="1"/>
      <w:numFmt w:val="bullet"/>
      <w:lvlText w:val="o"/>
      <w:lvlJc w:val="left"/>
      <w:pPr>
        <w:ind w:left="3960" w:hanging="360"/>
      </w:pPr>
      <w:rPr>
        <w:rFonts w:ascii="Courier New" w:hAnsi="Courier New" w:cs="Courier New" w:hint="default"/>
      </w:rPr>
    </w:lvl>
    <w:lvl w:ilvl="5" w:tplc="295C0892" w:tentative="1">
      <w:start w:val="1"/>
      <w:numFmt w:val="bullet"/>
      <w:lvlText w:val=""/>
      <w:lvlJc w:val="left"/>
      <w:pPr>
        <w:ind w:left="4680" w:hanging="360"/>
      </w:pPr>
      <w:rPr>
        <w:rFonts w:ascii="Wingdings" w:hAnsi="Wingdings" w:hint="default"/>
      </w:rPr>
    </w:lvl>
    <w:lvl w:ilvl="6" w:tplc="071AC866" w:tentative="1">
      <w:start w:val="1"/>
      <w:numFmt w:val="bullet"/>
      <w:lvlText w:val=""/>
      <w:lvlJc w:val="left"/>
      <w:pPr>
        <w:ind w:left="5400" w:hanging="360"/>
      </w:pPr>
      <w:rPr>
        <w:rFonts w:ascii="Symbol" w:hAnsi="Symbol" w:hint="default"/>
      </w:rPr>
    </w:lvl>
    <w:lvl w:ilvl="7" w:tplc="9566E4D2" w:tentative="1">
      <w:start w:val="1"/>
      <w:numFmt w:val="bullet"/>
      <w:lvlText w:val="o"/>
      <w:lvlJc w:val="left"/>
      <w:pPr>
        <w:ind w:left="6120" w:hanging="360"/>
      </w:pPr>
      <w:rPr>
        <w:rFonts w:ascii="Courier New" w:hAnsi="Courier New" w:cs="Courier New" w:hint="default"/>
      </w:rPr>
    </w:lvl>
    <w:lvl w:ilvl="8" w:tplc="02C2121A" w:tentative="1">
      <w:start w:val="1"/>
      <w:numFmt w:val="bullet"/>
      <w:lvlText w:val=""/>
      <w:lvlJc w:val="left"/>
      <w:pPr>
        <w:ind w:left="6840" w:hanging="360"/>
      </w:pPr>
      <w:rPr>
        <w:rFonts w:ascii="Wingdings" w:hAnsi="Wingdings" w:hint="default"/>
      </w:rPr>
    </w:lvl>
  </w:abstractNum>
  <w:abstractNum w:abstractNumId="20" w15:restartNumberingAfterBreak="0">
    <w:nsid w:val="74292689"/>
    <w:multiLevelType w:val="hybridMultilevel"/>
    <w:tmpl w:val="3B242B58"/>
    <w:lvl w:ilvl="0" w:tplc="48FEBD98">
      <w:start w:val="1"/>
      <w:numFmt w:val="bullet"/>
      <w:lvlText w:val=""/>
      <w:lvlJc w:val="left"/>
      <w:pPr>
        <w:ind w:left="720" w:hanging="360"/>
      </w:pPr>
      <w:rPr>
        <w:rFonts w:ascii="Symbol" w:hAnsi="Symbol" w:hint="default"/>
      </w:rPr>
    </w:lvl>
    <w:lvl w:ilvl="1" w:tplc="E4E6FD5C" w:tentative="1">
      <w:start w:val="1"/>
      <w:numFmt w:val="bullet"/>
      <w:lvlText w:val="o"/>
      <w:lvlJc w:val="left"/>
      <w:pPr>
        <w:ind w:left="1440" w:hanging="360"/>
      </w:pPr>
      <w:rPr>
        <w:rFonts w:ascii="Courier New" w:hAnsi="Courier New" w:cs="Courier New" w:hint="default"/>
      </w:rPr>
    </w:lvl>
    <w:lvl w:ilvl="2" w:tplc="47143FC0" w:tentative="1">
      <w:start w:val="1"/>
      <w:numFmt w:val="bullet"/>
      <w:lvlText w:val=""/>
      <w:lvlJc w:val="left"/>
      <w:pPr>
        <w:ind w:left="2160" w:hanging="360"/>
      </w:pPr>
      <w:rPr>
        <w:rFonts w:ascii="Wingdings" w:hAnsi="Wingdings" w:hint="default"/>
      </w:rPr>
    </w:lvl>
    <w:lvl w:ilvl="3" w:tplc="15C8D982" w:tentative="1">
      <w:start w:val="1"/>
      <w:numFmt w:val="bullet"/>
      <w:lvlText w:val=""/>
      <w:lvlJc w:val="left"/>
      <w:pPr>
        <w:ind w:left="2880" w:hanging="360"/>
      </w:pPr>
      <w:rPr>
        <w:rFonts w:ascii="Symbol" w:hAnsi="Symbol" w:hint="default"/>
      </w:rPr>
    </w:lvl>
    <w:lvl w:ilvl="4" w:tplc="E9B21490" w:tentative="1">
      <w:start w:val="1"/>
      <w:numFmt w:val="bullet"/>
      <w:lvlText w:val="o"/>
      <w:lvlJc w:val="left"/>
      <w:pPr>
        <w:ind w:left="3600" w:hanging="360"/>
      </w:pPr>
      <w:rPr>
        <w:rFonts w:ascii="Courier New" w:hAnsi="Courier New" w:cs="Courier New" w:hint="default"/>
      </w:rPr>
    </w:lvl>
    <w:lvl w:ilvl="5" w:tplc="3F422D28" w:tentative="1">
      <w:start w:val="1"/>
      <w:numFmt w:val="bullet"/>
      <w:lvlText w:val=""/>
      <w:lvlJc w:val="left"/>
      <w:pPr>
        <w:ind w:left="4320" w:hanging="360"/>
      </w:pPr>
      <w:rPr>
        <w:rFonts w:ascii="Wingdings" w:hAnsi="Wingdings" w:hint="default"/>
      </w:rPr>
    </w:lvl>
    <w:lvl w:ilvl="6" w:tplc="E2AC671C" w:tentative="1">
      <w:start w:val="1"/>
      <w:numFmt w:val="bullet"/>
      <w:lvlText w:val=""/>
      <w:lvlJc w:val="left"/>
      <w:pPr>
        <w:ind w:left="5040" w:hanging="360"/>
      </w:pPr>
      <w:rPr>
        <w:rFonts w:ascii="Symbol" w:hAnsi="Symbol" w:hint="default"/>
      </w:rPr>
    </w:lvl>
    <w:lvl w:ilvl="7" w:tplc="00B8F968" w:tentative="1">
      <w:start w:val="1"/>
      <w:numFmt w:val="bullet"/>
      <w:lvlText w:val="o"/>
      <w:lvlJc w:val="left"/>
      <w:pPr>
        <w:ind w:left="5760" w:hanging="360"/>
      </w:pPr>
      <w:rPr>
        <w:rFonts w:ascii="Courier New" w:hAnsi="Courier New" w:cs="Courier New" w:hint="default"/>
      </w:rPr>
    </w:lvl>
    <w:lvl w:ilvl="8" w:tplc="ACE20028" w:tentative="1">
      <w:start w:val="1"/>
      <w:numFmt w:val="bullet"/>
      <w:lvlText w:val=""/>
      <w:lvlJc w:val="left"/>
      <w:pPr>
        <w:ind w:left="6480" w:hanging="360"/>
      </w:pPr>
      <w:rPr>
        <w:rFonts w:ascii="Wingdings" w:hAnsi="Wingdings" w:hint="default"/>
      </w:rPr>
    </w:lvl>
  </w:abstractNum>
  <w:abstractNum w:abstractNumId="21" w15:restartNumberingAfterBreak="0">
    <w:nsid w:val="7BFD6C51"/>
    <w:multiLevelType w:val="multilevel"/>
    <w:tmpl w:val="C5F6F7E6"/>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713700387">
    <w:abstractNumId w:val="7"/>
  </w:num>
  <w:num w:numId="2" w16cid:durableId="1656837327">
    <w:abstractNumId w:val="0"/>
  </w:num>
  <w:num w:numId="3" w16cid:durableId="1620379019">
    <w:abstractNumId w:val="6"/>
  </w:num>
  <w:num w:numId="4" w16cid:durableId="461729097">
    <w:abstractNumId w:val="20"/>
  </w:num>
  <w:num w:numId="5" w16cid:durableId="373383903">
    <w:abstractNumId w:val="12"/>
  </w:num>
  <w:num w:numId="6" w16cid:durableId="2120374964">
    <w:abstractNumId w:val="17"/>
  </w:num>
  <w:num w:numId="7" w16cid:durableId="1232426682">
    <w:abstractNumId w:val="8"/>
  </w:num>
  <w:num w:numId="8" w16cid:durableId="140774979">
    <w:abstractNumId w:val="19"/>
  </w:num>
  <w:num w:numId="9" w16cid:durableId="1788114789">
    <w:abstractNumId w:val="16"/>
  </w:num>
  <w:num w:numId="10" w16cid:durableId="789009346">
    <w:abstractNumId w:val="3"/>
  </w:num>
  <w:num w:numId="11" w16cid:durableId="1671835347">
    <w:abstractNumId w:val="5"/>
  </w:num>
  <w:num w:numId="12" w16cid:durableId="2028558399">
    <w:abstractNumId w:val="9"/>
  </w:num>
  <w:num w:numId="13" w16cid:durableId="1065571336">
    <w:abstractNumId w:val="18"/>
  </w:num>
  <w:num w:numId="14" w16cid:durableId="1362827160">
    <w:abstractNumId w:val="11"/>
  </w:num>
  <w:num w:numId="15" w16cid:durableId="969819819">
    <w:abstractNumId w:val="21"/>
  </w:num>
  <w:num w:numId="16" w16cid:durableId="1649898470">
    <w:abstractNumId w:val="15"/>
  </w:num>
  <w:num w:numId="17" w16cid:durableId="1898971522">
    <w:abstractNumId w:val="14"/>
  </w:num>
  <w:num w:numId="18" w16cid:durableId="4214186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45685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1502028">
    <w:abstractNumId w:val="4"/>
  </w:num>
  <w:num w:numId="21" w16cid:durableId="1352300898">
    <w:abstractNumId w:val="13"/>
  </w:num>
  <w:num w:numId="22" w16cid:durableId="1082064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28251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3750666">
    <w:abstractNumId w:val="1"/>
  </w:num>
  <w:num w:numId="25" w16cid:durableId="136342317">
    <w:abstractNumId w:val="1"/>
  </w:num>
  <w:num w:numId="26" w16cid:durableId="2065717027">
    <w:abstractNumId w:val="2"/>
  </w:num>
  <w:num w:numId="27" w16cid:durableId="282884848">
    <w:abstractNumId w:val="10"/>
  </w:num>
  <w:num w:numId="28" w16cid:durableId="934050937">
    <w:abstractNumId w:val="1"/>
  </w:num>
  <w:num w:numId="29" w16cid:durableId="181155115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W0MDY1MzY0tLA0NDBR0lEKTi0uzszPAykwNDGrBQAMSvgQLgAAAA=="/>
  </w:docVars>
  <w:rsids>
    <w:rsidRoot w:val="00C7508E"/>
    <w:rsid w:val="00000423"/>
    <w:rsid w:val="00001DDC"/>
    <w:rsid w:val="00002702"/>
    <w:rsid w:val="00002CF5"/>
    <w:rsid w:val="00003D69"/>
    <w:rsid w:val="0000599C"/>
    <w:rsid w:val="0000699A"/>
    <w:rsid w:val="00006AD0"/>
    <w:rsid w:val="0000774B"/>
    <w:rsid w:val="00007E90"/>
    <w:rsid w:val="0001487C"/>
    <w:rsid w:val="00016628"/>
    <w:rsid w:val="00016A35"/>
    <w:rsid w:val="00020797"/>
    <w:rsid w:val="00020936"/>
    <w:rsid w:val="00021B9D"/>
    <w:rsid w:val="00023316"/>
    <w:rsid w:val="00024572"/>
    <w:rsid w:val="000252C1"/>
    <w:rsid w:val="000306A7"/>
    <w:rsid w:val="00034083"/>
    <w:rsid w:val="000348B6"/>
    <w:rsid w:val="00037039"/>
    <w:rsid w:val="00037F9B"/>
    <w:rsid w:val="0004191B"/>
    <w:rsid w:val="00043A85"/>
    <w:rsid w:val="00043EA5"/>
    <w:rsid w:val="000444ED"/>
    <w:rsid w:val="00044898"/>
    <w:rsid w:val="00045C51"/>
    <w:rsid w:val="0004744D"/>
    <w:rsid w:val="00051D8E"/>
    <w:rsid w:val="00052E49"/>
    <w:rsid w:val="00054ED7"/>
    <w:rsid w:val="00055168"/>
    <w:rsid w:val="000556CD"/>
    <w:rsid w:val="000569C2"/>
    <w:rsid w:val="000574BD"/>
    <w:rsid w:val="00060CCF"/>
    <w:rsid w:val="00060EDC"/>
    <w:rsid w:val="00062DA1"/>
    <w:rsid w:val="00063ADC"/>
    <w:rsid w:val="00063FB4"/>
    <w:rsid w:val="00066B81"/>
    <w:rsid w:val="00067510"/>
    <w:rsid w:val="000678CF"/>
    <w:rsid w:val="000679C1"/>
    <w:rsid w:val="00070076"/>
    <w:rsid w:val="000703EA"/>
    <w:rsid w:val="000714CC"/>
    <w:rsid w:val="00071636"/>
    <w:rsid w:val="000738C0"/>
    <w:rsid w:val="0007562E"/>
    <w:rsid w:val="00076018"/>
    <w:rsid w:val="000772F5"/>
    <w:rsid w:val="0008234C"/>
    <w:rsid w:val="000839C4"/>
    <w:rsid w:val="00085AB3"/>
    <w:rsid w:val="000901F5"/>
    <w:rsid w:val="000902BC"/>
    <w:rsid w:val="00094809"/>
    <w:rsid w:val="00095054"/>
    <w:rsid w:val="0009527E"/>
    <w:rsid w:val="000958E5"/>
    <w:rsid w:val="000A1703"/>
    <w:rsid w:val="000A1C49"/>
    <w:rsid w:val="000A27D6"/>
    <w:rsid w:val="000B14BE"/>
    <w:rsid w:val="000B2093"/>
    <w:rsid w:val="000B3651"/>
    <w:rsid w:val="000B3926"/>
    <w:rsid w:val="000B4756"/>
    <w:rsid w:val="000B481B"/>
    <w:rsid w:val="000B593F"/>
    <w:rsid w:val="000B5C82"/>
    <w:rsid w:val="000C0395"/>
    <w:rsid w:val="000C0C1F"/>
    <w:rsid w:val="000C0DE6"/>
    <w:rsid w:val="000C3862"/>
    <w:rsid w:val="000C3A36"/>
    <w:rsid w:val="000C49FA"/>
    <w:rsid w:val="000C4BE6"/>
    <w:rsid w:val="000C4C69"/>
    <w:rsid w:val="000D5EB5"/>
    <w:rsid w:val="000D6061"/>
    <w:rsid w:val="000D64CC"/>
    <w:rsid w:val="000E14A3"/>
    <w:rsid w:val="000E42D2"/>
    <w:rsid w:val="000E6051"/>
    <w:rsid w:val="000E6850"/>
    <w:rsid w:val="000F0251"/>
    <w:rsid w:val="000F0684"/>
    <w:rsid w:val="000F0A19"/>
    <w:rsid w:val="000F11C1"/>
    <w:rsid w:val="000F22B6"/>
    <w:rsid w:val="000F23FB"/>
    <w:rsid w:val="000F44C4"/>
    <w:rsid w:val="000F4A3C"/>
    <w:rsid w:val="000F6F93"/>
    <w:rsid w:val="000F7D16"/>
    <w:rsid w:val="00100006"/>
    <w:rsid w:val="00100879"/>
    <w:rsid w:val="001018E3"/>
    <w:rsid w:val="001038E4"/>
    <w:rsid w:val="001044CF"/>
    <w:rsid w:val="00106A99"/>
    <w:rsid w:val="001077CA"/>
    <w:rsid w:val="0011033C"/>
    <w:rsid w:val="00112247"/>
    <w:rsid w:val="00116301"/>
    <w:rsid w:val="00116D8A"/>
    <w:rsid w:val="00123E3F"/>
    <w:rsid w:val="00124831"/>
    <w:rsid w:val="00125504"/>
    <w:rsid w:val="00126515"/>
    <w:rsid w:val="00127D9D"/>
    <w:rsid w:val="00131C42"/>
    <w:rsid w:val="001326C1"/>
    <w:rsid w:val="001327B1"/>
    <w:rsid w:val="00135586"/>
    <w:rsid w:val="00135DB2"/>
    <w:rsid w:val="00136BDF"/>
    <w:rsid w:val="00136D29"/>
    <w:rsid w:val="001378C5"/>
    <w:rsid w:val="00140DF2"/>
    <w:rsid w:val="0014173F"/>
    <w:rsid w:val="00143BF2"/>
    <w:rsid w:val="00145613"/>
    <w:rsid w:val="0014659B"/>
    <w:rsid w:val="001471C3"/>
    <w:rsid w:val="00147FEB"/>
    <w:rsid w:val="00150C34"/>
    <w:rsid w:val="0015167A"/>
    <w:rsid w:val="00151692"/>
    <w:rsid w:val="001518B2"/>
    <w:rsid w:val="00153D21"/>
    <w:rsid w:val="00154973"/>
    <w:rsid w:val="00155C26"/>
    <w:rsid w:val="00157092"/>
    <w:rsid w:val="00157DE3"/>
    <w:rsid w:val="0016065C"/>
    <w:rsid w:val="001620B7"/>
    <w:rsid w:val="00163EB7"/>
    <w:rsid w:val="00164B67"/>
    <w:rsid w:val="001654C4"/>
    <w:rsid w:val="00165D1D"/>
    <w:rsid w:val="00166CD2"/>
    <w:rsid w:val="001671AB"/>
    <w:rsid w:val="00167780"/>
    <w:rsid w:val="0016797D"/>
    <w:rsid w:val="00167A4D"/>
    <w:rsid w:val="0017005C"/>
    <w:rsid w:val="00171537"/>
    <w:rsid w:val="001720F4"/>
    <w:rsid w:val="001752FB"/>
    <w:rsid w:val="00176022"/>
    <w:rsid w:val="00180365"/>
    <w:rsid w:val="00180CA8"/>
    <w:rsid w:val="00182616"/>
    <w:rsid w:val="00182BED"/>
    <w:rsid w:val="001846BB"/>
    <w:rsid w:val="00185419"/>
    <w:rsid w:val="00186F93"/>
    <w:rsid w:val="001904A8"/>
    <w:rsid w:val="00190E30"/>
    <w:rsid w:val="00190EF8"/>
    <w:rsid w:val="0019130B"/>
    <w:rsid w:val="0019155F"/>
    <w:rsid w:val="001915DB"/>
    <w:rsid w:val="00194EA0"/>
    <w:rsid w:val="00194F0D"/>
    <w:rsid w:val="0019741B"/>
    <w:rsid w:val="00197C7D"/>
    <w:rsid w:val="00197E3B"/>
    <w:rsid w:val="001A102E"/>
    <w:rsid w:val="001A4566"/>
    <w:rsid w:val="001B008E"/>
    <w:rsid w:val="001B0456"/>
    <w:rsid w:val="001B0B23"/>
    <w:rsid w:val="001B2274"/>
    <w:rsid w:val="001B2367"/>
    <w:rsid w:val="001B2407"/>
    <w:rsid w:val="001B26EA"/>
    <w:rsid w:val="001B2C81"/>
    <w:rsid w:val="001B4080"/>
    <w:rsid w:val="001B4CCC"/>
    <w:rsid w:val="001B5F4C"/>
    <w:rsid w:val="001B608D"/>
    <w:rsid w:val="001C09B6"/>
    <w:rsid w:val="001C1116"/>
    <w:rsid w:val="001C3EC7"/>
    <w:rsid w:val="001C46CD"/>
    <w:rsid w:val="001C567A"/>
    <w:rsid w:val="001C6DAE"/>
    <w:rsid w:val="001C7EF6"/>
    <w:rsid w:val="001D2408"/>
    <w:rsid w:val="001D3B2A"/>
    <w:rsid w:val="001D5A26"/>
    <w:rsid w:val="001D6BC3"/>
    <w:rsid w:val="001E0E77"/>
    <w:rsid w:val="001E1BC7"/>
    <w:rsid w:val="001E2D80"/>
    <w:rsid w:val="001E2E10"/>
    <w:rsid w:val="001E5FE6"/>
    <w:rsid w:val="001E75E9"/>
    <w:rsid w:val="001F0D88"/>
    <w:rsid w:val="001F3ACF"/>
    <w:rsid w:val="001F468A"/>
    <w:rsid w:val="001F46C5"/>
    <w:rsid w:val="001F4D25"/>
    <w:rsid w:val="001F58B8"/>
    <w:rsid w:val="001F5FB9"/>
    <w:rsid w:val="001F7708"/>
    <w:rsid w:val="00200856"/>
    <w:rsid w:val="002020FA"/>
    <w:rsid w:val="00202B88"/>
    <w:rsid w:val="0020416A"/>
    <w:rsid w:val="00204D45"/>
    <w:rsid w:val="00204DCF"/>
    <w:rsid w:val="00204FFB"/>
    <w:rsid w:val="00205D87"/>
    <w:rsid w:val="0020661C"/>
    <w:rsid w:val="00207A6E"/>
    <w:rsid w:val="00210D04"/>
    <w:rsid w:val="00211475"/>
    <w:rsid w:val="00211666"/>
    <w:rsid w:val="002200A3"/>
    <w:rsid w:val="00220B18"/>
    <w:rsid w:val="0022473D"/>
    <w:rsid w:val="00224848"/>
    <w:rsid w:val="0022705C"/>
    <w:rsid w:val="002278DB"/>
    <w:rsid w:val="00231762"/>
    <w:rsid w:val="00231D55"/>
    <w:rsid w:val="00232268"/>
    <w:rsid w:val="00235FDE"/>
    <w:rsid w:val="00236676"/>
    <w:rsid w:val="0024038E"/>
    <w:rsid w:val="00240492"/>
    <w:rsid w:val="0024053C"/>
    <w:rsid w:val="002422D3"/>
    <w:rsid w:val="00243C6E"/>
    <w:rsid w:val="00245F1D"/>
    <w:rsid w:val="00246805"/>
    <w:rsid w:val="00246CBF"/>
    <w:rsid w:val="00247351"/>
    <w:rsid w:val="002476A3"/>
    <w:rsid w:val="00250BCD"/>
    <w:rsid w:val="00255533"/>
    <w:rsid w:val="00256A0D"/>
    <w:rsid w:val="00256D4C"/>
    <w:rsid w:val="00260B69"/>
    <w:rsid w:val="00261962"/>
    <w:rsid w:val="00262609"/>
    <w:rsid w:val="00262FF7"/>
    <w:rsid w:val="00264446"/>
    <w:rsid w:val="00264493"/>
    <w:rsid w:val="00264653"/>
    <w:rsid w:val="00272328"/>
    <w:rsid w:val="00272812"/>
    <w:rsid w:val="00272EA3"/>
    <w:rsid w:val="002756D1"/>
    <w:rsid w:val="00280706"/>
    <w:rsid w:val="00280805"/>
    <w:rsid w:val="00282B36"/>
    <w:rsid w:val="002867B0"/>
    <w:rsid w:val="0028713B"/>
    <w:rsid w:val="00287B9A"/>
    <w:rsid w:val="00290F91"/>
    <w:rsid w:val="00291B40"/>
    <w:rsid w:val="0029224C"/>
    <w:rsid w:val="00292BDA"/>
    <w:rsid w:val="00294818"/>
    <w:rsid w:val="00294D1C"/>
    <w:rsid w:val="00296BCB"/>
    <w:rsid w:val="002977C7"/>
    <w:rsid w:val="002A6189"/>
    <w:rsid w:val="002A6DD5"/>
    <w:rsid w:val="002A77AE"/>
    <w:rsid w:val="002B3EFA"/>
    <w:rsid w:val="002B5F19"/>
    <w:rsid w:val="002C08A9"/>
    <w:rsid w:val="002C70B8"/>
    <w:rsid w:val="002C7F29"/>
    <w:rsid w:val="002D0A50"/>
    <w:rsid w:val="002D0E0B"/>
    <w:rsid w:val="002D24D3"/>
    <w:rsid w:val="002D3160"/>
    <w:rsid w:val="002D318E"/>
    <w:rsid w:val="002D36A7"/>
    <w:rsid w:val="002D383D"/>
    <w:rsid w:val="002D5D86"/>
    <w:rsid w:val="002D7CCD"/>
    <w:rsid w:val="002E147E"/>
    <w:rsid w:val="002E2890"/>
    <w:rsid w:val="002E300B"/>
    <w:rsid w:val="002E4BAC"/>
    <w:rsid w:val="002E7501"/>
    <w:rsid w:val="002F0EAE"/>
    <w:rsid w:val="002F359B"/>
    <w:rsid w:val="002F4FE4"/>
    <w:rsid w:val="002F6663"/>
    <w:rsid w:val="002F6D63"/>
    <w:rsid w:val="003009D4"/>
    <w:rsid w:val="003030C0"/>
    <w:rsid w:val="00305042"/>
    <w:rsid w:val="0030545D"/>
    <w:rsid w:val="00305AFF"/>
    <w:rsid w:val="003064E3"/>
    <w:rsid w:val="003103A9"/>
    <w:rsid w:val="00310BF4"/>
    <w:rsid w:val="00311676"/>
    <w:rsid w:val="0031192A"/>
    <w:rsid w:val="00311F49"/>
    <w:rsid w:val="00313C50"/>
    <w:rsid w:val="00314474"/>
    <w:rsid w:val="00315BE5"/>
    <w:rsid w:val="00316CED"/>
    <w:rsid w:val="0031721B"/>
    <w:rsid w:val="003177DE"/>
    <w:rsid w:val="00317B46"/>
    <w:rsid w:val="00320D47"/>
    <w:rsid w:val="00323EB5"/>
    <w:rsid w:val="003245D4"/>
    <w:rsid w:val="0032604C"/>
    <w:rsid w:val="00330561"/>
    <w:rsid w:val="00335645"/>
    <w:rsid w:val="003359C1"/>
    <w:rsid w:val="0033637A"/>
    <w:rsid w:val="00336E43"/>
    <w:rsid w:val="00337BF0"/>
    <w:rsid w:val="00341064"/>
    <w:rsid w:val="0034532A"/>
    <w:rsid w:val="003457BA"/>
    <w:rsid w:val="00351160"/>
    <w:rsid w:val="0035127A"/>
    <w:rsid w:val="00351946"/>
    <w:rsid w:val="00353488"/>
    <w:rsid w:val="003538D6"/>
    <w:rsid w:val="0035423A"/>
    <w:rsid w:val="00355FE1"/>
    <w:rsid w:val="00357A56"/>
    <w:rsid w:val="00360EFC"/>
    <w:rsid w:val="0036217B"/>
    <w:rsid w:val="003672C5"/>
    <w:rsid w:val="0036759F"/>
    <w:rsid w:val="003676B8"/>
    <w:rsid w:val="0037618C"/>
    <w:rsid w:val="00381834"/>
    <w:rsid w:val="00385B6E"/>
    <w:rsid w:val="0039111F"/>
    <w:rsid w:val="00391300"/>
    <w:rsid w:val="00391F18"/>
    <w:rsid w:val="00393784"/>
    <w:rsid w:val="00395BA6"/>
    <w:rsid w:val="003972D2"/>
    <w:rsid w:val="003A229D"/>
    <w:rsid w:val="003A3C73"/>
    <w:rsid w:val="003A4A48"/>
    <w:rsid w:val="003A5987"/>
    <w:rsid w:val="003A5BCC"/>
    <w:rsid w:val="003B0008"/>
    <w:rsid w:val="003B2C9C"/>
    <w:rsid w:val="003B5A65"/>
    <w:rsid w:val="003B78F5"/>
    <w:rsid w:val="003C0015"/>
    <w:rsid w:val="003C106F"/>
    <w:rsid w:val="003C15ED"/>
    <w:rsid w:val="003C6AB6"/>
    <w:rsid w:val="003D3683"/>
    <w:rsid w:val="003D60EA"/>
    <w:rsid w:val="003E0696"/>
    <w:rsid w:val="003E0B27"/>
    <w:rsid w:val="003E4196"/>
    <w:rsid w:val="003E6CDE"/>
    <w:rsid w:val="003E7032"/>
    <w:rsid w:val="003F024E"/>
    <w:rsid w:val="003F1AC4"/>
    <w:rsid w:val="003F1EEF"/>
    <w:rsid w:val="003F2551"/>
    <w:rsid w:val="003F4595"/>
    <w:rsid w:val="003F7295"/>
    <w:rsid w:val="00401152"/>
    <w:rsid w:val="004012F6"/>
    <w:rsid w:val="004019B3"/>
    <w:rsid w:val="00405EB4"/>
    <w:rsid w:val="00405FA2"/>
    <w:rsid w:val="00406257"/>
    <w:rsid w:val="0040669E"/>
    <w:rsid w:val="0040700D"/>
    <w:rsid w:val="0040737F"/>
    <w:rsid w:val="004101F1"/>
    <w:rsid w:val="00414E8A"/>
    <w:rsid w:val="004150A1"/>
    <w:rsid w:val="00416645"/>
    <w:rsid w:val="004166B1"/>
    <w:rsid w:val="00416982"/>
    <w:rsid w:val="00421A51"/>
    <w:rsid w:val="00421C9B"/>
    <w:rsid w:val="00422E01"/>
    <w:rsid w:val="00423AB6"/>
    <w:rsid w:val="00427380"/>
    <w:rsid w:val="00432E80"/>
    <w:rsid w:val="00435137"/>
    <w:rsid w:val="00441FB1"/>
    <w:rsid w:val="0044360B"/>
    <w:rsid w:val="004438EC"/>
    <w:rsid w:val="00444783"/>
    <w:rsid w:val="004449A0"/>
    <w:rsid w:val="00445C24"/>
    <w:rsid w:val="00445FE2"/>
    <w:rsid w:val="00446073"/>
    <w:rsid w:val="00453D62"/>
    <w:rsid w:val="00454084"/>
    <w:rsid w:val="00457AE1"/>
    <w:rsid w:val="00457BAE"/>
    <w:rsid w:val="004607F0"/>
    <w:rsid w:val="00464496"/>
    <w:rsid w:val="00465A56"/>
    <w:rsid w:val="00466E53"/>
    <w:rsid w:val="00467F6F"/>
    <w:rsid w:val="004718DB"/>
    <w:rsid w:val="00471B2B"/>
    <w:rsid w:val="00473616"/>
    <w:rsid w:val="00473D8F"/>
    <w:rsid w:val="00474781"/>
    <w:rsid w:val="004764B7"/>
    <w:rsid w:val="004765FC"/>
    <w:rsid w:val="00476B13"/>
    <w:rsid w:val="004800A1"/>
    <w:rsid w:val="004804F9"/>
    <w:rsid w:val="004816A8"/>
    <w:rsid w:val="004836AE"/>
    <w:rsid w:val="0048594B"/>
    <w:rsid w:val="0048688D"/>
    <w:rsid w:val="004869EA"/>
    <w:rsid w:val="00486EEF"/>
    <w:rsid w:val="004900F6"/>
    <w:rsid w:val="0049020B"/>
    <w:rsid w:val="00490401"/>
    <w:rsid w:val="004905AC"/>
    <w:rsid w:val="0049479B"/>
    <w:rsid w:val="00496C1D"/>
    <w:rsid w:val="00496FF0"/>
    <w:rsid w:val="004A02F8"/>
    <w:rsid w:val="004A1D5B"/>
    <w:rsid w:val="004A2397"/>
    <w:rsid w:val="004B1235"/>
    <w:rsid w:val="004B32D2"/>
    <w:rsid w:val="004B4AFB"/>
    <w:rsid w:val="004B4E13"/>
    <w:rsid w:val="004B51E4"/>
    <w:rsid w:val="004B51EE"/>
    <w:rsid w:val="004B5738"/>
    <w:rsid w:val="004B5843"/>
    <w:rsid w:val="004B6190"/>
    <w:rsid w:val="004B6722"/>
    <w:rsid w:val="004B7E0A"/>
    <w:rsid w:val="004C009F"/>
    <w:rsid w:val="004C26F4"/>
    <w:rsid w:val="004C2AD5"/>
    <w:rsid w:val="004C428F"/>
    <w:rsid w:val="004C4EA8"/>
    <w:rsid w:val="004D239A"/>
    <w:rsid w:val="004D2732"/>
    <w:rsid w:val="004E0161"/>
    <w:rsid w:val="004E136D"/>
    <w:rsid w:val="004E184F"/>
    <w:rsid w:val="004E1EE7"/>
    <w:rsid w:val="004E2250"/>
    <w:rsid w:val="004E3777"/>
    <w:rsid w:val="004E3FD1"/>
    <w:rsid w:val="004E6A83"/>
    <w:rsid w:val="004E71B9"/>
    <w:rsid w:val="004E76FF"/>
    <w:rsid w:val="004E7E90"/>
    <w:rsid w:val="004F0EF7"/>
    <w:rsid w:val="004F6AFB"/>
    <w:rsid w:val="00500008"/>
    <w:rsid w:val="00501524"/>
    <w:rsid w:val="00502DEE"/>
    <w:rsid w:val="00504455"/>
    <w:rsid w:val="0050587B"/>
    <w:rsid w:val="00506E08"/>
    <w:rsid w:val="00510C6B"/>
    <w:rsid w:val="005116AF"/>
    <w:rsid w:val="005138A8"/>
    <w:rsid w:val="00513B1D"/>
    <w:rsid w:val="00513BFD"/>
    <w:rsid w:val="00514294"/>
    <w:rsid w:val="00514B81"/>
    <w:rsid w:val="00517A39"/>
    <w:rsid w:val="00520807"/>
    <w:rsid w:val="005241D6"/>
    <w:rsid w:val="005246EB"/>
    <w:rsid w:val="005250D9"/>
    <w:rsid w:val="00525D8A"/>
    <w:rsid w:val="00525FFD"/>
    <w:rsid w:val="005273DE"/>
    <w:rsid w:val="0053003F"/>
    <w:rsid w:val="00532119"/>
    <w:rsid w:val="00532A55"/>
    <w:rsid w:val="00532D33"/>
    <w:rsid w:val="00532E84"/>
    <w:rsid w:val="0053430F"/>
    <w:rsid w:val="0053660D"/>
    <w:rsid w:val="005378D1"/>
    <w:rsid w:val="005378D9"/>
    <w:rsid w:val="005400B9"/>
    <w:rsid w:val="00540907"/>
    <w:rsid w:val="005419EA"/>
    <w:rsid w:val="00541A05"/>
    <w:rsid w:val="005420E6"/>
    <w:rsid w:val="00543708"/>
    <w:rsid w:val="00546313"/>
    <w:rsid w:val="00547DE1"/>
    <w:rsid w:val="00547F44"/>
    <w:rsid w:val="005500F7"/>
    <w:rsid w:val="00550EF4"/>
    <w:rsid w:val="00553DA9"/>
    <w:rsid w:val="00553F70"/>
    <w:rsid w:val="005550A6"/>
    <w:rsid w:val="00555628"/>
    <w:rsid w:val="00557217"/>
    <w:rsid w:val="00557C22"/>
    <w:rsid w:val="005608D2"/>
    <w:rsid w:val="00561A12"/>
    <w:rsid w:val="0056312D"/>
    <w:rsid w:val="005632DC"/>
    <w:rsid w:val="00564A14"/>
    <w:rsid w:val="005673CB"/>
    <w:rsid w:val="00567759"/>
    <w:rsid w:val="00570BA9"/>
    <w:rsid w:val="00572517"/>
    <w:rsid w:val="00572935"/>
    <w:rsid w:val="00573106"/>
    <w:rsid w:val="00573D39"/>
    <w:rsid w:val="00574DF5"/>
    <w:rsid w:val="005755CB"/>
    <w:rsid w:val="00575DD7"/>
    <w:rsid w:val="00575E8F"/>
    <w:rsid w:val="005800C7"/>
    <w:rsid w:val="005802E6"/>
    <w:rsid w:val="00580C86"/>
    <w:rsid w:val="00581859"/>
    <w:rsid w:val="00581BBE"/>
    <w:rsid w:val="005829EB"/>
    <w:rsid w:val="00582B3B"/>
    <w:rsid w:val="0058370B"/>
    <w:rsid w:val="00584030"/>
    <w:rsid w:val="00585F76"/>
    <w:rsid w:val="00587E39"/>
    <w:rsid w:val="00591644"/>
    <w:rsid w:val="00592A66"/>
    <w:rsid w:val="00592DC3"/>
    <w:rsid w:val="00594167"/>
    <w:rsid w:val="00594758"/>
    <w:rsid w:val="005A05FB"/>
    <w:rsid w:val="005A1524"/>
    <w:rsid w:val="005A1763"/>
    <w:rsid w:val="005A31F5"/>
    <w:rsid w:val="005A497D"/>
    <w:rsid w:val="005B0D2B"/>
    <w:rsid w:val="005B0FD8"/>
    <w:rsid w:val="005B1294"/>
    <w:rsid w:val="005B3142"/>
    <w:rsid w:val="005B31A5"/>
    <w:rsid w:val="005B38B5"/>
    <w:rsid w:val="005B51B1"/>
    <w:rsid w:val="005B5C90"/>
    <w:rsid w:val="005B60BE"/>
    <w:rsid w:val="005B661C"/>
    <w:rsid w:val="005B67AF"/>
    <w:rsid w:val="005C1DC8"/>
    <w:rsid w:val="005C4582"/>
    <w:rsid w:val="005C46C6"/>
    <w:rsid w:val="005C6CDD"/>
    <w:rsid w:val="005C7C33"/>
    <w:rsid w:val="005D3555"/>
    <w:rsid w:val="005D468B"/>
    <w:rsid w:val="005D69AB"/>
    <w:rsid w:val="005D6D71"/>
    <w:rsid w:val="005E0B58"/>
    <w:rsid w:val="005E14E4"/>
    <w:rsid w:val="005E1678"/>
    <w:rsid w:val="005E1997"/>
    <w:rsid w:val="005E1B53"/>
    <w:rsid w:val="005E2581"/>
    <w:rsid w:val="005E471A"/>
    <w:rsid w:val="005F0C4F"/>
    <w:rsid w:val="005F0EBF"/>
    <w:rsid w:val="005F266D"/>
    <w:rsid w:val="005F4046"/>
    <w:rsid w:val="005F5021"/>
    <w:rsid w:val="005F5EC4"/>
    <w:rsid w:val="005F7158"/>
    <w:rsid w:val="006007C6"/>
    <w:rsid w:val="00601972"/>
    <w:rsid w:val="00602A31"/>
    <w:rsid w:val="00604BC0"/>
    <w:rsid w:val="00605890"/>
    <w:rsid w:val="00605CE4"/>
    <w:rsid w:val="00605E10"/>
    <w:rsid w:val="00606A57"/>
    <w:rsid w:val="00607EE6"/>
    <w:rsid w:val="00611004"/>
    <w:rsid w:val="006111A7"/>
    <w:rsid w:val="00611D22"/>
    <w:rsid w:val="00612786"/>
    <w:rsid w:val="006128D5"/>
    <w:rsid w:val="00612CA1"/>
    <w:rsid w:val="006135F6"/>
    <w:rsid w:val="00613950"/>
    <w:rsid w:val="00613E38"/>
    <w:rsid w:val="00614CD1"/>
    <w:rsid w:val="0061572E"/>
    <w:rsid w:val="006200FA"/>
    <w:rsid w:val="006201CC"/>
    <w:rsid w:val="006207CB"/>
    <w:rsid w:val="006222FC"/>
    <w:rsid w:val="006244B6"/>
    <w:rsid w:val="0062510F"/>
    <w:rsid w:val="00625B24"/>
    <w:rsid w:val="0062618B"/>
    <w:rsid w:val="00630E7D"/>
    <w:rsid w:val="006314A1"/>
    <w:rsid w:val="0063395B"/>
    <w:rsid w:val="0063623B"/>
    <w:rsid w:val="00636766"/>
    <w:rsid w:val="00636B34"/>
    <w:rsid w:val="00637A2E"/>
    <w:rsid w:val="00637A43"/>
    <w:rsid w:val="00640D4F"/>
    <w:rsid w:val="00642062"/>
    <w:rsid w:val="006432FD"/>
    <w:rsid w:val="006444BE"/>
    <w:rsid w:val="0064455C"/>
    <w:rsid w:val="00644BD6"/>
    <w:rsid w:val="00644D8D"/>
    <w:rsid w:val="00646735"/>
    <w:rsid w:val="00647909"/>
    <w:rsid w:val="00653AA3"/>
    <w:rsid w:val="00654844"/>
    <w:rsid w:val="00654CC1"/>
    <w:rsid w:val="00654EF7"/>
    <w:rsid w:val="006572FD"/>
    <w:rsid w:val="0066244E"/>
    <w:rsid w:val="0066378C"/>
    <w:rsid w:val="00664A2E"/>
    <w:rsid w:val="00665A6A"/>
    <w:rsid w:val="00666CAF"/>
    <w:rsid w:val="00666E08"/>
    <w:rsid w:val="006671C7"/>
    <w:rsid w:val="00667BAB"/>
    <w:rsid w:val="00667F54"/>
    <w:rsid w:val="00671C65"/>
    <w:rsid w:val="0067300C"/>
    <w:rsid w:val="00673634"/>
    <w:rsid w:val="006755CB"/>
    <w:rsid w:val="006766C4"/>
    <w:rsid w:val="00676F3E"/>
    <w:rsid w:val="00677CC3"/>
    <w:rsid w:val="00681068"/>
    <w:rsid w:val="00681627"/>
    <w:rsid w:val="00682809"/>
    <w:rsid w:val="00683CA5"/>
    <w:rsid w:val="00683D65"/>
    <w:rsid w:val="00684760"/>
    <w:rsid w:val="00684A83"/>
    <w:rsid w:val="006869F8"/>
    <w:rsid w:val="00686D65"/>
    <w:rsid w:val="0069043F"/>
    <w:rsid w:val="00690921"/>
    <w:rsid w:val="00691569"/>
    <w:rsid w:val="0069192D"/>
    <w:rsid w:val="0069499B"/>
    <w:rsid w:val="00694E6F"/>
    <w:rsid w:val="00695C2E"/>
    <w:rsid w:val="00697B73"/>
    <w:rsid w:val="006A1A69"/>
    <w:rsid w:val="006A2D11"/>
    <w:rsid w:val="006A61F0"/>
    <w:rsid w:val="006A64CB"/>
    <w:rsid w:val="006A6DD6"/>
    <w:rsid w:val="006B1826"/>
    <w:rsid w:val="006B406B"/>
    <w:rsid w:val="006B6F33"/>
    <w:rsid w:val="006B7138"/>
    <w:rsid w:val="006D02F7"/>
    <w:rsid w:val="006D0671"/>
    <w:rsid w:val="006D1233"/>
    <w:rsid w:val="006D3819"/>
    <w:rsid w:val="006D3B3F"/>
    <w:rsid w:val="006D3CDE"/>
    <w:rsid w:val="006D5567"/>
    <w:rsid w:val="006E14B0"/>
    <w:rsid w:val="006E2180"/>
    <w:rsid w:val="006E3CE1"/>
    <w:rsid w:val="006E3F7A"/>
    <w:rsid w:val="006E4B79"/>
    <w:rsid w:val="006F0D80"/>
    <w:rsid w:val="006F100B"/>
    <w:rsid w:val="006F173E"/>
    <w:rsid w:val="006F2516"/>
    <w:rsid w:val="006F3CBC"/>
    <w:rsid w:val="006F4504"/>
    <w:rsid w:val="006F47E3"/>
    <w:rsid w:val="006F55F2"/>
    <w:rsid w:val="006F6DB7"/>
    <w:rsid w:val="00700D93"/>
    <w:rsid w:val="00701907"/>
    <w:rsid w:val="00701AF9"/>
    <w:rsid w:val="00701B92"/>
    <w:rsid w:val="00701FBF"/>
    <w:rsid w:val="00702051"/>
    <w:rsid w:val="00702148"/>
    <w:rsid w:val="007032EF"/>
    <w:rsid w:val="007034E8"/>
    <w:rsid w:val="007042B5"/>
    <w:rsid w:val="00705731"/>
    <w:rsid w:val="00707C8D"/>
    <w:rsid w:val="0071409A"/>
    <w:rsid w:val="0071451F"/>
    <w:rsid w:val="00715880"/>
    <w:rsid w:val="00720EEE"/>
    <w:rsid w:val="0072109E"/>
    <w:rsid w:val="00721CD2"/>
    <w:rsid w:val="00724D5D"/>
    <w:rsid w:val="0072636B"/>
    <w:rsid w:val="00732AD9"/>
    <w:rsid w:val="00733AA0"/>
    <w:rsid w:val="00733C80"/>
    <w:rsid w:val="00733E36"/>
    <w:rsid w:val="00736597"/>
    <w:rsid w:val="007370E1"/>
    <w:rsid w:val="007374DC"/>
    <w:rsid w:val="007377FB"/>
    <w:rsid w:val="0074043A"/>
    <w:rsid w:val="007437CD"/>
    <w:rsid w:val="007437E5"/>
    <w:rsid w:val="00744116"/>
    <w:rsid w:val="00744713"/>
    <w:rsid w:val="007452F1"/>
    <w:rsid w:val="0075292B"/>
    <w:rsid w:val="00753C21"/>
    <w:rsid w:val="00754C88"/>
    <w:rsid w:val="007576A6"/>
    <w:rsid w:val="00760712"/>
    <w:rsid w:val="00765D91"/>
    <w:rsid w:val="007663BE"/>
    <w:rsid w:val="007664B5"/>
    <w:rsid w:val="00767E9B"/>
    <w:rsid w:val="007708B3"/>
    <w:rsid w:val="00770ED7"/>
    <w:rsid w:val="007733D0"/>
    <w:rsid w:val="00774712"/>
    <w:rsid w:val="00775162"/>
    <w:rsid w:val="007755A5"/>
    <w:rsid w:val="00775E79"/>
    <w:rsid w:val="00777810"/>
    <w:rsid w:val="007779E7"/>
    <w:rsid w:val="00780445"/>
    <w:rsid w:val="00781AF7"/>
    <w:rsid w:val="007826B4"/>
    <w:rsid w:val="00785960"/>
    <w:rsid w:val="007863E7"/>
    <w:rsid w:val="00787790"/>
    <w:rsid w:val="007904BC"/>
    <w:rsid w:val="007910BE"/>
    <w:rsid w:val="0079216D"/>
    <w:rsid w:val="00792787"/>
    <w:rsid w:val="00794940"/>
    <w:rsid w:val="00795708"/>
    <w:rsid w:val="00795828"/>
    <w:rsid w:val="007A2576"/>
    <w:rsid w:val="007A3AEE"/>
    <w:rsid w:val="007A3D21"/>
    <w:rsid w:val="007A55B6"/>
    <w:rsid w:val="007A5F64"/>
    <w:rsid w:val="007A66F7"/>
    <w:rsid w:val="007B0975"/>
    <w:rsid w:val="007B18CB"/>
    <w:rsid w:val="007B199D"/>
    <w:rsid w:val="007B1DBD"/>
    <w:rsid w:val="007B2095"/>
    <w:rsid w:val="007B3A19"/>
    <w:rsid w:val="007B400F"/>
    <w:rsid w:val="007B6DC7"/>
    <w:rsid w:val="007C074C"/>
    <w:rsid w:val="007C0AF1"/>
    <w:rsid w:val="007C12C0"/>
    <w:rsid w:val="007C1A5C"/>
    <w:rsid w:val="007C1CB3"/>
    <w:rsid w:val="007C2AD3"/>
    <w:rsid w:val="007C3771"/>
    <w:rsid w:val="007C62E3"/>
    <w:rsid w:val="007C645D"/>
    <w:rsid w:val="007C78BA"/>
    <w:rsid w:val="007C7E67"/>
    <w:rsid w:val="007D591A"/>
    <w:rsid w:val="007D653D"/>
    <w:rsid w:val="007D68E9"/>
    <w:rsid w:val="007D73C6"/>
    <w:rsid w:val="007D752A"/>
    <w:rsid w:val="007D77E5"/>
    <w:rsid w:val="007E1E35"/>
    <w:rsid w:val="007E2168"/>
    <w:rsid w:val="007E3777"/>
    <w:rsid w:val="007E3A5C"/>
    <w:rsid w:val="007E56F7"/>
    <w:rsid w:val="007E6912"/>
    <w:rsid w:val="007E6936"/>
    <w:rsid w:val="007E6A19"/>
    <w:rsid w:val="007F0887"/>
    <w:rsid w:val="007F09BF"/>
    <w:rsid w:val="007F22F1"/>
    <w:rsid w:val="007F2966"/>
    <w:rsid w:val="007F538A"/>
    <w:rsid w:val="007F6F03"/>
    <w:rsid w:val="007F6F39"/>
    <w:rsid w:val="007F7771"/>
    <w:rsid w:val="008003CF"/>
    <w:rsid w:val="008015A3"/>
    <w:rsid w:val="0080313F"/>
    <w:rsid w:val="00806AD9"/>
    <w:rsid w:val="00810412"/>
    <w:rsid w:val="008117F9"/>
    <w:rsid w:val="00811BB3"/>
    <w:rsid w:val="008139C8"/>
    <w:rsid w:val="00813A3F"/>
    <w:rsid w:val="00813B41"/>
    <w:rsid w:val="00814D43"/>
    <w:rsid w:val="00821F76"/>
    <w:rsid w:val="00822FC5"/>
    <w:rsid w:val="00822FFB"/>
    <w:rsid w:val="00823D4A"/>
    <w:rsid w:val="00824088"/>
    <w:rsid w:val="00824FDD"/>
    <w:rsid w:val="008255C7"/>
    <w:rsid w:val="00825DF8"/>
    <w:rsid w:val="0082732C"/>
    <w:rsid w:val="00827E6D"/>
    <w:rsid w:val="00827F1B"/>
    <w:rsid w:val="008327BE"/>
    <w:rsid w:val="008354AE"/>
    <w:rsid w:val="00835AAC"/>
    <w:rsid w:val="008361CD"/>
    <w:rsid w:val="0083740D"/>
    <w:rsid w:val="008400E7"/>
    <w:rsid w:val="00840F67"/>
    <w:rsid w:val="00841ABB"/>
    <w:rsid w:val="00844AFF"/>
    <w:rsid w:val="00851811"/>
    <w:rsid w:val="00851D12"/>
    <w:rsid w:val="00852B58"/>
    <w:rsid w:val="00854F6A"/>
    <w:rsid w:val="00855BFE"/>
    <w:rsid w:val="00861298"/>
    <w:rsid w:val="00861D96"/>
    <w:rsid w:val="00866F83"/>
    <w:rsid w:val="008677EF"/>
    <w:rsid w:val="00867968"/>
    <w:rsid w:val="00867989"/>
    <w:rsid w:val="00870F29"/>
    <w:rsid w:val="00872870"/>
    <w:rsid w:val="00877ECE"/>
    <w:rsid w:val="00881413"/>
    <w:rsid w:val="008835BB"/>
    <w:rsid w:val="0088369A"/>
    <w:rsid w:val="00885616"/>
    <w:rsid w:val="00886DA8"/>
    <w:rsid w:val="00887063"/>
    <w:rsid w:val="0088754A"/>
    <w:rsid w:val="008920FC"/>
    <w:rsid w:val="00893E8A"/>
    <w:rsid w:val="00895D2B"/>
    <w:rsid w:val="00895F5C"/>
    <w:rsid w:val="00896016"/>
    <w:rsid w:val="008960A8"/>
    <w:rsid w:val="008961B7"/>
    <w:rsid w:val="008974A6"/>
    <w:rsid w:val="008A09C4"/>
    <w:rsid w:val="008A1802"/>
    <w:rsid w:val="008A263B"/>
    <w:rsid w:val="008A34BA"/>
    <w:rsid w:val="008A3836"/>
    <w:rsid w:val="008A43B8"/>
    <w:rsid w:val="008A6169"/>
    <w:rsid w:val="008A654D"/>
    <w:rsid w:val="008B01F4"/>
    <w:rsid w:val="008B0D9E"/>
    <w:rsid w:val="008B1CD5"/>
    <w:rsid w:val="008B223B"/>
    <w:rsid w:val="008B2487"/>
    <w:rsid w:val="008B2BAF"/>
    <w:rsid w:val="008C02C5"/>
    <w:rsid w:val="008C09D4"/>
    <w:rsid w:val="008C12A6"/>
    <w:rsid w:val="008C19B3"/>
    <w:rsid w:val="008C294A"/>
    <w:rsid w:val="008C38A9"/>
    <w:rsid w:val="008C43B2"/>
    <w:rsid w:val="008C5A8A"/>
    <w:rsid w:val="008C6B29"/>
    <w:rsid w:val="008C76E1"/>
    <w:rsid w:val="008D0678"/>
    <w:rsid w:val="008D158F"/>
    <w:rsid w:val="008D3F41"/>
    <w:rsid w:val="008D47BE"/>
    <w:rsid w:val="008D4F26"/>
    <w:rsid w:val="008D6FA0"/>
    <w:rsid w:val="008D7349"/>
    <w:rsid w:val="008D766C"/>
    <w:rsid w:val="008E18C9"/>
    <w:rsid w:val="008E20DE"/>
    <w:rsid w:val="008E3807"/>
    <w:rsid w:val="008E4E63"/>
    <w:rsid w:val="008E58A2"/>
    <w:rsid w:val="008E6FDD"/>
    <w:rsid w:val="008E748E"/>
    <w:rsid w:val="008F1713"/>
    <w:rsid w:val="008F47A2"/>
    <w:rsid w:val="008F5746"/>
    <w:rsid w:val="008F7723"/>
    <w:rsid w:val="009019F6"/>
    <w:rsid w:val="00905EFC"/>
    <w:rsid w:val="0090779E"/>
    <w:rsid w:val="00912631"/>
    <w:rsid w:val="00914846"/>
    <w:rsid w:val="00914B75"/>
    <w:rsid w:val="00915555"/>
    <w:rsid w:val="009226D7"/>
    <w:rsid w:val="00923F18"/>
    <w:rsid w:val="00924A85"/>
    <w:rsid w:val="00925B75"/>
    <w:rsid w:val="00925BD0"/>
    <w:rsid w:val="00931696"/>
    <w:rsid w:val="009316FD"/>
    <w:rsid w:val="00932C3B"/>
    <w:rsid w:val="009360DC"/>
    <w:rsid w:val="00940592"/>
    <w:rsid w:val="00942FC2"/>
    <w:rsid w:val="00954E7E"/>
    <w:rsid w:val="0095666A"/>
    <w:rsid w:val="00956C03"/>
    <w:rsid w:val="0096081F"/>
    <w:rsid w:val="00963C9E"/>
    <w:rsid w:val="0096400B"/>
    <w:rsid w:val="009640AB"/>
    <w:rsid w:val="00966295"/>
    <w:rsid w:val="00972292"/>
    <w:rsid w:val="00975637"/>
    <w:rsid w:val="009756A6"/>
    <w:rsid w:val="00976141"/>
    <w:rsid w:val="00976B9D"/>
    <w:rsid w:val="0097704D"/>
    <w:rsid w:val="00977264"/>
    <w:rsid w:val="00977A67"/>
    <w:rsid w:val="00977CE2"/>
    <w:rsid w:val="00982469"/>
    <w:rsid w:val="00984107"/>
    <w:rsid w:val="00984BDD"/>
    <w:rsid w:val="00984E28"/>
    <w:rsid w:val="009863FC"/>
    <w:rsid w:val="0098653A"/>
    <w:rsid w:val="0098734C"/>
    <w:rsid w:val="00987CCF"/>
    <w:rsid w:val="00990416"/>
    <w:rsid w:val="00990BB5"/>
    <w:rsid w:val="0099200B"/>
    <w:rsid w:val="00993225"/>
    <w:rsid w:val="00993B8B"/>
    <w:rsid w:val="00995FF2"/>
    <w:rsid w:val="009A1DC7"/>
    <w:rsid w:val="009A2D90"/>
    <w:rsid w:val="009A34F2"/>
    <w:rsid w:val="009A5B7D"/>
    <w:rsid w:val="009B03D3"/>
    <w:rsid w:val="009B1CDE"/>
    <w:rsid w:val="009B2B32"/>
    <w:rsid w:val="009B2FBE"/>
    <w:rsid w:val="009B46F6"/>
    <w:rsid w:val="009B478E"/>
    <w:rsid w:val="009B5033"/>
    <w:rsid w:val="009B63C0"/>
    <w:rsid w:val="009C0092"/>
    <w:rsid w:val="009C0B28"/>
    <w:rsid w:val="009C1508"/>
    <w:rsid w:val="009C28EC"/>
    <w:rsid w:val="009C463F"/>
    <w:rsid w:val="009C6E13"/>
    <w:rsid w:val="009C7818"/>
    <w:rsid w:val="009D0352"/>
    <w:rsid w:val="009D1D59"/>
    <w:rsid w:val="009D49F0"/>
    <w:rsid w:val="009D6B19"/>
    <w:rsid w:val="009E248D"/>
    <w:rsid w:val="009E24CE"/>
    <w:rsid w:val="009E351A"/>
    <w:rsid w:val="009E53A3"/>
    <w:rsid w:val="009E5D2F"/>
    <w:rsid w:val="009E65DE"/>
    <w:rsid w:val="009E709A"/>
    <w:rsid w:val="009E7FB1"/>
    <w:rsid w:val="009F00C9"/>
    <w:rsid w:val="009F053A"/>
    <w:rsid w:val="009F25F6"/>
    <w:rsid w:val="009F52FA"/>
    <w:rsid w:val="009F5A3E"/>
    <w:rsid w:val="00A03DD4"/>
    <w:rsid w:val="00A04AB3"/>
    <w:rsid w:val="00A04F24"/>
    <w:rsid w:val="00A0527A"/>
    <w:rsid w:val="00A06176"/>
    <w:rsid w:val="00A12C8E"/>
    <w:rsid w:val="00A131A6"/>
    <w:rsid w:val="00A157FD"/>
    <w:rsid w:val="00A15BF6"/>
    <w:rsid w:val="00A16392"/>
    <w:rsid w:val="00A22151"/>
    <w:rsid w:val="00A2437F"/>
    <w:rsid w:val="00A24492"/>
    <w:rsid w:val="00A2586B"/>
    <w:rsid w:val="00A264D0"/>
    <w:rsid w:val="00A27B70"/>
    <w:rsid w:val="00A300C1"/>
    <w:rsid w:val="00A3027C"/>
    <w:rsid w:val="00A308D5"/>
    <w:rsid w:val="00A30C35"/>
    <w:rsid w:val="00A316C1"/>
    <w:rsid w:val="00A32EA7"/>
    <w:rsid w:val="00A41E09"/>
    <w:rsid w:val="00A4239C"/>
    <w:rsid w:val="00A44C23"/>
    <w:rsid w:val="00A4621B"/>
    <w:rsid w:val="00A47AEA"/>
    <w:rsid w:val="00A47D93"/>
    <w:rsid w:val="00A52BDB"/>
    <w:rsid w:val="00A53AD0"/>
    <w:rsid w:val="00A56573"/>
    <w:rsid w:val="00A57669"/>
    <w:rsid w:val="00A57D68"/>
    <w:rsid w:val="00A6156F"/>
    <w:rsid w:val="00A62E9F"/>
    <w:rsid w:val="00A63854"/>
    <w:rsid w:val="00A64288"/>
    <w:rsid w:val="00A6520C"/>
    <w:rsid w:val="00A65A21"/>
    <w:rsid w:val="00A65D19"/>
    <w:rsid w:val="00A667A5"/>
    <w:rsid w:val="00A7086B"/>
    <w:rsid w:val="00A71090"/>
    <w:rsid w:val="00A74F7D"/>
    <w:rsid w:val="00A754BF"/>
    <w:rsid w:val="00A76430"/>
    <w:rsid w:val="00A77EC8"/>
    <w:rsid w:val="00A814D3"/>
    <w:rsid w:val="00A833D6"/>
    <w:rsid w:val="00A84029"/>
    <w:rsid w:val="00A84D75"/>
    <w:rsid w:val="00A87256"/>
    <w:rsid w:val="00A90649"/>
    <w:rsid w:val="00A930EE"/>
    <w:rsid w:val="00A94D92"/>
    <w:rsid w:val="00A95BD5"/>
    <w:rsid w:val="00A96D49"/>
    <w:rsid w:val="00AA13D5"/>
    <w:rsid w:val="00AA2659"/>
    <w:rsid w:val="00AA38C1"/>
    <w:rsid w:val="00AA3A4D"/>
    <w:rsid w:val="00AA3DD9"/>
    <w:rsid w:val="00AA3F0C"/>
    <w:rsid w:val="00AA4A3D"/>
    <w:rsid w:val="00AA646B"/>
    <w:rsid w:val="00AA69F6"/>
    <w:rsid w:val="00AA7142"/>
    <w:rsid w:val="00AB3DD9"/>
    <w:rsid w:val="00AB519A"/>
    <w:rsid w:val="00AB6F68"/>
    <w:rsid w:val="00AC01DD"/>
    <w:rsid w:val="00AC0535"/>
    <w:rsid w:val="00AC351A"/>
    <w:rsid w:val="00AC38EF"/>
    <w:rsid w:val="00AC60CC"/>
    <w:rsid w:val="00AC784E"/>
    <w:rsid w:val="00AC7C35"/>
    <w:rsid w:val="00AD1EC2"/>
    <w:rsid w:val="00AD2726"/>
    <w:rsid w:val="00AD3059"/>
    <w:rsid w:val="00AD4207"/>
    <w:rsid w:val="00AD4231"/>
    <w:rsid w:val="00AD4B56"/>
    <w:rsid w:val="00AD5307"/>
    <w:rsid w:val="00AD5E76"/>
    <w:rsid w:val="00AE18B7"/>
    <w:rsid w:val="00AE25B3"/>
    <w:rsid w:val="00AE3814"/>
    <w:rsid w:val="00AE67DF"/>
    <w:rsid w:val="00AE6D28"/>
    <w:rsid w:val="00AE71CD"/>
    <w:rsid w:val="00AF2B94"/>
    <w:rsid w:val="00AF3D84"/>
    <w:rsid w:val="00AF47D7"/>
    <w:rsid w:val="00AF4843"/>
    <w:rsid w:val="00AF5860"/>
    <w:rsid w:val="00B007B5"/>
    <w:rsid w:val="00B02AC9"/>
    <w:rsid w:val="00B06EEB"/>
    <w:rsid w:val="00B11252"/>
    <w:rsid w:val="00B135C9"/>
    <w:rsid w:val="00B1411B"/>
    <w:rsid w:val="00B25521"/>
    <w:rsid w:val="00B304AB"/>
    <w:rsid w:val="00B31C10"/>
    <w:rsid w:val="00B358FF"/>
    <w:rsid w:val="00B37CC7"/>
    <w:rsid w:val="00B40B83"/>
    <w:rsid w:val="00B421E6"/>
    <w:rsid w:val="00B44897"/>
    <w:rsid w:val="00B44F5F"/>
    <w:rsid w:val="00B45B0D"/>
    <w:rsid w:val="00B512F0"/>
    <w:rsid w:val="00B55674"/>
    <w:rsid w:val="00B619D7"/>
    <w:rsid w:val="00B670EF"/>
    <w:rsid w:val="00B6798D"/>
    <w:rsid w:val="00B71B52"/>
    <w:rsid w:val="00B753AB"/>
    <w:rsid w:val="00B77721"/>
    <w:rsid w:val="00B777D9"/>
    <w:rsid w:val="00B8275A"/>
    <w:rsid w:val="00B827B3"/>
    <w:rsid w:val="00B83EFA"/>
    <w:rsid w:val="00B8440B"/>
    <w:rsid w:val="00B87F2F"/>
    <w:rsid w:val="00B918D0"/>
    <w:rsid w:val="00B934DF"/>
    <w:rsid w:val="00B940F7"/>
    <w:rsid w:val="00B941FB"/>
    <w:rsid w:val="00BA21FD"/>
    <w:rsid w:val="00BA386C"/>
    <w:rsid w:val="00BA447E"/>
    <w:rsid w:val="00BA4B22"/>
    <w:rsid w:val="00BA4C08"/>
    <w:rsid w:val="00BA5E7F"/>
    <w:rsid w:val="00BA61AB"/>
    <w:rsid w:val="00BA66E0"/>
    <w:rsid w:val="00BA7033"/>
    <w:rsid w:val="00BA7DB9"/>
    <w:rsid w:val="00BB043F"/>
    <w:rsid w:val="00BB09A0"/>
    <w:rsid w:val="00BB3A1F"/>
    <w:rsid w:val="00BB520D"/>
    <w:rsid w:val="00BB5F85"/>
    <w:rsid w:val="00BB6A15"/>
    <w:rsid w:val="00BB6B94"/>
    <w:rsid w:val="00BC125E"/>
    <w:rsid w:val="00BC1D38"/>
    <w:rsid w:val="00BC50DC"/>
    <w:rsid w:val="00BC5A50"/>
    <w:rsid w:val="00BC7408"/>
    <w:rsid w:val="00BD0631"/>
    <w:rsid w:val="00BD0A7B"/>
    <w:rsid w:val="00BD2EEF"/>
    <w:rsid w:val="00BD494D"/>
    <w:rsid w:val="00BD657E"/>
    <w:rsid w:val="00BD6D45"/>
    <w:rsid w:val="00BD6E12"/>
    <w:rsid w:val="00BD7D04"/>
    <w:rsid w:val="00BE1447"/>
    <w:rsid w:val="00BE1534"/>
    <w:rsid w:val="00BE1C65"/>
    <w:rsid w:val="00BE2212"/>
    <w:rsid w:val="00BE324D"/>
    <w:rsid w:val="00BE583C"/>
    <w:rsid w:val="00BF1040"/>
    <w:rsid w:val="00BF3F4F"/>
    <w:rsid w:val="00BF4742"/>
    <w:rsid w:val="00BF4C22"/>
    <w:rsid w:val="00BF509D"/>
    <w:rsid w:val="00BF6295"/>
    <w:rsid w:val="00BF6965"/>
    <w:rsid w:val="00BF71B1"/>
    <w:rsid w:val="00BF7808"/>
    <w:rsid w:val="00C031AF"/>
    <w:rsid w:val="00C03215"/>
    <w:rsid w:val="00C0794C"/>
    <w:rsid w:val="00C07B87"/>
    <w:rsid w:val="00C10A42"/>
    <w:rsid w:val="00C11C19"/>
    <w:rsid w:val="00C12038"/>
    <w:rsid w:val="00C1458F"/>
    <w:rsid w:val="00C16FEA"/>
    <w:rsid w:val="00C21376"/>
    <w:rsid w:val="00C21E5D"/>
    <w:rsid w:val="00C26006"/>
    <w:rsid w:val="00C327C6"/>
    <w:rsid w:val="00C32D54"/>
    <w:rsid w:val="00C33F20"/>
    <w:rsid w:val="00C33F7A"/>
    <w:rsid w:val="00C34DDB"/>
    <w:rsid w:val="00C350B7"/>
    <w:rsid w:val="00C37C41"/>
    <w:rsid w:val="00C401DC"/>
    <w:rsid w:val="00C40612"/>
    <w:rsid w:val="00C456DD"/>
    <w:rsid w:val="00C46B91"/>
    <w:rsid w:val="00C505BB"/>
    <w:rsid w:val="00C50A5D"/>
    <w:rsid w:val="00C53347"/>
    <w:rsid w:val="00C53E4D"/>
    <w:rsid w:val="00C558DB"/>
    <w:rsid w:val="00C56DC9"/>
    <w:rsid w:val="00C56FAA"/>
    <w:rsid w:val="00C61F15"/>
    <w:rsid w:val="00C61F28"/>
    <w:rsid w:val="00C62934"/>
    <w:rsid w:val="00C632A9"/>
    <w:rsid w:val="00C66D09"/>
    <w:rsid w:val="00C67542"/>
    <w:rsid w:val="00C71C75"/>
    <w:rsid w:val="00C728A8"/>
    <w:rsid w:val="00C73640"/>
    <w:rsid w:val="00C74821"/>
    <w:rsid w:val="00C7508E"/>
    <w:rsid w:val="00C7521F"/>
    <w:rsid w:val="00C802A4"/>
    <w:rsid w:val="00C8079C"/>
    <w:rsid w:val="00C84CB1"/>
    <w:rsid w:val="00C8590F"/>
    <w:rsid w:val="00C87E18"/>
    <w:rsid w:val="00C908E5"/>
    <w:rsid w:val="00C919CA"/>
    <w:rsid w:val="00C91D27"/>
    <w:rsid w:val="00C95BE4"/>
    <w:rsid w:val="00C96D04"/>
    <w:rsid w:val="00C973FB"/>
    <w:rsid w:val="00C976A7"/>
    <w:rsid w:val="00C97D88"/>
    <w:rsid w:val="00CA0251"/>
    <w:rsid w:val="00CA19D1"/>
    <w:rsid w:val="00CA1F1E"/>
    <w:rsid w:val="00CA276B"/>
    <w:rsid w:val="00CA2CF6"/>
    <w:rsid w:val="00CA5FE1"/>
    <w:rsid w:val="00CB3124"/>
    <w:rsid w:val="00CB361C"/>
    <w:rsid w:val="00CB3855"/>
    <w:rsid w:val="00CB4CE9"/>
    <w:rsid w:val="00CB5A92"/>
    <w:rsid w:val="00CC01C8"/>
    <w:rsid w:val="00CC1A47"/>
    <w:rsid w:val="00CC2A28"/>
    <w:rsid w:val="00CC2BF9"/>
    <w:rsid w:val="00CC4215"/>
    <w:rsid w:val="00CC4D1C"/>
    <w:rsid w:val="00CD0AC1"/>
    <w:rsid w:val="00CD1AF1"/>
    <w:rsid w:val="00CD343D"/>
    <w:rsid w:val="00CD3951"/>
    <w:rsid w:val="00CD6F44"/>
    <w:rsid w:val="00CD729F"/>
    <w:rsid w:val="00CE106B"/>
    <w:rsid w:val="00CE298F"/>
    <w:rsid w:val="00CE3DF7"/>
    <w:rsid w:val="00CE65E8"/>
    <w:rsid w:val="00CE6BF6"/>
    <w:rsid w:val="00CE760B"/>
    <w:rsid w:val="00CF045F"/>
    <w:rsid w:val="00CF3114"/>
    <w:rsid w:val="00CF32AD"/>
    <w:rsid w:val="00CF7DAB"/>
    <w:rsid w:val="00D0012A"/>
    <w:rsid w:val="00D02093"/>
    <w:rsid w:val="00D02DB4"/>
    <w:rsid w:val="00D033BF"/>
    <w:rsid w:val="00D04A8A"/>
    <w:rsid w:val="00D04BD8"/>
    <w:rsid w:val="00D05039"/>
    <w:rsid w:val="00D053C6"/>
    <w:rsid w:val="00D055BA"/>
    <w:rsid w:val="00D05E67"/>
    <w:rsid w:val="00D06FD2"/>
    <w:rsid w:val="00D07EC0"/>
    <w:rsid w:val="00D07EC8"/>
    <w:rsid w:val="00D1077B"/>
    <w:rsid w:val="00D10CD9"/>
    <w:rsid w:val="00D112FF"/>
    <w:rsid w:val="00D12855"/>
    <w:rsid w:val="00D1649B"/>
    <w:rsid w:val="00D16FD6"/>
    <w:rsid w:val="00D21C06"/>
    <w:rsid w:val="00D21C77"/>
    <w:rsid w:val="00D21DF8"/>
    <w:rsid w:val="00D25987"/>
    <w:rsid w:val="00D261AC"/>
    <w:rsid w:val="00D30C94"/>
    <w:rsid w:val="00D31189"/>
    <w:rsid w:val="00D31F19"/>
    <w:rsid w:val="00D345B0"/>
    <w:rsid w:val="00D34FE0"/>
    <w:rsid w:val="00D36499"/>
    <w:rsid w:val="00D40C9F"/>
    <w:rsid w:val="00D4242C"/>
    <w:rsid w:val="00D42430"/>
    <w:rsid w:val="00D44713"/>
    <w:rsid w:val="00D44DA6"/>
    <w:rsid w:val="00D44FB7"/>
    <w:rsid w:val="00D4677A"/>
    <w:rsid w:val="00D477C6"/>
    <w:rsid w:val="00D50B46"/>
    <w:rsid w:val="00D51B78"/>
    <w:rsid w:val="00D56ACE"/>
    <w:rsid w:val="00D57062"/>
    <w:rsid w:val="00D607CF"/>
    <w:rsid w:val="00D616D3"/>
    <w:rsid w:val="00D61DC7"/>
    <w:rsid w:val="00D6443D"/>
    <w:rsid w:val="00D64868"/>
    <w:rsid w:val="00D659ED"/>
    <w:rsid w:val="00D661B3"/>
    <w:rsid w:val="00D67E9D"/>
    <w:rsid w:val="00D71A2F"/>
    <w:rsid w:val="00D72891"/>
    <w:rsid w:val="00D72B86"/>
    <w:rsid w:val="00D742AF"/>
    <w:rsid w:val="00D77A4A"/>
    <w:rsid w:val="00D8229A"/>
    <w:rsid w:val="00D82571"/>
    <w:rsid w:val="00D83EF2"/>
    <w:rsid w:val="00D8598E"/>
    <w:rsid w:val="00D91039"/>
    <w:rsid w:val="00DA51DE"/>
    <w:rsid w:val="00DA6B87"/>
    <w:rsid w:val="00DA77C0"/>
    <w:rsid w:val="00DB0BB4"/>
    <w:rsid w:val="00DB0FA1"/>
    <w:rsid w:val="00DB2EE3"/>
    <w:rsid w:val="00DB4FFD"/>
    <w:rsid w:val="00DB55B8"/>
    <w:rsid w:val="00DB7D35"/>
    <w:rsid w:val="00DC16F5"/>
    <w:rsid w:val="00DC213B"/>
    <w:rsid w:val="00DC5141"/>
    <w:rsid w:val="00DC57A7"/>
    <w:rsid w:val="00DC683B"/>
    <w:rsid w:val="00DC6E2B"/>
    <w:rsid w:val="00DD09D9"/>
    <w:rsid w:val="00DD2427"/>
    <w:rsid w:val="00DD242E"/>
    <w:rsid w:val="00DD37CD"/>
    <w:rsid w:val="00DD3D33"/>
    <w:rsid w:val="00DD4209"/>
    <w:rsid w:val="00DD4766"/>
    <w:rsid w:val="00DD6253"/>
    <w:rsid w:val="00DD6E40"/>
    <w:rsid w:val="00DD701E"/>
    <w:rsid w:val="00DD709D"/>
    <w:rsid w:val="00DD77C6"/>
    <w:rsid w:val="00DE174B"/>
    <w:rsid w:val="00DE1DA1"/>
    <w:rsid w:val="00DE207A"/>
    <w:rsid w:val="00DE370A"/>
    <w:rsid w:val="00DE4841"/>
    <w:rsid w:val="00DE6560"/>
    <w:rsid w:val="00DE754B"/>
    <w:rsid w:val="00DF01BB"/>
    <w:rsid w:val="00DF08CC"/>
    <w:rsid w:val="00DF1E4C"/>
    <w:rsid w:val="00DF2A08"/>
    <w:rsid w:val="00DF30C2"/>
    <w:rsid w:val="00DF319C"/>
    <w:rsid w:val="00DF34C0"/>
    <w:rsid w:val="00DF4BA5"/>
    <w:rsid w:val="00DF744F"/>
    <w:rsid w:val="00E00A60"/>
    <w:rsid w:val="00E0107F"/>
    <w:rsid w:val="00E016D8"/>
    <w:rsid w:val="00E0510C"/>
    <w:rsid w:val="00E05E83"/>
    <w:rsid w:val="00E0668D"/>
    <w:rsid w:val="00E10073"/>
    <w:rsid w:val="00E15599"/>
    <w:rsid w:val="00E176D8"/>
    <w:rsid w:val="00E178F0"/>
    <w:rsid w:val="00E17E1D"/>
    <w:rsid w:val="00E21655"/>
    <w:rsid w:val="00E21C04"/>
    <w:rsid w:val="00E22168"/>
    <w:rsid w:val="00E23570"/>
    <w:rsid w:val="00E248E2"/>
    <w:rsid w:val="00E25CB9"/>
    <w:rsid w:val="00E308BF"/>
    <w:rsid w:val="00E30918"/>
    <w:rsid w:val="00E323B4"/>
    <w:rsid w:val="00E33729"/>
    <w:rsid w:val="00E345AE"/>
    <w:rsid w:val="00E34704"/>
    <w:rsid w:val="00E37AB0"/>
    <w:rsid w:val="00E408F1"/>
    <w:rsid w:val="00E40FF9"/>
    <w:rsid w:val="00E44504"/>
    <w:rsid w:val="00E44B35"/>
    <w:rsid w:val="00E452FA"/>
    <w:rsid w:val="00E4600D"/>
    <w:rsid w:val="00E4690A"/>
    <w:rsid w:val="00E4690E"/>
    <w:rsid w:val="00E52B76"/>
    <w:rsid w:val="00E53DDC"/>
    <w:rsid w:val="00E5414A"/>
    <w:rsid w:val="00E55FF1"/>
    <w:rsid w:val="00E578A8"/>
    <w:rsid w:val="00E60B2C"/>
    <w:rsid w:val="00E629B0"/>
    <w:rsid w:val="00E62EE8"/>
    <w:rsid w:val="00E73210"/>
    <w:rsid w:val="00E757E7"/>
    <w:rsid w:val="00E75B9E"/>
    <w:rsid w:val="00E76921"/>
    <w:rsid w:val="00E80F73"/>
    <w:rsid w:val="00E816A1"/>
    <w:rsid w:val="00E81D94"/>
    <w:rsid w:val="00E82441"/>
    <w:rsid w:val="00E83057"/>
    <w:rsid w:val="00E83994"/>
    <w:rsid w:val="00E85034"/>
    <w:rsid w:val="00E8505D"/>
    <w:rsid w:val="00E90810"/>
    <w:rsid w:val="00E931A6"/>
    <w:rsid w:val="00E9343E"/>
    <w:rsid w:val="00E95C6D"/>
    <w:rsid w:val="00E976AF"/>
    <w:rsid w:val="00E97AD5"/>
    <w:rsid w:val="00EA0042"/>
    <w:rsid w:val="00EA01C6"/>
    <w:rsid w:val="00EA1BA3"/>
    <w:rsid w:val="00EA3B97"/>
    <w:rsid w:val="00EA3FE2"/>
    <w:rsid w:val="00EA4D90"/>
    <w:rsid w:val="00EA7A3F"/>
    <w:rsid w:val="00EB1CF0"/>
    <w:rsid w:val="00EB2247"/>
    <w:rsid w:val="00EB33AC"/>
    <w:rsid w:val="00EB5453"/>
    <w:rsid w:val="00EB54B5"/>
    <w:rsid w:val="00EB576D"/>
    <w:rsid w:val="00EB589F"/>
    <w:rsid w:val="00EB63C2"/>
    <w:rsid w:val="00EB6799"/>
    <w:rsid w:val="00EB6F4C"/>
    <w:rsid w:val="00EB7769"/>
    <w:rsid w:val="00EC0F5A"/>
    <w:rsid w:val="00EC1C69"/>
    <w:rsid w:val="00EC2F5F"/>
    <w:rsid w:val="00EC30EB"/>
    <w:rsid w:val="00EC36C8"/>
    <w:rsid w:val="00EC3852"/>
    <w:rsid w:val="00EC6069"/>
    <w:rsid w:val="00ED0260"/>
    <w:rsid w:val="00ED142F"/>
    <w:rsid w:val="00ED2156"/>
    <w:rsid w:val="00ED36F1"/>
    <w:rsid w:val="00ED3CA1"/>
    <w:rsid w:val="00ED4CDE"/>
    <w:rsid w:val="00ED59AC"/>
    <w:rsid w:val="00ED5C02"/>
    <w:rsid w:val="00ED6EC8"/>
    <w:rsid w:val="00EE0F2C"/>
    <w:rsid w:val="00EE21AE"/>
    <w:rsid w:val="00EE393A"/>
    <w:rsid w:val="00EE60CB"/>
    <w:rsid w:val="00EE7748"/>
    <w:rsid w:val="00EE774E"/>
    <w:rsid w:val="00EE792A"/>
    <w:rsid w:val="00EE7B65"/>
    <w:rsid w:val="00EE7DB3"/>
    <w:rsid w:val="00EE7EFC"/>
    <w:rsid w:val="00EF07ED"/>
    <w:rsid w:val="00EF0B2B"/>
    <w:rsid w:val="00EF2451"/>
    <w:rsid w:val="00EF56E0"/>
    <w:rsid w:val="00F00C08"/>
    <w:rsid w:val="00F0371A"/>
    <w:rsid w:val="00F064BA"/>
    <w:rsid w:val="00F07C3B"/>
    <w:rsid w:val="00F10798"/>
    <w:rsid w:val="00F13B12"/>
    <w:rsid w:val="00F14E79"/>
    <w:rsid w:val="00F16B07"/>
    <w:rsid w:val="00F2108C"/>
    <w:rsid w:val="00F22B3A"/>
    <w:rsid w:val="00F23C47"/>
    <w:rsid w:val="00F23CF0"/>
    <w:rsid w:val="00F25C6F"/>
    <w:rsid w:val="00F26155"/>
    <w:rsid w:val="00F30935"/>
    <w:rsid w:val="00F31F87"/>
    <w:rsid w:val="00F3628A"/>
    <w:rsid w:val="00F40199"/>
    <w:rsid w:val="00F4193D"/>
    <w:rsid w:val="00F425DC"/>
    <w:rsid w:val="00F42CA9"/>
    <w:rsid w:val="00F4465B"/>
    <w:rsid w:val="00F467EF"/>
    <w:rsid w:val="00F47427"/>
    <w:rsid w:val="00F50946"/>
    <w:rsid w:val="00F54003"/>
    <w:rsid w:val="00F543EA"/>
    <w:rsid w:val="00F54E0C"/>
    <w:rsid w:val="00F55D80"/>
    <w:rsid w:val="00F55F9C"/>
    <w:rsid w:val="00F56546"/>
    <w:rsid w:val="00F5725D"/>
    <w:rsid w:val="00F57398"/>
    <w:rsid w:val="00F575FA"/>
    <w:rsid w:val="00F60F12"/>
    <w:rsid w:val="00F61274"/>
    <w:rsid w:val="00F613D2"/>
    <w:rsid w:val="00F62107"/>
    <w:rsid w:val="00F640CA"/>
    <w:rsid w:val="00F65901"/>
    <w:rsid w:val="00F674F3"/>
    <w:rsid w:val="00F71E01"/>
    <w:rsid w:val="00F727FF"/>
    <w:rsid w:val="00F74C62"/>
    <w:rsid w:val="00F76FDF"/>
    <w:rsid w:val="00F77B9E"/>
    <w:rsid w:val="00F82EE7"/>
    <w:rsid w:val="00F84E3D"/>
    <w:rsid w:val="00F87D1B"/>
    <w:rsid w:val="00F921C5"/>
    <w:rsid w:val="00F97472"/>
    <w:rsid w:val="00F97ADA"/>
    <w:rsid w:val="00FA0710"/>
    <w:rsid w:val="00FA2E63"/>
    <w:rsid w:val="00FA499B"/>
    <w:rsid w:val="00FA79A5"/>
    <w:rsid w:val="00FA79D3"/>
    <w:rsid w:val="00FB057E"/>
    <w:rsid w:val="00FB08C3"/>
    <w:rsid w:val="00FB0A0C"/>
    <w:rsid w:val="00FB3173"/>
    <w:rsid w:val="00FB457F"/>
    <w:rsid w:val="00FB49DB"/>
    <w:rsid w:val="00FB4EA4"/>
    <w:rsid w:val="00FB5B9C"/>
    <w:rsid w:val="00FB61F8"/>
    <w:rsid w:val="00FB7628"/>
    <w:rsid w:val="00FC22EB"/>
    <w:rsid w:val="00FC32F3"/>
    <w:rsid w:val="00FC3CAE"/>
    <w:rsid w:val="00FC4660"/>
    <w:rsid w:val="00FC4839"/>
    <w:rsid w:val="00FC4CFF"/>
    <w:rsid w:val="00FC70DF"/>
    <w:rsid w:val="00FD01EE"/>
    <w:rsid w:val="00FD0E5E"/>
    <w:rsid w:val="00FD0F26"/>
    <w:rsid w:val="00FD1D33"/>
    <w:rsid w:val="00FD224C"/>
    <w:rsid w:val="00FD329E"/>
    <w:rsid w:val="00FD6D21"/>
    <w:rsid w:val="00FE112B"/>
    <w:rsid w:val="00FE2E87"/>
    <w:rsid w:val="00FE63DC"/>
    <w:rsid w:val="00FE758C"/>
    <w:rsid w:val="00FF0D5B"/>
    <w:rsid w:val="00FF33FE"/>
    <w:rsid w:val="00FF4210"/>
    <w:rsid w:val="00FF4C35"/>
    <w:rsid w:val="00FF4E37"/>
    <w:rsid w:val="00FF558C"/>
    <w:rsid w:val="00FF6C33"/>
  </w:rsids>
  <m:mathPr>
    <m:mathFont m:val="Cambria Math"/>
    <m:brkBin m:val="before"/>
    <m:brkBinSub m:val="--"/>
    <m:smallFrac m:val="0"/>
    <m:dispDef/>
    <m:lMargin m:val="0"/>
    <m:rMargin m:val="0"/>
    <m:defJc m:val="centerGroup"/>
    <m:wrapIndent m:val="1440"/>
    <m:intLim m:val="subSup"/>
    <m:naryLim m:val="undOvr"/>
  </m:mathPr>
  <w:themeFontLang w:val="tr-T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C1EEA4"/>
  <w15:docId w15:val="{21213CBE-3213-43AB-B674-CF974D85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033"/>
    <w:pPr>
      <w:numPr>
        <w:numId w:val="24"/>
      </w:numPr>
      <w:ind w:right="-375"/>
      <w:outlineLvl w:val="0"/>
    </w:pPr>
    <w:rPr>
      <w:rFonts w:ascii="Gill Sans MT" w:hAnsi="Gill Sans MT" w:cs="Times New Roman"/>
      <w:b/>
      <w:bCs/>
      <w:sz w:val="24"/>
      <w:szCs w:val="24"/>
    </w:rPr>
  </w:style>
  <w:style w:type="paragraph" w:styleId="Heading2">
    <w:name w:val="heading 2"/>
    <w:basedOn w:val="Heading1"/>
    <w:next w:val="Normal"/>
    <w:link w:val="Heading2Char"/>
    <w:autoRedefine/>
    <w:uiPriority w:val="9"/>
    <w:unhideWhenUsed/>
    <w:qFormat/>
    <w:rsid w:val="005500F7"/>
    <w:pPr>
      <w:numPr>
        <w:ilvl w:val="1"/>
      </w:numPr>
      <w:outlineLvl w:val="1"/>
    </w:pPr>
    <w:rPr>
      <w:rFonts w:ascii="Aptos" w:hAnsi="Aptos"/>
      <w:sz w:val="22"/>
      <w:szCs w:val="22"/>
    </w:rPr>
  </w:style>
  <w:style w:type="paragraph" w:styleId="Heading3">
    <w:name w:val="heading 3"/>
    <w:basedOn w:val="Heading2"/>
    <w:next w:val="Normal"/>
    <w:link w:val="Heading3Char"/>
    <w:uiPriority w:val="9"/>
    <w:unhideWhenUsed/>
    <w:qFormat/>
    <w:rsid w:val="00B02AC9"/>
    <w:pPr>
      <w:numPr>
        <w:ilvl w:val="2"/>
      </w:numPr>
      <w:ind w:left="1004" w:hanging="720"/>
      <w:outlineLvl w:val="2"/>
    </w:pPr>
  </w:style>
  <w:style w:type="paragraph" w:styleId="Heading4">
    <w:name w:val="heading 4"/>
    <w:basedOn w:val="Heading2"/>
    <w:next w:val="Normal"/>
    <w:link w:val="Heading4Char"/>
    <w:uiPriority w:val="9"/>
    <w:unhideWhenUsed/>
    <w:qFormat/>
    <w:rsid w:val="00007E90"/>
    <w:pPr>
      <w:ind w:firstLine="36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0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508E"/>
  </w:style>
  <w:style w:type="paragraph" w:styleId="Footer">
    <w:name w:val="footer"/>
    <w:basedOn w:val="Normal"/>
    <w:link w:val="FooterChar"/>
    <w:uiPriority w:val="99"/>
    <w:unhideWhenUsed/>
    <w:rsid w:val="00C750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508E"/>
  </w:style>
  <w:style w:type="table" w:styleId="TableGrid">
    <w:name w:val="Table Grid"/>
    <w:basedOn w:val="TableNormal"/>
    <w:uiPriority w:val="39"/>
    <w:unhideWhenUsed/>
    <w:rsid w:val="00D05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EE774E"/>
    <w:pPr>
      <w:ind w:firstLine="360"/>
      <w:jc w:val="both"/>
    </w:pPr>
    <w:rPr>
      <w:rFonts w:ascii="Roboto Cn" w:hAnsi="Roboto Cn" w:cs="Calibri"/>
      <w:color w:val="000000"/>
    </w:rPr>
  </w:style>
  <w:style w:type="paragraph" w:styleId="Title">
    <w:name w:val="Title"/>
    <w:basedOn w:val="NoSpacing"/>
    <w:next w:val="Normal"/>
    <w:link w:val="TitleChar"/>
    <w:uiPriority w:val="10"/>
    <w:qFormat/>
    <w:rsid w:val="00561A12"/>
    <w:rPr>
      <w:b/>
      <w:bCs/>
      <w:sz w:val="32"/>
      <w:szCs w:val="32"/>
    </w:rPr>
  </w:style>
  <w:style w:type="character" w:customStyle="1" w:styleId="TitleChar">
    <w:name w:val="Title Char"/>
    <w:basedOn w:val="DefaultParagraphFont"/>
    <w:link w:val="Title"/>
    <w:uiPriority w:val="10"/>
    <w:rsid w:val="00561A12"/>
    <w:rPr>
      <w:rFonts w:ascii="Roboto Cn" w:hAnsi="Roboto Cn" w:cs="Calibri"/>
      <w:b/>
      <w:bCs/>
      <w:color w:val="000000"/>
      <w:sz w:val="32"/>
      <w:szCs w:val="32"/>
    </w:rPr>
  </w:style>
  <w:style w:type="character" w:customStyle="1" w:styleId="Heading1Char">
    <w:name w:val="Heading 1 Char"/>
    <w:basedOn w:val="DefaultParagraphFont"/>
    <w:link w:val="Heading1"/>
    <w:uiPriority w:val="9"/>
    <w:rsid w:val="00BA7033"/>
    <w:rPr>
      <w:rFonts w:ascii="Gill Sans MT" w:hAnsi="Gill Sans MT" w:cs="Times New Roman"/>
      <w:b/>
      <w:bCs/>
      <w:sz w:val="24"/>
      <w:szCs w:val="24"/>
      <w:lang w:val="en-US"/>
    </w:rPr>
  </w:style>
  <w:style w:type="paragraph" w:styleId="TOCHeading">
    <w:name w:val="TOC Heading"/>
    <w:basedOn w:val="NoSpacing"/>
    <w:next w:val="Normal"/>
    <w:uiPriority w:val="39"/>
    <w:unhideWhenUsed/>
    <w:qFormat/>
    <w:rsid w:val="001A102E"/>
    <w:pPr>
      <w:pBdr>
        <w:bottom w:val="single" w:sz="6" w:space="1" w:color="auto"/>
      </w:pBdr>
      <w:ind w:firstLine="0"/>
    </w:pPr>
    <w:rPr>
      <w:b/>
      <w:bCs/>
      <w:sz w:val="60"/>
      <w:szCs w:val="60"/>
    </w:rPr>
  </w:style>
  <w:style w:type="paragraph" w:styleId="ListParagraph">
    <w:name w:val="List Paragraph"/>
    <w:basedOn w:val="Normal"/>
    <w:uiPriority w:val="34"/>
    <w:qFormat/>
    <w:rsid w:val="00561A12"/>
    <w:pPr>
      <w:ind w:left="720"/>
      <w:contextualSpacing/>
    </w:pPr>
  </w:style>
  <w:style w:type="paragraph" w:styleId="TOC1">
    <w:name w:val="toc 1"/>
    <w:basedOn w:val="Normal"/>
    <w:next w:val="Normal"/>
    <w:autoRedefine/>
    <w:uiPriority w:val="39"/>
    <w:unhideWhenUsed/>
    <w:rsid w:val="00561A12"/>
    <w:pPr>
      <w:spacing w:after="100"/>
    </w:pPr>
  </w:style>
  <w:style w:type="character" w:styleId="Hyperlink">
    <w:name w:val="Hyperlink"/>
    <w:basedOn w:val="DefaultParagraphFont"/>
    <w:uiPriority w:val="99"/>
    <w:unhideWhenUsed/>
    <w:rsid w:val="00561A12"/>
    <w:rPr>
      <w:color w:val="0000FF" w:themeColor="hyperlink"/>
      <w:u w:val="single"/>
    </w:rPr>
  </w:style>
  <w:style w:type="paragraph" w:styleId="Bibliography">
    <w:name w:val="Bibliography"/>
    <w:basedOn w:val="Normal"/>
    <w:next w:val="Normal"/>
    <w:link w:val="BibliographyChar"/>
    <w:uiPriority w:val="37"/>
    <w:unhideWhenUsed/>
    <w:rsid w:val="004E71B9"/>
    <w:pPr>
      <w:tabs>
        <w:tab w:val="left" w:pos="264"/>
      </w:tabs>
      <w:spacing w:after="240" w:line="240" w:lineRule="auto"/>
      <w:ind w:left="264" w:hanging="264"/>
    </w:pPr>
  </w:style>
  <w:style w:type="character" w:customStyle="1" w:styleId="Heading2Char">
    <w:name w:val="Heading 2 Char"/>
    <w:basedOn w:val="DefaultParagraphFont"/>
    <w:link w:val="Heading2"/>
    <w:uiPriority w:val="9"/>
    <w:rsid w:val="005500F7"/>
    <w:rPr>
      <w:rFonts w:ascii="Aptos" w:hAnsi="Aptos" w:cs="Times New Roman"/>
      <w:b/>
      <w:bCs/>
    </w:rPr>
  </w:style>
  <w:style w:type="paragraph" w:styleId="TOC2">
    <w:name w:val="toc 2"/>
    <w:basedOn w:val="Normal"/>
    <w:next w:val="Normal"/>
    <w:autoRedefine/>
    <w:uiPriority w:val="39"/>
    <w:unhideWhenUsed/>
    <w:rsid w:val="008F5746"/>
    <w:pPr>
      <w:spacing w:after="100"/>
      <w:ind w:left="220"/>
    </w:pPr>
  </w:style>
  <w:style w:type="character" w:customStyle="1" w:styleId="Heading3Char">
    <w:name w:val="Heading 3 Char"/>
    <w:basedOn w:val="DefaultParagraphFont"/>
    <w:link w:val="Heading3"/>
    <w:uiPriority w:val="9"/>
    <w:rsid w:val="00B02AC9"/>
    <w:rPr>
      <w:rFonts w:ascii="Roboto Cn" w:hAnsi="Roboto Cn"/>
      <w:b/>
      <w:bCs/>
      <w:sz w:val="28"/>
      <w:szCs w:val="28"/>
      <w:lang w:val="en-US"/>
    </w:rPr>
  </w:style>
  <w:style w:type="paragraph" w:styleId="TOC3">
    <w:name w:val="toc 3"/>
    <w:basedOn w:val="Normal"/>
    <w:next w:val="Normal"/>
    <w:autoRedefine/>
    <w:uiPriority w:val="39"/>
    <w:unhideWhenUsed/>
    <w:rsid w:val="00AF3D84"/>
    <w:pPr>
      <w:spacing w:after="100"/>
      <w:ind w:left="440"/>
    </w:pPr>
  </w:style>
  <w:style w:type="paragraph" w:styleId="Caption">
    <w:name w:val="caption"/>
    <w:basedOn w:val="Normal"/>
    <w:next w:val="Normal"/>
    <w:uiPriority w:val="35"/>
    <w:unhideWhenUsed/>
    <w:qFormat/>
    <w:rsid w:val="0096081F"/>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96081F"/>
    <w:pPr>
      <w:spacing w:after="0"/>
    </w:pPr>
  </w:style>
  <w:style w:type="paragraph" w:styleId="NormalWeb">
    <w:name w:val="Normal (Web)"/>
    <w:basedOn w:val="Normal"/>
    <w:uiPriority w:val="99"/>
    <w:semiHidden/>
    <w:unhideWhenUsed/>
    <w:rsid w:val="00423AB6"/>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PlaceholderText">
    <w:name w:val="Placeholder Text"/>
    <w:basedOn w:val="DefaultParagraphFont"/>
    <w:uiPriority w:val="99"/>
    <w:semiHidden/>
    <w:rsid w:val="005A497D"/>
    <w:rPr>
      <w:color w:val="808080"/>
    </w:rPr>
  </w:style>
  <w:style w:type="character" w:styleId="Emphasis">
    <w:name w:val="Emphasis"/>
    <w:basedOn w:val="DefaultParagraphFont"/>
    <w:uiPriority w:val="20"/>
    <w:qFormat/>
    <w:rsid w:val="00BD6E12"/>
    <w:rPr>
      <w:i/>
      <w:iCs/>
    </w:rPr>
  </w:style>
  <w:style w:type="character" w:styleId="Strong">
    <w:name w:val="Strong"/>
    <w:basedOn w:val="DefaultParagraphFont"/>
    <w:uiPriority w:val="22"/>
    <w:qFormat/>
    <w:rsid w:val="00BD0631"/>
    <w:rPr>
      <w:b/>
      <w:bCs/>
    </w:rPr>
  </w:style>
  <w:style w:type="character" w:customStyle="1" w:styleId="mathtext">
    <w:name w:val="mathtext"/>
    <w:basedOn w:val="DefaultParagraphFont"/>
    <w:rsid w:val="005F4046"/>
  </w:style>
  <w:style w:type="character" w:customStyle="1" w:styleId="mathtextbox">
    <w:name w:val="mathtextbox"/>
    <w:basedOn w:val="DefaultParagraphFont"/>
    <w:rsid w:val="005F4046"/>
  </w:style>
  <w:style w:type="paragraph" w:customStyle="1" w:styleId="BasicParagraph">
    <w:name w:val="[Basic Paragraph]"/>
    <w:basedOn w:val="Normal"/>
    <w:uiPriority w:val="99"/>
    <w:rsid w:val="000F0A19"/>
    <w:pPr>
      <w:autoSpaceDE w:val="0"/>
      <w:autoSpaceDN w:val="0"/>
      <w:adjustRightInd w:val="0"/>
      <w:spacing w:after="0" w:line="288" w:lineRule="auto"/>
      <w:textAlignment w:val="center"/>
    </w:pPr>
    <w:rPr>
      <w:rFonts w:ascii="MinionPro-Regular" w:eastAsiaTheme="minorHAnsi" w:hAnsi="MinionPro-Regular" w:cs="MinionPro-Regular"/>
      <w:color w:val="000000"/>
      <w:sz w:val="24"/>
      <w:szCs w:val="24"/>
      <w:lang w:eastAsia="en-US"/>
    </w:rPr>
  </w:style>
  <w:style w:type="paragraph" w:styleId="TOC4">
    <w:name w:val="toc 4"/>
    <w:basedOn w:val="Normal"/>
    <w:next w:val="Normal"/>
    <w:autoRedefine/>
    <w:uiPriority w:val="39"/>
    <w:unhideWhenUsed/>
    <w:rsid w:val="00DB7D35"/>
    <w:pPr>
      <w:spacing w:after="100" w:line="259" w:lineRule="auto"/>
      <w:ind w:left="660"/>
    </w:pPr>
    <w:rPr>
      <w:lang w:eastAsia="en-US"/>
    </w:rPr>
  </w:style>
  <w:style w:type="paragraph" w:styleId="TOC5">
    <w:name w:val="toc 5"/>
    <w:basedOn w:val="Normal"/>
    <w:next w:val="Normal"/>
    <w:autoRedefine/>
    <w:uiPriority w:val="39"/>
    <w:unhideWhenUsed/>
    <w:rsid w:val="00DB7D35"/>
    <w:pPr>
      <w:spacing w:after="100" w:line="259" w:lineRule="auto"/>
      <w:ind w:left="880"/>
    </w:pPr>
    <w:rPr>
      <w:lang w:eastAsia="en-US"/>
    </w:rPr>
  </w:style>
  <w:style w:type="paragraph" w:styleId="TOC6">
    <w:name w:val="toc 6"/>
    <w:basedOn w:val="Normal"/>
    <w:next w:val="Normal"/>
    <w:autoRedefine/>
    <w:uiPriority w:val="39"/>
    <w:unhideWhenUsed/>
    <w:rsid w:val="00DB7D35"/>
    <w:pPr>
      <w:spacing w:after="100" w:line="259" w:lineRule="auto"/>
      <w:ind w:left="1100"/>
    </w:pPr>
    <w:rPr>
      <w:lang w:eastAsia="en-US"/>
    </w:rPr>
  </w:style>
  <w:style w:type="paragraph" w:styleId="TOC7">
    <w:name w:val="toc 7"/>
    <w:basedOn w:val="Normal"/>
    <w:next w:val="Normal"/>
    <w:autoRedefine/>
    <w:uiPriority w:val="39"/>
    <w:unhideWhenUsed/>
    <w:rsid w:val="00DB7D35"/>
    <w:pPr>
      <w:spacing w:after="100" w:line="259" w:lineRule="auto"/>
      <w:ind w:left="1320"/>
    </w:pPr>
    <w:rPr>
      <w:lang w:eastAsia="en-US"/>
    </w:rPr>
  </w:style>
  <w:style w:type="paragraph" w:styleId="TOC8">
    <w:name w:val="toc 8"/>
    <w:basedOn w:val="Normal"/>
    <w:next w:val="Normal"/>
    <w:autoRedefine/>
    <w:uiPriority w:val="39"/>
    <w:unhideWhenUsed/>
    <w:rsid w:val="00DB7D35"/>
    <w:pPr>
      <w:spacing w:after="100" w:line="259" w:lineRule="auto"/>
      <w:ind w:left="1540"/>
    </w:pPr>
    <w:rPr>
      <w:lang w:eastAsia="en-US"/>
    </w:rPr>
  </w:style>
  <w:style w:type="paragraph" w:styleId="TOC9">
    <w:name w:val="toc 9"/>
    <w:basedOn w:val="Normal"/>
    <w:next w:val="Normal"/>
    <w:autoRedefine/>
    <w:uiPriority w:val="39"/>
    <w:unhideWhenUsed/>
    <w:rsid w:val="00DB7D35"/>
    <w:pPr>
      <w:spacing w:after="100" w:line="259" w:lineRule="auto"/>
      <w:ind w:left="1760"/>
    </w:pPr>
    <w:rPr>
      <w:lang w:eastAsia="en-US"/>
    </w:rPr>
  </w:style>
  <w:style w:type="character" w:customStyle="1" w:styleId="UnresolvedMention1">
    <w:name w:val="Unresolved Mention1"/>
    <w:basedOn w:val="DefaultParagraphFont"/>
    <w:uiPriority w:val="99"/>
    <w:semiHidden/>
    <w:unhideWhenUsed/>
    <w:rsid w:val="00DB7D35"/>
    <w:rPr>
      <w:color w:val="605E5C"/>
      <w:shd w:val="clear" w:color="auto" w:fill="E1DFDD"/>
    </w:rPr>
  </w:style>
  <w:style w:type="table" w:customStyle="1" w:styleId="PlainTable11">
    <w:name w:val="Plain Table 11"/>
    <w:basedOn w:val="TableNormal"/>
    <w:uiPriority w:val="41"/>
    <w:rsid w:val="006135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007E90"/>
    <w:rPr>
      <w:rFonts w:ascii="Roboto Cn" w:hAnsi="Roboto Cn"/>
      <w:b/>
      <w:bCs/>
      <w:sz w:val="30"/>
      <w:szCs w:val="30"/>
      <w:lang w:val="en-US"/>
    </w:rPr>
  </w:style>
  <w:style w:type="paragraph" w:styleId="HTMLPreformatted">
    <w:name w:val="HTML Preformatted"/>
    <w:basedOn w:val="Normal"/>
    <w:link w:val="HTMLPreformattedChar"/>
    <w:uiPriority w:val="99"/>
    <w:unhideWhenUsed/>
    <w:rsid w:val="00984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984BDD"/>
    <w:rPr>
      <w:rFonts w:ascii="Courier New" w:eastAsia="Times New Roman" w:hAnsi="Courier New" w:cs="Courier New"/>
      <w:sz w:val="20"/>
      <w:szCs w:val="20"/>
      <w:lang w:val="en-US" w:eastAsia="en-US"/>
    </w:rPr>
  </w:style>
  <w:style w:type="character" w:styleId="CommentReference">
    <w:name w:val="annotation reference"/>
    <w:basedOn w:val="DefaultParagraphFont"/>
    <w:uiPriority w:val="99"/>
    <w:semiHidden/>
    <w:unhideWhenUsed/>
    <w:rsid w:val="007E6912"/>
    <w:rPr>
      <w:sz w:val="16"/>
      <w:szCs w:val="16"/>
    </w:rPr>
  </w:style>
  <w:style w:type="paragraph" w:styleId="CommentText">
    <w:name w:val="annotation text"/>
    <w:basedOn w:val="Normal"/>
    <w:link w:val="CommentTextChar"/>
    <w:uiPriority w:val="99"/>
    <w:unhideWhenUsed/>
    <w:rsid w:val="007E6912"/>
    <w:pPr>
      <w:spacing w:line="240" w:lineRule="auto"/>
    </w:pPr>
    <w:rPr>
      <w:sz w:val="20"/>
      <w:szCs w:val="20"/>
    </w:rPr>
  </w:style>
  <w:style w:type="character" w:customStyle="1" w:styleId="CommentTextChar">
    <w:name w:val="Comment Text Char"/>
    <w:basedOn w:val="DefaultParagraphFont"/>
    <w:link w:val="CommentText"/>
    <w:uiPriority w:val="99"/>
    <w:rsid w:val="007E6912"/>
    <w:rPr>
      <w:sz w:val="20"/>
      <w:szCs w:val="20"/>
      <w:lang w:val="en-US"/>
    </w:rPr>
  </w:style>
  <w:style w:type="paragraph" w:styleId="CommentSubject">
    <w:name w:val="annotation subject"/>
    <w:basedOn w:val="CommentText"/>
    <w:next w:val="CommentText"/>
    <w:link w:val="CommentSubjectChar"/>
    <w:uiPriority w:val="99"/>
    <w:semiHidden/>
    <w:unhideWhenUsed/>
    <w:rsid w:val="007E6912"/>
    <w:rPr>
      <w:b/>
      <w:bCs/>
    </w:rPr>
  </w:style>
  <w:style w:type="character" w:customStyle="1" w:styleId="CommentSubjectChar">
    <w:name w:val="Comment Subject Char"/>
    <w:basedOn w:val="CommentTextChar"/>
    <w:link w:val="CommentSubject"/>
    <w:uiPriority w:val="99"/>
    <w:semiHidden/>
    <w:rsid w:val="007E6912"/>
    <w:rPr>
      <w:b/>
      <w:bCs/>
      <w:sz w:val="20"/>
      <w:szCs w:val="20"/>
      <w:lang w:val="en-US"/>
    </w:rPr>
  </w:style>
  <w:style w:type="character" w:customStyle="1" w:styleId="fontstyle01">
    <w:name w:val="fontstyle01"/>
    <w:basedOn w:val="DefaultParagraphFont"/>
    <w:rsid w:val="001C7EF6"/>
    <w:rPr>
      <w:rFonts w:ascii="Roboto-Condensed" w:hAnsi="Roboto-Condensed" w:hint="default"/>
      <w:b w:val="0"/>
      <w:bCs w:val="0"/>
      <w:i w:val="0"/>
      <w:iCs w:val="0"/>
      <w:color w:val="000000"/>
      <w:sz w:val="20"/>
      <w:szCs w:val="20"/>
    </w:rPr>
  </w:style>
  <w:style w:type="character" w:customStyle="1" w:styleId="fontstyle21">
    <w:name w:val="fontstyle21"/>
    <w:basedOn w:val="DefaultParagraphFont"/>
    <w:rsid w:val="001C7EF6"/>
    <w:rPr>
      <w:rFonts w:ascii="Roboto-CondensedItalic" w:hAnsi="Roboto-CondensedItalic" w:hint="default"/>
      <w:b w:val="0"/>
      <w:bCs w:val="0"/>
      <w:i/>
      <w:iCs/>
      <w:color w:val="000000"/>
      <w:sz w:val="20"/>
      <w:szCs w:val="20"/>
    </w:rPr>
  </w:style>
  <w:style w:type="character" w:customStyle="1" w:styleId="fontstyle31">
    <w:name w:val="fontstyle31"/>
    <w:basedOn w:val="DefaultParagraphFont"/>
    <w:rsid w:val="001C7EF6"/>
    <w:rPr>
      <w:rFonts w:ascii="Roboto-BoldCondensed" w:hAnsi="Roboto-BoldCondensed" w:hint="default"/>
      <w:b/>
      <w:bCs/>
      <w:i w:val="0"/>
      <w:iCs w:val="0"/>
      <w:color w:val="000000"/>
      <w:sz w:val="20"/>
      <w:szCs w:val="20"/>
    </w:rPr>
  </w:style>
  <w:style w:type="paragraph" w:customStyle="1" w:styleId="reference">
    <w:name w:val="reference"/>
    <w:basedOn w:val="Bibliography"/>
    <w:link w:val="referenceChar"/>
    <w:qFormat/>
    <w:rsid w:val="001C7EF6"/>
    <w:rPr>
      <w:rFonts w:ascii="Times New Roman" w:hAnsi="Times New Roman" w:cs="Times New Roman"/>
    </w:rPr>
  </w:style>
  <w:style w:type="character" w:customStyle="1" w:styleId="BibliographyChar">
    <w:name w:val="Bibliography Char"/>
    <w:basedOn w:val="DefaultParagraphFont"/>
    <w:link w:val="Bibliography"/>
    <w:uiPriority w:val="37"/>
    <w:rsid w:val="001C7EF6"/>
    <w:rPr>
      <w:lang w:val="en-US"/>
    </w:rPr>
  </w:style>
  <w:style w:type="character" w:customStyle="1" w:styleId="referenceChar">
    <w:name w:val="reference Char"/>
    <w:basedOn w:val="BibliographyChar"/>
    <w:link w:val="reference"/>
    <w:rsid w:val="001C7EF6"/>
    <w:rPr>
      <w:rFonts w:ascii="Times New Roman" w:hAnsi="Times New Roman" w:cs="Times New Roman"/>
      <w:lang w:val="en-US"/>
    </w:rPr>
  </w:style>
  <w:style w:type="paragraph" w:styleId="BalloonText">
    <w:name w:val="Balloon Text"/>
    <w:basedOn w:val="Normal"/>
    <w:link w:val="BalloonTextChar"/>
    <w:uiPriority w:val="99"/>
    <w:semiHidden/>
    <w:unhideWhenUsed/>
    <w:rsid w:val="009B5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033"/>
    <w:rPr>
      <w:rFonts w:ascii="Tahoma" w:hAnsi="Tahoma" w:cs="Tahoma"/>
      <w:sz w:val="16"/>
      <w:szCs w:val="16"/>
      <w:lang w:val="en-US"/>
    </w:rPr>
  </w:style>
  <w:style w:type="paragraph" w:styleId="Revision">
    <w:name w:val="Revision"/>
    <w:hidden/>
    <w:uiPriority w:val="99"/>
    <w:semiHidden/>
    <w:rsid w:val="005B661C"/>
    <w:pPr>
      <w:spacing w:after="0" w:line="240" w:lineRule="auto"/>
    </w:pPr>
  </w:style>
  <w:style w:type="table" w:styleId="LightList-Accent1">
    <w:name w:val="Light List Accent 1"/>
    <w:basedOn w:val="TableNormal"/>
    <w:uiPriority w:val="61"/>
    <w:rsid w:val="00673634"/>
    <w:pPr>
      <w:spacing w:after="0" w:line="240" w:lineRule="auto"/>
    </w:pPr>
    <w:rPr>
      <w:rFonts w:eastAsiaTheme="minorHAnsi"/>
      <w:lang w:val="it-IT" w:eastAsia="en-US"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Table2">
    <w:name w:val="List Table 2"/>
    <w:basedOn w:val="TableNormal"/>
    <w:uiPriority w:val="47"/>
    <w:rsid w:val="0067363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207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96901D0-18BF-4627-AFE7-0A9165D2ABD9}">
  <we:reference id="wa104381714" version="4.2.0.0" store="en-US" storeType="omex"/>
  <we:alternateReferences>
    <we:reference id="WA104381714" version="4.2.0.0" store="" storeType="omex"/>
  </we:alternateReferences>
  <we:properties>
    <we:property name="production_outwrite_document" value="&quot;{\&quot;documentId\&quot;:\&quot;f9fcdf9cad58440e\&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3.xml><?xml version="1.0" encoding="utf-8"?>
<ct:contentTypeSchema xmlns:ct="http://schemas.microsoft.com/office/2006/metadata/contentType" xmlns:ma="http://schemas.microsoft.com/office/2006/metadata/properties/metaAttributes" ct:_="" ma:_="" ma:contentTypeName="Document" ma:contentTypeID="0x010100DB61A773A88BBB44AC13091DED201450" ma:contentTypeVersion="4" ma:contentTypeDescription="Create a new document." ma:contentTypeScope="" ma:versionID="45e83726dc7f94e32a0d35dec7f9fd0b">
  <xsd:schema xmlns:xsd="http://www.w3.org/2001/XMLSchema" xmlns:xs="http://www.w3.org/2001/XMLSchema" xmlns:p="http://schemas.microsoft.com/office/2006/metadata/properties" xmlns:ns3="793c08f3-ec98-4008-a6c0-6d2187638081" targetNamespace="http://schemas.microsoft.com/office/2006/metadata/properties" ma:root="true" ma:fieldsID="8a578019f8dcbbe91691e2978a9a3394" ns3:_="">
    <xsd:import namespace="793c08f3-ec98-4008-a6c0-6d218763808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c08f3-ec98-4008-a6c0-6d2187638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127463-E812-4163-8ED0-B73C294D96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4901B0-8470-4244-A404-78C148C310AB}">
  <ds:schemaRefs>
    <ds:schemaRef ds:uri="http://schemas.openxmlformats.org/officeDocument/2006/bibliography"/>
  </ds:schemaRefs>
</ds:datastoreItem>
</file>

<file path=customXml/itemProps3.xml><?xml version="1.0" encoding="utf-8"?>
<ds:datastoreItem xmlns:ds="http://schemas.openxmlformats.org/officeDocument/2006/customXml" ds:itemID="{4A357146-37C7-43F8-AB07-0882D61CA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c08f3-ec98-4008-a6c0-6d2187638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41ADEC-45EB-438D-B81C-0CDFB9E143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1</Pages>
  <Words>48183</Words>
  <Characters>305487</Characters>
  <Application>Microsoft Office Word</Application>
  <DocSecurity>0</DocSecurity>
  <Lines>11314</Lines>
  <Paragraphs>7524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SAMSUNG</dc:creator>
  <cp:lastModifiedBy>Ahmet Kaymak</cp:lastModifiedBy>
  <cp:revision>130</cp:revision>
  <cp:lastPrinted>2024-03-15T12:30:00Z</cp:lastPrinted>
  <dcterms:created xsi:type="dcterms:W3CDTF">2024-02-21T13:58:00Z</dcterms:created>
  <dcterms:modified xsi:type="dcterms:W3CDTF">2024-12-05T11:21:00Z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0x010100DB61A773A88BBB44AC13091DED201450</vt:lpwstr>
  </property>
  <property fmtid="{D5CDD505-2E9C-101B-9397-08002B2CF9AE}" pid="3" name="GrammarlyDocumentId">
    <vt:lpwstr>3f1abc1a2a2328eaee33cccefcbaf606099c99db3f8f6138fa094dd6a88bf392</vt:lpwstr>
  </property>
  <property fmtid="{D5CDD505-2E9C-101B-9397-08002B2CF9AE}" pid="4" name="LE1">
    <vt:filetime>2024-01-30T08:18:53Z</vt:filetime>
  </property>
  <property fmtid="{D5CDD505-2E9C-101B-9397-08002B2CF9AE}" pid="5" name="ZOTERO_PREF_1">
    <vt:lpwstr>&lt;data data-version="3" zotero-version="6.0.36"&gt;&lt;session id="KB7kCxO4"/&gt;&lt;style id="http://www.zotero.org/styles/brain" hasBibliography="1" bibliographyStyleHasBeenSet="1"/&gt;&lt;prefs&gt;&lt;pref name="fieldType" value="Field"/&gt;&lt;pref name="automaticJournalAbbreviatio</vt:lpwstr>
  </property>
  <property fmtid="{D5CDD505-2E9C-101B-9397-08002B2CF9AE}" pid="6" name="ZOTERO_PREF_2">
    <vt:lpwstr>ns" value="true"/&gt;&lt;pref name="dontAskDelayCitationUpdates" value="true"/&gt;&lt;/prefs&gt;&lt;/data&gt;</vt:lpwstr>
  </property>
</Properties>
</file>