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ABF86" w14:textId="0D95AE69" w:rsidR="005500F7" w:rsidRPr="005500F7" w:rsidRDefault="005500F7" w:rsidP="005500F7">
      <w:pPr>
        <w:spacing w:line="240" w:lineRule="auto"/>
        <w:rPr>
          <w:rFonts w:ascii="Aptos" w:hAnsi="Aptos"/>
          <w:b/>
          <w:sz w:val="20"/>
          <w:szCs w:val="20"/>
        </w:rPr>
      </w:pPr>
      <w:bookmarkStart w:id="0" w:name="_Toc83249723"/>
      <w:proofErr w:type="gramStart"/>
      <w:r w:rsidRPr="005500F7">
        <w:rPr>
          <w:rFonts w:ascii="Aptos" w:hAnsi="Aptos"/>
          <w:b/>
          <w:sz w:val="20"/>
          <w:szCs w:val="20"/>
        </w:rPr>
        <w:t>Supplementary  Table</w:t>
      </w:r>
      <w:proofErr w:type="gramEnd"/>
      <w:r w:rsidRPr="005500F7">
        <w:rPr>
          <w:rFonts w:ascii="Aptos" w:hAnsi="Aptos"/>
          <w:b/>
          <w:sz w:val="20"/>
          <w:szCs w:val="20"/>
        </w:rPr>
        <w:t xml:space="preserve"> 1.</w:t>
      </w:r>
      <w:r w:rsidR="00705731">
        <w:rPr>
          <w:rFonts w:ascii="Aptos" w:hAnsi="Aptos"/>
          <w:b/>
          <w:sz w:val="20"/>
          <w:szCs w:val="20"/>
        </w:rPr>
        <w:t xml:space="preserve"> </w:t>
      </w:r>
      <w:r w:rsidRPr="005500F7">
        <w:rPr>
          <w:rFonts w:ascii="Aptos" w:hAnsi="Aptos"/>
          <w:b/>
          <w:sz w:val="20"/>
          <w:szCs w:val="20"/>
        </w:rPr>
        <w:t>Clinical characteristics of genetic dystonia syndromes reported in the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8186"/>
      </w:tblGrid>
      <w:tr w:rsidR="005500F7" w:rsidRPr="005500F7" w14:paraId="00D14782" w14:textId="77777777" w:rsidTr="002C08A9">
        <w:trPr>
          <w:cantSplit/>
          <w:trHeight w:val="473"/>
        </w:trPr>
        <w:tc>
          <w:tcPr>
            <w:tcW w:w="593" w:type="pct"/>
            <w:tcBorders>
              <w:top w:val="nil"/>
              <w:left w:val="nil"/>
              <w:bottom w:val="single" w:sz="12" w:space="0" w:color="auto"/>
              <w:right w:val="nil"/>
            </w:tcBorders>
            <w:shd w:val="clear" w:color="auto" w:fill="auto"/>
            <w:vAlign w:val="center"/>
          </w:tcPr>
          <w:p w14:paraId="3F702F63" w14:textId="3C8012D5" w:rsidR="00165D1D" w:rsidRPr="005500F7" w:rsidRDefault="00165D1D" w:rsidP="00257457">
            <w:pPr>
              <w:spacing w:after="0" w:line="240" w:lineRule="auto"/>
              <w:rPr>
                <w:rFonts w:ascii="Aptos" w:hAnsi="Aptos"/>
                <w:b/>
                <w:sz w:val="20"/>
                <w:szCs w:val="20"/>
              </w:rPr>
            </w:pPr>
            <w:r>
              <w:rPr>
                <w:rFonts w:ascii="Aptos" w:hAnsi="Aptos"/>
                <w:b/>
                <w:sz w:val="20"/>
                <w:szCs w:val="20"/>
              </w:rPr>
              <w:t>Dystonia</w:t>
            </w:r>
          </w:p>
          <w:p w14:paraId="5D932E36" w14:textId="185F464E" w:rsidR="005500F7" w:rsidRPr="005500F7" w:rsidRDefault="00CE106B" w:rsidP="00257457">
            <w:pPr>
              <w:spacing w:after="0" w:line="240" w:lineRule="auto"/>
              <w:rPr>
                <w:rFonts w:ascii="Aptos" w:hAnsi="Aptos"/>
                <w:b/>
                <w:sz w:val="20"/>
                <w:szCs w:val="20"/>
              </w:rPr>
            </w:pPr>
            <w:r>
              <w:rPr>
                <w:rFonts w:ascii="Aptos" w:hAnsi="Aptos"/>
                <w:b/>
                <w:sz w:val="20"/>
                <w:szCs w:val="20"/>
              </w:rPr>
              <w:t>Gene</w:t>
            </w:r>
          </w:p>
        </w:tc>
        <w:tc>
          <w:tcPr>
            <w:tcW w:w="4407" w:type="pct"/>
            <w:tcBorders>
              <w:top w:val="nil"/>
              <w:left w:val="nil"/>
              <w:bottom w:val="single" w:sz="12" w:space="0" w:color="auto"/>
              <w:right w:val="single" w:sz="4" w:space="0" w:color="FFFFFF"/>
            </w:tcBorders>
            <w:shd w:val="clear" w:color="auto" w:fill="auto"/>
            <w:vAlign w:val="center"/>
          </w:tcPr>
          <w:p w14:paraId="7260A61B" w14:textId="77777777" w:rsidR="005500F7" w:rsidRPr="005500F7" w:rsidRDefault="005500F7" w:rsidP="00257457">
            <w:pPr>
              <w:spacing w:after="0" w:line="240" w:lineRule="auto"/>
              <w:jc w:val="center"/>
              <w:rPr>
                <w:rFonts w:ascii="Aptos" w:hAnsi="Aptos"/>
                <w:b/>
                <w:sz w:val="20"/>
                <w:szCs w:val="20"/>
              </w:rPr>
            </w:pPr>
            <w:r w:rsidRPr="005500F7">
              <w:rPr>
                <w:rFonts w:ascii="Aptos" w:hAnsi="Aptos"/>
                <w:b/>
                <w:sz w:val="20"/>
                <w:szCs w:val="20"/>
              </w:rPr>
              <w:t>Clinical Characteristics</w:t>
            </w:r>
          </w:p>
        </w:tc>
      </w:tr>
      <w:tr w:rsidR="005500F7" w:rsidRPr="005500F7" w14:paraId="0E6DFF1E" w14:textId="77777777" w:rsidTr="002C08A9">
        <w:trPr>
          <w:trHeight w:val="1199"/>
        </w:trPr>
        <w:tc>
          <w:tcPr>
            <w:tcW w:w="593" w:type="pct"/>
            <w:tcBorders>
              <w:top w:val="single" w:sz="12" w:space="0" w:color="auto"/>
              <w:left w:val="nil"/>
              <w:bottom w:val="single" w:sz="4" w:space="0" w:color="auto"/>
              <w:right w:val="nil"/>
            </w:tcBorders>
            <w:shd w:val="clear" w:color="auto" w:fill="auto"/>
            <w:vAlign w:val="center"/>
          </w:tcPr>
          <w:p w14:paraId="77B0F6B4" w14:textId="1A18D868" w:rsidR="005500F7" w:rsidRPr="005500F7" w:rsidRDefault="005500F7" w:rsidP="00257457">
            <w:pPr>
              <w:spacing w:after="0" w:line="240" w:lineRule="auto"/>
              <w:rPr>
                <w:rFonts w:ascii="Aptos" w:hAnsi="Aptos"/>
                <w:sz w:val="20"/>
                <w:szCs w:val="20"/>
              </w:rPr>
            </w:pPr>
            <w:r w:rsidRPr="005500F7">
              <w:rPr>
                <w:rFonts w:ascii="Aptos" w:hAnsi="Aptos"/>
                <w:b/>
                <w:i/>
                <w:iCs/>
                <w:sz w:val="20"/>
                <w:szCs w:val="20"/>
              </w:rPr>
              <w:t>AOPEP</w:t>
            </w:r>
          </w:p>
        </w:tc>
        <w:tc>
          <w:tcPr>
            <w:tcW w:w="4407" w:type="pct"/>
            <w:tcBorders>
              <w:top w:val="single" w:sz="12" w:space="0" w:color="auto"/>
              <w:left w:val="nil"/>
              <w:bottom w:val="single" w:sz="4" w:space="0" w:color="auto"/>
              <w:right w:val="nil"/>
            </w:tcBorders>
            <w:shd w:val="clear" w:color="auto" w:fill="auto"/>
            <w:vAlign w:val="center"/>
          </w:tcPr>
          <w:p w14:paraId="5AF5453C" w14:textId="77777777" w:rsidR="005500F7" w:rsidRPr="005500F7" w:rsidRDefault="005500F7" w:rsidP="00257457">
            <w:pPr>
              <w:spacing w:after="0" w:line="240" w:lineRule="auto"/>
              <w:jc w:val="center"/>
              <w:rPr>
                <w:rFonts w:ascii="Aptos" w:hAnsi="Aptos"/>
                <w:sz w:val="20"/>
                <w:szCs w:val="20"/>
              </w:rPr>
            </w:pPr>
            <w:r w:rsidRPr="005500F7">
              <w:rPr>
                <w:rFonts w:ascii="Aptos" w:hAnsi="Aptos"/>
                <w:sz w:val="20"/>
                <w:szCs w:val="20"/>
              </w:rPr>
              <w:t>It is a form of isolated dystonia with recessive inheritance</w:t>
            </w:r>
            <w:r w:rsidRPr="005500F7">
              <w:rPr>
                <w:rFonts w:ascii="Aptos" w:hAnsi="Aptos"/>
                <w:sz w:val="20"/>
                <w:szCs w:val="20"/>
              </w:rPr>
              <w:fldChar w:fldCharType="begin"/>
            </w:r>
            <w:r w:rsidRPr="005500F7">
              <w:rPr>
                <w:rFonts w:ascii="Aptos" w:hAnsi="Aptos"/>
                <w:sz w:val="20"/>
                <w:szCs w:val="20"/>
              </w:rPr>
              <w:instrText xml:space="preserve"> ADDIN ZOTERO_ITEM CSL_CITATION {"citationID":"STpQiEcH","properties":{"formattedCitation":"\\super 1\\nosupersub{}","plainCitation":"1","noteIndex":0},"citationItems":[{"id":230,"uris":["http://zotero.org/users/local/qbj29eOf/items/L3PFVJMX"],"itemData":{"id":230,"type":"article-journal","container-title":"Movement Disorders","DOI":"10.1002/mds.29327","ISSN":"0885-3185, 1531-8257","issue":"3","journalAbbreviation":"Movement Disorders","language":"en","page":"507-508","source":"DOI.org (Crossref)","title":"&lt;span style=\"font-variant:small-caps;\"&gt;MDSGene&lt;/span&gt; : Extending the List of Isolated Dystonia Genes by &lt;span style=\"font-variant:small-caps;\"&gt; &lt;i&gt;VPS16&lt;/i&gt; &lt;/span&gt; , &lt;span style=\"font-variant:small-caps;\"&gt; &lt;i&gt;EIF2AK2&lt;/i&gt; &lt;/span&gt; , and &lt;span style=\"font-variant:small-caps;\"&gt; &lt;i&gt;AOPEP&lt;/i&gt; &lt;/span&gt;","title-short":"&lt;span style=\"font-variant","volume":"38","author":[{"family":"Thomsen","given":"Mirja"},{"family":"Lange","given":"Lara M."},{"family":"Klein","given":"Christine"},{"family":"Lohmann","given":"Katja"}],"issued":{"date-parts":[["2023",3]]}}}],"schema":"https://github.com/citation-style-language/schema/raw/master/csl-citation.json"}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1</w:t>
            </w:r>
            <w:r w:rsidRPr="005500F7">
              <w:rPr>
                <w:rFonts w:ascii="Aptos" w:hAnsi="Aptos"/>
                <w:sz w:val="20"/>
                <w:szCs w:val="20"/>
              </w:rPr>
              <w:fldChar w:fldCharType="end"/>
            </w:r>
            <w:r w:rsidRPr="005500F7">
              <w:rPr>
                <w:rFonts w:ascii="Aptos" w:hAnsi="Aptos"/>
                <w:sz w:val="20"/>
                <w:szCs w:val="20"/>
              </w:rPr>
              <w:t xml:space="preserve"> and emerges in childhood to early adulthood initially affecting hands</w:t>
            </w:r>
            <w:r w:rsidRPr="005500F7">
              <w:rPr>
                <w:rFonts w:ascii="Aptos" w:hAnsi="Aptos"/>
                <w:sz w:val="20"/>
                <w:szCs w:val="20"/>
              </w:rPr>
              <w:fldChar w:fldCharType="begin"/>
            </w:r>
            <w:r w:rsidRPr="005500F7">
              <w:rPr>
                <w:rFonts w:ascii="Aptos" w:hAnsi="Aptos"/>
                <w:sz w:val="20"/>
                <w:szCs w:val="20"/>
              </w:rPr>
              <w:instrText xml:space="preserve"> ADDIN ZOTERO_ITEM CSL_CITATION {"citationID":"Amt13Ycc","properties":{"formattedCitation":"\\super 2\\uc0\\u8211{}5\\nosupersub{}","plainCitation":"2–5","noteIndex":0},"citationItems":[{"id":307,"uris":["http://zotero.org/users/local/qbj29eOf/items/TZCYE22Y"],"itemData":{"id":307,"type":"article-journal","container-title":"Parkinsonism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olger"},{"family":"Winkelmann","given":"Juliane"},{"family":"Zech","given":"Michael"}],"issued":{"date-parts":[["2022",4]]}},"label":"page"},{"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Madeleine"},{"family":"Fung","given":"Victor S.C."},{"family":"Vidailhet","given":"Marie"},{"family":"Baumann","given":"Matthias"},{"family":"Marquardt","given":"Thorsten"},{"family":"Winkelmann","given":"Juliane"},{"family":"Boesch","given":"Sylvia"}],"issued":{"date-parts":[["2022",1]]}},"label":"page"},{"id":305,"uris":["http://zotero.org/users/local/qbj29eOf/items/LUNHIN9X"],"itemData":{"id":305,"type":"article-journal","container-title":"Movement Disorders","DOI":"10.1002/mds.28928","ISSN":"0885-3185, 1531-8257","issue":"4","journalAbbreviation":"Movement Disorders","language":"en","page":"874-875","source":"DOI.org (Crossref)","title":"&lt;span style=\"font-variant:small-caps;\"&gt; &lt;i&gt;AOPEP&lt;/i&gt; &lt;/span&gt; Homozygous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 in an Indian Patient with Early</w:instrText>
            </w:r>
            <w:r w:rsidRPr="005500F7">
              <w:rPr>
                <w:rFonts w:ascii="Cambria Math" w:hAnsi="Cambria Math" w:cs="Cambria Math"/>
                <w:sz w:val="20"/>
                <w:szCs w:val="20"/>
              </w:rPr>
              <w:instrText>‐</w:instrText>
            </w:r>
            <w:r w:rsidRPr="005500F7">
              <w:rPr>
                <w:rFonts w:ascii="Aptos" w:hAnsi="Aptos"/>
                <w:sz w:val="20"/>
                <w:szCs w:val="20"/>
              </w:rPr>
              <w:instrText xml:space="preserve">Onset Generalized Dystonia","title-short":"&lt;span style=\"font-variant","volume":"37","author":[{"family":"Fevga","given":"Christina"},{"family":"Ferraro","given":"Federico"},{"family":"Breedveld","given":"Guido J."},{"family":"Savant Sankhla","given":"Charulata"},{"family":"Bonifati","given":"Vincenzo"}],"issued":{"date-parts":[["2022",4]]}},"label":"page"},{"id":308,"uris":["http://zotero.org/users/local/qbj29eOf/items/RBNBG94L"],"itemData":{"id":308,"type":"article-journal","container-title":"Movement Disorders","DOI":"10.1002/mds.29021","ISSN":"0885-3185, 1531-8257","issue":"5","journalAbbreviation":"Movement Disorders","language":"en","page":"1113-1115","source":"DOI.org (Crossref)","title":"Expanded Genetic Spectrum and Variable Disease Onset in &lt;span style=\"font-variant:small-caps;\"&gt; &lt;i&gt;AOPEP&lt;/i&gt; &lt;/span&gt; </w:instrText>
            </w:r>
            <w:r w:rsidRPr="005500F7">
              <w:rPr>
                <w:rFonts w:ascii="Cambria Math" w:hAnsi="Cambria Math" w:cs="Cambria Math"/>
                <w:sz w:val="20"/>
                <w:szCs w:val="20"/>
              </w:rPr>
              <w:instrText>‐</w:instrText>
            </w:r>
            <w:r w:rsidRPr="005500F7">
              <w:rPr>
                <w:rFonts w:ascii="Aptos" w:hAnsi="Aptos"/>
                <w:sz w:val="20"/>
                <w:szCs w:val="20"/>
              </w:rPr>
              <w:instrText xml:space="preserve">Associated Dystonia","title-short":"Expanded Genetic Spectrum and Variable Disease Onset in &lt;span style=\"font-variant","volume":"37","author":[{"family":"Menden","given":"Benita"},{"family":"Gutschalk","given":"Alexander"},{"family":"Wunderlich","given":"Gilbert"},{"family":"Haack","given":"Tobias B."}],"issued":{"date-parts":[["2022",5]]}},"label":"page"}],"schema":"https://github.com/citation-style-language/schema/raw/master/csl-citation.json"}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2–5</w:t>
            </w:r>
            <w:r w:rsidRPr="005500F7">
              <w:rPr>
                <w:rFonts w:ascii="Aptos" w:hAnsi="Aptos"/>
                <w:sz w:val="20"/>
                <w:szCs w:val="20"/>
              </w:rPr>
              <w:fldChar w:fldCharType="end"/>
            </w:r>
            <w:r w:rsidRPr="005500F7">
              <w:rPr>
                <w:rFonts w:ascii="Aptos" w:hAnsi="Aptos"/>
                <w:sz w:val="20"/>
                <w:szCs w:val="20"/>
              </w:rPr>
              <w:t xml:space="preserve"> or lower limbs</w:t>
            </w:r>
            <w:r w:rsidRPr="005500F7">
              <w:rPr>
                <w:rFonts w:ascii="Aptos" w:hAnsi="Aptos"/>
                <w:sz w:val="20"/>
                <w:szCs w:val="20"/>
              </w:rPr>
              <w:fldChar w:fldCharType="begin"/>
            </w:r>
            <w:r w:rsidRPr="005500F7">
              <w:rPr>
                <w:rFonts w:ascii="Aptos" w:hAnsi="Aptos"/>
                <w:sz w:val="20"/>
                <w:szCs w:val="20"/>
              </w:rPr>
              <w:instrText xml:space="preserve"> ADDIN ZOTERO_ITEM CSL_CITATION {"citationID":"dtb8Ix7g","properties":{"formattedCitation":"\\super 3\\nosupersub{}","plainCitation":"3","noteIndex":0},"citationItems":[{"id":310,"uris":["http://zotero.org/users/local/qbj29eOf/items/RX4LAW97"],"itemData":{"id":310,"type":"article-journal","container-title":"Movement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 xml:space="preserve">Madeleine"},{"family":"Fung","given":"Victor S.C."},{"family":"Vidailhet","given":"Marie"},{"family":"Baumann","given":"Matthias"},{"family":"Marquardt","given":"Thorsten"},{"family":"Winkelmann","given":"Juliane"},{"family":"Boesch","given":"Sylvia"}],"issued":{"date-parts":[["2022",1]]}}}],"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3</w:t>
            </w:r>
            <w:r w:rsidRPr="005500F7">
              <w:rPr>
                <w:rFonts w:ascii="Aptos" w:hAnsi="Aptos"/>
                <w:sz w:val="20"/>
                <w:szCs w:val="20"/>
              </w:rPr>
              <w:fldChar w:fldCharType="end"/>
            </w:r>
            <w:r w:rsidRPr="005500F7">
              <w:rPr>
                <w:rFonts w:ascii="Aptos" w:hAnsi="Aptos"/>
                <w:sz w:val="20"/>
                <w:szCs w:val="20"/>
              </w:rPr>
              <w:t>. Postural and movement abnormalities spread to limbs and neck during the progression phase, with occasional articulation difficulties .</w:t>
            </w:r>
            <w:r w:rsidRPr="005500F7">
              <w:rPr>
                <w:rFonts w:ascii="Aptos" w:hAnsi="Aptos"/>
                <w:sz w:val="20"/>
                <w:szCs w:val="20"/>
              </w:rPr>
              <w:fldChar w:fldCharType="begin"/>
            </w:r>
            <w:r w:rsidRPr="005500F7">
              <w:rPr>
                <w:rFonts w:ascii="Aptos" w:hAnsi="Aptos"/>
                <w:sz w:val="20"/>
                <w:szCs w:val="20"/>
              </w:rPr>
              <w:instrText xml:space="preserve"> ADDIN ZOTERO_ITEM CSL_CITATION {"citationID":"WZSF7FLg","properties":{"formattedCitation":"\\super 2\\uc0\\u8211{}4\\nosupersub{}","plainCitation":"2–4","noteIndex":0},"citationItems":[{"id":307,"uris":["http://zotero.org/users/local/qbj29eOf/items/TZCYE22Y"],"itemData":{"id":307,"type":"article-journal","container-title":"Parkinsonism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olger"},{"family":"Winkelmann","given":"Juliane"},{"family":"Zech","given":"Michael"}],"issued":{"date-parts":[["2022",4]]}}},{"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Madeleine"},{"family":"Fung","given":"Victor S.C."},{"family":"Vidailhet","given":"Marie"},{"family":"Baumann","given":"Matthias"},{"family":"Marquardt","given":"Thorsten"},{"family":"Winkelmann","given":"Juliane"},{"family":"Boesch","given":"Sylvia"}],"issued":{"date-parts":[["2022",1]]}}},{"id":305,"uris":["http://zotero.org/users/local/qbj29eOf/items/LUNHIN9X"],"itemData":{"id":305,"type":"article-journal","container-title":"Movement Disorders","DOI":"10.1002/mds.28928","ISSN":"0885-3185, 1531-8257","issue":"4","journalAbbreviation":"Movement Disorders","language":"en","page":"874-875","source":"DOI.org (Crossref)","title":"&lt;span style=\"font-variant:small-caps;\"&gt; &lt;i&gt;AOPEP&lt;/i&gt; &lt;/span&gt; Homozygous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 in an Indian Patient with Early</w:instrText>
            </w:r>
            <w:r w:rsidRPr="005500F7">
              <w:rPr>
                <w:rFonts w:ascii="Cambria Math" w:hAnsi="Cambria Math" w:cs="Cambria Math"/>
                <w:sz w:val="20"/>
                <w:szCs w:val="20"/>
              </w:rPr>
              <w:instrText>‐</w:instrText>
            </w:r>
            <w:r w:rsidRPr="005500F7">
              <w:rPr>
                <w:rFonts w:ascii="Aptos" w:hAnsi="Aptos"/>
                <w:sz w:val="20"/>
                <w:szCs w:val="20"/>
              </w:rPr>
              <w:instrText xml:space="preserve">Onset Generalized Dystonia","title-short":"&lt;span style=\"font-variant","volume":"37","author":[{"family":"Fevga","given":"Christina"},{"family":"Ferraro","given":"Federico"},{"family":"Breedveld","given":"Guido J."},{"family":"Savant Sankhla","given":"Charulata"},{"family":"Bonifati","given":"Vincenzo"}],"issued":{"date-parts":[["2022",4]]}}}],"schema":"https://github.com/citation-style-language/schema/raw/master/csl-citation.json"}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2–4</w:t>
            </w:r>
            <w:r w:rsidRPr="005500F7">
              <w:rPr>
                <w:rFonts w:ascii="Aptos" w:hAnsi="Aptos"/>
                <w:sz w:val="20"/>
                <w:szCs w:val="20"/>
              </w:rPr>
              <w:fldChar w:fldCharType="end"/>
            </w:r>
            <w:r w:rsidRPr="005500F7">
              <w:rPr>
                <w:rFonts w:ascii="Aptos" w:hAnsi="Aptos"/>
                <w:sz w:val="20"/>
                <w:szCs w:val="20"/>
              </w:rPr>
              <w:t xml:space="preserve"> Dystonia tends to be generalized</w:t>
            </w:r>
            <w:r w:rsidRPr="005500F7">
              <w:rPr>
                <w:rFonts w:ascii="Aptos" w:hAnsi="Aptos"/>
                <w:sz w:val="20"/>
                <w:szCs w:val="20"/>
              </w:rPr>
              <w:fldChar w:fldCharType="begin"/>
            </w:r>
            <w:r w:rsidRPr="005500F7">
              <w:rPr>
                <w:rFonts w:ascii="Aptos" w:hAnsi="Aptos"/>
                <w:sz w:val="20"/>
                <w:szCs w:val="20"/>
              </w:rPr>
              <w:instrText xml:space="preserve"> ADDIN ZOTERO_ITEM CSL_CITATION {"citationID":"kQsDmRrp","properties":{"formattedCitation":"\\super 2\\uc0\\u8211{}6\\nosupersub{}","plainCitation":"2–6","noteIndex":0},"citationItems":[{"id":307,"uris":["http://zotero.org/users/local/qbj29eOf/items/TZCYE22Y"],"itemData":{"id":307,"type":"article-journal","container-title":"Parkinsonism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olger"},{"family":"Winkelmann","given":"Juliane"},{"family":"Zech","given":"Michael"}],"issued":{"date-parts":[["2022",4]]}}},{"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Madeleine"},{"family":"Fung","given":"Victor S.C."},{"family":"Vidailhet","given":"Marie"},{"family":"Baumann","given":"Matthias"},{"family":"Marquardt","given":"Thorsten"},{"family":"Winkelmann","given":"Juliane"},{"family":"Boesch","given":"Sylvia"}],"issued":{"date-parts":[["2022",1]]}}},{"id":305,"uris":["http://zotero.org/users/local/qbj29eOf/items/LUNHIN9X"],"itemData":{"id":305,"type":"article-journal","container-title":"Movement Disorders","DOI":"10.1002/mds.28928","ISSN":"0885-3185, 1531-8257","issue":"4","journalAbbreviation":"Movement Disorders","language":"en","page":"874-875","source":"DOI.org (Crossref)","title":"&lt;span style=\"font-variant:small-caps;\"&gt; &lt;i&gt;AOPEP&lt;/i&gt; &lt;/span&gt; Homozygous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 in an Indian Patient with Early</w:instrText>
            </w:r>
            <w:r w:rsidRPr="005500F7">
              <w:rPr>
                <w:rFonts w:ascii="Cambria Math" w:hAnsi="Cambria Math" w:cs="Cambria Math"/>
                <w:sz w:val="20"/>
                <w:szCs w:val="20"/>
              </w:rPr>
              <w:instrText>‐</w:instrText>
            </w:r>
            <w:r w:rsidRPr="005500F7">
              <w:rPr>
                <w:rFonts w:ascii="Aptos" w:hAnsi="Aptos"/>
                <w:sz w:val="20"/>
                <w:szCs w:val="20"/>
              </w:rPr>
              <w:instrText xml:space="preserve">Onset Generalized Dystonia","title-short":"&lt;span style=\"font-variant","volume":"37","author":[{"family":"Fevga","given":"Christina"},{"family":"Ferraro","given":"Federico"},{"family":"Breedveld","given":"Guido J."},{"family":"Savant Sankhla","given":"Charulata"},{"family":"Bonifati","given":"Vincenzo"}],"issued":{"date-parts":[["2022",4]]}}},{"id":308,"uris":["http://zotero.org/users/local/qbj29eOf/items/RBNBG94L"],"itemData":{"id":308,"type":"article-journal","container-title":"Movement Disorders","DOI":"10.1002/mds.29021","ISSN":"0885-3185, 1531-8257","issue":"5","journalAbbreviation":"Movement Disorders","language":"en","page":"1113-1115","source":"DOI.org (Crossref)","title":"Expanded Genetic Spectrum and Variable Disease Onset in &lt;span style=\"font-variant:small-caps;\"&gt; &lt;i&gt;AOPEP&lt;/i&gt; &lt;/span&gt; </w:instrText>
            </w:r>
            <w:r w:rsidRPr="005500F7">
              <w:rPr>
                <w:rFonts w:ascii="Cambria Math" w:hAnsi="Cambria Math" w:cs="Cambria Math"/>
                <w:sz w:val="20"/>
                <w:szCs w:val="20"/>
              </w:rPr>
              <w:instrText>‐</w:instrText>
            </w:r>
            <w:r w:rsidRPr="005500F7">
              <w:rPr>
                <w:rFonts w:ascii="Aptos" w:hAnsi="Aptos"/>
                <w:sz w:val="20"/>
                <w:szCs w:val="20"/>
              </w:rPr>
              <w:instrText xml:space="preserve">Associated Dystonia","title-short":"Expanded Genetic Spectrum and Variable Disease Onset in &lt;span style=\"font-variant","volume":"37","author":[{"family":"Menden","given":"Benita"},{"family":"Gutschalk","given":"Alexander"},{"family":"Wunderlich","given":"Gilbert"},{"family":"Haack","given":"Tobias B."}],"issued":{"date-parts":[["2022",5]]}}},{"id":312,"uris":["http://zotero.org/users/local/qbj29eOf/items/E29VSH55"],"itemData":{"id":312,"type":"article-journal","container-title":"Journal of Neurology","DOI":"10.1007/s00415-023-11665-7","ISSN":"0340-5354, 1432-1459","issue":"6","journalAbbreviation":"J Neurol","language":"en","page":"3225-3233","source":"DOI.org (Crossref)","title":"Mutation screening of AOPEP variants in a large dystonia cohort","volume":"270","author":[{"family":"Lin","given":"Junyu"},{"family":"Li","given":"Chunyu"},{"family":"Cui","given":"Yiyuan"},{"family":"Hou","given":"Yanbing"},{"family":"Zhang","given":"Lingyu"},{"family":"Ou","given":"Ruwei"},{"family":"Wei","given":"Qianqian"},{"family":"Liu","given":"Kuncheng"},{"family":"Huang","given":"Rui"},{"family":"Yang","given":"Tianmi"},{"family":"Xiao","given":"Yi"},{"family":"Jiang","given":"Qirui"},{"family":"Yang","given":"Jing"},{"family":"Chen","given":"Xueping"},{"family":"Shang","given":"Huifang"}],"issued":{"date-parts":[["2023",6]]}}}],"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2–6</w:t>
            </w:r>
            <w:r w:rsidRPr="005500F7">
              <w:rPr>
                <w:rFonts w:ascii="Aptos" w:hAnsi="Aptos"/>
                <w:sz w:val="20"/>
                <w:szCs w:val="20"/>
              </w:rPr>
              <w:fldChar w:fldCharType="end"/>
            </w:r>
            <w:r w:rsidRPr="005500F7">
              <w:rPr>
                <w:rFonts w:ascii="Aptos" w:hAnsi="Aptos"/>
                <w:sz w:val="20"/>
                <w:szCs w:val="20"/>
              </w:rPr>
              <w:t xml:space="preserve"> sometimes with Parkinsonian features </w:t>
            </w:r>
            <w:r w:rsidRPr="005500F7">
              <w:rPr>
                <w:rFonts w:ascii="Aptos" w:hAnsi="Aptos"/>
                <w:sz w:val="20"/>
                <w:szCs w:val="20"/>
              </w:rPr>
              <w:fldChar w:fldCharType="begin"/>
            </w:r>
            <w:r w:rsidRPr="005500F7">
              <w:rPr>
                <w:rFonts w:ascii="Aptos" w:hAnsi="Aptos"/>
                <w:sz w:val="20"/>
                <w:szCs w:val="20"/>
              </w:rPr>
              <w:instrText xml:space="preserve"> ADDIN ZOTERO_ITEM CSL_CITATION {"citationID":"N5Of7tll","properties":{"formattedCitation":"\\super 2,3,6\\nosupersub{}","plainCitation":"2,3,6","noteIndex":0},"citationItems":[{"id":307,"uris":["http://zotero.org/users/local/qbj29eOf/items/TZCYE22Y"],"itemData":{"id":307,"type":"article-journal","container-title":"Parkinsonism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olger"},{"family":"Winkelmann","given":"Juliane"},{"family":"Zech","given":"Michael"}],"issued":{"date-parts":[["2022",4]]}}},{"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 xml:space="preserve">Madeleine"},{"family":"Fung","given":"Victor S.C."},{"family":"Vidailhet","given":"Marie"},{"family":"Baumann","given":"Matthias"},{"family":"Marquardt","given":"Thorsten"},{"family":"Winkelmann","given":"Juliane"},{"family":"Boesch","given":"Sylvia"}],"issued":{"date-parts":[["2022",1]]}}},{"id":312,"uris":["http://zotero.org/users/local/qbj29eOf/items/E29VSH55"],"itemData":{"id":312,"type":"article-journal","container-title":"Journal of Neurology","DOI":"10.1007/s00415-023-11665-7","ISSN":"0340-5354, 1432-1459","issue":"6","journalAbbreviation":"J Neurol","language":"en","page":"3225-3233","source":"DOI.org (Crossref)","title":"Mutation screening of AOPEP variants in a large dystonia cohort","volume":"270","author":[{"family":"Lin","given":"Junyu"},{"family":"Li","given":"Chunyu"},{"family":"Cui","given":"Yiyuan"},{"family":"Hou","given":"Yanbing"},{"family":"Zhang","given":"Lingyu"},{"family":"Ou","given":"Ruwei"},{"family":"Wei","given":"Qianqian"},{"family":"Liu","given":"Kuncheng"},{"family":"Huang","given":"Rui"},{"family":"Yang","given":"Tianmi"},{"family":"Xiao","given":"Yi"},{"family":"Jiang","given":"Qirui"},{"family":"Yang","given":"Jing"},{"family":"Chen","given":"Xueping"},{"family":"Shang","given":"Huifang"}],"issued":{"date-parts":[["2023",6]]}}}],"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2,3,6</w:t>
            </w:r>
            <w:r w:rsidRPr="005500F7">
              <w:rPr>
                <w:rFonts w:ascii="Aptos" w:hAnsi="Aptos"/>
                <w:sz w:val="20"/>
                <w:szCs w:val="20"/>
              </w:rPr>
              <w:fldChar w:fldCharType="end"/>
            </w:r>
            <w:r w:rsidRPr="005500F7">
              <w:rPr>
                <w:rFonts w:ascii="Aptos" w:hAnsi="Aptos"/>
                <w:sz w:val="20"/>
                <w:szCs w:val="20"/>
              </w:rPr>
              <w:t>. Cognitive issues are typically not prominent.</w:t>
            </w:r>
            <w:r w:rsidRPr="005500F7">
              <w:rPr>
                <w:rFonts w:ascii="Aptos" w:hAnsi="Aptos"/>
                <w:sz w:val="20"/>
                <w:szCs w:val="20"/>
              </w:rPr>
              <w:fldChar w:fldCharType="begin"/>
            </w:r>
            <w:r w:rsidRPr="005500F7">
              <w:rPr>
                <w:rFonts w:ascii="Aptos" w:hAnsi="Aptos"/>
                <w:sz w:val="20"/>
                <w:szCs w:val="20"/>
              </w:rPr>
              <w:instrText xml:space="preserve"> ADDIN ZOTERO_ITEM CSL_CITATION {"citationID":"LTXaCjZZ","properties":{"formattedCitation":"\\super 2\\uc0\\u8211{}6\\nosupersub{}","plainCitation":"2–6","noteIndex":0},"citationItems":[{"id":307,"uris":["http://zotero.org/users/local/qbj29eOf/items/TZCYE22Y"],"itemData":{"id":307,"type":"article-journal","container-title":"Parkinsonism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olger"},{"family":"Winkelmann","given":"Juliane"},{"family":"Zech","given":"Michael"}],"issued":{"date-parts":[["2022",4]]}}},{"id":310,"uris":["http://zotero.org/users/local/qbj29eOf/items/RX4LAW97"],"itemData":{"id":310,"type":"article-journal","container-title":"Movement Disorders","DOI":"10.1002/mds.28804","ISSN":"0885-3185, 1531-8257","issue":"1","journalAbbreviation":"Movement Disorders","language":"en","page":"137-147","source":"DOI.org (Crossref)","title":"Biallelic &lt;span style=\"font-variant:small-caps;\"&gt; &lt;i&gt;AOPEP&lt;/i&gt; &lt;/span&gt;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Variants Cause Progressive Dystonia with Prominent Limb Involvement","title-short":"Biallelic &lt;span style=\"font-variant","volume":"37","author":[{"family":"Zech","given":"Michael"},{"family":"Kumar","given":"Kishore R."},{"family":"Reining","given":"Sophie"},{"family":"Reunert","given":"Janine"},{"family":"Tchan","given":"Michel"},{"family":"Riley","given":"Lisa G."},{"family":"Drew","given":"Alexander P."},{"family":"Adam","given":"Robert J."},{"family":"Berutti","given":"Riccardo"},{"family":"Biskup","given":"Saskia"},{"family":"Derive","given":"Nicolas"},{"family":"Bakhtiari","given":"Somayeh"},{"family":"Jin","given":"Sheng Chih"},{"family":"Kruer","given":"Michael C."},{"family":"Bardakjian","given":"Tanya"},{"family":"Gonzalez</w:instrText>
            </w:r>
            <w:r w:rsidRPr="005500F7">
              <w:rPr>
                <w:rFonts w:ascii="Cambria Math" w:hAnsi="Cambria Math" w:cs="Cambria Math"/>
                <w:sz w:val="20"/>
                <w:szCs w:val="20"/>
              </w:rPr>
              <w:instrText>‐</w:instrText>
            </w:r>
            <w:r w:rsidRPr="005500F7">
              <w:rPr>
                <w:rFonts w:ascii="Aptos" w:hAnsi="Aptos"/>
                <w:sz w:val="20"/>
                <w:szCs w:val="20"/>
              </w:rPr>
              <w:instrText>Alegre","given":"Pedro"},{"family":"Keller Sarmiento","given":"Ignacio J."},{"family":"Mencacci","given":"Niccolo E."},{"family":"Lubbe","given":"Steven J."},{"family":"Kurian","given":"Manju A."},{"family":"Clot","given":"Fabienne"},{"family":"Méneret","given":"Aurélie"},{"family":"Sainte Agathe","given":"Jean</w:instrText>
            </w:r>
            <w:r w:rsidRPr="005500F7">
              <w:rPr>
                <w:rFonts w:ascii="Cambria Math" w:hAnsi="Cambria Math" w:cs="Cambria Math"/>
                <w:sz w:val="20"/>
                <w:szCs w:val="20"/>
              </w:rPr>
              <w:instrText>‐</w:instrText>
            </w:r>
            <w:r w:rsidRPr="005500F7">
              <w:rPr>
                <w:rFonts w:ascii="Aptos" w:hAnsi="Aptos"/>
                <w:sz w:val="20"/>
                <w:szCs w:val="20"/>
              </w:rPr>
              <w:instrText>Madeleine"},{"family":"Fung","given":"Victor S.C."},{"family":"Vidailhet","given":"Marie"},{"family":"Baumann","given":"Matthias"},{"family":"Marquardt","given":"Thorsten"},{"family":"Winkelmann","given":"Juliane"},{"family":"Boesch","given":"Sylvia"}],"issued":{"date-parts":[["2022",1]]}}},{"id":305,"uris":["http://zotero.org/users/local/qbj29eOf/items/LUNHIN9X"],"itemData":{"id":305,"type":"article-journal","container-title":"Movement Disorders","DOI":"10.1002/mds.28928","ISSN":"0885-3185, 1531-8257","issue":"4","journalAbbreviation":"Movement Disorders","language":"en","page":"874-875","source":"DOI.org (Crossref)","title":"&lt;span style=\"font-variant:small-caps;\"&gt; &lt;i&gt;AOPEP&lt;/i&gt; &lt;/span&gt; Homozygous Loss</w:instrText>
            </w:r>
            <w:r w:rsidRPr="005500F7">
              <w:rPr>
                <w:rFonts w:ascii="Cambria Math" w:hAnsi="Cambria Math" w:cs="Cambria Math"/>
                <w:sz w:val="20"/>
                <w:szCs w:val="20"/>
              </w:rPr>
              <w:instrText>‐</w:instrText>
            </w:r>
            <w:r w:rsidRPr="005500F7">
              <w:rPr>
                <w:rFonts w:ascii="Aptos" w:hAnsi="Aptos"/>
                <w:sz w:val="20"/>
                <w:szCs w:val="20"/>
              </w:rPr>
              <w:instrText>of</w:instrText>
            </w:r>
            <w:r w:rsidRPr="005500F7">
              <w:rPr>
                <w:rFonts w:ascii="Cambria Math" w:hAnsi="Cambria Math" w:cs="Cambria Math"/>
                <w:sz w:val="20"/>
                <w:szCs w:val="20"/>
              </w:rPr>
              <w:instrText>‐</w:instrText>
            </w:r>
            <w:r w:rsidRPr="005500F7">
              <w:rPr>
                <w:rFonts w:ascii="Aptos" w:hAnsi="Aptos"/>
                <w:sz w:val="20"/>
                <w:szCs w:val="20"/>
              </w:rPr>
              <w:instrText>Function Variant in an Indian Patient with Early</w:instrText>
            </w:r>
            <w:r w:rsidRPr="005500F7">
              <w:rPr>
                <w:rFonts w:ascii="Cambria Math" w:hAnsi="Cambria Math" w:cs="Cambria Math"/>
                <w:sz w:val="20"/>
                <w:szCs w:val="20"/>
              </w:rPr>
              <w:instrText>‐</w:instrText>
            </w:r>
            <w:r w:rsidRPr="005500F7">
              <w:rPr>
                <w:rFonts w:ascii="Aptos" w:hAnsi="Aptos"/>
                <w:sz w:val="20"/>
                <w:szCs w:val="20"/>
              </w:rPr>
              <w:instrText xml:space="preserve">Onset Generalized Dystonia","title-short":"&lt;span style=\"font-variant","volume":"37","author":[{"family":"Fevga","given":"Christina"},{"family":"Ferraro","given":"Federico"},{"family":"Breedveld","given":"Guido J."},{"family":"Savant Sankhla","given":"Charulata"},{"family":"Bonifati","given":"Vincenzo"}],"issued":{"date-parts":[["2022",4]]}}},{"id":308,"uris":["http://zotero.org/users/local/qbj29eOf/items/RBNBG94L"],"itemData":{"id":308,"type":"article-journal","container-title":"Movement Disorders","DOI":"10.1002/mds.29021","ISSN":"0885-3185, 1531-8257","issue":"5","journalAbbreviation":"Movement Disorders","language":"en","page":"1113-1115","source":"DOI.org (Crossref)","title":"Expanded Genetic Spectrum and Variable Disease Onset in &lt;span style=\"font-variant:small-caps;\"&gt; &lt;i&gt;AOPEP&lt;/i&gt; &lt;/span&gt; </w:instrText>
            </w:r>
            <w:r w:rsidRPr="005500F7">
              <w:rPr>
                <w:rFonts w:ascii="Cambria Math" w:hAnsi="Cambria Math" w:cs="Cambria Math"/>
                <w:sz w:val="20"/>
                <w:szCs w:val="20"/>
              </w:rPr>
              <w:instrText>‐</w:instrText>
            </w:r>
            <w:r w:rsidRPr="005500F7">
              <w:rPr>
                <w:rFonts w:ascii="Aptos" w:hAnsi="Aptos"/>
                <w:sz w:val="20"/>
                <w:szCs w:val="20"/>
              </w:rPr>
              <w:instrText xml:space="preserve">Associated Dystonia","title-short":"Expanded Genetic Spectrum and Variable Disease Onset in &lt;span style=\"font-variant","volume":"37","author":[{"family":"Menden","given":"Benita"},{"family":"Gutschalk","given":"Alexander"},{"family":"Wunderlich","given":"Gilbert"},{"family":"Haack","given":"Tobias B."}],"issued":{"date-parts":[["2022",5]]}}},{"id":312,"uris":["http://zotero.org/users/local/qbj29eOf/items/E29VSH55"],"itemData":{"id":312,"type":"article-journal","container-title":"Journal of Neurology","DOI":"10.1007/s00415-023-11665-7","ISSN":"0340-5354, 1432-1459","issue":"6","journalAbbreviation":"J Neurol","language":"en","page":"3225-3233","source":"DOI.org (Crossref)","title":"Mutation screening of AOPEP variants in a large dystonia cohort","volume":"270","author":[{"family":"Lin","given":"Junyu"},{"family":"Li","given":"Chunyu"},{"family":"Cui","given":"Yiyuan"},{"family":"Hou","given":"Yanbing"},{"family":"Zhang","given":"Lingyu"},{"family":"Ou","given":"Ruwei"},{"family":"Wei","given":"Qianqian"},{"family":"Liu","given":"Kuncheng"},{"family":"Huang","given":"Rui"},{"family":"Yang","given":"Tianmi"},{"family":"Xiao","given":"Yi"},{"family":"Jiang","given":"Qirui"},{"family":"Yang","given":"Jing"},{"family":"Chen","given":"Xueping"},{"family":"Shang","given":"Huifang"}],"issued":{"date-parts":[["2023",6]]}}}],"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2–6</w:t>
            </w:r>
            <w:r w:rsidRPr="005500F7">
              <w:rPr>
                <w:rFonts w:ascii="Aptos" w:hAnsi="Aptos"/>
                <w:sz w:val="20"/>
                <w:szCs w:val="20"/>
              </w:rPr>
              <w:fldChar w:fldCharType="end"/>
            </w:r>
          </w:p>
        </w:tc>
      </w:tr>
      <w:tr w:rsidR="005500F7" w:rsidRPr="005500F7" w14:paraId="3BD91B9D" w14:textId="77777777" w:rsidTr="002C08A9">
        <w:trPr>
          <w:trHeight w:val="1018"/>
        </w:trPr>
        <w:tc>
          <w:tcPr>
            <w:tcW w:w="593" w:type="pct"/>
            <w:tcBorders>
              <w:top w:val="single" w:sz="4" w:space="0" w:color="auto"/>
              <w:left w:val="nil"/>
              <w:bottom w:val="single" w:sz="4" w:space="0" w:color="auto"/>
              <w:right w:val="nil"/>
            </w:tcBorders>
            <w:shd w:val="clear" w:color="auto" w:fill="auto"/>
            <w:vAlign w:val="center"/>
          </w:tcPr>
          <w:p w14:paraId="2CE0E017" w14:textId="4632DEDB"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GNAL</w:t>
            </w:r>
          </w:p>
        </w:tc>
        <w:tc>
          <w:tcPr>
            <w:tcW w:w="4407" w:type="pct"/>
            <w:tcBorders>
              <w:top w:val="single" w:sz="4" w:space="0" w:color="auto"/>
              <w:left w:val="nil"/>
              <w:bottom w:val="single" w:sz="4" w:space="0" w:color="auto"/>
              <w:right w:val="nil"/>
            </w:tcBorders>
            <w:shd w:val="clear" w:color="auto" w:fill="auto"/>
            <w:vAlign w:val="center"/>
          </w:tcPr>
          <w:p w14:paraId="4A01A30E" w14:textId="289C3F91" w:rsidR="005500F7" w:rsidRPr="005500F7" w:rsidRDefault="005500F7" w:rsidP="00257457">
            <w:pPr>
              <w:spacing w:after="0" w:line="240" w:lineRule="auto"/>
              <w:jc w:val="center"/>
              <w:rPr>
                <w:rFonts w:ascii="Aptos" w:hAnsi="Aptos"/>
                <w:sz w:val="20"/>
                <w:szCs w:val="20"/>
              </w:rPr>
            </w:pPr>
            <w:r w:rsidRPr="005500F7">
              <w:rPr>
                <w:rFonts w:ascii="Aptos" w:hAnsi="Aptos"/>
                <w:i/>
                <w:iCs/>
                <w:sz w:val="20"/>
                <w:szCs w:val="20"/>
              </w:rPr>
              <w:t>GNAL</w:t>
            </w:r>
            <w:r w:rsidRPr="005500F7">
              <w:rPr>
                <w:rFonts w:ascii="Aptos" w:hAnsi="Aptos"/>
                <w:sz w:val="20"/>
                <w:szCs w:val="20"/>
              </w:rPr>
              <w:t xml:space="preserve"> mutations have a dominant inheritance pattern with 94% penetrance.</w:t>
            </w:r>
            <w:r w:rsidRPr="005500F7">
              <w:rPr>
                <w:rFonts w:ascii="Aptos" w:hAnsi="Aptos"/>
                <w:sz w:val="20"/>
                <w:szCs w:val="20"/>
              </w:rPr>
              <w:fldChar w:fldCharType="begin"/>
            </w:r>
            <w:r w:rsidRPr="005500F7">
              <w:rPr>
                <w:rFonts w:ascii="Aptos" w:hAnsi="Aptos"/>
                <w:sz w:val="20"/>
                <w:szCs w:val="20"/>
              </w:rPr>
              <w:instrText xml:space="preserve"> ADDIN ZOTERO_ITEM CSL_CITATION {"citationID":"oG99VF79","properties":{"formattedCitation":"\\super 7\\uc0\\u8211{}9\\nosupersub{}","plainCitation":"7–9","noteIndex":0},"citationItems":[{"id":332,"uris":["http://zotero.org/users/local/qbj29eOf/items/V63ENVFE"],"itemData":{"id":332,"type":"article-journal","container-title":"Nature Genetics","DOI":"10.1038/ng.2496","ISSN":"1061-4036, 1546-1718","issue":"1","journalAbbreviation":"Nat Genet","language":"en","page":"88-92","source":"DOI.org (Crossref)","title":"Mutations in GNAL cause primary torsion dystonia","volume":"45","author":[{"family":"Fuchs","given":"Tania"},{"family":"Saunders-Pullman","given":"Rachel"},{"family":"Masuho","given":"Ikuo"},{"family":"Luciano","given":"Marta San"},{"family":"Raymond","given":"Deborah"},{"family":"Factor","given":"Stewart"},{"family":"Lang","given":"Anthony E"},{"family":"Liang","given":"Tsao-Wei"},{"family":"Trosch","given":"Richard M"},{"family":"White","given":"Sierra"},{"family":"Ainehsazan","given":"Edmond"},{"family":"Hervé","given":"Denis"},{"family":"Sharma","given":"Nutan"},{"family":"Ehrlich","given":"Michelle E"},{"family":"Martemyanov","given":"Kirill A"},{"family":"Bressman","given":"Susan B"},{"family":"Ozelius","given":"Laurie J"}],"issued":{"date-parts":[["2013",1]]}}},{"id":360,"uris":["http://zotero.org/users/local/qbj29eOf/items/PXIB344T"],"itemData":{"id":360,"type":"article-journal","abstract":"Globus pallidus internus deep brain stimulation (GPi DBS) is the most effective intervention for medically refractory segmental and generalized dystonia in both children and adults. Predictive factors for the degree of improvement after GPi DBS include shorter disease duration and dystonia subtype with idiopathic isolated dystonia usually responding better than acquired combined dystonias. Other factors contributing to variability in outcome may include body distribution, pattern of dystonia and DBS related factors such as lead placement and stimulation parameters. The responsiveness to DBS appears to vary between different monogenic forms of dystonia, with some improving more than others. The first observation in this regard was reports of superior DBS outcomes in DYT-TOR1A (DYT1) dystonia, although other studies have found no difference. Recently a subgroup with young onset DYT-TOR1A, more rapid progression and secondary worsening after effective GPi DBS, has been described. Myoclonus dystonia due to DYT-SCGE (DYT11) usually responds well to GPi DBS. Good outcomes following GPi DBS have also been documented in X-linked dystonia Parkinsonism (DYT3). In contrast, poorer, more variable DBS outcomes have been reported in DYT-THAP1 (DYT6) including a recent larger series. The outcome of GPi DBS in other monogenic isolated and combined dystonias including DYT-GNAL (DYT25), DYT-KMT2B (DYT28), DYT-ATP1A3 (DYT12), and DYT-ANO3 (DYT24) have been reported with varying results in smaller numbers of patients. In this article the available evidence for long term GPi DBS outcome between different genetic dystonias is reviewed to reappraise popular perceptions of expected outcomes and revisit whether genetic diagnosis may assist in predicting DBS outcome.","container-title":"Frontiers in Neurology","DOI":"10.3389/fneur.2020.630391","ISSN":"1664-2295","journalAbbreviation":"Front. Neurol.","page":"630391","source":"DOI.org (Crossref)","title":"Pallidal Deep Brain Stimulation for Monogenic Dystonia: The Effect of Gene on Outcome","title-short":"Pallidal Deep Brain Stimulation for Monogenic Dystonia","volume":"11","author":[{"family":"Tisch","given":"Stephen"},{"family":"Kumar","given":"Kishore Raj"}],"issued":{"date-parts":[["2021",1,8]]}}},{"id":338,"uris":["http://zotero.org/users/local/qbj29eOf/items/9E28XHKI"],"itemData":{"id":338,"type":"article-journal","container-title":"Movement Disorders","DOI":"10.1002/mds.25876","ISSN":"08853185","issue":"9","journalAbbreviation":"Mov Disord.","language":"en","page":"1190-1193","source":"DOI.org (Crossref)","title":"De novo mutation in the &lt;i&gt;GNAL&lt;/i&gt; gene causing seemingly sporadic dystonia in a Serbian patient: DE NOVO &lt;i&gt;GNAL&lt;/i&gt; (DYT25) MUTATION","title-short":"De novo mutation in the &lt;i&gt;GNAL&lt;/i&gt; gene causing seemingly sporadic dystonia in a Serbian patient","volume":"29","author":[{"family":"Dobričić","given":"Valerija"},{"family":"Kresojević","given":"Nikola"},{"family":"Westenberger","given":"Ana"},{"family":"Svetel","given":"Marina"},{"family":"Tomić","given":"Aleksandra"},{"family":"Ralić","given":"Vesna"},{"family":"Petrović","given":"Igor"},{"family":"Lukić","given":"Milica Ječmenica"},{"family":"Lohmann","given":"Katja"},{"family":"Novaković","given":"Ivana"},{"family":"Klein","given":"Christine"},{"family":"Kostić","given":"Vladimir S."}],"issued":{"date-parts":[["2014",8]]}}}],"schema":"https://github.com/citation-style-language/schema/raw/master/csl-citation.json"}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7–9</w:t>
            </w:r>
            <w:r w:rsidRPr="005500F7">
              <w:rPr>
                <w:rFonts w:ascii="Aptos" w:hAnsi="Aptos"/>
                <w:sz w:val="20"/>
                <w:szCs w:val="20"/>
              </w:rPr>
              <w:fldChar w:fldCharType="end"/>
            </w:r>
            <w:r w:rsidRPr="005500F7">
              <w:rPr>
                <w:rFonts w:ascii="Aptos" w:hAnsi="Aptos"/>
                <w:sz w:val="20"/>
                <w:szCs w:val="20"/>
              </w:rPr>
              <w:t xml:space="preserve"> The majority of </w:t>
            </w:r>
            <w:r w:rsidRPr="005500F7">
              <w:rPr>
                <w:rFonts w:ascii="Aptos" w:hAnsi="Aptos"/>
                <w:i/>
                <w:iCs/>
                <w:sz w:val="20"/>
                <w:szCs w:val="20"/>
              </w:rPr>
              <w:t>GNAL</w:t>
            </w:r>
            <w:r w:rsidRPr="005500F7">
              <w:rPr>
                <w:rFonts w:ascii="Aptos" w:hAnsi="Aptos"/>
                <w:sz w:val="20"/>
                <w:szCs w:val="20"/>
              </w:rPr>
              <w:t xml:space="preserve"> patients experience cervical dystonia, approximately 84%, with an average onset age of 35.4 years.</w:t>
            </w:r>
            <w:r w:rsidRPr="005500F7">
              <w:rPr>
                <w:rFonts w:ascii="Aptos" w:hAnsi="Aptos"/>
                <w:sz w:val="20"/>
                <w:szCs w:val="20"/>
              </w:rPr>
              <w:fldChar w:fldCharType="begin"/>
            </w:r>
            <w:r w:rsidRPr="005500F7">
              <w:rPr>
                <w:rFonts w:ascii="Aptos" w:hAnsi="Aptos"/>
                <w:sz w:val="20"/>
                <w:szCs w:val="20"/>
              </w:rPr>
              <w:instrText xml:space="preserve"> ADDIN ZOTERO_ITEM CSL_CITATION {"citationID":"R33lp9jS","properties":{"formattedCitation":"\\super 10\\uc0\\u8211{}17\\nosupersub{}","plainCitation":"10–17","noteIndex":0},"citationItems":[{"id":344,"uris":["http://zotero.org/users/local/qbj29eOf/items/QW99SXWR"],"itemData":{"id":344,"type":"article-journal","container-title":"Movement Disorders","DOI":"10.1002/mds.26458","ISSN":"08853185","issue":"13","journalAbbreviation":"Mov Disord.","language":"en","page":"1853-1854","source":"DOI.org (Crossref)","title":"&lt;i&gt;TOR1A, THAP1&lt;/i&gt; , and &lt;i&gt;GNAL&lt;/i&gt; mutational screening in Austrian patients with primary isolated dystonia: Letter to the Editors","title-short":"&lt;i&gt;TOR1A, THAP1&lt;/i&gt; , and &lt;i&gt;GNAL&lt;/i&gt; mutational screening in Austrian patients with primary isolated dystonia","volume":"30","author":[{"family":"Zech","given":"Michael"},{"family":"Boesch","given":"Sylvia"},{"family":"Sycha","given":"Thomas"},{"family":"Mueller","given":"Joerg"},{"family":"Poewe","given":"Werner"},{"family":"Winkelmann","given":"Juliane"}],"issued":{"date-parts":[["2015",11]]}},"label":"page"},{"id":334,"uris":["http://zotero.org/users/local/qbj29eOf/items/XI2HM5RZ"],"itemData":{"id":334,"type":"article-journal","container-title":"Parkinsonism &amp; Related Disorders","DOI":"10.1016/j.parkreldis.2013.05.011","ISSN":"13538020","issue":"10","journalAbbreviation":"Parkinsonism &amp; Related Disorders","language":"en","page":"910-912","source":"DOI.org (Crossref)","title":"Mutation screening of GNAL gene in patients with primary dystonia from Northeast China","volume":"19","author":[{"family":"Miao","given":"Jing"},{"family":"Wan","given":"Xin-Hua"},{"family":"Sun","given":"Yuan"},{"family":"Feng","given":"Jia-Chun"},{"family":"Cheng","given":"Fu-Bo"}],"issued":{"date-parts":[["2013",10]]}}},{"id":335,"uris":["http://zotero.org/users/local/qbj29eOf/items/UTPRCCMQ"],"itemData":{"id":335,"type":"article-journal","container-title":"Human Molecular Genetics","DOI":"10.1093/hmg/ddt102","ISSN":"1460-2083, 0964-6906","issue":"12","language":"en","page":"2510-2519","source":"DOI.org (Crossref)","title":"Role of Gα(olf) in familial and sporadic adult-onset primary dystonia","volume":"22","author":[{"family":"Vemula","given":"Satya R."},{"family":"Puschmann","given":"Andreas"},{"family":"Xiao","given":"Jianfeng"},{"family":"Zhao","given":"Yu"},{"family":"Rudzińska","given":"Monika"},{"family":"Frei","given":"Karen P."},{"family":"Truong","given":"Daniel D."},{"family":"Wszolek","given":"Zbigniew K."},{"family":"LeDoux","given":"Mark S."}],"issued":{"date-parts":[["2013",6,15]]}}},{"id":340,"uris":["http://zotero.org/users/local/qbj29eOf/items/D26WQUQG"],"itemData":{"id":340,"type":"article-journal","container-title":"Movement Disorders","DOI":"10.1002/mds.25818","ISSN":"08853185","issue":"6","journalAbbreviation":"Mov Disord.","language":"en","page":"812-818","source":"DOI.org (Crossref)","title":"Heterogeneity in primary dystonia: Lessons from &lt;i&gt;THAP1&lt;/i&gt; , &lt;i&gt;GNAL&lt;/i&gt; , and &lt;i&gt;TOR1A&lt;/i&gt; in Amish-Mennonites: &lt;i&gt;THAP1&lt;/i&gt; , &lt;i&gt;GNAL&lt;/i&gt; , AND &lt;i&gt;TOR1A&lt;/i&gt; in Amish-Mennonites","title-short":"Heterogeneity in primary dystonia","volume":"29","author":[{"family":"Saunders-Pullman","given":"Rachel"},{"family":"Fuchs","given":"Tania"},{"family":"San Luciano","given":"Marta"},{"family":"Raymond","given":"Deborah"},{"family":"Brashear","given":"Alison"},{"family":"Ortega","given":"Robert"},{"family":"Deik","given":"Andres"},{"family":"Ozelius","given":"Laurie J."},{"family":"Bressman","given":"Susan B."}],"issued":{"date-parts":[["2014",5]]}}},{"id":342,"uris":["http://zotero.org/users/local/qbj29eOf/items/HBX5ZUUF"],"itemData":{"id":342,"type":"article-journal","container-title":"Movement Disorders","DOI":"10.1002/mds.26066","ISSN":"08853185","issue":"14","journalAbbreviation":"Mov Disord.","language":"en","page":"1833-1834","source":"DOI.org (Crossref)","title":"Novel &lt;i&gt;GNAL&lt;/i&gt; mutations in two German patients with sporadic dystonia: LETTERS: NEW OBSERVATIONS","title-short":"Novel &lt;i&gt;GNAL&lt;/i&gt; mutations in two German patients with sporadic dystonia","volume":"29","author":[{"family":"Ziegan","given":"Julia"},{"family":"Wittstock","given":"Matthias"},{"family":"Westenberger","given":"Ana"},{"family":"Dobričić","given":"Valerija"},{"family":"Wolters","given":"Alexander"},{"family":"Benecke","given":"Reiner"},{"family":"Klein","given":"Christine"},{"family":"Kamm","given":"Christoph"}],"issued":{"date-parts":[["2014",12]]}}},{"id":345,"uris":["http://zotero.org/users/local/qbj29eOf/items/FSC5Q7KY"],"itemData":{"id":345,"type":"article-journal","container-title":"Parkinsonism &amp; Related Disorders","DOI":"10.1016/j.parkreldis.2015.12.012","ISSN":"13538020","journalAbbreviation":"Parkinsonism &amp; Related Disorders","language":"en","page":"66-71","source":"DOI.org (Crossref)","title":"Novel GNAL mutation with intra-familial clinical heterogeneity: Expanding the phenotype","title-short":"Novel GNAL mutation with intra-familial clinical heterogeneity","volume":"23","author":[{"family":"Carecchio","given":"Miryam"},{"family":"Panteghini","given":"Celeste"},{"family":"Reale","given":"Chiara"},{"family":"Barzaghi","given":"Chiara"},{"family":"Monti","given":"Valentina"},{"family":"Romito","given":"Luigi"},{"family":"Sasanelli","given":"Francesco"},{"family":"Garavaglia","given":"Barbara"}],"issued":{"date-parts":[["2016",2]]}},"label":"page"},{"id":346,"uris":["http://zotero.org/users/local/qbj29eOf/items/8SUANI8L"],"itemData":{"id":346,"type":"article-journal","container-title":"Neurology Genetics","DOI":"10.1212/NXG.0000000000000069","ISSN":"2376-7839","issue":"3","journalAbbreviation":"Neurol Genet","language":"en","page":"e69","source":"DOI.org (Crossref)","title":"Clinical and genetic features of cervical dystonia in a large multicenter cohort","volume":"2","author":[{"family":"LeDoux","given":"Mark S."},{"family":"Vemula","given":"Satya R."},{"family":"Xiao","given":"Jianfeng"},{"family":"Thompson","given":"Misty M."},{"family":"Perlmutter","given":"Joel S."},{"family":"Wright","given":"Laura J."},{"family":"Jinnah","given":"H.A."},{"family":"Rosen","given":"Ami R."},{"family":"Hedera","given":"Peter"},{"family":"Comella","given":"Cynthia L."},{"family":"Weissbach","given":"Anne"},{"family":"Junker","given":"Johanna"},{"family":"Jankovic","given":"Joseph"},{"family":"Barbano","given":"Richard L."},{"family":"Reich","given":"Stephen G."},{"family":"Rodriguez","given":"Ramon L."},{"family":"Berman","given":"Brian D."},{"family":"Chouinard","given":"Sylvain"},{"family":"Severt","given":"Lawrence"},{"family":"Agarwal","given":"Pinky"}],"issued":{"date-parts":[["2016",6]]}}},{"id":356,"uris":["http://zotero.org/users/local/qbj29eOf/items/V2ET7XMJ"],"itemData":{"id":356,"type":"article-journal","container-title":"Movement Disorders","DOI":"10.1002/mds.27585","ISSN":"0885-3185, 1531-8257","issue":"2","journalAbbreviation":"Mov Disord.","language":"en","page":"301-303","source":"DOI.org (Crossref)","title":"Deep Brain Stimulation in Isolated Dystonia With a &lt;i&gt;GNAL&lt;/i&gt; Mutation","volume":"34","author":[{"family":"Sarva","given":"Harini"},{"family":"Trosch","given":"Richard"},{"family":"Kiss","given":"Zelma H.T."},{"family":"Furtado","given":"Sarah"},{"family":"Luciano","given":"Marta San"},{"family":"Glickman","given":"Amanda"},{"family":"Raymond","given":"Deborah"},{"family":"Ozelius","given":"Laurie J."},{"family":"Bressman","given":"Susan B."},{"family":"Saunders</w:instrText>
            </w:r>
            <w:r w:rsidRPr="005500F7">
              <w:rPr>
                <w:rFonts w:ascii="Cambria Math" w:hAnsi="Cambria Math" w:cs="Cambria Math"/>
                <w:sz w:val="20"/>
                <w:szCs w:val="20"/>
              </w:rPr>
              <w:instrText>‐</w:instrText>
            </w:r>
            <w:r w:rsidRPr="005500F7">
              <w:rPr>
                <w:rFonts w:ascii="Aptos" w:hAnsi="Aptos"/>
                <w:sz w:val="20"/>
                <w:szCs w:val="20"/>
              </w:rPr>
              <w:instrText xml:space="preserve">Pullman","given":"Rachel"}],"issued":{"date-parts":[["2019",2]]}}}],"schema":"https://github.com/citation-style-language/schema/raw/master/csl-citation.json"}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10–17</w:t>
            </w:r>
            <w:r w:rsidRPr="005500F7">
              <w:rPr>
                <w:rFonts w:ascii="Aptos" w:hAnsi="Aptos"/>
                <w:sz w:val="20"/>
                <w:szCs w:val="20"/>
              </w:rPr>
              <w:fldChar w:fldCharType="end"/>
            </w:r>
            <w:r w:rsidRPr="005500F7">
              <w:rPr>
                <w:rFonts w:ascii="Aptos" w:hAnsi="Aptos"/>
                <w:sz w:val="20"/>
                <w:szCs w:val="20"/>
              </w:rPr>
              <w:t xml:space="preserve"> The symptoms generally remain focal in the neck area or multifocal (cranial or upper limb involvement) (~52% and ~36%, respectively) without significant cognitive and psychiatric issues.</w:t>
            </w:r>
            <w:r w:rsidRPr="005500F7">
              <w:rPr>
                <w:rFonts w:ascii="Aptos" w:hAnsi="Aptos"/>
                <w:sz w:val="20"/>
                <w:szCs w:val="20"/>
              </w:rPr>
              <w:fldChar w:fldCharType="begin"/>
            </w:r>
            <w:r w:rsidRPr="005500F7">
              <w:rPr>
                <w:rFonts w:ascii="Aptos" w:hAnsi="Aptos"/>
                <w:sz w:val="20"/>
                <w:szCs w:val="20"/>
              </w:rPr>
              <w:instrText xml:space="preserve"> ADDIN ZOTERO_ITEM CSL_CITATION {"citationID":"A438HUvP","properties":{"formattedCitation":"\\super 18,19\\nosupersub{}","plainCitation":"18,19","noteIndex":0},"citationItems":[{"id":359,"uris":["http://zotero.org/users/local/qbj29eOf/items/DNZMCWFR"],"itemData":{"id":359,"type":"article-journal","container-title":"Journal of Neural Transmission","DOI":"10.1007/s00702-020-02268-x","ISSN":"0300-9564, 1435-1463","issue":"4","journalAbbreviation":"J Neural Transm","language":"en","page":"405-416","source":"DOI.org (Crossref)","title":"Isolated dystonia: clinical and genetic updates","title-short":"Isolated dystonia","volume":"128","author":[{"family":"Domingo","given":"Aloysius"},{"family":"Yadav","given":"Rachita"},{"family":"Ozelius","given":"Laurie J."}],"issued":{"date-parts":[["2021",4]]}}},{"id":362,"uris":["http://zotero.org/users/local/qbj29eOf/items/FRXDH7ZP"],"itemData":{"id":362,"type":"article-journal","container-title":"Neurological Sciences","DOI":"10.1007/s10072-022-06060-5","ISSN":"1590-1874, 1590-3478","issue":"7","journalAbbreviation":"Neurol Sci","language":"en","page":"4547-4549","source":"DOI.org (Crossref)","title":"A new mutation in the GNAL gene in familial dystonia presenting with mental symptoms","volume":"43","author":[{"family":"Fan","given":"Shanghua"},{"family":"Cao","given":"Qian"},{"family":"Peng","given":"Bin"},{"family":"Yin","given":"Bo"},{"family":"Xiao","given":"Ting"},{"family":"Sun","given":"Liu"},{"family":"Dong","given":"Hongjuan"}],"issued":{"date-parts":[["2022",7]]}}}],"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18,19</w:t>
            </w:r>
            <w:r w:rsidRPr="005500F7">
              <w:rPr>
                <w:rFonts w:ascii="Aptos" w:hAnsi="Aptos"/>
                <w:sz w:val="20"/>
                <w:szCs w:val="20"/>
              </w:rPr>
              <w:fldChar w:fldCharType="end"/>
            </w:r>
          </w:p>
        </w:tc>
      </w:tr>
      <w:tr w:rsidR="005500F7" w:rsidRPr="005500F7" w14:paraId="5E935E80" w14:textId="77777777" w:rsidTr="002C08A9">
        <w:trPr>
          <w:trHeight w:val="1083"/>
        </w:trPr>
        <w:tc>
          <w:tcPr>
            <w:tcW w:w="593" w:type="pct"/>
            <w:tcBorders>
              <w:top w:val="single" w:sz="4" w:space="0" w:color="auto"/>
              <w:left w:val="nil"/>
              <w:bottom w:val="single" w:sz="4" w:space="0" w:color="auto"/>
              <w:right w:val="nil"/>
            </w:tcBorders>
            <w:shd w:val="clear" w:color="auto" w:fill="auto"/>
            <w:vAlign w:val="center"/>
          </w:tcPr>
          <w:p w14:paraId="13053379" w14:textId="0D3F6682" w:rsidR="005500F7" w:rsidRPr="005500F7" w:rsidRDefault="005500F7" w:rsidP="00257457">
            <w:pPr>
              <w:spacing w:after="0" w:line="240" w:lineRule="auto"/>
              <w:rPr>
                <w:rFonts w:ascii="Aptos" w:hAnsi="Aptos"/>
                <w:sz w:val="20"/>
                <w:szCs w:val="20"/>
              </w:rPr>
            </w:pPr>
            <w:r w:rsidRPr="005500F7">
              <w:rPr>
                <w:rFonts w:ascii="Aptos" w:hAnsi="Aptos"/>
                <w:b/>
                <w:i/>
                <w:iCs/>
                <w:sz w:val="20"/>
                <w:szCs w:val="20"/>
              </w:rPr>
              <w:t>KMT2B</w:t>
            </w:r>
          </w:p>
        </w:tc>
        <w:tc>
          <w:tcPr>
            <w:tcW w:w="4407" w:type="pct"/>
            <w:tcBorders>
              <w:top w:val="single" w:sz="4" w:space="0" w:color="auto"/>
              <w:left w:val="nil"/>
              <w:bottom w:val="single" w:sz="4" w:space="0" w:color="auto"/>
              <w:right w:val="nil"/>
            </w:tcBorders>
            <w:shd w:val="clear" w:color="auto" w:fill="auto"/>
            <w:vAlign w:val="center"/>
          </w:tcPr>
          <w:p w14:paraId="49946FD7" w14:textId="0EF1F256" w:rsidR="005500F7" w:rsidRPr="005500F7" w:rsidRDefault="005500F7" w:rsidP="00257457">
            <w:pPr>
              <w:spacing w:after="0" w:line="240" w:lineRule="auto"/>
              <w:jc w:val="center"/>
              <w:rPr>
                <w:rFonts w:ascii="Aptos" w:hAnsi="Aptos"/>
                <w:sz w:val="20"/>
                <w:szCs w:val="20"/>
              </w:rPr>
            </w:pPr>
            <w:r w:rsidRPr="005500F7">
              <w:rPr>
                <w:rFonts w:ascii="Aptos" w:hAnsi="Aptos"/>
                <w:i/>
                <w:iCs/>
                <w:sz w:val="20"/>
                <w:szCs w:val="20"/>
              </w:rPr>
              <w:t>KMT2B</w:t>
            </w:r>
            <w:r w:rsidR="00264446">
              <w:rPr>
                <w:rFonts w:ascii="Aptos" w:hAnsi="Aptos"/>
                <w:i/>
                <w:iCs/>
                <w:sz w:val="20"/>
                <w:szCs w:val="20"/>
              </w:rPr>
              <w:t xml:space="preserve"> </w:t>
            </w:r>
            <w:r w:rsidR="00264446" w:rsidRPr="002C08A9">
              <w:rPr>
                <w:rFonts w:ascii="Aptos" w:hAnsi="Aptos"/>
                <w:sz w:val="20"/>
                <w:szCs w:val="20"/>
              </w:rPr>
              <w:t>mutations</w:t>
            </w:r>
            <w:r w:rsidRPr="005500F7">
              <w:rPr>
                <w:rFonts w:ascii="Aptos" w:hAnsi="Aptos"/>
                <w:sz w:val="20"/>
                <w:szCs w:val="20"/>
              </w:rPr>
              <w:t xml:space="preserve"> </w:t>
            </w:r>
            <w:r w:rsidR="00264446">
              <w:rPr>
                <w:rFonts w:ascii="Aptos" w:hAnsi="Aptos"/>
                <w:sz w:val="20"/>
                <w:szCs w:val="20"/>
              </w:rPr>
              <w:t>cause</w:t>
            </w:r>
            <w:r w:rsidR="00264446" w:rsidRPr="005500F7">
              <w:rPr>
                <w:rFonts w:ascii="Aptos" w:hAnsi="Aptos"/>
                <w:sz w:val="20"/>
                <w:szCs w:val="20"/>
              </w:rPr>
              <w:t xml:space="preserve"> </w:t>
            </w:r>
            <w:r w:rsidRPr="005500F7">
              <w:rPr>
                <w:rFonts w:ascii="Aptos" w:hAnsi="Aptos"/>
                <w:sz w:val="20"/>
                <w:szCs w:val="20"/>
              </w:rPr>
              <w:t>autosomal dominant dystonia that usually emerges in childhood,</w:t>
            </w:r>
            <w:r w:rsidRPr="005500F7">
              <w:rPr>
                <w:rFonts w:ascii="Aptos" w:hAnsi="Aptos"/>
                <w:sz w:val="20"/>
                <w:szCs w:val="20"/>
              </w:rPr>
              <w:fldChar w:fldCharType="begin"/>
            </w:r>
            <w:r w:rsidRPr="005500F7">
              <w:rPr>
                <w:rFonts w:ascii="Aptos" w:hAnsi="Aptos"/>
                <w:sz w:val="20"/>
                <w:szCs w:val="20"/>
              </w:rPr>
              <w:instrText xml:space="preserve"> ADDIN ZOTERO_ITEM CSL_CITATION {"citationID":"JdyOPQO7","properties":{"formattedCitation":"\\super 20\\uc0\\u8211{}25\\nosupersub{}","plainCitation":"20–25","noteIndex":0},"citationItems":[{"id":389,"uris":["http://zotero.org/users/local/qbj29eOf/items/9WPQN6NU"],"itemData":{"id":389,"type":"article-journal","container-title":"The American Journal of Human Genetics","DOI":"10.1016/j.ajhg.2016.10.010","ISSN":"00029297","issue":"6","journalAbbreviation":"The American Journal of Human Genetics","language":"en","page":"1377-1387","source":"DOI.org (Crossref)","title":"Haploinsufficiency of KMT2B, Encoding the Lysine-Specific Histone Methyltransferase 2B, Results in Early-Onset Generalized Dystonia","volume":"99","author":[{"family":"Zech","given":"Michael"},{"family":"Boesch","given":"Sylvia"},{"family":"Maier","given":"Esther M."},{"family":"Borggraefe","given":"Ingo"},{"family":"Vill","given":"Katharina"},{"family":"Laccone","given":"Franco"},{"family":"Pilshofer","given":"Veronika"},{"family":"Ceballos-Baumann","given":"Andres"},{"family":"Alhaddad","given":"Bader"},{"family":"Berutti","given":"Riccardo"},{"family":"Poewe","given":"Werner"},{"family":"Haack","given":"Tobias B."},{"family":"Haslinger","given":"Bernhard"},{"family":"Strom","given":"Tim M."},{"family":"Winkelmann","given":"Juliane"}],"issued":{"date-parts":[["2016",12]]}},"label":"page"},{"id":391,"uris":["http://zotero.org/users/local/qbj29eOf/items/FAENM4YC"],"itemData":{"id":391,"type":"article-journal","container-title":"Nature Genetics","DOI":"10.1038/ng.3740","ISSN":"1061-4036, 1546-1718","issue":"2","journalAbbreviation":"Nat Genet","language":"en","page":"223-237","source":"DOI.org (Crossref)","title":"Mutations in the histone methyltransferase gene KMT2B cause complex early-onset dystonia","volume":"49","author":[{"literal":"UK10K Consortium"},{"literal":"Deciphering Developmental Disorders Study"},{"literal":"NIHR BioResource Rare Diseases Consortium"},{"family":"Meyer","given":"Esther"},{"family":"Carss","given":"Keren J"},{"family":"Rankin","given":"Julia"},{"family":"Nichols","given":"John M E"},{"family":"Grozeva","given":"Detelina"},{"family":"Joseph","given":"Agnel P"},{"family":"Mencacci","given":"Niccolo E"},{"family":"Papandreou","given":"Apostolos"},{"family":"Ng","given":"Joanne"},{"family":"Barral","given":"Serena"},{"family":"Ngoh","given":"Adeline"},{"family":"Ben-Pazi","given":"Hilla"},{"family":"Willemsen","given":"Michel A"},{"family":"Arkadir","given":"David"},{"family":"Barnicoat","given":"Angela"},{"family":"Bergman","given":"Hagai"},{"family":"Bhate","given":"Sanjay"},{"family":"Boys","given":"Amber"},{"family":"Darin","given":"Niklas"},{"family":"Foulds","given":"Nicola"},{"family":"Gutowski","given":"Nicholas"},{"family":"Hills","given":"Alison"},{"family":"Houlden","given":"Henry"},{"family":"Hurst","given":"Jane A"},{"family":"Israel","given":"Zvi"},{"family":"Kaminska","given":"Margaret"},{"family":"Limousin","given":"Patricia"},{"family":"Lumsden","given":"Daniel"},{"family":"McKee","given":"Shane"},{"family":"Misra","given":"Shibalik"},{"family":"Mohammed","given":"Shekeeb S"},{"family":"Nakou","given":"Vasiliki"},{"family":"Nicolai","given":"Joost"},{"family":"Nilsson","given":"Magnus"},{"family":"Pall","given":"Hardev"},{"family":"Peall","given":"Kathryn J"},{"family":"Peters","given":"Gregory B"},{"family":"Prabhakar","given":"Prab"},{"family":"Reuter","given":"Miriam S"},{"family":"Rump","given":"Patrick"},{"family":"Segel","given":"Reeval"},{"family":"Sinnema","given":"Margje"},{"family":"Smith","given":"Martin"},{"family":"Turnpenny","given":"Peter"},{"family":"White","given":"Susan M"},{"family":"Wieczorek","given":"Dagmar"},{"family":"Wiethoff","given":"Sarah"},{"family":"Wilson","given":"Brian T"},{"family":"Winter","given":"Gidon"},{"family":"Wragg","given":"Christopher"},{"family":"Pope","given":"Simon"},{"family":"Heales","given":"Simon J H"},{"family":"Morrogh","given":"Deborah"},{"family":"Pittman","given":"Alan"},{"family":"Carr","given":"Lucinda J"},{"family":"Perez-Dueñas","given":"Belen"},{"family":"Lin","given":"Jean-Pierre"},{"family":"Reis","given":"Andre"},{"family":"Gahl","given":"William A"},{"family":"Toro","given":"Camilo"},{"family":"Bhatia","given":"Kailash P"},{"family":"Wood","given":"Nicholas W"},{"family":"Kamsteeg","given":"Erik-Jan"},{"family":"Chong","given":"Wui K"},{"family":"Gissen","given":"Paul"},{"family":"Topf","given":"Maya"},{"family":"Dale","given":"Russell C"},{"family":"Chubb","given":"Jonathan R"},{"family":"Raymond","given":"F Lucy"},{"family":"Kurian","given":"Manju A"}],"issued":{"date-parts":[["2017",2]]}},"label":"page"},{"id":397,"uris":["http://zotero.org/users/local/qbj29eOf/items/KEIV3K8G"],"itemData":{"id":397,"type":"article-journal","container-title":"Movement Disorders","DOI":"10.1002/mds.27771","ISSN":"0885-3185, 1531-8257","issue":"10","journalAbbreviation":"Mov Disord","language":"en","page":"1516-1527","source":"DOI.org (Crossref)","title":"Frequency and phenotypic spectrum of &lt;i&gt;KMT2B&lt;/i&gt; dystonia in childhood: A single</w:instrText>
            </w:r>
            <w:r w:rsidRPr="005500F7">
              <w:rPr>
                <w:rFonts w:ascii="Cambria Math" w:hAnsi="Cambria Math" w:cs="Cambria Math"/>
                <w:sz w:val="20"/>
                <w:szCs w:val="20"/>
              </w:rPr>
              <w:instrText>‐</w:instrText>
            </w:r>
            <w:r w:rsidRPr="005500F7">
              <w:rPr>
                <w:rFonts w:ascii="Aptos" w:hAnsi="Aptos"/>
                <w:sz w:val="20"/>
                <w:szCs w:val="20"/>
              </w:rPr>
              <w:instrText>center cohort study","title-short":"Frequency and phenotypic spectrum of &lt;i&gt;KMT2B&lt;/i&gt; dystonia in childhood","volume":"34","author":[{"family":"Carecchio","given":"Miryam"},{"family":"Invernizzi","given":"Federica"},{"family":"Gonzàlez</w:instrText>
            </w:r>
            <w:r w:rsidRPr="005500F7">
              <w:rPr>
                <w:rFonts w:ascii="Cambria Math" w:hAnsi="Cambria Math" w:cs="Cambria Math"/>
                <w:sz w:val="20"/>
                <w:szCs w:val="20"/>
              </w:rPr>
              <w:instrText>‐</w:instrText>
            </w:r>
            <w:r w:rsidRPr="005500F7">
              <w:rPr>
                <w:rFonts w:ascii="Aptos" w:hAnsi="Aptos"/>
                <w:sz w:val="20"/>
                <w:szCs w:val="20"/>
              </w:rPr>
              <w:instrText xml:space="preserve">Latapi","given":"Paulina"},{"family":"Panteghini","given":"Celeste"},{"family":"Zorzi","given":"Giovanna"},{"family":"Romito","given":"Luigi"},{"family":"Leuzzi","given":"Vincenzo"},{"family":"Galosi","given":"Serena"},{"family":"Reale","given":"Chiara"},{"family":"Zibordi","given":"Federica"},{"family":"Joseph","given":"Agnel P."},{"family":"Topf","given":"Maya"},{"family":"Piano","given":"Carla"},{"family":"Bentivoglio","given":"Anna Rita"},{"family":"Girotti","given":"Floriano"},{"family":"Morana","given":"Paolo"},{"family":"Morana","given":"Benedetto"},{"family":"Kurian","given":"Manju A."},{"family":"Garavaglia","given":"Barbara"},{"family":"Mencacci","given":"Niccolò E."},{"family":"Lubbe","given":"Steven J."},{"family":"Nardocci","given":"Nardo"}],"issued":{"date-parts":[["2019",10]]}},"label":"page"},{"id":405,"uris":["http://zotero.org/users/local/qbj29eOf/items/WZCTUAS3"],"itemData":{"id":405,"type":"article-journal","container-title":"Parkinsonism &amp; Related Disorders","DOI":"10.1016/j.parkreldis.2020.06.002","ISSN":"13538020","journalAbbreviation":"Parkinsonism &amp; Related Disorders","language":"en","page":"76-82","source":"DOI.org (Crossref)","title":"Clinical phenotypes, genotypes and treatment in Chinese dystonia patients with KMT2B variants","volume":"77","author":[{"family":"Li","given":"Xin-yao"},{"family":"Dai","given":"Li-fang"},{"family":"Wan","given":"Xin-hua"},{"family":"Guo","given":"Yi"},{"family":"Dai","given":"Yi"},{"family":"Li","given":"Shang-lin"},{"family":"Fang","given":"Fang"},{"family":"Wang","given":"Xiao-hui"},{"family":"Zhang","given":"Wei-hua"},{"family":"Liu","given":"Ting-hong"},{"family":"Xie","given":"Zi-hang"},{"family":"Fang","given":"Tie"},{"family":"Wang","given":"Lin"},{"family":"Ding","given":"Chang-hong"}],"issued":{"date-parts":[["2020",8]]}},"label":"page"},{"id":403,"uris":["http://zotero.org/users/local/qbj29eOf/items/9T7PU6HU"],"itemData":{"id":403,"type":"article-journal","abstract":"Abstract\n            Heterozygous mutations in KMT2B are associated with an early-onset, progressive and often complex dystonia (DYT28). Key characteristics of typical disease include focal motor features at disease presentation, evolving through a caudocranial pattern into generalized dystonia, with prominent oromandibular, laryngeal and cervical involvement. Although KMT2B-related disease is emerging as one of the most common causes of early-onset genetic dystonia, much remains to be understood about the full spectrum of the disease. We describe a cohort of 53 patients with KMT2B mutations, with detailed delineation of their clinical phenotype and molecular genetic features. We report new disease presentations, including atypical patterns of dystonia evolution and a subgroup of patients with a non-dystonic neurodevelopmental phenotype. In addition to the previously reported systemic features, our study has identified co-morbidities, including the risk of status dystonicus, intrauterine growth retardation, and endocrinopathies. Analysis of this study cohort (n = 53) in tandem with published cases (n = 80) revealed that patients with chromosomal deletions and protein truncating variants had a significantly higher burden of systemic disease (with earlier onset of dystonia) than those with missense variants. Eighteen individuals had detailed longitudinal data available after insertion of deep brain stimulation for medically refractory dystonia. Median age at deep brain stimulation was 11.5 years (range: 4.5–37.0 years). Follow-up after deep brain stimulation ranged from 0.25 to 22 years. Significant improvement of motor function and disability (as assessed by the Burke Fahn Marsden’s Dystonia Rating Scales, BFMDRS-M and BFMDRS-D) was evident at 6 months, 1 year and last follow-up (motor, P = 0.001, P = 0.004, and P = 0.012; disability, P = 0.009, P = 0.002 and P = 0.012). At 1 year post-deep brain stimulation, &amp;gt;50% of subjects showed BFMDRS-M and BFMDRS-D improvements of &amp;gt;30%. In the long-term deep brain stimulation cohort (deep brain stimulation inserted for &amp;gt;5 years, n = 8), improvement of &amp;gt;30% was maintained in 5/8 and 3/8 subjects for the BFMDRS-M and BFMDRS-D, respectively. The greatest BFMDRS-M improvements were observed for trunk (53.2%) and cervical (50.5%) dystonia, with less clinical impact on laryngeal dystonia. Improvements in gait dystonia decreased from 20.9% at 1 year to 16.2% at last assessment; no patient maintained a fully independent gait. Reduction of BFMDRS-D was maintained for swallowing (52.9%). Five patients developed mild parkinsonism following deep brain stimulation. KMT2B-related disease comprises an expanding continuum from infancy to adulthood, with early evidence of genotype-phenotype correlations. Except for laryngeal dysphonia, deep brain stimulation provides a significant improvement in quality of life and function with sustained clinical benefit depending on symptoms distribution.","container-title":"Brain","DOI":"10.1093/brain/awaa304","ISSN":"0006-8950, 1460-2156","issue":"11","language":"en","page":"3242-3261","source":"DOI.org (Crossref)","title":"&lt;i&gt;KMT2B&lt;/i&gt; -related disorders: expansion of the phenotypic spectrum and long-term efficacy of deep brain stimulation","title-short":"&lt;i&gt;KMT2B&lt;/i&gt; -related disorders","volume":"143","author":[{"family":"Cif","given":"Laura"},{"family":"Demailly","given":"Diane"},{"family":"Lin","given":"Jean-Pierre"},{"family":"Barwick","given":"Katy E"},{"family":"Sa","given":"Mario"},{"family":"Abela","given":"Lucia"},{"family":"Malhotra","given":"Sony"},{"family":"Chong","given":"Wui K"},{"family":"Steel","given":"Dora"},{"family":"Sanchis-Juan","given":"Alba"},{"family":"Ngoh","given":"Adeline"},{"family":"Trump","given":"Natalie"},{"family":"Meyer","given":"Esther"},{"family":"Vasques","given":"Xavier"},{"family":"Rankin","given":"Julia"},{"family":"Allain","given":"Meredith W"},{"family":"Applegate","given":"Carolyn D"},{"family":"Attaripour Isfahani","given":"Sanaz"},{"family":"Baleine","given":"Julien"},{"family":"Balint","given":"Bettina"},{"family":"Bassetti","given":"Jennifer A"},{"family":"Baple","given":"Emma L"},{"family":"Bhatia","given":"Kailash P"},{"family":"Blanchet","given":"Catherine"},{"family":"Burglen","given":"Lydie"},{"family":"Cambonie","given":"Gilles"},{"family":"Seng","given":"Emilie Chan"},{"family":"Bastaraud","given":"Sandra Chantot"},{"family":"Cyprien","given":"Fabienne"},{"family":"Coubes","given":"Christine"},{"family":"Hardemare","given":"Vincent","non-dropping-particle":"d’"},{"literal":"Deciphering Developmental Disorders Study"},{"family":"Doja","given":"Asif"},{"family":"Dorison","given":"Nathalie"},{"family":"Doummar","given":"Diane"},{"family":"Dy-Hollins","given":"Marisela E"},{"family":"Farrelly","given":"Ellyn"},{"family":"Fitzpatrick","given":"David R"},{"family":"Fearon","given":"Conor"},{"family":"Fieg","given":"Elizabeth L"},{"family":"Fogel","given":"Brent L"},{"family":"Forman","given":"Eva B"},{"family":"Fox","given":"Rachel G"},{"literal":"Genomics England Research Consortium"},{"family":"Gahl","given":"William A"},{"family":"Galosi","given":"Serena"},{"family":"Gonzalez","given":"Victoria"},{"family":"Graves","given":"Tracey D"},{"family":"Gregory","given":"Allison"},{"family":"Hallett","given":"Mark"},{"family":"Hasegawa","given":"Harutomo"},{"family":"Hayflick","given":"Susan J"},{"family":"Hamosh","given":"Ada"},{"family":"Hully","given":"Marie"},{"family":"Jansen","given":"Sandra"},{"family":"Jeong","given":"Suh Young"},{"family":"Krier","given":"Joel B"},{"family":"Krystal","given":"Sidney"},{"family":"Kumar","given":"Kishore R"},{"family":"Laurencin","given":"Chloé"},{"family":"Lee","given":"Hane"},{"family":"Lesca","given":"Gaetan"},{"family":"François","given":"Laurence Lion"},{"family":"Lynch","given":"Timothy"},{"family":"Mahant","given":"Neil"},{"family":"Martinez-Agosto","given":"Julian A"},{"family":"Milesi","given":"Christophe"},{"family":"Mills","given":"Kelly A"},{"family":"Mondain","given":"Michel"},{"family":"Morales-Briceno","given":"Hugo"},{"literal":"NIHR BioResource"},{"family":"Ostergaard","given":"John R"},{"family":"Pal","given":"Swasti"},{"family":"Pallais","given":"Juan C"},{"family":"Pavillard","given":"Frédérique"},{"family":"Perrigault","given":"Pierre-Francois"},{"family":"Petersen","given":"Andrea K"},{"family":"Polo","given":"Gustavo"},{"family":"Poulen","given":"Gaetan"},{"family":"Rinne","given":"Tuula"},{"family":"Roujeau","given":"Thomas"},{"family":"Rogers","given":"Caleb"},{"family":"Roubertie","given":"Agathe"},{"family":"Sahagian","given":"Michelle"},{"family":"Schaefer","given":"Elise"},{"family":"Selim","given":"Laila"},{"family":"Selway","given":"Richard"},{"family":"Sharma","given":"Nutan"},{"family":"Signer","given":"Rebecca"},{"family":"Soldatos","given":"Ariane G"},{"family":"Stevenson","given":"David A"},{"family":"Stewart","given":"Fiona"},{"family":"Tchan","given":"Michel"},{"literal":"Undiagnosed Diseases Network"},{"family":"Verma","given":"Ishwar C"},{"family":"De Vries","given":"Bert B A"},{"family":"Wilson","given":"Jenny L"},{"family":"Wong","given":"Derek A"},{"family":"Zaitoun","given":"Raghda"},{"family":"Zhen","given":"Dolly"},{"family":"Znaczko","given":"Anna"},{"family":"Dale","given":"Russell C"},{"family":"De Gusmão","given":"Claudio M"},{"family":"Friedman","given":"Jennifer"},{"family":"Fung","given":"Victor S C"},{"family":"King","given":"Mary D"},{"family":"Mohammad","given":"Shekeeb S"},{"family":"Rohena","given":"Luis"},{"family":"Waugh","given":"Jeff L"},{"family":"Toro","given":"Camilo"},{"family":"Raymond","given":"F Lucy"},{"family":"Topf","given":"Maya"},{"family":"Coubes","given":"Philippe"},{"family":"Gorman","given":"Kathleen M"},{"family":"Kurian","given":"Manju A"}],"issued":{"date-parts":[["2020",11,1]]}},"label":"page"},{"id":402,"uris":["http://zotero.org/users/local/qbj29eOf/items/Z76MEW4D"],"itemData":{"id":402,"type":"article-journal","container-title":"Current Neurology and Neuroscience Reports","DOI":"10.1007/s11910-019-1007-y","ISSN":"1528-4042, 1534-6293","issue":"11","journalAbbreviation":"Curr Neurol Neurosci Rep","language":"en","page":"92","source":"DOI.org (Crossref)","title":"Update on KMT2B-Related Dystonia","volume":"19","author":[{"family":"Zech","given":"Michael"},{"family":"Lam","given":"Daniel D."},{"family":"Winkelmann","given":"Juliane"}],"issued":{"date-parts":[["2019",11]]}},"label":"page"}],"schema":"https://github.com/citation-style-language/schema/raw/master/csl-citation.json"}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20–25</w:t>
            </w:r>
            <w:r w:rsidRPr="005500F7">
              <w:rPr>
                <w:rFonts w:ascii="Aptos" w:hAnsi="Aptos"/>
                <w:sz w:val="20"/>
                <w:szCs w:val="20"/>
              </w:rPr>
              <w:fldChar w:fldCharType="end"/>
            </w:r>
            <w:r w:rsidRPr="005500F7">
              <w:rPr>
                <w:rFonts w:ascii="Aptos" w:hAnsi="Aptos"/>
                <w:sz w:val="20"/>
                <w:szCs w:val="20"/>
              </w:rPr>
              <w:t xml:space="preserve"> primarily in the lower limbs</w:t>
            </w:r>
            <w:r w:rsidRPr="005500F7">
              <w:rPr>
                <w:rFonts w:ascii="Aptos" w:hAnsi="Aptos"/>
                <w:sz w:val="20"/>
                <w:szCs w:val="20"/>
              </w:rPr>
              <w:fldChar w:fldCharType="begin"/>
            </w:r>
            <w:r w:rsidRPr="005500F7">
              <w:rPr>
                <w:rFonts w:ascii="Aptos" w:hAnsi="Aptos"/>
                <w:sz w:val="20"/>
                <w:szCs w:val="20"/>
              </w:rPr>
              <w:instrText xml:space="preserve"> ADDIN ZOTERO_ITEM CSL_CITATION {"citationID":"WJOgDubv","properties":{"formattedCitation":"\\super 26\\uc0\\u8211{}28\\nosupersub{}","plainCitation":"26–28","noteIndex":0},"citationItems":[{"id":393,"uris":["http://zotero.org/users/local/qbj29eOf/items/3ZLFE6F5"],"itemData":{"id":393,"type":"article-journal","container-title":"Movement Disorders","DOI":"10.1002/mds.27026","ISSN":"08853185","issue":"7","journalAbbreviation":"Mov Disord.","language":"en","page":"1087-1091","source":"DOI.org (Crossref)","title":"&lt;i&gt;KMT2B&lt;/i&gt; rare missense variants in generalized dystonia: &lt;i&gt;KMT2B&lt;/i&gt; Missense Variants in Dystonia","title-short":"&lt;i&gt;KMT2B&lt;/i&gt; rare missense variants in generalized dystonia","volume":"32","author":[{"family":"Zech","given":"Michael"},{"family":"Jech","given":"Robert"},{"family":"Havránková","given":"Petra"},{"family":"Fečíková","given":"Anna"},{"family":"Berutti","given":"Riccardo"},{"family":"Urgošík","given":"Dušan"},{"family":"Kemlink","given":"David"},{"family":"Strom","given":"Tim M."},{"family":"Roth","given":"Jan"},{"family":"Růžička","given":"Evžen"},{"family":"Winkelmann","given":"Juliane"}],"issued":{"date-parts":[["2017",7]]}},"label":"page"},{"id":399,"uris":["http://zotero.org/users/local/qbj29eOf/items/5NZ9C78R"],"itemData":{"id":399,"type":"article-journal","container-title":"Journal of Human Genetics","DOI":"10.1038/s10038-019-0625-1","ISSN":"1434-5161, 1435-232X","issue":"8","journalAbbreviation":"J Hum Genet","language":"en","page":"803-813","source":"DOI.org (Crossref)","title":"Novel mutations in KMT2B offer pathophysiological insights into childhood-onset progressive dystonia","volume":"64","author":[{"family":"Dafsari","given":"Hormos Salimi"},{"family":"Sprute","given":"Rosanne"},{"family":"Wunderlich","given":"Gilbert"},{"family":"Daimagüler","given":"Hülya-Sevcan"},{"family":"Karaca","given":"Ezgi"},{"family":"Contreras","given":"Adriana"},{"family":"Becker","given":"Kerstin"},{"family":"Schulze-Rhonhof","given":"Mira"},{"family":"Kiening","given":"Karl"},{"family":"Karakulak","given":"Tülay"},{"family":"Kloss","given":"Manja"},{"family":"Horn","given":"Annette"},{"family":"Pauls","given":"Amande"},{"family":"Nürnberg","given":"Peter"},{"family":"Altmüller","given":"Janine"},{"family":"Thiele","given":"Holger"},{"family":"Assmann","given":"Birgit"},{"family":"Koy","given":"Anne"},{"family":"Cirak","given":"Sebahattin"}],"issued":{"date-parts":[["2019",8]]}},"label":"page"},{"id":408,"uris":["http://zotero.org/users/local/qbj29eOf/items/XLEDRM9E"],"itemData":{"id":408,"type":"article-journal","abstract":"In this study, we report the first known Turkish case of a novel nonsense mutation c.2453dupT (p.M818fs*28) in the &lt;i&gt;KMT2B&lt;/i&gt; (NM_014727.2) gene diagnosed in a male patient with &lt;i&gt;KMT2B&lt;/i&gt;-related dystonia (DYT-&lt;i&gt;KMT2B&lt;/i&gt;, DYT-28, Dystonia*-28), which is a complex, childhood-onset, progressive, hereditary dystonia. The patient, who is followed up from 9 to 13 years of age, had dysmorphic features, developmental delay, short stature, and microcephaly, in addition to focal dystonia and hemichorea (in the right and left lower extremities). Generalized dystonia involving bulbar and cervical muscles, in addition to dystonic cramps, myoclonus, and hemiballismus, were also observed during the course of the follow-up. While he was able to perform basic functions like eating, climbing stairs, walking, and writing with the aid of levodopa and trihexyphenidyl treatment, his clinical status gradually deteriorated secondary to progressive generalized dystonia in the 4-year follow-up. Deep brain stimulation has been shown to be effective in several patients which could be the next preferred treatment for the patient.","container-title":"Molecular Syndromology","DOI":"10.1159/000518974","ISSN":"1661-8769, 1661-8777","issue":"2","journalAbbreviation":"Mol Syndromol","language":"en","page":"159-164","source":"DOI.org (Crossref)","title":"&lt;b&gt;&lt;i&gt;KMT2B&lt;/i&gt;&lt;/b&gt;-Related Dystonia: Challenges in Diagnosis and Treatment","title-short":"&lt;b&gt;&lt;i&gt;KMT2B&lt;/i&gt;&lt;/b&gt;-Related Dystonia","volume":"13","author":[{"family":"Aksoy","given":"Ayşe"},{"family":"Yayıcı Köken","given":"Özlem"},{"family":"Ceylan","given":"Ahmet Cevdet"},{"family":"Toptaş Dedeo</w:instrText>
            </w:r>
            <w:r w:rsidRPr="005500F7">
              <w:rPr>
                <w:rFonts w:ascii="Aptos" w:hAnsi="Aptos" w:cs="Calibri"/>
                <w:sz w:val="20"/>
                <w:szCs w:val="20"/>
              </w:rPr>
              <w:instrText>ğ</w:instrText>
            </w:r>
            <w:r w:rsidRPr="005500F7">
              <w:rPr>
                <w:rFonts w:ascii="Aptos" w:hAnsi="Aptos"/>
                <w:sz w:val="20"/>
                <w:szCs w:val="20"/>
              </w:rPr>
              <w:instrText xml:space="preserve">lu","given":"Özge"}],"issued":{"date-parts":[["2022"]]}},"label":"page"}],"schema":"https://github.com/citation-style-language/schema/raw/master/csl-citation.json"}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26–28</w:t>
            </w:r>
            <w:r w:rsidRPr="005500F7">
              <w:rPr>
                <w:rFonts w:ascii="Aptos" w:hAnsi="Aptos"/>
                <w:sz w:val="20"/>
                <w:szCs w:val="20"/>
              </w:rPr>
              <w:fldChar w:fldCharType="end"/>
            </w:r>
            <w:r w:rsidRPr="005500F7">
              <w:rPr>
                <w:rFonts w:ascii="Aptos" w:hAnsi="Aptos"/>
                <w:sz w:val="20"/>
                <w:szCs w:val="20"/>
              </w:rPr>
              <w:t>. It becomes generalized (~83%)</w:t>
            </w:r>
            <w:r w:rsidRPr="005500F7">
              <w:rPr>
                <w:rFonts w:ascii="Aptos" w:hAnsi="Aptos"/>
                <w:sz w:val="20"/>
                <w:szCs w:val="20"/>
              </w:rPr>
              <w:fldChar w:fldCharType="begin"/>
            </w:r>
            <w:r w:rsidRPr="005500F7">
              <w:rPr>
                <w:rFonts w:ascii="Aptos" w:hAnsi="Aptos"/>
                <w:sz w:val="20"/>
                <w:szCs w:val="20"/>
              </w:rPr>
              <w:instrText xml:space="preserve"> ADDIN ZOTERO_ITEM CSL_CITATION {"citationID":"KRgzq9jR","properties":{"formattedCitation":"\\super 25\\nosupersub{}","plainCitation":"25","noteIndex":0},"citationItems":[{"id":402,"uris":["http://zotero.org/users/local/qbj29eOf/items/Z76MEW4D"],"itemData":{"id":402,"type":"article-journal","container-title":"Current Neurology and Neuroscience Reports","DOI":"10.1007/s11910-019-1007-y","ISSN":"1528-4042, 1534-6293","issue":"11","journalAbbreviation":"Curr Neurol Neurosci Rep","language":"en","page":"92","source":"DOI.org (Crossref)","title":"Update on KMT2B-Related Dystonia","volume":"19","author":[{"family":"Zech","given":"Michael"},{"family":"Lam","given":"Daniel D."},{"family":"Winkelmann","given":"Juliane"}],"issued":{"date-parts":[["2019",11]]}}}],"schema":"https://github.com/citation-style-language/schema/raw/master/csl-citation.json"}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25</w:t>
            </w:r>
            <w:r w:rsidRPr="005500F7">
              <w:rPr>
                <w:rFonts w:ascii="Aptos" w:hAnsi="Aptos"/>
                <w:sz w:val="20"/>
                <w:szCs w:val="20"/>
              </w:rPr>
              <w:fldChar w:fldCharType="end"/>
            </w:r>
            <w:r w:rsidRPr="005500F7">
              <w:rPr>
                <w:rFonts w:ascii="Aptos" w:hAnsi="Aptos"/>
                <w:sz w:val="20"/>
                <w:szCs w:val="20"/>
              </w:rPr>
              <w:t xml:space="preserve"> with prominent oromandibular, cervicocranial, and laryngeal involvement.</w:t>
            </w:r>
            <w:r w:rsidRPr="005500F7">
              <w:rPr>
                <w:rFonts w:ascii="Aptos" w:hAnsi="Aptos"/>
                <w:sz w:val="20"/>
                <w:szCs w:val="20"/>
              </w:rPr>
              <w:fldChar w:fldCharType="begin"/>
            </w:r>
            <w:r w:rsidRPr="005500F7">
              <w:rPr>
                <w:rFonts w:ascii="Aptos" w:hAnsi="Aptos"/>
                <w:sz w:val="20"/>
                <w:szCs w:val="20"/>
              </w:rPr>
              <w:instrText xml:space="preserve"> ADDIN ZOTERO_ITEM CSL_CITATION {"citationID":"JbdDvh45","properties":{"formattedCitation":"\\super 20\\uc0\\u8211{}25,27,29\\uc0\\u8211{}31\\nosupersub{}","plainCitation":"20–25,27,29–31","noteIndex":0},"citationItems":[{"id":389,"uris":["http://zotero.org/users/local/qbj29eOf/items/9WPQN6NU"],"itemData":{"id":389,"type":"article-journal","container-title":"The American Journal of Human Genetics","DOI":"10.1016/j.ajhg.2016.10.010","ISSN":"00029297","issue":"6","journalAbbreviation":"The American Journal of Human Genetics","language":"en","page":"1377-1387","source":"DOI.org (Crossref)","title":"Haploinsufficiency of KMT2B, Encoding the Lysine-Specific Histone Methyltransferase 2B, Results in Early-Onset Generalized Dystonia","volume":"99","author":[{"family":"Zech","given":"Michael"},{"family":"Boesch","given":"Sylvia"},{"family":"Maier","given":"Esther M."},{"family":"Borggraefe","given":"Ingo"},{"family":"Vill","given":"Katharina"},{"family":"Laccone","given":"Franco"},{"family":"Pilshofer","given":"Veronika"},{"family":"Ceballos-Baumann","given":"Andres"},{"family":"Alhaddad","given":"Bader"},{"family":"Berutti","given":"Riccardo"},{"family":"Poewe","given":"Werner"},{"family":"Haack","given":"Tobias B."},{"family":"Haslinger","given":"Bernhard"},{"family":"Strom","given":"Tim M."},{"family":"Winkelmann","given":"Juliane"}],"issued":{"date-parts":[["2016",12]]}},"label":"page"},{"id":391,"uris":["http://zotero.org/users/local/qbj29eOf/items/FAENM4YC"],"itemData":{"id":391,"type":"article-journal","container-title":"Nature Genetics","DOI":"10.1038/ng.3740","ISSN":"1061-4036, 1546-1718","issue":"2","journalAbbreviation":"Nat Genet","language":"en","page":"223-237","source":"DOI.org (Crossref)","title":"Mutations in the histone methyltransferase gene KMT2B cause complex early-onset dystonia","volume":"49","author":[{"literal":"UK10K Consortium"},{"literal":"Deciphering Developmental Disorders Study"},{"literal":"NIHR BioResource Rare Diseases Consortium"},{"family":"Meyer","given":"Esther"},{"family":"Carss","given":"Keren J"},{"family":"Rankin","given":"Julia"},{"family":"Nichols","given":"John M E"},{"family":"Grozeva","given":"Detelina"},{"family":"Joseph","given":"Agnel P"},{"family":"Mencacci","given":"Niccolo E"},{"family":"Papandreou","given":"Apostolos"},{"family":"Ng","given":"Joanne"},{"family":"Barral","given":"Serena"},{"family":"Ngoh","given":"Adeline"},{"family":"Ben-Pazi","given":"Hilla"},{"family":"Willemsen","given":"Michel A"},{"family":"Arkadir","given":"David"},{"family":"Barnicoat","given":"Angela"},{"family":"Bergman","given":"Hagai"},{"family":"Bhate","given":"Sanjay"},{"family":"Boys","given":"Amber"},{"family":"Darin","given":"Niklas"},{"family":"Foulds","given":"Nicola"},{"family":"Gutowski","given":"Nicholas"},{"family":"Hills","given":"Alison"},{"family":"Houlden","given":"Henry"},{"family":"Hurst","given":"Jane A"},{"family":"Israel","given":"Zvi"},{"family":"Kaminska","given":"Margaret"},{"family":"Limousin","given":"Patricia"},{"family":"Lumsden","given":"Daniel"},{"family":"McKee","given":"Shane"},{"family":"Misra","given":"Shibalik"},{"family":"Mohammed","given":"Shekeeb S"},{"family":"Nakou","given":"Vasiliki"},{"family":"Nicolai","given":"Joost"},{"family":"Nilsson","given":"Magnus"},{"family":"Pall","given":"Hardev"},{"family":"Peall","given":"Kathryn J"},{"family":"Peters","given":"Gregory B"},{"family":"Prabhakar","given":"Prab"},{"family":"Reuter","given":"Miriam S"},{"family":"Rump","given":"Patrick"},{"family":"Segel","given":"Reeval"},{"family":"Sinnema","given":"Margje"},{"family":"Smith","given":"Martin"},{"family":"Turnpenny","given":"Peter"},{"family":"White","given":"Susan M"},{"family":"Wieczorek","given":"Dagmar"},{"family":"Wiethoff","given":"Sarah"},{"family":"Wilson","given":"Brian T"},{"family":"Winter","given":"Gidon"},{"family":"Wragg","given":"Christopher"},{"family":"Pope","given":"Simon"},{"family":"Heales","given":"Simon J H"},{"family":"Morrogh","given":"Deborah"},{"family":"Pittman","given":"Alan"},{"family":"Carr","given":"Lucinda J"},{"family":"Perez-Dueñas","given":"Belen"},{"family":"Lin","given":"Jean-Pierre"},{"family":"Reis","given":"Andre"},{"family":"Gahl","given":"William A"},{"family":"Toro","given":"Camilo"},{"family":"Bhatia","given":"Kailash P"},{"family":"Wood","given":"Nicholas W"},{"family":"Kamsteeg","given":"Erik-Jan"},{"family":"Chong","given":"Wui K"},{"family":"Gissen","given":"Paul"},{"family":"Topf","given":"Maya"},{"family":"Dale","given":"Russell C"},{"family":"Chubb","given":"Jonathan R"},{"family":"Raymond","given":"F Lucy"},{"family":"Kurian","given":"Manju A"}],"issued":{"date-parts":[["2017",2]]}},"label":"page"},{"id":397,"uris":["http://zotero.org/users/local/qbj29eOf/items/KEIV3K8G"],"itemData":{"id":397,"type":"article-journal","container-title":"Movement Disorders","DOI":"10.1002/mds.27771","ISSN":"0885-3185, 1531-8257","issue":"10","journalAbbreviation":"Mov Disord","language":"en","page":"1516-1527","source":"DOI.org (Crossref)","title":"Frequency and phenotypic spectrum of &lt;i&gt;KMT2B&lt;/i&gt; dystonia in childhood: A single</w:instrText>
            </w:r>
            <w:r w:rsidRPr="005500F7">
              <w:rPr>
                <w:rFonts w:ascii="Cambria Math" w:hAnsi="Cambria Math" w:cs="Cambria Math"/>
                <w:sz w:val="20"/>
                <w:szCs w:val="20"/>
              </w:rPr>
              <w:instrText>‐</w:instrText>
            </w:r>
            <w:r w:rsidRPr="005500F7">
              <w:rPr>
                <w:rFonts w:ascii="Aptos" w:hAnsi="Aptos"/>
                <w:sz w:val="20"/>
                <w:szCs w:val="20"/>
              </w:rPr>
              <w:instrText>center cohort study","title-short":"Frequency and phenotypic spectrum of &lt;i&gt;KMT2B&lt;/i&gt; dystonia in childhood","volume":"34","author":[{"family":"Carecchio","given":"Miryam"},{"family":"Invernizzi","given":"Federica"},{"family":"Gonzàlez</w:instrText>
            </w:r>
            <w:r w:rsidRPr="005500F7">
              <w:rPr>
                <w:rFonts w:ascii="Cambria Math" w:hAnsi="Cambria Math" w:cs="Cambria Math"/>
                <w:sz w:val="20"/>
                <w:szCs w:val="20"/>
              </w:rPr>
              <w:instrText>‐</w:instrText>
            </w:r>
            <w:r w:rsidRPr="005500F7">
              <w:rPr>
                <w:rFonts w:ascii="Aptos" w:hAnsi="Aptos"/>
                <w:sz w:val="20"/>
                <w:szCs w:val="20"/>
              </w:rPr>
              <w:instrText xml:space="preserve">Latapi","given":"Paulina"},{"family":"Panteghini","given":"Celeste"},{"family":"Zorzi","given":"Giovanna"},{"family":"Romito","given":"Luigi"},{"family":"Leuzzi","given":"Vincenzo"},{"family":"Galosi","given":"Serena"},{"family":"Reale","given":"Chiara"},{"family":"Zibordi","given":"Federica"},{"family":"Joseph","given":"Agnel P."},{"family":"Topf","given":"Maya"},{"family":"Piano","given":"Carla"},{"family":"Bentivoglio","given":"Anna Rita"},{"family":"Girotti","given":"Floriano"},{"family":"Morana","given":"Paolo"},{"family":"Morana","given":"Benedetto"},{"family":"Kurian","given":"Manju A."},{"family":"Garavaglia","given":"Barbara"},{"family":"Mencacci","given":"Niccolò E."},{"family":"Lubbe","given":"Steven J."},{"family":"Nardocci","given":"Nardo"}],"issued":{"date-parts":[["2019",10]]}},"label":"page"},{"id":405,"uris":["http://zotero.org/users/local/qbj29eOf/items/WZCTUAS3"],"itemData":{"id":405,"type":"article-journal","container-title":"Parkinsonism &amp; Related Disorders","DOI":"10.1016/j.parkreldis.2020.06.002","ISSN":"13538020","journalAbbreviation":"Parkinsonism &amp; Related Disorders","language":"en","page":"76-82","source":"DOI.org (Crossref)","title":"Clinical phenotypes, genotypes and treatment in Chinese dystonia patients with KMT2B variants","volume":"77","author":[{"family":"Li","given":"Xin-yao"},{"family":"Dai","given":"Li-fang"},{"family":"Wan","given":"Xin-hua"},{"family":"Guo","given":"Yi"},{"family":"Dai","given":"Yi"},{"family":"Li","given":"Shang-lin"},{"family":"Fang","given":"Fang"},{"family":"Wang","given":"Xiao-hui"},{"family":"Zhang","given":"Wei-hua"},{"family":"Liu","given":"Ting-hong"},{"family":"Xie","given":"Zi-hang"},{"family":"Fang","given":"Tie"},{"family":"Wang","given":"Lin"},{"family":"Ding","given":"Chang-hong"}],"issued":{"date-parts":[["2020",8]]}},"label":"page"},{"id":403,"uris":["http://zotero.org/users/local/qbj29eOf/items/9T7PU6HU"],"itemData":{"id":403,"type":"article-journal","abstract":"Abstract\n            Heterozygous mutations in KMT2B are associated with an early-onset, progressive and often complex dystonia (DYT28). Key characteristics of typical disease include focal motor features at disease presentation, evolving through a caudocranial pattern into generalized dystonia, with prominent oromandibular, laryngeal and cervical involvement. Although KMT2B-related disease is emerging as one of the most common causes of early-onset genetic dystonia, much remains to be understood about the full spectrum of the disease. We describe a cohort of 53 patients with KMT2B mutations, with detailed delineation of their clinical phenotype and molecular genetic features. We report new disease presentations, including atypical patterns of dystonia evolution and a subgroup of patients with a non-dystonic neurodevelopmental phenotype. In addition to the previously reported systemic features, our study has identified co-morbidities, including the risk of status dystonicus, intrauterine growth retardation, and endocrinopathies. Analysis of this study cohort (n = 53) in tandem with published cases (n = 80) revealed that patients with chromosomal deletions and protein truncating variants had a significantly higher burden of systemic disease (with earlier onset of dystonia) than those with missense variants. Eighteen individuals had detailed longitudinal data available after insertion of deep brain stimulation for medically refractory dystonia. Median age at deep brain stimulation was 11.5 years (range: 4.5–37.0 years). Follow-up after deep brain stimulation ranged from 0.25 to 22 years. Significant improvement of motor function and disability (as assessed by the Burke Fahn Marsden’s Dystonia Rating Scales, BFMDRS-M and BFMDRS-D) was evident at 6 months, 1 year and last follow-up (motor, P = 0.001, P = 0.004, and P = 0.012; disability, P = 0.009, P = 0.002 and P = 0.012). At 1 year post-deep brain stimulation, &amp;gt;50% of subjects showed BFMDRS-M and BFMDRS-D improvements of &amp;gt;30%. In the long-term deep brain stimulation cohort (deep brain stimulation inserted for &amp;gt;5 years, n = 8), improvement of &amp;gt;30% was maintained in 5/8 and 3/8 subjects for the BFMDRS-M and BFMDRS-D, respectively. The greatest BFMDRS-M improvements were observed for trunk (53.2%) and cervical (50.5%) dystonia, with less clinical impact on laryngeal dystonia. Improvements in gait dystonia decreased from 20.9% at 1 year to 16.2% at last assessment; no patient maintained a fully independent gait. Reduction of BFMDRS-D was maintained for swallowing (52.9%). Five patients developed mild parkinsonism following deep brain stimulation. KMT2B-related disease comprises an expanding continuum from infancy to adulthood, with early evidence of genotype-phenotype correlations. Except for laryngeal dysphonia, deep brain stimulation provides a significant improvement in quality of life and function with sustained clinical benefit depending on symptoms distribution.","container-title":"Brain","DOI":"10.1093/brain/awaa304","ISSN":"0006-8950, 1460-2156","issue":"11","language":"en","page":"3242-3261","source":"DOI.org (Crossref)","title":"&lt;i&gt;KMT2B&lt;/i&gt; -related disorders: expansion of the phenotypic spectrum and long-term efficacy of deep brain stimulation","title-short":"&lt;i&gt;KMT2B&lt;/i&gt; -related disorders","volume":"143","author":[{"family":"Cif","given":"Laura"},{"family":"Demailly","given":"Diane"},{"family":"Lin","given":"Jean-Pierre"},{"family":"Barwick","given":"Katy E"},{"family":"Sa","given":"Mario"},{"family":"Abela","given":"Lucia"},{"family":"Malhotra","given":"Sony"},{"family":"Chong","given":"Wui K"},{"family":"Steel","given":"Dora"},{"family":"Sanchis-Juan","given":"Alba"},{"family":"Ngoh","given":"Adeline"},{"family":"Trump","given":"Natalie"},{"family":"Meyer","given":"Esther"},{"family":"Vasques","given":"Xavier"},{"family":"Rankin","given":"Julia"},{"family":"Allain","given":"Meredith W"},{"family":"Applegate","given":"Carolyn D"},{"family":"Attaripour Isfahani","given":"Sanaz"},{"family":"Baleine","given":"Julien"},{"family":"Balint","given":"Bettina"},{"family":"Bassetti","given":"Jennifer A"},{"family":"Baple","given":"Emma L"},{"family":"Bhatia","given":"Kailash P"},{"family":"Blanchet","given":"Catherine"},{"family":"Burglen","given":"Lydie"},{"family":"Cambonie","given":"Gilles"},{"family":"Seng","given":"Emilie Chan"},{"family":"Bastaraud","given":"Sandra Chantot"},{"family":"Cyprien","given":"Fabienne"},{"family":"Coubes","given":"Christine"},{"family":"Hardemare","given":"Vincent","non-dropping-particle":"d’"},{"literal":"Deciphering Developmental Disorders Study"},{"family":"Doja","given":"Asif"},{"family":"Dorison","given":"Nathalie"},{"family":"Doummar","given":"Diane"},{"family":"Dy-Hollins","given":"Marisela E"},{"family":"Farrelly","given":"Ellyn"},{"family":"Fitzpatrick","given":"David R"},{"family":"Fearon","given":"Conor"},{"family":"Fieg","given":"Elizabeth L"},{"family":"Fogel","given":"Brent L"},{"family":"Forman","given":"Eva B"},{"family":"Fox","given":"Rachel G"},{"literal":"Genomics England Research Consortium"},{"family":"Gahl","given":"William A"},{"family":"Galosi","given":"Serena"},{"family":"Gonzalez","given":"Victoria"},{"family":"Graves","given":"Tracey D"},{"family":"Gregory","given":"Allison"},{"family":"Hallett","given":"Mark"},{"family":"Hasegawa","given":"Harutomo"},{"family":"Hayflick","given":"Susan J"},{"family":"Hamosh","given":"Ada"},{"family":"Hully","given":"Marie"},{"family":"Jansen","given":"Sandra"},{"family":"Jeong","given":"Suh Young"},{"family":"Krier","given":"Joel B"},{"family":"Krystal","given":"Sidney"},{"family":"Kumar","given":"Kishore R"},{"family":"Laurencin","given":"Chloé"},{"family":"Lee","given":"Hane"},{"family":"Lesca","given":"Gaetan"},{"family":"François","given":"Laurence Lion"},{"family":"Lynch","given":"Timothy"},{"family":"Mahant","given":"Neil"},{"family":"Martinez-Agosto","given":"Julian A"},{"family":"Milesi","given":"Christophe"},{"family":"Mills","given":"Kelly A"},{"family":"Mondain","given":"Michel"},{"family":"Morales-Briceno","given":"Hugo"},{"literal":"NIHR BioResource"},{"family":"Ostergaard","given":"John R"},{"family":"Pal","given":"Swasti"},{"family":"Pallais","given":"Juan C"},{"family":"Pavillard","given":"Frédérique"},{"family":"Perrigault","given":"Pierre-Francois"},{"family":"Petersen","given":"Andrea K"},{"family":"Polo","given":"Gustavo"},{"family":"Poulen","given":"Gaetan"},{"family":"Rinne","given":"Tuula"},{"family":"Roujeau","given":"Thomas"},{"family":"Rogers","given":"Caleb"},{"family":"Roubertie","given":"Agathe"},{"family":"Sahagian","given":"Michelle"},{"family":"Schaefer","given":"Elise"},{"family":"Selim","given":"Laila"},{"family":"Selway","given":"Richard"},{"family":"Sharma","given":"Nutan"},{"family":"Signer","given":"Rebecca"},{"family":"Soldatos","given":"Ariane G"},{"family":"Stevenson","given":"David A"},{"family":"Stewart","given":"Fiona"},{"family":"Tchan","given":"Michel"},{"literal":"Undiagnosed Diseases Network"},{"family":"Verma","given":"Ishwar C"},{"family":"De Vries","given":"Bert B A"},{"family":"Wilson","given":"Jenny L"},{"family":"Wong","given":"Derek A"},{"family":"Zaitoun","given":"Raghda"},{"family":"Zhen","given":"Dolly"},{"family":"Znaczko","given":"Anna"},{"family":"Dale","given":"Russell C"},{"family":"De Gusmão","given":"Claudio M"},{"family":"Friedman","given":"Jennifer"},{"family":"Fung","given":"Victor S C"},{"family":"King","given":"Mary D"},{"family":"Mohammad","given":"Shekeeb S"},{"family":"Rohena","given":"Luis"},{"family":"Waugh","given":"Jeff L"},{"family":"Toro","given":"Camilo"},{"family":"Raymond","given":"F Lucy"},{"family":"Topf","given":"Maya"},{"family":"Coubes","given":"Philippe"},{"family":"Gorman","given":"Kathleen M"},{"family":"Kurian","given":"Manju A"}],"issued":{"date-parts":[["2020",11,1]]}},"label":"page"},{"id":402,"uris":["http://zotero.org/users/local/qbj29eOf/items/Z76MEW4D"],"itemData":{"id":402,"type":"article-journal","container-title":"Current Neurology and Neuroscience Reports","DOI":"10.1007/s11910-019-1007-y","ISSN":"1528-4042, 1534-6293","issue":"11","journalAbbreviation":"Curr Neurol Neurosci Rep","language":"en","page":"92","source":"DOI.org (Crossref)","title":"Update on KMT2B-Related Dystonia","volume":"19","author":[{"family":"Zech","given":"Michael"},{"family":"Lam","given":"Daniel D."},{"family":"Winkelmann","given":"Juliane"}],"issued":{"date-parts":[["2019",11]]}},"label":"page"},{"id":399,"uris":["http://zotero.org/users/local/qbj29eOf/items/5NZ9C78R"],"itemData":{"id":399,"type":"article-journal","container-title":"Journal of Human Genetics","DOI":"10.1038/s10038-019-0625-1","ISSN":"1434-5161, 1435-232X","issue":"8","journalAbbreviation":"J Hum Genet","language":"en","page":"803-813","source":"DOI.org (Crossref)","title":"Novel mutations in KMT2B offer pathophysiological insights into childhood-onset progressive dystonia","volume":"64","author":[{"family":"Dafsari","given":"Hormos Salimi"},{"family":"Sprute","given":"Rosanne"},{"family":"Wunderlich","given":"Gilbert"},{"family":"Daimagüler","given":"Hülya-Sevcan"},{"family":"Karaca","given":"Ezgi"},{"family":"Contreras","given":"Adriana"},{"family":"Becker","given":"Kerstin"},{"family":"Schulze-Rhonhof","given":"Mira"},{"family":"Kiening","given":"Karl"},{"family":"Karakulak","given":"Tülay"},{"family":"Kloss","given":"Manja"},{"family":"Horn","given":"Annette"},{"family":"Pauls","given":"Amande"},{"family":"Nürnberg","given":"Peter"},{"family":"Altmüller","given":"Janine"},{"family":"Thiele","given":"Holger"},{"family":"Assmann","given":"Birgit"},{"family":"Koy","given":"Anne"},{"family":"Cirak","given":"Sebahattin"}],"issued":{"date-parts":[["2019",8]]}},"label":"page"},{"id":400,"uris":["http://zotero.org/users/local/qbj29eOf/items/GWLY5TM5"],"itemData":{"id":400,"type":"article-journal","container-title":"Parkinsonism &amp; Related Disorders","DOI":"10.1016/j.parkreldis.2019.11.004","ISSN":"13538020","journalAbbreviation":"Parkinsonism &amp; Related Disorders","language":"en","page":"111-118","source":"DOI.org (Crossref)","title":"Whole genome sequencing for the genetic diagnosis of heterogenous dystonia phenotypes","volume":"69","author":[{"family":"Kumar","given":"Kishore R."},{"family":"Davis","given":"Ryan L."},{"family":"Tchan","given":"Michel C."},{"family":"Wali","given":"G.M."},{"family":"Mahant","given":"Neil"},{"family":"Ng","given":"Karl"},{"family":"Kotschet","given":"Katya"},{"family":"Siow","given":"Sue-Faye"},{"family":"Gu","given":"Jason"},{"family":"Walls","given":"Zachary"},{"family":"Kang","given":"Ce"},{"family":"Wali","given":"Gautam"},{"family":"Levy","given":"Stan"},{"family":"Phua","given":"Chung Sen"},{"family":"Yiannikas","given":"Con"},{"family":"Darveniza","given":"Paul"},{"family":"Chang","given":"Florence C.F."},{"family":"Morales-Briceño","given":"Hugo"},{"family":"Rowe","given":"Dominic B."},{"family":"Drew","given":"Alex"},{"family":"Gayevskiy","given":"Velimir"},{"family":"Cowley","given":"Mark J."},{"family":"Minoche","given":"Andre E."},{"family":"Tisch","given":"Stephen"},{"family":"Hayes","given":"Michael"},{"family":"Kummerfeld","given":"Sarah"},{"family":"Fung","given":"Victor S.C."},{"family":"Sue","given":"Carolyn M."}],"issued":{"date-parts":[["2019",12]]}},"label":"page"},{"id":395,"uris":["http://zotero.org/users/local/qbj29eOf/items/GYQ33TK2"],"itemData":{"id":395,"type":"article-journal","container-title":"Movement Disorders Clinical Practice","DOI":"10.1002/mdc3.12862","ISSN":"2330-1619, 2330-1619","issue":"1","journalAbbreviation":"Mov Disord Clin Pract","language":"en","page":"97-99","source":"DOI.org (Crossref)","title":"DYT28 Responsive to Pallidal Deep Brain Stimulation","volume":"7","author":[{"family":"Cao","given":"Ziqiang"},{"family":"Yao","given":"Hongxin"},{"family":"Bao","given":"Xinhua"},{"family":"Wen","given":"Yongxin"},{"family":"Liu","given":"Baofu"},{"family":"Wang","given":"Shulei"},{"family":"Yang","given":"Haibo"}],"issued":{"date-parts":[["2020",1]]}},"label":"page"},{"id":394,"uris":["http://zotero.org/users/local/qbj29eOf/items/A8GTJR9V"],"itemData":{"id":394,"type":"article-journal","container-title":"Parkinsonism &amp; Related Disorders","DOI":"10.1016/j.parkreldis.2018.03.022","ISSN":"13538020","journalAbbreviation":"Parkinsonism &amp; Related Disorders","language":"en","page":"55-61","source":"DOI.org (Crossref)","title":"Phenotype variability and allelic heterogeneity in KMT2B-Associated disease","volume":"52","author":[{"family":"Kawarai","given":"Toshitaka"},{"family":"Miyamoto","given":"Ryosuke"},{"family":"Nakagawa","given":"Eiji"},{"family":"Koichihara","given":"Reiko"},{"family":"Sakamoto","given":"Takashi"},{"family":"Mure","given":"Hideo"},{"family":"Morigaki","given":"Ryoma"},{"family":"Koizumi","given":"Hidetaka"},{"family":"Oki","given":"Ryosuke"},{"family":"Montecchiani","given":"Celeste"},{"family":"Caltagirone","given":"Carlo"},{"family":"Orlacchio","given":"Antonio"},{"family":"Hattori","given":"Ayako"},{"family":"Mashimo","given":"Hideaki"},{"family":"Izumi","given":"Yuishin"},{"family":"Mezaki","given":"Takahiro"},{"family":"Kumada","given":"Satoko"},{"family":"Taniguchi","given":"Makoto"},{"family":"Yokochi","given":"Fusako"},{"family":"Saitoh","given":"Shinji"},{"family":"Goto","given":"Satoshi"},{"family":"Kaji","given":"Ryuji"}],"issued":{"date-parts":[["2018",7]]}},"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20–25,27,29–31</w:t>
            </w:r>
            <w:r w:rsidRPr="005500F7">
              <w:rPr>
                <w:rFonts w:ascii="Aptos" w:hAnsi="Aptos"/>
                <w:sz w:val="20"/>
                <w:szCs w:val="20"/>
              </w:rPr>
              <w:fldChar w:fldCharType="end"/>
            </w:r>
            <w:r w:rsidRPr="005500F7">
              <w:rPr>
                <w:rFonts w:ascii="Aptos" w:hAnsi="Aptos"/>
                <w:sz w:val="20"/>
                <w:szCs w:val="20"/>
              </w:rPr>
              <w:t xml:space="preserve"> Patients can experience mild to moderate cognitive impairment (~51%), and varying degrees of facial dysmorphia or short stature (~60%).</w:t>
            </w:r>
            <w:r w:rsidRPr="005500F7">
              <w:rPr>
                <w:rFonts w:ascii="Aptos" w:hAnsi="Aptos"/>
                <w:sz w:val="20"/>
                <w:szCs w:val="20"/>
              </w:rPr>
              <w:fldChar w:fldCharType="begin"/>
            </w:r>
            <w:r w:rsidRPr="005500F7">
              <w:rPr>
                <w:rFonts w:ascii="Aptos" w:hAnsi="Aptos"/>
                <w:sz w:val="20"/>
                <w:szCs w:val="20"/>
              </w:rPr>
              <w:instrText xml:space="preserve"> ADDIN ZOTERO_ITEM CSL_CITATION {"citationID":"zZuKlx5w","properties":{"formattedCitation":"\\super 23\\uc0\\u8211{}25\\nosupersub{}","plainCitation":"23–25","noteIndex":0},"citationItems":[{"id":402,"uris":["http://zotero.org/users/local/qbj29eOf/items/Z76MEW4D"],"itemData":{"id":402,"type":"article-journal","container-title":"Current Neurology and Neuroscience Reports","DOI":"10.1007/s11910-019-1007-y","ISSN":"1528-4042, 1534-6293","issue":"11","journalAbbreviation":"Curr Neurol Neurosci Rep","language":"en","page":"92","source":"DOI.org (Crossref)","title":"Update on KMT2B-Related Dystonia","volume":"19","author":[{"family":"Zech","given":"Michael"},{"family":"Lam","given":"Daniel D."},{"family":"Winkelmann","given":"Juliane"}],"issued":{"date-parts":[["2019",11]]}},"label":"page"},{"id":403,"uris":["http://zotero.org/users/local/qbj29eOf/items/9T7PU6HU"],"itemData":{"id":403,"type":"article-journal","abstract":"Abstract\n            Heterozygous mutations in KMT2B are associated with an early-onset, progressive and often complex dystonia (DYT28). Key characteristics of typical disease include focal motor features at disease presentation, evolving through a caudocranial pattern into generalized dystonia, with prominent oromandibular, laryngeal and cervical involvement. Although KMT2B-related disease is emerging as one of the most common causes of early-onset genetic dystonia, much remains to be understood about the full spectrum of the disease. We describe a cohort of 53 patients with KMT2B mutations, with detailed delineation of their clinical phenotype and molecular genetic features. We report new disease presentations, including atypical patterns of dystonia evolution and a subgroup of patients with a non-dystonic neurodevelopmental phenotype. In addition to the previously reported systemic features, our study has identified co-morbidities, including the risk of status dystonicus, intrauterine growth retardation, and endocrinopathies. Analysis of this study cohort (n = 53) in tandem with published cases (n = 80) revealed that patients with chromosomal deletions and protein truncating variants had a significantly higher burden of systemic disease (with earlier onset of dystonia) than those with missense variants. Eighteen individuals had detailed longitudinal data available after insertion of deep brain stimulation for medically refractory dystonia. Median age at deep brain stimulation was 11.5 years (range: 4.5–37.0 years). Follow-up after deep brain stimulation ranged from 0.25 to 22 years. Significant improvement of motor function and disability (as assessed by the Burke Fahn Marsden’s Dystonia Rating Scales, BFMDRS-M and BFMDRS-D) was evident at 6 months, 1 year and last follow-up (motor, P = 0.001, P = 0.004, and P = 0.012; disability, P = 0.009, P = 0.002 and P = 0.012). At 1 year post-deep brain stimulation, &amp;gt;50% of subjects showed BFMDRS-M and BFMDRS-D improvements of &amp;gt;30%. In the long-term deep brain stimulation cohort (deep brain stimulation inserted for &amp;gt;5 years, n = 8), improvement of &amp;gt;30% was maintained in 5/8 and 3/8 subjects for the BFMDRS-M and BFMDRS-D, respectively. The greatest BFMDRS-M improvements were observed for trunk (53.2%) and cervical (50.5%) dystonia, with less clinical impact on laryngeal dystonia. Improvements in gait dystonia decreased from 20.9% at 1 year to 16.2% at last assessment; no patient maintained a fully independent gait. Reduction of BFMDRS-D was maintained for swallowing (52.9%). Five patients developed mild parkinsonism following deep brain stimulation. KMT2B-related disease comprises an expanding continuum from infancy to adulthood, with early evidence of genotype-phenotype correlations. Except for laryngeal dysphonia, deep brain stimulation provides a significant improvement in quality of life and function with sustained clinical benefit depending on symptoms distribution.","container-title":"Brain","DOI":"10.1093/brain/awaa304","ISSN":"0006-8950, 1460-2156","issue":"11","language":"en","page":"3242-3261","source":"DOI.org (Crossref)","title":"&lt;i&gt;KMT2B&lt;/i&gt; -related disorders: expansion of the phenotypic spectrum and long-term efficacy of deep brain stimulation","title-short":"&lt;i&gt;KMT2B&lt;/i&gt; -related disorders","volume":"143","author":[{"family":"Cif","given":"Laura"},{"family":"Demailly","given":"Diane"},{"family":"Lin","given":"Jean-Pierre"},{"family":"Barwick","given":"Katy E"},{"family":"Sa","given":"Mario"},{"family":"Abela","given":"Lucia"},{"family":"Malhotra","given":"Sony"},{"family":"Chong","given":"Wui K"},{"family":"Steel","given":"Dora"},{"family":"Sanchis-Juan","given":"Alba"},{"family":"Ngoh","given":"Adeline"},{"family":"Trump","given":"Natalie"},{"family":"Meyer","given":"Esther"},{"family":"Vasques","given":"Xavier"},{"family":"Rankin","given":"Julia"},{"family":"Allain","given":"Meredith W"},{"family":"Applegate","given":"Carolyn D"},{"family":"Attaripour Isfahani","given":"Sanaz"},{"family":"Baleine","given":"Julien"},{"family":"Balint","given":"Bettina"},{"family":"Bassetti","given":"Jennifer A"},{"family":"Baple","given":"Emma L"},{"family":"Bhatia","given":"Kailash P"},{"family":"Blanchet","given":"Catherine"},{"family":"Burglen","given":"Lydie"},{"family":"Cambonie","given":"Gilles"},{"family":"Seng","given":"Emilie Chan"},{"family":"Bastaraud","given":"Sandra Chantot"},{"family":"Cyprien","given":"Fabienne"},{"family":"Coubes","given":"Christine"},{"family":"Hardemare","given":"Vincent","non-dropping-particle":"d’"},{"literal":"Deciphering Developmental Disorders Study"},{"family":"Doja","given":"Asif"},{"family":"Dorison","given":"Nathalie"},{"family":"Doummar","given":"Diane"},{"family":"Dy-Hollins","given":"Marisela E"},{"family":"Farrelly","given":"Ellyn"},{"family":"Fitzpatrick","given":"David R"},{"family":"Fearon","given":"Conor"},{"family":"Fieg","given":"Elizabeth L"},{"family":"Fogel","given":"Brent L"},{"family":"Forman","given":"Eva B"},{"family":"Fox","given":"Rachel G"},{"literal":"Genomics England Research Consortium"},{"family":"Gahl","given":"William A"},{"family":"Galosi","given":"Serena"},{"family":"Gonzalez","given":"Victoria"},{"family":"Graves","given":"Tracey D"},{"family":"Gregory","given":"Allison"},{"family":"Hallett","given":"Mark"},{"family":"Hasegawa","given":"Harutomo"},{"family":"Hayflick","given":"Susan J"},{"family":"Hamosh","given":"Ada"},{"family":"Hully","given":"Marie"},{"family":"Jansen","given":"Sandra"},{"family":"Jeong","given":"Suh Young"},{"family":"Krier","given":"Joel B"},{"family":"Krystal","given":"Sidney"},{"family":"Kumar","given":"Kishore R"},{"family":"Laurencin","given":"Chloé"},{"family":"Lee","given":"Hane"},{"family":"Lesca","given":"Gaetan"},{"family":"François","given":"Laurence Lion"},{"family":"Lynch","given":"Timothy"},{"family":"Mahant","given":"Neil"},{"family":"Martinez-Agosto","given":"Julian A"},{"family":"Milesi","given":"Christophe"},{"family":"Mills","given":"Kelly A"},{"family":"Mondain","given":"Michel"},{"family":"Morales-Briceno","given":"Hugo"},{"literal":"NIHR BioResource"},{"family":"Ostergaard","given":"John R"},{"family":"Pal","given":"Swasti"},{"family":"Pallais","given":"Juan C"},{"family":"Pavillard","given":"Frédérique"},{"family":"Perrigault","given":"Pierre-Francois"},{"family":"Petersen","given":"Andrea K"},{"family":"Polo","given":"Gustavo"},{"family":"Poulen","given":"Gaetan"},{"family":"Rinne","given":"Tuula"},{"family":"Roujeau","given":"Thomas"},{"family":"Rogers","given":"Caleb"},{"family":"Roubertie","given":"Agathe"},{"family":"Sahagian","given":"Michelle"},{"family":"Schaefer","given":"Elise"},{"family":"Selim","given":"Laila"},{"family":"Selway","given":"Richard"},{"family":"Sharma","given":"Nutan"},{"family":"Signer","given":"Rebecca"},{"family":"Soldatos","given":"Ariane G"},{"family":"Stevenson","given":"David A"},{"family":"Stewart","given":"Fiona"},{"family":"Tchan","given":"Michel"},{"literal":"Undiagnosed Diseases Network"},{"family":"Verma","given":"Ishwar C"},{"family":"De Vries","given":"Bert B A"},{"family":"Wilson","given":"Jenny L"},{"family":"Wong","given":"Derek A"},{"family":"Zaitoun","given":"Raghda"},{"family":"Zhen","given":"Dolly"},{"family":"Znaczko","given":"Anna"},{"family":"Dale","given":"Russell C"},{"family":"De Gusmão","given":"Claudio M"},{"family":"Friedman","given":"Jennifer"},{"family":"Fung","given":"Victor S C"},{"family":"King","given":"Mary D"},{"family":"Mohammad","given":"Shekeeb S"},{"family":"Rohena","given":"Luis"},{"family":"Waugh","given":"Jeff L"},{"family":"Toro","given":"Camilo"},{"family":"Raymond","given":"F Lucy"},{"family":"Topf","given":"Maya"},{"family":"Coubes","given":"Philippe"},{"family":"Gorman","given":"Kathleen M"},{"family":"Kurian","given":"Manju A"}],"issued":{"date-parts":[["2020",11,1]]}},"label":"page"},{"id":405,"uris":["http://zotero.org/users/local/qbj29eOf/items/WZCTUAS3"],"itemData":{"id":405,"type":"article-journal","container-title":"Parkinsonism &amp; Related Disorders","DOI":"10.1016/j.parkreldis.2020.06.002","ISSN":"13538020","journalAbbreviation":"Parkinsonism &amp; Related Disorders","language":"en","page":"76-82","source":"DOI.org (Crossref)","title":"Clinical phenotypes, genotypes and treatment in Chinese dystonia patients with KMT2B variants","volume":"77","author":[{"family":"Li","given":"Xin-yao"},{"family":"Dai","given":"Li-fang"},{"family":"Wan","given":"Xin-hua"},{"family":"Guo","given":"Yi"},{"family":"Dai","given":"Yi"},{"family":"Li","given":"Shang-lin"},{"family":"Fang","given":"Fang"},{"family":"Wang","given":"Xiao-hui"},{"family":"Zhang","given":"Wei-hua"},{"family":"Liu","given":"Ting-hong"},{"family":"Xie","given":"Zi-hang"},{"family":"Fang","given":"Tie"},{"family":"Wang","given":"Lin"},{"family":"Ding","given":"Chang-hong"}],"issued":{"date-parts":[["2020",8]]}},"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23–25</w:t>
            </w:r>
            <w:r w:rsidRPr="005500F7">
              <w:rPr>
                <w:rFonts w:ascii="Aptos" w:hAnsi="Aptos"/>
                <w:sz w:val="20"/>
                <w:szCs w:val="20"/>
              </w:rPr>
              <w:fldChar w:fldCharType="end"/>
            </w:r>
          </w:p>
        </w:tc>
      </w:tr>
      <w:tr w:rsidR="005500F7" w:rsidRPr="005500F7" w14:paraId="45BE52E4" w14:textId="77777777" w:rsidTr="002C08A9">
        <w:trPr>
          <w:trHeight w:val="1269"/>
        </w:trPr>
        <w:tc>
          <w:tcPr>
            <w:tcW w:w="593" w:type="pct"/>
            <w:tcBorders>
              <w:top w:val="single" w:sz="4" w:space="0" w:color="auto"/>
              <w:left w:val="nil"/>
              <w:bottom w:val="single" w:sz="4" w:space="0" w:color="auto"/>
              <w:right w:val="nil"/>
            </w:tcBorders>
            <w:shd w:val="clear" w:color="auto" w:fill="auto"/>
            <w:vAlign w:val="center"/>
          </w:tcPr>
          <w:p w14:paraId="569D34B5" w14:textId="72EA9326" w:rsidR="005500F7" w:rsidRPr="005500F7" w:rsidRDefault="005500F7" w:rsidP="00257457">
            <w:pPr>
              <w:spacing w:after="0" w:line="240" w:lineRule="auto"/>
              <w:rPr>
                <w:rFonts w:ascii="Aptos" w:hAnsi="Aptos"/>
                <w:sz w:val="20"/>
                <w:szCs w:val="20"/>
              </w:rPr>
            </w:pPr>
            <w:r w:rsidRPr="005500F7">
              <w:rPr>
                <w:rFonts w:ascii="Aptos" w:hAnsi="Aptos"/>
                <w:b/>
                <w:i/>
                <w:iCs/>
                <w:sz w:val="20"/>
                <w:szCs w:val="20"/>
              </w:rPr>
              <w:t>PANK2</w:t>
            </w:r>
          </w:p>
        </w:tc>
        <w:tc>
          <w:tcPr>
            <w:tcW w:w="4407" w:type="pct"/>
            <w:tcBorders>
              <w:top w:val="single" w:sz="4" w:space="0" w:color="auto"/>
              <w:left w:val="nil"/>
              <w:bottom w:val="single" w:sz="4" w:space="0" w:color="auto"/>
              <w:right w:val="nil"/>
            </w:tcBorders>
            <w:shd w:val="clear" w:color="auto" w:fill="auto"/>
            <w:vAlign w:val="center"/>
          </w:tcPr>
          <w:p w14:paraId="67FBE648" w14:textId="2C1C04B4" w:rsidR="005500F7" w:rsidRPr="005500F7" w:rsidRDefault="005500F7" w:rsidP="00257457">
            <w:pPr>
              <w:spacing w:after="0" w:line="240" w:lineRule="auto"/>
              <w:jc w:val="center"/>
              <w:rPr>
                <w:rFonts w:ascii="Aptos" w:hAnsi="Aptos"/>
                <w:sz w:val="20"/>
                <w:szCs w:val="20"/>
              </w:rPr>
            </w:pPr>
            <w:r w:rsidRPr="005500F7">
              <w:rPr>
                <w:rFonts w:ascii="Aptos" w:hAnsi="Aptos"/>
                <w:sz w:val="20"/>
                <w:szCs w:val="20"/>
              </w:rPr>
              <w:t xml:space="preserve">Traditional classifications of </w:t>
            </w:r>
            <w:r w:rsidRPr="005500F7">
              <w:rPr>
                <w:rFonts w:ascii="Aptos" w:hAnsi="Aptos"/>
                <w:i/>
                <w:iCs/>
                <w:sz w:val="20"/>
                <w:szCs w:val="20"/>
              </w:rPr>
              <w:t>PANK2</w:t>
            </w:r>
            <w:r w:rsidR="00264446">
              <w:rPr>
                <w:rFonts w:ascii="Aptos" w:hAnsi="Aptos"/>
                <w:i/>
                <w:iCs/>
                <w:sz w:val="20"/>
                <w:szCs w:val="20"/>
              </w:rPr>
              <w:t xml:space="preserve"> </w:t>
            </w:r>
            <w:r w:rsidR="00264446" w:rsidRPr="00264446">
              <w:rPr>
                <w:rFonts w:ascii="Aptos" w:hAnsi="Aptos"/>
                <w:sz w:val="20"/>
                <w:szCs w:val="20"/>
              </w:rPr>
              <w:t>mutations</w:t>
            </w:r>
            <w:r w:rsidRPr="005500F7">
              <w:rPr>
                <w:rFonts w:ascii="Aptos" w:hAnsi="Aptos"/>
                <w:sz w:val="20"/>
                <w:szCs w:val="20"/>
              </w:rPr>
              <w:t xml:space="preserve"> include the early-onset, quickly progressing "classic" form and the later-onset, slower-progressing "atypical" form with recessive inheritance pattern.</w:t>
            </w:r>
            <w:r w:rsidRPr="005500F7">
              <w:rPr>
                <w:rFonts w:ascii="Aptos" w:hAnsi="Aptos"/>
                <w:sz w:val="20"/>
                <w:szCs w:val="20"/>
                <w:lang w:val="en-US"/>
              </w:rPr>
              <w:fldChar w:fldCharType="begin"/>
            </w:r>
            <w:r w:rsidRPr="005500F7">
              <w:rPr>
                <w:rFonts w:ascii="Aptos" w:hAnsi="Aptos"/>
                <w:sz w:val="20"/>
                <w:szCs w:val="20"/>
              </w:rPr>
              <w:instrText xml:space="preserve"> ADDIN ZOTERO_ITEM CSL_CITATION {"citationID":"cXCvxVRt","properties":{"formattedCitation":"\\super 32\\uc0\\u8211{}37\\nosupersub{}","plainCitation":"32–37","noteIndex":0},"citationItems":[{"id":384,"uris":["http://zotero.org/users/local/qbj29eOf/items/HEYXSXUH"],"itemData":{"id":384,"type":"article-journal","container-title":"Movement Disorders","DOI":"10.1002/mds.10650","ISSN":"08853185","issue":"1","journalAbbreviation":"Mov. Disord.","language":"en","page":"36-42","source":"DOI.org (Crossref)","title":"Clinical heterogeneity of neurodegeneration with brain iron accumulation (Hallervorden-Spatz syndrome) and pantothenate kinase-associated neurodegeneration: Hallervorden-Spatz Syndrome and PKAN","title-short":"Clinical heterogeneity of neurodegeneration with brain iron accumulation (Hallervorden-Spatz syndrome) and pantothenate kinase-associated neurodegeneration","volume":"19","author":[{"family":"Thomas","given":"Madhavi"},{"family":"Hayflick","given":"Susan J."},{"family":"Jankovic","given":"Joseph"}],"issued":{"date-parts":[["2004",1]]}}},{"id":366,"uris":["http://zotero.org/users/local/qbj29eOf/items/XCCY8X8V"],"itemData":{"id":366,"type":"article-journal","abstract":"</w:instrText>
            </w:r>
            <w:r w:rsidRPr="005500F7">
              <w:rPr>
                <w:rFonts w:ascii="Aptos" w:hAnsi="Aptos" w:cs="Segoe UI Symbol"/>
                <w:sz w:val="20"/>
                <w:szCs w:val="20"/>
              </w:rPr>
              <w:instrText>✓</w:instrText>
            </w:r>
            <w:r w:rsidRPr="005500F7">
              <w:rPr>
                <w:rFonts w:ascii="Aptos" w:hAnsi="Aptos"/>
                <w:sz w:val="20"/>
                <w:szCs w:val="20"/>
              </w:rPr>
              <w:instrText xml:space="preserve"> Generalized dystonia is one of the most disabling movement disorders. Ablative stereotactic surgery such as pallidotomy has been performed for medically refractory dystonia. Recently, deep brain stimulation (DBS) has appeared as an alternative to ablative procedures. Nevertheless, there have been few published reports detailing improvement in dystonia with DBS.\n            This 36-year-old man with Hallervorden—Spatz syndrome suffered from intractable primary generalized dystonia for 28 years. He was completely dependent for activities of daily living and wheelchair bound because of continuous severe dystonic movements in the face, tongue, neck, trunk, and upper and lower extremities while at rest. The Burke-Fahn-Marsden (BFM) Dystonia Rating Scale score was 112 (maximum 120 points). Bilateral DBS of the globus pallidus internus was performed and resulted in marked improvement in motor functioning and dystonic symptoms with a significant reduction in disability. The BFM score improved to 22.5 points (80% improvement) at 3 months postsurgery and the patient's dystonia was still well suppressed 1 year after surgery.\n            Bilateral pallidal stimulation is an effective and safe treatment for intractable generalized dystonia in Hallervorden—Spatz syndrome, even if the disability is severe and longstanding.","container-title":"Journal of Neurosurgery","DOI":"10.3171/jns.2004.100.4.0706","ISSN":"0022-3085","issue":"4","page":"706-709","source":"DOI.org (Crossref)","title":"Pallidal deep brain stimulation for longstanding severe generalized dystonia in Hallervorden—Spatz syndrome: Case report","title-short":"Pallidal deep brain stimulation for longstanding severe generalized dystonia in Hallervorden—Spatz syndrome","volume":"100","author":[{"family":"Umemura","given":"Atsushi"},{"family":"Jaggi","given":"Jurg L."},{"family":"Dolinskas","given":"Carol A."},{"family":"Stern","given":"Matthew B."},{"family":"Baltuch","given":"Gordon H."}],"issued":{"date-parts":[["2004",4]]}}},{"id":375,"uris":["http://zotero.org/users/local/qbj29eOf/items/STXHMLTZ"],"itemData":{"id":375,"type":"article-journal","container-title":"Journal of Movement Disorders","DOI":"10.14802/jmd.14034","ISSN":"2005-940X, 2093-4939","issue":"1","journalAbbreviation":"JMD","language":"en","page":"1-13","source":"DOI.org (Crossref)","title":"Neurodegeneration with Brain Iron Accumulation: Diagnosis and Management","title-short":"Neurodegeneration with Brain Iron Accumulation","volume":"8","author":[{"family":"Hogarth","given":"Penelope"}],"issued":{"date-parts":[["2015",1,13]]}}},{"id":367,"uris":["http://zotero.org/users/local/qbj29eOf/items/3HGTYH2B"],"itemData":{"id":367,"type":"article-journal","abstract":"BACKGROUND: Neurodegeneration with brain iron accumulation (NBIA), formerly known as Hallervorden-Spatz syndrome, is a heterogeneous group of disorders with different treatment options.\nCASE REPORTS: In the first case, progressively generalizing dystonic symptoms appeared during childhood. A mutation in the gene encoding pantothenate kinase 2 (PANK2) was found. Brain MRI showed bilateral hypersignals within the globus pallidi on T2-weighted images. The patient was successfully treated by pallidal deep brain stimulation (DBS). In the second case an adult onset with parkinsonism was observed, for which no PANK2 mutation was found. T2-weighted brain MR images revealed multiple significant hyposignals (suggestive of iron deposits) localised in the cerebellar dentate nuclei and in the globi pallidi, the red nuclei and the substantia nigra. An antiparkinsonian treatment was proposed.\nCONCLUSION: The clinical, radiographic and genetic heterogeneity of NBIA has to be underlined.","container-title":"Acta Neurologica Belgica","ISSN":"0300-9009","issue":"1","journalAbbreviation":"Acta Neurol Belg","language":"eng","note":"PMID: 17569231","page":"26-31","source":"PubMed","title":"Neurodegeneration with brain iron accumulation: clinical, radiographic and genetic heterogeneity and corresponding therapeutic options","title-short":"Neurodegeneration with brain iron accumulation","volume":"107","author":[{"family":"Clement","given":"Frederik"},{"family":"Devos","given":"David"},{"family":"Moreau","given":"Caroline"},{"family":"Coubes","given":"Philippe"},{"family":"Destee","given":"Alain"},{"family":"Defebvre","given":"Luc"}],"issued":{"date-parts":[["2007",3]]}},"label":"page"},{"id":382,"uris":["http://zotero.org/users/local/qbj29eOf/items/GNFPTHV6"],"itemData":{"id":382,"type":"article-journal","abstract":"Pantothenate kinase-associated neurodegeneration (PKAN) is a rare genetic disorder caused by mutations in the mitochondrial pantothenate kinase 2 (\n              PANK2\n              ) gene and displays an inherited autosomal recessive pattern. In this study, we identified eight\n              PANK2\n              mutations, including three novel mutations (c.1103A &amp;gt; G/p.D368G, c.1696C &amp;gt; G/p.L566V, and c.1470delC/p.R490fs494X), in seven unrelated families with PKAN. All the patients showed an eye-of-the-tiger sign on the MRI, six of seven patients had dystonia, and two of seven patients had Parkinsonism. Biallelic mutations of\n              PANK2\n              decreased PANK2 protein expression and reduced mitochondrial membrane potential in human embryonic kidney (HEK) 293T cells. The biallelic mutations from patients with early-onset PKAN, a severity phenotype, showed decreased mitochondrial membrane potential more than that from late-onset patients. We systematically reviewed all the reported patients with PKAN with\n              PANK2\n              mutations. The results indicated that the early-onset patients carried a significantly higher frequency of biallelic loss-of-function (LoF) mutations compared to late-onset patients. In general, patients with LoF mutations showed more severe phenotypes, including earlier onset age and loss of gait. Although there was no significant difference in the frequency of biallelic missense mutations between the early-onset and late-onset patients, we found that patients with missense mutations in the mitochondrial trafficking domain (transit peptide/mitochondrial domain) of PANK2 exhibited the earliest onset age when compared to patients with mutations in the other two domains. Taken together, this study reports three novel mutations and indicates a correlation between the phenotype and mitochondrial dysfunction. This provides new insight for evaluating the clinical severity of patients based on the degree of mitochondrial dysfunction and suggests genetic counseling not just generalized identification of mutated\n              PANK2\n              in clinics.","container-title":"Frontiers in Aging Neuroscience","DOI":"10.3389/fnagi.2022.848919","ISSN":"1663-4365","journalAbbreviation":"Front. Aging Neurosci.","page":"848919","source":"DOI.org (Crossref)","title":"Novel PANK2 Mutations in Patients With Pantothenate Kinase-Associated Neurodegeneration and the Genotype–Phenotype Correlation","volume":"14","author":[{"family":"Li","given":"Wen-Bin"},{"family":"Shen","given":"Nan-Xiang"},{"family":"Zhang","given":"Chao"},{"family":"Xie","given":"Huan-Cheng"},{"family":"Li","given":"Zong-Yan"},{"family":"Cao","given":"Li"},{"family":"Chen","given":"Li-Zhi"},{"family":"Zeng","given":"Yuan-jin"},{"family":"Fan","given":"Cui-Xia"},{"family":"Chen","given":"Qian"},{"family":"Shi","given":"Yi-Wu"},{"family":"Song","given":"Xing-Wang"}],"issued":{"date-parts":[["2022",4,6]]}},"label":"page"},{"id":380,"uris":["http://zotero.org/users/local/qbj29eOf/items/YLMT56PH"],"itemData":{"id":380,"type":"article-journal","container-title":"CNS Neuroscience &amp; Therapeutics","DOI":"10.1111/cns.13294","ISSN":"1755-5930, 1755-5949","issue":"7","journalAbbreviation":"CNS Neurosci Ther","language":"en","page":"754-761","source":"DOI.org (Crossref)","title":"Natural history and genotype</w:instrText>
            </w:r>
            <w:r w:rsidRPr="005500F7">
              <w:rPr>
                <w:rFonts w:ascii="Cambria Math" w:hAnsi="Cambria Math" w:cs="Cambria Math"/>
                <w:sz w:val="20"/>
                <w:szCs w:val="20"/>
              </w:rPr>
              <w:instrText>‐</w:instrText>
            </w:r>
            <w:r w:rsidRPr="005500F7">
              <w:rPr>
                <w:rFonts w:ascii="Aptos" w:hAnsi="Aptos"/>
                <w:sz w:val="20"/>
                <w:szCs w:val="20"/>
              </w:rPr>
              <w:instrText>phenotype correlation of pantothenate kinase</w:instrText>
            </w:r>
            <w:r w:rsidRPr="005500F7">
              <w:rPr>
                <w:rFonts w:ascii="Cambria Math" w:hAnsi="Cambria Math" w:cs="Cambria Math"/>
                <w:sz w:val="20"/>
                <w:szCs w:val="20"/>
              </w:rPr>
              <w:instrText>‐</w:instrText>
            </w:r>
            <w:r w:rsidRPr="005500F7">
              <w:rPr>
                <w:rFonts w:ascii="Aptos" w:hAnsi="Aptos"/>
                <w:sz w:val="20"/>
                <w:szCs w:val="20"/>
              </w:rPr>
              <w:instrText xml:space="preserve">associated neurodegeneration","volume":"26","author":[{"family":"Chang","given":"Xuting"},{"family":"Zhang","given":"Jie"},{"family":"Jiang","given":"Yuwu"},{"family":"Wang","given":"Jingmin"},{"family":"Wu","given":"Ye"}],"issued":{"date-parts":[["2020",7]]}},"label":"page"}],"schema":"https://github.com/citation-style-language/schema/raw/master/csl-citation.json"} </w:instrText>
            </w:r>
            <w:r w:rsidRPr="005500F7">
              <w:rPr>
                <w:rFonts w:ascii="Aptos" w:hAnsi="Aptos"/>
                <w:sz w:val="20"/>
                <w:szCs w:val="20"/>
                <w:lang w:val="en-US"/>
              </w:rPr>
              <w:fldChar w:fldCharType="separate"/>
            </w:r>
            <w:r w:rsidRPr="005500F7">
              <w:rPr>
                <w:rFonts w:ascii="Aptos" w:hAnsi="Aptos"/>
                <w:sz w:val="20"/>
                <w:szCs w:val="20"/>
                <w:vertAlign w:val="superscript"/>
              </w:rPr>
              <w:t>32–37</w:t>
            </w:r>
            <w:r w:rsidRPr="005500F7">
              <w:rPr>
                <w:rFonts w:ascii="Aptos" w:hAnsi="Aptos"/>
                <w:sz w:val="20"/>
                <w:szCs w:val="20"/>
              </w:rPr>
              <w:fldChar w:fldCharType="end"/>
            </w:r>
            <w:r w:rsidRPr="005500F7">
              <w:rPr>
                <w:rFonts w:ascii="Aptos" w:hAnsi="Aptos"/>
                <w:sz w:val="20"/>
                <w:szCs w:val="20"/>
              </w:rPr>
              <w:t xml:space="preserve">  Regardless, complex dystonia is present in almost all patients (~97%), along with common symptoms like dysarthria (~83.2%), oromandibular dystonia (~80%), and gait issues (~55.1%). </w:t>
            </w:r>
            <w:r w:rsidRPr="005500F7">
              <w:rPr>
                <w:rFonts w:ascii="Aptos" w:hAnsi="Aptos"/>
                <w:sz w:val="20"/>
                <w:szCs w:val="20"/>
              </w:rPr>
              <w:fldChar w:fldCharType="begin"/>
            </w:r>
            <w:r w:rsidRPr="005500F7">
              <w:rPr>
                <w:rFonts w:ascii="Aptos" w:hAnsi="Aptos"/>
                <w:sz w:val="20"/>
                <w:szCs w:val="20"/>
              </w:rPr>
              <w:instrText xml:space="preserve"> ADDIN ZOTERO_ITEM CSL_CITATION {"citationID":"VY4XfrWb","properties":{"formattedCitation":"\\super 33,35,37\\uc0\\u8211{}45\\nosupersub{}","plainCitation":"33,35,37–45","noteIndex":0},"citationItems":[{"id":366,"uris":["http://zotero.org/users/local/qbj29eOf/items/XCCY8X8V"],"itemData":{"id":366,"type":"article-journal","abstract":"</w:instrText>
            </w:r>
            <w:r w:rsidRPr="005500F7">
              <w:rPr>
                <w:rFonts w:ascii="Aptos" w:hAnsi="Aptos" w:cs="Segoe UI Symbol"/>
                <w:sz w:val="20"/>
                <w:szCs w:val="20"/>
              </w:rPr>
              <w:instrText>✓</w:instrText>
            </w:r>
            <w:r w:rsidRPr="005500F7">
              <w:rPr>
                <w:rFonts w:ascii="Aptos" w:hAnsi="Aptos"/>
                <w:sz w:val="20"/>
                <w:szCs w:val="20"/>
              </w:rPr>
              <w:instrText xml:space="preserve"> Generalized dystonia is one of the most disabling movement disorders. Ablative stereotactic surgery such as pallidotomy has been performed for medically refractory dystonia. Recently, deep brain stimulation (DBS) has appeared as an alternative to ablative procedures. Nevertheless, there have been few published reports detailing improvement in dystonia with DBS.\n            This 36-year-old man with Hallervorden—Spatz syndrome suffered from intractable primary generalized dystonia for 28 years. He was completely dependent for activities of daily living and wheelchair bound because of continuous severe dystonic movements in the face, tongue, neck, trunk, and upper and lower extremities while at rest. The Burke-Fahn-Marsden (BFM) Dystonia Rating Scale score was 112 (maximum 120 points). Bilateral DBS of the globus pallidus internus was performed and resulted in marked improvement in motor functioning and dystonic symptoms with a significant reduction in disability. The BFM score improved to 22.5 points (80% improvement) at 3 months postsurgery and the patient's dystonia was still well suppressed 1 year after surgery.\n            Bilateral pallidal stimulation is an effective and safe treatment for intractable generalized dystonia in Hallervorden—Spatz syndrome, even if the disability is severe and longstanding.","container-title":"Journal of Neurosurgery","DOI":"10.3171/jns.2004.100.4.0706","ISSN":"0022-3085","issue":"4","page":"706-709","source":"DOI.org (Crossref)","title":"Pallidal deep brain stimulation for longstanding severe generalized dystonia in Hallervorden—Spatz syndrome: Case report","title-short":"Pallidal deep brain stimulation for longstanding severe generalized dystonia in Hallervorden—Spatz syndrome","volume":"100","author":[{"family":"Umemura","given":"Atsushi"},{"family":"Jaggi","given":"Jurg L."},{"family":"Dolinskas","given":"Carol A."},{"family":"Stern","given":"Matthew B."},{"family":"Baltuch","given":"Gordon H."}],"issued":{"date-parts":[["2004",4]]}},"label":"page"},{"id":367,"uris":["http://zotero.org/users/local/qbj29eOf/items/3HGTYH2B"],"itemData":{"id":367,"type":"article-journal","abstract":"BACKGROUND: Neurodegeneration with brain iron accumulation (NBIA), formerly known as Hallervorden-Spatz syndrome, is a heterogeneous group of disorders with different treatment options.\nCASE REPORTS: In the first case, progressively generalizing dystonic symptoms appeared during childhood. A mutation in the gene encoding pantothenate kinase 2 (PANK2) was found. Brain MRI showed bilateral hypersignals within the globus pallidi on T2-weighted images. The patient was successfully treated by pallidal deep brain stimulation (DBS). In the second case an adult onset with parkinsonism was observed, for which no PANK2 mutation was found. T2-weighted brain MR images revealed multiple significant hyposignals (suggestive of iron deposits) localised in the cerebellar dentate nuclei and in the globi pallidi, the red nuclei and the substantia nigra. An antiparkinsonian treatment was proposed.\nCONCLUSION: The clinical, radiographic and genetic heterogeneity of NBIA has to be underlined.","container-title":"Acta Neurologica Belgica","ISSN":"0300-9009","issue":"1","journalAbbreviation":"Acta Neurol Belg","language":"eng","note":"PMID: 17569231","page":"26-31","source":"PubMed","title":"Neurodegeneration with brain iron accumulation: clinical, radiographic and genetic heterogeneity and corresponding therapeutic options","title-short":"Neurodegeneration with brain iron accumulation","volume":"107","author":[{"family":"Clement","given":"Frederik"},{"family":"Devos","given":"David"},{"family":"Moreau","given":"Caroline"},{"family":"Coubes","given":"Philippe"},{"family":"Destee","given":"Alain"},{"family":"Defebvre","given":"Luc"}],"issued":{"date-parts":[["2007",3]]}},"label":"page"},{"id":380,"uris":["http://zotero.org/users/local/qbj29eOf/items/YLMT56PH"],"itemData":{"id":380,"type":"article-journal","container-title":"CNS Neuroscience &amp; Therapeutics","DOI":"10.1111/cns.13294","ISSN":"1755-5930, 1755-5949","issue":"7","journalAbbreviation":"CNS Neurosci Ther","language":"en","page":"754-761","source":"DOI.org (Crossref)","title":"Natural history and genotype</w:instrText>
            </w:r>
            <w:r w:rsidRPr="005500F7">
              <w:rPr>
                <w:rFonts w:ascii="Cambria Math" w:hAnsi="Cambria Math" w:cs="Cambria Math"/>
                <w:sz w:val="20"/>
                <w:szCs w:val="20"/>
              </w:rPr>
              <w:instrText>‐</w:instrText>
            </w:r>
            <w:r w:rsidRPr="005500F7">
              <w:rPr>
                <w:rFonts w:ascii="Aptos" w:hAnsi="Aptos"/>
                <w:sz w:val="20"/>
                <w:szCs w:val="20"/>
              </w:rPr>
              <w:instrText>phenotype correlation of pantothenate kinase</w:instrText>
            </w:r>
            <w:r w:rsidRPr="005500F7">
              <w:rPr>
                <w:rFonts w:ascii="Cambria Math" w:hAnsi="Cambria Math" w:cs="Cambria Math"/>
                <w:sz w:val="20"/>
                <w:szCs w:val="20"/>
              </w:rPr>
              <w:instrText>‐</w:instrText>
            </w:r>
            <w:r w:rsidRPr="005500F7">
              <w:rPr>
                <w:rFonts w:ascii="Aptos" w:hAnsi="Aptos"/>
                <w:sz w:val="20"/>
                <w:szCs w:val="20"/>
              </w:rPr>
              <w:instrText xml:space="preserve">associated neurodegeneration","volume":"26","author":[{"family":"Chang","given":"Xuting"},{"family":"Zhang","given":"Jie"},{"family":"Jiang","given":"Yuwu"},{"family":"Wang","given":"Jingmin"},{"family":"Wu","given":"Ye"}],"issued":{"date-parts":[["2020",7]]}},"label":"page"},{"id":369,"uris":["http://zotero.org/users/local/qbj29eOf/items/XTHW4T33"],"itemData":{"id":369,"type":"article-journal","container-title":"European Journal of Paediatric Neurology","DOI":"10.1016/j.ejpn.2008.01.006","ISSN":"10903798","issue":"1","journalAbbreviation":"European Journal of Paediatric Neurology","language":"en","page":"61-64","source":"DOI.org (Crossref)","title":"Deep brain stimulation as a mode of treatment of early onset pantothenate kinase-associated neurodegeneration","volume":"13","author":[{"family":"Mikati","given":"Mohamad A."},{"family":"Yehya","given":"Amin"},{"family":"Darwish","given":"Houssein"},{"family":"Karam","given":"Pascale"},{"family":"Comair","given":"Youssef"}],"issued":{"date-parts":[["2009",1]]}},"label":"page"},{"id":372,"uris":["http://zotero.org/users/local/qbj29eOf/items/PSCTW995"],"itemData":{"id":372,"type":"article-journal","container-title":"European Journal of Neurology","DOI":"10.1111/j.1468-1331.2011.03589.x","ISSN":"13515101","issue":"4","language":"en","page":"556-561","source":"DOI.org (Crossref)","title":"Pantothenate kinase-associated neurodegeneration in Korea: recurrent R440P mutation in PANK2 and outcome of deep brain stimulation: Pantothenate kinase-associated neurodegeneration in Korea","title-short":"Pantothenate kinase-associated neurodegeneration in Korea","volume":"19","author":[{"family":"Lim","given":"B. C."},{"family":"Ki","given":"C.-S."},{"family":"Cho","given":"A."},{"family":"Hwang","given":"H."},{"family":"Kim","given":"K. J."},{"family":"Hwang","given":"Y. S."},{"family":"Kim","given":"Y. E."},{"family":"Yun","given":"J. Y."},{"family":"Jeon","given":"B. S."},{"family":"Lim","given":"Y. H."},{"family":"Paek","given":"S. H."},{"family":"Chae","given":"J. H."}],"issued":{"date-parts":[["2012",4]]}},"label":"page"},{"id":377,"uris":["http://zotero.org/users/local/qbj29eOf/items/6QXHVJ52"],"itemData":{"id":377,"type":"article-journal","container-title":"Clinical Neurology and Neurosurgery","DOI":"10.1016/j.clineuro.2017.01.011","ISSN":"03038467","journalAbbreviation":"Clinical Neurology and Neurosurgery","language":"en","page":"34-42","source":"DOI.org (Crossref)","title":"Clinical and genetic features of PKAN patients in a tertiary centre in Turkey","volume":"154","author":[{"family":"Akcakaya","given":"Nihan Hande"},{"family":"Iseri","given":"Sibel Ugur"},{"family":"Bilir","given":"Birdal"},{"family":"Battaloglu","given":"Esra"},{"family":"Tekturk","given":"Pinar"},{"family":"Gultekin","given":"Murat"},{"family":"Akar","given":"Gokcen"},{"family":"Yigiter","given":"Remzi"},{"family":"Hanagasi","given":"Hasmet"},{"family":"Alp","given":"Recep"},{"family":"Cagirici","given":"Sultan"},{"family":"Eraksoy","given":"Mefkure"},{"family":"Ozbek","given":"Ugur"},{"family":"Yapici","given":"Zuhal"}],"issued":{"date-parts":[["2017",3]]}},"label":"page"},{"id":378,"uris":["http://zotero.org/users/local/qbj29eOf/items/R97JHVTL"],"itemData":{"id":378,"type":"article-journal","abstract":"Objective\n              Genetic subtypes of dystonia may respond differentially to deep brain stimulation of the globus pallidus pars interna (GPi DBS). We sought to compare GPi DBS outcomes among the most common monogenic dystonias.\n            \n            \n              Methods\n              \n                This systematic review and meta-analysis followed the Preferred Reporting Items for Systematic Reviews and Meta-analyses and Meta-analysis of Observational Studies in Epidemiology guidelines. We searched PubMed for studies on genetically confirmed monogenic dystonia treated with GPi DBS documenting pre-surgical and post-surgical assessments using the Burke–Fahn–Marsden Dystonia Rating Scale Motor Score (BFMMS) and Burke–Fahn–Marsden Disability Score (BFMDS). We performed (i) meta-analysis for each gene mutation; (ii) weighted ordinary linear regression analyses to compare BFMMS and BFMDS outcomes between DYT-\n                TOR1A\n                and other monogenic dystonias, adjusting for age and disease duration and (iii) weighted linear regression analysis to estimate the effect of age, sex and disease duration on GPi DBS outcomes. Results were summarised with mean change and 95% CI.\n              \n            \n            \n              Results\n              \n                DYT-\n                TOR1A\n                (68%, 38.4 points; p&lt;0.001), DYT-\n                THAP1\n                (37% 14.5 points; p&lt;0.001) and NBIA/DYT-\n                PANK2\n                (27%, 21.4 points; p&lt;0.001) improved in BFMMS; only DYT-\n                TOR1A\n                improved in BFMDS (69%, 9.7 points; p&lt;0.001). Improvement in DYT-\n                TOR1A\n                was significantly greater than in DYT-\n                THAP1\n                (BFMMS </w:instrText>
            </w:r>
            <w:r w:rsidRPr="005500F7">
              <w:rPr>
                <w:rFonts w:ascii="Aptos" w:hAnsi="Aptos" w:cs="Arial"/>
                <w:sz w:val="20"/>
                <w:szCs w:val="20"/>
              </w:rPr>
              <w:instrText>−</w:instrText>
            </w:r>
            <w:r w:rsidRPr="005500F7">
              <w:rPr>
                <w:rFonts w:ascii="Aptos" w:hAnsi="Aptos"/>
                <w:sz w:val="20"/>
                <w:szCs w:val="20"/>
              </w:rPr>
              <w:instrText xml:space="preserve">31%), NBIA/DYT-\n                PANK2\n                (BFMMS </w:instrText>
            </w:r>
            <w:r w:rsidRPr="005500F7">
              <w:rPr>
                <w:rFonts w:ascii="Aptos" w:hAnsi="Aptos" w:cs="Arial"/>
                <w:sz w:val="20"/>
                <w:szCs w:val="20"/>
              </w:rPr>
              <w:instrText>−</w:instrText>
            </w:r>
            <w:r w:rsidRPr="005500F7">
              <w:rPr>
                <w:rFonts w:ascii="Aptos" w:hAnsi="Aptos"/>
                <w:sz w:val="20"/>
                <w:szCs w:val="20"/>
              </w:rPr>
              <w:instrText xml:space="preserve">35%; BFMDS </w:instrText>
            </w:r>
            <w:r w:rsidRPr="005500F7">
              <w:rPr>
                <w:rFonts w:ascii="Aptos" w:hAnsi="Aptos" w:cs="Arial"/>
                <w:sz w:val="20"/>
                <w:szCs w:val="20"/>
              </w:rPr>
              <w:instrText>−</w:instrText>
            </w:r>
            <w:r w:rsidRPr="005500F7">
              <w:rPr>
                <w:rFonts w:ascii="Aptos" w:hAnsi="Aptos"/>
                <w:sz w:val="20"/>
                <w:szCs w:val="20"/>
              </w:rPr>
              <w:instrText xml:space="preserve">53%) and CHOR/DYT-\n                ADCY5\n                (BFMMS </w:instrText>
            </w:r>
            <w:r w:rsidRPr="005500F7">
              <w:rPr>
                <w:rFonts w:ascii="Aptos" w:hAnsi="Aptos" w:cs="Arial"/>
                <w:sz w:val="20"/>
                <w:szCs w:val="20"/>
              </w:rPr>
              <w:instrText>−</w:instrText>
            </w:r>
            <w:r w:rsidRPr="005500F7">
              <w:rPr>
                <w:rFonts w:ascii="Aptos" w:hAnsi="Aptos"/>
                <w:sz w:val="20"/>
                <w:szCs w:val="20"/>
              </w:rPr>
              <w:instrText xml:space="preserve">36%; BFMDS </w:instrText>
            </w:r>
            <w:r w:rsidRPr="005500F7">
              <w:rPr>
                <w:rFonts w:ascii="Aptos" w:hAnsi="Aptos" w:cs="Arial"/>
                <w:sz w:val="20"/>
                <w:szCs w:val="20"/>
              </w:rPr>
              <w:instrText>−</w:instrText>
            </w:r>
            <w:r w:rsidRPr="005500F7">
              <w:rPr>
                <w:rFonts w:ascii="Aptos" w:hAnsi="Aptos"/>
                <w:sz w:val="20"/>
                <w:szCs w:val="20"/>
              </w:rPr>
              <w:instrText xml:space="preserve">42%). Worse motor outcomes were associated with longer dystonia duration and older age at dystonia onset in DYT-\n                TOR1A\n                , longer dystonia duration in DYT/PARK-\n                TAF1\n                and younger age at dystonia onset in DYT-\n                SGCE\n                .\n              \n            \n            \n              Conclusions\n              GPi DBS outcomes vary across monogenic dystonias. These data serve to inform patient selection and prognostic counselling.","container-title":"Journal of Neurology, Neurosurgery &amp; Psychiatry","DOI":"10.1136/jnnp-2019-322169","ISSN":"0022-3050, 1468-330X","issue":"4","journalAbbreviation":"J Neurol Neurosurg Psychiatry","language":"en","page":"426-433","source":"DOI.org (Crossref)","title":"Differential response to pallidal deep brain stimulation among monogenic dystonias: systematic review and meta-analysis","title-short":"Differential response to pallidal deep brain stimulation among monogenic dystonias","volume":"91","author":[{"family":"Artusi","given":"Carlo Alberto"},{"family":"Dwivedi","given":"Alok"},{"family":"Romagnolo","given":"Alberto"},{"family":"Bortolani","given":"Sara"},{"family":"Marsili","given":"Luca"},{"family":"Imbalzano","given":"Gabriele"},{"family":"Sturchio","given":"Andrea"},{"family":"Keeling","given":"Elizabeth G"},{"family":"Zibetti","given":"Maurizio"},{"family":"Contarino","given":"Maria Fiorella"},{"family":"Fasano","given":"Alfonso"},{"family":"Tagliati","given":"Michele"},{"family":"Okun","given":"M S"},{"family":"Espay","given":"Alberto J"},{"family":"Lopiano","given":"Leonardo"},{"family":"Merola","given":"Aristide"}],"issued":{"date-parts":[["2020",4]]}},"label":"page"},{"id":385,"uris":["http://zotero.org/users/local/qbj29eOf/items/YAHACYIB"],"itemData":{"id":385,"type":"article-journal","abstract":"Abstract\n            Complex dystonias are defined as dystonias that are accompanied by neurologic or systemic manifestations beyond movement disorders. Many syndromes or diseases can present with complex dystonia, either as the cardinal sign or as part of a multi-systemic manifestation. Complex dystonia often gradually develops in the disease course, but can also be present from the outset. If available, the diagnostic workup, disease-specific treatment, and management of patients with complex dystonias require a multi-disciplinary approach. This article summarizes current knowledge on complex dystonias with a particular view of recent developments with respect to advances in diagnosis and management, including causative treatments.","container-title":"Journal of Neural Transmission","DOI":"10.1007/s00702-020-02275-y","ISSN":"0300-9564, 1435-1463","issue":"4","journalAbbreviation":"J Neural Transm","language":"en","page":"431-445","source":"DOI.org (Crossref)","title":"Complex dystonias: an update on diagnosis and care","title-short":"Complex dystonias","volume":"128","author":[{"family":"Herzog","given":"Rebecca"},{"family":"Weissbach","given":"Anne"},{"family":"Bäumer","given":"Tobias"},{"family":"Münchau","given":"Alexander"}],"issued":{"date-parts":[["2021",4]]}},"label":"page"},{"id":371,"uris":["http://zotero.org/users/local/qbj29eOf/items/6D2ME6JU"],"itemData":{"id":371,"type":"article-journal","container-title":"European Journal of Neurology","DOI":"10.1111/j.1468-1331.2010.03060.x","ISSN":"13515101, 14681331","language":"en","page":"102-106","source":"DOI.org (Crossref)","title":"Deep brain stimulation for dystonia: patient selection and outcomes: Deep brain stimulation for dystonia","title-short":"Deep brain stimulation for dystonia","volume":"17","author":[{"family":"Speelman","given":"J. D."},{"family":"Contarino","given":"M. F."},{"family":"Schuurman","given":"P. R."},{"family":"Tijssen","given":"M. A. J."},{"family":"De Bie","given":"R. M. A."}],"issued":{"date-parts":[["2010",6,8]]}},"label":"page"},{"id":370,"uris":["http://zotero.org/users/local/qbj29eOf/items/P58G3LTI"],"itemData":{"id":370,"type":"article-journal","container-title":"Current Neurology and Neuroscience Reports","DOI":"10.1007/s11910-010-0136-0","ISSN":"1528-4042, 1534-6293","issue":"6","journalAbbreviation":"Curr Neurol Neurosci Rep","language":"en","page":"431-439","source":"DOI.org (Crossref)","title":"Rare Causes of Dystonia Parkinsonism","volume":"10","author":[{"family":"Schneider","given":"Susanne A."},{"family":"Bhatia","given":"Kailash P."}],"issued":{"date-parts":[["2010",11]]}},"label":"page"},{"id":373,"uris":["http://zotero.org/users/local/qbj29eOf/items/L222SQC8"],"itemData":{"id":373,"type":"article-journal","container-title":"Canadian Journal of Neurological Sciences / Journal Canadien des Sciences Neurologiques","DOI":"10.1017/S0317167100013597","ISSN":"0317-1671, 2057-0155","issue":"3","journalAbbreviation":"Can. J. Neurol. Sci.","language":"en","page":"395-397","source":"DOI.org (Crossref)","title":"A Novel &lt;i&gt;PANK2&lt;/i&gt; Gene Mutation with Sudden-Onset Dystonia","volume":"39","author":[{"family":"Kim","given":"JiSun"},{"family":"Shin","given":"Hyeeun"},{"family":"Youn","given":"Jinyoung"},{"family":"Ki","given":"Chang-Seok"},{"family":"Cho","given":"Ah Ra"},{"family":"Cho","given":"Jin Whan"}],"issued":{"date-parts":[["2012",5]]}},"label":"page"}],"schema":"https://github.com/citation-style-language/schema/raw/master/csl-citation.json"}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33,35,37–45</w:t>
            </w:r>
            <w:r w:rsidRPr="005500F7">
              <w:rPr>
                <w:rFonts w:ascii="Aptos" w:hAnsi="Aptos"/>
                <w:sz w:val="20"/>
                <w:szCs w:val="20"/>
              </w:rPr>
              <w:fldChar w:fldCharType="end"/>
            </w:r>
            <w:r w:rsidRPr="005500F7">
              <w:rPr>
                <w:rFonts w:ascii="Aptos" w:hAnsi="Aptos"/>
                <w:sz w:val="20"/>
                <w:szCs w:val="20"/>
              </w:rPr>
              <w:t xml:space="preserve"> Approximately 43.3% and 42% of all patients additionally experience cognitive and psychological/behavioral problems, respectively.</w:t>
            </w:r>
            <w:r w:rsidRPr="005500F7">
              <w:rPr>
                <w:rFonts w:ascii="Aptos" w:hAnsi="Aptos"/>
                <w:sz w:val="20"/>
                <w:szCs w:val="20"/>
                <w:lang w:val="en-US"/>
              </w:rPr>
              <w:fldChar w:fldCharType="begin"/>
            </w:r>
            <w:r w:rsidRPr="005500F7">
              <w:rPr>
                <w:rFonts w:ascii="Aptos" w:hAnsi="Aptos"/>
                <w:sz w:val="20"/>
                <w:szCs w:val="20"/>
              </w:rPr>
              <w:instrText xml:space="preserve"> ADDIN ZOTERO_ITEM CSL_CITATION {"citationID":"LMcjdgWJ","properties":{"formattedCitation":"\\super 37\\nosupersub{}","plainCitation":"37","noteIndex":0},"citationItems":[{"id":380,"uris":["http://zotero.org/users/local/qbj29eOf/items/YLMT56PH"],"itemData":{"id":380,"type":"article-journal","container-title":"CNS Neuroscience &amp; Therapeutics","DOI":"10.1111/cns.13294","ISSN":"1755-5930, 1755-5949","issue":"7","journalAbbreviation":"CNS Neurosci Ther","language":"en","page":"754-761","source":"DOI.org (Crossref)","title":"Natural history and genotype</w:instrText>
            </w:r>
            <w:r w:rsidRPr="005500F7">
              <w:rPr>
                <w:rFonts w:ascii="Cambria Math" w:hAnsi="Cambria Math" w:cs="Cambria Math"/>
                <w:sz w:val="20"/>
                <w:szCs w:val="20"/>
              </w:rPr>
              <w:instrText>‐</w:instrText>
            </w:r>
            <w:r w:rsidRPr="005500F7">
              <w:rPr>
                <w:rFonts w:ascii="Aptos" w:hAnsi="Aptos"/>
                <w:sz w:val="20"/>
                <w:szCs w:val="20"/>
              </w:rPr>
              <w:instrText>phenotype correlation of pantothenate kinase</w:instrText>
            </w:r>
            <w:r w:rsidRPr="005500F7">
              <w:rPr>
                <w:rFonts w:ascii="Cambria Math" w:hAnsi="Cambria Math" w:cs="Cambria Math"/>
                <w:sz w:val="20"/>
                <w:szCs w:val="20"/>
              </w:rPr>
              <w:instrText>‐</w:instrText>
            </w:r>
            <w:r w:rsidRPr="005500F7">
              <w:rPr>
                <w:rFonts w:ascii="Aptos" w:hAnsi="Aptos"/>
                <w:sz w:val="20"/>
                <w:szCs w:val="20"/>
              </w:rPr>
              <w:instrText xml:space="preserve">associated neurodegeneration","volume":"26","author":[{"family":"Chang","given":"Xuting"},{"family":"Zhang","given":"Jie"},{"family":"Jiang","given":"Yuwu"},{"family":"Wang","given":"Jingmin"},{"family":"Wu","given":"Ye"}],"issued":{"date-parts":[["2020",7]]}}}],"schema":"https://github.com/citation-style-language/schema/raw/master/csl-citation.json"} </w:instrText>
            </w:r>
            <w:r w:rsidRPr="005500F7">
              <w:rPr>
                <w:rFonts w:ascii="Aptos" w:hAnsi="Aptos"/>
                <w:sz w:val="20"/>
                <w:szCs w:val="20"/>
                <w:lang w:val="en-US"/>
              </w:rPr>
              <w:fldChar w:fldCharType="separate"/>
            </w:r>
            <w:r w:rsidRPr="005500F7">
              <w:rPr>
                <w:rFonts w:ascii="Aptos" w:hAnsi="Aptos"/>
                <w:sz w:val="20"/>
                <w:szCs w:val="20"/>
                <w:vertAlign w:val="superscript"/>
              </w:rPr>
              <w:t>37</w:t>
            </w:r>
            <w:r w:rsidRPr="005500F7">
              <w:rPr>
                <w:rFonts w:ascii="Aptos" w:hAnsi="Aptos"/>
                <w:sz w:val="20"/>
                <w:szCs w:val="20"/>
              </w:rPr>
              <w:fldChar w:fldCharType="end"/>
            </w:r>
          </w:p>
        </w:tc>
      </w:tr>
      <w:tr w:rsidR="005500F7" w:rsidRPr="005500F7" w14:paraId="1AFDF699" w14:textId="77777777" w:rsidTr="002C08A9">
        <w:trPr>
          <w:trHeight w:val="1140"/>
        </w:trPr>
        <w:tc>
          <w:tcPr>
            <w:tcW w:w="593" w:type="pct"/>
            <w:tcBorders>
              <w:top w:val="single" w:sz="4" w:space="0" w:color="auto"/>
              <w:left w:val="nil"/>
              <w:bottom w:val="single" w:sz="4" w:space="0" w:color="auto"/>
              <w:right w:val="nil"/>
            </w:tcBorders>
            <w:shd w:val="clear" w:color="auto" w:fill="auto"/>
            <w:vAlign w:val="center"/>
          </w:tcPr>
          <w:p w14:paraId="317EBC89" w14:textId="49ED3672"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PLA2G6</w:t>
            </w:r>
          </w:p>
        </w:tc>
        <w:tc>
          <w:tcPr>
            <w:tcW w:w="4407" w:type="pct"/>
            <w:tcBorders>
              <w:top w:val="single" w:sz="4" w:space="0" w:color="auto"/>
              <w:left w:val="nil"/>
              <w:bottom w:val="single" w:sz="4" w:space="0" w:color="auto"/>
              <w:right w:val="nil"/>
            </w:tcBorders>
            <w:shd w:val="clear" w:color="auto" w:fill="auto"/>
            <w:vAlign w:val="center"/>
          </w:tcPr>
          <w:p w14:paraId="6613A716" w14:textId="77777777" w:rsidR="005500F7" w:rsidRPr="005500F7" w:rsidRDefault="005500F7" w:rsidP="00257457">
            <w:pPr>
              <w:spacing w:after="0" w:line="240" w:lineRule="auto"/>
              <w:jc w:val="center"/>
              <w:rPr>
                <w:rFonts w:ascii="Aptos" w:hAnsi="Aptos"/>
                <w:sz w:val="20"/>
                <w:szCs w:val="20"/>
              </w:rPr>
            </w:pPr>
            <w:r w:rsidRPr="005500F7">
              <w:rPr>
                <w:rFonts w:ascii="Aptos" w:hAnsi="Aptos"/>
                <w:i/>
                <w:iCs/>
                <w:sz w:val="20"/>
                <w:szCs w:val="20"/>
              </w:rPr>
              <w:t>PLA2G6</w:t>
            </w:r>
            <w:r w:rsidRPr="005500F7">
              <w:rPr>
                <w:rFonts w:ascii="Aptos" w:hAnsi="Aptos"/>
                <w:sz w:val="20"/>
                <w:szCs w:val="20"/>
              </w:rPr>
              <w:t>-associated neurodegeneration leads to rapidly progressing, autosomal recessive dystonia-parkinsonism.</w:t>
            </w:r>
            <w:r w:rsidRPr="005500F7">
              <w:rPr>
                <w:rFonts w:ascii="Aptos" w:hAnsi="Aptos"/>
                <w:sz w:val="20"/>
                <w:szCs w:val="20"/>
              </w:rPr>
              <w:fldChar w:fldCharType="begin"/>
            </w:r>
            <w:r w:rsidRPr="005500F7">
              <w:rPr>
                <w:rFonts w:ascii="Aptos" w:hAnsi="Aptos"/>
                <w:sz w:val="20"/>
                <w:szCs w:val="20"/>
              </w:rPr>
              <w:instrText xml:space="preserve"> ADDIN ZOTERO_ITEM CSL_CITATION {"citationID":"IDUvG3fG","properties":{"formattedCitation":"\\super 46\\uc0\\u8211{}48\\nosupersub{}","plainCitation":"46–48","noteIndex":0},"citationItems":[{"id":441,"uris":["http://zotero.org/users/local/qbj29eOf/items/U6X2RUVH"],"itemData":{"id":441,"type":"article-journal","container-title":"Frontiers in Neurology","DOI":"10.3389/fneur.2018.01100","ISSN":"1664-2295","journalAbbreviation":"Front. Neurol.","page":"1100","source":"DOI.org (Crossref)","title":"PLA2G6-Associated Neurodegeneration (PLAN): Review of Clinical Phenotypes and Genotypes","title-short":"PLA2G6-Associated Neurodegeneration (PLAN)","volume":"9","author":[{"family":"Guo","given":"Yu-pei"},{"family":"Tang","given":"Bei-sha"},{"family":"Guo","given":"Ji-feng"}],"issued":{"date-parts":[["2018",12,18]]}},"label":"page"},{"id":444,"uris":["http://zotero.org/users/local/qbj29eOf/items/P448KED4"],"itemData":{"id":444,"type":"article-journal","container-title":"Movement Disorders","DOI":"10.1002/mds.28807","ISSN":"0885-3185, 1531-8257","issue":"1","journalAbbreviation":"Movement Disorders","language":"en","page":"148-161","source":"DOI.org (Crossref)","title":"Dissecting the Phenotype and Genotype of &lt;span style=\"font-variant:small-caps;\"&gt; &lt;i&gt;PLA2G6&lt;/i&gt; &lt;/span&gt; </w:instrText>
            </w:r>
            <w:r w:rsidRPr="005500F7">
              <w:rPr>
                <w:rFonts w:ascii="Cambria Math" w:hAnsi="Cambria Math" w:cs="Cambria Math"/>
                <w:sz w:val="20"/>
                <w:szCs w:val="20"/>
              </w:rPr>
              <w:instrText>‐</w:instrText>
            </w:r>
            <w:r w:rsidRPr="005500F7">
              <w:rPr>
                <w:rFonts w:ascii="Aptos" w:hAnsi="Aptos"/>
                <w:sz w:val="20"/>
                <w:szCs w:val="20"/>
              </w:rPr>
              <w:instrText>Related Parkinsonism","title-short":"Dissecting the Phenotype and Genotype of &lt;span style=\"font-variant","volume":"37","author":[{"family":"Magrinelli","given":"Francesca"},{"family":"Mehta","given":"Sahil"},{"family":"Di Lazzaro","given":"Giulia"},{"family":"Latorre","given":"Anna"},{"family":"Edwards","given":"Mark J."},{"family":"Balint","given":"Bettina"},{"family":"Basu","given":"Purba"},{"family":"Kobylecki","given":"Christopher"},{"family":"Groppa","given":"Sergiu"},{"family":"Hegde","given":"Anaita"},{"family":"Mulroy","given":"Eoin"},{"family":"Estevez</w:instrText>
            </w:r>
            <w:r w:rsidRPr="005500F7">
              <w:rPr>
                <w:rFonts w:ascii="Cambria Math" w:hAnsi="Cambria Math" w:cs="Cambria Math"/>
                <w:sz w:val="20"/>
                <w:szCs w:val="20"/>
              </w:rPr>
              <w:instrText>‐</w:instrText>
            </w:r>
            <w:r w:rsidRPr="005500F7">
              <w:rPr>
                <w:rFonts w:ascii="Aptos" w:hAnsi="Aptos"/>
                <w:sz w:val="20"/>
                <w:szCs w:val="20"/>
              </w:rPr>
              <w:instrText xml:space="preserve">Fraga","given":"Carlos"},{"family":"Arora","given":"Anshita"},{"family":"Kumar","given":"Hrishikesh"},{"family":"Schneider","given":"Susanne A."},{"family":"Lewis","given":"Patrick A."},{"family":"Jaunmuktane","given":"Zane"},{"family":"Revesz","given":"Tamas"},{"family":"Gandhi","given":"Sonia"},{"family":"Wood","given":"Nicholas W."},{"family":"Hardy","given":"John A."},{"family":"Tinazzi","given":"Michele"},{"family":"Lal","given":"Vivek"},{"family":"Houlden","given":"Henry"},{"family":"Bhatia","given":"Kailash P."}],"issued":{"date-parts":[["2022",1]]}},"label":"page"},{"id":446,"uris":["http://zotero.org/users/local/qbj29eOf/items/9CYLIRST"],"itemData":{"id":446,"type":"article-journal","abstract":"Parkinson’s disease may be caused by a single pathogenic variant (monogenic) in 5–10% of cases, but investigation of these disorders provides valuable pathophysiological insights. In this review, we discuss each genetic form with a focus on genotype, phenotype, pathophysiology, and the geographic and ethnic distribution. Well-established Parkinson’s disease genes include autosomal dominant forms (SNCA, LRRK2, and VPS35) and autosomal recessive forms (PRKN, PINK1 and DJ1). Furthermore, mutations in the GBA gene are a key risk factor for Parkinson’s disease, and there have been major developments for X-linked dystonia parkinsonism. Moreover, atypical or complex parkinsonism may be due to mutations in genes such as ATP13A2, DCTN1, DNAJC6, FBXO7, PLA2G6, and SYNJ1. Furthermore, numerous genes have recently been implicated in Parkinson’s disease, such as CHCHD2, LRP10, TMEM230, UQCRC1, and VPS13C. Additionally, we discuss the role of heterozygous mutations in autosomal recessive genes, the effect of having mutations in two Parkinson’s disease genes, the outcome of deep brain stimulation, and the role of genetic testing. We highlight that monogenic Parkinson’s disease is influenced by ethnicity and geographical differences, reinforcing the need for global efforts to pool large numbers of patients and identify novel candidate genes.","container-title":"Genes","DOI":"10.3390/genes13030471","ISSN":"2073-4425","issue":"3","journalAbbreviation":"Genes","language":"en","page":"471","source":"DOI.org (Crossref)","title":"Monogenic Parkinson’s Disease: Genotype, Phenotype, Pathophysiology, and Genetic Testing","title-short":"Monogenic Parkinson’s Disease","volume":"13","author":[{"family":"Jia","given":"Fangzhi"},{"family":"Fellner","given":"Avi"},{"family":"Kumar","given":"Kishore Raj"}],"issued":{"date-parts":[["2022",3,7]]}},"label":"page"}],"schema":"https://github.com/citation-style-language/schema/raw/master/csl-citation.json"}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46–48</w:t>
            </w:r>
            <w:r w:rsidRPr="005500F7">
              <w:rPr>
                <w:rFonts w:ascii="Aptos" w:hAnsi="Aptos"/>
                <w:sz w:val="20"/>
                <w:szCs w:val="20"/>
              </w:rPr>
              <w:fldChar w:fldCharType="end"/>
            </w:r>
            <w:r w:rsidRPr="005500F7">
              <w:rPr>
                <w:rFonts w:ascii="Aptos" w:hAnsi="Aptos"/>
                <w:sz w:val="20"/>
                <w:szCs w:val="20"/>
              </w:rPr>
              <w:t xml:space="preserve"> At the onset, gait issues and postural instabilities are widely reported.</w:t>
            </w:r>
            <w:r w:rsidRPr="005500F7">
              <w:rPr>
                <w:rFonts w:ascii="Aptos" w:hAnsi="Aptos"/>
                <w:sz w:val="20"/>
                <w:szCs w:val="20"/>
              </w:rPr>
              <w:fldChar w:fldCharType="begin"/>
            </w:r>
            <w:r w:rsidRPr="005500F7">
              <w:rPr>
                <w:rFonts w:ascii="Aptos" w:hAnsi="Aptos"/>
                <w:sz w:val="20"/>
                <w:szCs w:val="20"/>
              </w:rPr>
              <w:instrText xml:space="preserve"> ADDIN ZOTERO_ITEM CSL_CITATION {"citationID":"TnF7JB0G","properties":{"formattedCitation":"\\super 49\\uc0\\u8211{}56\\nosupersub{}","plainCitation":"49–56","noteIndex":0},"citationItems":[{"id":423,"uris":["http://zotero.org/users/local/qbj29eOf/items/CNNWTBB4"],"itemData":{"id":423,"type":"article-journal","container-title":"European Journal of Neurology","DOI":"10.1111/j.1468-1331.2008.02356.x","ISSN":"13515101, 14681331","issue":"1","language":"en","page":"101-104","source":"DOI.org (Crossref)","title":"R632W mutation in &lt;i&gt;PLA2G6&lt;/i&gt; segregates with dystonia-parkinsonism in a consanguineous Iranian family","volume":"16","author":[{"family":"Sina","given":"F."},{"family":"Shojaee","given":"S."},{"family":"Elahi","given":"E."},{"family":"Paisán-Ruiz","given":"C."}],"issued":{"date-parts":[["2009",1]]}},"label":"page"},{"id":424,"uris":["http://zotero.org/users/local/qbj29eOf/items/5HIIABUT"],"itemData":{"id":424,"type":"article-journal","container-title":"Annals of Neurology","DOI":"10.1002/ana.21415","ISSN":"03645134, 15318249","issue":"1","journalAbbreviation":"Ann Neurol.","language":"en","page":"19-23","source":"DOI.org (Crossref)","title":"Characterization of PLA2G6 as a locus for dystonia-parkinsonism","volume":"65","author":[{"family":"Paisan-Ruiz","given":"Coro"},{"family":"Bhatia","given":"Kailash P."},{"family":"Li","given":"Abi"},{"family":"Hernandez","given":"Dena"},{"family":"Davis","given":"Mary"},{"family":"Wood","given":"Nick W."},{"family":"Hardy","given":"John"},{"family":"Houlden","given":"Henry"},{"family":"Singleton","given":"Andrew"},{"family":"Schneider","given":"Susanne A."}],"issued":{"date-parts":[["2008",6,20]]}},"label":"page"},{"id":432,"uris":["http://zotero.org/users/local/qbj29eOf/items/BYWBQ8JY"],"itemData":{"id":432,"type":"article-journal","container-title":"Movement Disorders Clinical Practice","DOI":"10.1002/mdc3.12030","ISSN":"23301619","issue":"2","journalAbbreviation":"Mov Disord Clin Pract","language":"en","page":"128-131","source":"DOI.org (Crossref)","title":"Atypical &lt;i&gt;PLA2G6&lt;/i&gt; -Associated Neurodegeneration: Social Communication Impairment, Dystonia and Response to Deep Brain Stimulation","title-short":"Atypical &lt;i&gt;PLA2G6&lt;/i&gt; -Associated Neurodegeneration","volume":"1","author":[{"family":"Cif","given":"Laura"},{"family":"Kurian","given":"Manju A."},{"family":"Gonzalez","given":"Victoria"},{"family":"Garcia-Ptacek","given":"Sara"},{"family":"Roujeau","given":"Thomas"},{"family":"Gelisse","given":"Philippe"},{"family":"Moura De Ribeiro","given":"Ana Maria"},{"family":"Crespel","given":"Arielle"},{"family":"MacPherson","given":"Lesley"},{"family":"Coubes","given":"Philippe"}],"issued":{"date-parts":[["2014",6]]}},"label":"page"},{"id":433,"uris":["http://zotero.org/users/local/qbj29eOf/items/9PVKNHNB"],"itemData":{"id":433,"type":"article-journal","container-title":"Molecular Genetics and Metabolism","DOI":"10.1016/j.ymgme.2014.03.008","ISSN":"10967192","issue":"2","journalAbbreviation":"Molecular Genetics and Metabolism","language":"en","page":"183-189","source":"DOI.org (Crossref)","title":"PLA2G6-associated neurodegeneration (PLAN): Further expansion of the clinical, radiological and mutation spectrum associated with infantile and atypical childhood-onset disease","title-short":"PLA2G6-associated neurodegeneration (PLAN)","volume":"112","author":[{"family":"Illingworth","given":"M.A."},{"family":"Meyer","given":"E."},{"family":"Chong","given":"W.K."},{"family":"Manzur","given":"A.Y."},{"family":"Carr","given":"L.J."},{"family":"Younis","given":"R."},{"family":"Hardy","given":"C."},{"family":"McDonald","given":"F."},{"family":"Childs","given":"A.M."},{"family":"Stewart","given":"B."},{"family":"Warren","given":"D."},{"family":"Kneen","given":"R."},{"family":"King","given":"M.D."},{"family":"Hayflick","given":"S.J."},{"family":"Kurian","given":"M.A."}],"issued":{"date-parts":[["2014",6]]}},"label":"page"},{"id":438,"uris":["http://zotero.org/users/local/qbj29eOf/items/3HWQS643"],"itemData":{"id":438,"type":"article-journal","container-title":"Clinical Genetics","DOI":"10.1111/cge.13008","ISSN":"00099163","issue":"5","journalAbbreviation":"Clin Genet","language":"en","page":"534-539","source":"DOI.org (Crossref)","title":"PLA2G6 mutations associated with a continuous clinical spectrum from neuroaxonal dystrophy to hereditary spastic paraplegia","volume":"92","author":[{"family":"Ozes","given":"B."},{"family":"Karagoz","given":"N."},{"family":"Schüle","given":"R."},{"family":"Rebelo","given":"A."},{"family":"Sobrido","given":"M.-J."},{"family":"Harmuth","given":"F."},{"family":"Synofzik","given":"M."},{"family":"Pascual","given":"S.I.P."},{"family":"Colak","given":"M."},{"family":"Ciftci-Kavaklioglu","given":"B."},{"family":"Kara","given":"B."},{"family":"Ordóñez-Ugalde","given":"A."},{"family":"Quintáns","given":"B."},{"family":"Gonzalez","given":"M.A."},{"family":"Soysal","given":"A."},{"family":"Zuchner","given":"S."},{"family":"Battaloglu","given":"E."}],"issued":{"date-parts":[["2017",11]]}},"label":"page"},{"id":440,"uris":["http://zotero.org/users/local/qbj29eOf/items/3M39U2B5"],"itemData":{"id":440,"type":"article-journal","container-title":"Parkinsonism &amp; Related Disorders","DOI":"10.1016/j.parkreldis.2018.02.010","ISSN":"13538020","journalAbbreviation":"Parkinsonism &amp; Related Disorders","language":"en","page":"88-94","source":"DOI.org (Crossref)","title":"Novel PLA2G6 mutations and clinical heterogeneity in Chinese cases with phospholipase A2-associated neurodegeneration","volume":"49","author":[{"family":"Chen","given":"Yi-Jun"},{"family":"Chen","given":"Yu-Chao"},{"family":"Dong","given":"Hai-Lin"},{"family":"Li","given":"Li-Xi"},{"family":"Ni","given":"Wang"},{"family":"Li","given":"Hong-Fu"},{"family":"Wu","given":"Zhi-Ying"}],"issued":{"date-parts":[["2018",4]]}},"label":"page"},{"id":443,"uris":["http://zotero.org/users/local/qbj29eOf/items/KZ358RN4"],"itemData":{"id":443,"type":"article-journal","container-title":"Parkinsonism &amp; Related Disorders","DOI":"10.1016/j.parkreldis.2018.10.013","ISSN":"13538020","journalAbbreviation":"Parkinsonism &amp; Related Disorders","language":"en","page":"179-186","source":"DOI.org (Crossref)","title":"PLA2G6-associated neurodegeneration: New insights into brain abnormalities and disease progression","title-short":"PLA2G6-associated neurodegeneration","volume":"61","author":[{"family":"Darling","given":"Alejandra"},{"family":"Aguilera-Albesa","given":"Sergio"},{"family":"Tello","given":"Cristina Aisha"},{"family":"Serrano","given":"Mercedes"},{"family":"Tomás","given":"Miguel"},{"family":"Camino-León","given":"Rafael"},{"family":"Fernández-Ramos","given":"Joaquín"},{"family":"Jiménez-Escrig","given":"Adriano"},{"family":"Poó","given":"Pilar"},{"family":"O'Callaghan","given":"Mar"},{"family":"Ortez","given":"Carlos"},{"family":"Nascimento","given":"Andrés"},{"family":"Fernández Mesaque","given":"Ramón Candau"},{"family":"Madruga","given":"Marcos"},{"family":"Arrabal","given":"Luisa"},{"family":"Roldan","given":"Susana"},{"family":"Gómez-Martín","given":"Hilario"},{"family":"Garrido","given":"Cristina"},{"family":"Temudo","given":"Teresa"},{"family":"Jou-Muñoz","given":"Cristina"},{"family":"Muchart","given":"Jordi"},{"family":"Huisman","given":"Thierry A.G.M."},{"family":"Poretti","given":"Andrea"},{"family":"Lupo","given":"Vincenzo"},{"family":"Espinós","given":"Carmen"},{"family":"Pérez-Dueñas","given":"Belén"}],"issued":{"date-parts":[["2019",4]]}},"label":"page"},{"id":429,"uris":["http://zotero.org/users/local/qbj29eOf/items/KRDSPXYU"],"itemData":{"id":429,"type":"article-journal","container-title":"American Journal of Medical Genetics Part B: Neuropsychiatric Genetics","DOI":"10.1002/ajmg.b.32012","ISSN":"15524841","issue":"2","journalAbbreviation":"Am. J. Med. Genet.","language":"en","page":"183-191","source":"DOI.org (Crossref)","title":"PLA2G6 mutations in PARK14-linked young-onset parkinsonism and sporadic Parkinson's disease","volume":"159B","author":[{"family":"Lu","given":"Chin-Song"},{"family":"Lai","given":"Szu-Chia"},{"family":"Wu","given":"Ruey-Meei"},{"family":"Weng","given":"Yi-Hsin"},{"family":"Huang","given":"Chia-Ling"},{"family":"Chen","given":"Rou-Shayn"},{"family":"Chang","given":"Hsiu-Chen"},{"family":"Wu-Chou","given":"Yah-Huei"},{"family":"Yeh","given":"Tu-Hsueh"}],"issued":{"date-parts":[["2012",3]]}},"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49–56</w:t>
            </w:r>
            <w:r w:rsidRPr="005500F7">
              <w:rPr>
                <w:rFonts w:ascii="Aptos" w:hAnsi="Aptos"/>
                <w:sz w:val="20"/>
                <w:szCs w:val="20"/>
              </w:rPr>
              <w:fldChar w:fldCharType="end"/>
            </w:r>
            <w:r w:rsidRPr="005500F7">
              <w:rPr>
                <w:rFonts w:ascii="Aptos" w:hAnsi="Aptos"/>
                <w:sz w:val="20"/>
                <w:szCs w:val="20"/>
              </w:rPr>
              <w:t xml:space="preserve"> The clinical condition gradually deteriorates leading to dystonia, severe spasticity, and cognitive dysfunction. Neuropsychiatric symptoms, including depression, psychosis, and cognitive decline, are common.</w:t>
            </w:r>
            <w:r w:rsidRPr="005500F7">
              <w:rPr>
                <w:rFonts w:ascii="Aptos" w:hAnsi="Aptos"/>
                <w:sz w:val="20"/>
                <w:szCs w:val="20"/>
              </w:rPr>
              <w:fldChar w:fldCharType="begin"/>
            </w:r>
            <w:r w:rsidRPr="005500F7">
              <w:rPr>
                <w:rFonts w:ascii="Aptos" w:hAnsi="Aptos"/>
                <w:sz w:val="20"/>
                <w:szCs w:val="20"/>
              </w:rPr>
              <w:instrText xml:space="preserve"> ADDIN ZOTERO_ITEM CSL_CITATION {"citationID":"UcBxN62L","properties":{"formattedCitation":"\\super 46,49\\uc0\\u8211{}53\\nosupersub{}","plainCitation":"46,49–53","noteIndex":0},"citationItems":[{"id":441,"uris":["http://zotero.org/users/local/qbj29eOf/items/U6X2RUVH"],"itemData":{"id":441,"type":"article-journal","container-title":"Frontiers in Neurology","DOI":"10.3389/fneur.2018.01100","ISSN":"1664-2295","journalAbbreviation":"Front. Neurol.","page":"1100","source":"DOI.org (Crossref)","title":"PLA2G6-Associated Neurodegeneration (PLAN): Review of Clinical Phenotypes and Genotypes","title-short":"PLA2G6-Associated Neurodegeneration (PLAN)","volume":"9","author":[{"family":"Guo","given":"Yu-pei"},{"family":"Tang","given":"Bei-sha"},{"family":"Guo","given":"Ji-feng"}],"issued":{"date-parts":[["2018",12,18]]}},"label":"page"},{"id":423,"uris":["http://zotero.org/users/local/qbj29eOf/items/CNNWTBB4"],"itemData":{"id":423,"type":"article-journal","container-title":"European Journal of Neurology","DOI":"10.1111/j.1468-1331.2008.02356.x","ISSN":"13515101, 14681331","issue":"1","language":"en","page":"101-104","source":"DOI.org (Crossref)","title":"R632W mutation in &lt;i&gt;PLA2G6&lt;/i&gt; segregates with dystonia-parkinsonism in a consanguineous Iranian family","volume":"16","author":[{"family":"Sina","given":"F."},{"family":"Shojaee","given":"S."},{"family":"Elahi","given":"E."},{"family":"Paisán-Ruiz","given":"C."}],"issued":{"date-parts":[["2009",1]]}},"label":"page"},{"id":424,"uris":["http://zotero.org/users/local/qbj29eOf/items/5HIIABUT"],"itemData":{"id":424,"type":"article-journal","container-title":"Annals of Neurology","DOI":"10.1002/ana.21415","ISSN":"03645134, 15318249","issue":"1","journalAbbreviation":"Ann Neurol.","language":"en","page":"19-23","source":"DOI.org (Crossref)","title":"Characterization of PLA2G6 as a locus for dystonia-parkinsonism","volume":"65","author":[{"family":"Paisan-Ruiz","given":"Coro"},{"family":"Bhatia","given":"Kailash P."},{"family":"Li","given":"Abi"},{"family":"Hernandez","given":"Dena"},{"family":"Davis","given":"Mary"},{"family":"Wood","given":"Nick W."},{"family":"Hardy","given":"John"},{"family":"Houlden","given":"Henry"},{"family":"Singleton","given":"Andrew"},{"family":"Schneider","given":"Susanne A."}],"issued":{"date-parts":[["2008",6,20]]}},"label":"page"},{"id":432,"uris":["http://zotero.org/users/local/qbj29eOf/items/BYWBQ8JY"],"itemData":{"id":432,"type":"article-journal","container-title":"Movement Disorders Clinical Practice","DOI":"10.1002/mdc3.12030","ISSN":"23301619","issue":"2","journalAbbreviation":"Mov Disord Clin Pract","language":"en","page":"128-131","source":"DOI.org (Crossref)","title":"Atypical &lt;i&gt;PLA2G6&lt;/i&gt; -Associated Neurodegeneration: Social Communication Impairment, Dystonia and Response to Deep Brain Stimulation","title-short":"Atypical &lt;i&gt;PLA2G6&lt;/i&gt; -Associated Neurodegeneration","volume":"1","author":[{"family":"Cif","given":"Laura"},{"family":"Kurian","given":"Manju A."},{"family":"Gonzalez","given":"Victoria"},{"family":"Garcia-Ptacek","given":"Sara"},{"family":"Roujeau","given":"Thomas"},{"family":"Gelisse","given":"Philippe"},{"family":"Moura De Ribeiro","given":"Ana Maria"},{"family":"Crespel","given":"Arielle"},{"family":"MacPherson","given":"Lesley"},{"family":"Coubes","given":"Philippe"}],"issued":{"date-parts":[["2014",6]]}},"label":"page"},{"id":433,"uris":["http://zotero.org/users/local/qbj29eOf/items/9PVKNHNB"],"itemData":{"id":433,"type":"article-journal","container-title":"Molecular Genetics and Metabolism","DOI":"10.1016/j.ymgme.2014.03.008","ISSN":"10967192","issue":"2","journalAbbreviation":"Molecular Genetics and Metabolism","language":"en","page":"183-189","source":"DOI.org (Crossref)","title":"PLA2G6-associated neurodegeneration (PLAN): Further expansion of the clinical, radiological and mutation spectrum associated with infantile and atypical childhood-onset disease","title-short":"PLA2G6-associated neurodegeneration (PLAN)","volume":"112","author":[{"family":"Illingworth","given":"M.A."},{"family":"Meyer","given":"E."},{"family":"Chong","given":"W.K."},{"family":"Manzur","given":"A.Y."},{"family":"Carr","given":"L.J."},{"family":"Younis","given":"R."},{"family":"Hardy","given":"C."},{"family":"McDonald","given":"F."},{"family":"Childs","given":"A.M."},{"family":"Stewart","given":"B."},{"family":"Warren","given":"D."},{"family":"Kneen","given":"R."},{"family":"King","given":"M.D."},{"family":"Hayflick","given":"S.J."},{"family":"Kurian","given":"M.A."}],"issued":{"date-parts":[["2014",6]]}},"label":"page"},{"id":438,"uris":["http://zotero.org/users/local/qbj29eOf/items/3HWQS643"],"itemData":{"id":438,"type":"article-journal","container-title":"Clinical Genetics","DOI":"10.1111/cge.13008","ISSN":"00099163","issue":"5","journalAbbreviation":"Clin Genet","language":"en","page":"534-539","source":"DOI.org (Crossref)","title":"PLA2G6 mutations associated with a continuous clinical spectrum from neuroaxonal dystrophy to hereditary spastic paraplegia","volume":"92","author":[{"family":"Ozes","given":"B."},{"family":"Karagoz","given":"N."},{"family":"Schüle","given":"R."},{"family":"Rebelo","given":"A."},{"family":"Sobrido","given":"M.-J."},{"family":"Harmuth","given":"F."},{"family":"Synofzik","given":"M."},{"family":"Pascual","given":"S.I.P."},{"family":"Colak","given":"M."},{"family":"Ciftci-Kavaklioglu","given":"B."},{"family":"Kara","given":"B."},{"family":"Ordóñez-Ugalde","given":"A."},{"family":"Quintáns","given":"B."},{"family":"Gonzalez","given":"M.A."},{"family":"Soysal","given":"A."},{"family":"Zuchner","given":"S."},{"family":"Battaloglu","given":"E."}],"issued":{"date-parts":[["2017",11]]}},"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46,49–53</w:t>
            </w:r>
            <w:r w:rsidRPr="005500F7">
              <w:rPr>
                <w:rFonts w:ascii="Aptos" w:hAnsi="Aptos"/>
                <w:sz w:val="20"/>
                <w:szCs w:val="20"/>
              </w:rPr>
              <w:fldChar w:fldCharType="end"/>
            </w:r>
          </w:p>
        </w:tc>
      </w:tr>
      <w:tr w:rsidR="005500F7" w:rsidRPr="005500F7" w14:paraId="42159DF4" w14:textId="77777777" w:rsidTr="002C08A9">
        <w:trPr>
          <w:trHeight w:val="963"/>
        </w:trPr>
        <w:tc>
          <w:tcPr>
            <w:tcW w:w="593" w:type="pct"/>
            <w:tcBorders>
              <w:top w:val="single" w:sz="4" w:space="0" w:color="auto"/>
              <w:left w:val="nil"/>
              <w:bottom w:val="single" w:sz="4" w:space="0" w:color="auto"/>
              <w:right w:val="nil"/>
            </w:tcBorders>
            <w:shd w:val="clear" w:color="auto" w:fill="auto"/>
            <w:vAlign w:val="center"/>
          </w:tcPr>
          <w:p w14:paraId="1BEA0BDF" w14:textId="2C4E9113"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SGCE</w:t>
            </w:r>
          </w:p>
        </w:tc>
        <w:tc>
          <w:tcPr>
            <w:tcW w:w="4407" w:type="pct"/>
            <w:tcBorders>
              <w:top w:val="single" w:sz="4" w:space="0" w:color="auto"/>
              <w:left w:val="nil"/>
              <w:bottom w:val="single" w:sz="4" w:space="0" w:color="auto"/>
              <w:right w:val="nil"/>
            </w:tcBorders>
            <w:shd w:val="clear" w:color="auto" w:fill="auto"/>
            <w:vAlign w:val="center"/>
          </w:tcPr>
          <w:p w14:paraId="7CD63E01" w14:textId="5D2061B0" w:rsidR="005500F7" w:rsidRPr="005500F7" w:rsidRDefault="005500F7" w:rsidP="00257457">
            <w:pPr>
              <w:spacing w:after="0" w:line="240" w:lineRule="auto"/>
              <w:jc w:val="center"/>
              <w:rPr>
                <w:rFonts w:ascii="Aptos" w:hAnsi="Aptos" w:cs="Segoe UI"/>
                <w:sz w:val="20"/>
                <w:szCs w:val="20"/>
              </w:rPr>
            </w:pPr>
            <w:r w:rsidRPr="005500F7">
              <w:rPr>
                <w:rFonts w:ascii="Aptos" w:hAnsi="Aptos" w:cs="Segoe UI"/>
                <w:sz w:val="20"/>
                <w:szCs w:val="20"/>
              </w:rPr>
              <w:t xml:space="preserve">In </w:t>
            </w:r>
            <w:r w:rsidRPr="005500F7">
              <w:rPr>
                <w:rFonts w:ascii="Aptos" w:hAnsi="Aptos" w:cs="Segoe UI"/>
                <w:i/>
                <w:iCs/>
                <w:sz w:val="20"/>
                <w:szCs w:val="20"/>
              </w:rPr>
              <w:t>SGCE</w:t>
            </w:r>
            <w:r w:rsidR="00264446">
              <w:rPr>
                <w:rFonts w:ascii="Aptos" w:hAnsi="Aptos" w:cs="Segoe UI"/>
                <w:i/>
                <w:iCs/>
                <w:sz w:val="20"/>
                <w:szCs w:val="20"/>
              </w:rPr>
              <w:t xml:space="preserve"> </w:t>
            </w:r>
            <w:r w:rsidR="00264446" w:rsidRPr="00264446">
              <w:rPr>
                <w:rFonts w:ascii="Aptos" w:hAnsi="Aptos" w:cs="Segoe UI"/>
                <w:sz w:val="20"/>
                <w:szCs w:val="20"/>
              </w:rPr>
              <w:t>carriers</w:t>
            </w:r>
            <w:r w:rsidRPr="005500F7">
              <w:rPr>
                <w:rFonts w:ascii="Aptos" w:hAnsi="Aptos" w:cs="Segoe UI"/>
                <w:i/>
                <w:iCs/>
                <w:sz w:val="20"/>
                <w:szCs w:val="20"/>
              </w:rPr>
              <w:t>,</w:t>
            </w:r>
            <w:r w:rsidRPr="005500F7">
              <w:rPr>
                <w:rFonts w:ascii="Aptos" w:hAnsi="Aptos"/>
                <w:sz w:val="20"/>
                <w:szCs w:val="20"/>
              </w:rPr>
              <w:t xml:space="preserve"> </w:t>
            </w:r>
            <w:r w:rsidRPr="005500F7">
              <w:rPr>
                <w:rFonts w:ascii="Aptos" w:hAnsi="Aptos" w:cs="Segoe UI"/>
                <w:sz w:val="20"/>
                <w:szCs w:val="20"/>
              </w:rPr>
              <w:t>mutations are inherited in an autosomal-dominant pattern and it is characterized by myoclonic jerks, usually the most and main disabling feature, predominance in the neck and upper limbs.</w:t>
            </w:r>
            <w:r w:rsidRPr="005500F7">
              <w:rPr>
                <w:rFonts w:ascii="Aptos" w:hAnsi="Aptos" w:cs="Segoe UI"/>
                <w:sz w:val="20"/>
                <w:szCs w:val="20"/>
                <w:lang w:val="en-US"/>
              </w:rPr>
              <w:fldChar w:fldCharType="begin"/>
            </w:r>
            <w:r w:rsidRPr="005500F7">
              <w:rPr>
                <w:rFonts w:ascii="Aptos" w:hAnsi="Aptos" w:cs="Segoe UI"/>
                <w:sz w:val="20"/>
                <w:szCs w:val="20"/>
              </w:rPr>
              <w:instrText xml:space="preserve"> ADDIN ZOTERO_ITEM CSL_CITATION {"citationID":"OTpe7ulg","properties":{"formattedCitation":"\\super 57\\uc0\\u8211{}64\\nosupersub{}","plainCitation":"57–64","noteIndex":0},"citationItems":[{"id":498,"uris":["http://zotero.org/users/local/qbj29eOf/items/8Q4UFF3J"],"itemData":{"id":498,"type":"article-journal","container-title":"Current Opinion in Neurology","DOI":"10.1097/WCO.0000000000000577","ISSN":"1350-7540, 1473-6551","issue":"4","language":"en","page":"484-490","source":"DOI.org (Crossref)","title":"Myoclonus-dystonia: classification, phenomenology, pathogenesis, and treatment","title-short":"Myoclonus-dystonia","volume":"31","author":[{"family":"Roze","given":"Emmanuel"},{"family":"Lang","given":"Anthony E."},{"family":"Vidailhet","given":"Marie"}],"issued":{"date-parts":[["2018",8]]}},"label":"page"},{"id":508,"uris":["http://zotero.org/users/local/qbj29eOf/items/3YFCS7H3"],"itemData":{"id":508,"type":"article-journal","container-title":"Neurology","DOI":"10.1212/01.WNL.0000151979.68010.9B","ISSN":"0028-3878, 1526-632X","issue":"4","journalAbbreviation":"Neurology","language":"en","page":"737-739","source":"DOI.org (Crossref)","title":"The epsilon-sarcoglycan gene in myoclonic syndromes","volume":"64","author":[{"family":"Valente","given":"E. M."},{"family":"Edwards","given":"M. J."},{"family":"Mir","given":"P."},{"family":"DiGiorgio","given":"A."},{"family":"Salvi","given":"S."},{"family":"Davis","given":"M."},{"family":"Russo","given":"N."},{"family":"Bozi","given":"M."},{"family":"Kim","given":"H. -T."},{"family":"Pennisi","given":"G."},{"family":"Quinn","given":"N."},{"family":"Dallapiccola","given":"B."},{"family":"Bhatia","given":"K. P."}],"issued":{"date-parts":[["2005",2,22]]}},"label":"page"},{"id":496,"uris":["http://zotero.org/users/local/qbj29eOf/items/F3L3TJNI"],"itemData":{"id":496,"type":"article-journal","container-title":"Movement Disorders","DOI":"10.1002/mds.25506","ISSN":"08853185","issue":"6","journalAbbreviation":"Mov Disord.","language":"en","page":"787-794","source":"DOI.org (Crossref)","title":"Defining the Epsilon-Sarcoglycan (SGCE) Gene Phenotypic Signature in Myoclonus-Dystonia: A Reappraisal of Genetic Testing Criteria: Reappraisal of &lt;i&gt;SGCE&lt;/i&gt; Genetic Testing Criteria","title-short":"Defining the Epsilon-Sarcoglycan (SGCE) Gene Phenotypic Signature in Myoclonus-Dystonia","volume":"28","author":[{"family":"Carecchio","given":"Miryam"},{"family":"Magliozzi","given":"Monia"},{"family":"Copetti","given":"Massimiliano"},{"family":"Ferraris","given":"Alessandro"},{"family":"Bernardini","given":"Laura"},{"family":"Bonetti","given":"Monica"},{"family":"Defazio","given":"Giovanni"},{"family":"Edwards","given":"Mark J."},{"family":"Torrente","given":"Isabella"},{"family":"Pellegrini","given":"Fabio"},{"family":"Comi","given":"Cristoforo"},{"family":"Bhatia","given":"Kailash P."},{"family":"Valente","given":"Enza Maria"}],"issued":{"date-parts":[["2013",6]]}},"label":"page"},{"id":497,"uris":["http://zotero.org/users/local/qbj29eOf/items/FRXQXP7M"],"itemData":{"id":497,"type":"chapter","container-title":"Genetics of Movement Disorders","ISBN":"978-0-12-566652-7","language":"en","note":"DOI: 10.1016/B978-012566652-7/50042-3","page":"451-471","publisher":"Elsevier","source":"DOI.org (Crossref)","title":"Myoclonus and Myoclonus-Dystonias","URL":"https://linkinghub.elsevier.com/retrieve/pii/B9780125666527500423","author":[{"family":"Klein","given":"Christine"}],"accessed":{"date-parts":[["2023",9,7]]},"issued":{"date-parts":[["2003"]]}},"label":"page"},{"id":501,"uris":["http://zotero.org/users/local/qbj29eOf/items/4E37UU73"],"itemData":{"id":501,"type":"article-journal","container-title":"Human Mutation","DOI":"10.1002/humu.9521","ISSN":"10597794, 10981004","issue":"2","journalAbbreviation":"Hum. Mutat.","language":"en","page":"331-332","source":"DOI.org (Crossref)","title":"Myoclonus-dystonia: significance of large &lt;i&gt;SGCE&lt;/i&gt; deletions","title-short":"Myoclonus-dystonia","volume":"29","author":[{"family":"Grünewald","given":"A."},{"family":"Djarmati","given":"A."},{"family":"Lohmann-Hedrich","given":"K."},{"family":"Farrell","given":"K."},{"family":"Zeller","given":"J.A."},{"family":"Allert","given":"N."},{"family":"Papengut","given":"F."},{"family":"Petersen","given":"B."},{"family":"Fung","given":"V."},{"family":"Sue","given":"C.M."},{"family":"O'Sullivan","given":"D."},{"family":"Mahant","given":"N."},{"family":"Kupsch","given":"A."},{"family":"Chuang","given":"R.S."},{"family":"Wiegers","given":"K."},{"family":"Pawlack","given":"H."},{"family":"Hagenah","given":"J."},{"family":"Ozelius","given":"L.J."},{"family":"Stephani","given":"U."},{"family":"Schuit","given":"R."},{"family":"Lang","given":"A.E."},{"family":"Volkmann","given":"J."},{"family":"Münchau","given":"A."},{"family":"Klein","given":"C."}],"issued":{"date-parts":[["2008",2]]}},"label":"page"},{"id":507,"uris":["http://zotero.org/users/local/qbj29eOf/items/N3GV8DX7"],"itemData":{"id":507,"type":"article-journal","container-title":"Annals of Neurology","DOI":"10.1002/ana.20661","ISSN":"03645134, 15318249","issue":"5","journalAbbreviation":"Ann Neurol.","language":"en","page":"792-797","source":"DOI.org (Crossref)","title":"Myoclonus-dystonia due to genomic deletions in the epsilon-sarcoglycan gene","volume":"58","author":[{"family":"Asmus","given":"Friedrich"},{"family":"Salih","given":"Farid"},{"family":"Hjermind","given":"Lena Elisabeth"},{"family":"Ostergaard","given":"Karen"},{"family":"Munz","given":"Marita"},{"family":"Kühn","given":"Andrea A."},{"family":"Dupont","given":"Erik"},{"family":"Kupsch","given":"Andreas"},{"family":"Gasser","given":"Thomas"}],"issued":{"date-parts":[["2005",11]]}},"label":"page"},{"id":509,"uris":["http://zotero.org/users/local/qbj29eOf/items/ZAK4FM7M"],"itemData":{"id":509,"type":"article-journal","container-title":"Neurology","DOI":"10.1212/01.WNL.0000061480.86610.BF","ISSN":"0028-3878, 1526-632X","issue":"9","journalAbbreviation":"Neurology","language":"en","page":"1536-1539","source":"DOI.org (Crossref)","title":"A novel mutation in the -sarcoglycan gene causing myoclonus-dystonia syndrome","volume":"60","author":[{"family":"Hjermind","given":"L. E."},{"family":"Werdelin","given":"L. M."},{"family":"Eiberg","given":"H."},{"family":"Krag-Olsen","given":"B."},{"family":"Dupont","given":"E."},{"family":"Sorensen","given":"S. A."}],"issued":{"date-parts":[["2003",5,13]]}},"label":"page"},{"id":510,"uris":["http://zotero.org/users/local/qbj29eOf/items/T7QWBI4I"],"itemData":{"id":510,"type":"article-journal","container-title":"Journal of Neurology, Neurosurgery &amp; Psychiatry","DOI":"10.1136/jnnp.2003.027177","ISSN":"0022-3050","issue":"8","journalAbbreviation":"Journal of Neurology, Neurosurgery &amp; Psychiatry","language":"en","page":"1181-1185","source":"DOI.org (Crossref)","title":"Genetic heterogeneity in ten families with myoclonus-dystonia","volume":"75","author":[{"family":"Schule","given":"B"}],"issued":{"date-parts":[["2004",8,1]]}},"label":"page"}],"schema":"https://github.com/citation-style-language/schema/raw/master/csl-citation.json"} </w:instrText>
            </w:r>
            <w:r w:rsidRPr="005500F7">
              <w:rPr>
                <w:rFonts w:ascii="Aptos" w:hAnsi="Aptos" w:cs="Segoe UI"/>
                <w:sz w:val="20"/>
                <w:szCs w:val="20"/>
                <w:lang w:val="en-US"/>
              </w:rPr>
              <w:fldChar w:fldCharType="separate"/>
            </w:r>
            <w:r w:rsidRPr="005500F7">
              <w:rPr>
                <w:rFonts w:ascii="Aptos" w:hAnsi="Aptos"/>
                <w:sz w:val="20"/>
                <w:szCs w:val="20"/>
                <w:vertAlign w:val="superscript"/>
              </w:rPr>
              <w:t>57–64</w:t>
            </w:r>
            <w:r w:rsidRPr="005500F7">
              <w:rPr>
                <w:rFonts w:ascii="Aptos" w:hAnsi="Aptos" w:cs="Segoe UI"/>
                <w:sz w:val="20"/>
                <w:szCs w:val="20"/>
              </w:rPr>
              <w:fldChar w:fldCharType="end"/>
            </w:r>
            <w:r w:rsidRPr="005500F7">
              <w:rPr>
                <w:rFonts w:ascii="Aptos" w:hAnsi="Aptos" w:cs="Segoe UI"/>
                <w:sz w:val="20"/>
                <w:szCs w:val="20"/>
              </w:rPr>
              <w:t xml:space="preserve"> Initial symptoms are restricted to the neck and upper extremities and remain mostly focal or segmental,</w:t>
            </w:r>
            <w:r w:rsidRPr="005500F7">
              <w:rPr>
                <w:rFonts w:ascii="Aptos" w:hAnsi="Aptos" w:cs="Segoe UI"/>
                <w:sz w:val="20"/>
                <w:szCs w:val="20"/>
                <w:lang w:val="en-US"/>
              </w:rPr>
              <w:fldChar w:fldCharType="begin"/>
            </w:r>
            <w:r w:rsidRPr="005500F7">
              <w:rPr>
                <w:rFonts w:ascii="Aptos" w:hAnsi="Aptos" w:cs="Segoe UI"/>
                <w:sz w:val="20"/>
                <w:szCs w:val="20"/>
              </w:rPr>
              <w:instrText xml:space="preserve"> ADDIN ZOTERO_ITEM CSL_CITATION {"citationID":"3shx2g2y","properties":{"formattedCitation":"\\super 65\\uc0\\u8211{}67\\nosupersub{}","plainCitation":"65–67","noteIndex":0},"citationItems":[{"id":512,"uris":["http://zotero.org/users/local/qbj29eOf/items/HTJVPTJW"],"itemData":{"id":512,"type":"article-journal","container-title":"Journal of Neurology, Neurosurgery &amp; Psychiatry","DOI":"10.1136/jnnp.2008.162099","ISSN":"0022-3050","issue":"6","journalAbbreviation":"Journal of Neurology, Neurosurgery &amp; Psychiatry","language":"en","page":"653-658","source":"DOI.org (Crossref)","title":"Myoclonus-dystonia: clinical and genetic evaluation of a large cohort","title-short":"Myoclonus-dystonia","volume":"80","author":[{"family":"Ritz","given":"K"},{"family":"Gerrits","given":"M C F"},{"family":"Foncke","given":"E M J"},{"family":"Van Ruissen","given":"F"},{"family":"Van Der Linden","given":"C"},{"family":"Vergouwen","given":"M D I"},{"family":"Bloem","given":"B R"},{"family":"Vandenberghe","given":"W"},{"family":"Crols","given":"R"},{"family":"Speelman","given":"J D"},{"family":"Baas","given":"F"},{"family":"Tijssen","given":"M A J"}],"issued":{"date-parts":[["2009",6,1]]}},"label":"page"},{"id":499,"uris":["http://zotero.org/users/local/qbj29eOf/items/7IF57AUW"],"itemData":{"id":499,"type":"article-journal","container-title":"Movement Disorders","DOI":"10.1002/mds.21715","ISSN":"08853185","issue":"1","journalAbbreviation":"Mov. Disord.","language":"en","page":"28-34","source":"DOI.org (Crossref)","title":"Myoclonus-dystonia syndrome: Clinical presentation, disease course, and genetic features in 11 families: A Clinical and Genetic Study of MDS","title-short":"Myoclonus-dystonia syndrome","volume":"23","author":[{"family":"Nardocci","given":"Nardo"},{"family":"Zorzi","given":"Giovanna"},{"family":"Barzaghi","given":"Chiara"},{"family":"Zibordi","given":"Federica"},{"family":"Ciano","given":"Claudia"},{"family":"Ghezzi","given":"Daniele"},{"family":"Garavaglia","given":"Barbara"}],"issued":{"date-parts":[["2008",1]]}},"label":"page"},{"id":514,"uris":["http://zotero.org/users/local/qbj29eOf/items/2L827EMZ"],"itemData":{"id":514,"type":"article-journal","container-title":"European Journal of Neurology","DOI":"10.1111/j.1468-1331.2008.02116.x","ISSN":"1351-5101, 1468-1331","issue":"5","journalAbbreviation":"Eur J Neurol","language":"en","page":"525-529","source":"DOI.org (Crossref)","title":"No muscle involvement in myoclonus-dystonia caused by </w:instrText>
            </w:r>
            <w:r w:rsidRPr="005500F7">
              <w:rPr>
                <w:rFonts w:ascii="Aptos" w:hAnsi="Aptos" w:cs="Arial"/>
                <w:sz w:val="20"/>
                <w:szCs w:val="20"/>
              </w:rPr>
              <w:instrText>ɛ</w:instrText>
            </w:r>
            <w:r w:rsidRPr="005500F7">
              <w:rPr>
                <w:rFonts w:ascii="Aptos" w:hAnsi="Aptos" w:cs="Segoe UI"/>
                <w:sz w:val="20"/>
                <w:szCs w:val="20"/>
              </w:rPr>
              <w:instrText xml:space="preserve">-sarcoglycan gene mutations","volume":"15","author":[{"family":"Hjermind","given":"L. E."},{"family":"Vissing","given":"J."},{"family":"Asmus","given":"F."},{"family":"Krag","given":"T."},{"family":"Lochmüller","given":"H."},{"family":"Walter","given":"M. C."},{"family":"Erdal","given":"J."},{"family":"Blake","given":"D. J."},{"family":"Nielsen","given":"J. E."}],"issued":{"date-parts":[["2008",5]]}},"label":"page"}],"schema":"https://github.com/citation-style-language/schema/raw/master/csl-citation.json"} </w:instrText>
            </w:r>
            <w:r w:rsidRPr="005500F7">
              <w:rPr>
                <w:rFonts w:ascii="Aptos" w:hAnsi="Aptos" w:cs="Segoe UI"/>
                <w:sz w:val="20"/>
                <w:szCs w:val="20"/>
                <w:lang w:val="en-US"/>
              </w:rPr>
              <w:fldChar w:fldCharType="separate"/>
            </w:r>
            <w:r w:rsidRPr="005500F7">
              <w:rPr>
                <w:rFonts w:ascii="Aptos" w:hAnsi="Aptos"/>
                <w:sz w:val="20"/>
                <w:szCs w:val="20"/>
                <w:vertAlign w:val="superscript"/>
              </w:rPr>
              <w:t>65–67</w:t>
            </w:r>
            <w:r w:rsidRPr="005500F7">
              <w:rPr>
                <w:rFonts w:ascii="Aptos" w:hAnsi="Aptos" w:cs="Segoe UI"/>
                <w:sz w:val="20"/>
                <w:szCs w:val="20"/>
              </w:rPr>
              <w:fldChar w:fldCharType="end"/>
            </w:r>
            <w:r w:rsidRPr="005500F7">
              <w:rPr>
                <w:rFonts w:ascii="Aptos" w:hAnsi="Aptos" w:cs="Segoe UI"/>
                <w:sz w:val="20"/>
                <w:szCs w:val="20"/>
              </w:rPr>
              <w:t xml:space="preserve"> Patients may experience psychiatric issues.</w:t>
            </w:r>
            <w:r w:rsidRPr="005500F7">
              <w:rPr>
                <w:rFonts w:ascii="Aptos" w:hAnsi="Aptos" w:cs="Segoe UI"/>
                <w:sz w:val="20"/>
                <w:szCs w:val="20"/>
                <w:lang w:val="en-US"/>
              </w:rPr>
              <w:fldChar w:fldCharType="begin"/>
            </w:r>
            <w:r w:rsidRPr="005500F7">
              <w:rPr>
                <w:rFonts w:ascii="Aptos" w:hAnsi="Aptos" w:cs="Segoe UI"/>
                <w:sz w:val="20"/>
                <w:szCs w:val="20"/>
              </w:rPr>
              <w:instrText xml:space="preserve"> ADDIN ZOTERO_ITEM CSL_CITATION {"citationID":"XEbgNcM7","properties":{"formattedCitation":"\\super 57,59,65,68\\nosupersub{}","plainCitation":"57,59,65,68","noteIndex":0},"citationItems":[{"id":496,"uris":["http://zotero.org/users/local/qbj29eOf/items/F3L3TJNI"],"itemData":{"id":496,"type":"article-journal","container-title":"Movement Disorders","DOI":"10.1002/mds.25506","ISSN":"08853185","issue":"6","journalAbbreviation":"Mov Disord.","language":"en","page":"787-794","source":"DOI.org (Crossref)","title":"Defining the Epsilon-Sarcoglycan (SGCE) Gene Phenotypic Signature in Myoclonus-Dystonia: A Reappraisal of Genetic Testing Criteria: Reappraisal of &lt;i&gt;SGCE&lt;/i&gt; Genetic Testing Criteria","title-short":"Defining the Epsilon-Sarcoglycan (SGCE) Gene Phenotypic Signature in Myoclonus-Dystonia","volume":"28","author":[{"family":"Carecchio","given":"Miryam"},{"family":"Magliozzi","given":"Monia"},{"family":"Copetti","given":"Massimiliano"},{"family":"Ferraris","given":"Alessandro"},{"family":"Bernardini","given":"Laura"},{"family":"Bonetti","given":"Monica"},{"family":"Defazio","given":"Giovanni"},{"family":"Edwards","given":"Mark J."},{"family":"Torrente","given":"Isabella"},{"family":"Pellegrini","given":"Fabio"},{"family":"Comi","given":"Cristoforo"},{"family":"Bhatia","given":"Kailash P."},{"family":"Valente","given":"Enza Maria"}],"issued":{"date-parts":[["2013",6]]}},"label":"page"},{"id":498,"uris":["http://zotero.org/users/local/qbj29eOf/items/8Q4UFF3J"],"itemData":{"id":498,"type":"article-journal","container-title":"Current Opinion in Neurology","DOI":"10.1097/WCO.0000000000000577","ISSN":"1350-7540, 1473-6551","issue":"4","language":"en","page":"484-490","source":"DOI.org (Crossref)","title":"Myoclonus-dystonia: classification, phenomenology, pathogenesis, and treatment","title-short":"Myoclonus-dystonia","volume":"31","author":[{"family":"Roze","given":"Emmanuel"},{"family":"Lang","given":"Anthony E."},{"family":"Vidailhet","given":"Marie"}],"issued":{"date-parts":[["2018",8]]}},"label":"page"},{"id":512,"uris":["http://zotero.org/users/local/qbj29eOf/items/HTJVPTJW"],"itemData":{"id":512,"type":"article-journal","container-title":"Journal of Neurology, Neurosurgery &amp; Psychiatry","DOI":"10.1136/jnnp.2008.162099","ISSN":"0022-3050","issue":"6","journalAbbreviation":"Journal of Neurology, Neurosurgery &amp; Psychiatry","language":"en","page":"653-658","source":"DOI.org (Crossref)","title":"Myoclonus-dystonia: clinical and genetic evaluation of a large cohort","title-short":"Myoclonus-dystonia","volume":"80","author":[{"family":"Ritz","given":"K"},{"family":"Gerrits","given":"M C F"},{"family":"Foncke","given":"E M J"},{"family":"Van Ruissen","given":"F"},{"family":"Van Der Linden","given":"C"},{"family":"Vergouwen","given":"M D I"},{"family":"Bloem","given":"B R"},{"family":"Vandenberghe","given":"W"},{"family":"Crols","given":"R"},{"family":"Speelman","given":"J D"},{"family":"Baas","given":"F"},{"family":"Tijssen","given":"M A J"}],"issued":{"date-parts":[["2009",6,1]]}},"label":"page"},{"id":506,"uris":["http://zotero.org/users/local/qbj29eOf/items/WGSKMAPX"],"itemData":{"id":506,"type":"article-journal","abstract":"Background:\n              \n              Inherited myoclonus–dystonia (M-D) is a disorder that is characterized primarily by myoclonic jerks and is often accompanied by dystonia. In addition to motor features, psychiatric disease is reported in some families.\n            \n            \n              \n                Methods:\n              \n              To determine whether the same genetic etiology underlies both neurologic and psychiatric signs, the authors studied psychiatric symptoms in nonmanifesting carriers (NMC), noncarriers (NC), and manifesting carriers (MC) in three families demonstrating linkage of M-D to the 7q21 locus. Interviewers administered the computerized version of the Composite International Diagnostic Interview. Algorithms for the\n              Diagnostic and Statistical Manual of Mental Disorders, Fourth Edition\n              diagnosis of obsessive–compulsive disorder (OCD), generalized anxiety disorder, major affective disorder, alcohol abuse, alcohol dependence, drug abuse, and drug dependence were used. Rates of disorders among the MC, NMC, and NC were compared.\n            \n            \n              \n                Results:\n              \n              Of 55 participating individuals, 16 were MC, 11 were NMC, and 28 were NC. The rate of OCD was greater in carriers (5/27) compared with NC (0/28) (\n              p\n              = 0.023). It was also greater in the symptomatic gene carriers (4/16) compared with the asymptomatic group (1/11) (\n              p\n              = 0.022). Alcohol dependence was increased in the symptomatic carriers (7/16) (\n              p\n              = 0.027), but not in the carrier group overall (7/27).\n            \n            \n              \n                Conclusion:\n              \n              OCD may be associated with the\n              DYT11\n              M-D gene; however, a larger sample is necessary to confirm this finding. Alcohol dependence is highly associated with expressing symptoms of M-D. This may be explained by self-medication with alcohol to improve motor symptoms of M-D.","container-title":"Neurology","DOI":"10.1212/WNL.58.2.242","ISSN":"0028-3878, 1526-632X","issue":"2","journalAbbreviation":"Neurology","language":"en","page":"242-245","source":"DOI.org (Crossref)","title":"Myoclonus dystonia: Possible association with obsessive–compulsive disorder and alcohol dependence","title-short":"Myoclonus dystonia","volume":"58","author":[{"family":"Saunders–Pullman","given":"R."},{"family":"Shriberg","given":"J."},{"family":"Heiman","given":"G."},{"family":"Raymond","given":"D."},{"family":"Wendt","given":"K."},{"family":"Kramer","given":"P."},{"family":"Schilling","given":"K."},{"family":"Kurlan","given":"R."},{"family":"Klein","given":"C."},{"family":"Ozelius","given":"L. J."},{"family":"Risch","given":"N. J."},{"family":"Bressman","given":"S. B."}],"issued":{"date-parts":[["2002",1,22]]}},"label":"page"}],"schema":"https://github.com/citation-style-language/schema/raw/master/csl-citation.json"} </w:instrText>
            </w:r>
            <w:r w:rsidRPr="005500F7">
              <w:rPr>
                <w:rFonts w:ascii="Aptos" w:hAnsi="Aptos" w:cs="Segoe UI"/>
                <w:sz w:val="20"/>
                <w:szCs w:val="20"/>
                <w:lang w:val="en-US"/>
              </w:rPr>
              <w:fldChar w:fldCharType="separate"/>
            </w:r>
            <w:r w:rsidRPr="005500F7">
              <w:rPr>
                <w:rFonts w:ascii="Aptos" w:hAnsi="Aptos"/>
                <w:sz w:val="20"/>
                <w:szCs w:val="20"/>
                <w:vertAlign w:val="superscript"/>
              </w:rPr>
              <w:t>57,59,65,68</w:t>
            </w:r>
            <w:r w:rsidRPr="005500F7">
              <w:rPr>
                <w:rFonts w:ascii="Aptos" w:hAnsi="Aptos" w:cs="Segoe UI"/>
                <w:sz w:val="20"/>
                <w:szCs w:val="20"/>
              </w:rPr>
              <w:fldChar w:fldCharType="end"/>
            </w:r>
          </w:p>
        </w:tc>
      </w:tr>
      <w:tr w:rsidR="005500F7" w:rsidRPr="005500F7" w14:paraId="13CCCAE5" w14:textId="77777777" w:rsidTr="002C08A9">
        <w:trPr>
          <w:trHeight w:val="1119"/>
        </w:trPr>
        <w:tc>
          <w:tcPr>
            <w:tcW w:w="593" w:type="pct"/>
            <w:tcBorders>
              <w:top w:val="single" w:sz="4" w:space="0" w:color="auto"/>
              <w:left w:val="nil"/>
              <w:bottom w:val="single" w:sz="4" w:space="0" w:color="auto"/>
              <w:right w:val="nil"/>
            </w:tcBorders>
            <w:shd w:val="clear" w:color="auto" w:fill="auto"/>
            <w:vAlign w:val="center"/>
          </w:tcPr>
          <w:p w14:paraId="52598191" w14:textId="3E508A55"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THAP1</w:t>
            </w:r>
          </w:p>
        </w:tc>
        <w:tc>
          <w:tcPr>
            <w:tcW w:w="4407" w:type="pct"/>
            <w:tcBorders>
              <w:top w:val="single" w:sz="4" w:space="0" w:color="auto"/>
              <w:left w:val="nil"/>
              <w:bottom w:val="single" w:sz="4" w:space="0" w:color="auto"/>
              <w:right w:val="nil"/>
            </w:tcBorders>
            <w:shd w:val="clear" w:color="auto" w:fill="auto"/>
            <w:vAlign w:val="center"/>
          </w:tcPr>
          <w:p w14:paraId="4ECC6F0B" w14:textId="19F5AF96" w:rsidR="005500F7" w:rsidRPr="005500F7" w:rsidRDefault="00264446" w:rsidP="00257457">
            <w:pPr>
              <w:spacing w:after="0" w:line="240" w:lineRule="auto"/>
              <w:jc w:val="center"/>
              <w:rPr>
                <w:rFonts w:ascii="Aptos" w:hAnsi="Aptos"/>
                <w:sz w:val="20"/>
                <w:szCs w:val="20"/>
              </w:rPr>
            </w:pPr>
            <w:r>
              <w:rPr>
                <w:rFonts w:ascii="Aptos" w:hAnsi="Aptos"/>
                <w:i/>
                <w:iCs/>
                <w:sz w:val="20"/>
                <w:szCs w:val="20"/>
              </w:rPr>
              <w:t>THAP1</w:t>
            </w:r>
            <w:r w:rsidRPr="002C08A9">
              <w:rPr>
                <w:rFonts w:ascii="Aptos" w:hAnsi="Aptos"/>
                <w:sz w:val="20"/>
                <w:szCs w:val="20"/>
              </w:rPr>
              <w:t>-</w:t>
            </w:r>
            <w:r>
              <w:rPr>
                <w:rFonts w:ascii="Aptos" w:hAnsi="Aptos"/>
                <w:sz w:val="20"/>
                <w:szCs w:val="20"/>
              </w:rPr>
              <w:t>associated</w:t>
            </w:r>
            <w:r>
              <w:rPr>
                <w:rFonts w:ascii="Aptos" w:hAnsi="Aptos"/>
                <w:i/>
                <w:iCs/>
                <w:sz w:val="20"/>
                <w:szCs w:val="20"/>
              </w:rPr>
              <w:t xml:space="preserve"> dystonia</w:t>
            </w:r>
            <w:r w:rsidR="005500F7" w:rsidRPr="005500F7">
              <w:rPr>
                <w:rFonts w:ascii="Aptos" w:hAnsi="Aptos"/>
                <w:sz w:val="20"/>
                <w:szCs w:val="20"/>
              </w:rPr>
              <w:t xml:space="preserve"> is an autosomal-dominant, adolescent-onset dystonia </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{"citationID":"OBR1lXKG","properties":{"formattedCitation":"\\super 69\\uc0\\u8211{}71\\nosupersub{}","plainCitation":"69–71","noteIndex":0},"citationItems":[{"id":524,"uris":["http://zotero.org/users/local/qbj29eOf/items/4936L9FD"],"itemData":{"id":524,"type":"article-journal","container-title":"Nature Genetics","DOI":"10.1038/ng.304","ISSN":"1061-4036, 1546-1718","issue":"3","journalAbbreviation":"Nat Genet","language":"en","page":"286-288","source":"DOI.org (Crossref)","title":"Mutations in the THAP1 gene are responsible for DYT6 primary torsion dystonia","volume":"41","author":[{"family":"Fuchs","given":"Tania"},{"family":"Gavarini","given":"Sophie"},{"family":"Saunders-Pullman","given":"Rachel"},{"family":"Raymond","given":"Deborah"},{"family":"Ehrlich","given":"Michelle E"},{"family":"Bressman","given":"Susan B"},{"family":"Ozelius","given":"Laurie J"}],"issued":{"date-parts":[["2009",3]]}},"label":"page"},{"id":525,"uris":["http://zotero.org/users/local/qbj29eOf/items/68VNDWBL"],"itemData":{"id":525,"type":"article-journal","container-title":"The Lancet Neurology","DOI":"10.1016/S1474-4422(09)70081-X","ISSN":"14744422","issue":"5","journalAbbreviation":"The Lancet Neurology","language":"en","page":"441-446","source":"DOI.org (Crossref)","title":"Mutations in THAP1 (DYT6) in early-onset dystonia: a genetic screening study","title-short":"Mutations in THAP1 (DYT6) in early-onset dystonia","volume":"8","author":[{"family":"Bressman","given":"Susan B"},{"family":"Raymond","given":"Deborah"},{"family":"Fuchs","given":"Tania"},{"family":"Heiman","given":"Gary A"},{"family":"Ozelius","given":"Laurie J"},{"family":"Saunders-Pullman","given":"Rachel"}],"issued":{"date-parts":[["2009",5]]}},"label":"page"},{"id":532,"uris":["http://zotero.org/users/local/qbj29eOf/items/7DY8AK72"],"itemData":{"id":532,"type":"article-journal","abstract":"ABSTRACT\n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HPCA\n              was broader. However, in most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patients, dystonia first manifested in the upper half of the body (upper limb, neck, and craniofacial/laryngeal), whereas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J."},{"family":"Klein","given":"Christine"},{"family":"Lohmann","given":"Katja"}],"issued":{"date-parts":[["2021",5]]}},"label":"page"}],"schema":"https://github.com/citation-style-language/schema/raw/master/csl-citation.json"}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69–71</w:t>
            </w:r>
            <w:r w:rsidR="005500F7" w:rsidRPr="005500F7">
              <w:rPr>
                <w:rFonts w:ascii="Aptos" w:hAnsi="Aptos"/>
                <w:sz w:val="20"/>
                <w:szCs w:val="20"/>
              </w:rPr>
              <w:fldChar w:fldCharType="end"/>
            </w:r>
            <w:r w:rsidR="005500F7" w:rsidRPr="005500F7">
              <w:rPr>
                <w:rFonts w:ascii="Aptos" w:hAnsi="Aptos"/>
                <w:sz w:val="20"/>
                <w:szCs w:val="20"/>
              </w:rPr>
              <w:t xml:space="preserve"> with broad clinical phenotype</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{"citationID":"h3rpyQTz","properties":{"formattedCitation":"\\super 71,72\\nosupersub{}","plainCitation":"71,72","noteIndex":0},"citationItems":[{"id":532,"uris":["http://zotero.org/users/local/qbj29eOf/items/7DY8AK72"],"itemData":{"id":532,"type":"article-journal","abstract":"ABSTRACT\n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HPCA\n              was broader. However, in most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patients, dystonia first manifested in the upper half of the body (upper limb, neck, and craniofacial/laryngeal), whereas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label":"page"},{"id":520,"uris":["http://zotero.org/users/local/qbj29eOf/items/GIS9SEU6"],"itemData":{"id":520,"type":"article-journal","container-title":"Human Mutation","DOI":"10.1002/humu.21564","ISSN":"10597794","issue":"11","journalAbbreviation":"Hum. Mutat.","language":"en","page":"1213-1224","source":"DOI.org (Crossref)","title":"DYT6 dystonia: Review of the literature and creation of the UMD locus-specific database (LSDB) for mutations in the THAP1 gene","title-short":"DYT6 dystonia","volume":"32","author":[{"family":"Blanchard","given":"Arnaud"},{"family":"Ea","given":"Vuthy"},{"family":"Roubertie","given":"Agathe"},{"family":"Martin","given":"Mélanie"},{"family":"Coquart","given":"Coline"},{"family":"Claustres","given":"Mireille"},{"family":"Béroud","given":"Christophe"},{"family":"Collod-Béroud","given":"Gwenaëlle"}],"issued":{"date-parts":[["2011",11]]}},"label":"page"}],"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71,72</w:t>
            </w:r>
            <w:r w:rsidR="005500F7" w:rsidRPr="005500F7">
              <w:rPr>
                <w:rFonts w:ascii="Aptos" w:hAnsi="Aptos"/>
                <w:sz w:val="20"/>
                <w:szCs w:val="20"/>
              </w:rPr>
              <w:fldChar w:fldCharType="end"/>
            </w:r>
            <w:r w:rsidR="005500F7" w:rsidRPr="005500F7">
              <w:rPr>
                <w:rFonts w:ascii="Aptos" w:hAnsi="Aptos"/>
                <w:sz w:val="20"/>
                <w:szCs w:val="20"/>
              </w:rPr>
              <w:t>. Onset symptoms generally involve upper limbs(~33%), neck(~27%), or craniofacial/laryngeal(~25%) muscles, while lower limb involvement is infrequent.</w:t>
            </w:r>
            <w:r w:rsidR="005500F7" w:rsidRPr="005500F7">
              <w:rPr>
                <w:rFonts w:ascii="Aptos" w:hAnsi="Aptos"/>
                <w:sz w:val="20"/>
                <w:szCs w:val="20"/>
                <w:lang w:val="en-US"/>
              </w:rPr>
              <w:fldChar w:fldCharType="begin"/>
            </w:r>
            <w:r w:rsidR="005500F7" w:rsidRPr="005500F7">
              <w:rPr>
                <w:rFonts w:ascii="Aptos" w:hAnsi="Aptos"/>
                <w:sz w:val="20"/>
                <w:szCs w:val="20"/>
              </w:rPr>
              <w:instrText xml:space="preserve"> ADDIN ZOTERO_ITEM CSL_CITATION {"citationID":"9kGyTmQI","properties":{"formattedCitation":"\\super 69\\uc0\\u8211{}71,73,74\\nosupersub{}","plainCitation":"69–71,73,74","noteIndex":0},"citationItems":[{"id":524,"uris":["http://zotero.org/users/local/qbj29eOf/items/4936L9FD"],"itemData":{"id":524,"type":"article-journal","container-title":"Nature Genetics","DOI":"10.1038/ng.304","ISSN":"1061-4036, 1546-1718","issue":"3","journalAbbreviation":"Nat Genet","language":"en","page":"286-288","source":"DOI.org (Crossref)","title":"Mutations in the THAP1 gene are responsible for DYT6 primary torsion dystonia","volume":"41","author":[{"family":"Fuchs","given":"Tania"},{"family":"Gavarini","given":"Sophie"},{"family":"Saunders-Pullman","given":"Rachel"},{"family":"Raymond","given":"Deborah"},{"family":"Ehrlich","given":"Michelle E"},{"family":"Bressman","given":"Susan B"},{"family":"Ozelius","given":"Laurie J"}],"issued":{"date-parts":[["2009",3]]}},"label":"page"},{"id":525,"uris":["http://zotero.org/users/local/qbj29eOf/items/68VNDWBL"],"itemData":{"id":525,"type":"article-journal","container-title":"The Lancet Neurology","DOI":"10.1016/S1474-4422(09)70081-X","ISSN":"14744422","issue":"5","journalAbbreviation":"The Lancet Neurology","language":"en","page":"441-446","source":"DOI.org (Crossref)","title":"Mutations in THAP1 (DYT6) in early-onset dystonia: a genetic screening study","title-short":"Mutations in THAP1 (DYT6) in early-onset dystonia","volume":"8","author":[{"family":"Bressman","given":"Susan B"},{"family":"Raymond","given":"Deborah"},{"family":"Fuchs","given":"Tania"},{"family":"Heiman","given":"Gary A"},{"family":"Ozelius","given":"Laurie J"},{"family":"Saunders-Pullman","given":"Rachel"}],"issued":{"date-parts":[["2009",5]]}},"label":"page"},{"id":532,"uris":["http://zotero.org/users/local/qbj29eOf/items/7DY8AK72"],"itemData":{"id":532,"type":"article-journal","abstract":"ABSTRACT\n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HPCA\n              was broader. However, in most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THAP1\n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ANO3\n              patients, dystonia first manifested in the upper half of the body (upper limb, neck, and craniofacial/laryngeal), whereas onset in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TOR1A\n              ,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\n              PRKRA\n              and DYT</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label":"page"},{"id":527,"uris":["http://zotero.org/users/local/qbj29eOf/items/EMZENKIH"],"itemData":{"id":527,"type":"article-journal","container-title":"Neurology","DOI":"10.1212/WNL.0b013e3181ca00ca","ISSN":"0028-3878, 1526-632X","issue":"3","journalAbbreviation":"Neurology","language":"en","page":"229-238","source":"DOI.org (Crossref)","title":"Novel THAP1 sequence variants in primary dystonia","volume":"74","author":[{"family":"Xiao","given":"J."},{"family":"Zhao","given":"Y."},{"family":"Bastian","given":"R. W."},{"family":"Perlmutter","given":"J. S."},{"family":"Racette","given":"B. A."},{"family":"Tabbal","given":"S. D."},{"family":"Karimi","given":"M."},{"family":"Paniello","given":"R. C."},{"family":"Wszolek","given":"Z. K."},{"family":"Uitti","given":"R. J."},{"family":"Van Gerpen","given":"J. A."},{"family":"Simon","given":"D. K."},{"family":"Tarsy","given":"D."},{"family":"Hedera","given":"P."},{"family":"Truong","given":"D. D."},{"family":"Frei","given":"K. P."},{"family":"Dev Batish","given":"S."},{"family":"Blitzer","given":"A."},{"family":"Pfeiffer","given":"R. F."},{"family":"Gong","given":"S."},{"family":"LeDoux","given":"M. S."}],"issued":{"date-parts":[["2010",1,19]]}},"label":"page"},{"id":529,"uris":["http://zotero.org/users/local/qbj29eOf/items/KBQVQDNV"],"itemData":{"id":529,"type":"article-journal","container-title":"Movement Disorders","DOI":"10.1002/mds.25146","ISSN":"0885-3185, 1531-8257","issue":"10","journalAbbreviation":"Mov. Disord.","language":"en","page":"1290-1294","source":"DOI.org (Crossref)","title":"THAP1 mutations and dystonia phenotypes: Genotype phenotype correlations","title-short":"THAP1 mutations and dystonia phenotypes","volume":"27","author":[{"family":"Xiromerisiou","given":"Georgia"},{"family":"Houlden","given":"Henry"},{"family":"Scarmeas","given":"Nikolaos"},{"family":"Stamelou","given":"Maria"},{"family":"Kara","given":"Eleanna"},{"family":"Hardy","given":"John"},{"family":"Lees","given":"Andrew J."},{"family":"Korlipara","given":"Prasad"},{"family":"Limousin","given":"Patricia"},{"family":"Paudel","given":"Reema"},{"family":"Hadjigeorgiou","given":"Georgios M."},{"family":"Bhatia","given":"Kailash P."}],"issued":{"date-parts":[["2012",9]]}},"label":"page"}],"schema":"https://github.com/citation-style-language/schema/raw/master/csl-citation.json"} </w:instrText>
            </w:r>
            <w:r w:rsidR="005500F7" w:rsidRPr="005500F7">
              <w:rPr>
                <w:rFonts w:ascii="Aptos" w:hAnsi="Aptos"/>
                <w:sz w:val="20"/>
                <w:szCs w:val="20"/>
                <w:lang w:val="en-US"/>
              </w:rPr>
              <w:fldChar w:fldCharType="separate"/>
            </w:r>
            <w:r w:rsidR="005500F7" w:rsidRPr="005500F7">
              <w:rPr>
                <w:rFonts w:ascii="Aptos" w:hAnsi="Aptos"/>
                <w:sz w:val="20"/>
                <w:szCs w:val="20"/>
                <w:vertAlign w:val="superscript"/>
              </w:rPr>
              <w:t>69–71,73,74</w:t>
            </w:r>
            <w:r w:rsidR="005500F7" w:rsidRPr="005500F7">
              <w:rPr>
                <w:rFonts w:ascii="Aptos" w:hAnsi="Aptos"/>
                <w:sz w:val="20"/>
                <w:szCs w:val="20"/>
              </w:rPr>
              <w:fldChar w:fldCharType="end"/>
            </w:r>
            <w:r w:rsidR="005500F7" w:rsidRPr="005500F7">
              <w:rPr>
                <w:rFonts w:ascii="Aptos" w:hAnsi="Aptos"/>
                <w:sz w:val="20"/>
                <w:szCs w:val="20"/>
              </w:rPr>
              <w:t xml:space="preserve"> The primary disability for patients stems from craniocervical involvement.</w:t>
            </w:r>
            <w:r w:rsidR="005500F7" w:rsidRPr="005500F7">
              <w:rPr>
                <w:rFonts w:ascii="Aptos" w:hAnsi="Aptos"/>
                <w:sz w:val="20"/>
                <w:szCs w:val="20"/>
                <w:lang w:val="en-US"/>
              </w:rPr>
              <w:fldChar w:fldCharType="begin"/>
            </w:r>
            <w:r w:rsidR="005500F7" w:rsidRPr="005500F7">
              <w:rPr>
                <w:rFonts w:ascii="Aptos" w:hAnsi="Aptos"/>
                <w:sz w:val="20"/>
                <w:szCs w:val="20"/>
              </w:rPr>
              <w:instrText xml:space="preserve"> ADDIN ZOTERO_ITEM CSL_CITATION {"citationID":"OPT9UUpi","properties":{"formattedCitation":"\\super 72,75,76\\nosupersub{}","plainCitation":"72,75,76","noteIndex":0},"citationItems":[{"id":520,"uris":["http://zotero.org/users/local/qbj29eOf/items/GIS9SEU6"],"itemData":{"id":520,"type":"article-journal","container-title":"Human Mutation","DOI":"10.1002/humu.21564","ISSN":"10597794","issue":"11","journalAbbreviation":"Hum. Mutat.","language":"en","page":"1213-1224","source":"DOI.org (Crossref)","title":"DYT6 dystonia: Review of the literature and creation of the UMD locus-specific database (LSDB) for mutations in the THAP1 gene","title-short":"DYT6 dystonia","volume":"32","author":[{"family":"Blanchard","given":"Arnaud"},{"family":"Ea","given":"Vuthy"},{"family":"Roubertie","given":"Agathe"},{"family":"Martin","given":"Mélanie"},{"family":"Coquart","given":"Coline"},{"family":"Claustres","given":"Mireille"},{"family":"Béroud","given":"Christophe"},{"family":"Collod-Béroud","given":"Gwenaëlle"}],"issued":{"date-parts":[["2011",11]]}},"label":"page"},{"id":537,"uris":["http://zotero.org/users/local/qbj29eOf/items/PI4KSIAY"],"itemData":{"id":537,"type":"article-journal","container-title":"Neurotherapeutics","DOI":"10.1007/s13311-014-0297-7","ISSN":"1933-7213, 1878-7479","issue":"4","journalAbbreviation":"Neurotherapeutics","language":"en","page":"807-816","source":"DOI.org (Crossref)","title":"Inherited Isolated Dystonia: Clinical Genetics and Gene Function","title-short":"Inherited Isolated Dystonia","volume":"11","author":[{"family":"Dauer","given":"William"}],"issued":{"date-parts":[["2014",10]]}},"label":"page"},{"id":531,"uris":["http://zotero.org/users/local/qbj29eOf/items/NNZAIJ9E"],"itemData":{"id":531,"type":"article-journal","container-title":"Current Neurology and Neuroscience Reports","DOI":"10.1007/s11910-017-0735-0","ISSN":"1528-4042, 1534-6293","issue":"3","journalAbbreviation":"Curr Neurol Neurosci Rep","language":"en","page":"26","source":"DOI.org (Crossref)","title":"Update on the Genetics of Dystonia","volume":"17","author":[{"family":"Lohmann","given":"Katja"},{"family":"Klein","given":"Christine"}],"issued":{"date-parts":[["2017",3]]}},"label":"page"}],"schema":"https://github.com/citation-style-language/schema/raw/master/csl-citation.json"} </w:instrText>
            </w:r>
            <w:r w:rsidR="005500F7" w:rsidRPr="005500F7">
              <w:rPr>
                <w:rFonts w:ascii="Aptos" w:hAnsi="Aptos"/>
                <w:sz w:val="20"/>
                <w:szCs w:val="20"/>
                <w:lang w:val="en-US"/>
              </w:rPr>
              <w:fldChar w:fldCharType="separate"/>
            </w:r>
            <w:r w:rsidR="005500F7" w:rsidRPr="005500F7">
              <w:rPr>
                <w:rFonts w:ascii="Aptos" w:hAnsi="Aptos"/>
                <w:sz w:val="20"/>
                <w:szCs w:val="20"/>
                <w:vertAlign w:val="superscript"/>
              </w:rPr>
              <w:t>72,75,76</w:t>
            </w:r>
            <w:r w:rsidR="005500F7" w:rsidRPr="005500F7">
              <w:rPr>
                <w:rFonts w:ascii="Aptos" w:hAnsi="Aptos"/>
                <w:sz w:val="20"/>
                <w:szCs w:val="20"/>
              </w:rPr>
              <w:fldChar w:fldCharType="end"/>
            </w:r>
            <w:r w:rsidR="005500F7" w:rsidRPr="005500F7">
              <w:rPr>
                <w:rFonts w:ascii="Aptos" w:hAnsi="Aptos"/>
                <w:sz w:val="20"/>
                <w:szCs w:val="20"/>
              </w:rPr>
              <w:t xml:space="preserve"> Particularly, laryngeal dystonia is prevalent and associated with several speech difficulties.</w:t>
            </w:r>
            <w:r w:rsidR="005500F7" w:rsidRPr="005500F7">
              <w:rPr>
                <w:rFonts w:ascii="Aptos" w:hAnsi="Aptos"/>
                <w:sz w:val="20"/>
                <w:szCs w:val="20"/>
                <w:lang w:val="en-US"/>
              </w:rPr>
              <w:fldChar w:fldCharType="begin"/>
            </w:r>
            <w:r w:rsidR="005500F7" w:rsidRPr="005500F7">
              <w:rPr>
                <w:rFonts w:ascii="Aptos" w:hAnsi="Aptos"/>
                <w:sz w:val="20"/>
                <w:szCs w:val="20"/>
              </w:rPr>
              <w:instrText xml:space="preserve"> ADDIN ZOTERO_ITEM CSL_CITATION {"citationID":"FVwSgOMY","properties":{"formattedCitation":"\\super 69,72,76\\nosupersub{}","plainCitation":"69,72,76","noteIndex":0},"citationItems":[{"id":524,"uris":["http://zotero.org/users/local/qbj29eOf/items/4936L9FD"],"itemData":{"id":524,"type":"article-journal","container-title":"Nature Genetics","DOI":"10.1038/ng.304","ISSN":"1061-4036, 1546-1718","issue":"3","journalAbbreviation":"Nat Genet","language":"en","page":"286-288","source":"DOI.org (Crossref)","title":"Mutations in the THAP1 gene are responsible for DYT6 primary torsion dystonia","volume":"41","author":[{"family":"Fuchs","given":"Tania"},{"family":"Gavarini","given":"Sophie"},{"family":"Saunders-Pullman","given":"Rachel"},{"family":"Raymond","given":"Deborah"},{"family":"Ehrlich","given":"Michelle E"},{"family":"Bressman","given":"Susan B"},{"family":"Ozelius","given":"Laurie J"}],"issued":{"date-parts":[["2009",3]]}},"label":"page"},{"id":520,"uris":["http://zotero.org/users/local/qbj29eOf/items/GIS9SEU6"],"itemData":{"id":520,"type":"article-journal","container-title":"Human Mutation","DOI":"10.1002/humu.21564","ISSN":"10597794","issue":"11","journalAbbreviation":"Hum. Mutat.","language":"en","page":"1213-1224","source":"DOI.org (Crossref)","title":"DYT6 dystonia: Review of the literature and creation of the UMD locus-specific database (LSDB) for mutations in the THAP1 gene","title-short":"DYT6 dystonia","volume":"32","author":[{"family":"Blanchard","given":"Arnaud"},{"family":"Ea","given":"Vuthy"},{"family":"Roubertie","given":"Agathe"},{"family":"Martin","given":"Mélanie"},{"family":"Coquart","given":"Coline"},{"family":"Claustres","given":"Mireille"},{"family":"Béroud","given":"Christophe"},{"family":"Collod-Béroud","given":"Gwenaëlle"}],"issued":{"date-parts":[["2011",11]]}},"label":"page"},{"id":531,"uris":["http://zotero.org/users/local/qbj29eOf/items/NNZAIJ9E"],"itemData":{"id":531,"type":"article-journal","container-title":"Current Neurology and Neuroscience Reports","DOI":"10.1007/s11910-017-0735-0","ISSN":"1528-4042, 1534-6293","issue":"3","journalAbbreviation":"Curr Neurol Neurosci Rep","language":"en","page":"26","source":"DOI.org (Crossref)","title":"Update on the Genetics of Dystonia","volume":"17","author":[{"family":"Lohmann","given":"Katja"},{"family":"Klein","given":"Christine"}],"issued":{"date-parts":[["2017",3]]}},"label":"page"}],"schema":"https://github.com/citation-style-language/schema/raw/master/csl-citation.json"} </w:instrText>
            </w:r>
            <w:r w:rsidR="005500F7" w:rsidRPr="005500F7">
              <w:rPr>
                <w:rFonts w:ascii="Aptos" w:hAnsi="Aptos"/>
                <w:sz w:val="20"/>
                <w:szCs w:val="20"/>
                <w:lang w:val="en-US"/>
              </w:rPr>
              <w:fldChar w:fldCharType="separate"/>
            </w:r>
            <w:r w:rsidR="005500F7" w:rsidRPr="005500F7">
              <w:rPr>
                <w:rFonts w:ascii="Aptos" w:hAnsi="Aptos"/>
                <w:sz w:val="20"/>
                <w:szCs w:val="20"/>
                <w:vertAlign w:val="superscript"/>
              </w:rPr>
              <w:t>69,72,76</w:t>
            </w:r>
            <w:r w:rsidR="005500F7" w:rsidRPr="005500F7">
              <w:rPr>
                <w:rFonts w:ascii="Aptos" w:hAnsi="Aptos"/>
                <w:sz w:val="20"/>
                <w:szCs w:val="20"/>
              </w:rPr>
              <w:fldChar w:fldCharType="end"/>
            </w:r>
          </w:p>
        </w:tc>
      </w:tr>
      <w:tr w:rsidR="005500F7" w:rsidRPr="005500F7" w14:paraId="2EAD544A" w14:textId="77777777" w:rsidTr="002C08A9">
        <w:trPr>
          <w:trHeight w:val="1049"/>
        </w:trPr>
        <w:tc>
          <w:tcPr>
            <w:tcW w:w="593" w:type="pct"/>
            <w:tcBorders>
              <w:top w:val="single" w:sz="4" w:space="0" w:color="auto"/>
              <w:left w:val="nil"/>
              <w:bottom w:val="single" w:sz="4" w:space="0" w:color="FFFFFF"/>
              <w:right w:val="nil"/>
            </w:tcBorders>
            <w:shd w:val="clear" w:color="auto" w:fill="auto"/>
            <w:vAlign w:val="center"/>
          </w:tcPr>
          <w:p w14:paraId="32907B20" w14:textId="015DCA6A"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TOR1A</w:t>
            </w:r>
          </w:p>
        </w:tc>
        <w:tc>
          <w:tcPr>
            <w:tcW w:w="4407" w:type="pct"/>
            <w:tcBorders>
              <w:top w:val="single" w:sz="4" w:space="0" w:color="auto"/>
              <w:left w:val="nil"/>
              <w:bottom w:val="single" w:sz="4" w:space="0" w:color="FFFFFF"/>
              <w:right w:val="single" w:sz="12" w:space="0" w:color="FFFFFF"/>
            </w:tcBorders>
            <w:shd w:val="clear" w:color="auto" w:fill="auto"/>
            <w:vAlign w:val="center"/>
          </w:tcPr>
          <w:p w14:paraId="6BD03C7C" w14:textId="67BB457D" w:rsidR="005500F7" w:rsidRPr="005500F7" w:rsidRDefault="005500F7" w:rsidP="002C08A9">
            <w:pPr>
              <w:spacing w:after="0" w:line="240" w:lineRule="auto"/>
              <w:rPr>
                <w:rFonts w:ascii="Aptos" w:hAnsi="Aptos"/>
                <w:sz w:val="20"/>
                <w:szCs w:val="20"/>
              </w:rPr>
            </w:pPr>
            <w:r w:rsidRPr="005500F7">
              <w:rPr>
                <w:rFonts w:ascii="Aptos" w:hAnsi="Aptos"/>
                <w:i/>
                <w:iCs/>
                <w:sz w:val="20"/>
                <w:szCs w:val="20"/>
              </w:rPr>
              <w:t>TOR1A</w:t>
            </w:r>
            <w:r w:rsidRPr="005500F7">
              <w:rPr>
                <w:rFonts w:ascii="Aptos" w:hAnsi="Aptos"/>
                <w:sz w:val="20"/>
                <w:szCs w:val="20"/>
              </w:rPr>
              <w:t xml:space="preserve"> is the most common and studied dystonia </w:t>
            </w:r>
            <w:r w:rsidR="002C08A9">
              <w:rPr>
                <w:rFonts w:ascii="Aptos" w:hAnsi="Aptos"/>
                <w:sz w:val="20"/>
                <w:szCs w:val="20"/>
              </w:rPr>
              <w:t xml:space="preserve">gene </w:t>
            </w:r>
            <w:r w:rsidRPr="005500F7">
              <w:rPr>
                <w:rFonts w:ascii="Aptos" w:hAnsi="Aptos"/>
                <w:sz w:val="20"/>
                <w:szCs w:val="20"/>
              </w:rPr>
              <w:t>with autosomal-dominant inheritance.</w:t>
            </w:r>
            <w:r w:rsidRPr="005500F7">
              <w:rPr>
                <w:rFonts w:ascii="Aptos" w:hAnsi="Aptos"/>
                <w:sz w:val="20"/>
                <w:szCs w:val="20"/>
              </w:rPr>
              <w:fldChar w:fldCharType="begin"/>
            </w:r>
            <w:r w:rsidRPr="005500F7">
              <w:rPr>
                <w:rFonts w:ascii="Aptos" w:hAnsi="Aptos"/>
                <w:sz w:val="20"/>
                <w:szCs w:val="20"/>
              </w:rPr>
              <w:instrText xml:space="preserve"> ADDIN ZOTERO_ITEM CSL_CITATION {"citationID":"TErv0ogB","properties":{"formattedCitation":"\\super 77,78\\nosupersub{}","plainCitation":"77,78","noteIndex":0},"citationItems":[{"id":541,"uris":["http://zotero.org/users/local/qbj29eOf/items/VRS6RBXX"],"itemData":{"id":541,"type":"article-journal","container-title":"Nature Genetics","DOI":"10.1038/ng0997-40","ISSN":"1061-4036, 1546-1718","issue":"1","journalAbbreviation":"Nat Genet","language":"en","page":"40-48","source":"DOI.org (Crossref)","title":"The early-onset torsion dystonia gene (DYT1) encodes an ATP-binding protein","volume":"17","author":[{"family":"Ozelius","given":"Laurie J."},{"family":"Hewett","given":"Jeffrey W."},{"family":"Page","given":"Curtis E."},{"family":"Bressman","given":"Susan B."},{"family":"Kramer","given":"Patricia L."},{"family":"Shalish","given":"Christo"},{"family":"De Leon","given":"Deborah"},{"family":"Brin","given":"Mitchell F."},{"family":"Raymond","given":"Deborah"},{"family":"Corey","given":"David P."},{"family":"Fahn","given":"Stanley"},{"family":"Risch","given":"Neil J."},{"family":"Buckler","given":"Alan J."},{"family":"Gusella","given":"James F."},{"family":"Breakefield","given":"Xandra O."}],"issued":{"date-parts":[["1997",9]]}},"label":"page"},{"id":542,"uris":["http://zotero.org/users/local/qbj29eOf/items/6HKI65DJ"],"itemData":{"id":542,"type":"article-journal","container-title":"Advances in Neurology","ISSN":"0091-3952","journalAbbreviation":"Adv Neurol","language":"eng","note":"PMID: 14509661","page":"101-107","source":"PubMed","title":"Dystonia genotypes, phenotypes, and classification","volume":"94","author":[{"family":"Bressman","given":"Susan B."}],"issued":{"date-parts":[["2004"]]}},"label":"page"}],"schema":"https://github.com/citation-style-language/schema/raw/master/csl-citation.json"}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77,78</w:t>
            </w:r>
            <w:r w:rsidRPr="005500F7">
              <w:rPr>
                <w:rFonts w:ascii="Aptos" w:hAnsi="Aptos"/>
                <w:sz w:val="20"/>
                <w:szCs w:val="20"/>
              </w:rPr>
              <w:fldChar w:fldCharType="end"/>
            </w:r>
            <w:r w:rsidRPr="005500F7">
              <w:rPr>
                <w:rFonts w:ascii="Aptos" w:hAnsi="Aptos"/>
                <w:sz w:val="20"/>
                <w:szCs w:val="20"/>
              </w:rPr>
              <w:t xml:space="preserve"> Characteristically, it initially affects the limbs(~60%) as focal dystonia with </w:t>
            </w:r>
            <w:r>
              <w:rPr>
                <w:rFonts w:ascii="Aptos" w:hAnsi="Aptos"/>
                <w:sz w:val="20"/>
                <w:szCs w:val="20"/>
              </w:rPr>
              <w:t>an</w:t>
            </w:r>
            <w:r w:rsidRPr="005500F7">
              <w:rPr>
                <w:rFonts w:ascii="Aptos" w:hAnsi="Aptos"/>
                <w:sz w:val="20"/>
                <w:szCs w:val="20"/>
              </w:rPr>
              <w:t xml:space="preserve"> early onset.</w:t>
            </w:r>
            <w:r w:rsidRPr="005500F7">
              <w:rPr>
                <w:rFonts w:ascii="Aptos" w:hAnsi="Aptos"/>
                <w:sz w:val="20"/>
                <w:szCs w:val="20"/>
              </w:rPr>
              <w:fldChar w:fldCharType="begin"/>
            </w:r>
            <w:r w:rsidRPr="005500F7">
              <w:rPr>
                <w:rFonts w:ascii="Aptos" w:hAnsi="Aptos"/>
                <w:sz w:val="20"/>
                <w:szCs w:val="20"/>
              </w:rPr>
              <w:instrText xml:space="preserve"> ADDIN ZOTERO_ITEM CSL_CITATION {"citationID":"BqWz6elF","properties":{"formattedCitation":"\\super 71,75\\nosupersub{}","plainCitation":"71,75","noteIndex":0},"citationItems":[{"id":532,"uris":["http://zotero.org/users/local/qbj29eOf/items/7DY8AK72"],"itemData":{"id":532,"type":"article-journal","abstract":"ABSTRACT\n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THAP1\n              , DYT</w:instrText>
            </w:r>
            <w:r w:rsidRPr="005500F7">
              <w:rPr>
                <w:rFonts w:ascii="Cambria Math" w:hAnsi="Cambria Math" w:cs="Cambria Math"/>
                <w:sz w:val="20"/>
                <w:szCs w:val="20"/>
              </w:rPr>
              <w:instrText>‐</w:instrText>
            </w:r>
            <w:r w:rsidRPr="005500F7">
              <w:rPr>
                <w:rFonts w:ascii="Aptos" w:hAnsi="Aptos"/>
                <w:sz w:val="20"/>
                <w:szCs w:val="20"/>
              </w:rPr>
              <w:instrText>\n              ANO3\n              , DYT</w:instrText>
            </w:r>
            <w:r w:rsidRPr="005500F7">
              <w:rPr>
                <w:rFonts w:ascii="Cambria Math" w:hAnsi="Cambria Math" w:cs="Cambria Math"/>
                <w:sz w:val="20"/>
                <w:szCs w:val="20"/>
              </w:rPr>
              <w:instrText>‐</w:instrText>
            </w:r>
            <w:r w:rsidRPr="005500F7">
              <w:rPr>
                <w:rFonts w:ascii="Aptos" w:hAnsi="Aptos"/>
                <w:sz w:val="20"/>
                <w:szCs w:val="20"/>
              </w:rPr>
              <w:instrText>\n              PRKRA\n              , and DYT</w:instrText>
            </w:r>
            <w:r w:rsidRPr="005500F7">
              <w:rPr>
                <w:rFonts w:ascii="Cambria Math" w:hAnsi="Cambria Math" w:cs="Cambria Math"/>
                <w:sz w:val="20"/>
                <w:szCs w:val="20"/>
              </w:rPr>
              <w:instrText>‐</w:instrText>
            </w:r>
            <w:r w:rsidRPr="005500F7">
              <w:rPr>
                <w:rFonts w:ascii="Aptos" w:hAnsi="Aptos"/>
                <w:sz w:val="20"/>
                <w:szCs w:val="20"/>
              </w:rPr>
              <w:instrText>\n              HPCA\n              was broader. However, in most DYT</w:instrText>
            </w:r>
            <w:r w:rsidRPr="005500F7">
              <w:rPr>
                <w:rFonts w:ascii="Cambria Math" w:hAnsi="Cambria Math" w:cs="Cambria Math"/>
                <w:sz w:val="20"/>
                <w:szCs w:val="20"/>
              </w:rPr>
              <w:instrText>‐</w:instrText>
            </w:r>
            <w:r w:rsidRPr="005500F7">
              <w:rPr>
                <w:rFonts w:ascii="Aptos" w:hAnsi="Aptos"/>
                <w:sz w:val="20"/>
                <w:szCs w:val="20"/>
              </w:rPr>
              <w:instrText>\n              THAP1\n              and DYT</w:instrText>
            </w:r>
            <w:r w:rsidRPr="005500F7">
              <w:rPr>
                <w:rFonts w:ascii="Cambria Math" w:hAnsi="Cambria Math" w:cs="Cambria Math"/>
                <w:sz w:val="20"/>
                <w:szCs w:val="20"/>
              </w:rPr>
              <w:instrText>‐</w:instrText>
            </w:r>
            <w:r w:rsidRPr="005500F7">
              <w:rPr>
                <w:rFonts w:ascii="Aptos" w:hAnsi="Aptos"/>
                <w:sz w:val="20"/>
                <w:szCs w:val="20"/>
              </w:rPr>
              <w:instrText>\n              ANO3\n              patients, dystonia first manifested in the upper half of the body (upper limb, neck, and craniofacial/laryngeal), whereas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PRKRA\n              and DYT</w:instrText>
            </w:r>
            <w:r w:rsidRPr="005500F7">
              <w:rPr>
                <w:rFonts w:ascii="Cambria Math" w:hAnsi="Cambria Math" w:cs="Cambria Math"/>
                <w:sz w:val="20"/>
                <w:szCs w:val="20"/>
              </w:rPr>
              <w:instrText>‐</w:instrText>
            </w:r>
            <w:r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id":537,"uris":["http://zotero.org/users/local/qbj29eOf/items/PI4KSIAY"],"itemData":{"id":537,"type":"article-journal","container-title":"Neurotherapeutics","DOI":"10.1007/s13311-014-0297-7","ISSN":"1933-7213, 1878-7479","issue":"4","journalAbbreviation":"Neurotherapeutics","language":"en","page":"807-816","source":"DOI.org (Crossref)","title":"Inherited Isolated Dystonia: Clinical Genetics and Gene Function","title-short":"Inherited Isolated Dystonia","volume":"11","author":[{"family":"Dauer","given":"William"}],"issued":{"date-parts":[["2014",10]]}}}],"schema":"https://github.com/citation-style-language/schema/raw/master/csl-citation.json"}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71,75</w:t>
            </w:r>
            <w:r w:rsidRPr="005500F7">
              <w:rPr>
                <w:rFonts w:ascii="Aptos" w:hAnsi="Aptos"/>
                <w:sz w:val="20"/>
                <w:szCs w:val="20"/>
              </w:rPr>
              <w:fldChar w:fldCharType="end"/>
            </w:r>
            <w:r w:rsidRPr="005500F7">
              <w:rPr>
                <w:rFonts w:ascii="Aptos" w:hAnsi="Aptos"/>
                <w:sz w:val="20"/>
                <w:szCs w:val="20"/>
              </w:rPr>
              <w:t xml:space="preserve"> Motor symptoms tend to be generalized while craniofacial or laryngeal involvement is rare.</w:t>
            </w:r>
            <w:r w:rsidRPr="005500F7">
              <w:rPr>
                <w:rFonts w:ascii="Aptos" w:hAnsi="Aptos"/>
                <w:sz w:val="20"/>
                <w:szCs w:val="20"/>
              </w:rPr>
              <w:fldChar w:fldCharType="begin"/>
            </w:r>
            <w:r w:rsidRPr="005500F7">
              <w:rPr>
                <w:rFonts w:ascii="Aptos" w:hAnsi="Aptos"/>
                <w:sz w:val="20"/>
                <w:szCs w:val="20"/>
              </w:rPr>
              <w:instrText xml:space="preserve"> ADDIN ZOTERO_ITEM CSL_CITATION {"citationID":"G3jAfX9x","properties":{"formattedCitation":"\\super 71,79,80\\nosupersub{}","plainCitation":"71,79,80","noteIndex":0},"citationItems":[{"id":532,"uris":["http://zotero.org/users/local/qbj29eOf/items/7DY8AK72"],"itemData":{"id":532,"type":"article-journal","abstract":"ABSTRACT\n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THAP1\n              , DYT</w:instrText>
            </w:r>
            <w:r w:rsidRPr="005500F7">
              <w:rPr>
                <w:rFonts w:ascii="Cambria Math" w:hAnsi="Cambria Math" w:cs="Cambria Math"/>
                <w:sz w:val="20"/>
                <w:szCs w:val="20"/>
              </w:rPr>
              <w:instrText>‐</w:instrText>
            </w:r>
            <w:r w:rsidRPr="005500F7">
              <w:rPr>
                <w:rFonts w:ascii="Aptos" w:hAnsi="Aptos"/>
                <w:sz w:val="20"/>
                <w:szCs w:val="20"/>
              </w:rPr>
              <w:instrText>\n              ANO3\n              , DYT</w:instrText>
            </w:r>
            <w:r w:rsidRPr="005500F7">
              <w:rPr>
                <w:rFonts w:ascii="Cambria Math" w:hAnsi="Cambria Math" w:cs="Cambria Math"/>
                <w:sz w:val="20"/>
                <w:szCs w:val="20"/>
              </w:rPr>
              <w:instrText>‐</w:instrText>
            </w:r>
            <w:r w:rsidRPr="005500F7">
              <w:rPr>
                <w:rFonts w:ascii="Aptos" w:hAnsi="Aptos"/>
                <w:sz w:val="20"/>
                <w:szCs w:val="20"/>
              </w:rPr>
              <w:instrText>\n              PRKRA\n              , and DYT</w:instrText>
            </w:r>
            <w:r w:rsidRPr="005500F7">
              <w:rPr>
                <w:rFonts w:ascii="Cambria Math" w:hAnsi="Cambria Math" w:cs="Cambria Math"/>
                <w:sz w:val="20"/>
                <w:szCs w:val="20"/>
              </w:rPr>
              <w:instrText>‐</w:instrText>
            </w:r>
            <w:r w:rsidRPr="005500F7">
              <w:rPr>
                <w:rFonts w:ascii="Aptos" w:hAnsi="Aptos"/>
                <w:sz w:val="20"/>
                <w:szCs w:val="20"/>
              </w:rPr>
              <w:instrText>\n              HPCA\n              was broader. However, in most DYT</w:instrText>
            </w:r>
            <w:r w:rsidRPr="005500F7">
              <w:rPr>
                <w:rFonts w:ascii="Cambria Math" w:hAnsi="Cambria Math" w:cs="Cambria Math"/>
                <w:sz w:val="20"/>
                <w:szCs w:val="20"/>
              </w:rPr>
              <w:instrText>‐</w:instrText>
            </w:r>
            <w:r w:rsidRPr="005500F7">
              <w:rPr>
                <w:rFonts w:ascii="Aptos" w:hAnsi="Aptos"/>
                <w:sz w:val="20"/>
                <w:szCs w:val="20"/>
              </w:rPr>
              <w:instrText>\n              THAP1\n              and DYT</w:instrText>
            </w:r>
            <w:r w:rsidRPr="005500F7">
              <w:rPr>
                <w:rFonts w:ascii="Cambria Math" w:hAnsi="Cambria Math" w:cs="Cambria Math"/>
                <w:sz w:val="20"/>
                <w:szCs w:val="20"/>
              </w:rPr>
              <w:instrText>‐</w:instrText>
            </w:r>
            <w:r w:rsidRPr="005500F7">
              <w:rPr>
                <w:rFonts w:ascii="Aptos" w:hAnsi="Aptos"/>
                <w:sz w:val="20"/>
                <w:szCs w:val="20"/>
              </w:rPr>
              <w:instrText>\n              ANO3\n              patients, dystonia first manifested in the upper half of the body (upper limb, neck, and craniofacial/laryngeal), whereas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PRKRA\n              and DYT</w:instrText>
            </w:r>
            <w:r w:rsidRPr="005500F7">
              <w:rPr>
                <w:rFonts w:ascii="Cambria Math" w:hAnsi="Cambria Math" w:cs="Cambria Math"/>
                <w:sz w:val="20"/>
                <w:szCs w:val="20"/>
              </w:rPr>
              <w:instrText>‐</w:instrText>
            </w:r>
            <w:r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label":"page"},{"id":544,"uris":["http://zotero.org/users/local/qbj29eOf/items/NEK56I8Y"],"itemData":{"id":544,"type":"article-journal","container-title":"Movement Disorders","DOI":"10.1002/mds.21000","ISSN":"08853185, 15318257","issue":"9","journalAbbreviation":"Mov Disord.","language":"en","page":"1411-1418","source":"DOI.org (Crossref)","title":"Non-DYT1 early-onset primary torsion dystonia: Comparison with DYT1 phenotype and review of the literature","title-short":"Non-DYT1 early-onset primary torsion dystonia","volume":"21","author":[{"family":"Fasano","given":"Alfonso"},{"family":"Nardocci","given":"Nardo"},{"family":"Elia","given":"Antonio Emanuele"},{"family":"Zorzi","given":"Giovanna"},{"family":"Bentivoglio","given":"Anna Rita"},{"family":"Albanese","given":"Alberto"}],"issued":{"date-parts":[["2006",9]]}},"label":"page"},{"id":545,"uris":["http://zotero.org/users/local/qbj29eOf/items/QJ4Q59EG"],"itemData":{"id":545,"type":"article-journal","container-title":"Neurology","DOI":"10.1212/WNL.54.9.1746","ISSN":"0028-3878, 1526-632X","issue":"9","journalAbbreviation":"Neurology","language":"en","page":"1746-1753","source":"DOI.org (Crossref)","title":"The DYT1 phenotype and guidelines for diagnostic testing","volume":"54","author":[{"family":"Bressman","given":"S. B."},{"family":"Sabatti","given":"C."},{"family":"Raymond","given":"D."},{"family":"De Leon","given":"D."},{"family":"Klein","given":"C."},{"family":"Kramer","given":"P. L."},{"family":"Brin","given":"M. F."},{"family":"Fahn","given":"S."},{"family":"Breakefield","given":"X."},{"family":"Ozelius","given":"L. J."},{"family":"Risch","given":"N. J."}],"issued":{"date-parts":[["2000",5,9]]}},"label":"page"}],"schema":"https://github.com/citation-style-language/schema/raw/master/csl-citation.json"}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71,79,80</w:t>
            </w:r>
            <w:r w:rsidRPr="005500F7">
              <w:rPr>
                <w:rFonts w:ascii="Aptos" w:hAnsi="Aptos"/>
                <w:sz w:val="20"/>
                <w:szCs w:val="20"/>
              </w:rPr>
              <w:fldChar w:fldCharType="end"/>
            </w:r>
            <w:r w:rsidRPr="005500F7">
              <w:rPr>
                <w:rFonts w:ascii="Aptos" w:hAnsi="Aptos"/>
                <w:sz w:val="20"/>
                <w:szCs w:val="20"/>
              </w:rPr>
              <w:t xml:space="preserve"> Nonmotor symptoms </w:t>
            </w:r>
            <w:r>
              <w:rPr>
                <w:rFonts w:ascii="Aptos" w:hAnsi="Aptos"/>
                <w:sz w:val="20"/>
                <w:szCs w:val="20"/>
              </w:rPr>
              <w:t xml:space="preserve">are </w:t>
            </w:r>
            <w:r w:rsidRPr="005500F7">
              <w:rPr>
                <w:rFonts w:ascii="Aptos" w:hAnsi="Aptos"/>
                <w:sz w:val="20"/>
                <w:szCs w:val="20"/>
              </w:rPr>
              <w:t>generally not reported (&gt;90% missing).</w:t>
            </w:r>
            <w:r w:rsidRPr="005500F7">
              <w:rPr>
                <w:rFonts w:ascii="Aptos" w:hAnsi="Aptos"/>
                <w:sz w:val="20"/>
                <w:szCs w:val="20"/>
              </w:rPr>
              <w:fldChar w:fldCharType="begin"/>
            </w:r>
            <w:r w:rsidRPr="005500F7">
              <w:rPr>
                <w:rFonts w:ascii="Aptos" w:hAnsi="Aptos"/>
                <w:sz w:val="20"/>
                <w:szCs w:val="20"/>
              </w:rPr>
              <w:instrText xml:space="preserve"> ADDIN ZOTERO_ITEM CSL_CITATION {"citationID":"jcjbORnC","properties":{"formattedCitation":"\\super 71\\nosupersub{}","plainCitation":"71","noteIndex":0},"citationItems":[{"id":532,"uris":["http://zotero.org/users/local/qbj29eOf/items/7DY8AK72"],"itemData":{"id":532,"type":"article-journal","abstract":"ABSTRACT\n            \n              This comprehensive MDSGene review is devoted to 7 genes —\n              TOR1A\n              ,\n              THAP1\n              ,\n              GNAL\n              ,\n              ANO3\n              ,\n              PRKRA\n              ,\n              KMT2B\n              , and\n              HPCA\n              — mutations in which may cause isolated dystonia. It followed MDSGene's standardized data extraction protocol and screened a total of ~1200 citations. Phenotypic and genotypic data on ~1200 patients with 254 different mutations were curated and analyzed. There were differences regarding age at onset, site of onset, and distribution of symptoms across mutation carriers in all 7 genes. Although carriers of\n              TOR1A\n              ,\n              THAP1\n              ,\n              PRKRA\n              ,\n              KMT2B\n              , or\n              HPCA\n              mutations mostly showed childhood and adolescent onset, patients with\n              GNAL\n              and\n              ANO3\n              mutations often developed first symptoms in adulthood.\n              GNAL\n              and\n              KMT2B\n              mutation carriers frequently have 1 predominant site of onset, that is, the neck (\n              GNAL\n              ) or the lower limbs (\n              KMT2B\n              ), whereas site of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THAP1\n              , DYT</w:instrText>
            </w:r>
            <w:r w:rsidRPr="005500F7">
              <w:rPr>
                <w:rFonts w:ascii="Cambria Math" w:hAnsi="Cambria Math" w:cs="Cambria Math"/>
                <w:sz w:val="20"/>
                <w:szCs w:val="20"/>
              </w:rPr>
              <w:instrText>‐</w:instrText>
            </w:r>
            <w:r w:rsidRPr="005500F7">
              <w:rPr>
                <w:rFonts w:ascii="Aptos" w:hAnsi="Aptos"/>
                <w:sz w:val="20"/>
                <w:szCs w:val="20"/>
              </w:rPr>
              <w:instrText>\n              ANO3\n              , DYT</w:instrText>
            </w:r>
            <w:r w:rsidRPr="005500F7">
              <w:rPr>
                <w:rFonts w:ascii="Cambria Math" w:hAnsi="Cambria Math" w:cs="Cambria Math"/>
                <w:sz w:val="20"/>
                <w:szCs w:val="20"/>
              </w:rPr>
              <w:instrText>‐</w:instrText>
            </w:r>
            <w:r w:rsidRPr="005500F7">
              <w:rPr>
                <w:rFonts w:ascii="Aptos" w:hAnsi="Aptos"/>
                <w:sz w:val="20"/>
                <w:szCs w:val="20"/>
              </w:rPr>
              <w:instrText>\n              PRKRA\n              , and DYT</w:instrText>
            </w:r>
            <w:r w:rsidRPr="005500F7">
              <w:rPr>
                <w:rFonts w:ascii="Cambria Math" w:hAnsi="Cambria Math" w:cs="Cambria Math"/>
                <w:sz w:val="20"/>
                <w:szCs w:val="20"/>
              </w:rPr>
              <w:instrText>‐</w:instrText>
            </w:r>
            <w:r w:rsidRPr="005500F7">
              <w:rPr>
                <w:rFonts w:ascii="Aptos" w:hAnsi="Aptos"/>
                <w:sz w:val="20"/>
                <w:szCs w:val="20"/>
              </w:rPr>
              <w:instrText>\n              HPCA\n              was broader. However, in most DYT</w:instrText>
            </w:r>
            <w:r w:rsidRPr="005500F7">
              <w:rPr>
                <w:rFonts w:ascii="Cambria Math" w:hAnsi="Cambria Math" w:cs="Cambria Math"/>
                <w:sz w:val="20"/>
                <w:szCs w:val="20"/>
              </w:rPr>
              <w:instrText>‐</w:instrText>
            </w:r>
            <w:r w:rsidRPr="005500F7">
              <w:rPr>
                <w:rFonts w:ascii="Aptos" w:hAnsi="Aptos"/>
                <w:sz w:val="20"/>
                <w:szCs w:val="20"/>
              </w:rPr>
              <w:instrText>\n              THAP1\n              and DYT</w:instrText>
            </w:r>
            <w:r w:rsidRPr="005500F7">
              <w:rPr>
                <w:rFonts w:ascii="Cambria Math" w:hAnsi="Cambria Math" w:cs="Cambria Math"/>
                <w:sz w:val="20"/>
                <w:szCs w:val="20"/>
              </w:rPr>
              <w:instrText>‐</w:instrText>
            </w:r>
            <w:r w:rsidRPr="005500F7">
              <w:rPr>
                <w:rFonts w:ascii="Aptos" w:hAnsi="Aptos"/>
                <w:sz w:val="20"/>
                <w:szCs w:val="20"/>
              </w:rPr>
              <w:instrText>\n              ANO3\n              patients, dystonia first manifested in the upper half of the body (upper limb, neck, and craniofacial/laryngeal), whereas onset in DYT</w:instrText>
            </w:r>
            <w:r w:rsidRPr="005500F7">
              <w:rPr>
                <w:rFonts w:ascii="Cambria Math" w:hAnsi="Cambria Math" w:cs="Cambria Math"/>
                <w:sz w:val="20"/>
                <w:szCs w:val="20"/>
              </w:rPr>
              <w:instrText>‐</w:instrText>
            </w:r>
            <w:r w:rsidRPr="005500F7">
              <w:rPr>
                <w:rFonts w:ascii="Aptos" w:hAnsi="Aptos"/>
                <w:sz w:val="20"/>
                <w:szCs w:val="20"/>
              </w:rPr>
              <w:instrText>\n              TOR1A\n              , DYT</w:instrText>
            </w:r>
            <w:r w:rsidRPr="005500F7">
              <w:rPr>
                <w:rFonts w:ascii="Cambria Math" w:hAnsi="Cambria Math" w:cs="Cambria Math"/>
                <w:sz w:val="20"/>
                <w:szCs w:val="20"/>
              </w:rPr>
              <w:instrText>‐</w:instrText>
            </w:r>
            <w:r w:rsidRPr="005500F7">
              <w:rPr>
                <w:rFonts w:ascii="Aptos" w:hAnsi="Aptos"/>
                <w:sz w:val="20"/>
                <w:szCs w:val="20"/>
              </w:rPr>
              <w:instrText>\n              PRKRA\n              and DYT</w:instrText>
            </w:r>
            <w:r w:rsidRPr="005500F7">
              <w:rPr>
                <w:rFonts w:ascii="Cambria Math" w:hAnsi="Cambria Math" w:cs="Cambria Math"/>
                <w:sz w:val="20"/>
                <w:szCs w:val="20"/>
              </w:rPr>
              <w:instrText>‐</w:instrText>
            </w:r>
            <w:r w:rsidRPr="005500F7">
              <w:rPr>
                <w:rFonts w:ascii="Aptos" w:hAnsi="Aptos"/>
                <w:sz w:val="20"/>
                <w:szCs w:val="20"/>
              </w:rPr>
              <w:instrText xml:space="preserve">\n              HPCA\n              was frequently observed in an extremity, including both upper and lower ones. For\n              ANO3\n              , a segmental/multifocal distribution was typical, whereas\n              TOR1A\n              ,\n              PRKRA\n              ,\n              KMT2B\n              , and\n              HPCA\n              mutation carriers commonly developed generalized dystonia.\n              THAP1\n              mutation carriers presented with focal, segmental/multifocal, or generalized dystonia in almost equal proportions.\n              GNAL\n              mutation carriers rarely showed generalization. This review provides a comprehensive overview of the current knowledge of hereditary isolated dystonia. The data are also available in an online database (\n              http://www.mdsgene.org\n              ), which additionally offers descriptive summary statistics. © 2021 The Authors.\n              Movement Disorders\n              published by Wiley Periodicals LLC on behalf of International Parkinson and Movement Disorder Society","container-title":"Movement Disorders","DOI":"10.1002/mds.28485","ISSN":"0885-3185, 1531-8257","issue":"5","journalAbbreviation":"Movement Disorders","language":"en","page":"1086-1103","source":"DOI.org (Crossref)","title":"Genotype–Phenotype Relations for Isolated Dystonia Genes: &lt;span style=\"font-variant:small-caps;\"&gt;MDSGene&lt;/span&gt; Systematic Review","title-short":"Genotype–Phenotype Relations for Isolated Dystonia Genes","volume":"36","author":[{"family":"Lange","given":"Lara M."},{"family":"Junker","given":"Johanna"},{"family":"Loens","given":"Sebastian"},{"family":"Baumann","given":"Hauke"},{"family":"Olschewski","given":"Luisa"},{"family":"Schaake","given":"Susen"},{"family":"Madoev","given":"Harutyun"},{"family":"Petkovic","given":"Sonja"},{"family":"Kuhnke","given":"Neele"},{"family":"Kasten","given":"Meike"},{"family":"Westenberger","given":"Ana"},{"family":"Domingo","given":"Aloysius"},{"family":"Marras","given":"Connie"},{"family":"König","given":"Inke R."},{"family":"Camargos","given":"Sarah"},{"family":"Ozelius","given":"Laurie J."},{"family":"Klein","given":"Christine"},{"family":"Lohmann","given":"Katja"}],"issued":{"date-parts":[["2021",5]]}}}],"schema":"https://github.com/citation-style-language/schema/raw/master/csl-citation.json"} </w:instrText>
            </w:r>
            <w:r w:rsidRPr="005500F7">
              <w:rPr>
                <w:rFonts w:ascii="Aptos" w:hAnsi="Aptos"/>
                <w:sz w:val="20"/>
                <w:szCs w:val="20"/>
              </w:rPr>
              <w:fldChar w:fldCharType="separate"/>
            </w:r>
            <w:r w:rsidRPr="005500F7">
              <w:rPr>
                <w:rFonts w:ascii="Aptos" w:hAnsi="Aptos"/>
                <w:sz w:val="20"/>
                <w:szCs w:val="20"/>
                <w:vertAlign w:val="superscript"/>
              </w:rPr>
              <w:t>71</w:t>
            </w:r>
            <w:r w:rsidRPr="005500F7">
              <w:rPr>
                <w:rFonts w:ascii="Aptos" w:hAnsi="Aptos"/>
                <w:sz w:val="20"/>
                <w:szCs w:val="20"/>
              </w:rPr>
              <w:fldChar w:fldCharType="end"/>
            </w:r>
          </w:p>
        </w:tc>
      </w:tr>
      <w:tr w:rsidR="005500F7" w:rsidRPr="005500F7" w14:paraId="7D44C28D" w14:textId="77777777" w:rsidTr="002C08A9">
        <w:trPr>
          <w:trHeight w:val="318"/>
        </w:trPr>
        <w:tc>
          <w:tcPr>
            <w:tcW w:w="593" w:type="pct"/>
            <w:tcBorders>
              <w:top w:val="single" w:sz="4" w:space="0" w:color="auto"/>
              <w:left w:val="nil"/>
              <w:bottom w:val="single" w:sz="12" w:space="0" w:color="auto"/>
              <w:right w:val="nil"/>
            </w:tcBorders>
            <w:shd w:val="clear" w:color="auto" w:fill="auto"/>
            <w:vAlign w:val="center"/>
          </w:tcPr>
          <w:p w14:paraId="4A875C72" w14:textId="1665AFD8" w:rsidR="005500F7" w:rsidRPr="005500F7" w:rsidRDefault="005500F7" w:rsidP="00257457">
            <w:pPr>
              <w:spacing w:after="0" w:line="240" w:lineRule="auto"/>
              <w:rPr>
                <w:rFonts w:ascii="Aptos" w:hAnsi="Aptos"/>
                <w:b/>
                <w:sz w:val="20"/>
                <w:szCs w:val="20"/>
              </w:rPr>
            </w:pPr>
            <w:r w:rsidRPr="005500F7">
              <w:rPr>
                <w:rFonts w:ascii="Aptos" w:hAnsi="Aptos"/>
                <w:b/>
                <w:i/>
                <w:iCs/>
                <w:sz w:val="20"/>
                <w:szCs w:val="20"/>
              </w:rPr>
              <w:t>VPS16</w:t>
            </w:r>
          </w:p>
        </w:tc>
        <w:tc>
          <w:tcPr>
            <w:tcW w:w="4407" w:type="pct"/>
            <w:tcBorders>
              <w:top w:val="single" w:sz="4" w:space="0" w:color="auto"/>
              <w:left w:val="nil"/>
              <w:bottom w:val="single" w:sz="12" w:space="0" w:color="auto"/>
              <w:right w:val="nil"/>
            </w:tcBorders>
            <w:shd w:val="clear" w:color="auto" w:fill="auto"/>
            <w:vAlign w:val="center"/>
          </w:tcPr>
          <w:p w14:paraId="45F258C8" w14:textId="64564720" w:rsidR="005500F7" w:rsidRPr="005500F7" w:rsidRDefault="00264446" w:rsidP="00257457">
            <w:pPr>
              <w:spacing w:after="0" w:line="240" w:lineRule="auto"/>
              <w:jc w:val="center"/>
              <w:rPr>
                <w:rFonts w:ascii="Aptos" w:hAnsi="Aptos"/>
                <w:sz w:val="20"/>
                <w:szCs w:val="20"/>
                <w:lang w:val="en-CA"/>
              </w:rPr>
            </w:pPr>
            <w:r>
              <w:rPr>
                <w:rFonts w:ascii="Aptos" w:hAnsi="Aptos"/>
                <w:sz w:val="20"/>
                <w:szCs w:val="20"/>
              </w:rPr>
              <w:t xml:space="preserve">Variants in </w:t>
            </w:r>
            <w:r w:rsidR="005500F7" w:rsidRPr="005500F7">
              <w:rPr>
                <w:rFonts w:ascii="Aptos" w:hAnsi="Aptos"/>
                <w:i/>
                <w:iCs/>
                <w:sz w:val="20"/>
                <w:szCs w:val="20"/>
              </w:rPr>
              <w:t>VPS16</w:t>
            </w:r>
            <w:r w:rsidR="005500F7" w:rsidRPr="005500F7">
              <w:rPr>
                <w:rFonts w:ascii="Aptos" w:hAnsi="Aptos"/>
                <w:sz w:val="20"/>
                <w:szCs w:val="20"/>
              </w:rPr>
              <w:t xml:space="preserve"> </w:t>
            </w:r>
            <w:r>
              <w:rPr>
                <w:rFonts w:ascii="Aptos" w:hAnsi="Aptos"/>
                <w:sz w:val="20"/>
                <w:szCs w:val="20"/>
              </w:rPr>
              <w:t>cause</w:t>
            </w:r>
            <w:r w:rsidR="005500F7" w:rsidRPr="005500F7">
              <w:rPr>
                <w:rFonts w:ascii="Aptos" w:hAnsi="Aptos"/>
                <w:sz w:val="20"/>
                <w:szCs w:val="20"/>
              </w:rPr>
              <w:t xml:space="preserve"> autosomal-dominant isolated dystonia with early onset</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{"citationID":"8krVahrp","properties":{"formattedCitation":"\\super 1\\nosupersub{}","plainCitation":"1","noteIndex":0},"citationItems":[{"id":230,"uris":["http://zotero.org/users/local/qbj29eOf/items/L3PFVJMX"],"itemData":{"id":230,"type":"article-journal","container-title":"Movement Disorders","DOI":"10.1002/mds.29327","ISSN":"0885-3185, 1531-8257","issue":"3","journalAbbreviation":"Movement Disorders","language":"en","page":"507-508","source":"DOI.org (Crossref)","title":"&lt;span style=\"font-variant:small-caps;\"&gt;MDSGene&lt;/span&gt; : Extending the List of Isolated Dystonia Genes by &lt;span style=\"font-variant:small-caps;\"&gt; &lt;i&gt;VPS16&lt;/i&gt; &lt;/span&gt; , &lt;span style=\"font-variant:small-caps;\"&gt; &lt;i&gt;EIF2AK2&lt;/i&gt; &lt;/span&gt; , and &lt;span style=\"font-variant:small-caps;\"&gt; &lt;i&gt;AOPEP&lt;/i&gt; &lt;/span&gt;","title-short":"&lt;span style=\"font-variant","volume":"38","author":[{"family":"Thomsen","given":"Mirja"},{"family":"Lange","given":"Lara M."},{"family":"Klein","given":"Christine"},{"family":"Lohmann","given":"Katja"}],"issued":{"date-parts":[["2023",3]]}}}],"schema":"https://github.com/citation-style-language/schema/raw/master/csl-citation.json"}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1</w:t>
            </w:r>
            <w:r w:rsidR="005500F7" w:rsidRPr="005500F7">
              <w:rPr>
                <w:rFonts w:ascii="Aptos" w:hAnsi="Aptos"/>
                <w:sz w:val="20"/>
                <w:szCs w:val="20"/>
                <w:lang w:val="en-CA"/>
              </w:rPr>
              <w:fldChar w:fldCharType="end"/>
            </w:r>
            <w:r w:rsidR="005500F7" w:rsidRPr="005500F7">
              <w:rPr>
                <w:rFonts w:ascii="Aptos" w:hAnsi="Aptos"/>
                <w:sz w:val="20"/>
                <w:szCs w:val="20"/>
              </w:rPr>
              <w:t xml:space="preserve"> with initial manifestations mainly cervical dystonia</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{"citationID":"zTKXFUs5","properties":{"formattedCitation":"\\super 81\\uc0\\u8211{}83\\nosupersub{}","plainCitation":"81–83","noteIndex":0},"citationItems":[{"id":319,"uris":["http://zotero.org/users/local/qbj29eOf/items/F37YESSP"],"itemData":{"id":319,"type":"article-journal","container-title":"Annals of Neurology","DOI":"10.1002/ana.25879","ISSN":"0364-5134, 1531-8249","issue":"5","journalAbbreviation":"Ann Neurol","language":"en","page":"867-877","source":"DOI.org (Crossref)","title":"Loss</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of</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Function Variants in &lt;span style=\"font-variant:small-caps;\"&gt;HOPS&lt;/span&gt; Complex Genes &lt;span style=\"font-variant:small-caps;\"&gt; &lt;i&gt;VPS16&lt;/i&gt; &lt;/span&gt; and &lt;span style=\"font-variant:small-caps;\"&gt; &lt;i&gt;VPS41&lt;/i&gt; &lt;/span&gt; Cause Early Onset Dystonia Associated with Lysosomal Abnormalities","title-short":"Loss</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of</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Function Variants in &lt;span style=\"font-variant","volume":"88","author":[{"family":"Steel","given":"Dora"},{"family":"Zech","given":"Michael"},{"family":"Zhao","given":"Chen"},{"family":"Barwick","given":"Katy E. S."},{"family":"Burke","given":"Derek"},{"family":"Demailly","given":"Diane"},{"family":"Kumar","given":"Kishore R."},{"family":"Zorzi","given":"Giovanna"},{"family":"Nardocci","given":"Nardo"},{"family":"Kaiyrzhanov","given":"Rauan"},{"family":"Wagner","given":"Matias"},{"family":"Iuso","given":"Arcangela"},{"family":"Berutti","given":"Riccardo"},{"family":"Škorvánek","given":"Matej"},{"family":"Necpál","given":"Ján"},{"family":"Davis","given":"Ryan"},{"family":"Wiethoff","given":"Sarah"},{"family":"Mankad","given":"Kshitij"},{"family":"Sudhakar","given":"Sniya"},{"family":"Ferrini","given":"Arianna"},{"family":"Sharma","given":"Suvasini"},{"family":"Kamsteeg","given":"Erik</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Jan"},{"family":"Tijssen","given":"Marina A."},{"family":"Verschuuren","given":"Corien"},{"family":"Egmond","given":"Martje E."},{"family":"Flowers","given":"Joanna M."},{"family":"McEntagart","given":"Meriel"},{"family":"Tucci","given":"Arianna"},{"family":"Coubes","given":"Philippe"},{"family":"Bustos","given":"Bernabe I."},{"family":"Gonzalez</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Latapi","given":"Paulina"},{"family":"Tisch","given":"Stephen"},{"family":"Darveniza","given":"Paul"},{"family":"Gorman","given":"Kathleen M."},{"family":"Peall","given":"Kathryn J."},{"family":"Bötzel","given":"Kai"},{"family":"Koch","given":"Jan C."},{"family":"Kmieć","given":"Tomasz"},{"family":"Plecko","given":"Barbara"},{"family":"Boesch","given":"Sylvia"},{"family":"Haslinger","given":"Bernhard"},{"family":"Jech","given":"Robert"},{"family":"Garavaglia","given":"Barbara"},{"family":"Wood","given":"Nick"},{"family":"Houlden","given":"Henry"},{"family":"Gissen","given":"Paul"},{"family":"Lubbe","given":"Steven J."},{"family":"Sue","given":"Carolyn M."},{"family":"Cif","given":"Laura"},{"family":"Mencacci","given":"Niccolò E."},{"family":"Anderson","given":"Glenn"},{"family":"Kurian","given":"Manju A."},{"family":"Winkelmann","given":"Juliane"},{"literal":"Genomics England Research Consortium"}],"issued":{"date-parts":[["2020",11]]}}},{"id":315,"uris":["http://zotero.org/users/local/qbj29eOf/items/STQAA9TH"],"itemData":{"id":315,"type":"article-journal","abstract":"Abstract\n            \n              Dystonia is a neurological movement disorder that is clinically and genetically heterogeneous. Herein, we report the identification a novel homozygous missense mutation, c.156 C</w:instrText>
            </w:r>
            <w:r w:rsidR="005500F7" w:rsidRPr="005500F7">
              <w:rPr>
                <w:rFonts w:ascii="Arial" w:hAnsi="Arial" w:cs="Arial"/>
                <w:sz w:val="20"/>
                <w:szCs w:val="20"/>
              </w:rPr>
              <w:instrText> </w:instrText>
            </w:r>
            <w:r w:rsidR="005500F7" w:rsidRPr="005500F7">
              <w:rPr>
                <w:rFonts w:ascii="Aptos" w:hAnsi="Aptos"/>
                <w:sz w:val="20"/>
                <w:szCs w:val="20"/>
              </w:rPr>
              <w:instrText>&gt;</w:instrText>
            </w:r>
            <w:r w:rsidR="005500F7" w:rsidRPr="005500F7">
              <w:rPr>
                <w:rFonts w:ascii="Arial" w:hAnsi="Arial" w:cs="Arial"/>
                <w:sz w:val="20"/>
                <w:szCs w:val="20"/>
              </w:rPr>
              <w:instrText> </w:instrText>
            </w:r>
            <w:r w:rsidR="005500F7" w:rsidRPr="005500F7">
              <w:rPr>
                <w:rFonts w:ascii="Aptos" w:hAnsi="Aptos"/>
                <w:sz w:val="20"/>
                <w:szCs w:val="20"/>
              </w:rPr>
              <w:instrText>A in\n              VPS16\n              , co-segregating with disease status in a Chinese consanguineous family with adolescent-onset primary dystonia by whole exome sequencing and homozygosity mapping. To assess the biological role of c.156 C</w:instrText>
            </w:r>
            <w:r w:rsidR="005500F7" w:rsidRPr="005500F7">
              <w:rPr>
                <w:rFonts w:ascii="Arial" w:hAnsi="Arial" w:cs="Arial"/>
                <w:sz w:val="20"/>
                <w:szCs w:val="20"/>
              </w:rPr>
              <w:instrText> </w:instrText>
            </w:r>
            <w:r w:rsidR="005500F7" w:rsidRPr="005500F7">
              <w:rPr>
                <w:rFonts w:ascii="Aptos" w:hAnsi="Aptos"/>
                <w:sz w:val="20"/>
                <w:szCs w:val="20"/>
              </w:rPr>
              <w:instrText>&gt;</w:instrText>
            </w:r>
            <w:r w:rsidR="005500F7" w:rsidRPr="005500F7">
              <w:rPr>
                <w:rFonts w:ascii="Arial" w:hAnsi="Arial" w:cs="Arial"/>
                <w:sz w:val="20"/>
                <w:szCs w:val="20"/>
              </w:rPr>
              <w:instrText> </w:instrText>
            </w:r>
            <w:r w:rsidR="005500F7" w:rsidRPr="005500F7">
              <w:rPr>
                <w:rFonts w:ascii="Aptos" w:hAnsi="Aptos"/>
                <w:sz w:val="20"/>
                <w:szCs w:val="20"/>
              </w:rPr>
              <w:instrText>A homozygous mutation of\n              VPS16\n              , we generated mice with targeted mutation site of\n              Vps16\n              through CRISPR-Cas9 genome-editing approach.\n              Vps16\n              c.156 C</w:instrText>
            </w:r>
            <w:r w:rsidR="005500F7" w:rsidRPr="005500F7">
              <w:rPr>
                <w:rFonts w:ascii="Arial" w:hAnsi="Arial" w:cs="Arial"/>
                <w:sz w:val="20"/>
                <w:szCs w:val="20"/>
              </w:rPr>
              <w:instrText> </w:instrText>
            </w:r>
            <w:r w:rsidR="005500F7" w:rsidRPr="005500F7">
              <w:rPr>
                <w:rFonts w:ascii="Aptos" w:hAnsi="Aptos"/>
                <w:sz w:val="20"/>
                <w:szCs w:val="20"/>
              </w:rPr>
              <w:instrText>&gt;</w:instrText>
            </w:r>
            <w:r w:rsidR="005500F7" w:rsidRPr="005500F7">
              <w:rPr>
                <w:rFonts w:ascii="Arial" w:hAnsi="Arial" w:cs="Arial"/>
                <w:sz w:val="20"/>
                <w:szCs w:val="20"/>
              </w:rPr>
              <w:instrText> </w:instrText>
            </w:r>
            <w:r w:rsidR="005500F7" w:rsidRPr="005500F7">
              <w:rPr>
                <w:rFonts w:ascii="Aptos" w:hAnsi="Aptos"/>
                <w:sz w:val="20"/>
                <w:szCs w:val="20"/>
              </w:rPr>
              <w:instrText>A homozygous mutant mice exhibited significantly impaired motor function, suggesting that\n              VPS16\n              is a new causative gene for adolescent-onset primary dystonia.","container-title":"Scientific Reports","DOI":"10.1038/srep25834","ISSN":"2045-2322","issue":"1","journalAbbreviation":"Sci Rep","language":"en","page":"25834","source":"DOI.org (Crossref)","title":"Homozygous mutation of VPS16 gene is responsible for an autosomal recessive adolescent-onset primary dystonia","volume":"6","author":[{"family":"Cai","given":"Xiaodong"},{"family":"Chen","given":"Xin"},{"family":"Wu","given":"Song"},{"family":"Liu","given":"Wenlan"},{"family":"Zhang","given":"Xiejun"},{"family":"Zhang","given":"Doudou"},{"family":"He","given":"Sijie"},{"family":"Wang","given":"Bo"},{"family":"Zhang","given":"Mali"},{"family":"Zhang","given":"Yuan"},{"family":"Li","given":"Zongyang"},{"family":"Luo","given":"Kun"},{"family":"Cai","given":"Zhiming"},{"family":"Li","given":"Weiping"}],"issued":{"date-parts":[["2016",5,12]]}}},{"id":324,"uris":["http://zotero.org/users/local/qbj29eOf/items/I59DU8X8"],"itemData":{"id":324,"type":"article-journal","container-title":"Movement Disorders","DOI":"10.1002/mds.28647","ISSN":"0885-3185, 1531-8257","issue":"8","journalAbbreviation":"Mov Disord","language":"en","page":"1984-1985","source":"DOI.org (Crossref)","title":"A Recurrent &lt;span style=\"font-variant:small-caps;\"&gt; &lt;i&gt;VPS16&lt;/i&gt; &lt;/span&gt; p.Arg187* Nonsense Variant in Early</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 xml:space="preserve">Onset Generalized Dystonia","title-short":"A Recurrent &lt;span style=\"font-variant","volume":"36","author":[{"family":"Ostrozovicova","given":"Miriama"},{"family":"Jech","given":"Robert"},{"family":"Steel","given":"Dora"},{"family":"Pavelekova","given":"Petra"},{"family":"Han","given":"Vladimir"},{"family":"Gdovinova","given":"Zuzana"},{"family":"Lichtner","given":"Peter"},{"family":"Kurian","given":"Manju A."},{"family":"Wiethoff","given":"Sarah"},{"family":"Houlden","given":"Henry"},{"family":"Havránková","given":"Petra"},{"family":"Winkelmann","given":"Julianne"},{"family":"Zech","given":"Michael"},{"family":"Skorvanek","given":"Matej"}],"issued":{"date-parts":[["2021",8]]}}}],"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81–83</w:t>
            </w:r>
            <w:r w:rsidR="005500F7" w:rsidRPr="005500F7">
              <w:rPr>
                <w:rFonts w:ascii="Aptos" w:hAnsi="Aptos"/>
                <w:sz w:val="20"/>
                <w:szCs w:val="20"/>
                <w:lang w:val="en-CA"/>
              </w:rPr>
              <w:fldChar w:fldCharType="end"/>
            </w:r>
            <w:r w:rsidR="005500F7" w:rsidRPr="005500F7">
              <w:rPr>
                <w:rFonts w:ascii="Aptos" w:hAnsi="Aptos"/>
                <w:sz w:val="20"/>
                <w:szCs w:val="20"/>
              </w:rPr>
              <w:t xml:space="preserve"> and writer’s cramp</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{"citationID":"59glYv01","properties":{"formattedCitation":"\\super 81,84\\uc0\\u8211{}90\\nosupersub{}","plainCitation":"81,84–90","noteIndex":0},"citationItems":[{"id":318,"uris":["http://zotero.org/users/local/qbj29eOf/items/3ZSP8UDS"],"itemData":{"id":318,"type":"article-journal","container-title":"Annals of Neurology","DOI":"10.1002/ana.25990","ISSN":"0364-5134, 1531-8249","issue":"3","journalAbbreviation":"Ann Neurol","language":"en","page":"625-626","source":"DOI.org (Crossref)","title":"Truncating &lt;span style=\"font-variant:small-caps;\"&gt; &lt;i&gt;VPS16&lt;/i&gt; &lt;/span&gt; Mutations Are Rare in Early Onset Dystonia","title-short":"Truncating &lt;span style=\"font-variant","volume":"89","author":[{"family":"Pott","given":"Hendrik"},{"family":"Brüggemann","given":"Norbert"},{"family":"Reese","given":"Rene"},{"family":"Zeuner","given":"Kirsten E."},{"family":"Gandor","given":"Florin"},{"family":"Gruber","given":"Doreen"},{"literal":"DysTract Study Group"},{"family":"Klein","given":"Christine"},{"family":"Volkmann","given":"Jens"},{"family":"Lohmann","given":"Katja"}],"issued":{"date-parts":[["2021",3]]}}},{"id":319,"uris":["http://zotero.org/users/local/qbj29eOf/items/F37YESSP"],"itemData":{"id":319,"type":"article-journal","container-title":"Annals of Neurology","DOI":"10.1002/ana.25879","ISSN":"0364-5134, 1531-8249","issue":"5","journalAbbreviation":"Ann Neurol","language":"en","page":"867-877","source":"DOI.org (Crossref)","title":"Loss</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of</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Function Variants in &lt;span style=\"font-variant:small-caps;\"&gt;HOPS&lt;/span&gt; Complex Genes &lt;span style=\"font-variant:small-caps;\"&gt; &lt;i&gt;VPS16&lt;/i&gt; &lt;/span&gt; and &lt;span style=\"font-variant:small-caps;\"&gt; &lt;i&gt;VPS41&lt;/i&gt; &lt;/span&gt; Cause Early Onset Dystonia Associated with Lysosomal Abnormalities","title-short":"Loss</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of</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Function Variants in &lt;span style=\"font-variant","volume":"88","author":[{"family":"Steel","given":"Dora"},{"family":"Zech","given":"Michael"},{"family":"Zhao","given":"Chen"},{"family":"Barwick","given":"Katy E. S."},{"family":"Burke","given":"Derek"},{"family":"Demailly","given":"Diane"},{"family":"Kumar","given":"Kishore R."},{"family":"Zorzi","given":"Giovanna"},{"family":"Nardocci","given":"Nardo"},{"family":"Kaiyrzhanov","given":"Rauan"},{"family":"Wagner","given":"Matias"},{"family":"Iuso","given":"Arcangela"},{"family":"Berutti","given":"Riccardo"},{"family":"Škorvánek","given":"Matej"},{"family":"Necpál","given":"Ján"},{"family":"Davis","given":"Ryan"},{"family":"Wiethoff","given":"Sarah"},{"family":"Mankad","given":"Kshitij"},{"family":"Sudhakar","given":"Sniya"},{"family":"Ferrini","given":"Arianna"},{"family":"Sharma","given":"Suvasini"},{"family":"Kamsteeg","given":"Erik</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Jan"},{"family":"Tijssen","given":"Marina A."},{"family":"Verschuuren","given":"Corien"},{"family":"Egmond","given":"Martje E."},{"family":"Flowers","given":"Joanna M."},{"family":"McEntagart","given":"Meriel"},{"family":"Tucci","given":"Arianna"},{"family":"Coubes","given":"Philippe"},{"family":"Bustos","given":"Bernabe I."},{"family":"Gonzalez</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Latapi","given":"Paulina"},{"family":"Tisch","given":"Stephen"},{"family":"Darveniza","given":"Paul"},{"family":"Gorman","given":"Kathleen M."},{"family":"Peall","given":"Kathryn J."},{"family":"Bötzel","given":"Kai"},{"family":"Koch","given":"Jan C."},{"family":"Kmieć","given":"Tomasz"},{"family":"Plecko","given":"Barbara"},{"family":"Boesch","given":"Sylvia"},{"family":"Haslinger","given":"Bernhard"},{"family":"Jech","given":"Robert"},{"family":"Garavaglia","given":"Barbara"},{"family":"Wood","given":"Nick"},{"family":"Houlden","given":"Henry"},{"family":"Gissen","given":"Paul"},{"family":"Lubbe","given":"Steven J."},{"family":"Sue","given":"Carolyn M."},{"family":"Cif","given":"Laura"},{"family":"Mencacci","given":"Niccolò E."},{"family":"Anderson","given":"Glenn"},{"family":"Kurian","given":"Manju A."},{"family":"Winkelmann","given":"Juliane"},{"literal":"Genomics England Research Consortium"}],"issued":{"date-parts":[["2020",11]]}}},{"id":325,"uris":["http://zotero.org/users/local/qbj29eOf/items/DW57K9P3"],"itemData":{"id":325,"type":"article-journal","container-title":"Movement Disorders Clinical Practice","DOI":"10.1002/mdc3.13392","ISSN":"2330-1619, 2330-1619","issue":"4","journalAbbreviation":"Movement Disord Clin Pract","language":"en","page":"551-552","source":"DOI.org (Crossref)","title":"De Novo Missense Mutation of &lt;span style=\"font-variant:small-caps;\"&gt; &lt;i&gt;VPS16&lt;/i&gt; &lt;/span&gt; in a Chinese Patient with Generalized Dystonia with Myoclonus","title-short":"De Novo Missense Mutation of &lt;span style=\"font-variant","volume":"9","author":[{"family":"Gu","given":"Xiaojing"},{"family":"Lin","given":"Junyu"},{"family":"Hou","given":"Yanbing"},{"family":"Zhang","given":"Lingyu"},{"family":"Shang","given":"Huifang"}],"issued":{"date-parts":[["2022",5]]}},"label":"page"},{"id":322,"uris":["http://zotero.org/users/local/qbj29eOf/items/24PQBPBR"],"itemData":{"id":322,"type":"article-journal","container-title":"Parkinsonism &amp; Related Disorders","DOI":"10.1016/j.parkreldis.2020.12.014","ISSN":"13538020","journalAbbreviation":"Parkinsonism &amp; Related Disorders","language":"en","page":"63-65","source":"DOI.org (Crossref)","title":"Mutation screening of VPS16 gene in patients with isolated dystonia","volume":"83","author":[{"family":"Li","given":"Li-Xi"},{"family":"Jiang","given":"Li-Ting"},{"family":"Liu","given":"Ying"},{"family":"Zhang","given":"Xiao-Long"},{"family":"Pan","given":"You-Gui"},{"family":"Pan","given":"Li-Zhen"},{"family":"Nie","given":"Zhi-Yu"},{"family":"Wan","given":"Xin-Hua"},{"family":"Jin","given":"Ling-Jing"}],"issued":{"date-parts":[["2021",2]]}}},{"id":323,"uris":["http://zotero.org/users/local/qbj29eOf/items/SDL7IK7Z"],"itemData":{"id":323,"type":"article-journal","container-title":"Movement Disorders","DOI":"10.1002/mds.28540","ISSN":"0885-3185, 1531-8257","issue":"3","journalAbbreviation":"Mov Disord","language":"en","page":"780-781","source":"DOI.org (Crossref)","title":"Mutations in the &lt;span style=\"font-variant:small-caps;\"&gt; &lt;i&gt;VPS16&lt;/i&gt; &lt;/span&gt; Gene in 56 &lt;span style=\"font-variant:small-caps;\"&gt;Early</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Onset&lt;/span&gt; Dystonia Patients","title-short":"Mutations in the &lt;span style=\"font-variant","volume":"36","author":[{"family":"Li","given":"Xin</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yao"},{"family":"Wang","given":"Lin"},{"family":"Guo","given":"Yi"},{"family":"Wan","given":"Xin</w:instrText>
            </w:r>
            <w:r w:rsidR="005500F7" w:rsidRPr="005500F7">
              <w:rPr>
                <w:rFonts w:ascii="Cambria Math" w:hAnsi="Cambria Math" w:cs="Cambria Math"/>
                <w:sz w:val="20"/>
                <w:szCs w:val="20"/>
              </w:rPr>
              <w:instrText>‐</w:instrText>
            </w:r>
            <w:r w:rsidR="005500F7" w:rsidRPr="005500F7">
              <w:rPr>
                <w:rFonts w:ascii="Aptos" w:hAnsi="Aptos"/>
                <w:sz w:val="20"/>
                <w:szCs w:val="20"/>
              </w:rPr>
              <w:instrText xml:space="preserve">hua"}],"issued":{"date-parts":[["2021",3]]}}},{"id":327,"uris":["http://zotero.org/users/local/qbj29eOf/items/H69DR4IT"],"itemData":{"id":327,"type":"article-journal","abstract":"Background and Objectives\n              \n                Our objective was to improve rare variant interpretation using statistical measures as well as publicly accessible annotation of expression levels and tissue specificity of different splice isoforms. We describe rare\n                VPS16\n                variants observed in patients with dystonia and patients without dystonia, elaborate on our interpretation of\n                VPS16\n                variants affecting different transcripts, and provide detailed clinical description of the movement disorder caused by\n                VPS16\n                variants.\n              \n            \n            \n              Methods\n              \n                In-house exome and genome data sets (n = 11,539) were screened for rare heterozygous missense and putative loss-of-function (pLoF) variants in\n                VPS16\n                . Using pext (proportion expressed across transcripts) values from the Genome Aggregation Database (gnomAD), we differentiated variants affecting weakly and highly expressed exons/transcripts and applied statistical measures to systematically identify disease-associated genetic variation among patients with dystonia (n = 280).\n              \n            \n            \n              Results\n              \n                Six different heterozygous pLoFs in\n                VPS16\n                transcripts were identified in 13 individuals. Three of these pLoFs occurred in 9 individuals with different phenotypes, and 3 pLoFs were identified in 4 unrelated individuals with early-onset dystonia. Although pLoFs were enriched in the dystonia cohort (n = 280;\n                p\n                = 2.04 × 10\n                </w:instrText>
            </w:r>
            <w:r w:rsidR="005500F7" w:rsidRPr="005500F7">
              <w:rPr>
                <w:rFonts w:ascii="Aptos" w:hAnsi="Aptos" w:cs="Arial"/>
                <w:sz w:val="20"/>
                <w:szCs w:val="20"/>
              </w:rPr>
              <w:instrText>−</w:instrText>
            </w:r>
            <w:r w:rsidR="005500F7" w:rsidRPr="005500F7">
              <w:rPr>
                <w:rFonts w:ascii="Aptos" w:hAnsi="Aptos"/>
                <w:sz w:val="20"/>
                <w:szCs w:val="20"/>
              </w:rPr>
              <w:instrText xml:space="preserve">4\n                ; 4/280 cases vs 9/11,259 controls; Fisher exact test), it was not exome-wide significant. According to the pext values in gnomAD, all 3 pLoFs observed in the patients with dystonia were located in the highly expressed canonical transcript ENST00000380445.3, whereas 2 of 3 pLoFs detected in 8 individuals without dystonia were located in the first exon of the noncanonical transcript ENST00000380443.3 that is weakly expressed across all tissues. Taking these biological implications into account, pLoFs involving the canonical transcript were exome-wide significantly enriched in patients with dystonia (\n                p\n                = 1.67 × 10\n                </w:instrText>
            </w:r>
            <w:r w:rsidR="005500F7" w:rsidRPr="005500F7">
              <w:rPr>
                <w:rFonts w:ascii="Aptos" w:hAnsi="Aptos" w:cs="Arial"/>
                <w:sz w:val="20"/>
                <w:szCs w:val="20"/>
              </w:rPr>
              <w:instrText>−</w:instrText>
            </w:r>
            <w:r w:rsidR="005500F7" w:rsidRPr="005500F7">
              <w:rPr>
                <w:rFonts w:ascii="Aptos" w:hAnsi="Aptos"/>
                <w:sz w:val="20"/>
                <w:szCs w:val="20"/>
              </w:rPr>
              <w:instrText xml:space="preserve">6\n                ; 4/280 cases vs 1/11,259 controls; Fisher exact test). All\n                VPS16\n                patients showed mild progressive dystonia with writer's cramp as the presenting symptom between age 7 and 34 years (mean 20 years) that often progressed to generalized dystonia and was even accompanied by hyperkinetic movements and myoclonus in 1 patient.\n              \n            \n            \n              Discussion\n              \n                Our data provide strong evidence for\n                VPS16\n                pLoFs to be implicated in dystonia and knowledge on exon resolution expression levels as well as statistical measures proved to be useful for variant interpretation.","container-title":"Neurology Genetics","DOI":"10.1212/NXG.0000000000000644","ISSN":"2376-7839","issue":"1","journalAbbreviation":"Neurol Genet","language":"en","page":"e644","source":"DOI.org (Crossref)","title":"Transcript-Specific Loss-of-Function Variants in &lt;i&gt;VPS16&lt;/i&gt; Are Enriched in Patients With Dystonia","volume":"8","author":[{"family":"Park","given":"Joohyun"},{"family":"Reilaender","given":"Annemarie"},{"family":"Petry-Schmelzer","given":"Jan N."},{"family":"Stöbe","given":"Petra"},{"family":"Cordts","given":"Isabell"},{"family":"Harmuth","given":"Florian"},{"family":"Rautenberg","given":"Maren"},{"family":"Woerz","given":"Sarah E."},{"family":"Demidov","given":"German"},{"family":"Sturm","given":"Marc"},{"family":"Ossowski","given":"Stephan"},{"family":"Schwaibold","given":"Eva M.C."},{"family":"Wunderlich","given":"Gilbert"},{"family":"Paus","given":"Sebastian"},{"family":"Saft","given":"Carsten"},{"family":"Haack","given":"Tobias B."}],"issued":{"date-parts":[["2022",2]]}},"label":"page"},{"id":329,"uris":["http://zotero.org/users/local/qbj29eOf/items/AFF4A84E"],"itemData":{"id":329,"type":"article-journal","container-title":"Neurological Research and Practice","DOI":"10.1186/s42466-022-00185-w","ISSN":"2524-3489","issue":"1","journalAbbreviation":"Neurol. Res. Pract.","language":"en","page":"21","source":"DOI.org (Crossref)","title":"Long-term benefit of pallidal deep brain stimulation in a patient with VPS16-associated dystonia","volume":"4","author":[{"family":"Petry-Schmelzer","given":"Jan Niklas"},{"family":"Park","given":"Joohyun"},{"family":"Haack","given":"Tobias B."},{"family":"Visser-Vandewalle","given":"Veerle"},{"family":"Barbe","given":"Michael T."},{"family":"Wunderlich","given":"Gilbert"}],"issued":{"date-parts":[["2022",12]]}}},{"id":331,"uris":["http://zotero.org/users/local/qbj29eOf/items/6WAV9S3G"],"itemData":{"id":331,"type":"article-journal","container-title":"neurogenetics","DOI":"10.1007/s10048-023-00720-0","ISSN":"1364-6753","journalAbbreviation":"Neurogenetics","language":"en","source":"DOI.org (Crossref)","title":"Aberrant Splicing Caused by a Novel VPS16 Variant Linked to Dystonia Type 30","URL":"https://link.springer.com/10.1007/s10048-023-00720-0","author":[{"family":"Santos","given":"Mariana"},{"family":"Massano","given":"João"},{"family":"Lopes","given":"Alexandra Manuel"},{"family":"Brandão","given":"Ana Filipa"},{"family":"Freixo","given":"João Parente"},{"family":"Oliveira","given":"Jorge"}],"accessed":{"date-parts":[["2023",7,7]]},"issued":{"date-parts":[["2023",5,24]]}}}],"schema":"https://github.com/citation-style-language/schema/raw/master/csl-citation.json"}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81,84–90</w:t>
            </w:r>
            <w:r w:rsidR="005500F7" w:rsidRPr="005500F7">
              <w:rPr>
                <w:rFonts w:ascii="Aptos" w:hAnsi="Aptos"/>
                <w:sz w:val="20"/>
                <w:szCs w:val="20"/>
                <w:lang w:val="en-CA"/>
              </w:rPr>
              <w:fldChar w:fldCharType="end"/>
            </w:r>
            <w:r w:rsidR="005500F7" w:rsidRPr="005500F7">
              <w:rPr>
                <w:rFonts w:ascii="Aptos" w:hAnsi="Aptos"/>
                <w:sz w:val="20"/>
                <w:szCs w:val="20"/>
              </w:rPr>
              <w:t>. In VPS16 carriers, symptoms vary, with most progressing to generalized dystonia and approximately 20% maintaining focal or multifocal symptoms.</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{"citationID":"QeNZx4A1","properties":{"formattedCitation":"\\super 1\\nosupersub{}","plainCitation":"1","noteIndex":0},"citationItems":[{"id":230,"uris":["http://zotero.org/users/local/qbj29eOf/items/L3PFVJMX"],"itemData":{"id":230,"type":"article-journal","container-title":"Movement Disorders","DOI":"10.1002/mds.29327","ISSN":"0885-3185, 1531-8257","issue":"3","journalAbbreviation":"Movement Disorders","language":"en","page":"507-508","source":"DOI.org (Crossref)","title":"&lt;span style=\"font-variant:small-caps;\"&gt;MDSGene&lt;/span&gt; : Extending the List of Isolated Dystonia Genes by &lt;span style=\"font-variant:small-caps;\"&gt; &lt;i&gt;VPS16&lt;/i&gt; &lt;/span&gt; , &lt;span style=\"font-variant:small-caps;\"&gt; &lt;i&gt;EIF2AK2&lt;/i&gt; &lt;/span&gt; , and &lt;span style=\"font-variant:small-caps;\"&gt; &lt;i&gt;AOPEP&lt;/i&gt; &lt;/span&gt;","title-short":"&lt;span style=\"font-variant","volume":"38","author":[{"family":"Thomsen","given":"Mirja"},{"family":"Lange","given":"Lara M."},{"family":"Klein","given":"Christine"},{"family":"Lohmann","given":"Katja"}],"issued":{"date-parts":[["2023",3]]}}}],"schema":"https://github.com/citation-style-language/schema/raw/master/csl-citation.json"}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1</w:t>
            </w:r>
            <w:r w:rsidR="005500F7" w:rsidRPr="005500F7">
              <w:rPr>
                <w:rFonts w:ascii="Aptos" w:hAnsi="Aptos"/>
                <w:sz w:val="20"/>
                <w:szCs w:val="20"/>
                <w:lang w:val="en-CA"/>
              </w:rPr>
              <w:fldChar w:fldCharType="end"/>
            </w:r>
            <w:r w:rsidR="005500F7" w:rsidRPr="005500F7">
              <w:rPr>
                <w:rFonts w:ascii="Aptos" w:hAnsi="Aptos"/>
                <w:sz w:val="20"/>
                <w:szCs w:val="20"/>
              </w:rPr>
              <w:t xml:space="preserve"> Additionally, intellectual disabilities and neuropsychiatric conditions can emerge for patients (~20% and ~30%, respectively).</w:t>
            </w:r>
            <w:r w:rsidR="005500F7" w:rsidRPr="005500F7">
              <w:rPr>
                <w:rFonts w:ascii="Aptos" w:hAnsi="Aptos"/>
                <w:sz w:val="20"/>
                <w:szCs w:val="20"/>
                <w:lang w:val="en-CA"/>
              </w:rPr>
              <w:fldChar w:fldCharType="begin"/>
            </w:r>
            <w:r w:rsidR="005500F7" w:rsidRPr="005500F7">
              <w:rPr>
                <w:rFonts w:ascii="Aptos" w:hAnsi="Aptos"/>
                <w:sz w:val="20"/>
                <w:szCs w:val="20"/>
              </w:rPr>
              <w:instrText xml:space="preserve"> ADDIN ZOTERO_ITEM CSL_CITATION {"citationID":"aymBmgaV","properties":{"formattedCitation":"\\super 88,89\\nosupersub{}","plainCitation":"88,89","noteIndex":0},"citationItems":[{"id":327,"uris":["http://zotero.org/users/local/qbj29eOf/items/H69DR4IT"],"itemData":{"id":327,"type":"article-journal","abstract":"Background and Objectives\n              \n                Our objective was to improve rare variant interpretation using statistical measures as well as publicly accessible annotation of expression levels and tissue specificity of different splice isoforms. We describe rare\n                VPS16\n                variants observed in patients with dystonia and patients without dystonia, elaborate on our interpretation of\n                VPS16\n                variants affecting different transcripts, and provide detailed clinical description of the movement disorder caused by\n                VPS16\n                variants.\n              \n            \n            \n              Methods\n              \n                In-house exome and genome data sets (n = 11,539) were screened for rare heterozygous missense and putative loss-of-function (pLoF) variants in\n                VPS16\n                . Using pext (proportion expressed across transcripts) values from the Genome Aggregation Database (gnomAD), we differentiated variants affecting weakly and highly expressed exons/transcripts and applied statistical measures to systematically identify disease-associated genetic variation among patients with dystonia (n = 280).\n              \n            \n            \n              Results\n              \n                Six different heterozygous pLoFs in\n                VPS16\n                transcripts were identified in 13 individuals. Three of these pLoFs occurred in 9 individuals with different phenotypes, and 3 pLoFs were identified in 4 unrelated individuals with early-onset dystonia. Although pLoFs were enriched in the dystonia cohort (n = 280;\n                p\n                = 2.04 × 10\n                </w:instrText>
            </w:r>
            <w:r w:rsidR="005500F7" w:rsidRPr="005500F7">
              <w:rPr>
                <w:rFonts w:ascii="Aptos" w:hAnsi="Aptos" w:cs="Arial"/>
                <w:sz w:val="20"/>
                <w:szCs w:val="20"/>
              </w:rPr>
              <w:instrText>−</w:instrText>
            </w:r>
            <w:r w:rsidR="005500F7" w:rsidRPr="005500F7">
              <w:rPr>
                <w:rFonts w:ascii="Aptos" w:hAnsi="Aptos"/>
                <w:sz w:val="20"/>
                <w:szCs w:val="20"/>
              </w:rPr>
              <w:instrText xml:space="preserve">4\n                ; 4/280 cases vs 9/11,259 controls; Fisher exact test), it was not exome-wide significant. According to the pext values in gnomAD, all 3 pLoFs observed in the patients with dystonia were located in the highly expressed canonical transcript ENST00000380445.3, whereas 2 of 3 pLoFs detected in 8 individuals without dystonia were located in the first exon of the noncanonical transcript ENST00000380443.3 that is weakly expressed across all tissues. Taking these biological implications into account, pLoFs involving the canonical transcript were exome-wide significantly enriched in patients with dystonia (\n                p\n                = 1.67 × 10\n                </w:instrText>
            </w:r>
            <w:r w:rsidR="005500F7" w:rsidRPr="005500F7">
              <w:rPr>
                <w:rFonts w:ascii="Aptos" w:hAnsi="Aptos" w:cs="Arial"/>
                <w:sz w:val="20"/>
                <w:szCs w:val="20"/>
              </w:rPr>
              <w:instrText>−</w:instrText>
            </w:r>
            <w:r w:rsidR="005500F7" w:rsidRPr="005500F7">
              <w:rPr>
                <w:rFonts w:ascii="Aptos" w:hAnsi="Aptos"/>
                <w:sz w:val="20"/>
                <w:szCs w:val="20"/>
              </w:rPr>
              <w:instrText xml:space="preserve">6\n                ; 4/280 cases vs 1/11,259 controls; Fisher exact test). All\n                VPS16\n                patients showed mild progressive dystonia with writer's cramp as the presenting symptom between age 7 and 34 years (mean 20 years) that often progressed to generalized dystonia and was even accompanied by hyperkinetic movements and myoclonus in 1 patient.\n              \n            \n            \n              Discussion\n              \n                Our data provide strong evidence for\n                VPS16\n                pLoFs to be implicated in dystonia and knowledge on exon resolution expression levels as well as statistical measures proved to be useful for variant interpretation.","container-title":"Neurology Genetics","DOI":"10.1212/NXG.0000000000000644","ISSN":"2376-7839","issue":"1","journalAbbreviation":"Neurol Genet","language":"en","page":"e644","source":"DOI.org (Crossref)","title":"Transcript-Specific Loss-of-Function Variants in &lt;i&gt;VPS16&lt;/i&gt; Are Enriched in Patients With Dystonia","volume":"8","author":[{"family":"Park","given":"Joohyun"},{"family":"Reilaender","given":"Annemarie"},{"family":"Petry-Schmelzer","given":"Jan N."},{"family":"Stöbe","given":"Petra"},{"family":"Cordts","given":"Isabell"},{"family":"Harmuth","given":"Florian"},{"family":"Rautenberg","given":"Maren"},{"family":"Woerz","given":"Sarah E."},{"family":"Demidov","given":"German"},{"family":"Sturm","given":"Marc"},{"family":"Ossowski","given":"Stephan"},{"family":"Schwaibold","given":"Eva M.C."},{"family":"Wunderlich","given":"Gilbert"},{"family":"Paus","given":"Sebastian"},{"family":"Saft","given":"Carsten"},{"family":"Haack","given":"Tobias B."}],"issued":{"date-parts":[["2022",2]]}}},{"id":329,"uris":["http://zotero.org/users/local/qbj29eOf/items/AFF4A84E"],"itemData":{"id":329,"type":"article-journal","container-title":"Neurological Research and Practice","DOI":"10.1186/s42466-022-00185-w","ISSN":"2524-3489","issue":"1","journalAbbreviation":"Neurol. Res. Pract.","language":"en","page":"21","source":"DOI.org (Crossref)","title":"Long-term benefit of pallidal deep brain stimulation in a patient with VPS16-associated dystonia","volume":"4","author":[{"family":"Petry-Schmelzer","given":"Jan Niklas"},{"family":"Park","given":"Joohyun"},{"family":"Haack","given":"Tobias B."},{"family":"Visser-Vandewalle","given":"Veerle"},{"family":"Barbe","given":"Michael T."},{"family":"Wunderlich","given":"Gilbert"}],"issued":{"date-parts":[["2022",12]]}}}],"schema":"https://github.com/citation-style-language/schema/raw/master/csl-citation.json"} </w:instrText>
            </w:r>
            <w:r w:rsidR="005500F7" w:rsidRPr="005500F7">
              <w:rPr>
                <w:rFonts w:ascii="Aptos" w:hAnsi="Aptos"/>
                <w:sz w:val="20"/>
                <w:szCs w:val="20"/>
                <w:lang w:val="en-CA"/>
              </w:rPr>
              <w:fldChar w:fldCharType="separate"/>
            </w:r>
            <w:r w:rsidR="005500F7" w:rsidRPr="005500F7">
              <w:rPr>
                <w:rFonts w:ascii="Aptos" w:hAnsi="Aptos"/>
                <w:sz w:val="20"/>
                <w:szCs w:val="20"/>
                <w:vertAlign w:val="superscript"/>
              </w:rPr>
              <w:t>88,89</w:t>
            </w:r>
            <w:r w:rsidR="005500F7" w:rsidRPr="005500F7">
              <w:rPr>
                <w:rFonts w:ascii="Aptos" w:hAnsi="Aptos"/>
                <w:sz w:val="20"/>
                <w:szCs w:val="20"/>
                <w:lang w:val="en-CA"/>
              </w:rPr>
              <w:fldChar w:fldCharType="end"/>
            </w:r>
            <w:r w:rsidR="005500F7" w:rsidRPr="005500F7">
              <w:rPr>
                <w:rFonts w:ascii="Aptos" w:hAnsi="Aptos"/>
                <w:sz w:val="20"/>
                <w:szCs w:val="20"/>
              </w:rPr>
              <w:t xml:space="preserve"> </w:t>
            </w:r>
          </w:p>
        </w:tc>
      </w:tr>
    </w:tbl>
    <w:p w14:paraId="7E4016EE" w14:textId="2D501787" w:rsidR="00673634" w:rsidRPr="005500F7" w:rsidRDefault="00357A56" w:rsidP="00F40199">
      <w:pPr>
        <w:jc w:val="both"/>
        <w:rPr>
          <w:rFonts w:ascii="Aptos" w:hAnsi="Aptos"/>
          <w:sz w:val="20"/>
          <w:szCs w:val="20"/>
        </w:rPr>
      </w:pPr>
      <w:r w:rsidRPr="005500F7">
        <w:rPr>
          <w:rFonts w:ascii="Aptos" w:hAnsi="Aptos"/>
          <w:b/>
          <w:bCs/>
          <w:sz w:val="20"/>
          <w:szCs w:val="20"/>
        </w:rPr>
        <w:lastRenderedPageBreak/>
        <w:t xml:space="preserve">Supplementary Table </w:t>
      </w:r>
      <w:r w:rsidR="00705731">
        <w:rPr>
          <w:rFonts w:ascii="Aptos" w:hAnsi="Aptos"/>
          <w:b/>
          <w:bCs/>
          <w:sz w:val="20"/>
          <w:szCs w:val="20"/>
        </w:rPr>
        <w:t>2.</w:t>
      </w:r>
      <w:r w:rsidRPr="005500F7">
        <w:rPr>
          <w:rFonts w:ascii="Aptos" w:hAnsi="Aptos"/>
          <w:b/>
          <w:bCs/>
          <w:sz w:val="20"/>
          <w:szCs w:val="20"/>
        </w:rPr>
        <w:t xml:space="preserve"> </w:t>
      </w:r>
      <w:r w:rsidR="00923F18">
        <w:rPr>
          <w:rFonts w:ascii="Aptos" w:hAnsi="Aptos"/>
          <w:b/>
          <w:bCs/>
          <w:sz w:val="20"/>
          <w:szCs w:val="20"/>
        </w:rPr>
        <w:t>Clinical</w:t>
      </w:r>
      <w:r w:rsidR="00923F18" w:rsidRPr="005500F7">
        <w:rPr>
          <w:rFonts w:ascii="Aptos" w:hAnsi="Aptos"/>
          <w:b/>
          <w:bCs/>
          <w:sz w:val="20"/>
          <w:szCs w:val="20"/>
        </w:rPr>
        <w:t xml:space="preserve"> </w:t>
      </w:r>
      <w:r w:rsidRPr="005500F7">
        <w:rPr>
          <w:rFonts w:ascii="Aptos" w:hAnsi="Aptos"/>
          <w:b/>
          <w:bCs/>
          <w:sz w:val="20"/>
          <w:szCs w:val="20"/>
        </w:rPr>
        <w:t>profile of the studied population</w:t>
      </w:r>
      <w:r w:rsidR="00F40199">
        <w:rPr>
          <w:rFonts w:ascii="Aptos" w:hAnsi="Aptos"/>
          <w:b/>
          <w:bCs/>
          <w:sz w:val="20"/>
          <w:szCs w:val="20"/>
        </w:rPr>
        <w:t xml:space="preserve">. </w:t>
      </w:r>
    </w:p>
    <w:tbl>
      <w:tblPr>
        <w:tblStyle w:val="ListTable2"/>
        <w:tblW w:w="9322" w:type="dxa"/>
        <w:tblLook w:val="04A0" w:firstRow="1" w:lastRow="0" w:firstColumn="1" w:lastColumn="0" w:noHBand="0" w:noVBand="1"/>
      </w:tblPr>
      <w:tblGrid>
        <w:gridCol w:w="1216"/>
        <w:gridCol w:w="908"/>
        <w:gridCol w:w="2946"/>
        <w:gridCol w:w="2487"/>
        <w:gridCol w:w="1765"/>
      </w:tblGrid>
      <w:tr w:rsidR="00EA3FE2" w:rsidRPr="005500F7" w14:paraId="2CE1DE88" w14:textId="771C9D49" w:rsidTr="003C106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6" w:type="dxa"/>
            <w:tcBorders>
              <w:top w:val="nil"/>
              <w:bottom w:val="single" w:sz="12" w:space="0" w:color="auto"/>
            </w:tcBorders>
            <w:vAlign w:val="bottom"/>
          </w:tcPr>
          <w:p w14:paraId="2F3B5A3C" w14:textId="73D2E98B" w:rsidR="00EA3FE2" w:rsidRPr="005500F7" w:rsidRDefault="00EA3FE2" w:rsidP="00EA3FE2">
            <w:pPr>
              <w:pStyle w:val="NoSpacing"/>
              <w:ind w:firstLine="0"/>
              <w:jc w:val="center"/>
              <w:rPr>
                <w:rFonts w:ascii="Aptos" w:hAnsi="Aptos" w:cs="Times New Roman"/>
                <w:bCs w:val="0"/>
                <w:sz w:val="20"/>
                <w:szCs w:val="20"/>
              </w:rPr>
            </w:pPr>
            <w:r w:rsidRPr="005500F7">
              <w:rPr>
                <w:rFonts w:ascii="Aptos" w:hAnsi="Aptos" w:cs="Times New Roman"/>
                <w:bCs w:val="0"/>
                <w:sz w:val="20"/>
                <w:szCs w:val="20"/>
              </w:rPr>
              <w:t>Patient ID</w:t>
            </w:r>
          </w:p>
        </w:tc>
        <w:tc>
          <w:tcPr>
            <w:tcW w:w="0" w:type="dxa"/>
            <w:tcBorders>
              <w:top w:val="nil"/>
              <w:bottom w:val="single" w:sz="12" w:space="0" w:color="auto"/>
            </w:tcBorders>
            <w:vAlign w:val="bottom"/>
          </w:tcPr>
          <w:p w14:paraId="13018D9C" w14:textId="561A6304" w:rsidR="00EA3FE2" w:rsidRPr="005500F7" w:rsidRDefault="00EA3FE2" w:rsidP="00EA3FE2">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Cs w:val="0"/>
                <w:sz w:val="20"/>
                <w:szCs w:val="20"/>
              </w:rPr>
            </w:pPr>
            <w:r w:rsidRPr="005500F7">
              <w:rPr>
                <w:rFonts w:ascii="Aptos" w:hAnsi="Aptos" w:cs="Times New Roman"/>
                <w:bCs w:val="0"/>
                <w:sz w:val="20"/>
                <w:szCs w:val="20"/>
              </w:rPr>
              <w:t>Gene</w:t>
            </w:r>
          </w:p>
        </w:tc>
        <w:tc>
          <w:tcPr>
            <w:tcW w:w="2946" w:type="dxa"/>
            <w:tcBorders>
              <w:top w:val="nil"/>
              <w:bottom w:val="single" w:sz="12" w:space="0" w:color="auto"/>
            </w:tcBorders>
            <w:vAlign w:val="bottom"/>
          </w:tcPr>
          <w:p w14:paraId="0BEDB079" w14:textId="77777777" w:rsidR="00EA3FE2" w:rsidRPr="00165B14" w:rsidRDefault="00EA3FE2" w:rsidP="00977CE2">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sz w:val="18"/>
                <w:szCs w:val="18"/>
              </w:rPr>
            </w:pPr>
          </w:p>
          <w:p w14:paraId="4F8096AA" w14:textId="3897C9B4" w:rsidR="00EA3FE2" w:rsidRPr="005500F7" w:rsidRDefault="00EA3FE2" w:rsidP="003C106F">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sz w:val="20"/>
                <w:szCs w:val="20"/>
              </w:rPr>
            </w:pPr>
            <w:r w:rsidRPr="00165B14">
              <w:rPr>
                <w:rFonts w:ascii="Aptos" w:hAnsi="Aptos" w:cs="Times New Roman"/>
                <w:sz w:val="18"/>
                <w:szCs w:val="18"/>
              </w:rPr>
              <w:t>Clinical Phenotype</w:t>
            </w:r>
          </w:p>
        </w:tc>
        <w:tc>
          <w:tcPr>
            <w:tcW w:w="2487" w:type="dxa"/>
            <w:tcBorders>
              <w:top w:val="nil"/>
              <w:bottom w:val="single" w:sz="12" w:space="0" w:color="auto"/>
            </w:tcBorders>
            <w:vAlign w:val="bottom"/>
          </w:tcPr>
          <w:p w14:paraId="3221DDA0" w14:textId="77777777" w:rsidR="00EA3FE2" w:rsidRPr="00165B14" w:rsidRDefault="00EA3FE2" w:rsidP="00977CE2">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sz w:val="18"/>
                <w:szCs w:val="18"/>
              </w:rPr>
            </w:pPr>
          </w:p>
          <w:p w14:paraId="18D7E110" w14:textId="752ECEDA" w:rsidR="00EA3FE2" w:rsidRPr="005500F7" w:rsidRDefault="00EA3FE2" w:rsidP="003C106F">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Cs w:val="0"/>
                <w:sz w:val="20"/>
                <w:szCs w:val="20"/>
              </w:rPr>
            </w:pPr>
            <w:r w:rsidRPr="00165B14">
              <w:rPr>
                <w:rFonts w:ascii="Aptos" w:hAnsi="Aptos" w:cs="Times New Roman"/>
                <w:sz w:val="18"/>
                <w:szCs w:val="18"/>
              </w:rPr>
              <w:t>Famil</w:t>
            </w:r>
            <w:r>
              <w:rPr>
                <w:rFonts w:ascii="Aptos" w:hAnsi="Aptos" w:cs="Times New Roman"/>
                <w:sz w:val="18"/>
                <w:szCs w:val="18"/>
              </w:rPr>
              <w:t>iarity</w:t>
            </w:r>
            <w:r w:rsidR="00977CE2">
              <w:rPr>
                <w:rFonts w:ascii="Aptos" w:hAnsi="Aptos" w:cs="Times New Roman"/>
                <w:sz w:val="18"/>
                <w:szCs w:val="18"/>
              </w:rPr>
              <w:t>/</w:t>
            </w:r>
            <w:r>
              <w:rPr>
                <w:rFonts w:ascii="Aptos" w:hAnsi="Aptos" w:cs="Times New Roman"/>
                <w:sz w:val="18"/>
                <w:szCs w:val="18"/>
              </w:rPr>
              <w:t>Segregation</w:t>
            </w:r>
            <w:r w:rsidR="00977CE2">
              <w:rPr>
                <w:rFonts w:ascii="Aptos" w:hAnsi="Aptos" w:cs="Times New Roman"/>
                <w:sz w:val="18"/>
                <w:szCs w:val="18"/>
              </w:rPr>
              <w:t xml:space="preserve"> </w:t>
            </w:r>
            <w:r>
              <w:rPr>
                <w:rFonts w:ascii="Aptos" w:hAnsi="Aptos" w:cs="Times New Roman"/>
                <w:sz w:val="18"/>
                <w:szCs w:val="18"/>
              </w:rPr>
              <w:t>Analysis</w:t>
            </w:r>
          </w:p>
        </w:tc>
        <w:tc>
          <w:tcPr>
            <w:tcW w:w="1765" w:type="dxa"/>
            <w:tcBorders>
              <w:top w:val="nil"/>
              <w:bottom w:val="single" w:sz="12" w:space="0" w:color="auto"/>
            </w:tcBorders>
            <w:vAlign w:val="bottom"/>
          </w:tcPr>
          <w:p w14:paraId="1FCAF3E1" w14:textId="23C2B81A" w:rsidR="00EA3FE2" w:rsidRPr="005500F7" w:rsidRDefault="00EA3FE2" w:rsidP="00EA3FE2">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sz w:val="20"/>
                <w:szCs w:val="20"/>
              </w:rPr>
            </w:pPr>
            <w:r w:rsidRPr="005500F7">
              <w:rPr>
                <w:rFonts w:ascii="Aptos" w:hAnsi="Aptos" w:cs="Times New Roman"/>
                <w:bCs w:val="0"/>
                <w:sz w:val="20"/>
                <w:szCs w:val="20"/>
              </w:rPr>
              <w:t>Patient Reference</w:t>
            </w:r>
          </w:p>
        </w:tc>
      </w:tr>
      <w:tr w:rsidR="00923F18" w:rsidRPr="0062618B" w14:paraId="68C2189A" w14:textId="74BD9E49" w:rsidTr="003C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Borders>
              <w:top w:val="single" w:sz="12" w:space="0" w:color="auto"/>
            </w:tcBorders>
            <w:shd w:val="clear" w:color="auto" w:fill="FFFFFF" w:themeFill="background1"/>
            <w:vAlign w:val="center"/>
          </w:tcPr>
          <w:p w14:paraId="3EA5F6AA" w14:textId="74A3714E"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sidR="00024572">
              <w:rPr>
                <w:rFonts w:ascii="Aptos" w:hAnsi="Aptos"/>
                <w:b w:val="0"/>
                <w:bCs w:val="0"/>
                <w:sz w:val="20"/>
                <w:szCs w:val="20"/>
              </w:rPr>
              <w:t>1</w:t>
            </w:r>
          </w:p>
        </w:tc>
        <w:tc>
          <w:tcPr>
            <w:tcW w:w="908" w:type="dxa"/>
            <w:tcBorders>
              <w:top w:val="single" w:sz="12" w:space="0" w:color="auto"/>
            </w:tcBorders>
            <w:shd w:val="clear" w:color="auto" w:fill="FFFFFF" w:themeFill="background1"/>
            <w:vAlign w:val="center"/>
          </w:tcPr>
          <w:p w14:paraId="7FF4BC62" w14:textId="5CC10502"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i/>
                <w:iCs/>
                <w:sz w:val="20"/>
                <w:szCs w:val="20"/>
              </w:rPr>
            </w:pPr>
            <w:r w:rsidRPr="00264446">
              <w:rPr>
                <w:rFonts w:ascii="Aptos" w:hAnsi="Aptos"/>
                <w:i/>
                <w:iCs/>
                <w:sz w:val="20"/>
                <w:szCs w:val="20"/>
              </w:rPr>
              <w:t>VPS16</w:t>
            </w:r>
          </w:p>
        </w:tc>
        <w:tc>
          <w:tcPr>
            <w:tcW w:w="2946" w:type="dxa"/>
            <w:tcBorders>
              <w:top w:val="single" w:sz="12" w:space="0" w:color="auto"/>
            </w:tcBorders>
            <w:shd w:val="clear" w:color="auto" w:fill="FFFFFF" w:themeFill="background1"/>
            <w:vAlign w:val="center"/>
          </w:tcPr>
          <w:p w14:paraId="6AEBF9A1" w14:textId="26991B52"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G</w:t>
            </w:r>
            <w:r w:rsidRPr="00E7119C">
              <w:rPr>
                <w:rFonts w:ascii="Aptos" w:hAnsi="Aptos"/>
                <w:sz w:val="18"/>
                <w:szCs w:val="18"/>
              </w:rPr>
              <w:t>eneralized tremulous dystonia with prominent laryngeal, oromandibular</w:t>
            </w:r>
            <w:r>
              <w:rPr>
                <w:rFonts w:ascii="Aptos" w:hAnsi="Aptos"/>
                <w:sz w:val="18"/>
                <w:szCs w:val="18"/>
              </w:rPr>
              <w:t>,</w:t>
            </w:r>
            <w:r w:rsidRPr="00E7119C">
              <w:rPr>
                <w:rFonts w:ascii="Aptos" w:hAnsi="Aptos"/>
                <w:sz w:val="18"/>
                <w:szCs w:val="18"/>
              </w:rPr>
              <w:t xml:space="preserve"> and appendicular involvement (right&gt;left)</w:t>
            </w:r>
            <w:r>
              <w:rPr>
                <w:rFonts w:ascii="Aptos" w:hAnsi="Aptos"/>
                <w:sz w:val="18"/>
                <w:szCs w:val="18"/>
              </w:rPr>
              <w:t>;</w:t>
            </w:r>
            <w:r w:rsidRPr="00E7119C">
              <w:rPr>
                <w:rFonts w:ascii="Aptos" w:hAnsi="Aptos"/>
                <w:sz w:val="18"/>
                <w:szCs w:val="18"/>
              </w:rPr>
              <w:t xml:space="preserve"> writer’s cramp</w:t>
            </w:r>
          </w:p>
        </w:tc>
        <w:tc>
          <w:tcPr>
            <w:tcW w:w="2487" w:type="dxa"/>
            <w:tcBorders>
              <w:top w:val="single" w:sz="12" w:space="0" w:color="auto"/>
            </w:tcBorders>
            <w:shd w:val="clear" w:color="auto" w:fill="FFFFFF" w:themeFill="background1"/>
            <w:vAlign w:val="center"/>
          </w:tcPr>
          <w:p w14:paraId="4CF81281"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79D48368" w14:textId="5AB9CEBC"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Not available segregation analysis</w:t>
            </w:r>
          </w:p>
        </w:tc>
        <w:tc>
          <w:tcPr>
            <w:tcW w:w="1765" w:type="dxa"/>
            <w:tcBorders>
              <w:top w:val="single" w:sz="12" w:space="0" w:color="auto"/>
            </w:tcBorders>
            <w:shd w:val="clear" w:color="auto" w:fill="FFFFFF" w:themeFill="background1"/>
            <w:vAlign w:val="center"/>
          </w:tcPr>
          <w:p w14:paraId="696C3CC3" w14:textId="54983323" w:rsidR="00923F18" w:rsidRPr="003C106F"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en-US"/>
              </w:rPr>
            </w:pPr>
            <w:r w:rsidRPr="002A77AE">
              <w:rPr>
                <w:rFonts w:ascii="Aptos" w:hAnsi="Aptos"/>
                <w:sz w:val="20"/>
                <w:szCs w:val="20"/>
                <w:lang w:val="en-US"/>
              </w:rPr>
              <w:t>Monfrini et al.</w:t>
            </w:r>
            <w:r w:rsidRPr="005500F7">
              <w:rPr>
                <w:rFonts w:ascii="Aptos" w:hAnsi="Aptos"/>
                <w:sz w:val="20"/>
                <w:szCs w:val="20"/>
                <w:lang w:val="it-IT"/>
              </w:rPr>
              <w:fldChar w:fldCharType="begin"/>
            </w:r>
            <w:r w:rsidRPr="002A77AE">
              <w:rPr>
                <w:rFonts w:ascii="Aptos" w:hAnsi="Aptos"/>
                <w:sz w:val="20"/>
                <w:szCs w:val="20"/>
                <w:lang w:val="en-US"/>
              </w:rPr>
              <w:instrText xml:space="preserve"> ADDIN ZOTERO_ITEM CSL_CITATION {"citationID":"KV4oPnjg","properties":{"formattedCitation":"\\super 91\\nosupersub{}","plainCitation":"91","noteIndex":0},"citationItems":[{"id":650,"uris":["http://zotero.org/users/local/qbj29eOf/items/KLUM9FGW"],"itemData":{"id":650,"type":"article-journal","abstract":"Abstract\n            \n              Background\n              \n                VPS16\n                pathogenic variants have been recently associated with inherited dystonia. Most patients affected by dominant VPS16</w:instrText>
            </w:r>
            <w:r w:rsidRPr="002A77AE">
              <w:rPr>
                <w:rFonts w:ascii="Cambria Math" w:hAnsi="Cambria Math" w:cs="Cambria Math"/>
                <w:sz w:val="20"/>
                <w:szCs w:val="20"/>
                <w:lang w:val="en-US"/>
              </w:rPr>
              <w:instrText>‐</w:instrText>
            </w:r>
            <w:r w:rsidRPr="002A77AE">
              <w:rPr>
                <w:rFonts w:ascii="Aptos" w:hAnsi="Aptos"/>
                <w:sz w:val="20"/>
                <w:szCs w:val="20"/>
                <w:lang w:val="en-US"/>
              </w:rPr>
              <w:instrText>related disease display early</w:instrText>
            </w:r>
            <w:r w:rsidRPr="002A77AE">
              <w:rPr>
                <w:rFonts w:ascii="Cambria Math" w:hAnsi="Cambria Math" w:cs="Cambria Math"/>
                <w:sz w:val="20"/>
                <w:szCs w:val="20"/>
                <w:lang w:val="en-US"/>
              </w:rPr>
              <w:instrText>‐</w:instrText>
            </w:r>
            <w:r w:rsidRPr="002A77AE">
              <w:rPr>
                <w:rFonts w:ascii="Aptos" w:hAnsi="Aptos"/>
                <w:sz w:val="20"/>
                <w:szCs w:val="20"/>
                <w:lang w:val="en-US"/>
              </w:rPr>
              <w:instrText>onset isolated dystonia with prominent oromandibular, bulbar, cervical, and upper limb involvement, followed by slowly progressive generalization.\n              \n            \n            \n              Cases\n              \n                We describe six newly reported dystonic patients carrying\n                VPS16\n                mutations disp</w:instrText>
            </w:r>
            <w:r w:rsidRPr="003C106F">
              <w:rPr>
                <w:rFonts w:ascii="Aptos" w:hAnsi="Aptos"/>
                <w:sz w:val="20"/>
                <w:szCs w:val="20"/>
                <w:lang w:val="it-IT"/>
              </w:rPr>
              <w:instrText>laying unusual phenotypic features in addition to dystonia, such as myoclonus, choreoathetosis, pharyngospasm and freezing of gait. Response to bilateral Globus Pallidus Internus Deep Br</w:instrText>
            </w:r>
            <w:r w:rsidRPr="00315BE5">
              <w:rPr>
                <w:rFonts w:ascii="Aptos" w:hAnsi="Aptos"/>
                <w:sz w:val="20"/>
                <w:szCs w:val="20"/>
                <w:lang w:val="it-IT"/>
              </w:rPr>
              <w:instrText>ain Stimulation (GPi</w:instrText>
            </w:r>
            <w:r w:rsidRPr="00315BE5">
              <w:rPr>
                <w:rFonts w:ascii="Cambria Math" w:hAnsi="Cambria Math" w:cs="Cambria Math"/>
                <w:sz w:val="20"/>
                <w:szCs w:val="20"/>
                <w:lang w:val="it-IT"/>
              </w:rPr>
              <w:instrText>‐</w:instrText>
            </w:r>
            <w:r w:rsidRPr="00315BE5">
              <w:rPr>
                <w:rFonts w:ascii="Aptos" w:hAnsi="Aptos"/>
                <w:sz w:val="20"/>
                <w:szCs w:val="20"/>
                <w:lang w:val="it-IT"/>
              </w:rPr>
              <w:instrText>DBS) is reported in</w:instrText>
            </w:r>
            <w:r w:rsidRPr="00F40199">
              <w:rPr>
                <w:rFonts w:ascii="Aptos" w:hAnsi="Aptos"/>
                <w:sz w:val="20"/>
                <w:szCs w:val="20"/>
                <w:lang w:val="it-IT"/>
              </w:rPr>
              <w:instrText xml:space="preserve"> three of them, associated with significant improvement of dystonia but only minor effect on other hyperkinetic movements. Moreover, five novel pathogenic/likely pathogenic variants are described.\n              \n            \n            \n              Conclusions\n              \n                This case collection expands the genetic and clinical spectrum of\n                VPS16\n                </w:instrText>
            </w:r>
            <w:r w:rsidRPr="00F40199">
              <w:rPr>
                <w:rFonts w:ascii="Cambria Math" w:hAnsi="Cambria Math" w:cs="Cambria Math"/>
                <w:sz w:val="20"/>
                <w:szCs w:val="20"/>
                <w:lang w:val="it-IT"/>
              </w:rPr>
              <w:instrText>‐</w:instrText>
            </w:r>
            <w:r w:rsidRPr="00F40199">
              <w:rPr>
                <w:rFonts w:ascii="Aptos" w:hAnsi="Aptos"/>
                <w:sz w:val="20"/>
                <w:szCs w:val="20"/>
                <w:lang w:val="it-IT"/>
              </w:rPr>
              <w:instrText xml:space="preserve">related disease, prompting movement disorder specialists to suspect mutations </w:instrText>
            </w:r>
            <w:r w:rsidRPr="003C106F">
              <w:rPr>
                <w:rFonts w:ascii="Aptos" w:hAnsi="Aptos"/>
                <w:sz w:val="20"/>
                <w:szCs w:val="20"/>
                <w:lang w:val="en-US"/>
              </w:rPr>
              <w:instrText xml:space="preserve">of this gene not only in patients with isolated dystonia.","container-title":"Movement Disorders Clinical Practice","DOI":"10.1002/mdc3.13927","ISSN":"2330-1619, 2330-1619","issue":"1","journalAbbreviation":"Movement Disord Clin Pract","language":"en","page":"87-93","source":"DOI.org (Crossref)","title":"Dominant &lt;span style=\"font-variant:small-caps;\"&gt; &lt;i&gt;VPS16&lt;/i&gt; &lt;/span&gt; Pathogenic Variants: Not Only Isolated Dystonia","title-short":"Dominant &lt;span style=\"font-variant","volume":"11","author":[{"family":"Monfrini","given":"Edoardo"},{"family":"Avanzino","given":"Laura"},{"family":"Palermo","given":"Giovanni"},{"family":"Bonato","given":"Giulia"},{"family":"Brescia","given":"Gloria"},{"family":"Ceravolo","given":"Roberto"},{"family":"Cantarella","given":"Giovanna"},{"family":"Mandich","given":"Paola"},{"family":"Prokisch","given":"Holger"},{"family":"Storm Van'S Gravesande","given":"Karin"},{"family":"Straccia","given":"Giulia"},{"family":"Elia","given":"Antonio"},{"family":"Reale","given":"Chiara"},{"family":"Panteghini","given":"Celeste"},{"family":"Zorzi","given":"Giovanna"},{"family":"Eleopra","given":"Roberto"},{"family":"Erro","given":"Roberto"},{"family":"Carecchio","given":"Miryam"},{"family":"Garavaglia","given":"Barbara"},{"family":"Zech","given":"Michael"},{"family":"Romito","given":"Luigi"},{"family":"Di Fonzo","given":"Alessio"}],"issued":{"date-parts":[["2024",1]]}}}],"schema":"https://github.com/citation-style-language/schema/raw/master/csl-citation.json"} </w:instrText>
            </w:r>
            <w:r w:rsidRPr="005500F7">
              <w:rPr>
                <w:rFonts w:ascii="Aptos" w:hAnsi="Aptos"/>
                <w:sz w:val="20"/>
                <w:szCs w:val="20"/>
                <w:lang w:val="it-IT"/>
              </w:rPr>
              <w:fldChar w:fldCharType="separate"/>
            </w:r>
            <w:r w:rsidRPr="003C106F">
              <w:rPr>
                <w:rFonts w:ascii="Aptos" w:hAnsi="Aptos" w:cs="Times New Roman"/>
                <w:sz w:val="20"/>
                <w:szCs w:val="20"/>
                <w:vertAlign w:val="superscript"/>
                <w:lang w:val="en-US"/>
              </w:rPr>
              <w:t>91</w:t>
            </w:r>
            <w:r w:rsidRPr="005500F7">
              <w:rPr>
                <w:rFonts w:ascii="Aptos" w:hAnsi="Aptos"/>
                <w:sz w:val="20"/>
                <w:szCs w:val="20"/>
                <w:lang w:val="it-IT"/>
              </w:rPr>
              <w:fldChar w:fldCharType="end"/>
            </w:r>
          </w:p>
          <w:p w14:paraId="296E4F3B" w14:textId="2877F878" w:rsidR="00923F18" w:rsidRPr="003C106F"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lang w:val="en-US"/>
              </w:rPr>
            </w:pPr>
            <w:r w:rsidRPr="003C106F">
              <w:rPr>
                <w:rFonts w:ascii="Aptos" w:hAnsi="Aptos"/>
                <w:sz w:val="20"/>
                <w:szCs w:val="20"/>
                <w:lang w:val="en-US"/>
              </w:rPr>
              <w:t>(Patient E)</w:t>
            </w:r>
          </w:p>
        </w:tc>
      </w:tr>
      <w:tr w:rsidR="00923F18" w:rsidRPr="0062618B" w14:paraId="77F73EE6" w14:textId="07E255E4" w:rsidTr="003C106F">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7936B478" w14:textId="253CFA1C" w:rsidR="00923F18" w:rsidRPr="00FF4210" w:rsidRDefault="00923F18" w:rsidP="00923F18">
            <w:pPr>
              <w:pStyle w:val="NoSpacing"/>
              <w:ind w:firstLine="0"/>
              <w:jc w:val="center"/>
              <w:rPr>
                <w:rFonts w:ascii="Aptos" w:hAnsi="Aptos" w:cs="Times New Roman"/>
                <w:b w:val="0"/>
                <w:bCs w:val="0"/>
                <w:sz w:val="20"/>
                <w:szCs w:val="20"/>
                <w:lang w:val="en-US"/>
              </w:rPr>
            </w:pPr>
            <w:r w:rsidRPr="00FF4210">
              <w:rPr>
                <w:rFonts w:ascii="Aptos" w:hAnsi="Aptos"/>
                <w:b w:val="0"/>
                <w:bCs w:val="0"/>
                <w:sz w:val="20"/>
                <w:szCs w:val="20"/>
                <w:lang w:val="en-US"/>
              </w:rPr>
              <w:t>Pat</w:t>
            </w:r>
            <w:r w:rsidR="00A22151">
              <w:rPr>
                <w:rFonts w:ascii="Aptos" w:hAnsi="Aptos"/>
                <w:b w:val="0"/>
                <w:bCs w:val="0"/>
                <w:sz w:val="20"/>
                <w:szCs w:val="20"/>
                <w:lang w:val="en-US"/>
              </w:rPr>
              <w:t>2</w:t>
            </w:r>
          </w:p>
        </w:tc>
        <w:tc>
          <w:tcPr>
            <w:tcW w:w="908" w:type="dxa"/>
            <w:shd w:val="clear" w:color="auto" w:fill="FFFFFF" w:themeFill="background1"/>
            <w:vAlign w:val="center"/>
          </w:tcPr>
          <w:p w14:paraId="42B64858" w14:textId="73EA1649" w:rsidR="00923F18" w:rsidRPr="00FF421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i/>
                <w:iCs/>
                <w:sz w:val="20"/>
                <w:szCs w:val="20"/>
                <w:lang w:val="en-US"/>
              </w:rPr>
            </w:pPr>
            <w:r w:rsidRPr="00FF4210">
              <w:rPr>
                <w:rFonts w:ascii="Aptos" w:hAnsi="Aptos"/>
                <w:i/>
                <w:iCs/>
                <w:sz w:val="20"/>
                <w:szCs w:val="20"/>
                <w:lang w:val="en-US"/>
              </w:rPr>
              <w:t>VPS16</w:t>
            </w:r>
          </w:p>
        </w:tc>
        <w:tc>
          <w:tcPr>
            <w:tcW w:w="2946" w:type="dxa"/>
            <w:shd w:val="clear" w:color="auto" w:fill="FFFFFF" w:themeFill="background1"/>
            <w:vAlign w:val="center"/>
          </w:tcPr>
          <w:p w14:paraId="66022F68" w14:textId="586F3164" w:rsidR="00923F18" w:rsidRPr="00FF421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S</w:t>
            </w:r>
            <w:r w:rsidRPr="00E7119C">
              <w:rPr>
                <w:rFonts w:ascii="Aptos" w:hAnsi="Aptos"/>
                <w:sz w:val="18"/>
                <w:szCs w:val="18"/>
              </w:rPr>
              <w:t>peech-induced oromandibular dystonia, right upper limb jerky dystonia</w:t>
            </w:r>
            <w:r>
              <w:rPr>
                <w:rFonts w:ascii="Aptos" w:hAnsi="Aptos"/>
                <w:sz w:val="18"/>
                <w:szCs w:val="18"/>
              </w:rPr>
              <w:t>,</w:t>
            </w:r>
            <w:r w:rsidRPr="00E7119C">
              <w:rPr>
                <w:rFonts w:ascii="Aptos" w:hAnsi="Aptos"/>
                <w:sz w:val="18"/>
                <w:szCs w:val="18"/>
              </w:rPr>
              <w:t xml:space="preserve"> and writer’s cramp; mild right torticollis</w:t>
            </w:r>
          </w:p>
        </w:tc>
        <w:tc>
          <w:tcPr>
            <w:tcW w:w="2487" w:type="dxa"/>
            <w:shd w:val="clear" w:color="auto" w:fill="FFFFFF" w:themeFill="background1"/>
            <w:vAlign w:val="center"/>
          </w:tcPr>
          <w:p w14:paraId="3DE7ECA2"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7CE1A802" w14:textId="3CC69FDF" w:rsidR="00923F18" w:rsidRPr="00FF421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Not available segregation analysis</w:t>
            </w:r>
          </w:p>
        </w:tc>
        <w:tc>
          <w:tcPr>
            <w:tcW w:w="1765" w:type="dxa"/>
            <w:shd w:val="clear" w:color="auto" w:fill="FFFFFF" w:themeFill="background1"/>
            <w:vAlign w:val="center"/>
          </w:tcPr>
          <w:p w14:paraId="5DD81080" w14:textId="6E3EA235" w:rsidR="00923F18" w:rsidRPr="002A77AE"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lang w:val="en-US"/>
              </w:rPr>
            </w:pPr>
            <w:r w:rsidRPr="002A77AE">
              <w:rPr>
                <w:rFonts w:ascii="Aptos" w:hAnsi="Aptos"/>
                <w:sz w:val="20"/>
                <w:szCs w:val="20"/>
                <w:lang w:val="en-US"/>
              </w:rPr>
              <w:t>Monfrini et al.</w:t>
            </w:r>
            <w:r w:rsidRPr="005500F7">
              <w:rPr>
                <w:rFonts w:ascii="Aptos" w:hAnsi="Aptos"/>
                <w:sz w:val="20"/>
                <w:szCs w:val="20"/>
                <w:lang w:val="it-IT"/>
              </w:rPr>
              <w:fldChar w:fldCharType="begin"/>
            </w:r>
            <w:r w:rsidRPr="002A77AE">
              <w:rPr>
                <w:rFonts w:ascii="Aptos" w:hAnsi="Aptos"/>
                <w:sz w:val="20"/>
                <w:szCs w:val="20"/>
                <w:lang w:val="en-US"/>
              </w:rPr>
              <w:instrText xml:space="preserve"> ADDIN ZOTERO_ITEM CSL_CITATION {"citationID":"Z3xGvc6k","properties":{"formattedCitation":"\\super 91\\nosupersub{}","plainCitation":"91","noteIndex":0},"citationItems":[{"id":650,"uris":["http://zotero.org/users/local/qbj29eOf/items/KLUM9FGW"],"itemData":{"id":650,"type":"article-journal","abstract":"Abstract\n            \n              Background\n              \n                VPS16\n                pathogenic variants have been recently associated with inherited dystonia. Most patients affected by dominant VPS16</w:instrText>
            </w:r>
            <w:r w:rsidRPr="002A77AE">
              <w:rPr>
                <w:rFonts w:ascii="Cambria Math" w:hAnsi="Cambria Math" w:cs="Cambria Math"/>
                <w:sz w:val="20"/>
                <w:szCs w:val="20"/>
                <w:lang w:val="en-US"/>
              </w:rPr>
              <w:instrText>‐</w:instrText>
            </w:r>
            <w:r w:rsidRPr="002A77AE">
              <w:rPr>
                <w:rFonts w:ascii="Aptos" w:hAnsi="Aptos"/>
                <w:sz w:val="20"/>
                <w:szCs w:val="20"/>
                <w:lang w:val="en-US"/>
              </w:rPr>
              <w:instrText>related disease display early</w:instrText>
            </w:r>
            <w:r w:rsidRPr="002A77AE">
              <w:rPr>
                <w:rFonts w:ascii="Cambria Math" w:hAnsi="Cambria Math" w:cs="Cambria Math"/>
                <w:sz w:val="20"/>
                <w:szCs w:val="20"/>
                <w:lang w:val="en-US"/>
              </w:rPr>
              <w:instrText>‐</w:instrText>
            </w:r>
            <w:r w:rsidRPr="002A77AE">
              <w:rPr>
                <w:rFonts w:ascii="Aptos" w:hAnsi="Aptos"/>
                <w:sz w:val="20"/>
                <w:szCs w:val="20"/>
                <w:lang w:val="en-US"/>
              </w:rPr>
              <w:instrText>onset isolated dystonia with prominent oromandibular, bulbar, cervical, and upper limb involvement, followed by slowly progressive generalization.\n              \n            \n            \n              Cases\n              \n                We describe six newly reported dystonic patients carrying\n                VPS16\n                mutations displaying unusual phenotypic features in addition to dystonia, such as myoclonus, choreoathetosis, pharyngospasm and freezing of gait. Response to bilateral Globus Pallidus Internus Deep Brain Stimulation (GPi</w:instrText>
            </w:r>
            <w:r w:rsidRPr="002A77AE">
              <w:rPr>
                <w:rFonts w:ascii="Cambria Math" w:hAnsi="Cambria Math" w:cs="Cambria Math"/>
                <w:sz w:val="20"/>
                <w:szCs w:val="20"/>
                <w:lang w:val="en-US"/>
              </w:rPr>
              <w:instrText>‐</w:instrText>
            </w:r>
            <w:r w:rsidRPr="002A77AE">
              <w:rPr>
                <w:rFonts w:ascii="Aptos" w:hAnsi="Aptos"/>
                <w:sz w:val="20"/>
                <w:szCs w:val="20"/>
                <w:lang w:val="en-US"/>
              </w:rPr>
              <w:instrText>DBS) is reported in three of them, associated with significant improvement of dystonia but only minor effect on other hyperkinetic moveme</w:instrText>
            </w:r>
            <w:r w:rsidRPr="003C106F">
              <w:rPr>
                <w:rFonts w:ascii="Aptos" w:hAnsi="Aptos"/>
                <w:sz w:val="20"/>
                <w:szCs w:val="20"/>
                <w:lang w:val="it-IT"/>
              </w:rPr>
              <w:instrText xml:space="preserve">nts. Moreover, five novel pathogenic/likely pathogenic variants are described.\n              \n            \n            \n              Conclusions\n         </w:instrText>
            </w:r>
            <w:r w:rsidRPr="00FF4210">
              <w:rPr>
                <w:rFonts w:ascii="Aptos" w:hAnsi="Aptos"/>
                <w:sz w:val="20"/>
                <w:szCs w:val="20"/>
                <w:lang w:val="it-IT"/>
              </w:rPr>
              <w:instrText xml:space="preserve"> </w:instrText>
            </w:r>
            <w:r w:rsidRPr="005500F7">
              <w:rPr>
                <w:rFonts w:ascii="Aptos" w:hAnsi="Aptos"/>
                <w:sz w:val="20"/>
                <w:szCs w:val="20"/>
                <w:lang w:val="it-IT"/>
              </w:rPr>
              <w:instrText xml:space="preserve">    \n                This case collection expands the genetic and clinical spectrum of\n                VPS16\n                </w:instrText>
            </w:r>
            <w:r w:rsidRPr="005500F7">
              <w:rPr>
                <w:rFonts w:ascii="Cambria Math" w:hAnsi="Cambria Math" w:cs="Cambria Math"/>
                <w:sz w:val="20"/>
                <w:szCs w:val="20"/>
                <w:lang w:val="it-IT"/>
              </w:rPr>
              <w:instrText>‐</w:instrText>
            </w:r>
            <w:r w:rsidRPr="005500F7">
              <w:rPr>
                <w:rFonts w:ascii="Aptos" w:hAnsi="Aptos"/>
                <w:sz w:val="20"/>
                <w:szCs w:val="20"/>
                <w:lang w:val="it-IT"/>
              </w:rPr>
              <w:instrText xml:space="preserve">related disease, prompting movement disorder specialists to suspect mutations </w:instrText>
            </w:r>
            <w:r w:rsidRPr="002A77AE">
              <w:rPr>
                <w:rFonts w:ascii="Aptos" w:hAnsi="Aptos"/>
                <w:sz w:val="20"/>
                <w:szCs w:val="20"/>
                <w:lang w:val="en-US"/>
              </w:rPr>
              <w:instrText xml:space="preserve">of this gene not only in patients with isolated dystonia.","container-title":"Movement Disorders Clinical Practice","DOI":"10.1002/mdc3.13927","ISSN":"2330-1619, 2330-1619","issue":"1","journalAbbreviation":"Movement Disord Clin Pract","language":"en","page":"87-93","source":"DOI.org (Crossref)","title":"Dominant &lt;span style=\"font-variant:small-caps;\"&gt; &lt;i&gt;VPS16&lt;/i&gt; &lt;/span&gt; Pathogenic Variants: Not Only Isolated Dystonia","title-short":"Dominant &lt;span style=\"font-variant","volume":"11","author":[{"family":"Monfrini","given":"Edoardo"},{"family":"Avanzino","given":"Laura"},{"family":"Palermo","given":"Giovanni"},{"family":"Bonato","given":"Giulia"},{"family":"Brescia","given":"Gloria"},{"family":"Ceravolo","given":"Roberto"},{"family":"Cantarella","given":"Giovanna"},{"family":"Mandich","given":"Paola"},{"family":"Prokisch","given":"Holger"},{"family":"Storm Van'S Gravesande","given":"Karin"},{"family":"Straccia","given":"Giulia"},{"family":"Elia","given":"Antonio"},{"family":"Reale","given":"Chiara"},{"family":"Panteghini","given":"Celeste"},{"family":"Zorzi","given":"Giovanna"},{"family":"Eleopra","given":"Roberto"},{"family":"Erro","given":"Roberto"},{"family":"Carecchio","given":"Miryam"},{"family":"Garavaglia","given":"Barbara"},{"family":"Zech","given":"Michael"},{"family":"Romito","given":"Luigi"},{"family":"Di Fonzo","given":"Alessio"}],"issued":{"date-parts":[["2024",1]]}}}],"schema":"https://github.com/citation-style-language/schema/raw/master/csl-citation.json"} </w:instrText>
            </w:r>
            <w:r w:rsidRPr="005500F7">
              <w:rPr>
                <w:rFonts w:ascii="Aptos" w:hAnsi="Aptos"/>
                <w:sz w:val="20"/>
                <w:szCs w:val="20"/>
                <w:lang w:val="it-IT"/>
              </w:rPr>
              <w:fldChar w:fldCharType="separate"/>
            </w:r>
            <w:r w:rsidRPr="002A77AE">
              <w:rPr>
                <w:rFonts w:ascii="Aptos" w:hAnsi="Aptos" w:cs="Times New Roman"/>
                <w:sz w:val="20"/>
                <w:szCs w:val="20"/>
                <w:vertAlign w:val="superscript"/>
                <w:lang w:val="en-US"/>
              </w:rPr>
              <w:t>91</w:t>
            </w:r>
            <w:r w:rsidRPr="005500F7">
              <w:rPr>
                <w:rFonts w:ascii="Aptos" w:hAnsi="Aptos"/>
                <w:sz w:val="20"/>
                <w:szCs w:val="20"/>
                <w:lang w:val="it-IT"/>
              </w:rPr>
              <w:fldChar w:fldCharType="end"/>
            </w:r>
          </w:p>
          <w:p w14:paraId="1105BBEF" w14:textId="5E40DB26" w:rsidR="00923F18" w:rsidRPr="002A77AE"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sidRPr="002A77AE">
              <w:rPr>
                <w:rFonts w:ascii="Aptos" w:hAnsi="Aptos"/>
                <w:sz w:val="20"/>
                <w:szCs w:val="20"/>
                <w:lang w:val="en-US"/>
              </w:rPr>
              <w:t>(Patient F)</w:t>
            </w:r>
          </w:p>
        </w:tc>
      </w:tr>
      <w:tr w:rsidR="00923F18" w:rsidRPr="00B918D0" w14:paraId="1BF4AE6C" w14:textId="24078AD4" w:rsidTr="003C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334E63A" w14:textId="2AEFFFFC" w:rsidR="00923F18" w:rsidRPr="00B918D0" w:rsidRDefault="00923F18" w:rsidP="00923F18">
            <w:pPr>
              <w:pStyle w:val="NoSpacing"/>
              <w:ind w:firstLine="0"/>
              <w:jc w:val="center"/>
              <w:rPr>
                <w:rFonts w:ascii="Aptos" w:hAnsi="Aptos" w:cs="Times New Roman"/>
                <w:b w:val="0"/>
                <w:bCs w:val="0"/>
                <w:sz w:val="20"/>
                <w:szCs w:val="20"/>
                <w:lang w:val="en-US"/>
              </w:rPr>
            </w:pPr>
            <w:r w:rsidRPr="00B918D0">
              <w:rPr>
                <w:rFonts w:ascii="Aptos" w:hAnsi="Aptos"/>
                <w:b w:val="0"/>
                <w:bCs w:val="0"/>
                <w:sz w:val="20"/>
                <w:szCs w:val="20"/>
                <w:lang w:val="en-US"/>
              </w:rPr>
              <w:t>Pat</w:t>
            </w:r>
            <w:r w:rsidR="00A22151">
              <w:rPr>
                <w:rFonts w:ascii="Aptos" w:hAnsi="Aptos"/>
                <w:b w:val="0"/>
                <w:bCs w:val="0"/>
                <w:sz w:val="20"/>
                <w:szCs w:val="20"/>
                <w:lang w:val="en-US"/>
              </w:rPr>
              <w:t>3</w:t>
            </w:r>
          </w:p>
        </w:tc>
        <w:tc>
          <w:tcPr>
            <w:tcW w:w="908" w:type="dxa"/>
            <w:shd w:val="clear" w:color="auto" w:fill="FFFFFF" w:themeFill="background1"/>
            <w:vAlign w:val="center"/>
          </w:tcPr>
          <w:p w14:paraId="7F7135D4" w14:textId="7665D252" w:rsidR="00923F18" w:rsidRPr="00B918D0"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i/>
                <w:iCs/>
                <w:sz w:val="20"/>
                <w:szCs w:val="20"/>
                <w:lang w:val="en-US"/>
              </w:rPr>
            </w:pPr>
            <w:r w:rsidRPr="00B918D0">
              <w:rPr>
                <w:rFonts w:ascii="Aptos" w:hAnsi="Aptos"/>
                <w:i/>
                <w:iCs/>
                <w:sz w:val="20"/>
                <w:szCs w:val="20"/>
                <w:lang w:val="en-US"/>
              </w:rPr>
              <w:t>SGCE</w:t>
            </w:r>
          </w:p>
        </w:tc>
        <w:tc>
          <w:tcPr>
            <w:tcW w:w="2946" w:type="dxa"/>
            <w:shd w:val="clear" w:color="auto" w:fill="FFFFFF" w:themeFill="background1"/>
            <w:vAlign w:val="center"/>
          </w:tcPr>
          <w:p w14:paraId="352B0266" w14:textId="0960CD92" w:rsidR="00923F18" w:rsidRPr="00B918D0"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lang w:val="en-US"/>
              </w:rPr>
            </w:pPr>
            <w:r>
              <w:rPr>
                <w:rFonts w:ascii="Aptos" w:hAnsi="Aptos"/>
                <w:sz w:val="18"/>
                <w:szCs w:val="18"/>
                <w:lang w:val="en-US"/>
              </w:rPr>
              <w:t xml:space="preserve">Generalized </w:t>
            </w:r>
            <w:r w:rsidRPr="00F85626">
              <w:rPr>
                <w:rFonts w:ascii="Aptos" w:hAnsi="Aptos"/>
                <w:sz w:val="18"/>
                <w:szCs w:val="18"/>
                <w:lang w:val="en-US"/>
              </w:rPr>
              <w:t xml:space="preserve">myoclonic-dystonia, mainly involving the </w:t>
            </w:r>
            <w:r>
              <w:rPr>
                <w:rFonts w:ascii="Aptos" w:hAnsi="Aptos"/>
                <w:sz w:val="18"/>
                <w:szCs w:val="18"/>
                <w:lang w:val="en-US"/>
              </w:rPr>
              <w:t>cranial-cervical region and</w:t>
            </w:r>
            <w:r w:rsidRPr="00F85626">
              <w:rPr>
                <w:rFonts w:ascii="Aptos" w:hAnsi="Aptos"/>
                <w:sz w:val="18"/>
                <w:szCs w:val="18"/>
                <w:lang w:val="en-US"/>
              </w:rPr>
              <w:t xml:space="preserve"> upper limb</w:t>
            </w:r>
          </w:p>
        </w:tc>
        <w:tc>
          <w:tcPr>
            <w:tcW w:w="2487" w:type="dxa"/>
            <w:shd w:val="clear" w:color="auto" w:fill="FFFFFF" w:themeFill="background1"/>
            <w:vAlign w:val="center"/>
          </w:tcPr>
          <w:p w14:paraId="625C481C"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4E07CA9C" w14:textId="61BB17EE" w:rsidR="00923F18" w:rsidRPr="00B918D0"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lang w:val="en-US"/>
              </w:rPr>
            </w:pPr>
            <w:r>
              <w:rPr>
                <w:rFonts w:ascii="Aptos" w:hAnsi="Aptos"/>
                <w:sz w:val="18"/>
                <w:szCs w:val="18"/>
              </w:rPr>
              <w:t>Not available segregation analysis</w:t>
            </w:r>
          </w:p>
        </w:tc>
        <w:tc>
          <w:tcPr>
            <w:tcW w:w="1765" w:type="dxa"/>
            <w:shd w:val="clear" w:color="auto" w:fill="FFFFFF" w:themeFill="background1"/>
            <w:vAlign w:val="center"/>
          </w:tcPr>
          <w:p w14:paraId="5065BA09" w14:textId="4806A917" w:rsidR="00923F18" w:rsidRPr="00B918D0"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lang w:val="en-US"/>
              </w:rPr>
            </w:pPr>
            <w:r w:rsidRPr="00B918D0">
              <w:rPr>
                <w:rFonts w:ascii="Aptos" w:hAnsi="Aptos"/>
                <w:sz w:val="20"/>
                <w:szCs w:val="20"/>
                <w:lang w:val="en-US"/>
              </w:rPr>
              <w:t>Not yet described</w:t>
            </w:r>
          </w:p>
        </w:tc>
      </w:tr>
      <w:tr w:rsidR="00923F18" w:rsidRPr="0062618B" w14:paraId="1D4384EC" w14:textId="699ECEFF" w:rsidTr="002A77AE">
        <w:trPr>
          <w:trHeight w:val="125"/>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14D4205B" w14:textId="6191E0A6" w:rsidR="00923F18" w:rsidRPr="00B918D0" w:rsidRDefault="00923F18" w:rsidP="00923F18">
            <w:pPr>
              <w:pStyle w:val="NoSpacing"/>
              <w:ind w:firstLine="0"/>
              <w:jc w:val="center"/>
              <w:rPr>
                <w:rFonts w:ascii="Aptos" w:hAnsi="Aptos" w:cs="Times New Roman"/>
                <w:b w:val="0"/>
                <w:bCs w:val="0"/>
                <w:sz w:val="20"/>
                <w:szCs w:val="20"/>
                <w:lang w:val="en-US"/>
              </w:rPr>
            </w:pPr>
            <w:r w:rsidRPr="00B918D0">
              <w:rPr>
                <w:rFonts w:ascii="Aptos" w:hAnsi="Aptos"/>
                <w:b w:val="0"/>
                <w:bCs w:val="0"/>
                <w:sz w:val="20"/>
                <w:szCs w:val="20"/>
                <w:lang w:val="en-US"/>
              </w:rPr>
              <w:t>Pat</w:t>
            </w:r>
            <w:r w:rsidR="00A22151">
              <w:rPr>
                <w:rFonts w:ascii="Aptos" w:hAnsi="Aptos"/>
                <w:b w:val="0"/>
                <w:bCs w:val="0"/>
                <w:sz w:val="20"/>
                <w:szCs w:val="20"/>
                <w:lang w:val="en-US"/>
              </w:rPr>
              <w:t>4</w:t>
            </w:r>
          </w:p>
        </w:tc>
        <w:tc>
          <w:tcPr>
            <w:tcW w:w="908" w:type="dxa"/>
            <w:shd w:val="clear" w:color="auto" w:fill="FFFFFF" w:themeFill="background1"/>
            <w:vAlign w:val="center"/>
          </w:tcPr>
          <w:p w14:paraId="28EA0299" w14:textId="3B4291E5" w:rsidR="00923F18" w:rsidRPr="00B918D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i/>
                <w:iCs/>
                <w:sz w:val="20"/>
                <w:szCs w:val="20"/>
                <w:lang w:val="en-US"/>
              </w:rPr>
            </w:pPr>
            <w:r w:rsidRPr="00B918D0">
              <w:rPr>
                <w:rFonts w:ascii="Aptos" w:hAnsi="Aptos"/>
                <w:i/>
                <w:iCs/>
                <w:sz w:val="20"/>
                <w:szCs w:val="20"/>
                <w:lang w:val="en-US"/>
              </w:rPr>
              <w:t>VPS16</w:t>
            </w:r>
          </w:p>
        </w:tc>
        <w:tc>
          <w:tcPr>
            <w:tcW w:w="2946" w:type="dxa"/>
            <w:shd w:val="clear" w:color="auto" w:fill="FFFFFF" w:themeFill="background1"/>
            <w:vAlign w:val="center"/>
          </w:tcPr>
          <w:p w14:paraId="3472829F" w14:textId="184F63C2" w:rsidR="00923F18" w:rsidRPr="00B918D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G</w:t>
            </w:r>
            <w:r w:rsidRPr="00E7119C">
              <w:rPr>
                <w:rFonts w:ascii="Aptos" w:hAnsi="Aptos"/>
                <w:sz w:val="18"/>
                <w:szCs w:val="18"/>
              </w:rPr>
              <w:t xml:space="preserve">eneralized tremulous dystonia with </w:t>
            </w:r>
            <w:r>
              <w:rPr>
                <w:rFonts w:ascii="Aptos" w:hAnsi="Aptos"/>
                <w:sz w:val="18"/>
                <w:szCs w:val="18"/>
              </w:rPr>
              <w:t xml:space="preserve">severe </w:t>
            </w:r>
            <w:r w:rsidRPr="00E7119C">
              <w:rPr>
                <w:rFonts w:ascii="Aptos" w:hAnsi="Aptos"/>
                <w:sz w:val="18"/>
                <w:szCs w:val="18"/>
              </w:rPr>
              <w:t xml:space="preserve">jerky </w:t>
            </w:r>
            <w:r>
              <w:rPr>
                <w:rFonts w:ascii="Aptos" w:hAnsi="Aptos"/>
                <w:sz w:val="18"/>
                <w:szCs w:val="18"/>
              </w:rPr>
              <w:t>movement (</w:t>
            </w:r>
            <w:r w:rsidRPr="00E7119C">
              <w:rPr>
                <w:rFonts w:ascii="Aptos" w:hAnsi="Aptos"/>
                <w:sz w:val="18"/>
                <w:szCs w:val="18"/>
              </w:rPr>
              <w:t>left torticollis, right upper limb striatal toe); voice tremor; writer’s cramp with writing tremo</w:t>
            </w:r>
            <w:r>
              <w:rPr>
                <w:rFonts w:ascii="Aptos" w:hAnsi="Aptos"/>
                <w:sz w:val="18"/>
                <w:szCs w:val="18"/>
              </w:rPr>
              <w:t>r</w:t>
            </w:r>
          </w:p>
        </w:tc>
        <w:tc>
          <w:tcPr>
            <w:tcW w:w="2487" w:type="dxa"/>
            <w:shd w:val="clear" w:color="auto" w:fill="FFFFFF" w:themeFill="background1"/>
            <w:vAlign w:val="center"/>
          </w:tcPr>
          <w:p w14:paraId="2809DBD7" w14:textId="38B2BC5B" w:rsidR="00923F18" w:rsidRPr="00B918D0"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M</w:t>
            </w:r>
            <w:r w:rsidRPr="0065661F">
              <w:rPr>
                <w:rFonts w:ascii="Aptos" w:hAnsi="Aptos"/>
                <w:sz w:val="18"/>
                <w:szCs w:val="18"/>
              </w:rPr>
              <w:t>aternal inheritance</w:t>
            </w:r>
            <w:r>
              <w:rPr>
                <w:rFonts w:ascii="Aptos" w:hAnsi="Aptos"/>
                <w:sz w:val="18"/>
                <w:szCs w:val="18"/>
              </w:rPr>
              <w:t xml:space="preserve"> (Mother with generalized dystonia and parkinsonism; sibling Pat6)</w:t>
            </w:r>
          </w:p>
        </w:tc>
        <w:tc>
          <w:tcPr>
            <w:tcW w:w="1765" w:type="dxa"/>
            <w:shd w:val="clear" w:color="auto" w:fill="FFFFFF" w:themeFill="background1"/>
            <w:vAlign w:val="center"/>
          </w:tcPr>
          <w:p w14:paraId="06C24EC3" w14:textId="5AFB7914" w:rsidR="00923F18" w:rsidRPr="003C106F"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lang w:val="en-US"/>
              </w:rPr>
            </w:pPr>
            <w:r w:rsidRPr="002A77AE">
              <w:rPr>
                <w:rFonts w:ascii="Aptos" w:hAnsi="Aptos"/>
                <w:sz w:val="20"/>
                <w:szCs w:val="20"/>
                <w:lang w:val="en-US"/>
              </w:rPr>
              <w:t>Monfrini et al.</w:t>
            </w:r>
            <w:r w:rsidRPr="005500F7">
              <w:rPr>
                <w:rFonts w:ascii="Aptos" w:hAnsi="Aptos"/>
                <w:sz w:val="20"/>
                <w:szCs w:val="20"/>
                <w:lang w:val="it-IT"/>
              </w:rPr>
              <w:fldChar w:fldCharType="begin"/>
            </w:r>
            <w:r w:rsidRPr="003C106F">
              <w:rPr>
                <w:rFonts w:ascii="Aptos" w:hAnsi="Aptos"/>
                <w:sz w:val="20"/>
                <w:szCs w:val="20"/>
                <w:lang w:val="en-US"/>
              </w:rPr>
              <w:instrText xml:space="preserve"> ADDIN ZOTERO_ITEM CSL_CITATION {"citationID":"MlBSpKB6","properties":{"formattedCitation":"\\super 91\\nosupersub{}","plainCitation":"91","noteIndex":0},"citationItems":[{"id":650,"uris":["http://zotero.org/users/local/qbj29eOf/items/KLUM9FGW"],"itemData":{"id":650,"type":"article-journal","abstract":"Abstract\n            \n              Background\n              \n                VPS16\n                pathogenic variants have been recently associated with inherited dystonia. Most patients affected by dominant VPS16</w:instrText>
            </w:r>
            <w:r w:rsidRPr="003C106F">
              <w:rPr>
                <w:rFonts w:ascii="Cambria Math" w:hAnsi="Cambria Math" w:cs="Cambria Math"/>
                <w:sz w:val="20"/>
                <w:szCs w:val="20"/>
                <w:lang w:val="en-US"/>
              </w:rPr>
              <w:instrText>‐</w:instrText>
            </w:r>
            <w:r w:rsidRPr="003C106F">
              <w:rPr>
                <w:rFonts w:ascii="Aptos" w:hAnsi="Aptos"/>
                <w:sz w:val="20"/>
                <w:szCs w:val="20"/>
                <w:lang w:val="en-US"/>
              </w:rPr>
              <w:instrText>related disease display early</w:instrText>
            </w:r>
            <w:r w:rsidRPr="003C106F">
              <w:rPr>
                <w:rFonts w:ascii="Cambria Math" w:hAnsi="Cambria Math" w:cs="Cambria Math"/>
                <w:sz w:val="20"/>
                <w:szCs w:val="20"/>
                <w:lang w:val="en-US"/>
              </w:rPr>
              <w:instrText>‐</w:instrText>
            </w:r>
            <w:r w:rsidRPr="003C106F">
              <w:rPr>
                <w:rFonts w:ascii="Aptos" w:hAnsi="Aptos"/>
                <w:sz w:val="20"/>
                <w:szCs w:val="20"/>
                <w:lang w:val="en-US"/>
              </w:rPr>
              <w:instrText xml:space="preserve">onset isolated dystonia with prominent oromandibular, bulbar, cervical, and upper limb involvement, followed by slowly progressive generalization.\n              \n            \n            \n              Cases\n              \n                We describe six newly reported dystonic patients carrying\n                VPS16\n                mutations displaying unusual phenotypic features in addition to dystonia, such as </w:instrText>
            </w:r>
            <w:r w:rsidRPr="002A77AE">
              <w:rPr>
                <w:rFonts w:ascii="Aptos" w:hAnsi="Aptos"/>
                <w:sz w:val="20"/>
                <w:szCs w:val="20"/>
                <w:lang w:val="it-IT"/>
              </w:rPr>
              <w:instrText>myoclonus, choreoathetosis, pharyngospasm and freezing of gait. Response to bilateral Globus Pallidus Internus Deep Brain Stimulation (GPi</w:instrText>
            </w:r>
            <w:r w:rsidRPr="002A77AE">
              <w:rPr>
                <w:rFonts w:ascii="Cambria Math" w:hAnsi="Cambria Math" w:cs="Cambria Math"/>
                <w:sz w:val="20"/>
                <w:szCs w:val="20"/>
                <w:lang w:val="it-IT"/>
              </w:rPr>
              <w:instrText>‐</w:instrText>
            </w:r>
            <w:r w:rsidRPr="002A77AE">
              <w:rPr>
                <w:rFonts w:ascii="Aptos" w:hAnsi="Aptos"/>
                <w:sz w:val="20"/>
                <w:szCs w:val="20"/>
                <w:lang w:val="it-IT"/>
              </w:rPr>
              <w:instrText xml:space="preserve">DBS) is reported in three of them, associated with significant improvement of dystonia but only minor effect on other hyperkinetic movements. Moreover, five novel pathogenic/likely pathogenic variants are described.\n              \n         </w:instrText>
            </w:r>
            <w:r w:rsidRPr="00F40199">
              <w:rPr>
                <w:rFonts w:ascii="Aptos" w:hAnsi="Aptos"/>
                <w:sz w:val="20"/>
                <w:szCs w:val="20"/>
                <w:lang w:val="it-IT"/>
              </w:rPr>
              <w:instrText xml:space="preserve">   \n            \n              Conclusions\n              \n                This case collection expands the genetic and clinical spectrum of\n                VPS16\n                </w:instrText>
            </w:r>
            <w:r w:rsidRPr="00F40199">
              <w:rPr>
                <w:rFonts w:ascii="Cambria Math" w:hAnsi="Cambria Math" w:cs="Cambria Math"/>
                <w:sz w:val="20"/>
                <w:szCs w:val="20"/>
                <w:lang w:val="it-IT"/>
              </w:rPr>
              <w:instrText>‐</w:instrText>
            </w:r>
            <w:r w:rsidRPr="00F40199">
              <w:rPr>
                <w:rFonts w:ascii="Aptos" w:hAnsi="Aptos"/>
                <w:sz w:val="20"/>
                <w:szCs w:val="20"/>
                <w:lang w:val="it-IT"/>
              </w:rPr>
              <w:instrText xml:space="preserve">related disease, prompting movement disorder specialists to suspect mutations </w:instrText>
            </w:r>
            <w:r w:rsidRPr="003C106F">
              <w:rPr>
                <w:rFonts w:ascii="Aptos" w:hAnsi="Aptos"/>
                <w:sz w:val="20"/>
                <w:szCs w:val="20"/>
                <w:lang w:val="en-US"/>
              </w:rPr>
              <w:instrText xml:space="preserve">of this gene not only in patients with isolated dystonia.","container-title":"Movement Disorders Clinical Practice","DOI":"10.1002/mdc3.13927","ISSN":"2330-1619, 2330-1619","issue":"1","journalAbbreviation":"Movement Disord Clin Pract","language":"en","page":"87-93","source":"DOI.org (Crossref)","title":"Dominant &lt;span style=\"font-variant:small-caps;\"&gt; &lt;i&gt;VPS16&lt;/i&gt; &lt;/span&gt; Pathogenic Variants: Not Only Isolated Dystonia","title-short":"Dominant &lt;span style=\"font-variant","volume":"11","author":[{"family":"Monfrini","given":"Edoardo"},{"family":"Avanzino","given":"Laura"},{"family":"Palermo","given":"Giovanni"},{"family":"Bonato","given":"Giulia"},{"family":"Brescia","given":"Gloria"},{"family":"Ceravolo","given":"Roberto"},{"family":"Cantarella","given":"Giovanna"},{"family":"Mandich","given":"Paola"},{"family":"Prokisch","given":"Holger"},{"family":"Storm Van'S Gravesande","given":"Karin"},{"family":"Straccia","given":"Giulia"},{"family":"Elia","given":"Antonio"},{"family":"Reale","given":"Chiara"},{"family":"Panteghini","given":"Celeste"},{"family":"Zorzi","given":"Giovanna"},{"family":"Eleopra","given":"Roberto"},{"family":"Erro","given":"Roberto"},{"family":"Carecchio","given":"Miryam"},{"family":"Garavaglia","given":"Barbara"},{"family":"Zech","given":"Michael"},{"family":"Romito","given":"Luigi"},{"family":"Di Fonzo","given":"Alessio"}],"issued":{"date-parts":[["2024",1]]}}}],"schema":"https://github.com/citation-style-language/schema/raw/master/csl-citation.json"} </w:instrText>
            </w:r>
            <w:r w:rsidRPr="005500F7">
              <w:rPr>
                <w:rFonts w:ascii="Aptos" w:hAnsi="Aptos"/>
                <w:sz w:val="20"/>
                <w:szCs w:val="20"/>
                <w:lang w:val="it-IT"/>
              </w:rPr>
              <w:fldChar w:fldCharType="separate"/>
            </w:r>
            <w:r w:rsidRPr="003C106F">
              <w:rPr>
                <w:rFonts w:ascii="Aptos" w:hAnsi="Aptos" w:cs="Times New Roman"/>
                <w:sz w:val="20"/>
                <w:szCs w:val="20"/>
                <w:vertAlign w:val="superscript"/>
                <w:lang w:val="en-US"/>
              </w:rPr>
              <w:t>91</w:t>
            </w:r>
            <w:r w:rsidRPr="005500F7">
              <w:rPr>
                <w:rFonts w:ascii="Aptos" w:hAnsi="Aptos"/>
                <w:sz w:val="20"/>
                <w:szCs w:val="20"/>
                <w:lang w:val="it-IT"/>
              </w:rPr>
              <w:fldChar w:fldCharType="end"/>
            </w:r>
          </w:p>
          <w:p w14:paraId="0C7803C7" w14:textId="67544F6D" w:rsidR="00923F18" w:rsidRPr="003C106F"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sidRPr="003C106F">
              <w:rPr>
                <w:rFonts w:ascii="Aptos" w:hAnsi="Aptos"/>
                <w:sz w:val="20"/>
                <w:szCs w:val="20"/>
                <w:lang w:val="en-US"/>
              </w:rPr>
              <w:t>(patient C.II.1)</w:t>
            </w:r>
          </w:p>
        </w:tc>
      </w:tr>
      <w:tr w:rsidR="00923F18" w:rsidRPr="0062618B" w14:paraId="3045ADDA" w14:textId="7335956C" w:rsidTr="003C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424F25F4" w14:textId="3BF0AF59"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sidR="00A22151">
              <w:rPr>
                <w:rFonts w:ascii="Aptos" w:hAnsi="Aptos"/>
                <w:b w:val="0"/>
                <w:bCs w:val="0"/>
                <w:sz w:val="20"/>
                <w:szCs w:val="20"/>
              </w:rPr>
              <w:t>5</w:t>
            </w:r>
          </w:p>
        </w:tc>
        <w:tc>
          <w:tcPr>
            <w:tcW w:w="908" w:type="dxa"/>
            <w:shd w:val="clear" w:color="auto" w:fill="FFFFFF" w:themeFill="background1"/>
            <w:vAlign w:val="center"/>
          </w:tcPr>
          <w:p w14:paraId="716FE1C5" w14:textId="03E3CCA5"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i/>
                <w:iCs/>
                <w:sz w:val="20"/>
                <w:szCs w:val="20"/>
              </w:rPr>
            </w:pPr>
            <w:r w:rsidRPr="00264446">
              <w:rPr>
                <w:rFonts w:ascii="Aptos" w:hAnsi="Aptos"/>
                <w:i/>
                <w:iCs/>
                <w:sz w:val="20"/>
                <w:szCs w:val="20"/>
              </w:rPr>
              <w:t>VPS16</w:t>
            </w:r>
          </w:p>
        </w:tc>
        <w:tc>
          <w:tcPr>
            <w:tcW w:w="2946" w:type="dxa"/>
            <w:shd w:val="clear" w:color="auto" w:fill="FFFFFF" w:themeFill="background1"/>
            <w:vAlign w:val="center"/>
          </w:tcPr>
          <w:p w14:paraId="6C35447D" w14:textId="17C002F4"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3C106F">
              <w:rPr>
                <w:rFonts w:ascii="Aptos" w:hAnsi="Aptos"/>
                <w:sz w:val="18"/>
                <w:szCs w:val="18"/>
                <w:lang w:val="en-US"/>
              </w:rPr>
              <w:t xml:space="preserve">Cranial-cervical involvement with dysphonia, dystonic dysarthria, and writer’s cramp </w:t>
            </w:r>
          </w:p>
        </w:tc>
        <w:tc>
          <w:tcPr>
            <w:tcW w:w="2487" w:type="dxa"/>
            <w:shd w:val="clear" w:color="auto" w:fill="FFFFFF" w:themeFill="background1"/>
            <w:vAlign w:val="center"/>
          </w:tcPr>
          <w:p w14:paraId="52916E6A" w14:textId="3C3DFBA5"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3C106F">
              <w:rPr>
                <w:rFonts w:ascii="Aptos" w:hAnsi="Aptos"/>
                <w:sz w:val="18"/>
                <w:szCs w:val="18"/>
                <w:lang w:val="en-US"/>
              </w:rPr>
              <w:t xml:space="preserve">Maternal inheritance (Mother with generalized dystonia and parkinsonism; </w:t>
            </w:r>
            <w:r>
              <w:rPr>
                <w:rFonts w:ascii="Aptos" w:hAnsi="Aptos"/>
                <w:sz w:val="18"/>
                <w:szCs w:val="18"/>
                <w:lang w:val="en-US"/>
              </w:rPr>
              <w:t>sibling</w:t>
            </w:r>
            <w:r w:rsidRPr="003C106F">
              <w:rPr>
                <w:rFonts w:ascii="Aptos" w:hAnsi="Aptos"/>
                <w:sz w:val="18"/>
                <w:szCs w:val="18"/>
                <w:lang w:val="en-US"/>
              </w:rPr>
              <w:t xml:space="preserve"> Pat5)</w:t>
            </w:r>
          </w:p>
        </w:tc>
        <w:tc>
          <w:tcPr>
            <w:tcW w:w="1765" w:type="dxa"/>
            <w:shd w:val="clear" w:color="auto" w:fill="FFFFFF" w:themeFill="background1"/>
            <w:vAlign w:val="center"/>
          </w:tcPr>
          <w:p w14:paraId="648FA2AA" w14:textId="3434AC48" w:rsidR="00923F18" w:rsidRPr="003C106F"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en-US"/>
              </w:rPr>
            </w:pPr>
            <w:r w:rsidRPr="003C106F">
              <w:rPr>
                <w:rFonts w:ascii="Aptos" w:hAnsi="Aptos"/>
                <w:sz w:val="20"/>
                <w:szCs w:val="20"/>
                <w:lang w:val="en-US"/>
              </w:rPr>
              <w:t>Monfrini et al.</w:t>
            </w:r>
            <w:r w:rsidRPr="005500F7">
              <w:rPr>
                <w:rFonts w:ascii="Aptos" w:hAnsi="Aptos"/>
                <w:sz w:val="20"/>
                <w:szCs w:val="20"/>
                <w:lang w:val="it-IT"/>
              </w:rPr>
              <w:fldChar w:fldCharType="begin"/>
            </w:r>
            <w:r w:rsidRPr="003C106F">
              <w:rPr>
                <w:rFonts w:ascii="Aptos" w:hAnsi="Aptos"/>
                <w:sz w:val="20"/>
                <w:szCs w:val="20"/>
                <w:lang w:val="en-US"/>
              </w:rPr>
              <w:instrText xml:space="preserve"> ADDIN ZOTERO_ITEM CSL_CITATION {"citationID":"x4rHSQTP","properties":{"formattedCitation":"\\super 91\\nosupersub{}","plainCitation":"91","noteIndex":0},"citationItems":[{"id":650,"uris":["http://zotero.org/users/local/qbj29eOf/items/KLUM9FGW"],"itemData":{"id":650,"type":"article-journal","abstract":"Abstract\n            \n              Background\n              \n                VPS16\n                pathogenic variants have been recently associated with inherited dystonia. Most patients affected by dominant VPS16</w:instrText>
            </w:r>
            <w:r w:rsidRPr="003C106F">
              <w:rPr>
                <w:rFonts w:ascii="Cambria Math" w:hAnsi="Cambria Math" w:cs="Cambria Math"/>
                <w:sz w:val="20"/>
                <w:szCs w:val="20"/>
                <w:lang w:val="en-US"/>
              </w:rPr>
              <w:instrText>‐</w:instrText>
            </w:r>
            <w:r w:rsidRPr="003C106F">
              <w:rPr>
                <w:rFonts w:ascii="Aptos" w:hAnsi="Aptos"/>
                <w:sz w:val="20"/>
                <w:szCs w:val="20"/>
                <w:lang w:val="en-US"/>
              </w:rPr>
              <w:instrText>related disease display early</w:instrText>
            </w:r>
            <w:r w:rsidRPr="003C106F">
              <w:rPr>
                <w:rFonts w:ascii="Cambria Math" w:hAnsi="Cambria Math" w:cs="Cambria Math"/>
                <w:sz w:val="20"/>
                <w:szCs w:val="20"/>
                <w:lang w:val="en-US"/>
              </w:rPr>
              <w:instrText>‐</w:instrText>
            </w:r>
            <w:r w:rsidRPr="003C106F">
              <w:rPr>
                <w:rFonts w:ascii="Aptos" w:hAnsi="Aptos"/>
                <w:sz w:val="20"/>
                <w:szCs w:val="20"/>
                <w:lang w:val="en-US"/>
              </w:rPr>
              <w:instrText>onset isolated dystonia with prominent oromandibular, bulbar, cervical, and upper limb involvement, followed by slowly progressive generalization.\n              \n            \n            \n              Cases\n              \n                We describe six newly reported dystonic patients carrying\n                VPS16\n                mutations displaying unusual phenotypic features in addition to dystonia, such as myoclonus, choreoathetosis, pharyngospasm and freezing of gait. Response to bilateral Globus Pallidus Internus Deep Brain Stimulation (GPi</w:instrText>
            </w:r>
            <w:r w:rsidRPr="003C106F">
              <w:rPr>
                <w:rFonts w:ascii="Cambria Math" w:hAnsi="Cambria Math" w:cs="Cambria Math"/>
                <w:sz w:val="20"/>
                <w:szCs w:val="20"/>
                <w:lang w:val="en-US"/>
              </w:rPr>
              <w:instrText>‐</w:instrText>
            </w:r>
            <w:r w:rsidRPr="003C106F">
              <w:rPr>
                <w:rFonts w:ascii="Aptos" w:hAnsi="Aptos"/>
                <w:sz w:val="20"/>
                <w:szCs w:val="20"/>
                <w:lang w:val="en-US"/>
              </w:rPr>
              <w:instrText>DBS) is reported in three of them, associated with significant improvement of dystonia but only minor effect on other hyperkin</w:instrText>
            </w:r>
            <w:r w:rsidRPr="0062618B">
              <w:rPr>
                <w:rFonts w:ascii="Aptos" w:hAnsi="Aptos"/>
                <w:sz w:val="20"/>
                <w:szCs w:val="20"/>
                <w:lang w:val="it-IT"/>
              </w:rPr>
              <w:instrText>e</w:instrText>
            </w:r>
            <w:r w:rsidRPr="005500F7">
              <w:rPr>
                <w:rFonts w:ascii="Aptos" w:hAnsi="Aptos"/>
                <w:sz w:val="20"/>
                <w:szCs w:val="20"/>
                <w:lang w:val="it-IT"/>
              </w:rPr>
              <w:instrText xml:space="preserve">tic movements. Moreover, five novel pathogenic/likely pathogenic variants are described.\n              \n            \n            \n              Conclusions\n              \n                This case collection expands the genetic and clinical spectrum of\n                VPS16\n                </w:instrText>
            </w:r>
            <w:r w:rsidRPr="005500F7">
              <w:rPr>
                <w:rFonts w:ascii="Cambria Math" w:hAnsi="Cambria Math" w:cs="Cambria Math"/>
                <w:sz w:val="20"/>
                <w:szCs w:val="20"/>
                <w:lang w:val="it-IT"/>
              </w:rPr>
              <w:instrText>‐</w:instrText>
            </w:r>
            <w:r w:rsidRPr="005500F7">
              <w:rPr>
                <w:rFonts w:ascii="Aptos" w:hAnsi="Aptos"/>
                <w:sz w:val="20"/>
                <w:szCs w:val="20"/>
                <w:lang w:val="it-IT"/>
              </w:rPr>
              <w:instrText xml:space="preserve">related disease, prompting movement disorder specialists to suspect mutations </w:instrText>
            </w:r>
            <w:r w:rsidRPr="003C106F">
              <w:rPr>
                <w:rFonts w:ascii="Aptos" w:hAnsi="Aptos"/>
                <w:sz w:val="20"/>
                <w:szCs w:val="20"/>
                <w:lang w:val="en-US"/>
              </w:rPr>
              <w:instrText xml:space="preserve">of this gene not only in patients with isolated dystonia.","container-title":"Movement Disorders Clinical Practice","DOI":"10.1002/mdc3.13927","ISSN":"2330-1619, 2330-1619","issue":"1","journalAbbreviation":"Movement Disord Clin Pract","language":"en","page":"87-93","source":"DOI.org (Crossref)","title":"Dominant &lt;span style=\"font-variant:small-caps;\"&gt; &lt;i&gt;VPS16&lt;/i&gt; &lt;/span&gt; Pathogenic Variants: Not Only Isolated Dystonia","title-short":"Dominant &lt;span style=\"font-variant","volume":"11","author":[{"family":"Monfrini","given":"Edoardo"},{"family":"Avanzino","given":"Laura"},{"family":"Palermo","given":"Giovanni"},{"family":"Bonato","given":"Giulia"},{"family":"Brescia","given":"Gloria"},{"family":"Ceravolo","given":"Roberto"},{"family":"Cantarella","given":"Giovanna"},{"family":"Mandich","given":"Paola"},{"family":"Prokisch","given":"Holger"},{"family":"Storm Van'S Gravesande","given":"Karin"},{"family":"Straccia","given":"Giulia"},{"family":"Elia","given":"Antonio"},{"family":"Reale","given":"Chiara"},{"family":"Panteghini","given":"Celeste"},{"family":"Zorzi","given":"Giovanna"},{"family":"Eleopra","given":"Roberto"},{"family":"Erro","given":"Roberto"},{"family":"Carecchio","given":"Miryam"},{"family":"Garavaglia","given":"Barbara"},{"family":"Zech","given":"Michael"},{"family":"Romito","given":"Luigi"},{"family":"Di Fonzo","given":"Alessio"}],"issued":{"date-parts":[["2024",1]]}}}],"schema":"https://github.com/citation-style-language/schema/raw/master/csl-citation.json"} </w:instrText>
            </w:r>
            <w:r w:rsidRPr="005500F7">
              <w:rPr>
                <w:rFonts w:ascii="Aptos" w:hAnsi="Aptos"/>
                <w:sz w:val="20"/>
                <w:szCs w:val="20"/>
                <w:lang w:val="it-IT"/>
              </w:rPr>
              <w:fldChar w:fldCharType="separate"/>
            </w:r>
            <w:r w:rsidRPr="003C106F">
              <w:rPr>
                <w:rFonts w:ascii="Aptos" w:hAnsi="Aptos" w:cs="Times New Roman"/>
                <w:sz w:val="20"/>
                <w:szCs w:val="20"/>
                <w:vertAlign w:val="superscript"/>
                <w:lang w:val="en-US"/>
              </w:rPr>
              <w:t>91</w:t>
            </w:r>
            <w:r w:rsidRPr="005500F7">
              <w:rPr>
                <w:rFonts w:ascii="Aptos" w:hAnsi="Aptos"/>
                <w:sz w:val="20"/>
                <w:szCs w:val="20"/>
                <w:lang w:val="it-IT"/>
              </w:rPr>
              <w:fldChar w:fldCharType="end"/>
            </w:r>
          </w:p>
          <w:p w14:paraId="69B24FE9" w14:textId="75604366" w:rsidR="00923F18" w:rsidRPr="003C106F"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lang w:val="en-US"/>
              </w:rPr>
            </w:pPr>
            <w:r w:rsidRPr="003C106F">
              <w:rPr>
                <w:rFonts w:ascii="Aptos" w:hAnsi="Aptos"/>
                <w:sz w:val="20"/>
                <w:szCs w:val="20"/>
                <w:lang w:val="en-US"/>
              </w:rPr>
              <w:t>(patient C.II.2)</w:t>
            </w:r>
          </w:p>
        </w:tc>
      </w:tr>
      <w:tr w:rsidR="00923F18" w:rsidRPr="005500F7" w14:paraId="04A828E8" w14:textId="78B08B43" w:rsidTr="003C106F">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7C2B59C3" w14:textId="30EBBAD7" w:rsidR="00923F18" w:rsidRPr="003C106F" w:rsidRDefault="00923F18" w:rsidP="00923F18">
            <w:pPr>
              <w:pStyle w:val="NoSpacing"/>
              <w:ind w:firstLine="0"/>
              <w:jc w:val="center"/>
              <w:rPr>
                <w:rFonts w:ascii="Aptos" w:hAnsi="Aptos" w:cs="Times New Roman"/>
                <w:b w:val="0"/>
                <w:bCs w:val="0"/>
                <w:sz w:val="20"/>
                <w:szCs w:val="20"/>
                <w:lang w:val="en-US"/>
              </w:rPr>
            </w:pPr>
            <w:r w:rsidRPr="003C106F">
              <w:rPr>
                <w:rFonts w:ascii="Aptos" w:hAnsi="Aptos"/>
                <w:b w:val="0"/>
                <w:bCs w:val="0"/>
                <w:sz w:val="20"/>
                <w:szCs w:val="20"/>
                <w:lang w:val="en-US"/>
              </w:rPr>
              <w:t>Pat</w:t>
            </w:r>
            <w:r w:rsidR="00A22151" w:rsidRPr="003C106F">
              <w:rPr>
                <w:rFonts w:ascii="Aptos" w:hAnsi="Aptos"/>
                <w:b w:val="0"/>
                <w:bCs w:val="0"/>
                <w:sz w:val="20"/>
                <w:szCs w:val="20"/>
                <w:lang w:val="en-US"/>
              </w:rPr>
              <w:t>6</w:t>
            </w:r>
          </w:p>
        </w:tc>
        <w:tc>
          <w:tcPr>
            <w:tcW w:w="908" w:type="dxa"/>
            <w:shd w:val="clear" w:color="auto" w:fill="FFFFFF" w:themeFill="background1"/>
            <w:vAlign w:val="center"/>
          </w:tcPr>
          <w:p w14:paraId="261F7851" w14:textId="552E903C" w:rsidR="00923F18" w:rsidRPr="003C106F"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i/>
                <w:iCs/>
                <w:sz w:val="20"/>
                <w:szCs w:val="20"/>
                <w:lang w:val="en-US"/>
              </w:rPr>
            </w:pPr>
            <w:r w:rsidRPr="003C106F">
              <w:rPr>
                <w:rFonts w:ascii="Aptos" w:hAnsi="Aptos"/>
                <w:i/>
                <w:iCs/>
                <w:sz w:val="20"/>
                <w:szCs w:val="20"/>
                <w:lang w:val="en-US"/>
              </w:rPr>
              <w:t>AOPEP</w:t>
            </w:r>
          </w:p>
        </w:tc>
        <w:tc>
          <w:tcPr>
            <w:tcW w:w="2946" w:type="dxa"/>
            <w:shd w:val="clear" w:color="auto" w:fill="FFFFFF" w:themeFill="background1"/>
            <w:vAlign w:val="center"/>
          </w:tcPr>
          <w:p w14:paraId="20577340" w14:textId="5E6B9209" w:rsidR="00923F18" w:rsidRPr="003C106F"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G</w:t>
            </w:r>
            <w:r w:rsidRPr="0065661F">
              <w:rPr>
                <w:rFonts w:ascii="Aptos" w:hAnsi="Aptos"/>
                <w:sz w:val="18"/>
                <w:szCs w:val="18"/>
              </w:rPr>
              <w:t xml:space="preserve">eneralized dystonia </w:t>
            </w:r>
            <w:r>
              <w:rPr>
                <w:rFonts w:ascii="Aptos" w:hAnsi="Aptos"/>
                <w:sz w:val="18"/>
                <w:szCs w:val="18"/>
              </w:rPr>
              <w:t>with axial parkinsonism</w:t>
            </w:r>
          </w:p>
        </w:tc>
        <w:tc>
          <w:tcPr>
            <w:tcW w:w="2487" w:type="dxa"/>
            <w:shd w:val="clear" w:color="auto" w:fill="FFFFFF" w:themeFill="background1"/>
            <w:vAlign w:val="center"/>
          </w:tcPr>
          <w:p w14:paraId="55ED1E17" w14:textId="5FCE4B7E" w:rsidR="00923F18" w:rsidRPr="003C106F"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en-US"/>
              </w:rPr>
            </w:pPr>
            <w:r>
              <w:rPr>
                <w:rFonts w:ascii="Aptos" w:hAnsi="Aptos"/>
                <w:sz w:val="18"/>
                <w:szCs w:val="18"/>
              </w:rPr>
              <w:t>M</w:t>
            </w:r>
            <w:r w:rsidRPr="0065661F">
              <w:rPr>
                <w:rFonts w:ascii="Aptos" w:hAnsi="Aptos"/>
                <w:sz w:val="18"/>
                <w:szCs w:val="18"/>
              </w:rPr>
              <w:t>aternal inheritance</w:t>
            </w:r>
            <w:r>
              <w:rPr>
                <w:rFonts w:ascii="Aptos" w:hAnsi="Aptos"/>
                <w:sz w:val="18"/>
                <w:szCs w:val="18"/>
              </w:rPr>
              <w:t xml:space="preserve"> (Mother healthy heterozygosis carrier)</w:t>
            </w:r>
          </w:p>
        </w:tc>
        <w:tc>
          <w:tcPr>
            <w:tcW w:w="1765" w:type="dxa"/>
            <w:shd w:val="clear" w:color="auto" w:fill="FFFFFF" w:themeFill="background1"/>
            <w:vAlign w:val="center"/>
          </w:tcPr>
          <w:p w14:paraId="2470F122" w14:textId="63D92B03"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lang w:val="it-IT"/>
              </w:rPr>
            </w:pPr>
            <w:r w:rsidRPr="003C106F">
              <w:rPr>
                <w:rFonts w:ascii="Aptos" w:hAnsi="Aptos"/>
                <w:sz w:val="20"/>
                <w:szCs w:val="20"/>
                <w:lang w:val="en-US"/>
              </w:rPr>
              <w:t>Garavaglia et al.</w:t>
            </w:r>
            <w:r w:rsidRPr="005500F7">
              <w:rPr>
                <w:rFonts w:ascii="Aptos" w:hAnsi="Aptos"/>
                <w:sz w:val="20"/>
                <w:szCs w:val="20"/>
              </w:rPr>
              <w:fldChar w:fldCharType="begin"/>
            </w:r>
            <w:r w:rsidRPr="003C106F">
              <w:rPr>
                <w:rFonts w:ascii="Aptos" w:hAnsi="Aptos"/>
                <w:sz w:val="20"/>
                <w:szCs w:val="20"/>
                <w:lang w:val="en-US"/>
              </w:rPr>
              <w:instrText xml:space="preserve"> ADDIN ZOTERO_ITEM CSL_CITATION {"citationID":"0QYnVFyE","properties":{"formattedCitation":"\\super 92\\nosupersub{}","plainCitation":"92","noteIndex":0},"citationItems":[{"id":652,"uris":["http://zotero.org/users/local/qbj29eOf/items/6BMAFNSX"],"itemData":{"id":652,"type":"article-journal","container-title":"Parkinsonism &amp; Related Disorders","DOI":"10.1016/j.parkreldis.2022.03.007","ISSN":"13538020","journalAbbreviation":"Parkinsonism &amp; Related Disorders","language":"en","page":"52-56","source":"DOI.org (Crossref)","title":"AOPEP variants as a novel cause of recessive dystonia: Generalized dystonia and dystonia-parkinsonism","title-short":"AOPEP variants as a novel cause of recessive dystonia","volume":"97","author":[{"family":"Garavaglia","given":"Barbara"},{"family":"Vallian","given":"Sadeq"},{"family":"Romito","given":"Luigi M."},{"family":"Straccia","given":"Giulia"},{"family":"Capecci","given":"Marianna"},{"family":"Invernizzi","given":"Federica"},{"family":"Andrenelli","given":"Elisa"},{"family":"Kazemi","given":"Arezu"},{"family":"Boesch","given":"Sylvia"},{"family":"Kopajtich","given":"Robert"},{"family":"Olfati","given":"Nahid"},{"family":"Shariati","given":"Mohammad"},{"family":"Shoeibi","given":"Ali"},{"family":"Sadr-Nabavi","given":"Ariane"},{"family":"Prokisch","given":"H</w:instrText>
            </w:r>
            <w:r w:rsidRPr="005500F7">
              <w:rPr>
                <w:rFonts w:ascii="Aptos" w:hAnsi="Aptos"/>
                <w:sz w:val="20"/>
                <w:szCs w:val="20"/>
                <w:lang w:val="it-IT"/>
              </w:rPr>
              <w:instrText xml:space="preserve">olger"},{"family":"Winkelmann","given":"Juliane"},{"family":"Zech","given":"Michael"}],"issued":{"date-parts":[["2022",4]]}}}],"schema":"https://github.com/citation-style-language/schema/raw/master/csl-citation.json"} </w:instrText>
            </w:r>
            <w:r w:rsidRPr="005500F7">
              <w:rPr>
                <w:rFonts w:ascii="Aptos" w:hAnsi="Aptos"/>
                <w:sz w:val="20"/>
                <w:szCs w:val="20"/>
              </w:rPr>
              <w:fldChar w:fldCharType="separate"/>
            </w:r>
            <w:r w:rsidRPr="005500F7">
              <w:rPr>
                <w:rFonts w:ascii="Aptos" w:hAnsi="Aptos" w:cs="Times New Roman"/>
                <w:sz w:val="20"/>
                <w:szCs w:val="20"/>
                <w:vertAlign w:val="superscript"/>
              </w:rPr>
              <w:t>92</w:t>
            </w:r>
            <w:r w:rsidRPr="005500F7">
              <w:rPr>
                <w:rFonts w:ascii="Aptos" w:hAnsi="Aptos"/>
                <w:sz w:val="20"/>
                <w:szCs w:val="20"/>
              </w:rPr>
              <w:fldChar w:fldCharType="end"/>
            </w:r>
            <w:r w:rsidRPr="005500F7">
              <w:rPr>
                <w:rFonts w:ascii="Aptos" w:hAnsi="Aptos"/>
                <w:sz w:val="20"/>
                <w:szCs w:val="20"/>
                <w:lang w:val="it-IT"/>
              </w:rPr>
              <w:t xml:space="preserve"> </w:t>
            </w:r>
          </w:p>
          <w:p w14:paraId="27DB7F94" w14:textId="6072854E"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lang w:val="it-IT"/>
              </w:rPr>
            </w:pPr>
            <w:r w:rsidRPr="005500F7">
              <w:rPr>
                <w:rFonts w:ascii="Aptos" w:hAnsi="Aptos"/>
                <w:sz w:val="20"/>
                <w:szCs w:val="20"/>
                <w:lang w:val="it-IT"/>
              </w:rPr>
              <w:t>(Patient III.6 family 2)</w:t>
            </w:r>
          </w:p>
        </w:tc>
      </w:tr>
      <w:tr w:rsidR="00923F18" w:rsidRPr="005500F7" w14:paraId="7062BCF8" w14:textId="2ABA1C85" w:rsidTr="003C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423609DF" w14:textId="08331404"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sidR="00A22151">
              <w:rPr>
                <w:rFonts w:ascii="Aptos" w:hAnsi="Aptos"/>
                <w:b w:val="0"/>
                <w:bCs w:val="0"/>
                <w:sz w:val="20"/>
                <w:szCs w:val="20"/>
              </w:rPr>
              <w:t>7</w:t>
            </w:r>
          </w:p>
        </w:tc>
        <w:tc>
          <w:tcPr>
            <w:tcW w:w="908" w:type="dxa"/>
            <w:shd w:val="clear" w:color="auto" w:fill="FFFFFF" w:themeFill="background1"/>
            <w:vAlign w:val="center"/>
          </w:tcPr>
          <w:p w14:paraId="2E2595B1" w14:textId="766033C5"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i/>
                <w:iCs/>
                <w:sz w:val="20"/>
                <w:szCs w:val="20"/>
              </w:rPr>
            </w:pPr>
            <w:r w:rsidRPr="00264446">
              <w:rPr>
                <w:rFonts w:ascii="Aptos" w:hAnsi="Aptos"/>
                <w:i/>
                <w:iCs/>
                <w:sz w:val="20"/>
                <w:szCs w:val="20"/>
              </w:rPr>
              <w:t>SGCE</w:t>
            </w:r>
          </w:p>
        </w:tc>
        <w:tc>
          <w:tcPr>
            <w:tcW w:w="2946" w:type="dxa"/>
            <w:shd w:val="clear" w:color="auto" w:fill="FFFFFF" w:themeFill="background1"/>
            <w:vAlign w:val="center"/>
          </w:tcPr>
          <w:p w14:paraId="72EC6D6E" w14:textId="2A939EDE"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 xml:space="preserve">Myoclonus dystonia with axial distribution, mainly proximal upper limb and head </w:t>
            </w:r>
          </w:p>
        </w:tc>
        <w:tc>
          <w:tcPr>
            <w:tcW w:w="2487" w:type="dxa"/>
            <w:shd w:val="clear" w:color="auto" w:fill="FFFFFF" w:themeFill="background1"/>
            <w:vAlign w:val="center"/>
          </w:tcPr>
          <w:p w14:paraId="483A60BD"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732F15C3" w14:textId="1C6BFD68"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Not available segregation analysis</w:t>
            </w:r>
          </w:p>
        </w:tc>
        <w:tc>
          <w:tcPr>
            <w:tcW w:w="1765" w:type="dxa"/>
            <w:shd w:val="clear" w:color="auto" w:fill="FFFFFF" w:themeFill="background1"/>
            <w:vAlign w:val="center"/>
          </w:tcPr>
          <w:p w14:paraId="7390176A" w14:textId="44D6C798"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Pr>
                <w:rFonts w:ascii="Aptos" w:hAnsi="Aptos"/>
                <w:sz w:val="20"/>
                <w:szCs w:val="20"/>
              </w:rPr>
              <w:t>First described by</w:t>
            </w:r>
          </w:p>
          <w:p w14:paraId="40E4E64B" w14:textId="18D29BC0"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FF4210">
              <w:rPr>
                <w:rFonts w:ascii="Aptos" w:hAnsi="Aptos"/>
                <w:sz w:val="20"/>
                <w:szCs w:val="20"/>
              </w:rPr>
              <w:t>Hess et al.</w:t>
            </w:r>
            <w:r w:rsidRPr="00FF4210">
              <w:rPr>
                <w:rFonts w:ascii="Aptos" w:hAnsi="Aptos"/>
                <w:sz w:val="20"/>
                <w:szCs w:val="20"/>
              </w:rPr>
              <w:fldChar w:fldCharType="begin"/>
            </w:r>
            <w:r w:rsidRPr="00FF4210">
              <w:rPr>
                <w:rFonts w:ascii="Aptos" w:hAnsi="Aptos"/>
                <w:sz w:val="20"/>
                <w:szCs w:val="20"/>
              </w:rPr>
              <w:instrText xml:space="preserve"> ADDIN ZOTERO_ITEM CSL_CITATION {"citationID":"X3sXHkHW","properties":{"formattedCitation":"\\super 93\\nosupersub{}","plainCitation":"93","noteIndex":0},"citationItems":[{"id":817,"uris":["http://zotero.org/users/local/qbj29eOf/items/5F8ZA97C"],"itemData":{"id":817,"type":"article-journal","container-title":"Neurology","DOI":"10.1212/01.wnl.0000253188.76092.06","ISSN":"0028-3878, 1526-632X","issue":"7","language":"en","note":"publisher: Ovid Technologies (Wolters Kluwer Health)","page":"522-524","source":"Crossref","title":"Myoclonus-dystonia, obsessive-compulsive disorder, and alcohol dependence in            &lt;i&gt;SGCE&lt;/i&gt;            mutation carriers","volume":"68","author":[{"family":"Hess","given":"C. W."},{"family":"Raymond","given":"D."},{"family":"Aguiar","given":"P. De Carvalho"},{"family":"Frucht","given":"S."},{"family":"Shriberg","given":"J."},{"family":"Heiman","given":"G. A."},{"family":"Kurlan","given":"R."},{"family":"Klein","given":"C."},{"family":"Bressman","given":"S. B."},{"family":"Ozelius","given":"L. J."},{"family":"Saunders-Pullman","given":"R."}],"issued":{"date-parts":[["2007",2,13]]}}}],"schema":"https://github.com/citation-style-language/schema/raw/master/csl-citation.json"} </w:instrText>
            </w:r>
            <w:r w:rsidRPr="00FF4210">
              <w:rPr>
                <w:rFonts w:ascii="Aptos" w:hAnsi="Aptos"/>
                <w:sz w:val="20"/>
                <w:szCs w:val="20"/>
              </w:rPr>
              <w:fldChar w:fldCharType="separate"/>
            </w:r>
            <w:r w:rsidRPr="00FF4210">
              <w:rPr>
                <w:rFonts w:ascii="Aptos" w:hAnsi="Aptos" w:cs="Times New Roman"/>
                <w:sz w:val="20"/>
                <w:vertAlign w:val="superscript"/>
              </w:rPr>
              <w:t>93</w:t>
            </w:r>
            <w:r w:rsidRPr="00FF4210">
              <w:rPr>
                <w:rFonts w:ascii="Aptos" w:hAnsi="Aptos"/>
                <w:sz w:val="20"/>
                <w:szCs w:val="20"/>
              </w:rPr>
              <w:fldChar w:fldCharType="end"/>
            </w:r>
          </w:p>
        </w:tc>
      </w:tr>
      <w:tr w:rsidR="00923F18" w:rsidRPr="005500F7" w14:paraId="4E69A523" w14:textId="2863AC21" w:rsidTr="003C106F">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16F85BED" w14:textId="75E54609"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sidR="00A22151">
              <w:rPr>
                <w:rFonts w:ascii="Aptos" w:hAnsi="Aptos"/>
                <w:b w:val="0"/>
                <w:bCs w:val="0"/>
                <w:sz w:val="20"/>
                <w:szCs w:val="20"/>
              </w:rPr>
              <w:t>8</w:t>
            </w:r>
          </w:p>
        </w:tc>
        <w:tc>
          <w:tcPr>
            <w:tcW w:w="908" w:type="dxa"/>
            <w:shd w:val="clear" w:color="auto" w:fill="FFFFFF" w:themeFill="background1"/>
            <w:vAlign w:val="center"/>
          </w:tcPr>
          <w:p w14:paraId="50EB40E1" w14:textId="63AF14EF"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i/>
                <w:iCs/>
                <w:sz w:val="20"/>
                <w:szCs w:val="20"/>
              </w:rPr>
            </w:pPr>
            <w:r w:rsidRPr="00264446">
              <w:rPr>
                <w:rFonts w:ascii="Aptos" w:hAnsi="Aptos"/>
                <w:i/>
                <w:iCs/>
                <w:sz w:val="20"/>
                <w:szCs w:val="20"/>
              </w:rPr>
              <w:t>THAP1</w:t>
            </w:r>
          </w:p>
        </w:tc>
        <w:tc>
          <w:tcPr>
            <w:tcW w:w="2946" w:type="dxa"/>
            <w:shd w:val="clear" w:color="auto" w:fill="FFFFFF" w:themeFill="background1"/>
            <w:vAlign w:val="center"/>
          </w:tcPr>
          <w:p w14:paraId="6C24D0E7" w14:textId="77BCBD81"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18"/>
                <w:szCs w:val="18"/>
              </w:rPr>
              <w:t xml:space="preserve">Generalized </w:t>
            </w:r>
            <w:proofErr w:type="gramStart"/>
            <w:r>
              <w:rPr>
                <w:rFonts w:ascii="Aptos" w:hAnsi="Aptos"/>
                <w:sz w:val="18"/>
                <w:szCs w:val="18"/>
              </w:rPr>
              <w:t>dystonia,  with</w:t>
            </w:r>
            <w:proofErr w:type="gramEnd"/>
            <w:r>
              <w:rPr>
                <w:rFonts w:ascii="Aptos" w:hAnsi="Aptos"/>
                <w:sz w:val="18"/>
                <w:szCs w:val="18"/>
              </w:rPr>
              <w:t xml:space="preserve"> prominent cranial-cervical  dystonia and dysarthria</w:t>
            </w:r>
          </w:p>
        </w:tc>
        <w:tc>
          <w:tcPr>
            <w:tcW w:w="2487" w:type="dxa"/>
            <w:shd w:val="clear" w:color="auto" w:fill="FFFFFF" w:themeFill="background1"/>
            <w:vAlign w:val="center"/>
          </w:tcPr>
          <w:p w14:paraId="5B6F0D9A" w14:textId="1EBEEFFB"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18"/>
                <w:szCs w:val="18"/>
              </w:rPr>
              <w:t xml:space="preserve">Not available </w:t>
            </w:r>
          </w:p>
        </w:tc>
        <w:tc>
          <w:tcPr>
            <w:tcW w:w="1765" w:type="dxa"/>
            <w:shd w:val="clear" w:color="auto" w:fill="FFFFFF" w:themeFill="background1"/>
            <w:vAlign w:val="center"/>
          </w:tcPr>
          <w:p w14:paraId="39B77A46" w14:textId="72BCC7A6"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5500F7">
              <w:rPr>
                <w:rFonts w:ascii="Aptos" w:hAnsi="Aptos"/>
                <w:sz w:val="20"/>
                <w:szCs w:val="20"/>
              </w:rPr>
              <w:t>Danielsson et al.</w:t>
            </w:r>
            <w:r w:rsidRPr="005500F7">
              <w:rPr>
                <w:rFonts w:ascii="Aptos" w:hAnsi="Aptos"/>
                <w:sz w:val="20"/>
                <w:szCs w:val="20"/>
              </w:rPr>
              <w:fldChar w:fldCharType="begin"/>
            </w:r>
            <w:r>
              <w:rPr>
                <w:rFonts w:ascii="Aptos" w:hAnsi="Aptos"/>
                <w:sz w:val="20"/>
                <w:szCs w:val="20"/>
              </w:rPr>
              <w:instrText xml:space="preserve"> ADDIN ZOTERO_ITEM CSL_CITATION {"citationID":"ZTbSA0ZD","properties":{"formattedCitation":"\\super 94\\nosupersub{}","plainCitation":"94","noteIndex":0},"citationItems":[{"id":653,"uris":["http://zotero.org/users/local/qbj29eOf/items/FS63YDNK"],"itemData":{"id":653,"type":"article-journal","abstract":"Pallidal deep brain stimulation is an established treatment in dystonia. Available data on the effect in DYT-THAP1 dystonia (also known as DYT6 dystonia) are scarce and long-term follow-up studies are lacking. In this retrospective, multicenter follow-up case series of medical records of such patients, the clinical outcome of pallidal deep brain stimulation in DYT-THAP1 dystonia, was evaluated. The Burke Fahn Marsden Dystonia Rating Scale served as an outcome measure. Nine females and 5 males were enrolled, with a median follow-up of 4 years and 10 months after implant. All benefited from surgery: dystonia severity was reduced by a median of 58% (IQR 31-62, p = 0.001) at last follow-up, as assessed by the Burke Fahn Marsden movement subscale. In the majority of individuals, there was no improvement of speech or swallowing, and overall, the effect was greater in the trunk and limbs as compared to the cranio-cervical and orolaryngeal regions. No correlation was found between disease duration before surgery, age at surgery, or preoperative disease burden and the outcome of deep brain stimulation. Device- and therapy-related side-effects were few. Accordingly, pallidal deep brain stimulation should be considered in clinically impairing and pharmaco-resistant DYT-THAP1 dystonia. The method is safe and effective, both short- and long-term.","container-title":"Journal of Clinical Medicine","DOI":"10.3390/jcm8122163","ISSN":"2077-0383","issue":"12","journalAbbreviation":"JCM","language":"en","page":"2163","source":"DOI.org (Crossref)","title":"Pallidal Deep Brain Stimulation in DYT6 Dystonia: Clinical Outcome and Predictive Factors for Motor Improvement","title-short":"Pallidal Deep Brain Stimulation in DYT6 Dystonia","volume":"8","author":[{"family":"Danielsson","given":"Annika"},{"family":"Carecchio","given":"Miryam"},{"family":"Cif","given":"Laura"},{"family":"Koy","given":"Anne"},{"family":"Lin","given":"Jean-Pierre"},{"family":"Solders","given":"Göran"},{"family":"Romito","given":"Luigi"},{"family":"Lohmann","given":"Katja"},{"family":"Garavaglia","given":"Barbara"},{"family":"Reale","given":"Chiara"},{"family":"Zorzi","given":"Giovanna"},{"family":"Nardocci","given":"Nardo"},{"family":"Coubes","given":"Philippe"},{"family":"Gonzalez","given":"Victoria"},{"family":"Roubertie","given":"Agathe"},{"family":"Collod-Beroud","given":"Gwenaelle"},{"family":"Lind","given":"Göran"},{"family":"Tedroff","given":"Kristina"}],"issued":{"date-parts":[["2019",12,6]]}}}],"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94</w:t>
            </w:r>
            <w:r w:rsidRPr="005500F7">
              <w:rPr>
                <w:rFonts w:ascii="Aptos" w:hAnsi="Aptos"/>
                <w:sz w:val="20"/>
                <w:szCs w:val="20"/>
              </w:rPr>
              <w:fldChar w:fldCharType="end"/>
            </w:r>
            <w:r w:rsidRPr="005500F7">
              <w:rPr>
                <w:rFonts w:ascii="Aptos" w:hAnsi="Aptos"/>
                <w:sz w:val="20"/>
                <w:szCs w:val="20"/>
              </w:rPr>
              <w:t xml:space="preserve"> </w:t>
            </w:r>
          </w:p>
          <w:p w14:paraId="12CF4283" w14:textId="361B080D"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sz w:val="20"/>
                <w:szCs w:val="20"/>
              </w:rPr>
              <w:t>(Patient #8)</w:t>
            </w:r>
          </w:p>
        </w:tc>
      </w:tr>
      <w:tr w:rsidR="00923F18" w:rsidRPr="005500F7" w14:paraId="387B3925" w14:textId="34374ADF"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45F10189" w14:textId="1E093C3D"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sidR="00A22151">
              <w:rPr>
                <w:rFonts w:ascii="Aptos" w:hAnsi="Aptos"/>
                <w:b w:val="0"/>
                <w:bCs w:val="0"/>
                <w:sz w:val="20"/>
                <w:szCs w:val="20"/>
              </w:rPr>
              <w:t>9</w:t>
            </w:r>
          </w:p>
        </w:tc>
        <w:tc>
          <w:tcPr>
            <w:tcW w:w="908" w:type="dxa"/>
            <w:shd w:val="clear" w:color="auto" w:fill="FFFFFF" w:themeFill="background1"/>
            <w:vAlign w:val="center"/>
          </w:tcPr>
          <w:p w14:paraId="49D4CC18" w14:textId="2AA91AA2"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THAP1</w:t>
            </w:r>
          </w:p>
        </w:tc>
        <w:tc>
          <w:tcPr>
            <w:tcW w:w="2946" w:type="dxa"/>
            <w:shd w:val="clear" w:color="auto" w:fill="FFFFFF" w:themeFill="background1"/>
            <w:vAlign w:val="center"/>
          </w:tcPr>
          <w:p w14:paraId="03A6A112" w14:textId="6358B1A5"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Generalized dystonia with mainly trunk </w:t>
            </w:r>
            <w:proofErr w:type="gramStart"/>
            <w:r>
              <w:rPr>
                <w:rFonts w:ascii="Aptos" w:hAnsi="Aptos"/>
                <w:sz w:val="18"/>
                <w:szCs w:val="18"/>
              </w:rPr>
              <w:t>and  r</w:t>
            </w:r>
            <w:r w:rsidRPr="0024623C">
              <w:rPr>
                <w:rFonts w:ascii="Aptos" w:hAnsi="Aptos"/>
                <w:sz w:val="18"/>
                <w:szCs w:val="18"/>
              </w:rPr>
              <w:t>ight</w:t>
            </w:r>
            <w:proofErr w:type="gramEnd"/>
            <w:r w:rsidRPr="0024623C">
              <w:rPr>
                <w:rFonts w:ascii="Aptos" w:hAnsi="Aptos"/>
                <w:sz w:val="18"/>
                <w:szCs w:val="18"/>
              </w:rPr>
              <w:t xml:space="preserve"> upper limb</w:t>
            </w:r>
            <w:r>
              <w:rPr>
                <w:rFonts w:ascii="Aptos" w:hAnsi="Aptos"/>
                <w:sz w:val="18"/>
                <w:szCs w:val="18"/>
              </w:rPr>
              <w:t xml:space="preserve"> involvement </w:t>
            </w:r>
          </w:p>
        </w:tc>
        <w:tc>
          <w:tcPr>
            <w:tcW w:w="2487" w:type="dxa"/>
            <w:shd w:val="clear" w:color="auto" w:fill="FFFFFF" w:themeFill="background1"/>
            <w:vAlign w:val="center"/>
          </w:tcPr>
          <w:p w14:paraId="2A7DD5AE" w14:textId="1A48B869"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Not available </w:t>
            </w:r>
          </w:p>
        </w:tc>
        <w:tc>
          <w:tcPr>
            <w:tcW w:w="1765" w:type="dxa"/>
            <w:shd w:val="clear" w:color="auto" w:fill="FFFFFF" w:themeFill="background1"/>
            <w:vAlign w:val="center"/>
          </w:tcPr>
          <w:p w14:paraId="7592D5C4" w14:textId="5A0D1907"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5500F7">
              <w:rPr>
                <w:rFonts w:ascii="Aptos" w:hAnsi="Aptos"/>
                <w:sz w:val="20"/>
                <w:szCs w:val="20"/>
              </w:rPr>
              <w:t>Danielsson et al.</w:t>
            </w:r>
            <w:r w:rsidRPr="005500F7">
              <w:rPr>
                <w:rFonts w:ascii="Aptos" w:hAnsi="Aptos"/>
                <w:sz w:val="20"/>
                <w:szCs w:val="20"/>
              </w:rPr>
              <w:fldChar w:fldCharType="begin"/>
            </w:r>
            <w:r>
              <w:rPr>
                <w:rFonts w:ascii="Aptos" w:hAnsi="Aptos"/>
                <w:sz w:val="20"/>
                <w:szCs w:val="20"/>
              </w:rPr>
              <w:instrText xml:space="preserve"> ADDIN ZOTERO_ITEM CSL_CITATION {"citationID":"fwbTeifi","properties":{"formattedCitation":"\\super 94\\nosupersub{}","plainCitation":"94","noteIndex":0},"citationItems":[{"id":653,"uris":["http://zotero.org/users/local/qbj29eOf/items/FS63YDNK"],"itemData":{"id":653,"type":"article-journal","abstract":"Pallidal deep brain stimulation is an established treatment in dystonia. Available data on the effect in DYT-THAP1 dystonia (also known as DYT6 dystonia) are scarce and long-term follow-up studies are lacking. In this retrospective, multicenter follow-up case series of medical records of such patients, the clinical outcome of pallidal deep brain stimulation in DYT-THAP1 dystonia, was evaluated. The Burke Fahn Marsden Dystonia Rating Scale served as an outcome measure. Nine females and 5 males were enrolled, with a median follow-up of 4 years and 10 months after implant. All benefited from surgery: dystonia severity was reduced by a median of 58% (IQR 31-62, p = 0.001) at last follow-up, as assessed by the Burke Fahn Marsden movement subscale. In the majority of individuals, there was no improvement of speech or swallowing, and overall, the effect was greater in the trunk and limbs as compared to the cranio-cervical and orolaryngeal regions. No correlation was found between disease duration before surgery, age at surgery, or preoperative disease burden and the outcome of deep brain stimulation. Device- and therapy-related side-effects were few. Accordingly, pallidal deep brain stimulation should be considered in clinically impairing and pharmaco-resistant DYT-THAP1 dystonia. The method is safe and effective, both short- and long-term.","container-title":"Journal of Clinical Medicine","DOI":"10.3390/jcm8122163","ISSN":"2077-0383","issue":"12","journalAbbreviation":"JCM","language":"en","page":"2163","source":"DOI.org (Crossref)","title":"Pallidal Deep Brain Stimulation in DYT6 Dystonia: Clinical Outcome and Predictive Factors for Motor Improvement","title-short":"Pallidal Deep Brain Stimulation in DYT6 Dystonia","volume":"8","author":[{"family":"Danielsson","given":"Annika"},{"family":"Carecchio","given":"Miryam"},{"family":"Cif","given":"Laura"},{"family":"Koy","given":"Anne"},{"family":"Lin","given":"Jean-Pierre"},{"family":"Solders","given":"Göran"},{"family":"Romito","given":"Luigi"},{"family":"Lohmann","given":"Katja"},{"family":"Garavaglia","given":"Barbara"},{"family":"Reale","given":"Chiara"},{"family":"Zorzi","given":"Giovanna"},{"family":"Nardocci","given":"Nardo"},{"family":"Coubes","given":"Philippe"},{"family":"Gonzalez","given":"Victoria"},{"family":"Roubertie","given":"Agathe"},{"family":"Collod-Beroud","given":"Gwenaelle"},{"family":"Lind","given":"Göran"},{"family":"Tedroff","given":"Kristina"}],"issued":{"date-parts":[["2019",12,6]]}}}],"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94</w:t>
            </w:r>
            <w:r w:rsidRPr="005500F7">
              <w:rPr>
                <w:rFonts w:ascii="Aptos" w:hAnsi="Aptos"/>
                <w:sz w:val="20"/>
                <w:szCs w:val="20"/>
              </w:rPr>
              <w:fldChar w:fldCharType="end"/>
            </w:r>
            <w:r w:rsidRPr="005500F7">
              <w:rPr>
                <w:rFonts w:ascii="Aptos" w:hAnsi="Aptos"/>
                <w:sz w:val="20"/>
                <w:szCs w:val="20"/>
              </w:rPr>
              <w:t xml:space="preserve"> </w:t>
            </w:r>
          </w:p>
          <w:p w14:paraId="48401817" w14:textId="62D05528"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(Patient #4)</w:t>
            </w:r>
          </w:p>
        </w:tc>
      </w:tr>
      <w:tr w:rsidR="00923F18" w:rsidRPr="005500F7" w14:paraId="31F023AB" w14:textId="5DE90458"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511316FB" w14:textId="72D75BB3"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sidR="00A22151">
              <w:rPr>
                <w:rFonts w:ascii="Aptos" w:hAnsi="Aptos"/>
                <w:b w:val="0"/>
                <w:bCs w:val="0"/>
                <w:sz w:val="20"/>
                <w:szCs w:val="20"/>
              </w:rPr>
              <w:t>0</w:t>
            </w:r>
          </w:p>
        </w:tc>
        <w:tc>
          <w:tcPr>
            <w:tcW w:w="908" w:type="dxa"/>
            <w:shd w:val="clear" w:color="auto" w:fill="FFFFFF" w:themeFill="background1"/>
            <w:vAlign w:val="center"/>
          </w:tcPr>
          <w:p w14:paraId="646568CF" w14:textId="346F898D"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THAP1</w:t>
            </w:r>
          </w:p>
        </w:tc>
        <w:tc>
          <w:tcPr>
            <w:tcW w:w="2946" w:type="dxa"/>
            <w:shd w:val="clear" w:color="auto" w:fill="FFFFFF" w:themeFill="background1"/>
            <w:vAlign w:val="center"/>
          </w:tcPr>
          <w:p w14:paraId="2172ADEF" w14:textId="4AE5CDC6"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Generalized dystonia with cervical, trunk, and r</w:t>
            </w:r>
            <w:r w:rsidRPr="0024623C">
              <w:rPr>
                <w:rFonts w:ascii="Aptos" w:hAnsi="Aptos"/>
                <w:sz w:val="18"/>
                <w:szCs w:val="18"/>
              </w:rPr>
              <w:t>ight upper limb</w:t>
            </w:r>
            <w:r>
              <w:rPr>
                <w:rFonts w:ascii="Aptos" w:hAnsi="Aptos"/>
                <w:sz w:val="18"/>
                <w:szCs w:val="18"/>
              </w:rPr>
              <w:t xml:space="preserve"> involvement</w:t>
            </w:r>
          </w:p>
        </w:tc>
        <w:tc>
          <w:tcPr>
            <w:tcW w:w="2487" w:type="dxa"/>
            <w:shd w:val="clear" w:color="auto" w:fill="FFFFFF" w:themeFill="background1"/>
            <w:vAlign w:val="center"/>
          </w:tcPr>
          <w:p w14:paraId="47877068" w14:textId="6D14068F" w:rsidR="00923F18" w:rsidRPr="00F40199"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18"/>
                <w:szCs w:val="18"/>
              </w:rPr>
              <w:t xml:space="preserve">Not available </w:t>
            </w:r>
          </w:p>
        </w:tc>
        <w:tc>
          <w:tcPr>
            <w:tcW w:w="1765" w:type="dxa"/>
            <w:shd w:val="clear" w:color="auto" w:fill="FFFFFF" w:themeFill="background1"/>
            <w:vAlign w:val="center"/>
          </w:tcPr>
          <w:p w14:paraId="624E13C1" w14:textId="74EC0786"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5500F7">
              <w:rPr>
                <w:rFonts w:ascii="Aptos" w:hAnsi="Aptos"/>
                <w:sz w:val="20"/>
                <w:szCs w:val="20"/>
              </w:rPr>
              <w:t>Danielsson et al.</w:t>
            </w:r>
            <w:r w:rsidRPr="005500F7">
              <w:rPr>
                <w:rFonts w:ascii="Aptos" w:hAnsi="Aptos"/>
                <w:sz w:val="20"/>
                <w:szCs w:val="20"/>
              </w:rPr>
              <w:fldChar w:fldCharType="begin"/>
            </w:r>
            <w:r>
              <w:rPr>
                <w:rFonts w:ascii="Aptos" w:hAnsi="Aptos"/>
                <w:sz w:val="20"/>
                <w:szCs w:val="20"/>
              </w:rPr>
              <w:instrText xml:space="preserve"> ADDIN ZOTERO_ITEM CSL_CITATION {"citationID":"BkxwRS7M","properties":{"formattedCitation":"\\super 94\\nosupersub{}","plainCitation":"94","noteIndex":0},"citationItems":[{"id":653,"uris":["http://zotero.org/users/local/qbj29eOf/items/FS63YDNK"],"itemData":{"id":653,"type":"article-journal","abstract":"Pallidal deep brain stimulation is an established treatment in dystonia. Available data on the effect in DYT-THAP1 dystonia (also known as DYT6 dystonia) are scarce and long-term follow-up studies are lacking. In this retrospective, multicenter follow-up case series of medical records of such patients, the clinical outcome of pallidal deep brain stimulation in DYT-THAP1 dystonia, was evaluated. The Burke Fahn Marsden Dystonia Rating Scale served as an outcome measure. Nine females and 5 males were enrolled, with a median follow-up of 4 years and 10 months after implant. All benefited from surgery: dystonia severity was reduced by a median of 58% (IQR 31-62, p = 0.001) at last follow-up, as assessed by the Burke Fahn Marsden movement subscale. In the majority of individuals, there was no improvement of speech or swallowing, and overall, the effect was greater in the trunk and limbs as compared to the cranio-cervical and orolaryngeal regions. No correlation was found between disease duration before surgery, age at surgery, or preoperative disease burden and the outcome of deep brain stimulation. Device- and therapy-related side-effects were few. Accordingly, pallidal deep brain stimulation should be considered in clinically impairing and pharmaco-resistant DYT-THAP1 dystonia. The method is safe and effective, both short- and long-term.","container-title":"Journal of Clinical Medicine","DOI":"10.3390/jcm8122163","ISSN":"2077-0383","issue":"12","journalAbbreviation":"JCM","language":"en","page":"2163","source":"DOI.org (Crossref)","title":"Pallidal Deep Brain Stimulation in DYT6 Dystonia: Clinical Outcome and Predictive Factors for Motor Improvement","title-short":"Pallidal Deep Brain Stimulation in DYT6 Dystonia","volume":"8","author":[{"family":"Danielsson","given":"Annika"},{"family":"Carecchio","given":"Miryam"},{"family":"Cif","given":"Laura"},{"family":"Koy","given":"Anne"},{"family":"Lin","given":"Jean-Pierre"},{"family":"Solders","given":"Göran"},{"family":"Romito","given":"Luigi"},{"family":"Lohmann","given":"Katja"},{"family":"Garavaglia","given":"Barbara"},{"family":"Reale","given":"Chiara"},{"family":"Zorzi","given":"Giovanna"},{"family":"Nardocci","given":"Nardo"},{"family":"Coubes","given":"Philippe"},{"family":"Gonzalez","given":"Victoria"},{"family":"Roubertie","given":"Agathe"},{"family":"Collod-Beroud","given":"Gwenaelle"},{"family":"Lind","given":"Göran"},{"family":"Tedroff","given":"Kristina"}],"issued":{"date-parts":[["2019",12,6]]}}}],"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94</w:t>
            </w:r>
            <w:r w:rsidRPr="005500F7">
              <w:rPr>
                <w:rFonts w:ascii="Aptos" w:hAnsi="Aptos"/>
                <w:sz w:val="20"/>
                <w:szCs w:val="20"/>
              </w:rPr>
              <w:fldChar w:fldCharType="end"/>
            </w:r>
            <w:r w:rsidRPr="005500F7">
              <w:rPr>
                <w:rFonts w:ascii="Aptos" w:hAnsi="Aptos"/>
                <w:sz w:val="20"/>
                <w:szCs w:val="20"/>
              </w:rPr>
              <w:t xml:space="preserve"> </w:t>
            </w:r>
          </w:p>
          <w:p w14:paraId="4F588394" w14:textId="11C0C4DA"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(Patient #5)</w:t>
            </w:r>
          </w:p>
        </w:tc>
      </w:tr>
      <w:tr w:rsidR="00923F18" w:rsidRPr="005500F7" w14:paraId="12861C28" w14:textId="11BC95EB"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4952173" w14:textId="344C8FCA"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1</w:t>
            </w:r>
          </w:p>
        </w:tc>
        <w:tc>
          <w:tcPr>
            <w:tcW w:w="908" w:type="dxa"/>
            <w:shd w:val="clear" w:color="auto" w:fill="FFFFFF" w:themeFill="background1"/>
            <w:vAlign w:val="center"/>
          </w:tcPr>
          <w:p w14:paraId="483119CF" w14:textId="35FCB1C0"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THAP1</w:t>
            </w:r>
          </w:p>
        </w:tc>
        <w:tc>
          <w:tcPr>
            <w:tcW w:w="2946" w:type="dxa"/>
            <w:shd w:val="clear" w:color="auto" w:fill="FFFFFF" w:themeFill="background1"/>
            <w:vAlign w:val="center"/>
          </w:tcPr>
          <w:p w14:paraId="1EB7FCA8" w14:textId="7A2CE2D5"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proofErr w:type="gramStart"/>
            <w:r>
              <w:rPr>
                <w:rFonts w:ascii="Aptos" w:hAnsi="Aptos"/>
                <w:sz w:val="18"/>
                <w:szCs w:val="18"/>
              </w:rPr>
              <w:t>Cervical  dystonia</w:t>
            </w:r>
            <w:proofErr w:type="gramEnd"/>
            <w:r>
              <w:rPr>
                <w:rFonts w:ascii="Aptos" w:hAnsi="Aptos"/>
                <w:sz w:val="18"/>
                <w:szCs w:val="18"/>
              </w:rPr>
              <w:t xml:space="preserve"> and dysarthria </w:t>
            </w:r>
          </w:p>
        </w:tc>
        <w:tc>
          <w:tcPr>
            <w:tcW w:w="2487" w:type="dxa"/>
            <w:shd w:val="clear" w:color="auto" w:fill="FFFFFF" w:themeFill="background1"/>
            <w:vAlign w:val="center"/>
          </w:tcPr>
          <w:p w14:paraId="1364866F" w14:textId="27070BCD"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Negative, mother analysis wild type</w:t>
            </w:r>
          </w:p>
        </w:tc>
        <w:tc>
          <w:tcPr>
            <w:tcW w:w="1765" w:type="dxa"/>
            <w:shd w:val="clear" w:color="auto" w:fill="FFFFFF" w:themeFill="background1"/>
            <w:vAlign w:val="center"/>
          </w:tcPr>
          <w:p w14:paraId="3228822D" w14:textId="64E17C61"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5500F7">
              <w:rPr>
                <w:rFonts w:ascii="Aptos" w:hAnsi="Aptos"/>
                <w:sz w:val="20"/>
                <w:szCs w:val="20"/>
              </w:rPr>
              <w:t>Danielsson et al.</w:t>
            </w:r>
            <w:r w:rsidRPr="005500F7">
              <w:rPr>
                <w:rFonts w:ascii="Aptos" w:hAnsi="Aptos"/>
                <w:sz w:val="20"/>
                <w:szCs w:val="20"/>
              </w:rPr>
              <w:fldChar w:fldCharType="begin"/>
            </w:r>
            <w:r>
              <w:rPr>
                <w:rFonts w:ascii="Aptos" w:hAnsi="Aptos"/>
                <w:sz w:val="20"/>
                <w:szCs w:val="20"/>
              </w:rPr>
              <w:instrText xml:space="preserve"> ADDIN ZOTERO_ITEM CSL_CITATION {"citationID":"b05GP1lc","properties":{"formattedCitation":"\\super 94\\nosupersub{}","plainCitation":"94","noteIndex":0},"citationItems":[{"id":653,"uris":["http://zotero.org/users/local/qbj29eOf/items/FS63YDNK"],"itemData":{"id":653,"type":"article-journal","abstract":"Pallidal deep brain stimulation is an established treatment in dystonia. Available data on the effect in DYT-THAP1 dystonia (also known as DYT6 dystonia) are scarce and long-term follow-up studies are lacking. In this retrospective, multicenter follow-up case series of medical records of such patients, the clinical outcome of pallidal deep brain stimulation in DYT-THAP1 dystonia, was evaluated. The Burke Fahn Marsden Dystonia Rating Scale served as an outcome measure. Nine females and 5 males were enrolled, with a median follow-up of 4 years and 10 months after implant. All benefited from surgery: dystonia severity was reduced by a median of 58% (IQR 31-62, p = 0.001) at last follow-up, as assessed by the Burke Fahn Marsden movement subscale. In the majority of individuals, there was no improvement of speech or swallowing, and overall, the effect was greater in the trunk and limbs as compared to the cranio-cervical and orolaryngeal regions. No correlation was found between disease duration before surgery, age at surgery, or preoperative disease burden and the outcome of deep brain stimulation. Device- and therapy-related side-effects were few. Accordingly, pallidal deep brain stimulation should be considered in clinically impairing and pharmaco-resistant DYT-THAP1 dystonia. The method is safe and effective, both short- and long-term.","container-title":"Journal of Clinical Medicine","DOI":"10.3390/jcm8122163","ISSN":"2077-0383","issue":"12","journalAbbreviation":"JCM","language":"en","page":"2163","source":"DOI.org (Crossref)","title":"Pallidal Deep Brain Stimulation in DYT6 Dystonia: Clinical Outcome and Predictive Factors for Motor Improvement","title-short":"Pallidal Deep Brain Stimulation in DYT6 Dystonia","volume":"8","author":[{"family":"Danielsson","given":"Annika"},{"family":"Carecchio","given":"Miryam"},{"family":"Cif","given":"Laura"},{"family":"Koy","given":"Anne"},{"family":"Lin","given":"Jean-Pierre"},{"family":"Solders","given":"Göran"},{"family":"Romito","given":"Luigi"},{"family":"Lohmann","given":"Katja"},{"family":"Garavaglia","given":"Barbara"},{"family":"Reale","given":"Chiara"},{"family":"Zorzi","given":"Giovanna"},{"family":"Nardocci","given":"Nardo"},{"family":"Coubes","given":"Philippe"},{"family":"Gonzalez","given":"Victoria"},{"family":"Roubertie","given":"Agathe"},{"family":"Collod-Beroud","given":"Gwenaelle"},{"family":"Lind","given":"Göran"},{"family":"Tedroff","given":"Kristina"}],"issued":{"date-parts":[["2019",12,6]]}}}],"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94</w:t>
            </w:r>
            <w:r w:rsidRPr="005500F7">
              <w:rPr>
                <w:rFonts w:ascii="Aptos" w:hAnsi="Aptos"/>
                <w:sz w:val="20"/>
                <w:szCs w:val="20"/>
              </w:rPr>
              <w:fldChar w:fldCharType="end"/>
            </w:r>
            <w:r w:rsidRPr="005500F7">
              <w:rPr>
                <w:rFonts w:ascii="Aptos" w:hAnsi="Aptos"/>
                <w:sz w:val="20"/>
                <w:szCs w:val="20"/>
              </w:rPr>
              <w:t xml:space="preserve"> </w:t>
            </w:r>
          </w:p>
          <w:p w14:paraId="0AD000FC" w14:textId="34DA1431"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(Patient #6)</w:t>
            </w:r>
          </w:p>
        </w:tc>
      </w:tr>
      <w:tr w:rsidR="00923F18" w:rsidRPr="005500F7" w14:paraId="7A60F661" w14:textId="68C28841"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3DF2D71D" w14:textId="545C8C37"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2</w:t>
            </w:r>
          </w:p>
        </w:tc>
        <w:tc>
          <w:tcPr>
            <w:tcW w:w="908" w:type="dxa"/>
            <w:shd w:val="clear" w:color="auto" w:fill="FFFFFF" w:themeFill="background1"/>
            <w:vAlign w:val="center"/>
          </w:tcPr>
          <w:p w14:paraId="2833504C" w14:textId="3A3BF030"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PANK2</w:t>
            </w:r>
          </w:p>
        </w:tc>
        <w:tc>
          <w:tcPr>
            <w:tcW w:w="2946" w:type="dxa"/>
            <w:shd w:val="clear" w:color="auto" w:fill="FFFFFF" w:themeFill="background1"/>
            <w:vAlign w:val="center"/>
          </w:tcPr>
          <w:p w14:paraId="539C4881" w14:textId="722D4472"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Generalized dystonia with mainly cervical and axial involvement</w:t>
            </w:r>
          </w:p>
        </w:tc>
        <w:tc>
          <w:tcPr>
            <w:tcW w:w="2487" w:type="dxa"/>
            <w:shd w:val="clear" w:color="auto" w:fill="FFFFFF" w:themeFill="background1"/>
            <w:vAlign w:val="center"/>
          </w:tcPr>
          <w:p w14:paraId="18F202BE"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2D964EFC" w14:textId="13770BD3"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Not available segregation analysis</w:t>
            </w:r>
          </w:p>
        </w:tc>
        <w:tc>
          <w:tcPr>
            <w:tcW w:w="1765" w:type="dxa"/>
            <w:shd w:val="clear" w:color="auto" w:fill="FFFFFF" w:themeFill="background1"/>
            <w:vAlign w:val="center"/>
          </w:tcPr>
          <w:p w14:paraId="09F2151C" w14:textId="1ECD538B" w:rsidR="00923F18" w:rsidRPr="00FF4210" w:rsidRDefault="00EE7B65"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20"/>
                <w:szCs w:val="20"/>
              </w:rPr>
              <w:t>Romito et al.</w:t>
            </w:r>
            <w:r>
              <w:rPr>
                <w:rFonts w:ascii="Aptos" w:hAnsi="Aptos"/>
                <w:sz w:val="20"/>
                <w:szCs w:val="20"/>
              </w:rPr>
              <w:fldChar w:fldCharType="begin"/>
            </w:r>
            <w:r>
              <w:rPr>
                <w:rFonts w:ascii="Aptos" w:hAnsi="Aptos"/>
                <w:sz w:val="20"/>
                <w:szCs w:val="20"/>
              </w:rPr>
              <w:instrText xml:space="preserve"> ADDIN ZOTERO_ITEM CSL_CITATION {"citationID":"KT0x8gca","properties":{"formattedCitation":"\\super 95\\nosupersub{}","plainCitation":"95","noteIndex":0},"citationItems":[{"id":769,"uris":["http://zotero.org/users/local/qbj29eOf/items/Y4A72RP3"],"itemData":{"id":769,"type":"article-journal","container-title":"Parkinsonism &amp; Related Disorders","DOI":"10.1016/j.parkreldis.2024.106977","ISSN":"13538020","journalAbbreviation":"Parkinsonism &amp; Related Disorders","language":"en","page":"106977","source":"DOI.org (Crossref)","title":"Illustration of the long-term efficacy of pallidal deep brain stimulation in a patient with PKAN dystonia","volume":"123","author":[{"family":"Romito","given":"Luigi M."},{"family":"Colucci","given":"Fabiana"},{"family":"Zorzi","given":"Giovanna"},{"family":"Garavaglia","given":"Barbara"},{"family":"Kaymak","given":"Ahmet"},{"family":"Mazzoni","given":"Alberto"},{"family":"Panteghini","given":"Celeste"},{"family":"Golfrè Andreasi","given":"Nico"},{"family":"Rinaldo","given":"Sara"},{"family":"Levi","given":"Vincenzo"},{"family":"Carecchio","given":"Miryam"},{"family":"Eleopra","given":"Roberto"}],"issued":{"date-parts":[["2024",6]]}}}],"schema":"https://github.com/citation-style-language/schema/raw/master/csl-citation.json"} </w:instrText>
            </w:r>
            <w:r>
              <w:rPr>
                <w:rFonts w:ascii="Aptos" w:hAnsi="Aptos"/>
                <w:sz w:val="20"/>
                <w:szCs w:val="20"/>
              </w:rPr>
              <w:fldChar w:fldCharType="separate"/>
            </w:r>
            <w:r w:rsidRPr="00EE7B65">
              <w:rPr>
                <w:rFonts w:ascii="Aptos" w:hAnsi="Aptos" w:cs="Times New Roman"/>
                <w:sz w:val="20"/>
                <w:vertAlign w:val="superscript"/>
              </w:rPr>
              <w:t>95</w:t>
            </w:r>
            <w:r>
              <w:rPr>
                <w:rFonts w:ascii="Aptos" w:hAnsi="Aptos"/>
                <w:sz w:val="20"/>
                <w:szCs w:val="20"/>
              </w:rPr>
              <w:fldChar w:fldCharType="end"/>
            </w:r>
          </w:p>
        </w:tc>
      </w:tr>
      <w:tr w:rsidR="00923F18" w:rsidRPr="005500F7" w14:paraId="30FD7A36" w14:textId="27209170"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74D8E976" w14:textId="460ABC9C"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3</w:t>
            </w:r>
          </w:p>
        </w:tc>
        <w:tc>
          <w:tcPr>
            <w:tcW w:w="908" w:type="dxa"/>
            <w:shd w:val="clear" w:color="auto" w:fill="FFFFFF" w:themeFill="background1"/>
            <w:vAlign w:val="center"/>
          </w:tcPr>
          <w:p w14:paraId="40814862" w14:textId="287A2852"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KMT2B</w:t>
            </w:r>
          </w:p>
        </w:tc>
        <w:tc>
          <w:tcPr>
            <w:tcW w:w="2946" w:type="dxa"/>
            <w:shd w:val="clear" w:color="auto" w:fill="FFFFFF" w:themeFill="background1"/>
            <w:vAlign w:val="center"/>
          </w:tcPr>
          <w:p w14:paraId="3AC29C76" w14:textId="24F28098"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Generalized dystonia with severe trunk and cervical involvement; dysarthria</w:t>
            </w:r>
          </w:p>
        </w:tc>
        <w:tc>
          <w:tcPr>
            <w:tcW w:w="2487" w:type="dxa"/>
            <w:shd w:val="clear" w:color="auto" w:fill="FFFFFF" w:themeFill="background1"/>
            <w:vAlign w:val="center"/>
          </w:tcPr>
          <w:p w14:paraId="542ED8C7"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56F931EF" w14:textId="063C0B7B"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Not available segregation analysis</w:t>
            </w:r>
          </w:p>
        </w:tc>
        <w:tc>
          <w:tcPr>
            <w:tcW w:w="1765" w:type="dxa"/>
            <w:shd w:val="clear" w:color="auto" w:fill="FFFFFF" w:themeFill="background1"/>
            <w:vAlign w:val="center"/>
          </w:tcPr>
          <w:p w14:paraId="27784D5B" w14:textId="43230FEB"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79057834" w14:textId="4D3C6377"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07464209" w14:textId="4891335E"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4</w:t>
            </w:r>
          </w:p>
        </w:tc>
        <w:tc>
          <w:tcPr>
            <w:tcW w:w="908" w:type="dxa"/>
            <w:shd w:val="clear" w:color="auto" w:fill="FFFFFF" w:themeFill="background1"/>
            <w:vAlign w:val="center"/>
          </w:tcPr>
          <w:p w14:paraId="2D6013A2" w14:textId="7169A52E"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59DE08D0" w14:textId="4C01463A"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Generalized dystonia with mainly trunk and lower limb involvement </w:t>
            </w:r>
          </w:p>
        </w:tc>
        <w:tc>
          <w:tcPr>
            <w:tcW w:w="2487" w:type="dxa"/>
            <w:shd w:val="clear" w:color="auto" w:fill="FFFFFF" w:themeFill="background1"/>
            <w:vAlign w:val="center"/>
          </w:tcPr>
          <w:p w14:paraId="242F0B7A"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36050109" w14:textId="67EFFAC8"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Parents’ segregation analysis wild type</w:t>
            </w:r>
          </w:p>
        </w:tc>
        <w:tc>
          <w:tcPr>
            <w:tcW w:w="1765" w:type="dxa"/>
            <w:shd w:val="clear" w:color="auto" w:fill="FFFFFF" w:themeFill="background1"/>
            <w:vAlign w:val="center"/>
          </w:tcPr>
          <w:p w14:paraId="20C0AA0B" w14:textId="332681E3"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583DDFF9" w14:textId="1A482B5C"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1E15D19" w14:textId="7C74B114"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5</w:t>
            </w:r>
          </w:p>
        </w:tc>
        <w:tc>
          <w:tcPr>
            <w:tcW w:w="908" w:type="dxa"/>
            <w:shd w:val="clear" w:color="auto" w:fill="FFFFFF" w:themeFill="background1"/>
            <w:vAlign w:val="center"/>
          </w:tcPr>
          <w:p w14:paraId="1DBD6BD0" w14:textId="7CF2DC47"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06DDDB57" w14:textId="552C0B44"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G</w:t>
            </w:r>
            <w:r w:rsidRPr="00165B14">
              <w:rPr>
                <w:rFonts w:ascii="Aptos" w:hAnsi="Aptos"/>
                <w:sz w:val="18"/>
                <w:szCs w:val="18"/>
                <w:lang w:val="en-US"/>
              </w:rPr>
              <w:t xml:space="preserve">eneralized dystonia with severe </w:t>
            </w:r>
            <w:r w:rsidRPr="00165B14">
              <w:rPr>
                <w:rFonts w:ascii="Aptos" w:hAnsi="Aptos"/>
                <w:sz w:val="18"/>
                <w:szCs w:val="18"/>
                <w:lang w:val="en-US"/>
              </w:rPr>
              <w:lastRenderedPageBreak/>
              <w:t>tortipelvis and lower limb dystoni</w:t>
            </w:r>
            <w:r>
              <w:rPr>
                <w:rFonts w:ascii="Aptos" w:hAnsi="Aptos"/>
                <w:sz w:val="18"/>
                <w:szCs w:val="18"/>
                <w:lang w:val="en-US"/>
              </w:rPr>
              <w:t>a</w:t>
            </w:r>
          </w:p>
        </w:tc>
        <w:tc>
          <w:tcPr>
            <w:tcW w:w="2487" w:type="dxa"/>
            <w:shd w:val="clear" w:color="auto" w:fill="FFFFFF" w:themeFill="background1"/>
            <w:vAlign w:val="center"/>
          </w:tcPr>
          <w:p w14:paraId="68A8EB2D"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lastRenderedPageBreak/>
              <w:t xml:space="preserve">Negative. </w:t>
            </w:r>
          </w:p>
          <w:p w14:paraId="083444BE" w14:textId="15B91156"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lastRenderedPageBreak/>
              <w:t>Not available segregation analysis</w:t>
            </w:r>
          </w:p>
        </w:tc>
        <w:tc>
          <w:tcPr>
            <w:tcW w:w="1765" w:type="dxa"/>
            <w:shd w:val="clear" w:color="auto" w:fill="FFFFFF" w:themeFill="background1"/>
            <w:vAlign w:val="center"/>
          </w:tcPr>
          <w:p w14:paraId="5DB42736" w14:textId="6751C14C"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lastRenderedPageBreak/>
              <w:t>Not yet described</w:t>
            </w:r>
          </w:p>
        </w:tc>
      </w:tr>
      <w:tr w:rsidR="00923F18" w:rsidRPr="005500F7" w14:paraId="1BB6F729" w14:textId="635124B2"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58C64113" w14:textId="77DADDB7"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6</w:t>
            </w:r>
          </w:p>
        </w:tc>
        <w:tc>
          <w:tcPr>
            <w:tcW w:w="908" w:type="dxa"/>
            <w:shd w:val="clear" w:color="auto" w:fill="FFFFFF" w:themeFill="background1"/>
            <w:vAlign w:val="center"/>
          </w:tcPr>
          <w:p w14:paraId="48BB6C24" w14:textId="0BF998B1"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59306CAE" w14:textId="5F974729"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Generalized dystonia with mainly trunk and lower limb involvement </w:t>
            </w:r>
          </w:p>
        </w:tc>
        <w:tc>
          <w:tcPr>
            <w:tcW w:w="2487" w:type="dxa"/>
            <w:shd w:val="clear" w:color="auto" w:fill="FFFFFF" w:themeFill="background1"/>
            <w:vAlign w:val="center"/>
          </w:tcPr>
          <w:p w14:paraId="11EA3237"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31C6339E" w14:textId="4991D220"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18"/>
                <w:szCs w:val="18"/>
              </w:rPr>
              <w:t>Parents’ segregation analysis wild type</w:t>
            </w:r>
          </w:p>
        </w:tc>
        <w:tc>
          <w:tcPr>
            <w:tcW w:w="1765" w:type="dxa"/>
            <w:shd w:val="clear" w:color="auto" w:fill="FFFFFF" w:themeFill="background1"/>
            <w:vAlign w:val="center"/>
          </w:tcPr>
          <w:p w14:paraId="7F93DC47" w14:textId="32B7399C"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5500F7">
              <w:rPr>
                <w:rFonts w:ascii="Aptos" w:hAnsi="Aptos"/>
                <w:sz w:val="20"/>
                <w:szCs w:val="20"/>
              </w:rPr>
              <w:t>Duga et al.</w:t>
            </w:r>
            <w:r w:rsidRPr="005500F7">
              <w:rPr>
                <w:rFonts w:ascii="Aptos" w:hAnsi="Aptos"/>
                <w:sz w:val="20"/>
                <w:szCs w:val="20"/>
              </w:rPr>
              <w:fldChar w:fldCharType="begin"/>
            </w:r>
            <w:r>
              <w:rPr>
                <w:rFonts w:ascii="Aptos" w:hAnsi="Aptos"/>
                <w:sz w:val="20"/>
                <w:szCs w:val="20"/>
              </w:rPr>
              <w:instrText xml:space="preserve"> ADDIN ZOTERO_ITEM CSL_CITATION {"citationID":"zdTMSSJo","properties":{"formattedCitation":"\\super 96\\nosupersub{}","plainCitation":"96","noteIndex":0},"citationItems":[{"id":725,"uris":["http://zotero.org/users/local/qbj29eOf/items/CQAFEBER"],"itemData":{"id":725,"type":"article-journal","abstract":"Background: The evidence in the effectiveness of deep brain stimulation in children with medication-refractory non-degenerative monogenic dystonia is heterogeneous and long-term results are sparse. Objectives: To describe long-term outcomes in a single-center cohort and compare our results to a meta-analysis cohort form literature. Methods: We performed a retrospective single-center cohort study including consecutive pediatric patients with non-degenerative genetic or idiopathic dystonia treated with globus pallidus internus deep brain stimulation at our center and a systematic review and individual-patient data meta-analysis with the same inclusion criteria. The primary outcome was the change from baseline in the BFMDRSM score. Results: The clinical cohort included 25 patients with a mean study follow-up of 11.4 years. The meta-analysis cohort included 224 patients with a mean follow-up of 3 years. Overall, the BFMDRSM mean improvements at 1 year and at last follow-up were 41% and 33% in the clinical cohort and 58.9% and 57.2% in the meta-analysis cohort, respectively. TOR1A-dystonia showed the greatest and most stable BFMDRS-M improvement in both cohorts at 1 year and at last follow-up (76.3% and 74.3% in the clinical cohort; 69.6% and 67.3% in the meta-analysis cohort), followed by SGCEdystonia (63% and 63.9% in the meta-analysis cohort). THAP1-dystonia (70.1% and 29.8% in the clinical cohort; 52.3% and 42.0% in the meta-analysis cohort) and KMT2B-dystonia (33.3% and 41.3%in the clinical cohort; 38.0% and 26.7% in the meta-analysis cohort) showed a less pronounced or sustained response. Conclusion: Globus pallidus deep brain stimulation long-term treatment seems effective with a possible gene-specific differential effect.","container-title":"Movement Disorders","DOI":"10.1002/mds.29815","ISSN":"0885-3185","journalAbbreviation":"Movement Disorders","language":"en","title":"Long-term GPi DBS in pediatric non-degenerative genetic dystonia: a cohort study and a meta-analysis","author":[{"family":"Duga","given":"Valentina"},{"family":"Giossi","given":"Riccardo"},{"family":"Romito","given":"Luigi Michele"},{"family":"Stanziano","given":"Mario"},{"family":"Levi","given":"Vincenzo"},{"family":"Panteghini","given":"Celeste"},{"family":"Zorzi","given":"Giovanna"},{"family":"Nardocci","given":"Nardo"}]}}],"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96</w:t>
            </w:r>
            <w:r w:rsidRPr="005500F7">
              <w:rPr>
                <w:rFonts w:ascii="Aptos" w:hAnsi="Aptos"/>
                <w:sz w:val="20"/>
                <w:szCs w:val="20"/>
              </w:rPr>
              <w:fldChar w:fldCharType="end"/>
            </w:r>
          </w:p>
          <w:p w14:paraId="3AF9B7F3" w14:textId="0ED6AD31"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sz w:val="20"/>
                <w:szCs w:val="20"/>
              </w:rPr>
              <w:t>(Patient #12)</w:t>
            </w:r>
          </w:p>
        </w:tc>
      </w:tr>
      <w:tr w:rsidR="00923F18" w:rsidRPr="005500F7" w14:paraId="03B6704C" w14:textId="1912C5B6"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5534B3AA" w14:textId="7A36F47B"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7</w:t>
            </w:r>
          </w:p>
        </w:tc>
        <w:tc>
          <w:tcPr>
            <w:tcW w:w="908" w:type="dxa"/>
            <w:shd w:val="clear" w:color="auto" w:fill="FFFFFF" w:themeFill="background1"/>
            <w:vAlign w:val="center"/>
          </w:tcPr>
          <w:p w14:paraId="61DD5D71" w14:textId="01636C63"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0456AC58" w14:textId="4A04DD2E"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mainly trunk and </w:t>
            </w:r>
            <w:r>
              <w:rPr>
                <w:rFonts w:ascii="Aptos" w:hAnsi="Aptos"/>
                <w:sz w:val="18"/>
                <w:szCs w:val="18"/>
              </w:rPr>
              <w:t>upper</w:t>
            </w:r>
            <w:r w:rsidRPr="00AC4670">
              <w:rPr>
                <w:rFonts w:ascii="Aptos" w:hAnsi="Aptos"/>
                <w:sz w:val="18"/>
                <w:szCs w:val="18"/>
              </w:rPr>
              <w:t xml:space="preserve"> limb involvement </w:t>
            </w:r>
          </w:p>
        </w:tc>
        <w:tc>
          <w:tcPr>
            <w:tcW w:w="2487" w:type="dxa"/>
            <w:shd w:val="clear" w:color="auto" w:fill="FFFFFF" w:themeFill="background1"/>
            <w:vAlign w:val="center"/>
          </w:tcPr>
          <w:p w14:paraId="53E66231"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 xml:space="preserve">Negative. </w:t>
            </w:r>
          </w:p>
          <w:p w14:paraId="0C1E5BDA" w14:textId="37A61C88"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0037A832" w14:textId="077C4A5F"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62ACF2F6" w14:textId="723C27CE"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08FECCA2" w14:textId="7AA159AE"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Pat1</w:t>
            </w:r>
            <w:r>
              <w:rPr>
                <w:rFonts w:ascii="Aptos" w:hAnsi="Aptos"/>
                <w:b w:val="0"/>
                <w:bCs w:val="0"/>
                <w:sz w:val="20"/>
                <w:szCs w:val="20"/>
              </w:rPr>
              <w:t>8</w:t>
            </w:r>
          </w:p>
        </w:tc>
        <w:tc>
          <w:tcPr>
            <w:tcW w:w="908" w:type="dxa"/>
            <w:shd w:val="clear" w:color="auto" w:fill="FFFFFF" w:themeFill="background1"/>
            <w:vAlign w:val="center"/>
          </w:tcPr>
          <w:p w14:paraId="31FD1F18" w14:textId="5E41BA46"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569EB70E" w14:textId="6B6BD077"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mainly </w:t>
            </w:r>
            <w:r>
              <w:rPr>
                <w:rFonts w:ascii="Aptos" w:hAnsi="Aptos"/>
                <w:sz w:val="18"/>
                <w:szCs w:val="18"/>
              </w:rPr>
              <w:t xml:space="preserve">cervical, </w:t>
            </w:r>
            <w:r w:rsidRPr="00AC4670">
              <w:rPr>
                <w:rFonts w:ascii="Aptos" w:hAnsi="Aptos"/>
                <w:sz w:val="18"/>
                <w:szCs w:val="18"/>
              </w:rPr>
              <w:t>trunk</w:t>
            </w:r>
            <w:r>
              <w:rPr>
                <w:rFonts w:ascii="Aptos" w:hAnsi="Aptos"/>
                <w:sz w:val="18"/>
                <w:szCs w:val="18"/>
              </w:rPr>
              <w:t>,</w:t>
            </w:r>
            <w:r w:rsidRPr="00AC4670">
              <w:rPr>
                <w:rFonts w:ascii="Aptos" w:hAnsi="Aptos"/>
                <w:sz w:val="18"/>
                <w:szCs w:val="18"/>
              </w:rPr>
              <w:t xml:space="preserve"> and lower limb involvement </w:t>
            </w:r>
          </w:p>
        </w:tc>
        <w:tc>
          <w:tcPr>
            <w:tcW w:w="2487" w:type="dxa"/>
            <w:shd w:val="clear" w:color="auto" w:fill="FFFFFF" w:themeFill="background1"/>
            <w:vAlign w:val="center"/>
          </w:tcPr>
          <w:p w14:paraId="21E17E09" w14:textId="222948D0"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08CFF909" w14:textId="463DE458"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7AB5B5AC" w14:textId="2D917F0D"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1FF1C373" w14:textId="24DB167A"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Pr>
                <w:rFonts w:ascii="Aptos" w:hAnsi="Aptos"/>
                <w:b w:val="0"/>
                <w:bCs w:val="0"/>
                <w:sz w:val="20"/>
                <w:szCs w:val="20"/>
              </w:rPr>
              <w:t>19</w:t>
            </w:r>
          </w:p>
        </w:tc>
        <w:tc>
          <w:tcPr>
            <w:tcW w:w="908" w:type="dxa"/>
            <w:shd w:val="clear" w:color="auto" w:fill="FFFFFF" w:themeFill="background1"/>
            <w:vAlign w:val="center"/>
          </w:tcPr>
          <w:p w14:paraId="18E3E4D4" w14:textId="1A9404FF"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79CE4884" w14:textId="6A62A7FD"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mainly trunk and lower limb involvement </w:t>
            </w:r>
          </w:p>
        </w:tc>
        <w:tc>
          <w:tcPr>
            <w:tcW w:w="2487" w:type="dxa"/>
            <w:shd w:val="clear" w:color="auto" w:fill="FFFFFF" w:themeFill="background1"/>
            <w:vAlign w:val="center"/>
          </w:tcPr>
          <w:p w14:paraId="7F293A24"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 xml:space="preserve">Negative. </w:t>
            </w:r>
          </w:p>
          <w:p w14:paraId="79C0F64C" w14:textId="65D3780A"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41C3D2B7" w14:textId="4F6DE8E6"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3636A505" w14:textId="10778AC7"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368BF34C" w14:textId="7CB11463"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0</w:t>
            </w:r>
          </w:p>
        </w:tc>
        <w:tc>
          <w:tcPr>
            <w:tcW w:w="908" w:type="dxa"/>
            <w:shd w:val="clear" w:color="auto" w:fill="FFFFFF" w:themeFill="background1"/>
            <w:vAlign w:val="center"/>
          </w:tcPr>
          <w:p w14:paraId="320176D0" w14:textId="3B90695A"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7D37D8FC" w14:textId="61E4286C"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mainly trunk and </w:t>
            </w:r>
            <w:r>
              <w:rPr>
                <w:rFonts w:ascii="Aptos" w:hAnsi="Aptos"/>
                <w:sz w:val="18"/>
                <w:szCs w:val="18"/>
              </w:rPr>
              <w:t>upper</w:t>
            </w:r>
            <w:r w:rsidRPr="00AC4670">
              <w:rPr>
                <w:rFonts w:ascii="Aptos" w:hAnsi="Aptos"/>
                <w:sz w:val="18"/>
                <w:szCs w:val="18"/>
              </w:rPr>
              <w:t xml:space="preserve"> limb involvement </w:t>
            </w:r>
          </w:p>
        </w:tc>
        <w:tc>
          <w:tcPr>
            <w:tcW w:w="2487" w:type="dxa"/>
            <w:shd w:val="clear" w:color="auto" w:fill="FFFFFF" w:themeFill="background1"/>
            <w:vAlign w:val="center"/>
          </w:tcPr>
          <w:p w14:paraId="36DB4F03" w14:textId="6CFB5C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r>
              <w:rPr>
                <w:rFonts w:ascii="Aptos" w:hAnsi="Aptos"/>
                <w:sz w:val="18"/>
                <w:szCs w:val="18"/>
              </w:rPr>
              <w:t>.</w:t>
            </w:r>
          </w:p>
          <w:p w14:paraId="628C2A10" w14:textId="08EFB50B"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Son is affected by generalized dystonia due to the same mutation</w:t>
            </w:r>
          </w:p>
        </w:tc>
        <w:tc>
          <w:tcPr>
            <w:tcW w:w="1765" w:type="dxa"/>
            <w:shd w:val="clear" w:color="auto" w:fill="FFFFFF" w:themeFill="background1"/>
            <w:vAlign w:val="center"/>
          </w:tcPr>
          <w:p w14:paraId="5513B508" w14:textId="468C8CBB"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1815FC74" w14:textId="7014CB58"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965784C" w14:textId="6F01197F"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1</w:t>
            </w:r>
          </w:p>
        </w:tc>
        <w:tc>
          <w:tcPr>
            <w:tcW w:w="908" w:type="dxa"/>
            <w:shd w:val="clear" w:color="auto" w:fill="FFFFFF" w:themeFill="background1"/>
            <w:vAlign w:val="center"/>
          </w:tcPr>
          <w:p w14:paraId="74C4E063" w14:textId="2E267CCF"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3FE11B91" w14:textId="7E2B3D71"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Segmental</w:t>
            </w:r>
            <w:r w:rsidRPr="00AC4670">
              <w:rPr>
                <w:rFonts w:ascii="Aptos" w:hAnsi="Aptos"/>
                <w:sz w:val="18"/>
                <w:szCs w:val="18"/>
              </w:rPr>
              <w:t xml:space="preserve"> </w:t>
            </w:r>
            <w:r>
              <w:rPr>
                <w:rFonts w:ascii="Aptos" w:hAnsi="Aptos"/>
                <w:sz w:val="18"/>
                <w:szCs w:val="18"/>
              </w:rPr>
              <w:t xml:space="preserve">tremulous </w:t>
            </w:r>
            <w:r w:rsidRPr="00AC4670">
              <w:rPr>
                <w:rFonts w:ascii="Aptos" w:hAnsi="Aptos"/>
                <w:sz w:val="18"/>
                <w:szCs w:val="18"/>
              </w:rPr>
              <w:t xml:space="preserve">dystonia with </w:t>
            </w:r>
            <w:r>
              <w:rPr>
                <w:rFonts w:ascii="Aptos" w:hAnsi="Aptos"/>
                <w:sz w:val="18"/>
                <w:szCs w:val="18"/>
              </w:rPr>
              <w:t>severe cervical and upper</w:t>
            </w:r>
            <w:r w:rsidRPr="00AC4670">
              <w:rPr>
                <w:rFonts w:ascii="Aptos" w:hAnsi="Aptos"/>
                <w:sz w:val="18"/>
                <w:szCs w:val="18"/>
              </w:rPr>
              <w:t xml:space="preserve"> limb involvement </w:t>
            </w:r>
          </w:p>
        </w:tc>
        <w:tc>
          <w:tcPr>
            <w:tcW w:w="2487" w:type="dxa"/>
            <w:shd w:val="clear" w:color="auto" w:fill="FFFFFF" w:themeFill="background1"/>
            <w:vAlign w:val="center"/>
          </w:tcPr>
          <w:p w14:paraId="554419F5"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 xml:space="preserve">Negative. </w:t>
            </w:r>
          </w:p>
          <w:p w14:paraId="39EB6F34" w14:textId="5BE1036C"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68C9EE32" w14:textId="18FFBF39"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78E4183A" w14:textId="25C3DE7D"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1E82AA76" w14:textId="624D2B50"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2</w:t>
            </w:r>
          </w:p>
        </w:tc>
        <w:tc>
          <w:tcPr>
            <w:tcW w:w="908" w:type="dxa"/>
            <w:shd w:val="clear" w:color="auto" w:fill="FFFFFF" w:themeFill="background1"/>
            <w:vAlign w:val="center"/>
          </w:tcPr>
          <w:p w14:paraId="15D22CD0" w14:textId="158EE63F"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TOR1A</w:t>
            </w:r>
          </w:p>
        </w:tc>
        <w:tc>
          <w:tcPr>
            <w:tcW w:w="2946" w:type="dxa"/>
            <w:shd w:val="clear" w:color="auto" w:fill="FFFFFF" w:themeFill="background1"/>
            <w:vAlign w:val="center"/>
          </w:tcPr>
          <w:p w14:paraId="3B0DE707" w14:textId="0E25CE90"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mainly trunk and lower limb involvement </w:t>
            </w:r>
          </w:p>
        </w:tc>
        <w:tc>
          <w:tcPr>
            <w:tcW w:w="2487" w:type="dxa"/>
            <w:shd w:val="clear" w:color="auto" w:fill="FFFFFF" w:themeFill="background1"/>
            <w:vAlign w:val="center"/>
          </w:tcPr>
          <w:p w14:paraId="3B74B35C"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sidRPr="00183D32">
              <w:rPr>
                <w:rFonts w:ascii="Aptos" w:hAnsi="Aptos"/>
                <w:sz w:val="18"/>
                <w:szCs w:val="18"/>
              </w:rPr>
              <w:t xml:space="preserve">Negative. </w:t>
            </w:r>
          </w:p>
          <w:p w14:paraId="1F64CB9D" w14:textId="5B723145"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663B3195" w14:textId="2657A6A8"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01774EED" w14:textId="07EA089C"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182733D" w14:textId="46D8FE6E"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3</w:t>
            </w:r>
          </w:p>
        </w:tc>
        <w:tc>
          <w:tcPr>
            <w:tcW w:w="908" w:type="dxa"/>
            <w:shd w:val="clear" w:color="auto" w:fill="FFFFFF" w:themeFill="background1"/>
            <w:vAlign w:val="center"/>
          </w:tcPr>
          <w:p w14:paraId="648BC2E6" w14:textId="2623B895"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KMT2B</w:t>
            </w:r>
          </w:p>
        </w:tc>
        <w:tc>
          <w:tcPr>
            <w:tcW w:w="2946" w:type="dxa"/>
            <w:shd w:val="clear" w:color="auto" w:fill="FFFFFF" w:themeFill="background1"/>
            <w:vAlign w:val="center"/>
          </w:tcPr>
          <w:p w14:paraId="60C0E64B" w14:textId="0DA59E0D"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Generalized dystonia with mainly trunk, upper</w:t>
            </w:r>
            <w:r w:rsidRPr="00F7440B">
              <w:rPr>
                <w:rFonts w:ascii="Aptos" w:hAnsi="Aptos"/>
                <w:sz w:val="18"/>
                <w:szCs w:val="18"/>
              </w:rPr>
              <w:t xml:space="preserve"> limbs</w:t>
            </w:r>
            <w:r>
              <w:rPr>
                <w:rFonts w:ascii="Aptos" w:hAnsi="Aptos"/>
                <w:sz w:val="18"/>
                <w:szCs w:val="18"/>
              </w:rPr>
              <w:t>,</w:t>
            </w:r>
            <w:r w:rsidRPr="00F7440B">
              <w:rPr>
                <w:rFonts w:ascii="Aptos" w:hAnsi="Aptos"/>
                <w:sz w:val="18"/>
                <w:szCs w:val="18"/>
              </w:rPr>
              <w:t xml:space="preserve"> </w:t>
            </w:r>
            <w:r>
              <w:rPr>
                <w:rFonts w:ascii="Aptos" w:hAnsi="Aptos"/>
                <w:sz w:val="18"/>
                <w:szCs w:val="18"/>
              </w:rPr>
              <w:t xml:space="preserve">and oromandibular involvement </w:t>
            </w:r>
          </w:p>
        </w:tc>
        <w:tc>
          <w:tcPr>
            <w:tcW w:w="2487" w:type="dxa"/>
            <w:shd w:val="clear" w:color="auto" w:fill="FFFFFF" w:themeFill="background1"/>
            <w:vAlign w:val="center"/>
          </w:tcPr>
          <w:p w14:paraId="4B842099"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Pr>
                <w:rFonts w:ascii="Aptos" w:hAnsi="Aptos"/>
                <w:sz w:val="18"/>
                <w:szCs w:val="18"/>
              </w:rPr>
              <w:t xml:space="preserve">Negative. </w:t>
            </w:r>
          </w:p>
          <w:p w14:paraId="634FA4EF" w14:textId="25AD1544" w:rsidR="00923F18" w:rsidRPr="00F40199"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Parents’ segregation analysis wild type</w:t>
            </w:r>
          </w:p>
        </w:tc>
        <w:tc>
          <w:tcPr>
            <w:tcW w:w="1765" w:type="dxa"/>
            <w:shd w:val="clear" w:color="auto" w:fill="FFFFFF" w:themeFill="background1"/>
            <w:vAlign w:val="center"/>
          </w:tcPr>
          <w:p w14:paraId="2887026C" w14:textId="4F1FB9AA"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it-IT"/>
              </w:rPr>
            </w:pPr>
            <w:r w:rsidRPr="005500F7">
              <w:rPr>
                <w:rFonts w:ascii="Aptos" w:hAnsi="Aptos"/>
                <w:sz w:val="20"/>
                <w:szCs w:val="20"/>
                <w:lang w:val="it-IT"/>
              </w:rPr>
              <w:t>Carecchio et al.</w:t>
            </w:r>
            <w:r w:rsidRPr="005500F7">
              <w:rPr>
                <w:rFonts w:ascii="Aptos" w:hAnsi="Aptos"/>
                <w:sz w:val="20"/>
                <w:szCs w:val="20"/>
              </w:rPr>
              <w:fldChar w:fldCharType="begin"/>
            </w:r>
            <w:r>
              <w:rPr>
                <w:rFonts w:ascii="Aptos" w:hAnsi="Aptos"/>
                <w:sz w:val="20"/>
                <w:szCs w:val="20"/>
                <w:lang w:val="it-IT"/>
              </w:rPr>
              <w:instrText xml:space="preserve"> ADDIN ZOTERO_ITEM CSL_CITATION {"citationID":"7cJHq5yC","properties":{"formattedCitation":"\\super 97\\nosupersub{}","plainCitation":"97","noteIndex":0},"citationItems":[{"id":655,"uris":["http://zotero.org/users/local/qbj29eOf/items/FC6XNZVR"],"itemData":{"id":655,"type":"article-journal","abstract":"Abstract\n            \n              Background\n              \n                Childhood</w:instrText>
            </w:r>
            <w:r>
              <w:rPr>
                <w:rFonts w:ascii="Cambria Math" w:hAnsi="Cambria Math" w:cs="Cambria Math"/>
                <w:sz w:val="20"/>
                <w:szCs w:val="20"/>
                <w:lang w:val="it-IT"/>
              </w:rPr>
              <w:instrText>‐</w:instrText>
            </w:r>
            <w:r>
              <w:rPr>
                <w:rFonts w:ascii="Aptos" w:hAnsi="Aptos"/>
                <w:sz w:val="20"/>
                <w:szCs w:val="20"/>
                <w:lang w:val="it-IT"/>
              </w:rPr>
              <w:instrText>onset dystonia is often genetically determined. Recently,\n                KMT2B\n                variants have been recognized as an important cause of childhood</w:instrText>
            </w:r>
            <w:r>
              <w:rPr>
                <w:rFonts w:ascii="Cambria Math" w:hAnsi="Cambria Math" w:cs="Cambria Math"/>
                <w:sz w:val="20"/>
                <w:szCs w:val="20"/>
                <w:lang w:val="it-IT"/>
              </w:rPr>
              <w:instrText>‐</w:instrText>
            </w:r>
            <w:r>
              <w:rPr>
                <w:rFonts w:ascii="Aptos" w:hAnsi="Aptos"/>
                <w:sz w:val="20"/>
                <w:szCs w:val="20"/>
                <w:lang w:val="it-IT"/>
              </w:rPr>
              <w:instrText>onset dystonia.\n              \n            \n            \n              Objective\n              \n                To define the frequency of\n                KMT2B\n                mutations in a cohort of dystonic patients aged &lt;18 years at onset, the associated clinical and radiological phenotype, and the natural history of disease.\n              \n            \n            \n              Methods\n              Whole</w:instrText>
            </w:r>
            <w:r>
              <w:rPr>
                <w:rFonts w:ascii="Cambria Math" w:hAnsi="Cambria Math" w:cs="Cambria Math"/>
                <w:sz w:val="20"/>
                <w:szCs w:val="20"/>
                <w:lang w:val="it-IT"/>
              </w:rPr>
              <w:instrText>‐</w:instrText>
            </w:r>
            <w:r>
              <w:rPr>
                <w:rFonts w:ascii="Aptos" w:hAnsi="Aptos"/>
                <w:sz w:val="20"/>
                <w:szCs w:val="20"/>
                <w:lang w:val="it-IT"/>
              </w:rPr>
              <w:instrText>exome sequencing or customized gene panels were used to screen a cohort of 65 patients who had previously tested negative for all other known dystonia</w:instrText>
            </w:r>
            <w:r>
              <w:rPr>
                <w:rFonts w:ascii="Cambria Math" w:hAnsi="Cambria Math" w:cs="Cambria Math"/>
                <w:sz w:val="20"/>
                <w:szCs w:val="20"/>
                <w:lang w:val="it-IT"/>
              </w:rPr>
              <w:instrText>‐</w:instrText>
            </w:r>
            <w:r>
              <w:rPr>
                <w:rFonts w:ascii="Aptos" w:hAnsi="Aptos"/>
                <w:sz w:val="20"/>
                <w:szCs w:val="20"/>
                <w:lang w:val="it-IT"/>
              </w:rPr>
              <w:instrText>associated genes.\n            \n            \n              Results\n              \n                We identified 14 patients (21.5%) carrying\n                KMT2B\n                variants, of which 1 was classified as a variant of unknown significance. We also identified 2 additional patients carrying pathogenic mutations in\n                GNAO1\n                and\n                ATM\n                . Overall, we established a definitive genetic diagnosis in 23% of cases. We observed a spectrum of clinical manifestations in\n                KMT2B\n                variant carriers, ranging from generalized dystonia to short stature or intellectual disability alone, even within the same family. In 78.5% of cases, dystonia involved the lower limbs at onset, with later caudocranial generalization. Eight patients underwent pallidal DBS with a median decrease of Burke</w:instrText>
            </w:r>
            <w:r>
              <w:rPr>
                <w:rFonts w:ascii="Cambria Math" w:hAnsi="Cambria Math" w:cs="Cambria Math"/>
                <w:sz w:val="20"/>
                <w:szCs w:val="20"/>
                <w:lang w:val="it-IT"/>
              </w:rPr>
              <w:instrText>‐</w:instrText>
            </w:r>
            <w:r>
              <w:rPr>
                <w:rFonts w:ascii="Aptos" w:hAnsi="Aptos"/>
                <w:sz w:val="20"/>
                <w:szCs w:val="20"/>
                <w:lang w:val="it-IT"/>
              </w:rPr>
              <w:instrText>Fahn</w:instrText>
            </w:r>
            <w:r>
              <w:rPr>
                <w:rFonts w:ascii="Cambria Math" w:hAnsi="Cambria Math" w:cs="Cambria Math"/>
                <w:sz w:val="20"/>
                <w:szCs w:val="20"/>
                <w:lang w:val="it-IT"/>
              </w:rPr>
              <w:instrText>‐</w:instrText>
            </w:r>
            <w:r>
              <w:rPr>
                <w:rFonts w:ascii="Aptos" w:hAnsi="Aptos"/>
                <w:sz w:val="20"/>
                <w:szCs w:val="20"/>
                <w:lang w:val="it-IT"/>
              </w:rPr>
              <w:instrText>Marsden Dystonia Rating Scale</w:instrText>
            </w:r>
            <w:r>
              <w:rPr>
                <w:rFonts w:ascii="Cambria Math" w:hAnsi="Cambria Math" w:cs="Cambria Math"/>
                <w:sz w:val="20"/>
                <w:szCs w:val="20"/>
                <w:lang w:val="it-IT"/>
              </w:rPr>
              <w:instrText>‐</w:instrText>
            </w:r>
            <w:r>
              <w:rPr>
                <w:rFonts w:ascii="Aptos" w:hAnsi="Aptos"/>
                <w:sz w:val="20"/>
                <w:szCs w:val="20"/>
                <w:lang w:val="it-IT"/>
              </w:rPr>
              <w:instrText>Motor score of 38.5% in the long term. We also report on 4 asymptomatic carriers, suggesting that some\n                KMT2B\n                mutations may be associated with incomplete disease penetrance.\n              \n            \n            \n              Conclusions\n              \n                KMT2B\n                mutations are frequent in childhood</w:instrText>
            </w:r>
            <w:r>
              <w:rPr>
                <w:rFonts w:ascii="Cambria Math" w:hAnsi="Cambria Math" w:cs="Cambria Math"/>
                <w:sz w:val="20"/>
                <w:szCs w:val="20"/>
                <w:lang w:val="it-IT"/>
              </w:rPr>
              <w:instrText>‐</w:instrText>
            </w:r>
            <w:r>
              <w:rPr>
                <w:rFonts w:ascii="Aptos" w:hAnsi="Aptos"/>
                <w:sz w:val="20"/>
                <w:szCs w:val="20"/>
                <w:lang w:val="it-IT"/>
              </w:rPr>
              <w:instrText>onset dystonia and cause a complex neurodevelopmental syndrome, often featuring growth retardation and intellectual disability as additional phenotypic features. A dramatic and long</w:instrText>
            </w:r>
            <w:r>
              <w:rPr>
                <w:rFonts w:ascii="Cambria Math" w:hAnsi="Cambria Math" w:cs="Cambria Math"/>
                <w:sz w:val="20"/>
                <w:szCs w:val="20"/>
                <w:lang w:val="it-IT"/>
              </w:rPr>
              <w:instrText>‐</w:instrText>
            </w:r>
            <w:r>
              <w:rPr>
                <w:rFonts w:ascii="Aptos" w:hAnsi="Aptos"/>
                <w:sz w:val="20"/>
                <w:szCs w:val="20"/>
                <w:lang w:val="it-IT"/>
              </w:rPr>
              <w:instrText>lasting response to DBS is characteristic of DYT</w:instrText>
            </w:r>
            <w:r>
              <w:rPr>
                <w:rFonts w:ascii="Cambria Math" w:hAnsi="Cambria Math" w:cs="Cambria Math"/>
                <w:sz w:val="20"/>
                <w:szCs w:val="20"/>
                <w:lang w:val="it-IT"/>
              </w:rPr>
              <w:instrText>‐</w:instrText>
            </w:r>
            <w:r>
              <w:rPr>
                <w:rFonts w:ascii="Aptos" w:hAnsi="Aptos"/>
                <w:sz w:val="20"/>
                <w:szCs w:val="20"/>
                <w:lang w:val="it-IT"/>
              </w:rPr>
              <w:instrText xml:space="preserve">\n                KMT2B\n                dystonia. </w:instrText>
            </w:r>
            <w:r>
              <w:rPr>
                <w:rFonts w:ascii="Aptos" w:hAnsi="Aptos" w:cs="Aptos"/>
                <w:sz w:val="20"/>
                <w:szCs w:val="20"/>
                <w:lang w:val="it-IT"/>
              </w:rPr>
              <w:instrText>©</w:instrText>
            </w:r>
            <w:r>
              <w:rPr>
                <w:rFonts w:ascii="Aptos" w:hAnsi="Aptos"/>
                <w:sz w:val="20"/>
                <w:szCs w:val="20"/>
                <w:lang w:val="it-IT"/>
              </w:rPr>
              <w:instrText xml:space="preserve"> 2019 International Parkinson and Movement Disorder Society","container-title":"Movement Disorders","DOI":"10.1002/mds.27771","ISSN":"0885-3185, 1531-8257","issue":"10","journalAbbreviation":"Movement Disorders","language":"en","page":"1516-1527","source":"DOI.org (Crossref)","title":"Frequency and phenotypic spectrum of &lt;i&gt;KMT2B&lt;/i&gt; dystonia in childhood: A single</w:instrText>
            </w:r>
            <w:r>
              <w:rPr>
                <w:rFonts w:ascii="Cambria Math" w:hAnsi="Cambria Math" w:cs="Cambria Math"/>
                <w:sz w:val="20"/>
                <w:szCs w:val="20"/>
                <w:lang w:val="it-IT"/>
              </w:rPr>
              <w:instrText>‐</w:instrText>
            </w:r>
            <w:r>
              <w:rPr>
                <w:rFonts w:ascii="Aptos" w:hAnsi="Aptos"/>
                <w:sz w:val="20"/>
                <w:szCs w:val="20"/>
                <w:lang w:val="it-IT"/>
              </w:rPr>
              <w:instrText>center cohort study","title-short":"Frequency and phenotypic spectrum of &lt;i&gt;KMT2B&lt;/i&gt; dystonia in childhood","volume":"34","author":[{"family":"Carecchio","given":"Miryam"},{"family":"Invernizzi","given":"Federica"},{"family":"Gonz</w:instrText>
            </w:r>
            <w:r>
              <w:rPr>
                <w:rFonts w:ascii="Aptos" w:hAnsi="Aptos" w:cs="Aptos"/>
                <w:sz w:val="20"/>
                <w:szCs w:val="20"/>
                <w:lang w:val="it-IT"/>
              </w:rPr>
              <w:instrText>à</w:instrText>
            </w:r>
            <w:r>
              <w:rPr>
                <w:rFonts w:ascii="Aptos" w:hAnsi="Aptos"/>
                <w:sz w:val="20"/>
                <w:szCs w:val="20"/>
                <w:lang w:val="it-IT"/>
              </w:rPr>
              <w:instrText>lez</w:instrText>
            </w:r>
            <w:r>
              <w:rPr>
                <w:rFonts w:ascii="Cambria Math" w:hAnsi="Cambria Math" w:cs="Cambria Math"/>
                <w:sz w:val="20"/>
                <w:szCs w:val="20"/>
                <w:lang w:val="it-IT"/>
              </w:rPr>
              <w:instrText>‐</w:instrText>
            </w:r>
            <w:r>
              <w:rPr>
                <w:rFonts w:ascii="Aptos" w:hAnsi="Aptos"/>
                <w:sz w:val="20"/>
                <w:szCs w:val="20"/>
                <w:lang w:val="it-IT"/>
              </w:rPr>
              <w:instrText xml:space="preserve">Latapi","given":"Paulina"},{"family":"Panteghini","given":"Celeste"},{"family":"Zorzi","given":"Giovanna"},{"family":"Romito","given":"Luigi"},{"family":"Leuzzi","given":"Vincenzo"},{"family":"Galosi","given":"Serena"},{"family":"Reale","given":"Chiara"},{"family":"Zibordi","given":"Federica"},{"family":"Joseph","given":"Agnel P."},{"family":"Topf","given":"Maya"},{"family":"Piano","given":"Carla"},{"family":"Bentivoglio","given":"Anna Rita"},{"family":"Girotti","given":"Floriano"},{"family":"Morana","given":"Paolo"},{"family":"Morana","given":"Benedetto"},{"family":"Kurian","given":"Manju A."},{"family":"Garavaglia","given":"Barbara"},{"family":"Mencacci","given":"Niccolò E."},{"family":"Lubbe","given":"Steven J."},{"family":"Nardocci","given":"Nardo"}],"issued":{"date-parts":[["2019",10]]}}}],"schema":"https://github.com/citation-style-language/schema/raw/master/csl-citation.json"}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97</w:t>
            </w:r>
            <w:r w:rsidRPr="005500F7">
              <w:rPr>
                <w:rFonts w:ascii="Aptos" w:hAnsi="Aptos"/>
                <w:sz w:val="20"/>
                <w:szCs w:val="20"/>
              </w:rPr>
              <w:fldChar w:fldCharType="end"/>
            </w:r>
          </w:p>
          <w:p w14:paraId="3858F63B" w14:textId="3EAB093C"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lang w:val="it-IT"/>
              </w:rPr>
            </w:pPr>
            <w:r w:rsidRPr="005500F7">
              <w:rPr>
                <w:rFonts w:ascii="Aptos" w:hAnsi="Aptos"/>
                <w:sz w:val="20"/>
                <w:szCs w:val="20"/>
                <w:lang w:val="it-IT"/>
              </w:rPr>
              <w:t xml:space="preserve">(Patient #6) </w:t>
            </w:r>
          </w:p>
        </w:tc>
      </w:tr>
      <w:tr w:rsidR="00923F18" w:rsidRPr="005500F7" w14:paraId="5315D06E" w14:textId="47EAF9B1"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591B955D" w14:textId="7C15A28C"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4</w:t>
            </w:r>
          </w:p>
        </w:tc>
        <w:tc>
          <w:tcPr>
            <w:tcW w:w="908" w:type="dxa"/>
            <w:shd w:val="clear" w:color="auto" w:fill="FFFFFF" w:themeFill="background1"/>
            <w:vAlign w:val="center"/>
          </w:tcPr>
          <w:p w14:paraId="123E04A1" w14:textId="436D00B9"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SGCE</w:t>
            </w:r>
          </w:p>
        </w:tc>
        <w:tc>
          <w:tcPr>
            <w:tcW w:w="2946" w:type="dxa"/>
            <w:shd w:val="clear" w:color="auto" w:fill="FFFFFF" w:themeFill="background1"/>
            <w:vAlign w:val="center"/>
          </w:tcPr>
          <w:p w14:paraId="70444C62" w14:textId="6509D4AF"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Myoclonus dystonia with cervical and upper </w:t>
            </w:r>
            <w:proofErr w:type="gramStart"/>
            <w:r>
              <w:rPr>
                <w:rFonts w:ascii="Aptos" w:hAnsi="Aptos"/>
                <w:sz w:val="18"/>
                <w:szCs w:val="18"/>
              </w:rPr>
              <w:t>limb  distribution</w:t>
            </w:r>
            <w:proofErr w:type="gramEnd"/>
          </w:p>
        </w:tc>
        <w:tc>
          <w:tcPr>
            <w:tcW w:w="2487" w:type="dxa"/>
            <w:shd w:val="clear" w:color="auto" w:fill="FFFFFF" w:themeFill="background1"/>
            <w:vAlign w:val="center"/>
          </w:tcPr>
          <w:p w14:paraId="7DCCA2DA"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Father and sister with myoclonus dystonia</w:t>
            </w:r>
          </w:p>
          <w:p w14:paraId="073338C7" w14:textId="45313948"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p>
        </w:tc>
        <w:tc>
          <w:tcPr>
            <w:tcW w:w="1765" w:type="dxa"/>
            <w:shd w:val="clear" w:color="auto" w:fill="FFFFFF" w:themeFill="background1"/>
            <w:vAlign w:val="center"/>
          </w:tcPr>
          <w:p w14:paraId="1C79E75A" w14:textId="41C6FFCB"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41426B0A" w14:textId="0BAD1854"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06E9F743" w14:textId="0C6F54BA"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5</w:t>
            </w:r>
          </w:p>
        </w:tc>
        <w:tc>
          <w:tcPr>
            <w:tcW w:w="908" w:type="dxa"/>
            <w:shd w:val="clear" w:color="auto" w:fill="FFFFFF" w:themeFill="background1"/>
            <w:vAlign w:val="center"/>
          </w:tcPr>
          <w:p w14:paraId="58BF7D03" w14:textId="47C195D1"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SGCE</w:t>
            </w:r>
          </w:p>
        </w:tc>
        <w:tc>
          <w:tcPr>
            <w:tcW w:w="2946" w:type="dxa"/>
            <w:shd w:val="clear" w:color="auto" w:fill="FFFFFF" w:themeFill="background1"/>
            <w:vAlign w:val="center"/>
          </w:tcPr>
          <w:p w14:paraId="452BB45B" w14:textId="261227AF"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 xml:space="preserve">Myoclonus dystonia with cervical and upper </w:t>
            </w:r>
            <w:proofErr w:type="gramStart"/>
            <w:r>
              <w:rPr>
                <w:rFonts w:ascii="Aptos" w:hAnsi="Aptos"/>
                <w:sz w:val="18"/>
                <w:szCs w:val="18"/>
              </w:rPr>
              <w:t>limb  distribution</w:t>
            </w:r>
            <w:proofErr w:type="gramEnd"/>
          </w:p>
        </w:tc>
        <w:tc>
          <w:tcPr>
            <w:tcW w:w="2487" w:type="dxa"/>
            <w:shd w:val="clear" w:color="auto" w:fill="FFFFFF" w:themeFill="background1"/>
            <w:vAlign w:val="center"/>
          </w:tcPr>
          <w:p w14:paraId="2E907105"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 xml:space="preserve">Negative. </w:t>
            </w:r>
          </w:p>
          <w:p w14:paraId="38B2DFD9" w14:textId="21891C53"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0A8AFD93" w14:textId="78A74B29"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lang w:val="it-IT"/>
              </w:rPr>
            </w:pPr>
            <w:r w:rsidRPr="005500F7">
              <w:rPr>
                <w:rFonts w:ascii="Aptos" w:hAnsi="Aptos"/>
                <w:sz w:val="20"/>
                <w:szCs w:val="20"/>
                <w:lang w:val="it-IT"/>
              </w:rPr>
              <w:t>Lunardini et al.</w:t>
            </w:r>
            <w:r w:rsidRPr="005500F7">
              <w:rPr>
                <w:rFonts w:ascii="Aptos" w:hAnsi="Aptos"/>
                <w:sz w:val="20"/>
                <w:szCs w:val="20"/>
                <w:lang w:val="it-IT"/>
              </w:rPr>
              <w:fldChar w:fldCharType="begin"/>
            </w:r>
            <w:r>
              <w:rPr>
                <w:rFonts w:ascii="Aptos" w:hAnsi="Aptos"/>
                <w:sz w:val="20"/>
                <w:szCs w:val="20"/>
                <w:lang w:val="it-IT"/>
              </w:rPr>
              <w:instrText xml:space="preserve"> ADDIN ZOTERO_ITEM CSL_CITATION {"citationID":"SfmWCuND","properties":{"formattedCitation":"\\super 98\\nosupersub{}","plainCitation":"98","noteIndex":0},"citationItems":[{"id":657,"uris":["http://zotero.org/users/local/qbj29eOf/items/M7ALBYSN"],"itemData":{"id":657,"type":"article-journal","container-title":"Neurological Sciences","DOI":"10.1007/s10072-023-07063-6","ISSN":"1590-1874, 1590-3478","issue":"1","journalAbbreviation":"Neurol Sci","language":"en","page":"335-340","source":"DOI.org (Crossref)","title":"The effect of GPi-DBS assessed by gait analysis in DYT11 dystonia: a case study","title-short":"The effect of GPi-DBS assessed by gait analysis in DYT11 dystonia","volume":"45","author":[{"family":"Lunardini","given":"Francesca"},{"family":"Satolli","given":"Sara"},{"family":"Levi","given":"Vincenzo"},{"family":"Rossi Sebastiano","given":"Davide"},{"family":"Zorzi","given":"Giovanna Simonetta"}],"issued":{"date-parts":[["2024",1]]}}}],"schema":"https://github.com/citation-style-language/schema/raw/master/csl-citation.json"} </w:instrText>
            </w:r>
            <w:r w:rsidRPr="005500F7">
              <w:rPr>
                <w:rFonts w:ascii="Aptos" w:hAnsi="Aptos"/>
                <w:sz w:val="20"/>
                <w:szCs w:val="20"/>
                <w:lang w:val="it-IT"/>
              </w:rPr>
              <w:fldChar w:fldCharType="separate"/>
            </w:r>
            <w:r w:rsidRPr="00FF4210">
              <w:rPr>
                <w:rFonts w:ascii="Aptos" w:hAnsi="Aptos" w:cs="Times New Roman"/>
                <w:sz w:val="20"/>
                <w:vertAlign w:val="superscript"/>
              </w:rPr>
              <w:t>98</w:t>
            </w:r>
            <w:r w:rsidRPr="005500F7">
              <w:rPr>
                <w:rFonts w:ascii="Aptos" w:hAnsi="Aptos"/>
                <w:sz w:val="20"/>
                <w:szCs w:val="20"/>
                <w:lang w:val="it-IT"/>
              </w:rPr>
              <w:fldChar w:fldCharType="end"/>
            </w:r>
            <w:r w:rsidRPr="005500F7">
              <w:rPr>
                <w:rFonts w:ascii="Aptos" w:hAnsi="Aptos"/>
                <w:sz w:val="20"/>
                <w:szCs w:val="20"/>
                <w:lang w:val="it-IT"/>
              </w:rPr>
              <w:t xml:space="preserve"> </w:t>
            </w:r>
          </w:p>
        </w:tc>
      </w:tr>
      <w:tr w:rsidR="00923F18" w:rsidRPr="005500F7" w14:paraId="70615C8B" w14:textId="112EA694"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2C1124FE" w14:textId="24105506"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6</w:t>
            </w:r>
          </w:p>
        </w:tc>
        <w:tc>
          <w:tcPr>
            <w:tcW w:w="908" w:type="dxa"/>
            <w:shd w:val="clear" w:color="auto" w:fill="FFFFFF" w:themeFill="background1"/>
            <w:vAlign w:val="center"/>
          </w:tcPr>
          <w:p w14:paraId="28C4ED41" w14:textId="689D603E"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GNAL</w:t>
            </w:r>
          </w:p>
        </w:tc>
        <w:tc>
          <w:tcPr>
            <w:tcW w:w="2946" w:type="dxa"/>
            <w:shd w:val="clear" w:color="auto" w:fill="FFFFFF" w:themeFill="background1"/>
            <w:vAlign w:val="center"/>
          </w:tcPr>
          <w:p w14:paraId="25CEAD4F" w14:textId="219A9BDA"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18"/>
                <w:szCs w:val="18"/>
              </w:rPr>
              <w:t>C</w:t>
            </w:r>
            <w:r w:rsidRPr="005E1650">
              <w:rPr>
                <w:rFonts w:ascii="Aptos" w:hAnsi="Aptos"/>
                <w:sz w:val="18"/>
                <w:szCs w:val="18"/>
              </w:rPr>
              <w:t xml:space="preserve">ranio-cervical </w:t>
            </w:r>
            <w:r>
              <w:rPr>
                <w:rFonts w:ascii="Aptos" w:hAnsi="Aptos"/>
                <w:sz w:val="18"/>
                <w:szCs w:val="18"/>
              </w:rPr>
              <w:t xml:space="preserve">tremulous </w:t>
            </w:r>
            <w:r w:rsidRPr="005E1650">
              <w:rPr>
                <w:rFonts w:ascii="Aptos" w:hAnsi="Aptos"/>
                <w:sz w:val="18"/>
                <w:szCs w:val="18"/>
              </w:rPr>
              <w:t>dystonia</w:t>
            </w:r>
          </w:p>
        </w:tc>
        <w:tc>
          <w:tcPr>
            <w:tcW w:w="2487" w:type="dxa"/>
            <w:shd w:val="clear" w:color="auto" w:fill="FFFFFF" w:themeFill="background1"/>
            <w:vAlign w:val="center"/>
          </w:tcPr>
          <w:p w14:paraId="7215F591"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sidRPr="00183D32">
              <w:rPr>
                <w:rFonts w:ascii="Aptos" w:hAnsi="Aptos"/>
                <w:sz w:val="18"/>
                <w:szCs w:val="18"/>
              </w:rPr>
              <w:t>Negative</w:t>
            </w:r>
            <w:r>
              <w:rPr>
                <w:rFonts w:ascii="Aptos" w:hAnsi="Aptos"/>
                <w:sz w:val="18"/>
                <w:szCs w:val="18"/>
              </w:rPr>
              <w:t xml:space="preserve">. </w:t>
            </w:r>
          </w:p>
          <w:p w14:paraId="04DB6940" w14:textId="4359B769"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45B93BC1" w14:textId="2752C192"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Romito et al.</w:t>
            </w:r>
            <w:r w:rsidRPr="005500F7">
              <w:rPr>
                <w:rFonts w:ascii="Aptos" w:hAnsi="Aptos"/>
                <w:sz w:val="20"/>
                <w:szCs w:val="20"/>
              </w:rPr>
              <w:fldChar w:fldCharType="begin"/>
            </w:r>
            <w:r>
              <w:rPr>
                <w:rFonts w:ascii="Aptos" w:hAnsi="Aptos"/>
                <w:sz w:val="20"/>
                <w:szCs w:val="20"/>
              </w:rPr>
              <w:instrText xml:space="preserve"> ADDIN ZOTERO_ITEM CSL_CITATION {"citationID":"j8QjpxR4","properties":{"formattedCitation":"\\super 99\\nosupersub{}","plainCitation":"99","noteIndex":0},"citationItems":[{"id":659,"uris":["http://zotero.org/users/local/qbj29eOf/items/LY5PNFM5"],"itemData":{"id":659,"type":"article-journal","container-title":"Parkinsonism &amp; Related Disorders","DOI":"10.1016/j.parkreldis.2023.105833","ISSN":"13538020","journalAbbreviation":"Parkinsonism &amp; Related Disorders","language":"en","page":"105833","source":"DOI.org (Crossref)","title":"A novel GNAL pathogenic variant leading to generalized dystonia: Immediate and sustained response to globus pallidus internus deep brain stimulation","title-short":"A novel GNAL pathogenic variant leading to generalized dystonia","volume":"115","author":[{"family":"Romito","given":"Luigi Michele"},{"family":"Paio","given":"Fabio"},{"family":"Andreasi","given":"Nico Golfrè"},{"family":"Panteghini","given":"Celeste"},{"family":"Rinaldo","given":"Sara"},{"family":"Kaymak","given":"Ahmet"},{"family":"Mazzoni","given":"Alberto"},{"family":"Colucci","given":"Fabiana"},{"family":"Levi","given":"Vincenzo"},{"family":"Messina","given":"Giuseppe"},{"family":"Garavaglia","given":"Barbara"},{"family":"Eleopra","given":"Roberto"}],"issued":{"date-parts":[["2023",10]]}}}],"schema":"https://github.com/citation-style-language/schema/raw/master/csl-citation.json"} </w:instrText>
            </w:r>
            <w:r w:rsidRPr="005500F7">
              <w:rPr>
                <w:rFonts w:ascii="Aptos" w:hAnsi="Aptos"/>
                <w:sz w:val="20"/>
                <w:szCs w:val="20"/>
              </w:rPr>
              <w:fldChar w:fldCharType="separate"/>
            </w:r>
            <w:r w:rsidRPr="00FF4210">
              <w:rPr>
                <w:rFonts w:ascii="Aptos" w:hAnsi="Aptos" w:cs="Times New Roman"/>
                <w:sz w:val="20"/>
                <w:vertAlign w:val="superscript"/>
              </w:rPr>
              <w:t>99</w:t>
            </w:r>
            <w:r w:rsidRPr="005500F7">
              <w:rPr>
                <w:rFonts w:ascii="Aptos" w:hAnsi="Aptos"/>
                <w:sz w:val="20"/>
                <w:szCs w:val="20"/>
              </w:rPr>
              <w:fldChar w:fldCharType="end"/>
            </w:r>
          </w:p>
        </w:tc>
      </w:tr>
      <w:tr w:rsidR="00923F18" w:rsidRPr="003C106F" w14:paraId="405EB48F" w14:textId="6E363998"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2282559" w14:textId="63DE2058"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7</w:t>
            </w:r>
          </w:p>
        </w:tc>
        <w:tc>
          <w:tcPr>
            <w:tcW w:w="908" w:type="dxa"/>
            <w:shd w:val="clear" w:color="auto" w:fill="FFFFFF" w:themeFill="background1"/>
            <w:vAlign w:val="center"/>
          </w:tcPr>
          <w:p w14:paraId="392DB40E" w14:textId="78822B3F"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GNAL</w:t>
            </w:r>
          </w:p>
        </w:tc>
        <w:tc>
          <w:tcPr>
            <w:tcW w:w="2946" w:type="dxa"/>
            <w:shd w:val="clear" w:color="auto" w:fill="FFFFFF" w:themeFill="background1"/>
            <w:vAlign w:val="center"/>
          </w:tcPr>
          <w:p w14:paraId="29614611" w14:textId="5B8BAAB5"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Pr>
                <w:rFonts w:ascii="Aptos" w:hAnsi="Aptos"/>
                <w:sz w:val="18"/>
                <w:szCs w:val="18"/>
              </w:rPr>
              <w:t>C</w:t>
            </w:r>
            <w:r w:rsidRPr="005E1650">
              <w:rPr>
                <w:rFonts w:ascii="Aptos" w:hAnsi="Aptos"/>
                <w:sz w:val="18"/>
                <w:szCs w:val="18"/>
              </w:rPr>
              <w:t xml:space="preserve">ranio-cervical </w:t>
            </w:r>
            <w:r>
              <w:rPr>
                <w:rFonts w:ascii="Aptos" w:hAnsi="Aptos"/>
                <w:sz w:val="18"/>
                <w:szCs w:val="18"/>
              </w:rPr>
              <w:t xml:space="preserve">tremulous </w:t>
            </w:r>
            <w:r w:rsidRPr="005E1650">
              <w:rPr>
                <w:rFonts w:ascii="Aptos" w:hAnsi="Aptos"/>
                <w:sz w:val="18"/>
                <w:szCs w:val="18"/>
              </w:rPr>
              <w:t>dystonia</w:t>
            </w:r>
            <w:r>
              <w:rPr>
                <w:rFonts w:ascii="Aptos" w:hAnsi="Aptos"/>
                <w:sz w:val="18"/>
                <w:szCs w:val="18"/>
              </w:rPr>
              <w:t>, with laryngeal involvement</w:t>
            </w:r>
          </w:p>
        </w:tc>
        <w:tc>
          <w:tcPr>
            <w:tcW w:w="2487" w:type="dxa"/>
            <w:shd w:val="clear" w:color="auto" w:fill="FFFFFF" w:themeFill="background1"/>
            <w:vAlign w:val="center"/>
          </w:tcPr>
          <w:p w14:paraId="13C9D0DF" w14:textId="1820BA52" w:rsidR="00923F18" w:rsidRPr="00F40199"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lang w:val="en-US"/>
              </w:rPr>
              <w:t>Mother and two brothers with GNAL mutation and mainly cervical dystonia phenotype</w:t>
            </w:r>
          </w:p>
        </w:tc>
        <w:tc>
          <w:tcPr>
            <w:tcW w:w="1765" w:type="dxa"/>
            <w:shd w:val="clear" w:color="auto" w:fill="FFFFFF" w:themeFill="background1"/>
            <w:vAlign w:val="center"/>
          </w:tcPr>
          <w:p w14:paraId="1722966C" w14:textId="6FCD0444"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it-IT"/>
              </w:rPr>
            </w:pPr>
            <w:r w:rsidRPr="005500F7">
              <w:rPr>
                <w:rFonts w:ascii="Aptos" w:hAnsi="Aptos"/>
                <w:sz w:val="20"/>
                <w:szCs w:val="20"/>
                <w:lang w:val="it-IT"/>
              </w:rPr>
              <w:t>Carecchio et al.</w:t>
            </w:r>
            <w:r w:rsidRPr="005500F7">
              <w:rPr>
                <w:rFonts w:ascii="Aptos" w:hAnsi="Aptos"/>
                <w:sz w:val="20"/>
                <w:szCs w:val="20"/>
                <w:lang w:val="it-IT"/>
              </w:rPr>
              <w:fldChar w:fldCharType="begin"/>
            </w:r>
            <w:r>
              <w:rPr>
                <w:rFonts w:ascii="Aptos" w:hAnsi="Aptos"/>
                <w:sz w:val="20"/>
                <w:szCs w:val="20"/>
                <w:lang w:val="it-IT"/>
              </w:rPr>
              <w:instrText xml:space="preserve"> ADDIN ZOTERO_ITEM CSL_CITATION {"citationID":"T246Te1U","properties":{"formattedCitation":"\\super 100\\nosupersub{}","plainCitation":"100","noteIndex":0},"citationItems":[{"id":660,"uris":["http://zotero.org/users/local/qbj29eOf/items/FBSRS8AX"],"itemData":{"id":660,"type":"article-journal","container-title":"Parkinsonism &amp; Related Disorders","DOI":"10.1016/j.parkreldis.2015.12.012","ISSN":"13538020","journalAbbreviation":"Parkinsonism &amp; Related Disorders","language":"en","page":"66-71","source":"DOI.org (Crossref)","title":"Novel GNAL mutation with intra-familial clinical heterogeneity: Expanding the phenotype","title-short":"Novel GNAL mutation with intra-familial clinical heterogeneity","volume":"23","author":[{"family":"Carecchio","given":"Miryam"},{"family":"Panteghini","given":"Celeste"},{"family":"Reale","given":"Chiara"},{"family":"Barzaghi","given":"Chiara"},{"family":"Monti","given":"Valentina"},{"family":"Romito","given":"Luigi"},{"family":"Sasanelli","given":"Francesco"},{"family":"Garavaglia","given":"Barbara"}],"issued":{"date-parts":[["2016",2]]}}}],"schema":"https://github.com/citation-style-language/schema/raw/master/csl-citation.json"} </w:instrText>
            </w:r>
            <w:r w:rsidRPr="005500F7">
              <w:rPr>
                <w:rFonts w:ascii="Aptos" w:hAnsi="Aptos"/>
                <w:sz w:val="20"/>
                <w:szCs w:val="20"/>
                <w:lang w:val="it-IT"/>
              </w:rPr>
              <w:fldChar w:fldCharType="separate"/>
            </w:r>
            <w:r w:rsidRPr="00FF4210">
              <w:rPr>
                <w:rFonts w:ascii="Aptos" w:hAnsi="Aptos" w:cs="Times New Roman"/>
                <w:sz w:val="20"/>
                <w:vertAlign w:val="superscript"/>
                <w:lang w:val="it-IT"/>
              </w:rPr>
              <w:t>100</w:t>
            </w:r>
            <w:r w:rsidRPr="005500F7">
              <w:rPr>
                <w:rFonts w:ascii="Aptos" w:hAnsi="Aptos"/>
                <w:sz w:val="20"/>
                <w:szCs w:val="20"/>
                <w:lang w:val="it-IT"/>
              </w:rPr>
              <w:fldChar w:fldCharType="end"/>
            </w:r>
          </w:p>
          <w:p w14:paraId="314C7E4C" w14:textId="24F168BB"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lang w:val="it-IT"/>
              </w:rPr>
            </w:pPr>
            <w:r w:rsidRPr="005500F7">
              <w:rPr>
                <w:rFonts w:ascii="Aptos" w:hAnsi="Aptos"/>
                <w:sz w:val="20"/>
                <w:szCs w:val="20"/>
                <w:lang w:val="it-IT"/>
              </w:rPr>
              <w:t>(Patient III:4)</w:t>
            </w:r>
          </w:p>
        </w:tc>
      </w:tr>
      <w:tr w:rsidR="00923F18" w:rsidRPr="005500F7" w14:paraId="3CFA38F5" w14:textId="5E95E9AC"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11E05218" w14:textId="3A98AA17"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Pat2</w:t>
            </w:r>
            <w:r>
              <w:rPr>
                <w:rFonts w:ascii="Aptos" w:hAnsi="Aptos"/>
                <w:b w:val="0"/>
                <w:bCs w:val="0"/>
                <w:sz w:val="20"/>
                <w:szCs w:val="20"/>
              </w:rPr>
              <w:t>8</w:t>
            </w:r>
          </w:p>
        </w:tc>
        <w:tc>
          <w:tcPr>
            <w:tcW w:w="908" w:type="dxa"/>
            <w:shd w:val="clear" w:color="auto" w:fill="FFFFFF" w:themeFill="background1"/>
            <w:vAlign w:val="center"/>
          </w:tcPr>
          <w:p w14:paraId="65BA1598" w14:textId="34C21256"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PANK2</w:t>
            </w:r>
          </w:p>
        </w:tc>
        <w:tc>
          <w:tcPr>
            <w:tcW w:w="2946" w:type="dxa"/>
            <w:shd w:val="clear" w:color="auto" w:fill="FFFFFF" w:themeFill="background1"/>
            <w:vAlign w:val="center"/>
          </w:tcPr>
          <w:p w14:paraId="2EDB4EDF" w14:textId="1D6B99D1" w:rsidR="00923F18" w:rsidRPr="006B182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AC4670">
              <w:rPr>
                <w:rFonts w:ascii="Aptos" w:hAnsi="Aptos"/>
                <w:sz w:val="18"/>
                <w:szCs w:val="18"/>
              </w:rPr>
              <w:t xml:space="preserve">Generalized dystonia with </w:t>
            </w:r>
            <w:r>
              <w:rPr>
                <w:rFonts w:ascii="Aptos" w:hAnsi="Aptos"/>
                <w:sz w:val="18"/>
                <w:szCs w:val="18"/>
              </w:rPr>
              <w:t>severe dysarthria</w:t>
            </w:r>
          </w:p>
        </w:tc>
        <w:tc>
          <w:tcPr>
            <w:tcW w:w="2487" w:type="dxa"/>
            <w:shd w:val="clear" w:color="auto" w:fill="FFFFFF" w:themeFill="background1"/>
            <w:vAlign w:val="center"/>
          </w:tcPr>
          <w:p w14:paraId="22FBD0E8"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sidRPr="00183D32">
              <w:rPr>
                <w:rFonts w:ascii="Aptos" w:hAnsi="Aptos"/>
                <w:sz w:val="18"/>
                <w:szCs w:val="18"/>
              </w:rPr>
              <w:t>Negative</w:t>
            </w:r>
            <w:r>
              <w:rPr>
                <w:rFonts w:ascii="Aptos" w:hAnsi="Aptos"/>
                <w:sz w:val="18"/>
                <w:szCs w:val="18"/>
              </w:rPr>
              <w:t xml:space="preserve">. </w:t>
            </w:r>
          </w:p>
          <w:p w14:paraId="2E6D9502" w14:textId="0871601D" w:rsidR="00923F18" w:rsidRPr="00F40199"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183D32">
              <w:rPr>
                <w:rFonts w:ascii="Aptos" w:hAnsi="Aptos"/>
                <w:sz w:val="18"/>
                <w:szCs w:val="18"/>
              </w:rPr>
              <w:t xml:space="preserve">Not </w:t>
            </w:r>
            <w:r>
              <w:rPr>
                <w:rFonts w:ascii="Aptos" w:hAnsi="Aptos"/>
                <w:sz w:val="18"/>
                <w:szCs w:val="18"/>
              </w:rPr>
              <w:t>available</w:t>
            </w:r>
            <w:r w:rsidRPr="00183D32">
              <w:rPr>
                <w:rFonts w:ascii="Aptos" w:hAnsi="Aptos"/>
                <w:sz w:val="18"/>
                <w:szCs w:val="18"/>
              </w:rPr>
              <w:t xml:space="preserve"> segregation analysis</w:t>
            </w:r>
          </w:p>
        </w:tc>
        <w:tc>
          <w:tcPr>
            <w:tcW w:w="1765" w:type="dxa"/>
            <w:shd w:val="clear" w:color="auto" w:fill="FFFFFF" w:themeFill="background1"/>
            <w:vAlign w:val="center"/>
          </w:tcPr>
          <w:p w14:paraId="383250F0" w14:textId="6BCB8DB1" w:rsidR="00923F18" w:rsidRPr="005500F7" w:rsidRDefault="00EE7B65"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Pr>
                <w:rFonts w:ascii="Aptos" w:hAnsi="Aptos"/>
                <w:sz w:val="20"/>
                <w:szCs w:val="20"/>
              </w:rPr>
              <w:t>Not yet described</w:t>
            </w:r>
          </w:p>
        </w:tc>
      </w:tr>
      <w:tr w:rsidR="00923F18" w:rsidRPr="005500F7" w14:paraId="6D47BB7C" w14:textId="7D57DEC6" w:rsidTr="003C10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667D090" w14:textId="7B07B529" w:rsidR="00923F18" w:rsidRPr="005500F7" w:rsidRDefault="00A22151"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w:t>
            </w:r>
            <w:r>
              <w:rPr>
                <w:rFonts w:ascii="Aptos" w:hAnsi="Aptos"/>
                <w:b w:val="0"/>
                <w:bCs w:val="0"/>
                <w:sz w:val="20"/>
                <w:szCs w:val="20"/>
              </w:rPr>
              <w:t>29</w:t>
            </w:r>
          </w:p>
        </w:tc>
        <w:tc>
          <w:tcPr>
            <w:tcW w:w="908" w:type="dxa"/>
            <w:shd w:val="clear" w:color="auto" w:fill="FFFFFF" w:themeFill="background1"/>
            <w:vAlign w:val="center"/>
          </w:tcPr>
          <w:p w14:paraId="37B9220B" w14:textId="1446503A"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PANK2</w:t>
            </w:r>
          </w:p>
        </w:tc>
        <w:tc>
          <w:tcPr>
            <w:tcW w:w="2946" w:type="dxa"/>
            <w:shd w:val="clear" w:color="auto" w:fill="FFFFFF" w:themeFill="background1"/>
            <w:vAlign w:val="center"/>
          </w:tcPr>
          <w:p w14:paraId="545BD1E4" w14:textId="4CAE0AA1"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w:t>
            </w:r>
            <w:r>
              <w:rPr>
                <w:rFonts w:ascii="Aptos" w:hAnsi="Aptos"/>
                <w:sz w:val="18"/>
                <w:szCs w:val="18"/>
              </w:rPr>
              <w:t xml:space="preserve">severe trunk and lower limb involvement; gait disorder </w:t>
            </w:r>
          </w:p>
        </w:tc>
        <w:tc>
          <w:tcPr>
            <w:tcW w:w="2487" w:type="dxa"/>
            <w:shd w:val="clear" w:color="auto" w:fill="FFFFFF" w:themeFill="background1"/>
            <w:vAlign w:val="center"/>
          </w:tcPr>
          <w:p w14:paraId="18F09CC9"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Negative</w:t>
            </w:r>
            <w:r>
              <w:rPr>
                <w:rFonts w:ascii="Aptos" w:hAnsi="Aptos"/>
                <w:sz w:val="18"/>
                <w:szCs w:val="18"/>
              </w:rPr>
              <w:t xml:space="preserve">. </w:t>
            </w:r>
          </w:p>
          <w:p w14:paraId="6190061F" w14:textId="1D4FECD1" w:rsidR="00923F18" w:rsidRPr="00F40199"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Pr>
                <w:rFonts w:ascii="Aptos" w:hAnsi="Aptos"/>
                <w:sz w:val="18"/>
                <w:szCs w:val="18"/>
              </w:rPr>
              <w:t>Parents’ segregation analysis wild type</w:t>
            </w:r>
          </w:p>
        </w:tc>
        <w:tc>
          <w:tcPr>
            <w:tcW w:w="1765" w:type="dxa"/>
            <w:shd w:val="clear" w:color="auto" w:fill="FFFFFF" w:themeFill="background1"/>
            <w:vAlign w:val="center"/>
          </w:tcPr>
          <w:p w14:paraId="2F0A5F19" w14:textId="0FD636A7"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923F18" w:rsidRPr="005500F7" w14:paraId="3B787626" w14:textId="3BEEFDA7" w:rsidTr="003C106F">
        <w:trPr>
          <w:trHeight w:val="64"/>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0C41989C" w14:textId="1E3CE299"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Pat3</w:t>
            </w:r>
            <w:r w:rsidR="00A22151">
              <w:rPr>
                <w:rFonts w:ascii="Aptos" w:hAnsi="Aptos"/>
                <w:b w:val="0"/>
                <w:bCs w:val="0"/>
                <w:sz w:val="20"/>
                <w:szCs w:val="20"/>
              </w:rPr>
              <w:t>0</w:t>
            </w:r>
          </w:p>
        </w:tc>
        <w:tc>
          <w:tcPr>
            <w:tcW w:w="908" w:type="dxa"/>
            <w:shd w:val="clear" w:color="auto" w:fill="FFFFFF" w:themeFill="background1"/>
            <w:vAlign w:val="center"/>
          </w:tcPr>
          <w:p w14:paraId="4B885729" w14:textId="68807285" w:rsidR="00923F18" w:rsidRPr="00264446"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VPS16</w:t>
            </w:r>
          </w:p>
        </w:tc>
        <w:tc>
          <w:tcPr>
            <w:tcW w:w="2946" w:type="dxa"/>
            <w:shd w:val="clear" w:color="auto" w:fill="FFFFFF" w:themeFill="background1"/>
            <w:vAlign w:val="center"/>
          </w:tcPr>
          <w:p w14:paraId="4884AC77" w14:textId="20CDC4CD"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w:t>
            </w:r>
            <w:r>
              <w:rPr>
                <w:rFonts w:ascii="Aptos" w:hAnsi="Aptos"/>
                <w:sz w:val="18"/>
                <w:szCs w:val="18"/>
              </w:rPr>
              <w:t>severe axial involvement; severe dysarthria</w:t>
            </w:r>
          </w:p>
        </w:tc>
        <w:tc>
          <w:tcPr>
            <w:tcW w:w="2487" w:type="dxa"/>
            <w:shd w:val="clear" w:color="auto" w:fill="FFFFFF" w:themeFill="background1"/>
            <w:vAlign w:val="center"/>
          </w:tcPr>
          <w:p w14:paraId="75296F2E" w14:textId="77777777" w:rsidR="00923F18"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Pr>
                <w:rFonts w:ascii="Aptos" w:hAnsi="Aptos"/>
                <w:sz w:val="18"/>
                <w:szCs w:val="18"/>
              </w:rPr>
              <w:t>Posit</w:t>
            </w:r>
            <w:r w:rsidRPr="00183D32">
              <w:rPr>
                <w:rFonts w:ascii="Aptos" w:hAnsi="Aptos"/>
                <w:sz w:val="18"/>
                <w:szCs w:val="18"/>
              </w:rPr>
              <w:t>ive</w:t>
            </w:r>
            <w:r>
              <w:rPr>
                <w:rFonts w:ascii="Aptos" w:hAnsi="Aptos"/>
                <w:sz w:val="18"/>
                <w:szCs w:val="18"/>
              </w:rPr>
              <w:t xml:space="preserve">. </w:t>
            </w:r>
          </w:p>
          <w:p w14:paraId="24D932A4" w14:textId="1103AF50" w:rsidR="00923F18" w:rsidRPr="00F40199"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Pr>
                <w:rFonts w:ascii="Aptos" w:hAnsi="Aptos"/>
                <w:sz w:val="18"/>
                <w:szCs w:val="18"/>
              </w:rPr>
              <w:t xml:space="preserve">Father with the same mutation, as phenotype rest and postural jerky tremor, upper limb akinesia. </w:t>
            </w:r>
          </w:p>
        </w:tc>
        <w:tc>
          <w:tcPr>
            <w:tcW w:w="1765" w:type="dxa"/>
            <w:shd w:val="clear" w:color="auto" w:fill="FFFFFF" w:themeFill="background1"/>
            <w:vAlign w:val="center"/>
          </w:tcPr>
          <w:p w14:paraId="5A85B2A7" w14:textId="27FB523A" w:rsidR="00923F18" w:rsidRPr="005500F7" w:rsidRDefault="00923F18" w:rsidP="00923F18">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r w:rsidR="00CD6F44" w:rsidRPr="005500F7" w14:paraId="7F90AC9A" w14:textId="56239957" w:rsidTr="00CD6F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16" w:type="dxa"/>
            <w:tcBorders>
              <w:bottom w:val="single" w:sz="12" w:space="0" w:color="auto"/>
            </w:tcBorders>
            <w:shd w:val="clear" w:color="auto" w:fill="FFFFFF" w:themeFill="background1"/>
            <w:vAlign w:val="center"/>
          </w:tcPr>
          <w:p w14:paraId="17596EF7" w14:textId="55694470" w:rsidR="00923F18" w:rsidRPr="005500F7" w:rsidRDefault="00923F18" w:rsidP="00923F18">
            <w:pPr>
              <w:pStyle w:val="NoSpacing"/>
              <w:ind w:firstLine="0"/>
              <w:jc w:val="center"/>
              <w:rPr>
                <w:rFonts w:ascii="Aptos" w:hAnsi="Aptos" w:cs="Times New Roman"/>
                <w:b w:val="0"/>
                <w:bCs w:val="0"/>
                <w:sz w:val="20"/>
                <w:szCs w:val="20"/>
              </w:rPr>
            </w:pPr>
            <w:r w:rsidRPr="005500F7">
              <w:rPr>
                <w:rFonts w:ascii="Aptos" w:hAnsi="Aptos"/>
                <w:b w:val="0"/>
                <w:bCs w:val="0"/>
                <w:sz w:val="20"/>
                <w:szCs w:val="20"/>
              </w:rPr>
              <w:t>Pat3</w:t>
            </w:r>
            <w:r w:rsidR="00A22151">
              <w:rPr>
                <w:rFonts w:ascii="Aptos" w:hAnsi="Aptos"/>
                <w:b w:val="0"/>
                <w:bCs w:val="0"/>
                <w:sz w:val="20"/>
                <w:szCs w:val="20"/>
              </w:rPr>
              <w:t>1</w:t>
            </w:r>
          </w:p>
        </w:tc>
        <w:tc>
          <w:tcPr>
            <w:tcW w:w="908" w:type="dxa"/>
            <w:tcBorders>
              <w:bottom w:val="single" w:sz="12" w:space="0" w:color="auto"/>
            </w:tcBorders>
            <w:shd w:val="clear" w:color="auto" w:fill="FFFFFF" w:themeFill="background1"/>
            <w:vAlign w:val="center"/>
          </w:tcPr>
          <w:p w14:paraId="5D02C76E" w14:textId="22B65406" w:rsidR="00923F18" w:rsidRPr="00264446"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i/>
                <w:iCs/>
                <w:sz w:val="20"/>
                <w:szCs w:val="20"/>
              </w:rPr>
            </w:pPr>
            <w:r w:rsidRPr="00264446">
              <w:rPr>
                <w:rFonts w:ascii="Aptos" w:hAnsi="Aptos"/>
                <w:i/>
                <w:iCs/>
                <w:sz w:val="20"/>
                <w:szCs w:val="20"/>
              </w:rPr>
              <w:t>PLA2G6</w:t>
            </w:r>
          </w:p>
        </w:tc>
        <w:tc>
          <w:tcPr>
            <w:tcW w:w="2946" w:type="dxa"/>
            <w:tcBorders>
              <w:bottom w:val="single" w:sz="12" w:space="0" w:color="auto"/>
            </w:tcBorders>
            <w:shd w:val="clear" w:color="auto" w:fill="FFFFFF" w:themeFill="background1"/>
            <w:vAlign w:val="center"/>
          </w:tcPr>
          <w:p w14:paraId="4EA9AEA9" w14:textId="42735541"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AC4670">
              <w:rPr>
                <w:rFonts w:ascii="Aptos" w:hAnsi="Aptos"/>
                <w:sz w:val="18"/>
                <w:szCs w:val="18"/>
              </w:rPr>
              <w:t xml:space="preserve">Generalized dystonia with </w:t>
            </w:r>
            <w:r>
              <w:rPr>
                <w:rFonts w:ascii="Aptos" w:hAnsi="Aptos"/>
                <w:sz w:val="18"/>
                <w:szCs w:val="18"/>
              </w:rPr>
              <w:t>severe trunk, cervical, and lower limb involvement</w:t>
            </w:r>
          </w:p>
        </w:tc>
        <w:tc>
          <w:tcPr>
            <w:tcW w:w="2487" w:type="dxa"/>
            <w:tcBorders>
              <w:bottom w:val="single" w:sz="12" w:space="0" w:color="auto"/>
            </w:tcBorders>
            <w:shd w:val="clear" w:color="auto" w:fill="FFFFFF" w:themeFill="background1"/>
            <w:vAlign w:val="center"/>
          </w:tcPr>
          <w:p w14:paraId="486CB865" w14:textId="77777777" w:rsidR="00923F18"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183D32">
              <w:rPr>
                <w:rFonts w:ascii="Aptos" w:hAnsi="Aptos"/>
                <w:sz w:val="18"/>
                <w:szCs w:val="18"/>
              </w:rPr>
              <w:t>Negative</w:t>
            </w:r>
            <w:r>
              <w:rPr>
                <w:rFonts w:ascii="Aptos" w:hAnsi="Aptos"/>
                <w:sz w:val="18"/>
                <w:szCs w:val="18"/>
              </w:rPr>
              <w:t xml:space="preserve">. </w:t>
            </w:r>
          </w:p>
          <w:p w14:paraId="5E9E7238" w14:textId="13FFF6A5" w:rsidR="00923F18" w:rsidRPr="00F40199"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Pr>
                <w:rFonts w:ascii="Aptos" w:hAnsi="Aptos"/>
                <w:sz w:val="18"/>
                <w:szCs w:val="18"/>
              </w:rPr>
              <w:t>Parents’ segregation analysis wild type</w:t>
            </w:r>
          </w:p>
        </w:tc>
        <w:tc>
          <w:tcPr>
            <w:tcW w:w="1765" w:type="dxa"/>
            <w:tcBorders>
              <w:bottom w:val="single" w:sz="12" w:space="0" w:color="auto"/>
            </w:tcBorders>
            <w:shd w:val="clear" w:color="auto" w:fill="FFFFFF" w:themeFill="background1"/>
            <w:vAlign w:val="center"/>
          </w:tcPr>
          <w:p w14:paraId="2EBE954B" w14:textId="6F8E3F54" w:rsidR="00923F18" w:rsidRPr="005500F7" w:rsidRDefault="00923F18" w:rsidP="00923F18">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Aptos" w:hAnsi="Aptos" w:cs="Times New Roman"/>
                <w:b/>
                <w:bCs/>
                <w:sz w:val="20"/>
                <w:szCs w:val="20"/>
              </w:rPr>
            </w:pPr>
            <w:r w:rsidRPr="005500F7">
              <w:rPr>
                <w:rFonts w:ascii="Aptos" w:hAnsi="Aptos"/>
                <w:sz w:val="20"/>
                <w:szCs w:val="20"/>
              </w:rPr>
              <w:t>Not yet described</w:t>
            </w:r>
          </w:p>
        </w:tc>
      </w:tr>
    </w:tbl>
    <w:p w14:paraId="5911FDFA" w14:textId="77777777" w:rsidR="00977CE2" w:rsidRPr="005500F7" w:rsidRDefault="00977CE2" w:rsidP="00BA7033">
      <w:pPr>
        <w:rPr>
          <w:rFonts w:ascii="Aptos" w:hAnsi="Aptos"/>
          <w:sz w:val="20"/>
          <w:szCs w:val="20"/>
        </w:rPr>
      </w:pPr>
    </w:p>
    <w:p w14:paraId="4834C22D" w14:textId="77777777" w:rsidR="00BA7033" w:rsidRPr="005500F7" w:rsidRDefault="005400B9" w:rsidP="00BA7033">
      <w:pPr>
        <w:pStyle w:val="Heading1"/>
        <w:rPr>
          <w:rFonts w:ascii="Aptos" w:hAnsi="Aptos"/>
          <w:sz w:val="20"/>
          <w:szCs w:val="20"/>
        </w:rPr>
      </w:pPr>
      <w:r w:rsidRPr="005500F7">
        <w:rPr>
          <w:rFonts w:ascii="Aptos" w:hAnsi="Aptos"/>
          <w:sz w:val="20"/>
          <w:szCs w:val="20"/>
        </w:rPr>
        <w:lastRenderedPageBreak/>
        <w:t>Electrophysiological Data Preprocessing</w:t>
      </w:r>
      <w:bookmarkStart w:id="1" w:name="_Toc83249725"/>
      <w:bookmarkEnd w:id="0"/>
    </w:p>
    <w:p w14:paraId="2B0A1E40" w14:textId="77777777" w:rsidR="00F921C5" w:rsidRPr="005500F7" w:rsidRDefault="006F2516" w:rsidP="005500F7">
      <w:pPr>
        <w:pStyle w:val="Heading2"/>
        <w:rPr>
          <w:sz w:val="20"/>
          <w:szCs w:val="20"/>
        </w:rPr>
      </w:pPr>
      <w:r w:rsidRPr="005500F7">
        <w:rPr>
          <w:sz w:val="20"/>
          <w:szCs w:val="20"/>
        </w:rPr>
        <w:t>Spike Sorting</w:t>
      </w:r>
      <w:bookmarkStart w:id="2" w:name="_Ref72700157"/>
      <w:bookmarkEnd w:id="1"/>
    </w:p>
    <w:p w14:paraId="3E37584A" w14:textId="345099C3" w:rsidR="0072109E" w:rsidRPr="005500F7" w:rsidRDefault="009B46F6" w:rsidP="007A2576">
      <w:pPr>
        <w:pStyle w:val="NoSpacing"/>
        <w:rPr>
          <w:rFonts w:ascii="Aptos" w:hAnsi="Aptos" w:cs="Times New Roman"/>
          <w:sz w:val="20"/>
          <w:szCs w:val="20"/>
        </w:rPr>
      </w:pPr>
      <w:r w:rsidRPr="005500F7">
        <w:rPr>
          <w:rFonts w:ascii="Aptos" w:hAnsi="Aptos" w:cs="Times New Roman"/>
          <w:sz w:val="20"/>
          <w:szCs w:val="20"/>
        </w:rPr>
        <w:t xml:space="preserve">In principle, spikes fired by a neuron recorded by a given electrode have a distinct shape that depends on the morphology of </w:t>
      </w:r>
      <w:r w:rsidR="006F2516" w:rsidRPr="005500F7">
        <w:rPr>
          <w:rFonts w:ascii="Aptos" w:hAnsi="Aptos" w:cs="Times New Roman"/>
          <w:sz w:val="20"/>
          <w:szCs w:val="20"/>
        </w:rPr>
        <w:t>the corresponding</w:t>
      </w:r>
      <w:r w:rsidRPr="005500F7">
        <w:rPr>
          <w:rFonts w:ascii="Aptos" w:hAnsi="Aptos" w:cs="Times New Roman"/>
          <w:sz w:val="20"/>
          <w:szCs w:val="20"/>
        </w:rPr>
        <w:t xml:space="preserve"> dendritic tree and the distance and orientation relative to the recording site, among other factors.</w:t>
      </w:r>
      <w:r w:rsidR="000958E5" w:rsidRPr="005500F7">
        <w:rPr>
          <w:rFonts w:ascii="Aptos" w:hAnsi="Aptos" w:cs="Times New Roman"/>
          <w:sz w:val="20"/>
          <w:szCs w:val="20"/>
        </w:rPr>
        <w:fldChar w:fldCharType="begin"/>
      </w:r>
      <w:r w:rsidR="00FF4210">
        <w:rPr>
          <w:rFonts w:ascii="Aptos" w:hAnsi="Aptos" w:cs="Times New Roman"/>
          <w:sz w:val="20"/>
          <w:szCs w:val="20"/>
        </w:rPr>
        <w:instrText xml:space="preserve"> ADDIN ZOTERO_ITEM CSL_CITATION {"citationID":"7PYOxVRN","properties":{"formattedCitation":"\\super 102\\nosupersub{}","plainCitation":"102","noteIndex":0},"citationItems":[{"id":448,"uris":["http://zotero.org/users/local/qbj29eOf/items/84HT4RL9"],"itemData":{"id":448,"type":"article-journal","abstract":"Although extracellular unit recording is typically used for the detection of spike occurrences, it also has the theoretical ability to report about what are typically considered intracellular features of the action potential. We address this theoretical ability by developing a model system that captures features of experimentally recorded simultaneous intracellular and extracellular recordings of CA1 pyramidal neurons. We use the line source approximation method of Holt and Koch to model the extracellular action potential (EAP) voltage resulting from the spiking activity of individual neurons. We compare the simultaneous intracellular and extracellular recordings of CA1 pyramidal neurons recorded in vivo with model predictions for the same cells reconstructed and simulated with compartmental models. The model accurately reproduces both the waveform and the amplitude of the EAPs, although it was difficult to achieve simultaneous good matches on both the intracellular and extracellular waveforms. This suggests that accounting for the EAP waveform provides a considerable constraint on the overall model. The developed model explains how and why the waveform varies with electrode position relative to the recorded cell. Interestingly, each cell's dendritic morphology had very little impact on the EAP waveform. The model also demonstrates that the varied composition of ionic currents in different cells is reflected in the features of the EAP.","container-title":"Journal of Neurophysiology","DOI":"10.1152/jn.00979.2005","ISSN":"0022-3077, 1522-1598","issue":"5","journalAbbreviation":"Journal of Neurophysiology","language":"en","page":"3113-3128","source":"DOI.org (Crossref)","title":"On the Origin of the Extracellular Action Potential Waveform: A Modeling Study","title-short":"On the Origin of the Extracellular Action Potential Waveform","volume":"95","author":[{"family":"Gold","given":"Carl"},{"family":"Henze","given":"Darrell A."},{"family":"Koch","given":"Christof"},{"family":"Buzsáki","given":"György"}],"issued":{"date-parts":[["2006",5]]}}}],"schema":"https://github.com/citation-style-language/schema/raw/master/csl-citation.json"} </w:instrText>
      </w:r>
      <w:r w:rsidR="000958E5" w:rsidRPr="005500F7">
        <w:rPr>
          <w:rFonts w:ascii="Aptos" w:hAnsi="Aptos" w:cs="Times New Roman"/>
          <w:sz w:val="20"/>
          <w:szCs w:val="20"/>
        </w:rPr>
        <w:fldChar w:fldCharType="separate"/>
      </w:r>
      <w:r w:rsidR="00FF4210" w:rsidRPr="00FF4210">
        <w:rPr>
          <w:rFonts w:ascii="Aptos" w:hAnsi="Aptos" w:cs="Times New Roman"/>
          <w:sz w:val="20"/>
          <w:vertAlign w:val="superscript"/>
        </w:rPr>
        <w:t>102</w:t>
      </w:r>
      <w:r w:rsidR="000958E5" w:rsidRPr="005500F7">
        <w:rPr>
          <w:rFonts w:ascii="Aptos" w:hAnsi="Aptos" w:cs="Times New Roman"/>
          <w:sz w:val="20"/>
          <w:szCs w:val="20"/>
        </w:rPr>
        <w:fldChar w:fldCharType="end"/>
      </w:r>
      <w:r w:rsidR="00E83057" w:rsidRPr="005500F7">
        <w:rPr>
          <w:rFonts w:ascii="Aptos" w:hAnsi="Aptos" w:cs="Times New Roman"/>
          <w:sz w:val="20"/>
          <w:szCs w:val="20"/>
        </w:rPr>
        <w:t xml:space="preserve"> Spike detection and sorting </w:t>
      </w:r>
      <w:r w:rsidR="006F2516" w:rsidRPr="005500F7">
        <w:rPr>
          <w:rFonts w:ascii="Aptos" w:hAnsi="Aptos" w:cs="Times New Roman"/>
          <w:sz w:val="20"/>
          <w:szCs w:val="20"/>
        </w:rPr>
        <w:t>were</w:t>
      </w:r>
      <w:r w:rsidR="00E83057" w:rsidRPr="005500F7">
        <w:rPr>
          <w:rFonts w:ascii="Aptos" w:hAnsi="Aptos" w:cs="Times New Roman"/>
          <w:sz w:val="20"/>
          <w:szCs w:val="20"/>
        </w:rPr>
        <w:t xml:space="preserve"> conducted using </w:t>
      </w:r>
      <w:r w:rsidR="006F2516" w:rsidRPr="005500F7">
        <w:rPr>
          <w:rFonts w:ascii="Aptos" w:hAnsi="Aptos" w:cs="Times New Roman"/>
          <w:sz w:val="20"/>
          <w:szCs w:val="20"/>
        </w:rPr>
        <w:t xml:space="preserve">the </w:t>
      </w:r>
      <w:r w:rsidR="00E83057" w:rsidRPr="005500F7">
        <w:rPr>
          <w:rFonts w:ascii="Aptos" w:hAnsi="Aptos" w:cs="Times New Roman"/>
          <w:sz w:val="20"/>
          <w:szCs w:val="20"/>
        </w:rPr>
        <w:t xml:space="preserve">MATLAB </w:t>
      </w:r>
      <w:r w:rsidR="006F2516" w:rsidRPr="005500F7">
        <w:rPr>
          <w:rFonts w:ascii="Aptos" w:hAnsi="Aptos" w:cs="Times New Roman"/>
          <w:sz w:val="20"/>
          <w:szCs w:val="20"/>
        </w:rPr>
        <w:t xml:space="preserve">toolbox </w:t>
      </w:r>
      <w:r w:rsidR="00E83057" w:rsidRPr="005500F7">
        <w:rPr>
          <w:rFonts w:ascii="Aptos" w:hAnsi="Aptos" w:cs="Times New Roman"/>
          <w:sz w:val="20"/>
          <w:szCs w:val="20"/>
        </w:rPr>
        <w:t>Wave_Clus</w:t>
      </w:r>
      <w:r w:rsidR="00F4193D" w:rsidRPr="005500F7">
        <w:rPr>
          <w:rFonts w:ascii="Aptos" w:hAnsi="Aptos" w:cs="Times New Roman"/>
          <w:sz w:val="20"/>
          <w:szCs w:val="20"/>
        </w:rPr>
        <w:t xml:space="preserve"> which</w:t>
      </w:r>
      <w:r w:rsidR="00E83057" w:rsidRPr="005500F7">
        <w:rPr>
          <w:rFonts w:ascii="Aptos" w:hAnsi="Aptos" w:cs="Times New Roman"/>
          <w:sz w:val="20"/>
          <w:szCs w:val="20"/>
        </w:rPr>
        <w:t xml:space="preserve"> is an unsupervised spike-sorting algorithm </w:t>
      </w:r>
      <w:r w:rsidR="00F4193D" w:rsidRPr="005500F7">
        <w:rPr>
          <w:rFonts w:ascii="Aptos" w:hAnsi="Aptos" w:cs="Times New Roman"/>
          <w:sz w:val="20"/>
          <w:szCs w:val="20"/>
        </w:rPr>
        <w:t xml:space="preserve">that </w:t>
      </w:r>
      <w:r w:rsidR="00E83057" w:rsidRPr="005500F7">
        <w:rPr>
          <w:rFonts w:ascii="Aptos" w:hAnsi="Aptos" w:cs="Times New Roman"/>
          <w:sz w:val="20"/>
          <w:szCs w:val="20"/>
        </w:rPr>
        <w:t>uses wavelet decomposition to extract features of spike waveforms and superparamagnetic clustering (SPC) to cluster spikes into single neural activities.</w:t>
      </w:r>
      <w:r w:rsidR="00E83057" w:rsidRPr="005500F7">
        <w:rPr>
          <w:rFonts w:ascii="Aptos" w:hAnsi="Aptos" w:cs="Times New Roman"/>
          <w:sz w:val="20"/>
          <w:szCs w:val="20"/>
        </w:rPr>
        <w:fldChar w:fldCharType="begin"/>
      </w:r>
      <w:r w:rsidR="00FF4210">
        <w:rPr>
          <w:rFonts w:ascii="Aptos" w:hAnsi="Aptos" w:cs="Times New Roman"/>
          <w:sz w:val="20"/>
          <w:szCs w:val="20"/>
        </w:rPr>
        <w:instrText xml:space="preserve"> ADDIN ZOTERO_ITEM CSL_CITATION {"citationID":"YQ8TVHxn","properties":{"formattedCitation":"\\super 103\\nosupersub{}","plainCitation":"103","noteIndex":0},"citationItems":[{"id":450,"uris":["http://zotero.org/users/local/qbj29eOf/items/8IWS9X4G"],"itemData":{"id":450,"type":"article-journal","abstract":"This study introduces a new method for detecting and sorting spikes from multiunit recordings. The method combines the wave let transform, which localizes distinctive spike features, with super paramagnetic clustering, which allows automatic classification of the data without assumptions such as low variance or gaussian distributions. Moreover, an improved method for setting amplitude thresholds for spike detection is proposed. We describe several criteria for implementation that render the algorithm unsupervised and fast. The algorithm is compared to other conventional methods using several simulated data sets whose characteristics closely resemble those of in vivo recordings. For these data sets, we found that the proposed algorithm outperformed conventional methods.","container-title":"Neural Computation","DOI":"10.1162/089976604774201631","ISSN":"0899-7667, 1530-888X","issue":"8","journalAbbreviation":"Neural Computation","language":"en","page":"1661-1687","source":"DOI.org (Crossref)","title":"Unsupervised Spike Detection and Sorting with Wavelets and Superparamagnetic Clustering","volume":"16","author":[{"family":"Quiroga","given":"R. Quian"},{"family":"Nadasdy","given":"Z."},{"family":"Ben-Shaul","given":"Y."}],"issued":{"date-parts":[["2004",8,1]]}}}],"schema":"https://github.com/citation-style-language/schema/raw/master/csl-citation.json"} </w:instrText>
      </w:r>
      <w:r w:rsidR="00E83057" w:rsidRPr="005500F7">
        <w:rPr>
          <w:rFonts w:ascii="Aptos" w:hAnsi="Aptos" w:cs="Times New Roman"/>
          <w:sz w:val="20"/>
          <w:szCs w:val="20"/>
        </w:rPr>
        <w:fldChar w:fldCharType="separate"/>
      </w:r>
      <w:r w:rsidR="00FF4210" w:rsidRPr="00FF4210">
        <w:rPr>
          <w:rFonts w:ascii="Aptos" w:hAnsi="Aptos" w:cs="Times New Roman"/>
          <w:sz w:val="20"/>
          <w:vertAlign w:val="superscript"/>
        </w:rPr>
        <w:t>103</w:t>
      </w:r>
      <w:r w:rsidR="00E83057" w:rsidRPr="005500F7">
        <w:rPr>
          <w:rFonts w:ascii="Aptos" w:hAnsi="Aptos" w:cs="Times New Roman"/>
          <w:sz w:val="20"/>
          <w:szCs w:val="20"/>
        </w:rPr>
        <w:fldChar w:fldCharType="end"/>
      </w:r>
      <w:r w:rsidR="006F2516" w:rsidRPr="005500F7">
        <w:rPr>
          <w:rFonts w:ascii="Aptos" w:hAnsi="Aptos" w:cs="Times New Roman"/>
          <w:sz w:val="20"/>
          <w:szCs w:val="20"/>
        </w:rPr>
        <w:t xml:space="preserve"> Briefly, we detected multiunit activity in raw recordings by employing a double-threshold-based approach in which the data points exceeded the 4th time the standard deviation of the recording compared to baseline activity, the mean, was considered multiunit activity. From these multiunit events, the toolbox measures 64 Haar wavelet coefficients to characterize the spike shapes at different scales and times. The SPC approach was subsequently used to discriminate the spiking activity of individual neurons. We employed a relatively conservative threshold (4th time the </w:t>
      </w:r>
      <w:r w:rsidR="00F4193D" w:rsidRPr="005500F7">
        <w:rPr>
          <w:rFonts w:ascii="Aptos" w:hAnsi="Aptos" w:cs="Times New Roman"/>
          <w:sz w:val="20"/>
          <w:szCs w:val="20"/>
        </w:rPr>
        <w:t>std</w:t>
      </w:r>
      <w:r w:rsidR="006F2516" w:rsidRPr="005500F7">
        <w:rPr>
          <w:rFonts w:ascii="Aptos" w:hAnsi="Aptos" w:cs="Times New Roman"/>
          <w:sz w:val="20"/>
          <w:szCs w:val="20"/>
        </w:rPr>
        <w:t xml:space="preserve"> from baseline) to reduce the effects of noise components in the operating room on single-unit events, and we uniformly applied this threshold across </w:t>
      </w:r>
      <w:r w:rsidR="00F4193D" w:rsidRPr="005500F7">
        <w:rPr>
          <w:rFonts w:ascii="Aptos" w:hAnsi="Aptos" w:cs="Times New Roman"/>
          <w:sz w:val="20"/>
          <w:szCs w:val="20"/>
        </w:rPr>
        <w:t>MERs</w:t>
      </w:r>
      <w:r w:rsidR="006F2516" w:rsidRPr="005500F7">
        <w:rPr>
          <w:rFonts w:ascii="Aptos" w:hAnsi="Aptos" w:cs="Times New Roman"/>
          <w:sz w:val="20"/>
          <w:szCs w:val="20"/>
        </w:rPr>
        <w:t xml:space="preserve"> of all patients in our cohort.</w:t>
      </w:r>
    </w:p>
    <w:p w14:paraId="6C42DCF5" w14:textId="77777777" w:rsidR="00881413" w:rsidRPr="005500F7" w:rsidRDefault="006F2516" w:rsidP="005500F7">
      <w:pPr>
        <w:pStyle w:val="Heading2"/>
        <w:rPr>
          <w:sz w:val="20"/>
          <w:szCs w:val="20"/>
        </w:rPr>
      </w:pPr>
      <w:bookmarkStart w:id="3" w:name="_Toc83249726"/>
      <w:bookmarkEnd w:id="2"/>
      <w:r w:rsidRPr="005500F7">
        <w:rPr>
          <w:sz w:val="20"/>
          <w:szCs w:val="20"/>
        </w:rPr>
        <w:t>Single</w:t>
      </w:r>
      <w:bookmarkEnd w:id="3"/>
      <w:r w:rsidRPr="005500F7">
        <w:rPr>
          <w:sz w:val="20"/>
          <w:szCs w:val="20"/>
        </w:rPr>
        <w:t>-Unit Activity Defini</w:t>
      </w:r>
      <w:r w:rsidR="00E323B4" w:rsidRPr="005500F7">
        <w:rPr>
          <w:sz w:val="20"/>
          <w:szCs w:val="20"/>
        </w:rPr>
        <w:t>tion</w:t>
      </w:r>
    </w:p>
    <w:p w14:paraId="5C23872F" w14:textId="43F163F2" w:rsidR="00B777D9" w:rsidRPr="005500F7" w:rsidRDefault="009B46F6" w:rsidP="00E323B4">
      <w:pPr>
        <w:pStyle w:val="NoSpacing"/>
        <w:rPr>
          <w:rFonts w:ascii="Aptos" w:hAnsi="Aptos" w:cs="Times New Roman"/>
          <w:sz w:val="20"/>
          <w:szCs w:val="20"/>
        </w:rPr>
      </w:pPr>
      <w:r w:rsidRPr="005500F7">
        <w:rPr>
          <w:rFonts w:ascii="Aptos" w:hAnsi="Aptos" w:cs="Times New Roman"/>
          <w:sz w:val="20"/>
          <w:szCs w:val="20"/>
        </w:rPr>
        <w:t xml:space="preserve">The single-unit activity (SUA) represents the section of the raw data that belongs to the spiking of a single neuron. The [-0.5 +2.5] ms time interval around the peak values of all spikes was extracted from </w:t>
      </w:r>
      <w:r w:rsidR="006F2516" w:rsidRPr="005500F7">
        <w:rPr>
          <w:rFonts w:ascii="Aptos" w:hAnsi="Aptos" w:cs="Times New Roman"/>
          <w:sz w:val="20"/>
          <w:szCs w:val="20"/>
        </w:rPr>
        <w:t xml:space="preserve">the </w:t>
      </w:r>
      <w:r w:rsidRPr="005500F7">
        <w:rPr>
          <w:rFonts w:ascii="Aptos" w:hAnsi="Aptos" w:cs="Times New Roman"/>
          <w:sz w:val="20"/>
          <w:szCs w:val="20"/>
        </w:rPr>
        <w:t xml:space="preserve">raw data and stored as the neural activity of a single neuron. In </w:t>
      </w:r>
      <w:r w:rsidR="006F2516" w:rsidRPr="005500F7">
        <w:rPr>
          <w:rFonts w:ascii="Aptos" w:hAnsi="Aptos" w:cs="Times New Roman"/>
          <w:sz w:val="20"/>
          <w:szCs w:val="20"/>
        </w:rPr>
        <w:t xml:space="preserve">the </w:t>
      </w:r>
      <w:r w:rsidRPr="005500F7">
        <w:rPr>
          <w:rFonts w:ascii="Aptos" w:hAnsi="Aptos" w:cs="Times New Roman"/>
          <w:sz w:val="20"/>
          <w:szCs w:val="20"/>
        </w:rPr>
        <w:t xml:space="preserve">literature, single-unit activity </w:t>
      </w:r>
      <w:r w:rsidR="006F2516" w:rsidRPr="005500F7">
        <w:rPr>
          <w:rFonts w:ascii="Aptos" w:hAnsi="Aptos" w:cs="Times New Roman"/>
          <w:sz w:val="20"/>
          <w:szCs w:val="20"/>
        </w:rPr>
        <w:t>refers to</w:t>
      </w:r>
      <w:r w:rsidRPr="005500F7">
        <w:rPr>
          <w:rFonts w:ascii="Aptos" w:hAnsi="Aptos" w:cs="Times New Roman"/>
          <w:sz w:val="20"/>
          <w:szCs w:val="20"/>
        </w:rPr>
        <w:t xml:space="preserve"> the separable single-unit spike train (SU-ST), not the </w:t>
      </w:r>
      <w:r w:rsidR="00E55FF1" w:rsidRPr="005500F7">
        <w:rPr>
          <w:rFonts w:ascii="Aptos" w:hAnsi="Aptos" w:cs="Times New Roman"/>
          <w:sz w:val="20"/>
          <w:szCs w:val="20"/>
        </w:rPr>
        <w:t>non-separable</w:t>
      </w:r>
      <w:r w:rsidR="006F2516" w:rsidRPr="005500F7">
        <w:rPr>
          <w:rFonts w:ascii="Aptos" w:hAnsi="Aptos" w:cs="Times New Roman"/>
          <w:sz w:val="20"/>
          <w:szCs w:val="20"/>
        </w:rPr>
        <w:t xml:space="preserve"> multiunit</w:t>
      </w:r>
      <w:r w:rsidRPr="005500F7">
        <w:rPr>
          <w:rFonts w:ascii="Aptos" w:hAnsi="Aptos" w:cs="Times New Roman"/>
          <w:sz w:val="20"/>
          <w:szCs w:val="20"/>
        </w:rPr>
        <w:t xml:space="preserve"> spike train (MU-ST).</w:t>
      </w:r>
      <w:r w:rsidR="00CC2BF9" w:rsidRPr="005500F7">
        <w:rPr>
          <w:rFonts w:ascii="Aptos" w:hAnsi="Aptos" w:cs="Times New Roman"/>
          <w:sz w:val="20"/>
          <w:szCs w:val="20"/>
          <w:vertAlign w:val="superscript"/>
        </w:rPr>
        <w:fldChar w:fldCharType="begin"/>
      </w:r>
      <w:r w:rsidR="00FF4210">
        <w:rPr>
          <w:rFonts w:ascii="Aptos" w:hAnsi="Aptos" w:cs="Times New Roman"/>
          <w:sz w:val="20"/>
          <w:szCs w:val="20"/>
          <w:vertAlign w:val="superscript"/>
        </w:rPr>
        <w:instrText xml:space="preserve"> ADDIN ZOTERO_ITEM CSL_CITATION {"citationID":"WJ7RDZKp","properties":{"formattedCitation":"\\super 104\\nosupersub{}","plainCitation":"104","noteIndex":0},"citationItems":[{"id":452,"uris":["http://zotero.org/users/local/qbj29eOf/items/W478GIB3"],"itemData":{"id":452,"type":"article-journal","container-title":"Journal of Neuroscience Methods","DOI":"10.1016/j.jneumeth.2009.10.024","ISSN":"01650270","issue":"1","journalAbbreviation":"Journal of Neuroscience Methods","language":"en","page":"116-129","source":"DOI.org (Crossref)","title":"Revealing neuronal functional organization through the relation between multi-scale oscillatory extracellular signals","volume":"186","author":[{"family":"Moran","given":"A."},{"family":"Bar-Gad","given":"I."}],"issued":{"date-parts":[["2010",1]]}}}],"schema":"https://github.com/citation-style-language/schema/raw/master/csl-citation.json"} </w:instrText>
      </w:r>
      <w:r w:rsidR="00CC2BF9" w:rsidRPr="005500F7">
        <w:rPr>
          <w:rFonts w:ascii="Aptos" w:hAnsi="Aptos" w:cs="Times New Roman"/>
          <w:sz w:val="20"/>
          <w:szCs w:val="20"/>
          <w:vertAlign w:val="superscript"/>
        </w:rPr>
        <w:fldChar w:fldCharType="separate"/>
      </w:r>
      <w:r w:rsidR="00FF4210" w:rsidRPr="00FF4210">
        <w:rPr>
          <w:rFonts w:ascii="Aptos" w:hAnsi="Aptos" w:cs="Times New Roman"/>
          <w:sz w:val="20"/>
          <w:vertAlign w:val="superscript"/>
        </w:rPr>
        <w:t>104</w:t>
      </w:r>
      <w:r w:rsidR="00CC2BF9" w:rsidRPr="005500F7">
        <w:rPr>
          <w:rFonts w:ascii="Aptos" w:hAnsi="Aptos" w:cs="Times New Roman"/>
          <w:sz w:val="20"/>
          <w:szCs w:val="20"/>
          <w:vertAlign w:val="superscript"/>
        </w:rPr>
        <w:fldChar w:fldCharType="end"/>
      </w:r>
      <w:r w:rsidRPr="005500F7">
        <w:rPr>
          <w:rFonts w:ascii="Aptos" w:hAnsi="Aptos" w:cs="Times New Roman"/>
          <w:sz w:val="20"/>
          <w:szCs w:val="20"/>
        </w:rPr>
        <w:t xml:space="preserve"> </w:t>
      </w:r>
      <w:bookmarkStart w:id="4" w:name="_Toc83249730"/>
      <w:r w:rsidRPr="005500F7">
        <w:rPr>
          <w:rFonts w:ascii="Aptos" w:hAnsi="Aptos" w:cs="Times New Roman"/>
          <w:sz w:val="20"/>
          <w:szCs w:val="20"/>
        </w:rPr>
        <w:t>MU-</w:t>
      </w:r>
      <w:r w:rsidR="006F2516" w:rsidRPr="005500F7">
        <w:rPr>
          <w:rFonts w:ascii="Aptos" w:hAnsi="Aptos" w:cs="Times New Roman"/>
          <w:sz w:val="20"/>
          <w:szCs w:val="20"/>
        </w:rPr>
        <w:t>STs</w:t>
      </w:r>
      <w:r w:rsidRPr="005500F7">
        <w:rPr>
          <w:rFonts w:ascii="Aptos" w:hAnsi="Aptos" w:cs="Times New Roman"/>
          <w:sz w:val="20"/>
          <w:szCs w:val="20"/>
        </w:rPr>
        <w:t xml:space="preserve"> are formed by spikes from many neurons</w:t>
      </w:r>
      <w:r w:rsidR="006F2516" w:rsidRPr="005500F7">
        <w:rPr>
          <w:rFonts w:ascii="Aptos" w:hAnsi="Aptos" w:cs="Times New Roman"/>
          <w:sz w:val="20"/>
          <w:szCs w:val="20"/>
        </w:rPr>
        <w:t xml:space="preserve"> and have</w:t>
      </w:r>
      <w:r w:rsidRPr="005500F7">
        <w:rPr>
          <w:rFonts w:ascii="Aptos" w:hAnsi="Aptos" w:cs="Times New Roman"/>
          <w:sz w:val="20"/>
          <w:szCs w:val="20"/>
        </w:rPr>
        <w:t xml:space="preserve"> shapes that cannot be separated because of a low signal-to-noise ratio. The neurons contributing to the multiunit activity are relatively close to the electrode (for their spikes to be detected) but not close enough to enable the clustering of their shapes.</w:t>
      </w:r>
      <w:r w:rsidR="00CC2BF9" w:rsidRPr="005500F7">
        <w:rPr>
          <w:rFonts w:ascii="Aptos" w:hAnsi="Aptos" w:cs="Times New Roman"/>
          <w:sz w:val="20"/>
          <w:szCs w:val="20"/>
        </w:rPr>
        <w:fldChar w:fldCharType="begin"/>
      </w:r>
      <w:r w:rsidR="00FF4210">
        <w:rPr>
          <w:rFonts w:ascii="Aptos" w:hAnsi="Aptos" w:cs="Times New Roman"/>
          <w:sz w:val="20"/>
          <w:szCs w:val="20"/>
        </w:rPr>
        <w:instrText xml:space="preserve"> ADDIN ZOTERO_ITEM CSL_CITATION {"citationID":"M2E6Ezoh","properties":{"formattedCitation":"\\super 105\\nosupersub{}","plainCitation":"105","noteIndex":0},"citationItems":[{"id":453,"uris":["http://zotero.org/users/local/qbj29eOf/items/L85HYVUD"],"itemData":{"id":453,"type":"book","abstract":"Understanding how the brain works is probably the greatest scientific and intellectual challenge of our generation. The cerebral cortex is the instrument by which we carry the most complex mental functions. Fortunately, there exists an immense body of knowledge concerning both cortical structure and the properties of single neurons in the cortex. With the advent of the supercomputer, there has been increased interest in neural network modeling. What is needed is a new approach to an understanding of the mammalian cerebral cortex that will provide a link between the physiological description and the computer model. This book meets that need by combining anatomy, physiology, and modeling to achieve a quantitative description of cortical function. The material is presented didactically, starting with descriptive anatomy and comprehensively examining all aspects of modeling. The book gradually leads the reader from the macroscopic cortical anatomy and standard electrophysiological properties of single neurons to neural network models and synfire chains. The most modern trends in neural network modeling are explored.","edition":"1","ISBN":"978-0-521-37476-7","note":"DOI: 10.1017/CBO9780511574566","publisher":"Cambridge University Press","source":"DOI.org (Crossref)","title":"Corticonics: Neural Circuits of the Cerebral Cortex","title-short":"Corticonics","URL":"https://www.cambridge.org/core/product/identifier/9780511574566/type/book","author":[{"family":"Abeles","given":"M."}],"accessed":{"date-parts":[["2023",7,31]]},"issued":{"date-parts":[["1991",2,22]]}}}],"schema":"https://github.com/citation-style-language/schema/raw/master/csl-citation.json"} </w:instrText>
      </w:r>
      <w:r w:rsidR="00CC2BF9" w:rsidRPr="005500F7">
        <w:rPr>
          <w:rFonts w:ascii="Aptos" w:hAnsi="Aptos" w:cs="Times New Roman"/>
          <w:sz w:val="20"/>
          <w:szCs w:val="20"/>
        </w:rPr>
        <w:fldChar w:fldCharType="separate"/>
      </w:r>
      <w:r w:rsidR="00FF4210" w:rsidRPr="00FF4210">
        <w:rPr>
          <w:rFonts w:ascii="Aptos" w:hAnsi="Aptos" w:cs="Times New Roman"/>
          <w:sz w:val="20"/>
          <w:vertAlign w:val="superscript"/>
        </w:rPr>
        <w:t>105</w:t>
      </w:r>
      <w:r w:rsidR="00CC2BF9" w:rsidRPr="005500F7">
        <w:rPr>
          <w:rFonts w:ascii="Aptos" w:hAnsi="Aptos" w:cs="Times New Roman"/>
          <w:sz w:val="20"/>
          <w:szCs w:val="20"/>
        </w:rPr>
        <w:fldChar w:fldCharType="end"/>
      </w:r>
    </w:p>
    <w:p w14:paraId="5A05EA5E" w14:textId="77777777" w:rsidR="00B777D9" w:rsidRPr="005500F7" w:rsidRDefault="006F2516" w:rsidP="005500F7">
      <w:pPr>
        <w:pStyle w:val="Heading2"/>
        <w:rPr>
          <w:sz w:val="20"/>
          <w:szCs w:val="20"/>
        </w:rPr>
      </w:pPr>
      <w:r w:rsidRPr="005500F7">
        <w:rPr>
          <w:sz w:val="20"/>
          <w:szCs w:val="20"/>
        </w:rPr>
        <w:t>Stability criterion for sorted neurons</w:t>
      </w:r>
    </w:p>
    <w:bookmarkEnd w:id="4"/>
    <w:p w14:paraId="16890AA3" w14:textId="0CE336BC" w:rsidR="005500F7" w:rsidRPr="005500F7" w:rsidRDefault="006F2516" w:rsidP="005500F7">
      <w:pPr>
        <w:pStyle w:val="NoSpacing"/>
        <w:rPr>
          <w:rFonts w:ascii="Aptos" w:hAnsi="Aptos" w:cs="Times New Roman"/>
          <w:sz w:val="20"/>
          <w:szCs w:val="20"/>
        </w:rPr>
      </w:pPr>
      <w:r w:rsidRPr="005500F7">
        <w:rPr>
          <w:rFonts w:ascii="Aptos" w:hAnsi="Aptos" w:cs="Times New Roman"/>
          <w:sz w:val="20"/>
          <w:szCs w:val="20"/>
        </w:rPr>
        <w:t>The stability of the detected neurons was investigated before proceeding with further analysis. This stability check of neurons was performed to avoid adding neurons to the dataset that did not have predicted neural activity or spike morphology. The adopted stability criterion</w:t>
      </w:r>
      <w:r w:rsidR="00CC2BF9" w:rsidRPr="005500F7">
        <w:rPr>
          <w:rFonts w:ascii="Aptos" w:hAnsi="Aptos" w:cs="Times New Roman"/>
          <w:sz w:val="20"/>
          <w:szCs w:val="20"/>
          <w:vertAlign w:val="superscript"/>
        </w:rPr>
        <w:fldChar w:fldCharType="begin"/>
      </w:r>
      <w:r w:rsidR="00FF4210">
        <w:rPr>
          <w:rFonts w:ascii="Aptos" w:hAnsi="Aptos" w:cs="Times New Roman"/>
          <w:sz w:val="20"/>
          <w:szCs w:val="20"/>
          <w:vertAlign w:val="superscript"/>
        </w:rPr>
        <w:instrText xml:space="preserve"> ADDIN ZOTERO_ITEM CSL_CITATION {"citationID":"xg1pV5Zm","properties":{"formattedCitation":"\\super 106\\nosupersub{}","plainCitation":"106","noteIndex":0},"citationItems":[{"id":456,"uris":["http://zotero.org/users/local/qbj29eOf/items/UKMDHP4W"],"itemData":{"id":456,"type":"article-journal","container-title":"Clinical Neurophysiology","DOI":"10.1016/j.clinph.2017.10.003","ISSN":"13882457","issue":"12","journalAbbreviation":"Clinical Neurophysiology","language":"en","page":"2510-2518","source":"DOI.org (Crossref)","title":"Single-unit activity of the anterior Globus pallidus internus in Tourette patients and posterior Globus pallidus internus in dystonic patients","volume":"128","author":[{"family":"Giorni","given":"Andrea"},{"family":"Windels","given":"François"},{"family":"Stratton","given":"Peter G."},{"family":"Cook","given":"Raymond"},{"family":"Silberstein","given":"Paul"},{"family":"Coyne","given":"Terrence"},{"family":"Silburn","given":"Peter A."},{"family":"Sah","given":"Pankaj"}],"issued":{"date-parts":[["2017",12]]}}}],"schema":"https://github.com/citation-style-language/schema/raw/master/csl-citation.json"} </w:instrText>
      </w:r>
      <w:r w:rsidR="00CC2BF9" w:rsidRPr="005500F7">
        <w:rPr>
          <w:rFonts w:ascii="Aptos" w:hAnsi="Aptos" w:cs="Times New Roman"/>
          <w:sz w:val="20"/>
          <w:szCs w:val="20"/>
          <w:vertAlign w:val="superscript"/>
        </w:rPr>
        <w:fldChar w:fldCharType="separate"/>
      </w:r>
      <w:r w:rsidR="00FF4210" w:rsidRPr="00FF4210">
        <w:rPr>
          <w:rFonts w:ascii="Aptos" w:hAnsi="Aptos" w:cs="Times New Roman"/>
          <w:sz w:val="20"/>
          <w:vertAlign w:val="superscript"/>
        </w:rPr>
        <w:t>106</w:t>
      </w:r>
      <w:r w:rsidR="00CC2BF9" w:rsidRPr="005500F7">
        <w:rPr>
          <w:rFonts w:ascii="Aptos" w:hAnsi="Aptos" w:cs="Times New Roman"/>
          <w:sz w:val="20"/>
          <w:szCs w:val="20"/>
          <w:vertAlign w:val="superscript"/>
        </w:rPr>
        <w:fldChar w:fldCharType="end"/>
      </w:r>
      <w:r w:rsidR="00B02AC9" w:rsidRPr="005500F7">
        <w:rPr>
          <w:rFonts w:ascii="Aptos" w:hAnsi="Aptos" w:cs="Times New Roman"/>
          <w:sz w:val="20"/>
          <w:szCs w:val="20"/>
        </w:rPr>
        <w:t xml:space="preserve"> checks four different aspects of sorted neurons. </w:t>
      </w:r>
      <w:r w:rsidR="00B02AC9" w:rsidRPr="005500F7">
        <w:rPr>
          <w:rFonts w:ascii="Aptos" w:hAnsi="Aptos" w:cs="Times New Roman"/>
          <w:b/>
          <w:bCs/>
          <w:sz w:val="20"/>
          <w:szCs w:val="20"/>
        </w:rPr>
        <w:t>(a)</w:t>
      </w:r>
      <w:r w:rsidR="00B02AC9" w:rsidRPr="005500F7">
        <w:rPr>
          <w:rFonts w:ascii="Aptos" w:hAnsi="Aptos" w:cs="Times New Roman"/>
          <w:sz w:val="20"/>
          <w:szCs w:val="20"/>
        </w:rPr>
        <w:t xml:space="preserve"> </w:t>
      </w:r>
      <w:r w:rsidRPr="005500F7">
        <w:rPr>
          <w:rFonts w:ascii="Aptos" w:hAnsi="Aptos" w:cs="Times New Roman"/>
          <w:color w:val="auto"/>
          <w:sz w:val="20"/>
          <w:szCs w:val="20"/>
        </w:rPr>
        <w:t xml:space="preserve">More than 90% of the total area of the amplitude histogram had to be above the detection </w:t>
      </w:r>
      <w:r w:rsidRPr="005500F7">
        <w:rPr>
          <w:rFonts w:ascii="Aptos" w:hAnsi="Aptos" w:cs="Times New Roman"/>
          <w:sz w:val="20"/>
          <w:szCs w:val="20"/>
        </w:rPr>
        <w:t>threshold.</w:t>
      </w:r>
      <w:r w:rsidR="0066244E" w:rsidRPr="005500F7">
        <w:rPr>
          <w:rFonts w:ascii="Aptos" w:hAnsi="Aptos" w:cs="Times New Roman"/>
          <w:color w:val="auto"/>
          <w:sz w:val="20"/>
          <w:szCs w:val="20"/>
        </w:rPr>
        <w:t xml:space="preserve"> We suggest the temporal region in the raw recording, which shows distinguishable changes </w:t>
      </w:r>
      <w:r w:rsidR="0075292B" w:rsidRPr="005500F7">
        <w:rPr>
          <w:rFonts w:ascii="Aptos" w:hAnsi="Aptos" w:cs="Times New Roman"/>
          <w:sz w:val="20"/>
          <w:szCs w:val="20"/>
        </w:rPr>
        <w:t>compared</w:t>
      </w:r>
      <w:r w:rsidR="00FB457F" w:rsidRPr="005500F7">
        <w:rPr>
          <w:rFonts w:ascii="Aptos" w:hAnsi="Aptos" w:cs="Times New Roman"/>
          <w:color w:val="auto"/>
          <w:sz w:val="20"/>
          <w:szCs w:val="20"/>
        </w:rPr>
        <w:t xml:space="preserve"> to the baseline to indicate spiking activity. For each spike, all the spiking peaks </w:t>
      </w:r>
      <w:r w:rsidRPr="005500F7">
        <w:rPr>
          <w:rFonts w:ascii="Aptos" w:hAnsi="Aptos" w:cs="Times New Roman"/>
          <w:color w:val="auto"/>
          <w:sz w:val="20"/>
          <w:szCs w:val="20"/>
        </w:rPr>
        <w:t>were</w:t>
      </w:r>
      <w:r w:rsidR="00FB457F" w:rsidRPr="005500F7">
        <w:rPr>
          <w:rFonts w:ascii="Aptos" w:hAnsi="Aptos" w:cs="Times New Roman"/>
          <w:color w:val="auto"/>
          <w:sz w:val="20"/>
          <w:szCs w:val="20"/>
        </w:rPr>
        <w:t xml:space="preserve"> compared with the defined double threshold. The next </w:t>
      </w:r>
      <w:r w:rsidRPr="005500F7">
        <w:rPr>
          <w:rFonts w:ascii="Aptos" w:hAnsi="Aptos" w:cs="Times New Roman"/>
          <w:color w:val="auto"/>
          <w:sz w:val="20"/>
          <w:szCs w:val="20"/>
        </w:rPr>
        <w:t>criterion was to determine whether 90% of the detected spike peaks were</w:t>
      </w:r>
      <w:r w:rsidR="00FB457F" w:rsidRPr="005500F7">
        <w:rPr>
          <w:rFonts w:ascii="Aptos" w:hAnsi="Aptos" w:cs="Times New Roman"/>
          <w:color w:val="auto"/>
          <w:sz w:val="20"/>
          <w:szCs w:val="20"/>
        </w:rPr>
        <w:t xml:space="preserve"> above this threshold level.</w:t>
      </w:r>
      <w:r w:rsidR="00B02AC9" w:rsidRPr="005500F7">
        <w:rPr>
          <w:rFonts w:ascii="Aptos" w:hAnsi="Aptos" w:cs="Times New Roman"/>
          <w:sz w:val="20"/>
          <w:szCs w:val="20"/>
        </w:rPr>
        <w:t xml:space="preserve"> </w:t>
      </w:r>
      <w:r w:rsidR="00B02AC9" w:rsidRPr="005500F7">
        <w:rPr>
          <w:rFonts w:ascii="Aptos" w:hAnsi="Aptos" w:cs="Times New Roman"/>
          <w:b/>
          <w:bCs/>
          <w:sz w:val="20"/>
          <w:szCs w:val="20"/>
        </w:rPr>
        <w:t>(b)</w:t>
      </w:r>
      <w:r w:rsidR="00B02AC9" w:rsidRPr="005500F7">
        <w:rPr>
          <w:rFonts w:ascii="Aptos" w:hAnsi="Aptos" w:cs="Times New Roman"/>
          <w:sz w:val="20"/>
          <w:szCs w:val="20"/>
        </w:rPr>
        <w:t xml:space="preserve"> </w:t>
      </w:r>
      <w:r w:rsidR="003676B8" w:rsidRPr="005500F7">
        <w:rPr>
          <w:rFonts w:ascii="Aptos" w:hAnsi="Aptos" w:cs="Times New Roman"/>
          <w:color w:val="auto"/>
          <w:sz w:val="20"/>
          <w:szCs w:val="20"/>
        </w:rPr>
        <w:t xml:space="preserve">The mean waveform of the clustered activity of a neuron needs to have a typical action potential shape with a prominent peak. This step is completed </w:t>
      </w:r>
      <w:r w:rsidRPr="005500F7">
        <w:rPr>
          <w:rFonts w:ascii="Aptos" w:hAnsi="Aptos" w:cs="Times New Roman"/>
          <w:color w:val="auto"/>
          <w:sz w:val="20"/>
          <w:szCs w:val="20"/>
        </w:rPr>
        <w:t>via</w:t>
      </w:r>
      <w:r w:rsidR="003676B8" w:rsidRPr="005500F7">
        <w:rPr>
          <w:rFonts w:ascii="Aptos" w:hAnsi="Aptos" w:cs="Times New Roman"/>
          <w:color w:val="auto"/>
          <w:sz w:val="20"/>
          <w:szCs w:val="20"/>
        </w:rPr>
        <w:t xml:space="preserve"> visual inspection during spike sorting.</w:t>
      </w:r>
      <w:r w:rsidR="00B02AC9" w:rsidRPr="005500F7">
        <w:rPr>
          <w:rFonts w:ascii="Aptos" w:hAnsi="Aptos" w:cs="Times New Roman"/>
          <w:sz w:val="20"/>
          <w:szCs w:val="20"/>
        </w:rPr>
        <w:t xml:space="preserve"> </w:t>
      </w:r>
      <w:r w:rsidR="00B02AC9" w:rsidRPr="005500F7">
        <w:rPr>
          <w:rFonts w:ascii="Aptos" w:hAnsi="Aptos" w:cs="Times New Roman"/>
          <w:b/>
          <w:bCs/>
          <w:sz w:val="20"/>
          <w:szCs w:val="20"/>
        </w:rPr>
        <w:t>(c)</w:t>
      </w:r>
      <w:r w:rsidR="00B02AC9" w:rsidRPr="005500F7">
        <w:rPr>
          <w:rFonts w:ascii="Aptos" w:hAnsi="Aptos" w:cs="Times New Roman"/>
          <w:sz w:val="20"/>
          <w:szCs w:val="20"/>
        </w:rPr>
        <w:t xml:space="preserve"> </w:t>
      </w:r>
      <w:r w:rsidR="00BA5E7F" w:rsidRPr="005500F7">
        <w:rPr>
          <w:rFonts w:ascii="Aptos" w:hAnsi="Aptos" w:cs="Times New Roman"/>
          <w:color w:val="auto"/>
          <w:sz w:val="20"/>
          <w:szCs w:val="20"/>
        </w:rPr>
        <w:t xml:space="preserve">The percentage of spikes occurring within 3 ms of each other had to be less than 1%. This criterion ensures </w:t>
      </w:r>
      <w:r w:rsidRPr="005500F7">
        <w:rPr>
          <w:rFonts w:ascii="Aptos" w:hAnsi="Aptos" w:cs="Times New Roman"/>
          <w:color w:val="auto"/>
          <w:sz w:val="20"/>
          <w:szCs w:val="20"/>
        </w:rPr>
        <w:t xml:space="preserve">that </w:t>
      </w:r>
      <w:r w:rsidR="00BA5E7F" w:rsidRPr="005500F7">
        <w:rPr>
          <w:rFonts w:ascii="Aptos" w:hAnsi="Aptos" w:cs="Times New Roman"/>
          <w:color w:val="auto"/>
          <w:sz w:val="20"/>
          <w:szCs w:val="20"/>
        </w:rPr>
        <w:t xml:space="preserve">we do not involve a spiking activity that occurs </w:t>
      </w:r>
      <w:r w:rsidR="00F4193D" w:rsidRPr="005500F7">
        <w:rPr>
          <w:rFonts w:ascii="Aptos" w:hAnsi="Aptos" w:cs="Times New Roman"/>
          <w:color w:val="auto"/>
          <w:sz w:val="20"/>
          <w:szCs w:val="20"/>
        </w:rPr>
        <w:t xml:space="preserve">in the </w:t>
      </w:r>
      <w:r w:rsidR="00BA5E7F" w:rsidRPr="005500F7">
        <w:rPr>
          <w:rFonts w:ascii="Aptos" w:hAnsi="Aptos" w:cs="Times New Roman"/>
          <w:color w:val="auto"/>
          <w:sz w:val="20"/>
          <w:szCs w:val="20"/>
        </w:rPr>
        <w:t>refractory period.</w:t>
      </w:r>
      <w:r w:rsidR="00B02AC9" w:rsidRPr="005500F7">
        <w:rPr>
          <w:rFonts w:ascii="Aptos" w:hAnsi="Aptos" w:cs="Times New Roman"/>
          <w:sz w:val="20"/>
          <w:szCs w:val="20"/>
        </w:rPr>
        <w:t xml:space="preserve"> </w:t>
      </w:r>
      <w:r w:rsidR="00B02AC9" w:rsidRPr="005500F7">
        <w:rPr>
          <w:rFonts w:ascii="Aptos" w:hAnsi="Aptos" w:cs="Times New Roman"/>
          <w:b/>
          <w:bCs/>
          <w:sz w:val="20"/>
          <w:szCs w:val="20"/>
        </w:rPr>
        <w:t>(d)</w:t>
      </w:r>
      <w:r w:rsidR="00B02AC9" w:rsidRPr="005500F7">
        <w:rPr>
          <w:rFonts w:ascii="Aptos" w:hAnsi="Aptos" w:cs="Times New Roman"/>
          <w:sz w:val="20"/>
          <w:szCs w:val="20"/>
        </w:rPr>
        <w:t xml:space="preserve"> </w:t>
      </w:r>
      <w:r w:rsidRPr="005500F7">
        <w:rPr>
          <w:rFonts w:ascii="Aptos" w:hAnsi="Aptos" w:cs="Times New Roman"/>
          <w:color w:val="auto"/>
          <w:sz w:val="20"/>
          <w:szCs w:val="20"/>
        </w:rPr>
        <w:t>The number of spikes detected was more than 20.</w:t>
      </w:r>
      <w:r w:rsidR="002A6189" w:rsidRPr="005500F7">
        <w:rPr>
          <w:rFonts w:ascii="Aptos" w:hAnsi="Aptos" w:cs="Times New Roman"/>
          <w:noProof/>
          <w:color w:val="auto"/>
          <w:sz w:val="20"/>
          <w:szCs w:val="20"/>
        </w:rPr>
        <w:t xml:space="preserve"> For meaningful statistical conclusions, this threshold is defined to select the neurons.</w:t>
      </w:r>
      <w:r w:rsidR="00D112FF" w:rsidRPr="005500F7">
        <w:rPr>
          <w:rFonts w:ascii="Aptos" w:hAnsi="Aptos" w:cs="Times New Roman"/>
          <w:sz w:val="20"/>
          <w:szCs w:val="20"/>
        </w:rPr>
        <w:t xml:space="preserve"> This stability criterion was applied to all the isolated neurons. Only the neurons that passed the stability criterion </w:t>
      </w:r>
      <w:r w:rsidRPr="005500F7">
        <w:rPr>
          <w:rFonts w:ascii="Aptos" w:hAnsi="Aptos" w:cs="Times New Roman"/>
          <w:sz w:val="20"/>
          <w:szCs w:val="20"/>
        </w:rPr>
        <w:t>were</w:t>
      </w:r>
      <w:r w:rsidR="00D112FF" w:rsidRPr="005500F7">
        <w:rPr>
          <w:rFonts w:ascii="Aptos" w:hAnsi="Aptos" w:cs="Times New Roman"/>
          <w:sz w:val="20"/>
          <w:szCs w:val="20"/>
        </w:rPr>
        <w:t xml:space="preserve"> accepted for the next steps.</w:t>
      </w:r>
    </w:p>
    <w:p w14:paraId="17D911B2" w14:textId="7FFC96F6" w:rsidR="006D3819" w:rsidRPr="005500F7" w:rsidRDefault="006F2516" w:rsidP="00F30935">
      <w:pPr>
        <w:rPr>
          <w:rFonts w:ascii="Aptos" w:hAnsi="Aptos"/>
          <w:b/>
          <w:bCs/>
          <w:sz w:val="20"/>
          <w:szCs w:val="20"/>
        </w:rPr>
      </w:pPr>
      <w:r w:rsidRPr="005500F7">
        <w:rPr>
          <w:rFonts w:ascii="Aptos" w:hAnsi="Aptos"/>
          <w:b/>
          <w:bCs/>
          <w:sz w:val="20"/>
          <w:szCs w:val="20"/>
        </w:rPr>
        <w:lastRenderedPageBreak/>
        <w:t xml:space="preserve">Supplementary Table </w:t>
      </w:r>
      <w:r w:rsidR="00705731">
        <w:rPr>
          <w:rFonts w:ascii="Aptos" w:hAnsi="Aptos"/>
          <w:b/>
          <w:bCs/>
          <w:sz w:val="20"/>
          <w:szCs w:val="20"/>
        </w:rPr>
        <w:t>3.</w:t>
      </w:r>
      <w:r w:rsidRPr="005500F7">
        <w:rPr>
          <w:rFonts w:ascii="Aptos" w:hAnsi="Aptos"/>
          <w:b/>
          <w:bCs/>
          <w:sz w:val="20"/>
          <w:szCs w:val="20"/>
        </w:rPr>
        <w:t xml:space="preserve"> Single-Unit Activity Distribution Across Genetic Variants and MER Recordings</w:t>
      </w:r>
    </w:p>
    <w:tbl>
      <w:tblPr>
        <w:tblStyle w:val="TableGrid"/>
        <w:tblW w:w="0" w:type="auto"/>
        <w:tblLook w:val="04A0" w:firstRow="1" w:lastRow="0" w:firstColumn="1" w:lastColumn="0" w:noHBand="0" w:noVBand="1"/>
      </w:tblPr>
      <w:tblGrid>
        <w:gridCol w:w="2508"/>
        <w:gridCol w:w="2020"/>
        <w:gridCol w:w="2260"/>
        <w:gridCol w:w="2264"/>
      </w:tblGrid>
      <w:tr w:rsidR="0017005C" w:rsidRPr="005500F7" w14:paraId="3C375F0E" w14:textId="77777777" w:rsidTr="0067300C">
        <w:trPr>
          <w:trHeight w:val="364"/>
        </w:trPr>
        <w:tc>
          <w:tcPr>
            <w:tcW w:w="250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7D888C2A" w14:textId="1F747538" w:rsidR="00F30935" w:rsidRPr="005500F7" w:rsidRDefault="00FC3CAE" w:rsidP="00F30935">
            <w:pPr>
              <w:pStyle w:val="NoSpacing"/>
              <w:ind w:firstLine="0"/>
              <w:jc w:val="center"/>
              <w:rPr>
                <w:rFonts w:ascii="Aptos" w:hAnsi="Aptos" w:cs="Times New Roman"/>
                <w:sz w:val="20"/>
                <w:szCs w:val="20"/>
              </w:rPr>
            </w:pPr>
            <w:r>
              <w:rPr>
                <w:rFonts w:ascii="Aptos" w:hAnsi="Aptos" w:cs="Times New Roman"/>
                <w:b/>
                <w:sz w:val="20"/>
                <w:szCs w:val="20"/>
              </w:rPr>
              <w:t>Dystonia Gene</w:t>
            </w:r>
          </w:p>
        </w:tc>
        <w:tc>
          <w:tcPr>
            <w:tcW w:w="20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7A76116E" w14:textId="77777777" w:rsidR="00F30935" w:rsidRPr="005500F7" w:rsidRDefault="006F2516" w:rsidP="00F30935">
            <w:pPr>
              <w:pStyle w:val="NoSpacing"/>
              <w:ind w:firstLine="0"/>
              <w:jc w:val="center"/>
              <w:rPr>
                <w:rFonts w:ascii="Aptos" w:hAnsi="Aptos" w:cs="Times New Roman"/>
                <w:b/>
                <w:sz w:val="20"/>
                <w:szCs w:val="20"/>
              </w:rPr>
            </w:pPr>
            <w:r w:rsidRPr="005500F7">
              <w:rPr>
                <w:rFonts w:ascii="Aptos" w:hAnsi="Aptos" w:cs="Times New Roman"/>
                <w:b/>
                <w:sz w:val="20"/>
                <w:szCs w:val="20"/>
              </w:rPr>
              <w:t>Number of Patients</w:t>
            </w:r>
          </w:p>
        </w:tc>
        <w:tc>
          <w:tcPr>
            <w:tcW w:w="2260"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1E8791A3"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b/>
                <w:sz w:val="20"/>
                <w:szCs w:val="20"/>
              </w:rPr>
              <w:t>Number of MERs</w:t>
            </w:r>
          </w:p>
        </w:tc>
        <w:tc>
          <w:tcPr>
            <w:tcW w:w="2264"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1EAEA9D"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b/>
                <w:sz w:val="20"/>
                <w:szCs w:val="20"/>
              </w:rPr>
              <w:t>Number of Stable Neurons</w:t>
            </w:r>
          </w:p>
        </w:tc>
      </w:tr>
      <w:tr w:rsidR="0017005C" w:rsidRPr="005500F7" w14:paraId="711FAA26" w14:textId="77777777" w:rsidTr="0067300C">
        <w:tc>
          <w:tcPr>
            <w:tcW w:w="2508"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14:paraId="334663A5" w14:textId="51C1AEC6"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AOPEP</w:t>
            </w:r>
          </w:p>
        </w:tc>
        <w:tc>
          <w:tcPr>
            <w:tcW w:w="2020"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E697654"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w:t>
            </w:r>
          </w:p>
        </w:tc>
        <w:tc>
          <w:tcPr>
            <w:tcW w:w="2260"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1EED2FA3"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69</w:t>
            </w:r>
          </w:p>
        </w:tc>
        <w:tc>
          <w:tcPr>
            <w:tcW w:w="2264"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C493FC2"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45</w:t>
            </w:r>
          </w:p>
        </w:tc>
      </w:tr>
      <w:tr w:rsidR="0017005C" w:rsidRPr="005500F7" w14:paraId="2E935DCE"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CF683E" w14:textId="0E5ABC12"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KMT2B</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EF6DA"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2</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0EB5A"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102</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1B395"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94</w:t>
            </w:r>
          </w:p>
        </w:tc>
      </w:tr>
      <w:tr w:rsidR="0017005C" w:rsidRPr="005500F7" w14:paraId="30CE8E9C"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827948" w14:textId="49EDC5B8"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GNAL</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73AA01"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2</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DC2F4"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93</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CD545"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50</w:t>
            </w:r>
          </w:p>
        </w:tc>
      </w:tr>
      <w:tr w:rsidR="0017005C" w:rsidRPr="005500F7" w14:paraId="502252CB"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41C8A4" w14:textId="41C7131D"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PANK2</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B30D8"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3</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D8C49" w14:textId="77777777" w:rsidR="00F30935" w:rsidRPr="005500F7" w:rsidRDefault="00C976A7" w:rsidP="00F30935">
            <w:pPr>
              <w:pStyle w:val="NoSpacing"/>
              <w:ind w:firstLine="0"/>
              <w:jc w:val="center"/>
              <w:rPr>
                <w:rFonts w:ascii="Aptos" w:hAnsi="Aptos" w:cs="Times New Roman"/>
                <w:sz w:val="20"/>
                <w:szCs w:val="20"/>
              </w:rPr>
            </w:pPr>
            <w:r w:rsidRPr="005500F7">
              <w:rPr>
                <w:rFonts w:ascii="Aptos" w:hAnsi="Aptos" w:cs="Times New Roman"/>
                <w:sz w:val="20"/>
                <w:szCs w:val="20"/>
              </w:rPr>
              <w:t>231</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BA0BD" w14:textId="77777777" w:rsidR="00F30935" w:rsidRPr="005500F7" w:rsidRDefault="00D10CD9" w:rsidP="00F30935">
            <w:pPr>
              <w:pStyle w:val="NoSpacing"/>
              <w:ind w:firstLine="0"/>
              <w:jc w:val="center"/>
              <w:rPr>
                <w:rFonts w:ascii="Aptos" w:hAnsi="Aptos" w:cs="Times New Roman"/>
                <w:sz w:val="20"/>
                <w:szCs w:val="20"/>
              </w:rPr>
            </w:pPr>
            <w:r w:rsidRPr="005500F7">
              <w:rPr>
                <w:rFonts w:ascii="Aptos" w:hAnsi="Aptos" w:cs="Times New Roman"/>
                <w:sz w:val="20"/>
                <w:szCs w:val="20"/>
              </w:rPr>
              <w:t>119</w:t>
            </w:r>
          </w:p>
        </w:tc>
      </w:tr>
      <w:tr w:rsidR="0017005C" w:rsidRPr="005500F7" w14:paraId="7DD8BBA4" w14:textId="77777777" w:rsidTr="00FF6C33">
        <w:trPr>
          <w:trHeight w:val="258"/>
        </w:trPr>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CF114F" w14:textId="0D350F43"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PLA2G6</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7DC30"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70B22"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284</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E2EE31"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169</w:t>
            </w:r>
          </w:p>
        </w:tc>
      </w:tr>
      <w:tr w:rsidR="0017005C" w:rsidRPr="005500F7" w14:paraId="03BE19F3"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38DB7" w14:textId="47973B01"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SGCE</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0B185" w14:textId="66442883" w:rsidR="00F30935" w:rsidRPr="005500F7" w:rsidRDefault="00CD6F44" w:rsidP="00F30935">
            <w:pPr>
              <w:pStyle w:val="NoSpacing"/>
              <w:ind w:firstLine="0"/>
              <w:jc w:val="center"/>
              <w:rPr>
                <w:rFonts w:ascii="Aptos" w:hAnsi="Aptos" w:cs="Times New Roman"/>
                <w:sz w:val="20"/>
                <w:szCs w:val="20"/>
              </w:rPr>
            </w:pPr>
            <w:r>
              <w:rPr>
                <w:rFonts w:ascii="Aptos" w:hAnsi="Aptos" w:cs="Times New Roman"/>
                <w:sz w:val="20"/>
                <w:szCs w:val="20"/>
              </w:rPr>
              <w:t>4</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727E3" w14:textId="5FD3041A" w:rsidR="00F30935" w:rsidRPr="005500F7" w:rsidRDefault="00CD6F44" w:rsidP="00F30935">
            <w:pPr>
              <w:pStyle w:val="NoSpacing"/>
              <w:ind w:firstLine="0"/>
              <w:jc w:val="center"/>
              <w:rPr>
                <w:rFonts w:ascii="Aptos" w:hAnsi="Aptos" w:cs="Times New Roman"/>
                <w:sz w:val="20"/>
                <w:szCs w:val="20"/>
              </w:rPr>
            </w:pPr>
            <w:r w:rsidRPr="005500F7">
              <w:rPr>
                <w:rFonts w:ascii="Aptos" w:hAnsi="Aptos" w:cs="Times New Roman"/>
                <w:sz w:val="20"/>
                <w:szCs w:val="20"/>
              </w:rPr>
              <w:t>6</w:t>
            </w:r>
            <w:r>
              <w:rPr>
                <w:rFonts w:ascii="Aptos" w:hAnsi="Aptos" w:cs="Times New Roman"/>
                <w:sz w:val="20"/>
                <w:szCs w:val="20"/>
              </w:rPr>
              <w:t>20</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3210E0" w14:textId="3D514378" w:rsidR="00F30935" w:rsidRPr="005500F7" w:rsidRDefault="00CD6F44" w:rsidP="00F30935">
            <w:pPr>
              <w:pStyle w:val="NoSpacing"/>
              <w:ind w:firstLine="0"/>
              <w:jc w:val="center"/>
              <w:rPr>
                <w:rFonts w:ascii="Aptos" w:hAnsi="Aptos" w:cs="Times New Roman"/>
                <w:sz w:val="20"/>
                <w:szCs w:val="20"/>
              </w:rPr>
            </w:pPr>
            <w:r w:rsidRPr="005500F7">
              <w:rPr>
                <w:rFonts w:ascii="Aptos" w:hAnsi="Aptos" w:cs="Times New Roman"/>
                <w:sz w:val="20"/>
                <w:szCs w:val="20"/>
              </w:rPr>
              <w:t>3</w:t>
            </w:r>
            <w:r>
              <w:rPr>
                <w:rFonts w:ascii="Aptos" w:hAnsi="Aptos" w:cs="Times New Roman"/>
                <w:sz w:val="20"/>
                <w:szCs w:val="20"/>
              </w:rPr>
              <w:t>6</w:t>
            </w:r>
            <w:r w:rsidRPr="005500F7">
              <w:rPr>
                <w:rFonts w:ascii="Aptos" w:hAnsi="Aptos" w:cs="Times New Roman"/>
                <w:sz w:val="20"/>
                <w:szCs w:val="20"/>
              </w:rPr>
              <w:t>4</w:t>
            </w:r>
          </w:p>
        </w:tc>
      </w:tr>
      <w:tr w:rsidR="0017005C" w:rsidRPr="005500F7" w14:paraId="2CFB2077"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63813" w14:textId="0FBF8203"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THAP1</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D1FE9B"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4</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141A6"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176</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03FC4"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74</w:t>
            </w:r>
          </w:p>
        </w:tc>
      </w:tr>
      <w:tr w:rsidR="0017005C" w:rsidRPr="005500F7" w14:paraId="74786AAA"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193C0A" w14:textId="40EB6F1A"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TOR1A</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11810"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9</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4DBC7"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1121</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904372" w14:textId="77777777" w:rsidR="00F30935"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434</w:t>
            </w:r>
          </w:p>
        </w:tc>
      </w:tr>
      <w:tr w:rsidR="0017005C" w:rsidRPr="005500F7" w14:paraId="418AE748" w14:textId="77777777" w:rsidTr="0067300C">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A0FE82" w14:textId="23121343" w:rsidR="00C33F7A"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i/>
                <w:iCs/>
                <w:sz w:val="20"/>
                <w:szCs w:val="20"/>
              </w:rPr>
              <w:t>VPS16</w:t>
            </w: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099B8" w14:textId="77777777" w:rsidR="00C33F7A"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5</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5EF2D" w14:textId="77777777" w:rsidR="00C33F7A"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497</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56831" w14:textId="77777777" w:rsidR="00C33F7A" w:rsidRPr="005500F7" w:rsidRDefault="006F2516" w:rsidP="00F30935">
            <w:pPr>
              <w:pStyle w:val="NoSpacing"/>
              <w:ind w:firstLine="0"/>
              <w:jc w:val="center"/>
              <w:rPr>
                <w:rFonts w:ascii="Aptos" w:hAnsi="Aptos" w:cs="Times New Roman"/>
                <w:sz w:val="20"/>
                <w:szCs w:val="20"/>
              </w:rPr>
            </w:pPr>
            <w:r w:rsidRPr="005500F7">
              <w:rPr>
                <w:rFonts w:ascii="Aptos" w:hAnsi="Aptos" w:cs="Times New Roman"/>
                <w:sz w:val="20"/>
                <w:szCs w:val="20"/>
              </w:rPr>
              <w:t>345</w:t>
            </w:r>
          </w:p>
        </w:tc>
      </w:tr>
      <w:tr w:rsidR="0017005C" w:rsidRPr="005500F7" w14:paraId="21F379E8" w14:textId="77777777" w:rsidTr="0067300C">
        <w:trPr>
          <w:trHeight w:val="64"/>
        </w:trPr>
        <w:tc>
          <w:tcPr>
            <w:tcW w:w="2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D799F0" w14:textId="77777777" w:rsidR="003C15ED" w:rsidRPr="005500F7" w:rsidRDefault="003C15ED" w:rsidP="00F30935">
            <w:pPr>
              <w:pStyle w:val="NoSpacing"/>
              <w:ind w:firstLine="0"/>
              <w:jc w:val="center"/>
              <w:rPr>
                <w:rFonts w:ascii="Aptos" w:hAnsi="Aptos" w:cs="Times New Roman"/>
                <w:b/>
                <w:bCs/>
                <w:sz w:val="20"/>
                <w:szCs w:val="20"/>
              </w:rPr>
            </w:pPr>
          </w:p>
        </w:tc>
        <w:tc>
          <w:tcPr>
            <w:tcW w:w="2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394B6D" w14:textId="71962D41" w:rsidR="003C15ED" w:rsidRPr="005500F7" w:rsidRDefault="00A24492" w:rsidP="00F30935">
            <w:pPr>
              <w:pStyle w:val="NoSpacing"/>
              <w:ind w:firstLine="0"/>
              <w:jc w:val="center"/>
              <w:rPr>
                <w:rFonts w:ascii="Aptos" w:hAnsi="Aptos" w:cs="Times New Roman"/>
                <w:b/>
                <w:bCs/>
                <w:sz w:val="20"/>
                <w:szCs w:val="20"/>
              </w:rPr>
            </w:pPr>
            <w:r w:rsidRPr="005500F7">
              <w:rPr>
                <w:rFonts w:ascii="Aptos" w:hAnsi="Aptos" w:cs="Times New Roman"/>
                <w:b/>
                <w:bCs/>
                <w:sz w:val="20"/>
                <w:szCs w:val="20"/>
              </w:rPr>
              <w:t>3</w:t>
            </w:r>
            <w:r w:rsidR="00C67542">
              <w:rPr>
                <w:rFonts w:ascii="Aptos" w:hAnsi="Aptos" w:cs="Times New Roman"/>
                <w:b/>
                <w:bCs/>
                <w:sz w:val="20"/>
                <w:szCs w:val="20"/>
              </w:rPr>
              <w:t>1</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F7A1F" w14:textId="29530E93" w:rsidR="003C15ED" w:rsidRPr="005500F7" w:rsidRDefault="006F2516" w:rsidP="00F30935">
            <w:pPr>
              <w:pStyle w:val="NoSpacing"/>
              <w:ind w:firstLine="0"/>
              <w:jc w:val="center"/>
              <w:rPr>
                <w:rFonts w:ascii="Aptos" w:hAnsi="Aptos" w:cs="Times New Roman"/>
                <w:b/>
                <w:bCs/>
                <w:sz w:val="20"/>
                <w:szCs w:val="20"/>
              </w:rPr>
            </w:pPr>
            <w:r w:rsidRPr="005500F7">
              <w:rPr>
                <w:rFonts w:ascii="Aptos" w:hAnsi="Aptos" w:cs="Times New Roman"/>
                <w:b/>
                <w:bCs/>
                <w:sz w:val="20"/>
                <w:szCs w:val="20"/>
              </w:rPr>
              <w:t>3</w:t>
            </w:r>
            <w:r w:rsidR="00C67542">
              <w:rPr>
                <w:rFonts w:ascii="Aptos" w:hAnsi="Aptos" w:cs="Times New Roman"/>
                <w:b/>
                <w:bCs/>
                <w:sz w:val="20"/>
                <w:szCs w:val="20"/>
              </w:rPr>
              <w:t>193</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CFC30" w14:textId="7262EFE5" w:rsidR="003C15ED" w:rsidRPr="005500F7" w:rsidRDefault="00D10CD9" w:rsidP="00F30935">
            <w:pPr>
              <w:pStyle w:val="NoSpacing"/>
              <w:ind w:firstLine="0"/>
              <w:jc w:val="center"/>
              <w:rPr>
                <w:rFonts w:ascii="Aptos" w:hAnsi="Aptos" w:cs="Times New Roman"/>
                <w:b/>
                <w:bCs/>
                <w:sz w:val="20"/>
                <w:szCs w:val="20"/>
              </w:rPr>
            </w:pPr>
            <w:r w:rsidRPr="005500F7">
              <w:rPr>
                <w:rFonts w:ascii="Aptos" w:hAnsi="Aptos" w:cs="Times New Roman"/>
                <w:b/>
                <w:bCs/>
                <w:sz w:val="20"/>
                <w:szCs w:val="20"/>
              </w:rPr>
              <w:t>1</w:t>
            </w:r>
            <w:r w:rsidR="00872870">
              <w:rPr>
                <w:rFonts w:ascii="Aptos" w:hAnsi="Aptos" w:cs="Times New Roman"/>
                <w:b/>
                <w:bCs/>
                <w:sz w:val="20"/>
                <w:szCs w:val="20"/>
              </w:rPr>
              <w:t>69</w:t>
            </w:r>
            <w:r w:rsidRPr="005500F7">
              <w:rPr>
                <w:rFonts w:ascii="Aptos" w:hAnsi="Aptos" w:cs="Times New Roman"/>
                <w:b/>
                <w:bCs/>
                <w:sz w:val="20"/>
                <w:szCs w:val="20"/>
              </w:rPr>
              <w:t>4</w:t>
            </w:r>
          </w:p>
        </w:tc>
      </w:tr>
    </w:tbl>
    <w:p w14:paraId="459611F4" w14:textId="610881F9" w:rsidR="00427380" w:rsidRDefault="00427380" w:rsidP="00044898">
      <w:pPr>
        <w:jc w:val="both"/>
        <w:rPr>
          <w:rFonts w:ascii="Aptos" w:hAnsi="Aptos"/>
          <w:b/>
          <w:bCs/>
          <w:sz w:val="20"/>
          <w:szCs w:val="20"/>
        </w:rPr>
      </w:pPr>
    </w:p>
    <w:p w14:paraId="1E6F0739" w14:textId="77777777" w:rsidR="00427380" w:rsidRDefault="00427380">
      <w:pPr>
        <w:rPr>
          <w:rFonts w:ascii="Aptos" w:hAnsi="Aptos"/>
          <w:b/>
          <w:bCs/>
          <w:sz w:val="20"/>
          <w:szCs w:val="20"/>
        </w:rPr>
      </w:pPr>
      <w:r>
        <w:rPr>
          <w:rFonts w:ascii="Aptos" w:hAnsi="Aptos"/>
          <w:b/>
          <w:bCs/>
          <w:sz w:val="20"/>
          <w:szCs w:val="20"/>
        </w:rPr>
        <w:br w:type="page"/>
      </w:r>
    </w:p>
    <w:p w14:paraId="0AB4D49F" w14:textId="7A99F9A4" w:rsidR="00044898" w:rsidRPr="005500F7" w:rsidRDefault="005500F7" w:rsidP="00044898">
      <w:pPr>
        <w:jc w:val="both"/>
        <w:rPr>
          <w:rFonts w:ascii="Aptos" w:hAnsi="Aptos"/>
          <w:b/>
          <w:bCs/>
          <w:sz w:val="20"/>
          <w:szCs w:val="20"/>
        </w:rPr>
      </w:pPr>
      <w:r w:rsidRPr="005500F7">
        <w:rPr>
          <w:rFonts w:ascii="Aptos" w:hAnsi="Aptos"/>
          <w:b/>
          <w:bCs/>
          <w:sz w:val="20"/>
          <w:szCs w:val="20"/>
        </w:rPr>
        <w:lastRenderedPageBreak/>
        <w:t>S</w:t>
      </w:r>
      <w:r w:rsidR="00044898" w:rsidRPr="005500F7">
        <w:rPr>
          <w:rFonts w:ascii="Aptos" w:hAnsi="Aptos"/>
          <w:b/>
          <w:bCs/>
          <w:sz w:val="20"/>
          <w:szCs w:val="20"/>
        </w:rPr>
        <w:t>upplementary Figure 1</w:t>
      </w:r>
      <w:r w:rsidR="00B87F2F">
        <w:rPr>
          <w:rFonts w:ascii="Aptos" w:hAnsi="Aptos"/>
          <w:b/>
          <w:bCs/>
          <w:sz w:val="20"/>
          <w:szCs w:val="20"/>
        </w:rPr>
        <w:t>.</w:t>
      </w:r>
      <w:r w:rsidR="00B87F2F">
        <w:rPr>
          <w:rFonts w:ascii="Aptos" w:hAnsi="Aptos" w:cs="Helvetica"/>
          <w:b/>
          <w:bCs/>
          <w:sz w:val="20"/>
          <w:szCs w:val="20"/>
        </w:rPr>
        <w:t xml:space="preserve"> </w:t>
      </w:r>
      <w:r w:rsidR="00044898" w:rsidRPr="005500F7">
        <w:rPr>
          <w:rFonts w:ascii="Aptos" w:hAnsi="Aptos" w:cs="Helvetica"/>
          <w:b/>
          <w:bCs/>
          <w:sz w:val="20"/>
          <w:szCs w:val="20"/>
        </w:rPr>
        <w:t xml:space="preserve">The </w:t>
      </w:r>
      <w:r w:rsidR="001E2D80" w:rsidRPr="005500F7">
        <w:rPr>
          <w:rFonts w:ascii="Aptos" w:hAnsi="Aptos" w:cs="Helvetica"/>
          <w:b/>
          <w:bCs/>
          <w:sz w:val="20"/>
          <w:szCs w:val="20"/>
        </w:rPr>
        <w:t xml:space="preserve">DBS Lead </w:t>
      </w:r>
      <w:r w:rsidR="0071451F" w:rsidRPr="005500F7">
        <w:rPr>
          <w:rFonts w:ascii="Aptos" w:hAnsi="Aptos" w:cs="Helvetica"/>
          <w:b/>
          <w:bCs/>
          <w:sz w:val="20"/>
          <w:szCs w:val="20"/>
        </w:rPr>
        <w:t>placements</w:t>
      </w:r>
      <w:r w:rsidR="001E2D80" w:rsidRPr="005500F7">
        <w:rPr>
          <w:rFonts w:ascii="Aptos" w:hAnsi="Aptos" w:cs="Helvetica"/>
          <w:b/>
          <w:bCs/>
          <w:sz w:val="20"/>
          <w:szCs w:val="20"/>
        </w:rPr>
        <w:t xml:space="preserve"> of our dystonia patient cohort. </w:t>
      </w:r>
      <w:r w:rsidR="00E82441" w:rsidRPr="00F55D80">
        <w:rPr>
          <w:rFonts w:ascii="Aptos" w:hAnsi="Aptos" w:cs="Helvetica"/>
          <w:sz w:val="20"/>
          <w:szCs w:val="20"/>
        </w:rPr>
        <w:t>The optimal trajectory for stimulation, based on multiple MER trajectories, was selected for each hemisphere, and the lead electrode was placed along this trajectory.</w:t>
      </w:r>
      <w:r w:rsidR="00123E3F">
        <w:rPr>
          <w:rFonts w:ascii="Aptos" w:hAnsi="Aptos" w:cs="Helvetica"/>
          <w:sz w:val="20"/>
          <w:szCs w:val="20"/>
        </w:rPr>
        <w:t xml:space="preserve"> </w:t>
      </w:r>
      <w:r w:rsidR="001E2D80" w:rsidRPr="00F55D80">
        <w:rPr>
          <w:rFonts w:ascii="Aptos" w:hAnsi="Aptos" w:cs="Helvetica"/>
          <w:sz w:val="20"/>
          <w:szCs w:val="20"/>
        </w:rPr>
        <w:t>The</w:t>
      </w:r>
      <w:r w:rsidR="00044898" w:rsidRPr="00F55D80">
        <w:rPr>
          <w:rFonts w:ascii="Aptos" w:hAnsi="Aptos" w:cs="Helvetica"/>
          <w:sz w:val="20"/>
          <w:szCs w:val="20"/>
        </w:rPr>
        <w:t xml:space="preserve"> reconstruction of GPi, GPe, and recording depths are defined using the </w:t>
      </w:r>
      <w:r w:rsidR="00044898" w:rsidRPr="00F55D80">
        <w:rPr>
          <w:rFonts w:ascii="Aptos" w:hAnsi="Aptos" w:cs="Helvetica"/>
          <w:sz w:val="20"/>
          <w:szCs w:val="20"/>
          <w:lang w:val="en-CA"/>
        </w:rPr>
        <w:t>Distal Atlas in Montreal Neurological Institute space (p &gt; 0.5 thresholds for definitions of nuclei borders)</w:t>
      </w:r>
      <w:r w:rsidR="00044898" w:rsidRPr="00F55D80">
        <w:rPr>
          <w:rFonts w:ascii="Aptos" w:hAnsi="Aptos" w:cs="Helvetica"/>
          <w:sz w:val="20"/>
          <w:szCs w:val="20"/>
        </w:rPr>
        <w:t xml:space="preserve"> based on electrode reconstructions made with Lead-DBS </w:t>
      </w:r>
      <w:r w:rsidR="003245D4" w:rsidRPr="00F55D80">
        <w:rPr>
          <w:rFonts w:ascii="Aptos" w:hAnsi="Aptos" w:cs="Helvetica"/>
          <w:sz w:val="20"/>
          <w:szCs w:val="20"/>
        </w:rPr>
        <w:t>and using postoperative brain MRI or CT images</w:t>
      </w:r>
    </w:p>
    <w:p w14:paraId="797022FB" w14:textId="233B8B18" w:rsidR="00044898" w:rsidRPr="005500F7" w:rsidRDefault="00317B46" w:rsidP="00044898">
      <w:pPr>
        <w:rPr>
          <w:rFonts w:ascii="Aptos" w:hAnsi="Aptos"/>
          <w:b/>
          <w:bCs/>
          <w:sz w:val="20"/>
          <w:szCs w:val="20"/>
        </w:rPr>
      </w:pPr>
      <w:r>
        <w:rPr>
          <w:rFonts w:ascii="Aptos" w:hAnsi="Aptos"/>
          <w:b/>
          <w:bCs/>
          <w:noProof/>
          <w:sz w:val="20"/>
          <w:szCs w:val="20"/>
        </w:rPr>
        <w:drawing>
          <wp:inline distT="0" distB="0" distL="0" distR="0" wp14:anchorId="3B3D11BA" wp14:editId="552AFB30">
            <wp:extent cx="5760502" cy="3527425"/>
            <wp:effectExtent l="0" t="0" r="0" b="0"/>
            <wp:docPr id="105850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04069"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502" cy="3527425"/>
                    </a:xfrm>
                    <a:prstGeom prst="rect">
                      <a:avLst/>
                    </a:prstGeom>
                  </pic:spPr>
                </pic:pic>
              </a:graphicData>
            </a:graphic>
          </wp:inline>
        </w:drawing>
      </w:r>
      <w:r w:rsidR="00044898" w:rsidRPr="005500F7">
        <w:rPr>
          <w:rFonts w:ascii="Aptos" w:hAnsi="Aptos"/>
          <w:b/>
          <w:bCs/>
          <w:sz w:val="20"/>
          <w:szCs w:val="20"/>
        </w:rPr>
        <w:br w:type="page"/>
      </w:r>
    </w:p>
    <w:p w14:paraId="1EBF94F0" w14:textId="134457BF" w:rsidR="00044898" w:rsidRPr="005500F7" w:rsidRDefault="006F2516" w:rsidP="00044898">
      <w:pPr>
        <w:jc w:val="both"/>
        <w:rPr>
          <w:rFonts w:ascii="Aptos" w:hAnsi="Aptos" w:cs="Helvetica"/>
          <w:b/>
          <w:bCs/>
          <w:sz w:val="20"/>
          <w:szCs w:val="20"/>
        </w:rPr>
      </w:pPr>
      <w:r w:rsidRPr="005500F7">
        <w:rPr>
          <w:rFonts w:ascii="Aptos" w:hAnsi="Aptos"/>
          <w:b/>
          <w:bCs/>
          <w:sz w:val="20"/>
          <w:szCs w:val="20"/>
        </w:rPr>
        <w:lastRenderedPageBreak/>
        <w:t xml:space="preserve">Supplementary Figure </w:t>
      </w:r>
      <w:r w:rsidR="00044898" w:rsidRPr="005500F7">
        <w:rPr>
          <w:rFonts w:ascii="Aptos" w:hAnsi="Aptos"/>
          <w:b/>
          <w:bCs/>
          <w:sz w:val="20"/>
          <w:szCs w:val="20"/>
        </w:rPr>
        <w:t>2</w:t>
      </w:r>
      <w:r w:rsidR="00B87F2F">
        <w:rPr>
          <w:rFonts w:ascii="Aptos" w:hAnsi="Aptos"/>
          <w:b/>
          <w:bCs/>
          <w:sz w:val="20"/>
          <w:szCs w:val="20"/>
        </w:rPr>
        <w:t>.</w:t>
      </w:r>
      <w:r w:rsidRPr="005500F7">
        <w:rPr>
          <w:rFonts w:ascii="Aptos" w:hAnsi="Aptos" w:cs="Helvetica"/>
          <w:b/>
          <w:bCs/>
          <w:sz w:val="20"/>
          <w:szCs w:val="20"/>
        </w:rPr>
        <w:t xml:space="preserve"> Example of microelectrode recordings across the depths of the central trajectory. </w:t>
      </w:r>
      <w:r w:rsidRPr="00F55D80">
        <w:rPr>
          <w:rFonts w:ascii="Aptos" w:hAnsi="Aptos" w:cs="Helvetica"/>
          <w:sz w:val="20"/>
          <w:szCs w:val="20"/>
        </w:rPr>
        <w:t xml:space="preserve">Single-unit activities were highlighted on the raw recordings and </w:t>
      </w:r>
      <w:r w:rsidR="005500F7" w:rsidRPr="00F55D80">
        <w:rPr>
          <w:rFonts w:ascii="Aptos" w:hAnsi="Aptos" w:cs="Helvetica"/>
          <w:sz w:val="20"/>
          <w:szCs w:val="20"/>
        </w:rPr>
        <w:t>color-coded</w:t>
      </w:r>
      <w:r w:rsidRPr="00F55D80">
        <w:rPr>
          <w:rFonts w:ascii="Aptos" w:hAnsi="Aptos" w:cs="Helvetica"/>
          <w:sz w:val="20"/>
          <w:szCs w:val="20"/>
        </w:rPr>
        <w:t xml:space="preserve"> based on their firing pattern (tonic, irregular, or bursty).</w:t>
      </w:r>
    </w:p>
    <w:p w14:paraId="4E9C578A" w14:textId="4ED22FF5" w:rsidR="00044898" w:rsidRPr="005500F7" w:rsidRDefault="000B5C82" w:rsidP="00044898">
      <w:pPr>
        <w:jc w:val="center"/>
        <w:rPr>
          <w:rFonts w:ascii="Aptos" w:hAnsi="Aptos" w:cs="Helvetica"/>
          <w:b/>
          <w:bCs/>
          <w:sz w:val="20"/>
          <w:szCs w:val="20"/>
          <w:lang w:val="en-CA"/>
        </w:rPr>
      </w:pPr>
      <w:r w:rsidRPr="005500F7">
        <w:rPr>
          <w:rFonts w:ascii="Aptos" w:hAnsi="Aptos" w:cs="Helvetica"/>
          <w:b/>
          <w:bCs/>
          <w:noProof/>
          <w:sz w:val="20"/>
          <w:szCs w:val="20"/>
          <w:lang w:val="en-CA"/>
        </w:rPr>
        <w:drawing>
          <wp:inline distT="0" distB="0" distL="0" distR="0" wp14:anchorId="708699BA" wp14:editId="7330E1E2">
            <wp:extent cx="5916460" cy="7246104"/>
            <wp:effectExtent l="0" t="0" r="8255" b="0"/>
            <wp:docPr id="160766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60167" name="Picture 1"/>
                    <pic:cNvPicPr/>
                  </pic:nvPicPr>
                  <pic:blipFill rotWithShape="1">
                    <a:blip r:embed="rId12" cstate="print">
                      <a:extLst>
                        <a:ext uri="{28A0092B-C50C-407E-A947-70E740481C1C}">
                          <a14:useLocalDpi xmlns:a14="http://schemas.microsoft.com/office/drawing/2010/main" val="0"/>
                        </a:ext>
                      </a:extLst>
                    </a:blip>
                    <a:srcRect l="5428" t="6691" r="1857"/>
                    <a:stretch/>
                  </pic:blipFill>
                  <pic:spPr bwMode="auto">
                    <a:xfrm>
                      <a:off x="0" y="0"/>
                      <a:ext cx="5924361" cy="7255781"/>
                    </a:xfrm>
                    <a:prstGeom prst="rect">
                      <a:avLst/>
                    </a:prstGeom>
                    <a:ln>
                      <a:noFill/>
                    </a:ln>
                    <a:extLst>
                      <a:ext uri="{53640926-AAD7-44D8-BBD7-CCE9431645EC}">
                        <a14:shadowObscured xmlns:a14="http://schemas.microsoft.com/office/drawing/2010/main"/>
                      </a:ext>
                    </a:extLst>
                  </pic:spPr>
                </pic:pic>
              </a:graphicData>
            </a:graphic>
          </wp:inline>
        </w:drawing>
      </w:r>
    </w:p>
    <w:p w14:paraId="486487BF" w14:textId="71F64555" w:rsidR="00E55FF1" w:rsidRPr="005500F7" w:rsidRDefault="006F2516" w:rsidP="007C62E3">
      <w:pPr>
        <w:jc w:val="both"/>
        <w:rPr>
          <w:rFonts w:ascii="Aptos" w:hAnsi="Aptos"/>
          <w:noProof/>
          <w:sz w:val="20"/>
          <w:szCs w:val="20"/>
        </w:rPr>
      </w:pPr>
      <w:r w:rsidRPr="005500F7">
        <w:rPr>
          <w:rFonts w:ascii="Aptos" w:hAnsi="Aptos"/>
          <w:b/>
          <w:bCs/>
          <w:sz w:val="20"/>
          <w:szCs w:val="20"/>
        </w:rPr>
        <w:lastRenderedPageBreak/>
        <w:t xml:space="preserve">Supplementary Figure </w:t>
      </w:r>
      <w:r w:rsidR="00044898" w:rsidRPr="005500F7">
        <w:rPr>
          <w:rFonts w:ascii="Aptos" w:hAnsi="Aptos"/>
          <w:b/>
          <w:bCs/>
          <w:sz w:val="20"/>
          <w:szCs w:val="20"/>
        </w:rPr>
        <w:t>3</w:t>
      </w:r>
      <w:r w:rsidR="00B87F2F">
        <w:rPr>
          <w:rFonts w:ascii="Aptos" w:hAnsi="Aptos"/>
          <w:b/>
          <w:bCs/>
          <w:sz w:val="20"/>
          <w:szCs w:val="20"/>
        </w:rPr>
        <w:t>.</w:t>
      </w:r>
      <w:r w:rsidRPr="005500F7">
        <w:rPr>
          <w:rFonts w:ascii="Aptos" w:hAnsi="Aptos" w:cs="Helvetica"/>
          <w:b/>
          <w:bCs/>
          <w:sz w:val="20"/>
          <w:szCs w:val="20"/>
        </w:rPr>
        <w:t xml:space="preserve"> Example of tonic, irregular</w:t>
      </w:r>
      <w:r w:rsidR="005500F7" w:rsidRPr="005500F7">
        <w:rPr>
          <w:rFonts w:ascii="Aptos" w:hAnsi="Aptos" w:cs="Helvetica"/>
          <w:b/>
          <w:bCs/>
          <w:sz w:val="20"/>
          <w:szCs w:val="20"/>
        </w:rPr>
        <w:t>,</w:t>
      </w:r>
      <w:r w:rsidRPr="005500F7">
        <w:rPr>
          <w:rFonts w:ascii="Aptos" w:hAnsi="Aptos" w:cs="Helvetica"/>
          <w:b/>
          <w:bCs/>
          <w:sz w:val="20"/>
          <w:szCs w:val="20"/>
        </w:rPr>
        <w:t xml:space="preserve"> and bursting neurons with their corresponding raw recordings, action potentials, instantaneous firing rates, raster plots</w:t>
      </w:r>
      <w:r w:rsidR="005500F7" w:rsidRPr="005500F7">
        <w:rPr>
          <w:rFonts w:ascii="Aptos" w:hAnsi="Aptos" w:cs="Helvetica"/>
          <w:b/>
          <w:bCs/>
          <w:sz w:val="20"/>
          <w:szCs w:val="20"/>
        </w:rPr>
        <w:t>,</w:t>
      </w:r>
      <w:r w:rsidRPr="005500F7">
        <w:rPr>
          <w:rFonts w:ascii="Aptos" w:hAnsi="Aptos" w:cs="Helvetica"/>
          <w:b/>
          <w:bCs/>
          <w:sz w:val="20"/>
          <w:szCs w:val="20"/>
        </w:rPr>
        <w:t xml:space="preserve"> and interspike interval (ISI) histograms.</w:t>
      </w:r>
      <w:r w:rsidR="00E55FF1" w:rsidRPr="005500F7">
        <w:rPr>
          <w:rFonts w:ascii="Aptos" w:hAnsi="Aptos"/>
          <w:noProof/>
          <w:sz w:val="20"/>
          <w:szCs w:val="20"/>
        </w:rPr>
        <w:t xml:space="preserve"> </w:t>
      </w:r>
    </w:p>
    <w:p w14:paraId="2BA2B269" w14:textId="4C30B045" w:rsidR="00F4193D" w:rsidRPr="005500F7" w:rsidRDefault="000B5C82" w:rsidP="007C62E3">
      <w:pPr>
        <w:jc w:val="both"/>
        <w:rPr>
          <w:rFonts w:ascii="Aptos" w:hAnsi="Aptos" w:cs="Helvetica"/>
          <w:b/>
          <w:bCs/>
          <w:sz w:val="20"/>
          <w:szCs w:val="20"/>
          <w:lang w:val="en-CA"/>
        </w:rPr>
      </w:pPr>
      <w:r w:rsidRPr="005500F7">
        <w:rPr>
          <w:rFonts w:ascii="Aptos" w:hAnsi="Aptos" w:cs="Helvetica"/>
          <w:b/>
          <w:bCs/>
          <w:noProof/>
          <w:sz w:val="20"/>
          <w:szCs w:val="20"/>
          <w:lang w:val="en-CA"/>
        </w:rPr>
        <w:drawing>
          <wp:inline distT="0" distB="0" distL="0" distR="0" wp14:anchorId="02E71F56" wp14:editId="2F0F4D0D">
            <wp:extent cx="5760720" cy="6539865"/>
            <wp:effectExtent l="0" t="0" r="0" b="0"/>
            <wp:docPr id="89919458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4587" name="Picture 2"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6539865"/>
                    </a:xfrm>
                    <a:prstGeom prst="rect">
                      <a:avLst/>
                    </a:prstGeom>
                  </pic:spPr>
                </pic:pic>
              </a:graphicData>
            </a:graphic>
          </wp:inline>
        </w:drawing>
      </w:r>
    </w:p>
    <w:p w14:paraId="5866AA4B" w14:textId="77777777" w:rsidR="00E55FF1" w:rsidRPr="005500F7" w:rsidRDefault="00E55FF1" w:rsidP="007C62E3">
      <w:pPr>
        <w:jc w:val="both"/>
        <w:rPr>
          <w:rFonts w:ascii="Aptos" w:hAnsi="Aptos" w:cs="Helvetica"/>
          <w:b/>
          <w:bCs/>
          <w:sz w:val="20"/>
          <w:szCs w:val="20"/>
          <w:lang w:val="en-CA"/>
        </w:rPr>
      </w:pPr>
    </w:p>
    <w:p w14:paraId="0FE7D7B6" w14:textId="77777777" w:rsidR="00E55FF1" w:rsidRPr="005500F7" w:rsidRDefault="00E55FF1" w:rsidP="007C62E3">
      <w:pPr>
        <w:jc w:val="both"/>
        <w:rPr>
          <w:rFonts w:ascii="Aptos" w:hAnsi="Aptos" w:cs="Helvetica"/>
          <w:b/>
          <w:bCs/>
          <w:sz w:val="20"/>
          <w:szCs w:val="20"/>
          <w:lang w:val="en-CA"/>
        </w:rPr>
      </w:pPr>
    </w:p>
    <w:p w14:paraId="1BA341A2" w14:textId="57C232B5" w:rsidR="00BA4C08" w:rsidRPr="005500F7" w:rsidRDefault="006F2516" w:rsidP="00BA7033">
      <w:pPr>
        <w:pStyle w:val="Heading1"/>
        <w:rPr>
          <w:rFonts w:ascii="Aptos" w:hAnsi="Aptos"/>
          <w:sz w:val="20"/>
          <w:szCs w:val="20"/>
        </w:rPr>
      </w:pPr>
      <w:r w:rsidRPr="005500F7">
        <w:rPr>
          <w:rFonts w:ascii="Aptos" w:hAnsi="Aptos"/>
          <w:sz w:val="20"/>
          <w:szCs w:val="20"/>
        </w:rPr>
        <w:lastRenderedPageBreak/>
        <w:t>Neural Feature Generation</w:t>
      </w:r>
    </w:p>
    <w:p w14:paraId="6119B55F" w14:textId="725C50C5" w:rsidR="004012F6" w:rsidRPr="005500F7" w:rsidRDefault="00CE65E8" w:rsidP="00F55D80">
      <w:pPr>
        <w:ind w:firstLine="360"/>
        <w:jc w:val="both"/>
        <w:rPr>
          <w:rFonts w:ascii="Aptos" w:hAnsi="Aptos"/>
          <w:sz w:val="20"/>
          <w:szCs w:val="20"/>
        </w:rPr>
      </w:pPr>
      <w:r w:rsidRPr="005500F7">
        <w:rPr>
          <w:rFonts w:ascii="Aptos" w:hAnsi="Aptos"/>
          <w:sz w:val="20"/>
          <w:szCs w:val="20"/>
        </w:rPr>
        <w:t>We conducted extensive neural feature extraction from MERs to characterize pallidal neural activity across different genetic variants. The extracted features included firing rate, firing irregularity, burstiness, neural pauses, and oscillatory behaviors. These neural characteristics provide crucial information about the neural dynamics within the globus pallidum and their potential associations with specific genetic forms of dystonia.</w:t>
      </w:r>
    </w:p>
    <w:p w14:paraId="324FEF54" w14:textId="77777777" w:rsidR="004012F6" w:rsidRPr="005500F7" w:rsidRDefault="006F2516" w:rsidP="005500F7">
      <w:pPr>
        <w:pStyle w:val="Heading2"/>
        <w:rPr>
          <w:sz w:val="20"/>
          <w:szCs w:val="20"/>
        </w:rPr>
      </w:pPr>
      <w:r w:rsidRPr="005500F7">
        <w:rPr>
          <w:sz w:val="20"/>
          <w:szCs w:val="20"/>
        </w:rPr>
        <w:t>Firing rate and firing regularity</w:t>
      </w:r>
    </w:p>
    <w:p w14:paraId="0EAC718E" w14:textId="3B773681" w:rsidR="002C7F29" w:rsidRPr="005500F7" w:rsidRDefault="00BA7033" w:rsidP="002C7F29">
      <w:pPr>
        <w:pStyle w:val="NoSpacing"/>
        <w:rPr>
          <w:rFonts w:ascii="Aptos" w:hAnsi="Aptos"/>
          <w:sz w:val="20"/>
          <w:szCs w:val="20"/>
        </w:rPr>
      </w:pPr>
      <w:r w:rsidRPr="005500F7">
        <w:rPr>
          <w:rFonts w:ascii="Aptos" w:hAnsi="Aptos"/>
          <w:sz w:val="20"/>
          <w:szCs w:val="20"/>
        </w:rPr>
        <w:t xml:space="preserve">Despite its usefulness, the mean firing rate does not provide a complete picture of the temporal firing </w:t>
      </w:r>
      <w:r w:rsidR="006F2516" w:rsidRPr="005500F7">
        <w:rPr>
          <w:rFonts w:ascii="Aptos" w:hAnsi="Aptos"/>
          <w:sz w:val="20"/>
          <w:szCs w:val="20"/>
        </w:rPr>
        <w:t>characteristics</w:t>
      </w:r>
      <w:r w:rsidRPr="005500F7">
        <w:rPr>
          <w:rFonts w:ascii="Aptos" w:hAnsi="Aptos"/>
          <w:sz w:val="20"/>
          <w:szCs w:val="20"/>
        </w:rPr>
        <w:t xml:space="preserve"> of a neuron. Consequently, researchers generally rely on other types of schemes for a better understanding of neural functions. An example of these schemes is the instantaneous firing rate of a neuron. We adopted </w:t>
      </w:r>
      <w:r w:rsidR="006F2516" w:rsidRPr="005500F7">
        <w:rPr>
          <w:rFonts w:ascii="Aptos" w:hAnsi="Aptos"/>
          <w:sz w:val="20"/>
          <w:szCs w:val="20"/>
        </w:rPr>
        <w:t>the adaptive kernel smoother</w:t>
      </w:r>
      <w:r w:rsidR="00CC2BF9" w:rsidRPr="005500F7">
        <w:rPr>
          <w:rFonts w:ascii="Aptos" w:hAnsi="Aptos"/>
          <w:sz w:val="20"/>
          <w:szCs w:val="20"/>
        </w:rPr>
        <w:fldChar w:fldCharType="begin"/>
      </w:r>
      <w:r w:rsidR="00FF4210">
        <w:rPr>
          <w:rFonts w:ascii="Aptos" w:hAnsi="Aptos"/>
          <w:sz w:val="20"/>
          <w:szCs w:val="20"/>
        </w:rPr>
        <w:instrText xml:space="preserve"> ADDIN ZOTERO_ITEM CSL_CITATION {"citationID":"wCJSNxRO","properties":{"formattedCitation":"\\super 107\\nosupersub{}","plainCitation":"107","noteIndex":0},"citationItems":[{"id":469,"uris":["http://zotero.org/users/local/qbj29eOf/items/DTRDN856"],"itemData":{"id":469,"type":"report","abstract":"Abstract\n          Neurons use sequences of action potentials (spikes) to convey information across neuronal networks. In neurophysiology experiments, information about external stimuli or behavioral tasks has been frequently characterized in term of neuronal firing rate. The firing rate is conventionally estimated by averaging spiking responses across multiple similar experiments (or trials). However, there exist a number of applications in neuroscience research that require firing rate to be estimated on a single trial basis. Estimating firing rate from a single trial is a challenging problem and current state-of-the-art methods do not perform well. To address this issue, we develop a new method for estimating firing rate based on kernel smoothing technique that considers the bandwidth as a random variable with prior distribution that is adaptively updated under a Bayesian framework. By carefully selecting the prior distribution together with Gaussian kernel function, an analytical expression can be achieved for the kernel bandwidth. We refer to the proposed method as Bayesian Adaptive Kernel Smoother (BAKS). We evaluate the performance of BAKS using synthetic spike train data generated by biologically plausible models: inhomogeneous Gamma (IG) and inhomogeneous inverse Gaussian (IIG). We also apply BAKS to real spike train data from non-human primate (NHP) motor and visual cortex. We benchmark the proposed method against the established and previously reported methods. These include: optimized kernel smoother (OKS), variable kernel smoother (VKS), local polynomial fit (Locfit), and Bayesian adaptive regression splines (BARS). Results using both synthetic and real data demonstrate that the proposed method achieves better performance compared to competing methods. This suggests that the proposed method could be useful for understanding the encoding mechanism of neurons in cognitive-related tasks. The proposed method could also potentially improve the performance of brain-machine interface (BMI) decoder that relies on estimated firing rate as the input.","genre":"preprint","language":"en","note":"DOI: 10.1101/204818","publisher":"Neuroscience","source":"DOI.org (Crossref)","title":"Estimation of neuronal firing rate using Bayesian Adaptive Kernel Smoother (BAKS)","URL":"http://biorxiv.org/lookup/doi/10.1101/204818","author":[{"family":"Ahmadi","given":"Nur"},{"family":"Constandinou","given":"Timothy G."},{"family":"Bouganis","given":"Christos-Savvas"}],"accessed":{"date-parts":[["2023",7,31]]},"issued":{"date-parts":[["2017",10,17]]}}}],"schema":"https://github.com/citation-style-language/schema/raw/master/csl-citation.json"} </w:instrText>
      </w:r>
      <w:r w:rsidR="00CC2BF9" w:rsidRPr="005500F7">
        <w:rPr>
          <w:rFonts w:ascii="Aptos" w:hAnsi="Aptos"/>
          <w:sz w:val="20"/>
          <w:szCs w:val="20"/>
        </w:rPr>
        <w:fldChar w:fldCharType="separate"/>
      </w:r>
      <w:r w:rsidR="00FF4210" w:rsidRPr="00FF4210">
        <w:rPr>
          <w:rFonts w:ascii="Aptos" w:hAnsi="Aptos" w:cs="Times New Roman"/>
          <w:sz w:val="20"/>
          <w:vertAlign w:val="superscript"/>
        </w:rPr>
        <w:t>107</w:t>
      </w:r>
      <w:r w:rsidR="00CC2BF9" w:rsidRPr="005500F7">
        <w:rPr>
          <w:rFonts w:ascii="Aptos" w:hAnsi="Aptos"/>
          <w:sz w:val="20"/>
          <w:szCs w:val="20"/>
        </w:rPr>
        <w:fldChar w:fldCharType="end"/>
      </w:r>
      <w:r w:rsidRPr="005500F7">
        <w:rPr>
          <w:rFonts w:ascii="Aptos" w:hAnsi="Aptos"/>
          <w:sz w:val="20"/>
          <w:szCs w:val="20"/>
        </w:rPr>
        <w:t xml:space="preserve"> (BAKS) </w:t>
      </w:r>
      <w:r w:rsidR="006F2516" w:rsidRPr="005500F7">
        <w:rPr>
          <w:rFonts w:ascii="Aptos" w:hAnsi="Aptos"/>
          <w:sz w:val="20"/>
          <w:szCs w:val="20"/>
        </w:rPr>
        <w:t xml:space="preserve">test </w:t>
      </w:r>
      <w:r w:rsidRPr="005500F7">
        <w:rPr>
          <w:rFonts w:ascii="Aptos" w:hAnsi="Aptos"/>
          <w:sz w:val="20"/>
          <w:szCs w:val="20"/>
        </w:rPr>
        <w:t xml:space="preserve">to estimate the instantaneous firing rate. BAKS uses a kernel smoothing technique with adaptive bandwidth. The neural process dynamics are encapsulated by the adaptive bandwidth for the selected kernel function. In this case, if the firing rate increases in the spike train, the bandwidth of the kernel function will be decreased by </w:t>
      </w:r>
      <w:r w:rsidR="006F2516" w:rsidRPr="005500F7">
        <w:rPr>
          <w:rFonts w:ascii="Aptos" w:hAnsi="Aptos"/>
          <w:sz w:val="20"/>
          <w:szCs w:val="20"/>
        </w:rPr>
        <w:t xml:space="preserve">the </w:t>
      </w:r>
      <w:r w:rsidRPr="005500F7">
        <w:rPr>
          <w:rFonts w:ascii="Aptos" w:hAnsi="Aptos"/>
          <w:sz w:val="20"/>
          <w:szCs w:val="20"/>
        </w:rPr>
        <w:t>BAKS</w:t>
      </w:r>
      <w:r w:rsidR="006F2516" w:rsidRPr="005500F7">
        <w:rPr>
          <w:rFonts w:ascii="Aptos" w:hAnsi="Aptos"/>
          <w:sz w:val="20"/>
          <w:szCs w:val="20"/>
        </w:rPr>
        <w:t xml:space="preserve"> algorithm</w:t>
      </w:r>
      <w:r w:rsidRPr="005500F7">
        <w:rPr>
          <w:rFonts w:ascii="Aptos" w:hAnsi="Aptos"/>
          <w:sz w:val="20"/>
          <w:szCs w:val="20"/>
        </w:rPr>
        <w:t xml:space="preserve">. The adaptation of the bandwidth paves the way for defining accurate </w:t>
      </w:r>
      <w:r w:rsidR="006F2516" w:rsidRPr="005500F7">
        <w:rPr>
          <w:rFonts w:ascii="Aptos" w:hAnsi="Aptos"/>
          <w:sz w:val="20"/>
          <w:szCs w:val="20"/>
        </w:rPr>
        <w:t>estimations</w:t>
      </w:r>
      <w:r w:rsidRPr="005500F7">
        <w:rPr>
          <w:rFonts w:ascii="Aptos" w:hAnsi="Aptos"/>
          <w:sz w:val="20"/>
          <w:szCs w:val="20"/>
        </w:rPr>
        <w:t xml:space="preserve"> of </w:t>
      </w:r>
      <w:r w:rsidR="006F2516" w:rsidRPr="005500F7">
        <w:rPr>
          <w:rFonts w:ascii="Aptos" w:hAnsi="Aptos"/>
          <w:sz w:val="20"/>
          <w:szCs w:val="20"/>
        </w:rPr>
        <w:t xml:space="preserve">the </w:t>
      </w:r>
      <w:r w:rsidRPr="005500F7">
        <w:rPr>
          <w:rFonts w:ascii="Aptos" w:hAnsi="Aptos"/>
          <w:sz w:val="20"/>
          <w:szCs w:val="20"/>
        </w:rPr>
        <w:t>instantaneous firing rate under slow and fast-spiking dynamics. The kernel bandwidth is recognized by BAKS as a random variable with a prior distribution. It uses an empirical Bayesian method to change the posterior bandwidth.</w:t>
      </w:r>
      <w:r w:rsidR="006F2516" w:rsidRPr="005500F7">
        <w:rPr>
          <w:rFonts w:ascii="Aptos" w:hAnsi="Aptos"/>
          <w:sz w:val="20"/>
          <w:szCs w:val="20"/>
        </w:rPr>
        <w:t xml:space="preserve"> </w:t>
      </w:r>
      <w:r w:rsidRPr="005500F7">
        <w:rPr>
          <w:rFonts w:ascii="Aptos" w:hAnsi="Aptos"/>
          <w:sz w:val="20"/>
          <w:szCs w:val="20"/>
        </w:rPr>
        <w:t xml:space="preserve">We set α = 4 and β = </w:t>
      </w:r>
      <w:proofErr w:type="gramStart"/>
      <w:r w:rsidRPr="005500F7">
        <w:rPr>
          <w:rFonts w:ascii="Aptos" w:hAnsi="Aptos"/>
          <w:sz w:val="20"/>
          <w:szCs w:val="20"/>
        </w:rPr>
        <w:t>N</w:t>
      </w:r>
      <w:r w:rsidRPr="005500F7">
        <w:rPr>
          <w:rFonts w:ascii="Aptos" w:hAnsi="Aptos"/>
          <w:sz w:val="20"/>
          <w:szCs w:val="20"/>
          <w:vertAlign w:val="superscript"/>
        </w:rPr>
        <w:t>(</w:t>
      </w:r>
      <w:proofErr w:type="gramEnd"/>
      <w:r w:rsidRPr="005500F7">
        <w:rPr>
          <w:rFonts w:ascii="Aptos" w:hAnsi="Aptos"/>
          <w:sz w:val="20"/>
          <w:szCs w:val="20"/>
          <w:vertAlign w:val="superscript"/>
        </w:rPr>
        <w:t>4/5)</w:t>
      </w:r>
      <w:r w:rsidRPr="005500F7">
        <w:rPr>
          <w:rFonts w:ascii="Aptos" w:hAnsi="Aptos"/>
          <w:sz w:val="20"/>
          <w:szCs w:val="20"/>
        </w:rPr>
        <w:t xml:space="preserve"> as two parameters of BAKS and estimated the instantaneous firing rate for each SUA.</w:t>
      </w:r>
    </w:p>
    <w:p w14:paraId="088D013F" w14:textId="0AE0B9B8" w:rsidR="00614CD1" w:rsidRPr="005500F7" w:rsidRDefault="006F2516" w:rsidP="00614CD1">
      <w:pPr>
        <w:jc w:val="both"/>
        <w:rPr>
          <w:rFonts w:ascii="Aptos" w:hAnsi="Aptos"/>
          <w:b/>
          <w:bCs/>
          <w:sz w:val="20"/>
          <w:szCs w:val="20"/>
        </w:rPr>
      </w:pPr>
      <w:r w:rsidRPr="005500F7">
        <w:rPr>
          <w:rFonts w:ascii="Aptos" w:hAnsi="Aptos"/>
          <w:b/>
          <w:bCs/>
          <w:sz w:val="20"/>
          <w:szCs w:val="20"/>
        </w:rPr>
        <w:t xml:space="preserve">Supplementary Table </w:t>
      </w:r>
      <w:r w:rsidR="00705731">
        <w:rPr>
          <w:rFonts w:ascii="Aptos" w:hAnsi="Aptos"/>
          <w:b/>
          <w:bCs/>
          <w:sz w:val="20"/>
          <w:szCs w:val="20"/>
        </w:rPr>
        <w:t xml:space="preserve">4. </w:t>
      </w:r>
      <w:r w:rsidRPr="005500F7">
        <w:rPr>
          <w:rFonts w:ascii="Aptos" w:hAnsi="Aptos"/>
          <w:b/>
          <w:bCs/>
          <w:sz w:val="20"/>
          <w:szCs w:val="20"/>
        </w:rPr>
        <w:t xml:space="preserve"> Firing rate- and firing regularity-related neural features, their descriptions, and formulations.</w:t>
      </w:r>
    </w:p>
    <w:tbl>
      <w:tblPr>
        <w:tblStyle w:val="TableGrid"/>
        <w:tblW w:w="9074" w:type="dxa"/>
        <w:jc w:val="center"/>
        <w:tblLook w:val="04A0" w:firstRow="1" w:lastRow="0" w:firstColumn="1" w:lastColumn="0" w:noHBand="0" w:noVBand="1"/>
      </w:tblPr>
      <w:tblGrid>
        <w:gridCol w:w="1179"/>
        <w:gridCol w:w="3178"/>
        <w:gridCol w:w="4717"/>
      </w:tblGrid>
      <w:tr w:rsidR="0017005C" w:rsidRPr="005500F7" w14:paraId="0889C52F" w14:textId="77777777" w:rsidTr="00FF6C33">
        <w:trPr>
          <w:trHeight w:val="291"/>
          <w:jc w:val="center"/>
        </w:trPr>
        <w:tc>
          <w:tcPr>
            <w:tcW w:w="85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vAlign w:val="center"/>
          </w:tcPr>
          <w:p w14:paraId="24758B41" w14:textId="77777777" w:rsidR="004012F6" w:rsidRPr="005500F7" w:rsidRDefault="006F2516" w:rsidP="008961B7">
            <w:pPr>
              <w:jc w:val="center"/>
              <w:rPr>
                <w:rFonts w:ascii="Aptos" w:hAnsi="Aptos" w:cs="Helvetica"/>
                <w:b/>
                <w:bCs/>
                <w:sz w:val="20"/>
                <w:szCs w:val="20"/>
              </w:rPr>
            </w:pPr>
            <w:r w:rsidRPr="005500F7">
              <w:rPr>
                <w:rFonts w:ascii="Aptos" w:hAnsi="Aptos" w:cs="Helvetica"/>
                <w:b/>
                <w:bCs/>
                <w:sz w:val="20"/>
                <w:szCs w:val="20"/>
              </w:rPr>
              <w:t>Neural Feature</w:t>
            </w:r>
          </w:p>
        </w:tc>
        <w:tc>
          <w:tcPr>
            <w:tcW w:w="34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vAlign w:val="center"/>
          </w:tcPr>
          <w:p w14:paraId="4C6C0D63" w14:textId="77777777" w:rsidR="004012F6" w:rsidRPr="005500F7" w:rsidRDefault="006F2516" w:rsidP="008961B7">
            <w:pPr>
              <w:jc w:val="center"/>
              <w:rPr>
                <w:rFonts w:ascii="Aptos" w:hAnsi="Aptos" w:cs="Helvetica"/>
                <w:b/>
                <w:bCs/>
                <w:sz w:val="20"/>
                <w:szCs w:val="20"/>
              </w:rPr>
            </w:pPr>
            <w:r w:rsidRPr="005500F7">
              <w:rPr>
                <w:rFonts w:ascii="Aptos" w:hAnsi="Aptos" w:cs="Helvetica"/>
                <w:b/>
                <w:bCs/>
                <w:sz w:val="20"/>
                <w:szCs w:val="20"/>
              </w:rPr>
              <w:t>Definition</w:t>
            </w:r>
          </w:p>
        </w:tc>
        <w:tc>
          <w:tcPr>
            <w:tcW w:w="476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vAlign w:val="center"/>
          </w:tcPr>
          <w:p w14:paraId="684A6175" w14:textId="77777777" w:rsidR="004012F6" w:rsidRPr="005500F7" w:rsidRDefault="006F2516" w:rsidP="008961B7">
            <w:pPr>
              <w:jc w:val="center"/>
              <w:rPr>
                <w:rFonts w:ascii="Aptos" w:hAnsi="Aptos" w:cs="Helvetica"/>
                <w:b/>
                <w:bCs/>
                <w:sz w:val="20"/>
                <w:szCs w:val="20"/>
              </w:rPr>
            </w:pPr>
            <w:r w:rsidRPr="005500F7">
              <w:rPr>
                <w:rFonts w:ascii="Aptos" w:hAnsi="Aptos" w:cs="Helvetica"/>
                <w:b/>
                <w:bCs/>
                <w:sz w:val="20"/>
                <w:szCs w:val="20"/>
              </w:rPr>
              <w:t>Formulation</w:t>
            </w:r>
          </w:p>
        </w:tc>
      </w:tr>
      <w:tr w:rsidR="0017005C" w:rsidRPr="005500F7" w14:paraId="6214A6E2" w14:textId="77777777" w:rsidTr="00FF6C33">
        <w:trPr>
          <w:trHeight w:val="699"/>
          <w:jc w:val="center"/>
        </w:trPr>
        <w:tc>
          <w:tcPr>
            <w:tcW w:w="852" w:type="dxa"/>
            <w:tcBorders>
              <w:top w:val="single" w:sz="12" w:space="0" w:color="auto"/>
              <w:left w:val="single" w:sz="4" w:space="0" w:color="FFFFFF" w:themeColor="background1"/>
              <w:bottom w:val="single" w:sz="2" w:space="0" w:color="auto"/>
              <w:right w:val="single" w:sz="4" w:space="0" w:color="FFFFFF" w:themeColor="background1"/>
            </w:tcBorders>
            <w:shd w:val="clear" w:color="auto" w:fill="auto"/>
            <w:vAlign w:val="center"/>
          </w:tcPr>
          <w:p w14:paraId="285E6355" w14:textId="2AEE87B5" w:rsidR="008961B7" w:rsidRPr="005500F7" w:rsidRDefault="006F2516" w:rsidP="004E3777">
            <w:pPr>
              <w:rPr>
                <w:rFonts w:ascii="Aptos" w:hAnsi="Aptos" w:cs="Helvetica"/>
                <w:sz w:val="20"/>
                <w:szCs w:val="20"/>
              </w:rPr>
            </w:pPr>
            <w:r w:rsidRPr="005500F7">
              <w:rPr>
                <w:rFonts w:ascii="Aptos" w:hAnsi="Aptos" w:cs="Helvetica"/>
                <w:sz w:val="20"/>
                <w:szCs w:val="20"/>
              </w:rPr>
              <w:t>firing</w:t>
            </w:r>
            <w:r w:rsidR="00164B67">
              <w:rPr>
                <w:rFonts w:ascii="Aptos" w:hAnsi="Aptos" w:cs="Helvetica"/>
                <w:sz w:val="20"/>
                <w:szCs w:val="20"/>
              </w:rPr>
              <w:t xml:space="preserve"> </w:t>
            </w:r>
            <w:r w:rsidRPr="005500F7">
              <w:rPr>
                <w:rFonts w:ascii="Aptos" w:hAnsi="Aptos" w:cs="Helvetica"/>
                <w:sz w:val="20"/>
                <w:szCs w:val="20"/>
              </w:rPr>
              <w:t>rate</w:t>
            </w:r>
          </w:p>
        </w:tc>
        <w:tc>
          <w:tcPr>
            <w:tcW w:w="3462" w:type="dxa"/>
            <w:tcBorders>
              <w:top w:val="single" w:sz="12" w:space="0" w:color="auto"/>
              <w:left w:val="single" w:sz="4" w:space="0" w:color="FFFFFF" w:themeColor="background1"/>
              <w:bottom w:val="single" w:sz="2" w:space="0" w:color="auto"/>
              <w:right w:val="single" w:sz="4" w:space="0" w:color="FFFFFF" w:themeColor="background1"/>
            </w:tcBorders>
            <w:shd w:val="clear" w:color="auto" w:fill="auto"/>
            <w:vAlign w:val="center"/>
          </w:tcPr>
          <w:p w14:paraId="481583C1" w14:textId="77777777" w:rsidR="008961B7" w:rsidRPr="005500F7" w:rsidRDefault="006F2516" w:rsidP="008961B7">
            <w:pPr>
              <w:pStyle w:val="NoSpacing"/>
              <w:ind w:firstLine="0"/>
              <w:rPr>
                <w:rFonts w:ascii="Aptos" w:hAnsi="Aptos" w:cs="Helvetica"/>
                <w:sz w:val="20"/>
                <w:szCs w:val="20"/>
              </w:rPr>
            </w:pPr>
            <w:r w:rsidRPr="005500F7">
              <w:rPr>
                <w:rFonts w:ascii="Aptos" w:hAnsi="Aptos" w:cs="Helvetica"/>
                <w:sz w:val="20"/>
                <w:szCs w:val="20"/>
              </w:rPr>
              <w:t>It is the simplest and most widely used neural feature for neural data analysis. It is directly connected to the outcome of neural functioning.</w:t>
            </w:r>
          </w:p>
        </w:tc>
        <w:tc>
          <w:tcPr>
            <w:tcW w:w="4760" w:type="dxa"/>
            <w:tcBorders>
              <w:top w:val="single" w:sz="12" w:space="0" w:color="auto"/>
              <w:left w:val="single" w:sz="4" w:space="0" w:color="FFFFFF" w:themeColor="background1"/>
              <w:bottom w:val="single" w:sz="2" w:space="0" w:color="auto"/>
              <w:right w:val="single" w:sz="4" w:space="0" w:color="FFFFFF" w:themeColor="background1"/>
            </w:tcBorders>
            <w:shd w:val="clear" w:color="auto" w:fill="auto"/>
            <w:vAlign w:val="center"/>
          </w:tcPr>
          <w:p w14:paraId="7C6C4EB6" w14:textId="77777777" w:rsidR="008961B7" w:rsidRPr="005500F7" w:rsidRDefault="006F2516" w:rsidP="00F55D80">
            <w:pPr>
              <w:jc w:val="center"/>
              <w:rPr>
                <w:rFonts w:ascii="Aptos" w:hAnsi="Aptos" w:cs="Helvetica"/>
                <w:sz w:val="20"/>
                <w:szCs w:val="20"/>
              </w:rPr>
            </w:pPr>
            <w:r w:rsidRPr="005500F7">
              <w:rPr>
                <w:rFonts w:ascii="Aptos" w:hAnsi="Aptos" w:cs="Helvetica"/>
                <w:sz w:val="20"/>
                <w:szCs w:val="20"/>
              </w:rPr>
              <w:t>the rate parameter (</w:t>
            </w:r>
            <w:r w:rsidRPr="005500F7">
              <w:rPr>
                <w:rFonts w:ascii="Aptos" w:hAnsi="Aptos" w:cs="Calibri"/>
                <w:sz w:val="20"/>
                <w:szCs w:val="20"/>
              </w:rPr>
              <w:t>λ</w:t>
            </w:r>
            <w:r w:rsidRPr="005500F7">
              <w:rPr>
                <w:rFonts w:ascii="Aptos" w:hAnsi="Aptos" w:cs="Helvetica"/>
                <w:sz w:val="20"/>
                <w:szCs w:val="20"/>
              </w:rPr>
              <w:t>) of the fitted gamma distribution for the ISI distribution</w:t>
            </w:r>
          </w:p>
        </w:tc>
      </w:tr>
      <w:tr w:rsidR="0017005C" w:rsidRPr="005500F7" w14:paraId="3292D57D" w14:textId="77777777" w:rsidTr="00FF6C33">
        <w:trPr>
          <w:trHeight w:val="1827"/>
          <w:jc w:val="center"/>
        </w:trPr>
        <w:tc>
          <w:tcPr>
            <w:tcW w:w="852" w:type="dxa"/>
            <w:tcBorders>
              <w:top w:val="single" w:sz="2" w:space="0" w:color="auto"/>
              <w:left w:val="single" w:sz="4" w:space="0" w:color="FFFFFF" w:themeColor="background1"/>
              <w:right w:val="single" w:sz="4" w:space="0" w:color="FFFFFF" w:themeColor="background1"/>
            </w:tcBorders>
            <w:shd w:val="clear" w:color="auto" w:fill="auto"/>
            <w:vAlign w:val="center"/>
          </w:tcPr>
          <w:p w14:paraId="4D53153A" w14:textId="1BD8FC81" w:rsidR="008961B7" w:rsidRPr="005500F7" w:rsidRDefault="006F2516" w:rsidP="004E3777">
            <w:pPr>
              <w:pStyle w:val="NoSpacing"/>
              <w:ind w:firstLine="0"/>
              <w:jc w:val="left"/>
              <w:rPr>
                <w:rFonts w:ascii="Aptos" w:hAnsi="Aptos" w:cs="Helvetica"/>
                <w:b/>
                <w:bCs/>
                <w:sz w:val="20"/>
                <w:szCs w:val="20"/>
              </w:rPr>
            </w:pPr>
            <w:r w:rsidRPr="005500F7">
              <w:rPr>
                <w:rFonts w:ascii="Aptos" w:hAnsi="Aptos" w:cs="Helvetica"/>
                <w:sz w:val="20"/>
                <w:szCs w:val="20"/>
              </w:rPr>
              <w:t>firing</w:t>
            </w:r>
            <w:r w:rsidR="00164B67">
              <w:rPr>
                <w:rFonts w:ascii="Aptos" w:hAnsi="Aptos" w:cs="Helvetica"/>
                <w:sz w:val="20"/>
                <w:szCs w:val="20"/>
              </w:rPr>
              <w:t xml:space="preserve"> </w:t>
            </w:r>
            <w:r w:rsidRPr="005500F7">
              <w:rPr>
                <w:rFonts w:ascii="Aptos" w:hAnsi="Aptos" w:cs="Helvetica"/>
                <w:sz w:val="20"/>
                <w:szCs w:val="20"/>
              </w:rPr>
              <w:t>regularity</w:t>
            </w:r>
          </w:p>
        </w:tc>
        <w:tc>
          <w:tcPr>
            <w:tcW w:w="3462" w:type="dxa"/>
            <w:tcBorders>
              <w:top w:val="single" w:sz="2" w:space="0" w:color="auto"/>
              <w:left w:val="single" w:sz="4" w:space="0" w:color="FFFFFF" w:themeColor="background1"/>
              <w:right w:val="single" w:sz="4" w:space="0" w:color="FFFFFF" w:themeColor="background1"/>
            </w:tcBorders>
            <w:shd w:val="clear" w:color="auto" w:fill="auto"/>
            <w:vAlign w:val="center"/>
          </w:tcPr>
          <w:p w14:paraId="076225D8" w14:textId="0C7FAC83" w:rsidR="008961B7" w:rsidRPr="005500F7" w:rsidRDefault="006F2516" w:rsidP="008961B7">
            <w:pPr>
              <w:rPr>
                <w:rFonts w:ascii="Aptos" w:hAnsi="Aptos" w:cs="Helvetica"/>
                <w:sz w:val="20"/>
                <w:szCs w:val="20"/>
              </w:rPr>
            </w:pPr>
            <w:r w:rsidRPr="005500F7">
              <w:rPr>
                <w:rFonts w:ascii="Aptos" w:hAnsi="Aptos" w:cs="Helvetica"/>
                <w:sz w:val="20"/>
                <w:szCs w:val="20"/>
              </w:rPr>
              <w:t>This metric quantifies the regularity of the spiking of a neuron and provides intuition about the general firing characteristic of the neuron. Firing regularity</w:t>
            </w:r>
            <w:r w:rsidR="00CC2BF9" w:rsidRPr="005500F7">
              <w:rPr>
                <w:rFonts w:ascii="Aptos" w:hAnsi="Aptos" w:cs="Helvetica"/>
                <w:sz w:val="20"/>
                <w:szCs w:val="20"/>
                <w:vertAlign w:val="superscript"/>
              </w:rPr>
              <w:fldChar w:fldCharType="begin"/>
            </w:r>
            <w:r w:rsidR="00FF4210">
              <w:rPr>
                <w:rFonts w:ascii="Aptos" w:hAnsi="Aptos" w:cs="Helvetica"/>
                <w:sz w:val="20"/>
                <w:szCs w:val="20"/>
                <w:vertAlign w:val="superscript"/>
              </w:rPr>
              <w:instrText xml:space="preserve"> ADDIN ZOTERO_ITEM CSL_CITATION {"citationID":"9B2ujY6K","properties":{"formattedCitation":"\\super 108\\nosupersub{}","plainCitation":"108","noteIndex":0},"citationItems":[{"id":457,"uris":["http://zotero.org/users/local/qbj29eOf/items/26RH8L8N"],"itemData":{"id":457,"type":"article-journal","container-title":"Journal of Neural Engineering","DOI":"10.1088/1741-2552/ab37b4","ISSN":"1741-2552","issue":"6","journalAbbreviation":"J. Neural Eng.","page":"066011","source":"DOI.org (Crossref)","title":"Spatio-temporal structure of single neuron subthalamic activity identifies DBS target for anesthetized Tourette syndrome patients","volume":"16","author":[{"family":"Vissani","given":"Matteo"},{"family":"Cordella","given":"Roberto"},{"family":"Micera","given":"Silvestro"},{"family":"Eleopra","given":"Roberto"},{"family":"Romito","given":"Luigi M"},{"family":"Mazzoni","given":"Alberto"}],"issued":{"date-parts":[["2019",10,23]]}}}],"schema":"https://github.com/citation-style-language/schema/raw/master/csl-citation.json"} </w:instrText>
            </w:r>
            <w:r w:rsidR="00CC2BF9" w:rsidRPr="005500F7">
              <w:rPr>
                <w:rFonts w:ascii="Aptos" w:hAnsi="Aptos" w:cs="Helvetica"/>
                <w:sz w:val="20"/>
                <w:szCs w:val="20"/>
                <w:vertAlign w:val="superscript"/>
              </w:rPr>
              <w:fldChar w:fldCharType="separate"/>
            </w:r>
            <w:r w:rsidR="00FF4210" w:rsidRPr="00FF4210">
              <w:rPr>
                <w:rFonts w:ascii="Aptos" w:hAnsi="Aptos" w:cs="Times New Roman"/>
                <w:sz w:val="20"/>
                <w:vertAlign w:val="superscript"/>
              </w:rPr>
              <w:t>108</w:t>
            </w:r>
            <w:r w:rsidR="00CC2BF9" w:rsidRPr="005500F7">
              <w:rPr>
                <w:rFonts w:ascii="Aptos" w:hAnsi="Aptos" w:cs="Helvetica"/>
                <w:sz w:val="20"/>
                <w:szCs w:val="20"/>
                <w:vertAlign w:val="superscript"/>
              </w:rPr>
              <w:fldChar w:fldCharType="end"/>
            </w:r>
            <w:r w:rsidRPr="005500F7">
              <w:rPr>
                <w:rFonts w:ascii="Aptos" w:hAnsi="Aptos" w:cs="Helvetica"/>
                <w:sz w:val="20"/>
                <w:szCs w:val="20"/>
              </w:rPr>
              <w:t xml:space="preserve"> metrics can help us classify the neurons into subcategories based on their firing characteristic. </w:t>
            </w:r>
          </w:p>
        </w:tc>
        <w:tc>
          <w:tcPr>
            <w:tcW w:w="4760" w:type="dxa"/>
            <w:tcBorders>
              <w:top w:val="single" w:sz="2" w:space="0" w:color="auto"/>
              <w:left w:val="single" w:sz="4" w:space="0" w:color="FFFFFF" w:themeColor="background1"/>
              <w:right w:val="single" w:sz="4" w:space="0" w:color="FFFFFF" w:themeColor="background1"/>
            </w:tcBorders>
            <w:shd w:val="clear" w:color="auto" w:fill="auto"/>
            <w:vAlign w:val="center"/>
          </w:tcPr>
          <w:p w14:paraId="5B5285CA" w14:textId="77777777" w:rsidR="008961B7" w:rsidRPr="005500F7" w:rsidRDefault="006F2516" w:rsidP="008961B7">
            <w:pPr>
              <w:pStyle w:val="Caption"/>
              <w:jc w:val="center"/>
              <w:rPr>
                <w:rFonts w:ascii="Aptos" w:hAnsi="Aptos" w:cs="Helvetica"/>
                <w:color w:val="auto"/>
                <w:sz w:val="20"/>
                <w:szCs w:val="20"/>
                <w:shd w:val="clear" w:color="auto" w:fill="FFFFFF"/>
              </w:rPr>
            </w:pPr>
            <m:oMathPara>
              <m:oMath>
                <m:r>
                  <w:rPr>
                    <w:rStyle w:val="Emphasis"/>
                    <w:rFonts w:ascii="Cambria Math" w:hAnsi="Cambria Math" w:cs="Helvetica"/>
                    <w:color w:val="auto"/>
                    <w:sz w:val="20"/>
                    <w:szCs w:val="20"/>
                    <w:shd w:val="clear" w:color="auto" w:fill="FFFFFF"/>
                  </w:rPr>
                  <m:t>firing regularity=log(</m:t>
                </m:r>
                <m:r>
                  <w:rPr>
                    <w:rFonts w:ascii="Cambria Math" w:hAnsi="Cambria Math" w:cs="Helvetica"/>
                    <w:color w:val="auto"/>
                    <w:sz w:val="20"/>
                    <w:szCs w:val="20"/>
                    <w:shd w:val="clear" w:color="auto" w:fill="FFFFFF"/>
                  </w:rPr>
                  <m:t>κ)</m:t>
                </m:r>
              </m:oMath>
            </m:oMathPara>
          </w:p>
          <w:p w14:paraId="07E38AAD" w14:textId="77777777" w:rsidR="008961B7" w:rsidRPr="005500F7" w:rsidRDefault="008961B7" w:rsidP="008961B7">
            <w:pPr>
              <w:rPr>
                <w:rFonts w:ascii="Aptos" w:hAnsi="Aptos" w:cs="Helvetica"/>
                <w:sz w:val="20"/>
                <w:szCs w:val="20"/>
              </w:rPr>
            </w:pPr>
          </w:p>
          <w:p w14:paraId="3F4BBEBA" w14:textId="7C68B1BC" w:rsidR="008961B7" w:rsidRPr="005500F7" w:rsidRDefault="00FF6C33" w:rsidP="008961B7">
            <w:pPr>
              <w:pStyle w:val="Caption"/>
              <w:jc w:val="right"/>
              <w:rPr>
                <w:rFonts w:ascii="Aptos" w:hAnsi="Aptos" w:cs="Helvetica"/>
                <w:color w:val="auto"/>
                <w:sz w:val="20"/>
                <w:szCs w:val="20"/>
              </w:rPr>
            </w:pPr>
            <m:oMathPara>
              <m:oMath>
                <m:r>
                  <w:rPr>
                    <w:rFonts w:ascii="Cambria Math" w:hAnsi="Cambria Math" w:cs="Helvetica"/>
                    <w:color w:val="auto"/>
                    <w:sz w:val="20"/>
                    <w:szCs w:val="20"/>
                  </w:rPr>
                  <m:t xml:space="preserve">                                  firing pattern=</m:t>
                </m:r>
                <m:d>
                  <m:dPr>
                    <m:begChr m:val="{"/>
                    <m:endChr m:val="}"/>
                    <m:ctrlPr>
                      <w:rPr>
                        <w:rFonts w:ascii="Cambria Math" w:hAnsi="Cambria Math" w:cs="Helvetica"/>
                        <w:color w:val="auto"/>
                        <w:sz w:val="20"/>
                        <w:szCs w:val="20"/>
                      </w:rPr>
                    </m:ctrlPr>
                  </m:dPr>
                  <m:e>
                    <m:eqArr>
                      <m:eqArrPr>
                        <m:ctrlPr>
                          <w:rPr>
                            <w:rFonts w:ascii="Cambria Math" w:hAnsi="Cambria Math" w:cs="Helvetica"/>
                            <w:color w:val="auto"/>
                            <w:sz w:val="20"/>
                            <w:szCs w:val="20"/>
                          </w:rPr>
                        </m:ctrlPr>
                      </m:eqArrPr>
                      <m:e>
                        <m:eqArr>
                          <m:eqArrPr>
                            <m:ctrlPr>
                              <w:rPr>
                                <w:rFonts w:ascii="Cambria Math" w:hAnsi="Cambria Math" w:cs="Helvetica"/>
                                <w:color w:val="auto"/>
                                <w:sz w:val="20"/>
                                <w:szCs w:val="20"/>
                              </w:rPr>
                            </m:ctrlPr>
                          </m:eqArrPr>
                          <m:e>
                            <m:func>
                              <m:funcPr>
                                <m:ctrlPr>
                                  <w:rPr>
                                    <w:rStyle w:val="Emphasis"/>
                                    <w:rFonts w:ascii="Cambria Math" w:hAnsi="Cambria Math" w:cs="Helvetica"/>
                                    <w:i/>
                                    <w:iCs/>
                                    <w:color w:val="auto"/>
                                    <w:sz w:val="20"/>
                                    <w:szCs w:val="20"/>
                                    <w:shd w:val="clear" w:color="auto" w:fill="FFFFFF"/>
                                  </w:rPr>
                                </m:ctrlPr>
                              </m:funcPr>
                              <m:fName>
                                <m:r>
                                  <w:rPr>
                                    <w:rStyle w:val="Emphasis"/>
                                    <w:rFonts w:ascii="Cambria Math" w:hAnsi="Cambria Math" w:cs="Helvetica"/>
                                    <w:color w:val="auto"/>
                                    <w:sz w:val="20"/>
                                    <w:szCs w:val="20"/>
                                    <w:shd w:val="clear" w:color="auto" w:fill="FFFFFF"/>
                                  </w:rPr>
                                  <m:t>log</m:t>
                                </m:r>
                              </m:fName>
                              <m:e>
                                <m:d>
                                  <m:dPr>
                                    <m:ctrlPr>
                                      <w:rPr>
                                        <w:rStyle w:val="Emphasis"/>
                                        <w:rFonts w:ascii="Cambria Math" w:hAnsi="Cambria Math" w:cs="Helvetica"/>
                                        <w:i/>
                                        <w:iCs/>
                                        <w:color w:val="auto"/>
                                        <w:sz w:val="20"/>
                                        <w:szCs w:val="20"/>
                                        <w:shd w:val="clear" w:color="auto" w:fill="FFFFFF"/>
                                      </w:rPr>
                                    </m:ctrlPr>
                                  </m:dPr>
                                  <m:e>
                                    <m:r>
                                      <w:rPr>
                                        <w:rFonts w:ascii="Cambria Math" w:hAnsi="Cambria Math" w:cs="Helvetica"/>
                                        <w:color w:val="auto"/>
                                        <w:sz w:val="20"/>
                                        <w:szCs w:val="20"/>
                                        <w:shd w:val="clear" w:color="auto" w:fill="FFFFFF"/>
                                      </w:rPr>
                                      <m:t>κ</m:t>
                                    </m:r>
                                    <m:ctrlPr>
                                      <w:rPr>
                                        <w:rFonts w:ascii="Cambria Math" w:hAnsi="Cambria Math" w:cs="Helvetica"/>
                                        <w:color w:val="auto"/>
                                        <w:sz w:val="20"/>
                                        <w:szCs w:val="20"/>
                                        <w:shd w:val="clear" w:color="auto" w:fill="FFFFFF"/>
                                      </w:rPr>
                                    </m:ctrlPr>
                                  </m:e>
                                </m:d>
                              </m:e>
                            </m:func>
                            <m:r>
                              <w:rPr>
                                <w:rFonts w:ascii="Cambria Math" w:hAnsi="Cambria Math" w:cs="Helvetica"/>
                                <w:color w:val="auto"/>
                                <w:sz w:val="20"/>
                                <w:szCs w:val="20"/>
                              </w:rPr>
                              <m:t>≤-0.3,    bursting</m:t>
                            </m:r>
                          </m:e>
                          <m:e>
                            <m:func>
                              <m:funcPr>
                                <m:ctrlPr>
                                  <w:rPr>
                                    <w:rStyle w:val="Emphasis"/>
                                    <w:rFonts w:ascii="Cambria Math" w:hAnsi="Cambria Math" w:cs="Helvetica"/>
                                    <w:i/>
                                    <w:iCs/>
                                    <w:color w:val="auto"/>
                                    <w:sz w:val="20"/>
                                    <w:szCs w:val="20"/>
                                    <w:shd w:val="clear" w:color="auto" w:fill="FFFFFF"/>
                                  </w:rPr>
                                </m:ctrlPr>
                              </m:funcPr>
                              <m:fName>
                                <m:r>
                                  <w:rPr>
                                    <w:rStyle w:val="Emphasis"/>
                                    <w:rFonts w:ascii="Cambria Math" w:hAnsi="Cambria Math" w:cs="Helvetica"/>
                                    <w:color w:val="auto"/>
                                    <w:sz w:val="20"/>
                                    <w:szCs w:val="20"/>
                                    <w:shd w:val="clear" w:color="auto" w:fill="FFFFFF"/>
                                  </w:rPr>
                                  <m:t>log</m:t>
                                </m:r>
                              </m:fName>
                              <m:e>
                                <m:d>
                                  <m:dPr>
                                    <m:ctrlPr>
                                      <w:rPr>
                                        <w:rStyle w:val="Emphasis"/>
                                        <w:rFonts w:ascii="Cambria Math" w:hAnsi="Cambria Math" w:cs="Helvetica"/>
                                        <w:i/>
                                        <w:iCs/>
                                        <w:color w:val="auto"/>
                                        <w:sz w:val="20"/>
                                        <w:szCs w:val="20"/>
                                        <w:shd w:val="clear" w:color="auto" w:fill="FFFFFF"/>
                                      </w:rPr>
                                    </m:ctrlPr>
                                  </m:dPr>
                                  <m:e>
                                    <m:r>
                                      <w:rPr>
                                        <w:rFonts w:ascii="Cambria Math" w:hAnsi="Cambria Math" w:cs="Helvetica"/>
                                        <w:color w:val="auto"/>
                                        <w:sz w:val="20"/>
                                        <w:szCs w:val="20"/>
                                        <w:shd w:val="clear" w:color="auto" w:fill="FFFFFF"/>
                                      </w:rPr>
                                      <m:t>κ</m:t>
                                    </m:r>
                                    <m:ctrlPr>
                                      <w:rPr>
                                        <w:rFonts w:ascii="Cambria Math" w:hAnsi="Cambria Math" w:cs="Helvetica"/>
                                        <w:color w:val="auto"/>
                                        <w:sz w:val="20"/>
                                        <w:szCs w:val="20"/>
                                        <w:shd w:val="clear" w:color="auto" w:fill="FFFFFF"/>
                                      </w:rPr>
                                    </m:ctrlPr>
                                  </m:e>
                                </m:d>
                              </m:e>
                            </m:func>
                            <m:r>
                              <w:rPr>
                                <w:rFonts w:ascii="Cambria Math" w:hAnsi="Cambria Math" w:cs="Helvetica"/>
                                <w:color w:val="auto"/>
                                <w:sz w:val="20"/>
                                <w:szCs w:val="20"/>
                                <w:shd w:val="clear" w:color="auto" w:fill="FFFFFF"/>
                              </w:rPr>
                              <m:t>≥</m:t>
                            </m:r>
                            <m:r>
                              <w:rPr>
                                <w:rFonts w:ascii="Cambria Math" w:hAnsi="Cambria Math" w:cs="Helvetica"/>
                                <w:color w:val="auto"/>
                                <w:sz w:val="20"/>
                                <w:szCs w:val="20"/>
                              </w:rPr>
                              <m:t xml:space="preserve">0.3,    tonic    </m:t>
                            </m:r>
                          </m:e>
                        </m:eqArr>
                      </m:e>
                      <m:e>
                        <m:func>
                          <m:funcPr>
                            <m:ctrlPr>
                              <w:rPr>
                                <w:rStyle w:val="Emphasis"/>
                                <w:rFonts w:ascii="Cambria Math" w:hAnsi="Cambria Math" w:cs="Helvetica"/>
                                <w:i/>
                                <w:iCs/>
                                <w:color w:val="auto"/>
                                <w:sz w:val="20"/>
                                <w:szCs w:val="20"/>
                                <w:shd w:val="clear" w:color="auto" w:fill="FFFFFF"/>
                              </w:rPr>
                            </m:ctrlPr>
                          </m:funcPr>
                          <m:fName>
                            <m:r>
                              <w:rPr>
                                <w:rStyle w:val="Emphasis"/>
                                <w:rFonts w:ascii="Cambria Math" w:hAnsi="Cambria Math" w:cs="Helvetica"/>
                                <w:color w:val="auto"/>
                                <w:sz w:val="20"/>
                                <w:szCs w:val="20"/>
                                <w:shd w:val="clear" w:color="auto" w:fill="FFFFFF"/>
                              </w:rPr>
                              <m:t>-0.3&gt;log</m:t>
                            </m:r>
                          </m:fName>
                          <m:e>
                            <m:d>
                              <m:dPr>
                                <m:ctrlPr>
                                  <w:rPr>
                                    <w:rStyle w:val="Emphasis"/>
                                    <w:rFonts w:ascii="Cambria Math" w:hAnsi="Cambria Math" w:cs="Helvetica"/>
                                    <w:i/>
                                    <w:iCs/>
                                    <w:color w:val="auto"/>
                                    <w:sz w:val="20"/>
                                    <w:szCs w:val="20"/>
                                    <w:shd w:val="clear" w:color="auto" w:fill="FFFFFF"/>
                                  </w:rPr>
                                </m:ctrlPr>
                              </m:dPr>
                              <m:e>
                                <m:r>
                                  <w:rPr>
                                    <w:rFonts w:ascii="Cambria Math" w:hAnsi="Cambria Math" w:cs="Helvetica"/>
                                    <w:color w:val="auto"/>
                                    <w:sz w:val="20"/>
                                    <w:szCs w:val="20"/>
                                    <w:shd w:val="clear" w:color="auto" w:fill="FFFFFF"/>
                                  </w:rPr>
                                  <m:t>κ</m:t>
                                </m:r>
                                <m:ctrlPr>
                                  <w:rPr>
                                    <w:rFonts w:ascii="Cambria Math" w:hAnsi="Cambria Math" w:cs="Helvetica"/>
                                    <w:color w:val="auto"/>
                                    <w:sz w:val="20"/>
                                    <w:szCs w:val="20"/>
                                    <w:shd w:val="clear" w:color="auto" w:fill="FFFFFF"/>
                                  </w:rPr>
                                </m:ctrlPr>
                              </m:e>
                            </m:d>
                          </m:e>
                        </m:func>
                        <m:r>
                          <w:rPr>
                            <w:rFonts w:ascii="Cambria Math" w:hAnsi="Cambria Math" w:cs="Helvetica"/>
                            <w:color w:val="auto"/>
                            <w:sz w:val="20"/>
                            <w:szCs w:val="20"/>
                            <w:shd w:val="clear" w:color="auto" w:fill="FFFFFF"/>
                          </w:rPr>
                          <m:t>&gt;</m:t>
                        </m:r>
                        <m:r>
                          <w:rPr>
                            <w:rFonts w:ascii="Cambria Math" w:hAnsi="Cambria Math" w:cs="Helvetica"/>
                            <w:color w:val="auto"/>
                            <w:sz w:val="20"/>
                            <w:szCs w:val="20"/>
                          </w:rPr>
                          <m:t>0.3,    additional criterion</m:t>
                        </m:r>
                      </m:e>
                    </m:eqArr>
                  </m:e>
                </m:d>
              </m:oMath>
            </m:oMathPara>
          </w:p>
          <w:p w14:paraId="57E0C208" w14:textId="77777777" w:rsidR="008961B7" w:rsidRPr="005500F7" w:rsidRDefault="008961B7" w:rsidP="008961B7">
            <w:pPr>
              <w:rPr>
                <w:rFonts w:ascii="Aptos" w:hAnsi="Aptos" w:cs="Helvetica"/>
                <w:sz w:val="20"/>
                <w:szCs w:val="20"/>
              </w:rPr>
            </w:pPr>
          </w:p>
          <w:p w14:paraId="64808C4A" w14:textId="0A90A08F" w:rsidR="008961B7" w:rsidRPr="005500F7" w:rsidRDefault="00D0012A" w:rsidP="008961B7">
            <w:pPr>
              <w:rPr>
                <w:rFonts w:ascii="Aptos" w:hAnsi="Aptos" w:cs="Helvetica"/>
                <w:sz w:val="20"/>
                <w:szCs w:val="20"/>
              </w:rPr>
            </w:pPr>
            <m:oMathPara>
              <m:oMath>
                <m:r>
                  <w:rPr>
                    <w:rFonts w:ascii="Cambria Math" w:hAnsi="Cambria Math" w:cs="Helvetica"/>
                    <w:sz w:val="20"/>
                    <w:szCs w:val="20"/>
                  </w:rPr>
                  <m:t xml:space="preserve">                         additional criterion=</m:t>
                </m:r>
                <m:d>
                  <m:dPr>
                    <m:begChr m:val="{"/>
                    <m:endChr m:val="}"/>
                    <m:ctrlPr>
                      <w:rPr>
                        <w:rFonts w:ascii="Cambria Math" w:hAnsi="Cambria Math" w:cs="Helvetica"/>
                        <w:sz w:val="20"/>
                        <w:szCs w:val="20"/>
                      </w:rPr>
                    </m:ctrlPr>
                  </m:dPr>
                  <m:e>
                    <m:eqArr>
                      <m:eqArrPr>
                        <m:ctrlPr>
                          <w:rPr>
                            <w:rFonts w:ascii="Cambria Math" w:hAnsi="Cambria Math" w:cs="Helvetica"/>
                            <w:sz w:val="20"/>
                            <w:szCs w:val="20"/>
                          </w:rPr>
                        </m:ctrlPr>
                      </m:eqArrPr>
                      <m:e>
                        <m:r>
                          <w:rPr>
                            <w:rFonts w:ascii="Cambria Math" w:hAnsi="Cambria Math" w:cs="Helvetica"/>
                            <w:sz w:val="20"/>
                            <w:szCs w:val="20"/>
                            <w:shd w:val="clear" w:color="auto" w:fill="FFFFFF"/>
                          </w:rPr>
                          <m:t>70% samples&gt;| λ ± 0.5λ|</m:t>
                        </m:r>
                        <m:r>
                          <w:rPr>
                            <w:rFonts w:ascii="Cambria Math" w:hAnsi="Cambria Math" w:cs="Helvetica"/>
                            <w:sz w:val="20"/>
                            <w:szCs w:val="20"/>
                          </w:rPr>
                          <m:t>, bursting</m:t>
                        </m:r>
                      </m:e>
                      <m:e>
                        <m:r>
                          <w:rPr>
                            <w:rFonts w:ascii="Cambria Math" w:hAnsi="Cambria Math" w:cs="Helvetica"/>
                            <w:sz w:val="20"/>
                            <w:szCs w:val="20"/>
                            <w:shd w:val="clear" w:color="auto" w:fill="FFFFFF"/>
                          </w:rPr>
                          <m:t xml:space="preserve">  70% samples&lt;| λ ± 0.5λ|</m:t>
                        </m:r>
                        <m:r>
                          <w:rPr>
                            <w:rFonts w:ascii="Cambria Math" w:hAnsi="Cambria Math" w:cs="Helvetica"/>
                            <w:sz w:val="20"/>
                            <w:szCs w:val="20"/>
                          </w:rPr>
                          <m:t>, irregular</m:t>
                        </m:r>
                      </m:e>
                    </m:eqArr>
                  </m:e>
                </m:d>
              </m:oMath>
            </m:oMathPara>
          </w:p>
        </w:tc>
      </w:tr>
      <w:tr w:rsidR="0017005C" w:rsidRPr="005500F7" w14:paraId="4DAE4EE8"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4614F7BF" w14:textId="77777777" w:rsidR="00AC01DD" w:rsidRPr="005500F7" w:rsidRDefault="006F2516" w:rsidP="004E3777">
            <w:pPr>
              <w:rPr>
                <w:rFonts w:ascii="Aptos" w:hAnsi="Aptos" w:cs="Helvetica"/>
                <w:sz w:val="20"/>
                <w:szCs w:val="20"/>
              </w:rPr>
            </w:pPr>
            <w:r w:rsidRPr="005500F7">
              <w:rPr>
                <w:rFonts w:ascii="Aptos" w:hAnsi="Aptos" w:cs="Helvetica"/>
                <w:sz w:val="20"/>
                <w:szCs w:val="20"/>
              </w:rPr>
              <w:t>cv</w:t>
            </w:r>
          </w:p>
        </w:tc>
        <w:tc>
          <w:tcPr>
            <w:tcW w:w="3462" w:type="dxa"/>
            <w:tcBorders>
              <w:left w:val="single" w:sz="4" w:space="0" w:color="FFFFFF" w:themeColor="background1"/>
              <w:right w:val="single" w:sz="4" w:space="0" w:color="FFFFFF" w:themeColor="background1"/>
            </w:tcBorders>
            <w:shd w:val="clear" w:color="auto" w:fill="auto"/>
            <w:vAlign w:val="center"/>
          </w:tcPr>
          <w:p w14:paraId="2D714456" w14:textId="182495ED" w:rsidR="00AC01DD" w:rsidRPr="005500F7" w:rsidRDefault="006F2516" w:rsidP="00AC01DD">
            <w:pPr>
              <w:rPr>
                <w:rFonts w:ascii="Aptos" w:hAnsi="Aptos" w:cs="Helvetica"/>
                <w:sz w:val="20"/>
                <w:szCs w:val="20"/>
              </w:rPr>
            </w:pPr>
            <w:r w:rsidRPr="005500F7">
              <w:rPr>
                <w:rFonts w:ascii="Aptos" w:hAnsi="Aptos" w:cs="Helvetica"/>
                <w:sz w:val="20"/>
                <w:szCs w:val="20"/>
              </w:rPr>
              <w:t>The coefficient of variation in spike trains is evaluated to quantify the width of the ISI distribution.</w:t>
            </w:r>
            <w:r w:rsidR="00CC2BF9" w:rsidRPr="005500F7">
              <w:rPr>
                <w:rFonts w:ascii="Aptos" w:hAnsi="Aptos" w:cs="Helvetica"/>
                <w:sz w:val="20"/>
                <w:szCs w:val="20"/>
                <w:vertAlign w:val="superscript"/>
              </w:rPr>
              <w:fldChar w:fldCharType="begin"/>
            </w:r>
            <w:r w:rsidR="00FF4210">
              <w:rPr>
                <w:rFonts w:ascii="Aptos" w:hAnsi="Aptos" w:cs="Helvetica"/>
                <w:sz w:val="20"/>
                <w:szCs w:val="20"/>
                <w:vertAlign w:val="superscript"/>
              </w:rPr>
              <w:instrText xml:space="preserve"> ADDIN ZOTERO_ITEM CSL_CITATION {"citationID":"aX9IZABK","properties":{"formattedCitation":"\\super 109\\nosupersub{}","plainCitation":"109","noteIndex":0},"citationItems":[{"id":460,"uris":["http://zotero.org/users/local/qbj29eOf/items/845WK787"],"itemData":{"id":460,"type":"article-journal","container-title":"Biological Cybernetics","DOI":"10.1007/s00422-017-0717-y","ISSN":"0340-1200, 1432-0770","issue":"3-4","journalAbbreviation":"Biol Cybern","language":"en","page":"229-235","source":"DOI.org (Crossref)","title":"Note on the coefficient of variations of neuronal spike trains","volume":"111","author":[{"family":"Lengler","given":"Johannes"},{"family":"Steger","given":"Angelika"}],"issued":{"date-parts":[["2017",8]]}}}],"schema":"https://github.com/citation-style-language/schema/raw/master/csl-citation.json"} </w:instrText>
            </w:r>
            <w:r w:rsidR="00CC2BF9" w:rsidRPr="005500F7">
              <w:rPr>
                <w:rFonts w:ascii="Aptos" w:hAnsi="Aptos" w:cs="Helvetica"/>
                <w:sz w:val="20"/>
                <w:szCs w:val="20"/>
                <w:vertAlign w:val="superscript"/>
              </w:rPr>
              <w:fldChar w:fldCharType="separate"/>
            </w:r>
            <w:r w:rsidR="00FF4210" w:rsidRPr="00FF4210">
              <w:rPr>
                <w:rFonts w:ascii="Aptos" w:hAnsi="Aptos" w:cs="Times New Roman"/>
                <w:sz w:val="20"/>
                <w:vertAlign w:val="superscript"/>
              </w:rPr>
              <w:t>109</w:t>
            </w:r>
            <w:r w:rsidR="00CC2BF9" w:rsidRPr="005500F7">
              <w:rPr>
                <w:rFonts w:ascii="Aptos" w:hAnsi="Aptos" w:cs="Helvetica"/>
                <w:sz w:val="20"/>
                <w:szCs w:val="20"/>
                <w:vertAlign w:val="superscript"/>
              </w:rPr>
              <w:fldChar w:fldCharType="end"/>
            </w:r>
            <w:r w:rsidRPr="005500F7">
              <w:rPr>
                <w:rFonts w:ascii="Aptos" w:hAnsi="Aptos" w:cs="Helvetica"/>
                <w:sz w:val="20"/>
                <w:szCs w:val="20"/>
              </w:rPr>
              <w:t xml:space="preserve"> It acts as a sort of measure for spike train irregularity.</w:t>
            </w:r>
          </w:p>
        </w:tc>
        <w:tc>
          <w:tcPr>
            <w:tcW w:w="4760" w:type="dxa"/>
            <w:tcBorders>
              <w:left w:val="single" w:sz="4" w:space="0" w:color="FFFFFF" w:themeColor="background1"/>
              <w:right w:val="single" w:sz="4" w:space="0" w:color="FFFFFF" w:themeColor="background1"/>
            </w:tcBorders>
            <w:shd w:val="clear" w:color="auto" w:fill="auto"/>
            <w:vAlign w:val="center"/>
          </w:tcPr>
          <w:p w14:paraId="6D576AEF" w14:textId="77777777" w:rsidR="00AC01DD" w:rsidRPr="005500F7" w:rsidRDefault="006F2516" w:rsidP="00AC01DD">
            <w:pPr>
              <w:rPr>
                <w:rFonts w:ascii="Aptos" w:hAnsi="Aptos" w:cs="Helvetica"/>
                <w:sz w:val="20"/>
                <w:szCs w:val="20"/>
              </w:rPr>
            </w:pPr>
            <m:oMathPara>
              <m:oMath>
                <m:r>
                  <w:rPr>
                    <w:rFonts w:ascii="Cambria Math" w:hAnsi="Cambria Math" w:cs="Helvetica"/>
                    <w:sz w:val="20"/>
                    <w:szCs w:val="20"/>
                  </w:rPr>
                  <m:t>cv=</m:t>
                </m:r>
                <m:f>
                  <m:fPr>
                    <m:ctrlPr>
                      <w:rPr>
                        <w:rFonts w:ascii="Cambria Math" w:hAnsi="Cambria Math" w:cs="Helvetica"/>
                        <w:sz w:val="20"/>
                        <w:szCs w:val="20"/>
                      </w:rPr>
                    </m:ctrlPr>
                  </m:fPr>
                  <m:num>
                    <m:rad>
                      <m:radPr>
                        <m:ctrlPr>
                          <w:rPr>
                            <w:rFonts w:ascii="Cambria Math" w:hAnsi="Cambria Math" w:cs="Helvetica"/>
                            <w:sz w:val="20"/>
                            <w:szCs w:val="20"/>
                          </w:rPr>
                        </m:ctrlPr>
                      </m:radPr>
                      <m:deg>
                        <m:r>
                          <w:rPr>
                            <w:rFonts w:ascii="Cambria Math" w:hAnsi="Cambria Math" w:cs="Helvetica"/>
                            <w:sz w:val="20"/>
                            <w:szCs w:val="20"/>
                          </w:rPr>
                          <m:t>2</m:t>
                        </m:r>
                      </m:deg>
                      <m:e>
                        <m:r>
                          <w:rPr>
                            <w:rFonts w:ascii="Cambria Math" w:hAnsi="Cambria Math" w:cs="Helvetica"/>
                            <w:sz w:val="20"/>
                            <w:szCs w:val="20"/>
                          </w:rPr>
                          <m:t>variance(ISI)</m:t>
                        </m:r>
                      </m:e>
                    </m:rad>
                  </m:num>
                  <m:den>
                    <m:r>
                      <w:rPr>
                        <w:rFonts w:ascii="Cambria Math" w:hAnsi="Cambria Math" w:cs="Helvetica"/>
                        <w:sz w:val="20"/>
                        <w:szCs w:val="20"/>
                      </w:rPr>
                      <m:t>mean(ISI)</m:t>
                    </m:r>
                  </m:den>
                </m:f>
              </m:oMath>
            </m:oMathPara>
          </w:p>
        </w:tc>
      </w:tr>
      <w:tr w:rsidR="0017005C" w:rsidRPr="005500F7" w14:paraId="4EDFA331"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3315EC54" w14:textId="77777777" w:rsidR="00AC01DD" w:rsidRPr="005500F7" w:rsidRDefault="006F2516" w:rsidP="004E3777">
            <w:pPr>
              <w:rPr>
                <w:rFonts w:ascii="Aptos" w:hAnsi="Aptos" w:cs="Helvetica"/>
                <w:sz w:val="20"/>
                <w:szCs w:val="20"/>
              </w:rPr>
            </w:pPr>
            <w:r w:rsidRPr="005500F7">
              <w:rPr>
                <w:rFonts w:ascii="Aptos" w:hAnsi="Aptos" w:cs="Helvetica"/>
                <w:sz w:val="20"/>
                <w:szCs w:val="20"/>
              </w:rPr>
              <w:lastRenderedPageBreak/>
              <w:t>lv</w:t>
            </w:r>
          </w:p>
        </w:tc>
        <w:tc>
          <w:tcPr>
            <w:tcW w:w="3462" w:type="dxa"/>
            <w:tcBorders>
              <w:left w:val="single" w:sz="4" w:space="0" w:color="FFFFFF" w:themeColor="background1"/>
              <w:right w:val="single" w:sz="4" w:space="0" w:color="FFFFFF" w:themeColor="background1"/>
            </w:tcBorders>
            <w:shd w:val="clear" w:color="auto" w:fill="auto"/>
            <w:vAlign w:val="center"/>
          </w:tcPr>
          <w:p w14:paraId="6B182862" w14:textId="5260EB21" w:rsidR="00AC01DD" w:rsidRPr="005500F7" w:rsidRDefault="006F2516" w:rsidP="00AC01DD">
            <w:pPr>
              <w:rPr>
                <w:rFonts w:ascii="Aptos" w:hAnsi="Aptos" w:cs="Helvetica"/>
                <w:sz w:val="20"/>
                <w:szCs w:val="20"/>
              </w:rPr>
            </w:pPr>
            <w:r w:rsidRPr="005500F7">
              <w:rPr>
                <w:rFonts w:ascii="Aptos" w:hAnsi="Aptos" w:cs="Helvetica"/>
                <w:sz w:val="20"/>
                <w:szCs w:val="20"/>
              </w:rPr>
              <w:t xml:space="preserve">It is a metric originally defined to determine the intrinsic temporal dynamics of neuron spike trains. Lv compares temporal variations with their local rates, and it is specifically defined for nonstationary processes. In the equation, each </w:t>
            </w:r>
            <m:oMath>
              <m:r>
                <w:rPr>
                  <w:rFonts w:ascii="Cambria Math" w:hAnsi="Cambria Math" w:cs="Helvetica"/>
                  <w:sz w:val="20"/>
                  <w:szCs w:val="20"/>
                </w:rPr>
                <m:t>τ</m:t>
              </m:r>
            </m:oMath>
            <w:r w:rsidR="00CC2BF9" w:rsidRPr="005500F7">
              <w:rPr>
                <w:rFonts w:ascii="Aptos" w:hAnsi="Aptos" w:cs="Helvetica"/>
                <w:sz w:val="20"/>
                <w:szCs w:val="20"/>
              </w:rPr>
              <w:t xml:space="preserve"> value indicates the timing of an observed spike where N parameters represent the total number of spikes in a spike train.</w:t>
            </w:r>
            <w:r w:rsidR="00CC2BF9" w:rsidRPr="005500F7">
              <w:rPr>
                <w:rFonts w:ascii="Aptos" w:hAnsi="Aptos" w:cs="Helvetica"/>
                <w:sz w:val="20"/>
                <w:szCs w:val="20"/>
              </w:rPr>
              <w:fldChar w:fldCharType="begin"/>
            </w:r>
            <w:r w:rsidR="00FF4210">
              <w:rPr>
                <w:rFonts w:ascii="Aptos" w:hAnsi="Aptos" w:cs="Helvetica"/>
                <w:sz w:val="20"/>
                <w:szCs w:val="20"/>
              </w:rPr>
              <w:instrText xml:space="preserve"> ADDIN ZOTERO_ITEM CSL_CITATION {"citationID":"OeqyiQCh","properties":{"formattedCitation":"\\super 110\\nosupersub{}","plainCitation":"110","noteIndex":0},"citationItems":[{"id":461,"uris":["http://zotero.org/users/local/qbj29eOf/items/6LMNLQUW"],"itemData":{"id":461,"type":"article-journal","abstract":"Spike sequences recorded from four cortical areas of an awake behaving monkey were examined to explore characteristics that vary among neurons. We found that a measure of the local variation of interspike intervals, L\n              V\n              , is nearly the same for every spike sequence for any given neuron, while it varies significantly among neurons. The distributions of L\n              V\n              values for neuron ensembles in three of the four areas were found to be distinctly bimodal. Two groups of neurons classified according to the spiking irregularity exhibit different responses to the same stimulus. This suggests that neurons in each area can be classified into different groups possessing unique spiking statistics and corresponding functional properties.","container-title":"Neural Computation","DOI":"10.1162/089976603322518759","ISSN":"0899-7667, 1530-888X","issue":"12","journalAbbreviation":"Neural Computation","language":"en","page":"2823-2842","source":"DOI.org (Crossref)","title":"Differences in Spiking Patterns Among Cortical Neurons","volume":"15","author":[{"family":"Shinomoto","given":"Shigeru"},{"family":"Shima","given":"Keisetsu"},{"family":"Tanji","given":"Jun"}],"issued":{"date-parts":[["2003",12,1]]}}}],"schema":"https://github.com/citation-style-language/schema/raw/master/csl-citation.json"} </w:instrText>
            </w:r>
            <w:r w:rsidR="00CC2BF9" w:rsidRPr="005500F7">
              <w:rPr>
                <w:rFonts w:ascii="Aptos" w:hAnsi="Aptos" w:cs="Helvetica"/>
                <w:sz w:val="20"/>
                <w:szCs w:val="20"/>
              </w:rPr>
              <w:fldChar w:fldCharType="separate"/>
            </w:r>
            <w:r w:rsidR="00FF4210" w:rsidRPr="00FF4210">
              <w:rPr>
                <w:rFonts w:ascii="Aptos" w:hAnsi="Aptos" w:cs="Times New Roman"/>
                <w:sz w:val="20"/>
                <w:vertAlign w:val="superscript"/>
              </w:rPr>
              <w:t>110</w:t>
            </w:r>
            <w:r w:rsidR="00CC2BF9" w:rsidRPr="005500F7">
              <w:rPr>
                <w:rFonts w:ascii="Aptos" w:hAnsi="Aptos" w:cs="Helvetica"/>
                <w:sz w:val="20"/>
                <w:szCs w:val="20"/>
              </w:rPr>
              <w:fldChar w:fldCharType="end"/>
            </w:r>
          </w:p>
        </w:tc>
        <w:tc>
          <w:tcPr>
            <w:tcW w:w="4760" w:type="dxa"/>
            <w:tcBorders>
              <w:left w:val="single" w:sz="4" w:space="0" w:color="FFFFFF" w:themeColor="background1"/>
              <w:right w:val="single" w:sz="4" w:space="0" w:color="FFFFFF" w:themeColor="background1"/>
            </w:tcBorders>
            <w:shd w:val="clear" w:color="auto" w:fill="auto"/>
            <w:vAlign w:val="center"/>
          </w:tcPr>
          <w:p w14:paraId="18D21796" w14:textId="77777777" w:rsidR="00AC01DD" w:rsidRPr="005500F7" w:rsidRDefault="006F2516" w:rsidP="00AC01DD">
            <w:pPr>
              <w:rPr>
                <w:rFonts w:ascii="Aptos" w:hAnsi="Aptos" w:cs="Helvetica"/>
                <w:sz w:val="20"/>
                <w:szCs w:val="20"/>
              </w:rPr>
            </w:pPr>
            <m:oMathPara>
              <m:oMath>
                <m:r>
                  <w:rPr>
                    <w:rFonts w:ascii="Cambria Math" w:hAnsi="Cambria Math" w:cs="Helvetica"/>
                    <w:sz w:val="20"/>
                    <w:szCs w:val="20"/>
                  </w:rPr>
                  <m:t xml:space="preserve">lv= </m:t>
                </m:r>
                <m:f>
                  <m:fPr>
                    <m:ctrlPr>
                      <w:rPr>
                        <w:rFonts w:ascii="Cambria Math" w:hAnsi="Cambria Math" w:cs="Helvetica"/>
                        <w:sz w:val="20"/>
                        <w:szCs w:val="20"/>
                      </w:rPr>
                    </m:ctrlPr>
                  </m:fPr>
                  <m:num>
                    <m:r>
                      <w:rPr>
                        <w:rFonts w:ascii="Cambria Math" w:hAnsi="Cambria Math" w:cs="Helvetica"/>
                        <w:sz w:val="20"/>
                        <w:szCs w:val="20"/>
                      </w:rPr>
                      <m:t>3</m:t>
                    </m:r>
                  </m:num>
                  <m:den>
                    <m:r>
                      <w:rPr>
                        <w:rFonts w:ascii="Cambria Math" w:hAnsi="Cambria Math" w:cs="Helvetica"/>
                        <w:sz w:val="20"/>
                        <w:szCs w:val="20"/>
                      </w:rPr>
                      <m:t>N-2</m:t>
                    </m:r>
                  </m:den>
                </m:f>
                <m:nary>
                  <m:naryPr>
                    <m:chr m:val="∑"/>
                    <m:grow m:val="1"/>
                    <m:ctrlPr>
                      <w:rPr>
                        <w:rFonts w:ascii="Cambria Math" w:hAnsi="Cambria Math" w:cs="Helvetica"/>
                        <w:sz w:val="20"/>
                        <w:szCs w:val="20"/>
                      </w:rPr>
                    </m:ctrlPr>
                  </m:naryPr>
                  <m:sub>
                    <m:r>
                      <w:rPr>
                        <w:rFonts w:ascii="Cambria Math" w:eastAsia="Cambria Math" w:hAnsi="Cambria Math" w:cs="Helvetica"/>
                        <w:sz w:val="20"/>
                        <w:szCs w:val="20"/>
                      </w:rPr>
                      <m:t>n=0</m:t>
                    </m:r>
                  </m:sub>
                  <m:sup>
                    <m:r>
                      <w:rPr>
                        <w:rFonts w:ascii="Cambria Math" w:eastAsia="Cambria Math" w:hAnsi="Cambria Math" w:cs="Helvetica"/>
                        <w:sz w:val="20"/>
                        <w:szCs w:val="20"/>
                      </w:rPr>
                      <m:t>N-1</m:t>
                    </m:r>
                  </m:sup>
                  <m:e>
                    <m:sSup>
                      <m:sSupPr>
                        <m:ctrlPr>
                          <w:rPr>
                            <w:rFonts w:ascii="Cambria Math" w:hAnsi="Cambria Math" w:cs="Helvetica"/>
                            <w:sz w:val="20"/>
                            <w:szCs w:val="20"/>
                          </w:rPr>
                        </m:ctrlPr>
                      </m:sSupPr>
                      <m:e>
                        <m:d>
                          <m:dPr>
                            <m:ctrlPr>
                              <w:rPr>
                                <w:rFonts w:ascii="Cambria Math" w:hAnsi="Cambria Math" w:cs="Helvetica"/>
                                <w:sz w:val="20"/>
                                <w:szCs w:val="20"/>
                              </w:rPr>
                            </m:ctrlPr>
                          </m:dPr>
                          <m:e>
                            <m:f>
                              <m:fPr>
                                <m:ctrlPr>
                                  <w:rPr>
                                    <w:rFonts w:ascii="Cambria Math" w:hAnsi="Cambria Math" w:cs="Helvetica"/>
                                    <w:sz w:val="20"/>
                                    <w:szCs w:val="20"/>
                                  </w:rPr>
                                </m:ctrlPr>
                              </m:fPr>
                              <m:num>
                                <m:d>
                                  <m:dPr>
                                    <m:ctrlPr>
                                      <w:rPr>
                                        <w:rFonts w:ascii="Cambria Math" w:hAnsi="Cambria Math" w:cs="Helvetica"/>
                                        <w:sz w:val="20"/>
                                        <w:szCs w:val="20"/>
                                      </w:rPr>
                                    </m:ctrlPr>
                                  </m:dPr>
                                  <m:e>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n+1</m:t>
                                        </m:r>
                                      </m:sub>
                                    </m:sSub>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m:t>
                                        </m:r>
                                      </m:sub>
                                    </m:sSub>
                                  </m:e>
                                </m:d>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m:t>
                                    </m:r>
                                  </m:sub>
                                </m:sSub>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n-1</m:t>
                                    </m:r>
                                  </m:sub>
                                </m:sSub>
                                <m:r>
                                  <w:rPr>
                                    <w:rFonts w:ascii="Cambria Math" w:hAnsi="Cambria Math" w:cs="Helvetica"/>
                                    <w:sz w:val="20"/>
                                    <w:szCs w:val="20"/>
                                  </w:rPr>
                                  <m:t>)</m:t>
                                </m:r>
                              </m:num>
                              <m:den>
                                <m:d>
                                  <m:dPr>
                                    <m:ctrlPr>
                                      <w:rPr>
                                        <w:rFonts w:ascii="Cambria Math" w:hAnsi="Cambria Math" w:cs="Helvetica"/>
                                        <w:sz w:val="20"/>
                                        <w:szCs w:val="20"/>
                                      </w:rPr>
                                    </m:ctrlPr>
                                  </m:dPr>
                                  <m:e>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n+1</m:t>
                                        </m:r>
                                      </m:sub>
                                    </m:sSub>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m:t>
                                        </m:r>
                                      </m:sub>
                                    </m:sSub>
                                  </m:e>
                                </m:d>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m:t>
                                    </m:r>
                                  </m:sub>
                                </m:sSub>
                                <m:r>
                                  <w:rPr>
                                    <w:rFonts w:ascii="Cambria Math" w:hAnsi="Cambria Math" w:cs="Helvetica"/>
                                    <w:sz w:val="20"/>
                                    <w:szCs w:val="20"/>
                                  </w:rPr>
                                  <m:t>-</m:t>
                                </m:r>
                                <m:sSub>
                                  <m:sSubPr>
                                    <m:ctrlPr>
                                      <w:rPr>
                                        <w:rFonts w:ascii="Cambria Math" w:hAnsi="Cambria Math" w:cs="Helvetica"/>
                                        <w:sz w:val="20"/>
                                        <w:szCs w:val="20"/>
                                      </w:rPr>
                                    </m:ctrlPr>
                                  </m:sSubPr>
                                  <m:e>
                                    <m:r>
                                      <w:rPr>
                                        <w:rFonts w:ascii="Cambria Math" w:hAnsi="Cambria Math" w:cs="Helvetica"/>
                                        <w:sz w:val="20"/>
                                        <w:szCs w:val="20"/>
                                      </w:rPr>
                                      <m:t>τ</m:t>
                                    </m:r>
                                  </m:e>
                                  <m:sub>
                                    <m:r>
                                      <w:rPr>
                                        <w:rFonts w:ascii="Cambria Math" w:hAnsi="Cambria Math" w:cs="Helvetica"/>
                                        <w:sz w:val="20"/>
                                        <w:szCs w:val="20"/>
                                      </w:rPr>
                                      <m:t>n-1</m:t>
                                    </m:r>
                                  </m:sub>
                                </m:sSub>
                                <m:r>
                                  <w:rPr>
                                    <w:rFonts w:ascii="Cambria Math" w:hAnsi="Cambria Math" w:cs="Helvetica"/>
                                    <w:sz w:val="20"/>
                                    <w:szCs w:val="20"/>
                                  </w:rPr>
                                  <m:t>)</m:t>
                                </m:r>
                              </m:den>
                            </m:f>
                          </m:e>
                        </m:d>
                      </m:e>
                      <m:sup>
                        <m:r>
                          <w:rPr>
                            <w:rFonts w:ascii="Cambria Math" w:hAnsi="Cambria Math" w:cs="Helvetica"/>
                            <w:sz w:val="20"/>
                            <w:szCs w:val="20"/>
                          </w:rPr>
                          <m:t>2</m:t>
                        </m:r>
                      </m:sup>
                    </m:sSup>
                  </m:e>
                </m:nary>
              </m:oMath>
            </m:oMathPara>
          </w:p>
        </w:tc>
      </w:tr>
      <w:tr w:rsidR="0017005C" w:rsidRPr="005500F7" w14:paraId="5FD83C2F"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74847680" w14:textId="6E5B9ADB" w:rsidR="00FF33FE" w:rsidRPr="005500F7" w:rsidRDefault="006F2516" w:rsidP="004E3777">
            <w:pPr>
              <w:rPr>
                <w:rFonts w:ascii="Aptos" w:hAnsi="Aptos" w:cs="Helvetica"/>
                <w:sz w:val="20"/>
                <w:szCs w:val="20"/>
              </w:rPr>
            </w:pPr>
            <w:r w:rsidRPr="005500F7">
              <w:rPr>
                <w:rFonts w:ascii="Aptos" w:hAnsi="Aptos" w:cs="Helvetica"/>
                <w:sz w:val="20"/>
                <w:szCs w:val="20"/>
              </w:rPr>
              <w:t>asymmetry</w:t>
            </w:r>
            <w:r w:rsidR="00CD0AC1">
              <w:rPr>
                <w:rFonts w:ascii="Aptos" w:hAnsi="Aptos" w:cs="Helvetica"/>
                <w:sz w:val="20"/>
                <w:szCs w:val="20"/>
              </w:rPr>
              <w:t xml:space="preserve"> </w:t>
            </w:r>
            <w:r w:rsidRPr="005500F7">
              <w:rPr>
                <w:rFonts w:ascii="Aptos" w:hAnsi="Aptos" w:cs="Helvetica"/>
                <w:sz w:val="20"/>
                <w:szCs w:val="20"/>
              </w:rPr>
              <w:t>index</w:t>
            </w:r>
          </w:p>
        </w:tc>
        <w:tc>
          <w:tcPr>
            <w:tcW w:w="3462" w:type="dxa"/>
            <w:tcBorders>
              <w:left w:val="single" w:sz="4" w:space="0" w:color="FFFFFF" w:themeColor="background1"/>
              <w:right w:val="single" w:sz="4" w:space="0" w:color="FFFFFF" w:themeColor="background1"/>
            </w:tcBorders>
            <w:shd w:val="clear" w:color="auto" w:fill="auto"/>
            <w:vAlign w:val="center"/>
          </w:tcPr>
          <w:p w14:paraId="18C2F554" w14:textId="77777777" w:rsidR="00FF33FE" w:rsidRPr="005500F7" w:rsidRDefault="006F2516" w:rsidP="00AC01DD">
            <w:pPr>
              <w:rPr>
                <w:rFonts w:ascii="Aptos" w:hAnsi="Aptos" w:cs="Helvetica"/>
                <w:sz w:val="20"/>
                <w:szCs w:val="20"/>
              </w:rPr>
            </w:pPr>
            <w:r w:rsidRPr="005500F7">
              <w:rPr>
                <w:rFonts w:ascii="Aptos" w:hAnsi="Aptos" w:cs="Helvetica"/>
                <w:sz w:val="20"/>
                <w:szCs w:val="20"/>
              </w:rPr>
              <w:t>A neural metric to measure spiking regularity which is based on ISI distribution statistics.</w:t>
            </w:r>
          </w:p>
        </w:tc>
        <w:tc>
          <w:tcPr>
            <w:tcW w:w="4760" w:type="dxa"/>
            <w:tcBorders>
              <w:left w:val="single" w:sz="4" w:space="0" w:color="FFFFFF" w:themeColor="background1"/>
              <w:right w:val="single" w:sz="4" w:space="0" w:color="FFFFFF" w:themeColor="background1"/>
            </w:tcBorders>
            <w:shd w:val="clear" w:color="auto" w:fill="auto"/>
            <w:vAlign w:val="center"/>
          </w:tcPr>
          <w:p w14:paraId="0A4A4F7E" w14:textId="4B50B407" w:rsidR="00FF33FE" w:rsidRPr="005500F7" w:rsidRDefault="006F2516" w:rsidP="00AC01DD">
            <w:pPr>
              <w:rPr>
                <w:rFonts w:ascii="Aptos" w:eastAsia="Times New Roman" w:hAnsi="Aptos" w:cs="Helvetica"/>
                <w:sz w:val="20"/>
                <w:szCs w:val="20"/>
              </w:rPr>
            </w:pPr>
            <m:oMathPara>
              <m:oMath>
                <m:r>
                  <w:rPr>
                    <w:rFonts w:ascii="Cambria Math" w:hAnsi="Cambria Math" w:cs="Helvetica"/>
                    <w:sz w:val="20"/>
                    <w:szCs w:val="20"/>
                  </w:rPr>
                  <m:t>asymmetry index=</m:t>
                </m:r>
                <m:f>
                  <m:fPr>
                    <m:ctrlPr>
                      <w:rPr>
                        <w:rFonts w:ascii="Cambria Math" w:hAnsi="Cambria Math" w:cs="Helvetica"/>
                        <w:sz w:val="20"/>
                        <w:szCs w:val="20"/>
                      </w:rPr>
                    </m:ctrlPr>
                  </m:fPr>
                  <m:num>
                    <m:r>
                      <w:rPr>
                        <w:rFonts w:ascii="Cambria Math" w:hAnsi="Cambria Math" w:cs="Helvetica"/>
                        <w:sz w:val="20"/>
                        <w:szCs w:val="20"/>
                      </w:rPr>
                      <m:t>mode(ISI)</m:t>
                    </m:r>
                  </m:num>
                  <m:den>
                    <m:r>
                      <w:rPr>
                        <w:rFonts w:ascii="Cambria Math" w:hAnsi="Cambria Math" w:cs="Helvetica"/>
                        <w:sz w:val="20"/>
                        <w:szCs w:val="20"/>
                      </w:rPr>
                      <m:t>mean(ISI)</m:t>
                    </m:r>
                  </m:den>
                </m:f>
              </m:oMath>
            </m:oMathPara>
          </w:p>
        </w:tc>
      </w:tr>
      <w:tr w:rsidR="0017005C" w:rsidRPr="005500F7" w14:paraId="61D1988A"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0589C5BF" w14:textId="72173CBE" w:rsidR="00AC01DD" w:rsidRPr="005500F7" w:rsidRDefault="006F2516" w:rsidP="004E3777">
            <w:pPr>
              <w:rPr>
                <w:rFonts w:ascii="Aptos" w:hAnsi="Aptos" w:cs="Helvetica"/>
                <w:sz w:val="20"/>
                <w:szCs w:val="20"/>
              </w:rPr>
            </w:pPr>
            <w:r w:rsidRPr="005500F7">
              <w:rPr>
                <w:rFonts w:ascii="Aptos" w:hAnsi="Aptos" w:cs="Helvetica"/>
                <w:sz w:val="20"/>
                <w:szCs w:val="20"/>
              </w:rPr>
              <w:t>isi</w:t>
            </w:r>
            <w:r w:rsidR="00CD0AC1">
              <w:rPr>
                <w:rFonts w:ascii="Aptos" w:hAnsi="Aptos" w:cs="Helvetica"/>
                <w:sz w:val="20"/>
                <w:szCs w:val="20"/>
              </w:rPr>
              <w:t xml:space="preserve"> </w:t>
            </w:r>
            <w:r w:rsidRPr="005500F7">
              <w:rPr>
                <w:rFonts w:ascii="Aptos" w:hAnsi="Aptos" w:cs="Helvetica"/>
                <w:sz w:val="20"/>
                <w:szCs w:val="20"/>
              </w:rPr>
              <w:t>mean</w:t>
            </w:r>
          </w:p>
        </w:tc>
        <w:tc>
          <w:tcPr>
            <w:tcW w:w="3462" w:type="dxa"/>
            <w:tcBorders>
              <w:left w:val="single" w:sz="4" w:space="0" w:color="FFFFFF" w:themeColor="background1"/>
              <w:right w:val="single" w:sz="4" w:space="0" w:color="FFFFFF" w:themeColor="background1"/>
            </w:tcBorders>
            <w:shd w:val="clear" w:color="auto" w:fill="auto"/>
            <w:vAlign w:val="center"/>
          </w:tcPr>
          <w:p w14:paraId="1173EEBB" w14:textId="77777777" w:rsidR="00AC01DD" w:rsidRPr="005500F7" w:rsidRDefault="006F2516" w:rsidP="007C12C0">
            <w:pPr>
              <w:rPr>
                <w:rFonts w:ascii="Aptos" w:hAnsi="Aptos" w:cs="Helvetica"/>
                <w:sz w:val="20"/>
                <w:szCs w:val="20"/>
              </w:rPr>
            </w:pPr>
            <w:r w:rsidRPr="005500F7">
              <w:rPr>
                <w:rFonts w:ascii="Aptos" w:hAnsi="Aptos" w:cs="Helvetica"/>
                <w:sz w:val="20"/>
                <w:szCs w:val="20"/>
              </w:rPr>
              <w:t>The mean value of ISI represents the average temporal distance between two subsequent spikes of a neural structure. It is closely correlated with the mean firing rate.</w:t>
            </w:r>
          </w:p>
        </w:tc>
        <w:tc>
          <w:tcPr>
            <w:tcW w:w="4760" w:type="dxa"/>
            <w:tcBorders>
              <w:left w:val="single" w:sz="4" w:space="0" w:color="FFFFFF" w:themeColor="background1"/>
              <w:right w:val="single" w:sz="4" w:space="0" w:color="FFFFFF" w:themeColor="background1"/>
            </w:tcBorders>
            <w:shd w:val="clear" w:color="auto" w:fill="auto"/>
            <w:vAlign w:val="center"/>
          </w:tcPr>
          <w:p w14:paraId="279A3435" w14:textId="77777777" w:rsidR="00AC01DD" w:rsidRPr="005500F7" w:rsidRDefault="006F2516" w:rsidP="00AC01DD">
            <w:pPr>
              <w:rPr>
                <w:rFonts w:ascii="Aptos" w:hAnsi="Aptos" w:cs="Helvetica"/>
                <w:sz w:val="20"/>
                <w:szCs w:val="20"/>
              </w:rPr>
            </w:pPr>
            <m:oMathPara>
              <m:oMath>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mean</m:t>
                    </m:r>
                  </m:sub>
                </m:sSub>
                <m:r>
                  <m:rPr>
                    <m:sty m:val="p"/>
                  </m:rPr>
                  <w:rPr>
                    <w:rFonts w:ascii="Cambria Math" w:hAnsi="Cambria Math" w:cs="Helvetica"/>
                    <w:sz w:val="20"/>
                    <w:szCs w:val="20"/>
                  </w:rPr>
                  <m:t xml:space="preserve">= </m:t>
                </m:r>
                <m:r>
                  <w:rPr>
                    <w:rFonts w:ascii="Cambria Math" w:hAnsi="Cambria Math" w:cs="Helvetica"/>
                    <w:sz w:val="20"/>
                    <w:szCs w:val="20"/>
                  </w:rPr>
                  <m:t>shap</m:t>
                </m:r>
                <m:sSub>
                  <m:sSubPr>
                    <m:ctrlPr>
                      <w:rPr>
                        <w:rFonts w:ascii="Cambria Math" w:hAnsi="Cambria Math" w:cs="Helvetica"/>
                        <w:sz w:val="20"/>
                        <w:szCs w:val="20"/>
                      </w:rPr>
                    </m:ctrlPr>
                  </m:sSubPr>
                  <m:e>
                    <m:r>
                      <w:rPr>
                        <w:rFonts w:ascii="Cambria Math" w:hAnsi="Cambria Math" w:cs="Helvetica"/>
                        <w:sz w:val="20"/>
                        <w:szCs w:val="20"/>
                      </w:rPr>
                      <m:t>e</m:t>
                    </m:r>
                  </m:e>
                  <m:sub>
                    <m:r>
                      <w:rPr>
                        <w:rFonts w:ascii="Cambria Math" w:hAnsi="Cambria Math" w:cs="Helvetica"/>
                        <w:sz w:val="20"/>
                        <w:szCs w:val="20"/>
                      </w:rPr>
                      <m:t>param</m:t>
                    </m:r>
                  </m:sub>
                </m:sSub>
                <m:r>
                  <m:rPr>
                    <m:sty m:val="p"/>
                  </m:rPr>
                  <w:rPr>
                    <w:rFonts w:ascii="Cambria Math" w:hAnsi="Cambria Math" w:cs="Helvetica"/>
                    <w:sz w:val="20"/>
                    <w:szCs w:val="20"/>
                  </w:rPr>
                  <m:t>×</m:t>
                </m:r>
                <m:r>
                  <w:rPr>
                    <w:rFonts w:ascii="Cambria Math" w:hAnsi="Cambria Math" w:cs="Helvetica"/>
                    <w:sz w:val="20"/>
                    <w:szCs w:val="20"/>
                  </w:rPr>
                  <m:t>scal</m:t>
                </m:r>
                <m:sSub>
                  <m:sSubPr>
                    <m:ctrlPr>
                      <w:rPr>
                        <w:rFonts w:ascii="Cambria Math" w:hAnsi="Cambria Math" w:cs="Helvetica"/>
                        <w:sz w:val="20"/>
                        <w:szCs w:val="20"/>
                      </w:rPr>
                    </m:ctrlPr>
                  </m:sSubPr>
                  <m:e>
                    <m:r>
                      <w:rPr>
                        <w:rFonts w:ascii="Cambria Math" w:hAnsi="Cambria Math" w:cs="Helvetica"/>
                        <w:sz w:val="20"/>
                        <w:szCs w:val="20"/>
                      </w:rPr>
                      <m:t>e</m:t>
                    </m:r>
                  </m:e>
                  <m:sub>
                    <m:r>
                      <w:rPr>
                        <w:rFonts w:ascii="Cambria Math" w:hAnsi="Cambria Math" w:cs="Helvetica"/>
                        <w:sz w:val="20"/>
                        <w:szCs w:val="20"/>
                      </w:rPr>
                      <m:t>param</m:t>
                    </m:r>
                  </m:sub>
                </m:sSub>
              </m:oMath>
            </m:oMathPara>
          </w:p>
        </w:tc>
      </w:tr>
      <w:tr w:rsidR="0017005C" w:rsidRPr="005500F7" w14:paraId="3DD9AF39" w14:textId="77777777" w:rsidTr="00FF6C33">
        <w:trPr>
          <w:trHeight w:val="279"/>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40D5C451" w14:textId="00823AD1" w:rsidR="00AC01DD" w:rsidRPr="005500F7" w:rsidRDefault="006F2516" w:rsidP="004E3777">
            <w:pPr>
              <w:rPr>
                <w:rFonts w:ascii="Aptos" w:hAnsi="Aptos" w:cs="Helvetica"/>
                <w:sz w:val="20"/>
                <w:szCs w:val="20"/>
              </w:rPr>
            </w:pPr>
            <w:r w:rsidRPr="005500F7">
              <w:rPr>
                <w:rFonts w:ascii="Aptos" w:hAnsi="Aptos" w:cs="Helvetica"/>
                <w:sz w:val="20"/>
                <w:szCs w:val="20"/>
              </w:rPr>
              <w:t>isi</w:t>
            </w:r>
            <w:r w:rsidR="00CD0AC1">
              <w:rPr>
                <w:rFonts w:ascii="Aptos" w:hAnsi="Aptos" w:cs="Helvetica"/>
                <w:sz w:val="20"/>
                <w:szCs w:val="20"/>
              </w:rPr>
              <w:t xml:space="preserve"> </w:t>
            </w:r>
            <w:r w:rsidRPr="005500F7">
              <w:rPr>
                <w:rFonts w:ascii="Aptos" w:hAnsi="Aptos" w:cs="Helvetica"/>
                <w:sz w:val="20"/>
                <w:szCs w:val="20"/>
              </w:rPr>
              <w:t>std</w:t>
            </w:r>
          </w:p>
        </w:tc>
        <w:tc>
          <w:tcPr>
            <w:tcW w:w="3462" w:type="dxa"/>
            <w:tcBorders>
              <w:left w:val="single" w:sz="4" w:space="0" w:color="FFFFFF" w:themeColor="background1"/>
              <w:right w:val="single" w:sz="4" w:space="0" w:color="FFFFFF" w:themeColor="background1"/>
            </w:tcBorders>
            <w:shd w:val="clear" w:color="auto" w:fill="auto"/>
            <w:vAlign w:val="center"/>
          </w:tcPr>
          <w:p w14:paraId="63D93DA0" w14:textId="4EE3B613" w:rsidR="00AC01DD" w:rsidRPr="005500F7" w:rsidRDefault="006F2516" w:rsidP="007C12C0">
            <w:pPr>
              <w:rPr>
                <w:rFonts w:ascii="Aptos" w:hAnsi="Aptos" w:cs="Helvetica"/>
                <w:sz w:val="20"/>
                <w:szCs w:val="20"/>
              </w:rPr>
            </w:pPr>
            <w:r w:rsidRPr="005500F7">
              <w:rPr>
                <w:rFonts w:ascii="Aptos" w:hAnsi="Aptos" w:cs="Helvetica"/>
                <w:sz w:val="20"/>
                <w:szCs w:val="20"/>
              </w:rPr>
              <w:t xml:space="preserve">The standard deviation was calculated to define the dispersion around the mean of the ISI distribution. It indicates the uncertainty of the duration between two subsequent spikes in spike trains. </w:t>
            </w:r>
          </w:p>
        </w:tc>
        <w:tc>
          <w:tcPr>
            <w:tcW w:w="4760" w:type="dxa"/>
            <w:tcBorders>
              <w:left w:val="single" w:sz="4" w:space="0" w:color="FFFFFF" w:themeColor="background1"/>
              <w:right w:val="single" w:sz="4" w:space="0" w:color="FFFFFF" w:themeColor="background1"/>
            </w:tcBorders>
            <w:shd w:val="clear" w:color="auto" w:fill="auto"/>
            <w:vAlign w:val="center"/>
          </w:tcPr>
          <w:p w14:paraId="201E1A0A" w14:textId="77777777" w:rsidR="00AC01DD" w:rsidRPr="005500F7" w:rsidRDefault="006F2516" w:rsidP="00AC01DD">
            <w:pPr>
              <w:rPr>
                <w:rFonts w:ascii="Aptos" w:hAnsi="Aptos" w:cs="Helvetica"/>
                <w:sz w:val="20"/>
                <w:szCs w:val="20"/>
              </w:rPr>
            </w:pPr>
            <m:oMathPara>
              <m:oMath>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std</m:t>
                    </m:r>
                  </m:sub>
                </m:sSub>
                <m:r>
                  <m:rPr>
                    <m:sty m:val="p"/>
                  </m:rPr>
                  <w:rPr>
                    <w:rFonts w:ascii="Cambria Math" w:hAnsi="Cambria Math" w:cs="Helvetica"/>
                    <w:sz w:val="20"/>
                    <w:szCs w:val="20"/>
                  </w:rPr>
                  <m:t xml:space="preserve">= </m:t>
                </m:r>
                <m:rad>
                  <m:radPr>
                    <m:degHide m:val="1"/>
                    <m:ctrlPr>
                      <w:rPr>
                        <w:rFonts w:ascii="Cambria Math" w:hAnsi="Cambria Math" w:cs="Helvetica"/>
                        <w:sz w:val="20"/>
                        <w:szCs w:val="20"/>
                      </w:rPr>
                    </m:ctrlPr>
                  </m:radPr>
                  <m:deg/>
                  <m:e>
                    <m:r>
                      <w:rPr>
                        <w:rFonts w:ascii="Cambria Math" w:hAnsi="Cambria Math" w:cs="Helvetica"/>
                        <w:sz w:val="20"/>
                        <w:szCs w:val="20"/>
                      </w:rPr>
                      <m:t>shap</m:t>
                    </m:r>
                    <m:sSub>
                      <m:sSubPr>
                        <m:ctrlPr>
                          <w:rPr>
                            <w:rFonts w:ascii="Cambria Math" w:hAnsi="Cambria Math" w:cs="Helvetica"/>
                            <w:sz w:val="20"/>
                            <w:szCs w:val="20"/>
                          </w:rPr>
                        </m:ctrlPr>
                      </m:sSubPr>
                      <m:e>
                        <m:r>
                          <w:rPr>
                            <w:rFonts w:ascii="Cambria Math" w:hAnsi="Cambria Math" w:cs="Helvetica"/>
                            <w:sz w:val="20"/>
                            <w:szCs w:val="20"/>
                          </w:rPr>
                          <m:t>e</m:t>
                        </m:r>
                      </m:e>
                      <m:sub>
                        <m:r>
                          <w:rPr>
                            <w:rFonts w:ascii="Cambria Math" w:hAnsi="Cambria Math" w:cs="Helvetica"/>
                            <w:sz w:val="20"/>
                            <w:szCs w:val="20"/>
                          </w:rPr>
                          <m:t>param</m:t>
                        </m:r>
                      </m:sub>
                    </m:sSub>
                    <m:r>
                      <m:rPr>
                        <m:sty m:val="p"/>
                      </m:rPr>
                      <w:rPr>
                        <w:rFonts w:ascii="Cambria Math" w:hAnsi="Cambria Math" w:cs="Helvetica"/>
                        <w:sz w:val="20"/>
                        <w:szCs w:val="20"/>
                      </w:rPr>
                      <m:t xml:space="preserve"> ×</m:t>
                    </m:r>
                    <m:sSup>
                      <m:sSupPr>
                        <m:ctrlPr>
                          <w:rPr>
                            <w:rFonts w:ascii="Cambria Math" w:hAnsi="Cambria Math" w:cs="Helvetica"/>
                            <w:sz w:val="20"/>
                            <w:szCs w:val="20"/>
                          </w:rPr>
                        </m:ctrlPr>
                      </m:sSupPr>
                      <m:e>
                        <m:r>
                          <w:rPr>
                            <w:rFonts w:ascii="Cambria Math" w:hAnsi="Cambria Math" w:cs="Helvetica"/>
                            <w:sz w:val="20"/>
                            <w:szCs w:val="20"/>
                          </w:rPr>
                          <m:t>scal</m:t>
                        </m:r>
                        <m:sSub>
                          <m:sSubPr>
                            <m:ctrlPr>
                              <w:rPr>
                                <w:rFonts w:ascii="Cambria Math" w:hAnsi="Cambria Math" w:cs="Helvetica"/>
                                <w:sz w:val="20"/>
                                <w:szCs w:val="20"/>
                              </w:rPr>
                            </m:ctrlPr>
                          </m:sSubPr>
                          <m:e>
                            <m:r>
                              <w:rPr>
                                <w:rFonts w:ascii="Cambria Math" w:hAnsi="Cambria Math" w:cs="Helvetica"/>
                                <w:sz w:val="20"/>
                                <w:szCs w:val="20"/>
                              </w:rPr>
                              <m:t>e</m:t>
                            </m:r>
                          </m:e>
                          <m:sub>
                            <m:r>
                              <w:rPr>
                                <w:rFonts w:ascii="Cambria Math" w:hAnsi="Cambria Math" w:cs="Helvetica"/>
                                <w:sz w:val="20"/>
                                <w:szCs w:val="20"/>
                              </w:rPr>
                              <m:t>param</m:t>
                            </m:r>
                          </m:sub>
                        </m:sSub>
                      </m:e>
                      <m:sup>
                        <m:r>
                          <m:rPr>
                            <m:sty m:val="p"/>
                          </m:rPr>
                          <w:rPr>
                            <w:rFonts w:ascii="Cambria Math" w:hAnsi="Cambria Math" w:cs="Helvetica"/>
                            <w:sz w:val="20"/>
                            <w:szCs w:val="20"/>
                          </w:rPr>
                          <m:t>2</m:t>
                        </m:r>
                      </m:sup>
                    </m:sSup>
                  </m:e>
                </m:rad>
              </m:oMath>
            </m:oMathPara>
          </w:p>
        </w:tc>
      </w:tr>
      <w:tr w:rsidR="0017005C" w:rsidRPr="005500F7" w14:paraId="00C3F173"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63240362" w14:textId="1F1705B9" w:rsidR="00AC01DD" w:rsidRPr="005500F7" w:rsidRDefault="006F2516" w:rsidP="004E3777">
            <w:pPr>
              <w:rPr>
                <w:rFonts w:ascii="Aptos" w:hAnsi="Aptos" w:cs="Helvetica"/>
                <w:sz w:val="20"/>
                <w:szCs w:val="20"/>
              </w:rPr>
            </w:pPr>
            <w:r w:rsidRPr="005500F7">
              <w:rPr>
                <w:rFonts w:ascii="Aptos" w:hAnsi="Aptos" w:cs="Helvetica"/>
                <w:sz w:val="20"/>
                <w:szCs w:val="20"/>
              </w:rPr>
              <w:t>isi</w:t>
            </w:r>
            <w:r w:rsidR="00CD0AC1">
              <w:rPr>
                <w:rFonts w:ascii="Aptos" w:hAnsi="Aptos" w:cs="Helvetica"/>
                <w:sz w:val="20"/>
                <w:szCs w:val="20"/>
              </w:rPr>
              <w:t xml:space="preserve"> </w:t>
            </w:r>
            <w:r w:rsidRPr="005500F7">
              <w:rPr>
                <w:rFonts w:ascii="Aptos" w:hAnsi="Aptos" w:cs="Helvetica"/>
                <w:sz w:val="20"/>
                <w:szCs w:val="20"/>
              </w:rPr>
              <w:t>skewness</w:t>
            </w:r>
          </w:p>
        </w:tc>
        <w:tc>
          <w:tcPr>
            <w:tcW w:w="3462" w:type="dxa"/>
            <w:tcBorders>
              <w:left w:val="single" w:sz="4" w:space="0" w:color="FFFFFF" w:themeColor="background1"/>
              <w:right w:val="single" w:sz="4" w:space="0" w:color="FFFFFF" w:themeColor="background1"/>
            </w:tcBorders>
            <w:shd w:val="clear" w:color="auto" w:fill="auto"/>
            <w:vAlign w:val="center"/>
          </w:tcPr>
          <w:p w14:paraId="77A2B318" w14:textId="77777777" w:rsidR="00AC01DD" w:rsidRPr="005500F7" w:rsidRDefault="006F2516" w:rsidP="007C12C0">
            <w:pPr>
              <w:rPr>
                <w:rFonts w:ascii="Aptos" w:hAnsi="Aptos" w:cs="Helvetica"/>
                <w:sz w:val="20"/>
                <w:szCs w:val="20"/>
              </w:rPr>
            </w:pPr>
            <w:r w:rsidRPr="005500F7">
              <w:rPr>
                <w:rFonts w:ascii="Aptos" w:hAnsi="Aptos" w:cs="Helvetica"/>
                <w:sz w:val="20"/>
                <w:szCs w:val="20"/>
              </w:rPr>
              <w:t>Skewness represents how ISI values are symmetrically distributed around the distribution mean.</w:t>
            </w:r>
          </w:p>
        </w:tc>
        <w:tc>
          <w:tcPr>
            <w:tcW w:w="4760" w:type="dxa"/>
            <w:tcBorders>
              <w:left w:val="single" w:sz="4" w:space="0" w:color="FFFFFF" w:themeColor="background1"/>
              <w:right w:val="single" w:sz="4" w:space="0" w:color="FFFFFF" w:themeColor="background1"/>
            </w:tcBorders>
            <w:shd w:val="clear" w:color="auto" w:fill="auto"/>
            <w:vAlign w:val="center"/>
          </w:tcPr>
          <w:p w14:paraId="37BDA085" w14:textId="77777777" w:rsidR="00AC01DD" w:rsidRPr="005500F7" w:rsidRDefault="006F2516" w:rsidP="00AC01DD">
            <w:pPr>
              <w:rPr>
                <w:rFonts w:ascii="Aptos" w:hAnsi="Aptos" w:cs="Helvetica"/>
                <w:sz w:val="20"/>
                <w:szCs w:val="20"/>
              </w:rPr>
            </w:pPr>
            <m:oMathPara>
              <m:oMath>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skewness</m:t>
                    </m:r>
                  </m:sub>
                </m:sSub>
                <m:r>
                  <m:rPr>
                    <m:sty m:val="p"/>
                  </m:rPr>
                  <w:rPr>
                    <w:rFonts w:ascii="Cambria Math" w:hAnsi="Cambria Math" w:cs="Helvetica"/>
                    <w:sz w:val="20"/>
                    <w:szCs w:val="20"/>
                  </w:rPr>
                  <m:t xml:space="preserve">= </m:t>
                </m:r>
                <m:f>
                  <m:fPr>
                    <m:ctrlPr>
                      <w:rPr>
                        <w:rFonts w:ascii="Cambria Math" w:hAnsi="Cambria Math" w:cs="Helvetica"/>
                        <w:sz w:val="20"/>
                        <w:szCs w:val="20"/>
                      </w:rPr>
                    </m:ctrlPr>
                  </m:fPr>
                  <m:num>
                    <m:r>
                      <m:rPr>
                        <m:sty m:val="p"/>
                      </m:rPr>
                      <w:rPr>
                        <w:rFonts w:ascii="Cambria Math" w:hAnsi="Cambria Math" w:cs="Helvetica"/>
                        <w:sz w:val="20"/>
                        <w:szCs w:val="20"/>
                      </w:rPr>
                      <m:t>2</m:t>
                    </m:r>
                  </m:num>
                  <m:den>
                    <m:rad>
                      <m:radPr>
                        <m:degHide m:val="1"/>
                        <m:ctrlPr>
                          <w:rPr>
                            <w:rFonts w:ascii="Cambria Math" w:hAnsi="Cambria Math" w:cs="Helvetica"/>
                            <w:sz w:val="20"/>
                            <w:szCs w:val="20"/>
                          </w:rPr>
                        </m:ctrlPr>
                      </m:radPr>
                      <m:deg/>
                      <m:e>
                        <m:r>
                          <w:rPr>
                            <w:rFonts w:ascii="Cambria Math" w:hAnsi="Cambria Math" w:cs="Helvetica"/>
                            <w:sz w:val="20"/>
                            <w:szCs w:val="20"/>
                          </w:rPr>
                          <m:t>shap</m:t>
                        </m:r>
                        <m:sSub>
                          <m:sSubPr>
                            <m:ctrlPr>
                              <w:rPr>
                                <w:rFonts w:ascii="Cambria Math" w:hAnsi="Cambria Math" w:cs="Helvetica"/>
                                <w:sz w:val="20"/>
                                <w:szCs w:val="20"/>
                              </w:rPr>
                            </m:ctrlPr>
                          </m:sSubPr>
                          <m:e>
                            <m:r>
                              <w:rPr>
                                <w:rFonts w:ascii="Cambria Math" w:hAnsi="Cambria Math" w:cs="Helvetica"/>
                                <w:sz w:val="20"/>
                                <w:szCs w:val="20"/>
                              </w:rPr>
                              <m:t>e</m:t>
                            </m:r>
                          </m:e>
                          <m:sub>
                            <m:r>
                              <w:rPr>
                                <w:rFonts w:ascii="Cambria Math" w:hAnsi="Cambria Math" w:cs="Helvetica"/>
                                <w:sz w:val="20"/>
                                <w:szCs w:val="20"/>
                              </w:rPr>
                              <m:t>param</m:t>
                            </m:r>
                          </m:sub>
                        </m:sSub>
                      </m:e>
                    </m:rad>
                  </m:den>
                </m:f>
              </m:oMath>
            </m:oMathPara>
          </w:p>
        </w:tc>
      </w:tr>
      <w:tr w:rsidR="0017005C" w:rsidRPr="005500F7" w14:paraId="2352CD24" w14:textId="77777777" w:rsidTr="00FF6C33">
        <w:trPr>
          <w:trHeight w:val="291"/>
          <w:jc w:val="center"/>
        </w:trPr>
        <w:tc>
          <w:tcPr>
            <w:tcW w:w="852" w:type="dxa"/>
            <w:tcBorders>
              <w:left w:val="single" w:sz="4" w:space="0" w:color="FFFFFF" w:themeColor="background1"/>
              <w:right w:val="single" w:sz="4" w:space="0" w:color="FFFFFF" w:themeColor="background1"/>
            </w:tcBorders>
            <w:shd w:val="clear" w:color="auto" w:fill="auto"/>
            <w:vAlign w:val="center"/>
          </w:tcPr>
          <w:p w14:paraId="7812882A" w14:textId="51433A9C" w:rsidR="00AC01DD" w:rsidRPr="005500F7" w:rsidRDefault="006F2516" w:rsidP="004E3777">
            <w:pPr>
              <w:rPr>
                <w:rFonts w:ascii="Aptos" w:hAnsi="Aptos" w:cs="Helvetica"/>
                <w:sz w:val="20"/>
                <w:szCs w:val="20"/>
              </w:rPr>
            </w:pPr>
            <w:r w:rsidRPr="005500F7">
              <w:rPr>
                <w:rFonts w:ascii="Aptos" w:hAnsi="Aptos" w:cs="Helvetica"/>
                <w:sz w:val="20"/>
                <w:szCs w:val="20"/>
              </w:rPr>
              <w:t>isi</w:t>
            </w:r>
            <w:r w:rsidR="00CD0AC1">
              <w:rPr>
                <w:rFonts w:ascii="Aptos" w:hAnsi="Aptos" w:cs="Helvetica"/>
                <w:sz w:val="20"/>
                <w:szCs w:val="20"/>
              </w:rPr>
              <w:t xml:space="preserve"> correlation coefficient</w:t>
            </w:r>
          </w:p>
        </w:tc>
        <w:tc>
          <w:tcPr>
            <w:tcW w:w="3462" w:type="dxa"/>
            <w:tcBorders>
              <w:left w:val="single" w:sz="4" w:space="0" w:color="FFFFFF" w:themeColor="background1"/>
              <w:right w:val="single" w:sz="4" w:space="0" w:color="FFFFFF" w:themeColor="background1"/>
            </w:tcBorders>
            <w:shd w:val="clear" w:color="auto" w:fill="auto"/>
            <w:vAlign w:val="center"/>
          </w:tcPr>
          <w:p w14:paraId="79FEA6B8" w14:textId="00FA847B" w:rsidR="00AC01DD" w:rsidRPr="005500F7" w:rsidRDefault="00CC2BF9" w:rsidP="007C12C0">
            <w:pPr>
              <w:rPr>
                <w:rFonts w:ascii="Aptos" w:hAnsi="Aptos" w:cs="Helvetica"/>
                <w:sz w:val="20"/>
                <w:szCs w:val="20"/>
              </w:rPr>
            </w:pPr>
            <w:r w:rsidRPr="005500F7">
              <w:rPr>
                <w:rFonts w:ascii="Aptos" w:hAnsi="Aptos" w:cs="Helvetica"/>
                <w:sz w:val="20"/>
                <w:szCs w:val="20"/>
              </w:rPr>
              <w:t>Correlations between interspike intervals occur due to a combination of intrinsic mechanisms and the temporal properties of the input stimulus. ISI correlation can provide indirect information from bursting to periodical phase-locked firing.</w:t>
            </w:r>
            <w:r w:rsidRPr="005500F7">
              <w:rPr>
                <w:rFonts w:ascii="Aptos" w:hAnsi="Aptos" w:cs="Helvetica"/>
                <w:sz w:val="20"/>
                <w:szCs w:val="20"/>
              </w:rPr>
              <w:fldChar w:fldCharType="begin"/>
            </w:r>
            <w:r w:rsidR="00FF4210">
              <w:rPr>
                <w:rFonts w:ascii="Aptos" w:hAnsi="Aptos" w:cs="Helvetica"/>
                <w:sz w:val="20"/>
                <w:szCs w:val="20"/>
              </w:rPr>
              <w:instrText xml:space="preserve"> ADDIN ZOTERO_ITEM CSL_CITATION {"citationID":"LHwlH2j7","properties":{"formattedCitation":"\\super 111\\nosupersub{}","plainCitation":"111","noteIndex":0},"citationItems":[{"id":462,"uris":["http://zotero.org/users/local/qbj29eOf/items/EM3HTEAN"],"itemData":{"id":462,"type":"article-journal","abstract":"Neurons produce action potentials or spikes in response to a wide variety of inputs. Correlations between interspike intervals are often seen in data from single neurons, and are due to a combination of intrinsic mechanisms and the temporal properties of the input stimulus. Here we review recent progress in our understanding of how intrinsic correlations arise in simple biophysically justified neuron models. We further describe the generic conditions under which these correlations enhance the rate of transfer of information about time-varying stimuli. This work points to the importance of studying non-renewal first passage time problems in nonlinear dynamical systems.","container-title":"Fluctuation and Noise Letters","DOI":"10.1142/S0219477504001793","ISSN":"0219-4775, 1793-6780","issue":"01","journalAbbreviation":"Fluct. Noise Lett.","language":"en","page":"L195-L205","source":"DOI.org (Crossref)","title":"ISI CORRELATIONS AND INFORMATION TRANSFER","volume":"04","author":[{"family":"Chacron","given":"Maurice J."},{"family":"Lindner","given":"Benjamin"},{"family":"Longtin","given":"André"}],"issued":{"date-parts":[["2004",3]]}}}],"schema":"https://github.com/citation-style-language/schema/raw/master/csl-citation.json"} </w:instrText>
            </w:r>
            <w:r w:rsidRPr="005500F7">
              <w:rPr>
                <w:rFonts w:ascii="Aptos" w:hAnsi="Aptos" w:cs="Helvetica"/>
                <w:sz w:val="20"/>
                <w:szCs w:val="20"/>
              </w:rPr>
              <w:fldChar w:fldCharType="separate"/>
            </w:r>
            <w:r w:rsidR="00FF4210" w:rsidRPr="00FF4210">
              <w:rPr>
                <w:rFonts w:ascii="Aptos" w:hAnsi="Aptos" w:cs="Times New Roman"/>
                <w:sz w:val="20"/>
                <w:vertAlign w:val="superscript"/>
              </w:rPr>
              <w:t>111</w:t>
            </w:r>
            <w:r w:rsidRPr="005500F7">
              <w:rPr>
                <w:rFonts w:ascii="Aptos" w:hAnsi="Aptos" w:cs="Helvetica"/>
                <w:sz w:val="20"/>
                <w:szCs w:val="20"/>
              </w:rPr>
              <w:fldChar w:fldCharType="end"/>
            </w:r>
            <w:r w:rsidR="006F2516" w:rsidRPr="005500F7">
              <w:rPr>
                <w:rFonts w:ascii="Aptos" w:hAnsi="Aptos" w:cs="Helvetica"/>
                <w:sz w:val="20"/>
                <w:szCs w:val="20"/>
              </w:rPr>
              <w:t xml:space="preserve"> ISI correlation is computed with the serial correlation coefficient formula.</w:t>
            </w:r>
          </w:p>
        </w:tc>
        <w:tc>
          <w:tcPr>
            <w:tcW w:w="4760" w:type="dxa"/>
            <w:tcBorders>
              <w:left w:val="single" w:sz="4" w:space="0" w:color="FFFFFF" w:themeColor="background1"/>
              <w:right w:val="single" w:sz="4" w:space="0" w:color="FFFFFF" w:themeColor="background1"/>
            </w:tcBorders>
            <w:shd w:val="clear" w:color="auto" w:fill="auto"/>
            <w:vAlign w:val="center"/>
          </w:tcPr>
          <w:p w14:paraId="28D42CE3" w14:textId="77777777" w:rsidR="00CD0AC1" w:rsidRPr="00F55D80" w:rsidRDefault="00000000" w:rsidP="00AC01DD">
            <w:pPr>
              <w:rPr>
                <w:rFonts w:ascii="Aptos" w:hAnsi="Aptos" w:cs="Helvetica"/>
                <w:sz w:val="20"/>
                <w:szCs w:val="20"/>
              </w:rPr>
            </w:pPr>
            <m:oMathPara>
              <m:oMathParaPr>
                <m:jc m:val="center"/>
              </m:oMathParaPr>
              <m:oMath>
                <m:sSub>
                  <m:sSubPr>
                    <m:ctrlPr>
                      <w:rPr>
                        <w:rFonts w:ascii="Cambria Math" w:hAnsi="Cambria Math" w:cs="Helvetica"/>
                        <w:i/>
                        <w:sz w:val="20"/>
                        <w:szCs w:val="20"/>
                      </w:rPr>
                    </m:ctrlPr>
                  </m:sSubPr>
                  <m:e>
                    <m:r>
                      <w:rPr>
                        <w:rFonts w:ascii="Cambria Math" w:hAnsi="Cambria Math" w:cs="Helvetica"/>
                        <w:sz w:val="20"/>
                        <w:szCs w:val="20"/>
                      </w:rPr>
                      <m:t>ISI</m:t>
                    </m:r>
                  </m:e>
                  <m:sub>
                    <m:r>
                      <w:rPr>
                        <w:rFonts w:ascii="Cambria Math" w:hAnsi="Cambria Math" w:cs="Helvetica"/>
                        <w:sz w:val="20"/>
                        <w:szCs w:val="20"/>
                      </w:rPr>
                      <m:t>rho</m:t>
                    </m:r>
                  </m:sub>
                </m:sSub>
                <m:r>
                  <w:rPr>
                    <w:rFonts w:ascii="Cambria Math" w:hAnsi="Cambria Math" w:cs="Helvetica"/>
                    <w:sz w:val="20"/>
                    <w:szCs w:val="20"/>
                  </w:rPr>
                  <m:t xml:space="preserve">= SCC </m:t>
                </m:r>
                <m:r>
                  <m:rPr>
                    <m:sty m:val="p"/>
                  </m:rPr>
                  <w:rPr>
                    <w:rFonts w:ascii="Cambria Math" w:hAnsi="Cambria Math" w:cs="Helvetica"/>
                    <w:sz w:val="20"/>
                    <w:szCs w:val="20"/>
                  </w:rPr>
                  <m:t xml:space="preserve">= </m:t>
                </m:r>
              </m:oMath>
            </m:oMathPara>
          </w:p>
          <w:p w14:paraId="394EE924" w14:textId="49F721B0" w:rsidR="00AC01DD" w:rsidRPr="00CD0AC1" w:rsidRDefault="00000000" w:rsidP="00AC01DD">
            <w:pPr>
              <w:rPr>
                <w:rFonts w:ascii="Aptos" w:hAnsi="Aptos" w:cs="Helvetica"/>
                <w:sz w:val="20"/>
                <w:szCs w:val="20"/>
              </w:rPr>
            </w:pPr>
            <m:oMathPara>
              <m:oMathParaPr>
                <m:jc m:val="center"/>
              </m:oMathParaPr>
              <m:oMath>
                <m:f>
                  <m:fPr>
                    <m:ctrlPr>
                      <w:rPr>
                        <w:rFonts w:ascii="Cambria Math" w:hAnsi="Cambria Math" w:cs="Helvetica"/>
                        <w:sz w:val="20"/>
                        <w:szCs w:val="20"/>
                      </w:rPr>
                    </m:ctrlPr>
                  </m:fPr>
                  <m:num>
                    <m:f>
                      <m:fPr>
                        <m:ctrlPr>
                          <w:rPr>
                            <w:rFonts w:ascii="Cambria Math" w:hAnsi="Cambria Math" w:cs="Helvetica"/>
                            <w:sz w:val="20"/>
                            <w:szCs w:val="20"/>
                          </w:rPr>
                        </m:ctrlPr>
                      </m:fPr>
                      <m:num>
                        <m:r>
                          <m:rPr>
                            <m:sty m:val="p"/>
                          </m:rPr>
                          <w:rPr>
                            <w:rFonts w:ascii="Cambria Math" w:hAnsi="Cambria Math" w:cs="Helvetica"/>
                            <w:sz w:val="20"/>
                            <w:szCs w:val="20"/>
                          </w:rPr>
                          <m:t>1</m:t>
                        </m:r>
                      </m:num>
                      <m:den>
                        <m:r>
                          <w:rPr>
                            <w:rFonts w:ascii="Cambria Math" w:hAnsi="Cambria Math" w:cs="Helvetica"/>
                            <w:sz w:val="20"/>
                            <w:szCs w:val="20"/>
                          </w:rPr>
                          <m:t>N</m:t>
                        </m:r>
                      </m:den>
                    </m:f>
                    <m:nary>
                      <m:naryPr>
                        <m:chr m:val="∑"/>
                        <m:limLoc m:val="undOvr"/>
                        <m:ctrlPr>
                          <w:rPr>
                            <w:rFonts w:ascii="Cambria Math" w:hAnsi="Cambria Math" w:cs="Helvetica"/>
                            <w:sz w:val="20"/>
                            <w:szCs w:val="20"/>
                          </w:rPr>
                        </m:ctrlPr>
                      </m:naryPr>
                      <m:sub>
                        <m:r>
                          <w:rPr>
                            <w:rFonts w:ascii="Cambria Math" w:hAnsi="Cambria Math" w:cs="Helvetica"/>
                            <w:sz w:val="20"/>
                            <w:szCs w:val="20"/>
                          </w:rPr>
                          <m:t>i</m:t>
                        </m:r>
                        <m:r>
                          <m:rPr>
                            <m:sty m:val="p"/>
                          </m:rPr>
                          <w:rPr>
                            <w:rFonts w:ascii="Cambria Math" w:hAnsi="Cambria Math" w:cs="Helvetica"/>
                            <w:sz w:val="20"/>
                            <w:szCs w:val="20"/>
                          </w:rPr>
                          <m:t>=1</m:t>
                        </m:r>
                      </m:sub>
                      <m:sup>
                        <m:r>
                          <w:rPr>
                            <w:rFonts w:ascii="Cambria Math" w:hAnsi="Cambria Math" w:cs="Helvetica"/>
                            <w:sz w:val="20"/>
                            <w:szCs w:val="20"/>
                          </w:rPr>
                          <m:t>N</m:t>
                        </m:r>
                      </m:sup>
                      <m:e>
                        <m:d>
                          <m:dPr>
                            <m:ctrlPr>
                              <w:rPr>
                                <w:rFonts w:ascii="Cambria Math" w:hAnsi="Cambria Math" w:cs="Helvetica"/>
                                <w:sz w:val="20"/>
                                <w:szCs w:val="20"/>
                              </w:rPr>
                            </m:ctrlPr>
                          </m:dPr>
                          <m:e>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sub>
                            </m:sSub>
                            <m:r>
                              <m:rPr>
                                <m:sty m:val="p"/>
                              </m:rPr>
                              <w:rPr>
                                <w:rFonts w:ascii="Cambria Math" w:hAnsi="Cambria Math" w:cs="Helvetica"/>
                                <w:sz w:val="20"/>
                                <w:szCs w:val="20"/>
                              </w:rPr>
                              <m:t>-</m:t>
                            </m:r>
                            <m:acc>
                              <m:accPr>
                                <m:chr m:val="̅"/>
                                <m:ctrlPr>
                                  <w:rPr>
                                    <w:rFonts w:ascii="Cambria Math" w:hAnsi="Cambria Math" w:cs="Helvetica"/>
                                    <w:sz w:val="20"/>
                                    <w:szCs w:val="20"/>
                                  </w:rPr>
                                </m:ctrlPr>
                              </m:accPr>
                              <m:e>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sub>
                                </m:sSub>
                              </m:e>
                            </m:acc>
                          </m:e>
                        </m:d>
                        <m:r>
                          <m:rPr>
                            <m:sty m:val="p"/>
                          </m:rPr>
                          <w:rPr>
                            <w:rFonts w:ascii="Cambria Math" w:hAnsi="Cambria Math" w:cs="Helvetica"/>
                            <w:sz w:val="20"/>
                            <w:szCs w:val="20"/>
                          </w:rPr>
                          <m:t>×(</m:t>
                        </m:r>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r>
                              <m:rPr>
                                <m:sty m:val="p"/>
                              </m:rPr>
                              <w:rPr>
                                <w:rFonts w:ascii="Cambria Math" w:hAnsi="Cambria Math" w:cs="Helvetica"/>
                                <w:sz w:val="20"/>
                                <w:szCs w:val="20"/>
                              </w:rPr>
                              <m:t>+</m:t>
                            </m:r>
                            <m:r>
                              <w:rPr>
                                <w:rFonts w:ascii="Cambria Math" w:hAnsi="Cambria Math" w:cs="Helvetica"/>
                                <w:sz w:val="20"/>
                                <w:szCs w:val="20"/>
                              </w:rPr>
                              <m:t>k</m:t>
                            </m:r>
                          </m:sub>
                        </m:sSub>
                        <m:r>
                          <m:rPr>
                            <m:sty m:val="p"/>
                          </m:rPr>
                          <w:rPr>
                            <w:rFonts w:ascii="Cambria Math" w:hAnsi="Cambria Math" w:cs="Helvetica"/>
                            <w:sz w:val="20"/>
                            <w:szCs w:val="20"/>
                          </w:rPr>
                          <m:t>-</m:t>
                        </m:r>
                        <m:acc>
                          <m:accPr>
                            <m:chr m:val="̅"/>
                            <m:ctrlPr>
                              <w:rPr>
                                <w:rFonts w:ascii="Cambria Math" w:hAnsi="Cambria Math" w:cs="Helvetica"/>
                                <w:sz w:val="20"/>
                                <w:szCs w:val="20"/>
                              </w:rPr>
                            </m:ctrlPr>
                          </m:accPr>
                          <m:e>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r>
                                  <m:rPr>
                                    <m:sty m:val="p"/>
                                  </m:rPr>
                                  <w:rPr>
                                    <w:rFonts w:ascii="Cambria Math" w:hAnsi="Cambria Math" w:cs="Helvetica"/>
                                    <w:sz w:val="20"/>
                                    <w:szCs w:val="20"/>
                                  </w:rPr>
                                  <m:t>+</m:t>
                                </m:r>
                                <m:r>
                                  <w:rPr>
                                    <w:rFonts w:ascii="Cambria Math" w:hAnsi="Cambria Math" w:cs="Helvetica"/>
                                    <w:sz w:val="20"/>
                                    <w:szCs w:val="20"/>
                                  </w:rPr>
                                  <m:t>k</m:t>
                                </m:r>
                              </m:sub>
                            </m:sSub>
                          </m:e>
                        </m:acc>
                        <m:r>
                          <m:rPr>
                            <m:sty m:val="p"/>
                          </m:rPr>
                          <w:rPr>
                            <w:rFonts w:ascii="Cambria Math" w:hAnsi="Cambria Math" w:cs="Helvetica"/>
                            <w:sz w:val="20"/>
                            <w:szCs w:val="20"/>
                          </w:rPr>
                          <m:t>)</m:t>
                        </m:r>
                      </m:e>
                    </m:nary>
                  </m:num>
                  <m:den>
                    <m:f>
                      <m:fPr>
                        <m:ctrlPr>
                          <w:rPr>
                            <w:rFonts w:ascii="Cambria Math" w:hAnsi="Cambria Math" w:cs="Helvetica"/>
                            <w:sz w:val="20"/>
                            <w:szCs w:val="20"/>
                          </w:rPr>
                        </m:ctrlPr>
                      </m:fPr>
                      <m:num>
                        <m:r>
                          <m:rPr>
                            <m:sty m:val="p"/>
                          </m:rPr>
                          <w:rPr>
                            <w:rFonts w:ascii="Cambria Math" w:hAnsi="Cambria Math" w:cs="Helvetica"/>
                            <w:sz w:val="20"/>
                            <w:szCs w:val="20"/>
                          </w:rPr>
                          <m:t>1</m:t>
                        </m:r>
                      </m:num>
                      <m:den>
                        <m:r>
                          <w:rPr>
                            <w:rFonts w:ascii="Cambria Math" w:hAnsi="Cambria Math" w:cs="Helvetica"/>
                            <w:sz w:val="20"/>
                            <w:szCs w:val="20"/>
                          </w:rPr>
                          <m:t>N</m:t>
                        </m:r>
                      </m:den>
                    </m:f>
                    <m:nary>
                      <m:naryPr>
                        <m:chr m:val="∑"/>
                        <m:limLoc m:val="undOvr"/>
                        <m:ctrlPr>
                          <w:rPr>
                            <w:rFonts w:ascii="Cambria Math" w:hAnsi="Cambria Math" w:cs="Helvetica"/>
                            <w:sz w:val="20"/>
                            <w:szCs w:val="20"/>
                          </w:rPr>
                        </m:ctrlPr>
                      </m:naryPr>
                      <m:sub>
                        <m:r>
                          <w:rPr>
                            <w:rFonts w:ascii="Cambria Math" w:hAnsi="Cambria Math" w:cs="Helvetica"/>
                            <w:sz w:val="20"/>
                            <w:szCs w:val="20"/>
                          </w:rPr>
                          <m:t>i</m:t>
                        </m:r>
                        <m:r>
                          <m:rPr>
                            <m:sty m:val="p"/>
                          </m:rPr>
                          <w:rPr>
                            <w:rFonts w:ascii="Cambria Math" w:hAnsi="Cambria Math" w:cs="Helvetica"/>
                            <w:sz w:val="20"/>
                            <w:szCs w:val="20"/>
                          </w:rPr>
                          <m:t>=1</m:t>
                        </m:r>
                      </m:sub>
                      <m:sup>
                        <m:r>
                          <w:rPr>
                            <w:rFonts w:ascii="Cambria Math" w:hAnsi="Cambria Math" w:cs="Helvetica"/>
                            <w:sz w:val="20"/>
                            <w:szCs w:val="20"/>
                          </w:rPr>
                          <m:t>N</m:t>
                        </m:r>
                      </m:sup>
                      <m:e>
                        <m:sSup>
                          <m:sSupPr>
                            <m:ctrlPr>
                              <w:rPr>
                                <w:rFonts w:ascii="Cambria Math" w:hAnsi="Cambria Math" w:cs="Helvetica"/>
                                <w:sz w:val="20"/>
                                <w:szCs w:val="20"/>
                              </w:rPr>
                            </m:ctrlPr>
                          </m:sSupPr>
                          <m:e>
                            <m:r>
                              <m:rPr>
                                <m:sty m:val="p"/>
                              </m:rPr>
                              <w:rPr>
                                <w:rFonts w:ascii="Cambria Math" w:hAnsi="Cambria Math" w:cs="Helvetica"/>
                                <w:sz w:val="20"/>
                                <w:szCs w:val="20"/>
                              </w:rPr>
                              <m:t>(</m:t>
                            </m:r>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sub>
                            </m:sSub>
                            <m:r>
                              <m:rPr>
                                <m:sty m:val="p"/>
                              </m:rPr>
                              <w:rPr>
                                <w:rFonts w:ascii="Cambria Math" w:hAnsi="Cambria Math" w:cs="Helvetica"/>
                                <w:sz w:val="20"/>
                                <w:szCs w:val="20"/>
                              </w:rPr>
                              <m:t>-</m:t>
                            </m:r>
                            <m:acc>
                              <m:accPr>
                                <m:chr m:val="̅"/>
                                <m:ctrlPr>
                                  <w:rPr>
                                    <w:rFonts w:ascii="Cambria Math" w:hAnsi="Cambria Math" w:cs="Helvetica"/>
                                    <w:sz w:val="20"/>
                                    <w:szCs w:val="20"/>
                                  </w:rPr>
                                </m:ctrlPr>
                              </m:accPr>
                              <m:e>
                                <m:r>
                                  <w:rPr>
                                    <w:rFonts w:ascii="Cambria Math" w:hAnsi="Cambria Math" w:cs="Helvetica"/>
                                    <w:sz w:val="20"/>
                                    <w:szCs w:val="20"/>
                                  </w:rPr>
                                  <m:t>IS</m:t>
                                </m:r>
                                <m:sSub>
                                  <m:sSubPr>
                                    <m:ctrlPr>
                                      <w:rPr>
                                        <w:rFonts w:ascii="Cambria Math" w:hAnsi="Cambria Math" w:cs="Helvetica"/>
                                        <w:sz w:val="20"/>
                                        <w:szCs w:val="20"/>
                                      </w:rPr>
                                    </m:ctrlPr>
                                  </m:sSubPr>
                                  <m:e>
                                    <m:r>
                                      <w:rPr>
                                        <w:rFonts w:ascii="Cambria Math" w:hAnsi="Cambria Math" w:cs="Helvetica"/>
                                        <w:sz w:val="20"/>
                                        <w:szCs w:val="20"/>
                                      </w:rPr>
                                      <m:t>I</m:t>
                                    </m:r>
                                  </m:e>
                                  <m:sub>
                                    <m:r>
                                      <w:rPr>
                                        <w:rFonts w:ascii="Cambria Math" w:hAnsi="Cambria Math" w:cs="Helvetica"/>
                                        <w:sz w:val="20"/>
                                        <w:szCs w:val="20"/>
                                      </w:rPr>
                                      <m:t>i</m:t>
                                    </m:r>
                                  </m:sub>
                                </m:sSub>
                              </m:e>
                            </m:acc>
                            <m:r>
                              <m:rPr>
                                <m:sty m:val="p"/>
                              </m:rPr>
                              <w:rPr>
                                <w:rFonts w:ascii="Cambria Math" w:hAnsi="Cambria Math" w:cs="Helvetica"/>
                                <w:sz w:val="20"/>
                                <w:szCs w:val="20"/>
                              </w:rPr>
                              <m:t xml:space="preserve"> )</m:t>
                            </m:r>
                          </m:e>
                          <m:sup>
                            <m:r>
                              <m:rPr>
                                <m:sty m:val="p"/>
                              </m:rPr>
                              <w:rPr>
                                <w:rFonts w:ascii="Cambria Math" w:hAnsi="Cambria Math" w:cs="Helvetica"/>
                                <w:sz w:val="20"/>
                                <w:szCs w:val="20"/>
                              </w:rPr>
                              <m:t>2</m:t>
                            </m:r>
                          </m:sup>
                        </m:sSup>
                      </m:e>
                    </m:nary>
                  </m:den>
                </m:f>
              </m:oMath>
            </m:oMathPara>
          </w:p>
        </w:tc>
      </w:tr>
    </w:tbl>
    <w:p w14:paraId="3A94A75C" w14:textId="77777777" w:rsidR="004012F6" w:rsidRPr="005500F7" w:rsidRDefault="004012F6" w:rsidP="004012F6">
      <w:pPr>
        <w:jc w:val="both"/>
        <w:rPr>
          <w:rFonts w:ascii="Aptos" w:hAnsi="Aptos"/>
          <w:sz w:val="20"/>
          <w:szCs w:val="20"/>
        </w:rPr>
      </w:pPr>
    </w:p>
    <w:p w14:paraId="73E5409F" w14:textId="77777777" w:rsidR="00912631" w:rsidRPr="005500F7" w:rsidRDefault="006F2516" w:rsidP="005500F7">
      <w:pPr>
        <w:pStyle w:val="Heading2"/>
        <w:rPr>
          <w:sz w:val="20"/>
          <w:szCs w:val="20"/>
        </w:rPr>
      </w:pPr>
      <w:bookmarkStart w:id="5" w:name="_Toc83249734"/>
      <w:r w:rsidRPr="005500F7">
        <w:rPr>
          <w:sz w:val="20"/>
          <w:szCs w:val="20"/>
        </w:rPr>
        <w:t>Neural Bursting</w:t>
      </w:r>
      <w:bookmarkEnd w:id="5"/>
    </w:p>
    <w:p w14:paraId="3CED098D" w14:textId="0EA3FD54" w:rsidR="004012F6" w:rsidRPr="005500F7" w:rsidRDefault="006F2516" w:rsidP="004012F6">
      <w:pPr>
        <w:jc w:val="both"/>
        <w:rPr>
          <w:rFonts w:ascii="Aptos" w:hAnsi="Aptos"/>
          <w:sz w:val="20"/>
          <w:szCs w:val="20"/>
        </w:rPr>
      </w:pPr>
      <w:r w:rsidRPr="005500F7">
        <w:rPr>
          <w:rFonts w:ascii="Aptos" w:hAnsi="Aptos"/>
          <w:sz w:val="20"/>
          <w:szCs w:val="20"/>
        </w:rPr>
        <w:t>Bursting is a dynamic state in which a neuron repeatedly fires discrete groups or bursts of spikes in a small temporal region. There are a vast number of burst detections available in the literature. We used an approach called Rank Surprise</w:t>
      </w:r>
      <w:r w:rsidR="00CC2BF9" w:rsidRPr="005500F7">
        <w:rPr>
          <w:rFonts w:ascii="Aptos" w:hAnsi="Aptos"/>
          <w:sz w:val="20"/>
          <w:szCs w:val="20"/>
        </w:rPr>
        <w:fldChar w:fldCharType="begin"/>
      </w:r>
      <w:r w:rsidR="00FF4210">
        <w:rPr>
          <w:rFonts w:ascii="Aptos" w:hAnsi="Aptos"/>
          <w:sz w:val="20"/>
          <w:szCs w:val="20"/>
        </w:rPr>
        <w:instrText xml:space="preserve"> ADDIN ZOTERO_ITEM CSL_CITATION {"citationID":"HqlElELR","properties":{"formattedCitation":"\\super 112\\nosupersub{}","plainCitation":"112","noteIndex":0},"citationItems":[{"id":468,"uris":["http://zotero.org/users/local/qbj29eOf/items/MSX6PRIW"],"itemData":{"id":468,"type":"article-journal","container-title":"Journal of Neuroscience Methods","DOI":"10.1016/j.jneumeth.2006.09.024","ISSN":"01650270","issue":"2","journalAbbreviation":"Journal of Neuroscience Methods","language":"en","page":"349-358","source":"DOI.org (Crossref)","title":"A nonparametric approach for detection of bursts in spike trains","volume":"160","author":[{"family":"Gourévitch","given":"Boris"},{"family":"Eggermont","given":"Jos J."}],"issued":{"date-parts":[["2007",3]]}}}],"schema":"https://github.com/citation-style-language/schema/raw/master/csl-citation.json"} </w:instrText>
      </w:r>
      <w:r w:rsidR="00CC2BF9" w:rsidRPr="005500F7">
        <w:rPr>
          <w:rFonts w:ascii="Aptos" w:hAnsi="Aptos"/>
          <w:sz w:val="20"/>
          <w:szCs w:val="20"/>
        </w:rPr>
        <w:fldChar w:fldCharType="separate"/>
      </w:r>
      <w:r w:rsidR="00FF4210" w:rsidRPr="00FF4210">
        <w:rPr>
          <w:rFonts w:ascii="Aptos" w:hAnsi="Aptos" w:cs="Times New Roman"/>
          <w:sz w:val="20"/>
          <w:vertAlign w:val="superscript"/>
        </w:rPr>
        <w:t>112</w:t>
      </w:r>
      <w:r w:rsidR="00CC2BF9" w:rsidRPr="005500F7">
        <w:rPr>
          <w:rFonts w:ascii="Aptos" w:hAnsi="Aptos"/>
          <w:sz w:val="20"/>
          <w:szCs w:val="20"/>
        </w:rPr>
        <w:fldChar w:fldCharType="end"/>
      </w:r>
      <w:r w:rsidRPr="005500F7">
        <w:rPr>
          <w:rFonts w:ascii="Aptos" w:hAnsi="Aptos"/>
          <w:sz w:val="20"/>
          <w:szCs w:val="20"/>
        </w:rPr>
        <w:t xml:space="preserve"> for the detection of bursting activity. In this method, the ISI values are calculated and ordered with ascending trends. The ordered ISI values are given a rank. If the rank surprise </w:t>
      </w:r>
      <w:r w:rsidRPr="005500F7">
        <w:rPr>
          <w:rFonts w:ascii="Aptos" w:hAnsi="Aptos"/>
          <w:sz w:val="20"/>
          <w:szCs w:val="20"/>
        </w:rPr>
        <w:lastRenderedPageBreak/>
        <w:t>value is higher than the user-defined threshold, the temporal region will be registered as a busting activity. These regions are subtracted from the spike train, and the new iteration for finding the bursting region is initiated until there is no bursting region detected by the algorithm. Two parameters are user-defined: the largest ISI allowed in a burst (limit) and the minimum RS (threshold) that a burst must be considered valid. We selected 75% as the largest ISI allowed in a burst and 0.01 as the minimum significance level for the selected burst region.</w:t>
      </w:r>
    </w:p>
    <w:p w14:paraId="6C942E60" w14:textId="50200B3F" w:rsidR="00614CD1" w:rsidRPr="005500F7" w:rsidRDefault="006F2516" w:rsidP="00614CD1">
      <w:pPr>
        <w:jc w:val="both"/>
        <w:rPr>
          <w:rFonts w:ascii="Aptos" w:hAnsi="Aptos"/>
          <w:b/>
          <w:bCs/>
          <w:sz w:val="20"/>
          <w:szCs w:val="20"/>
        </w:rPr>
      </w:pPr>
      <w:r w:rsidRPr="005500F7">
        <w:rPr>
          <w:rFonts w:ascii="Aptos" w:hAnsi="Aptos"/>
          <w:b/>
          <w:bCs/>
          <w:sz w:val="20"/>
          <w:szCs w:val="20"/>
        </w:rPr>
        <w:t xml:space="preserve">Supplementary Table </w:t>
      </w:r>
      <w:r w:rsidR="00705731">
        <w:rPr>
          <w:rFonts w:ascii="Aptos" w:hAnsi="Aptos"/>
          <w:b/>
          <w:bCs/>
          <w:sz w:val="20"/>
          <w:szCs w:val="20"/>
        </w:rPr>
        <w:t>5.</w:t>
      </w:r>
      <w:r w:rsidRPr="005500F7">
        <w:rPr>
          <w:rFonts w:ascii="Aptos" w:hAnsi="Aptos"/>
          <w:b/>
          <w:bCs/>
          <w:sz w:val="20"/>
          <w:szCs w:val="20"/>
        </w:rPr>
        <w:t xml:space="preserve"> Neural burst-related features, their descriptions, and formulations.</w:t>
      </w:r>
    </w:p>
    <w:tbl>
      <w:tblPr>
        <w:tblStyle w:val="PlainTable11"/>
        <w:tblW w:w="9072" w:type="dxa"/>
        <w:tblInd w:w="108" w:type="dxa"/>
        <w:tblLayout w:type="fixed"/>
        <w:tblLook w:val="04A0" w:firstRow="1" w:lastRow="0" w:firstColumn="1" w:lastColumn="0" w:noHBand="0" w:noVBand="1"/>
      </w:tblPr>
      <w:tblGrid>
        <w:gridCol w:w="2268"/>
        <w:gridCol w:w="2127"/>
        <w:gridCol w:w="4677"/>
      </w:tblGrid>
      <w:tr w:rsidR="0017005C" w:rsidRPr="005500F7" w14:paraId="24DFB60C" w14:textId="77777777" w:rsidTr="00550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C8D0B63" w14:textId="112D74F3" w:rsidR="00582B3B"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spike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proportion</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9FACBCD" w14:textId="77777777" w:rsidR="00582B3B" w:rsidRPr="005500F7" w:rsidRDefault="006F2516" w:rsidP="00D44713">
            <w:pPr>
              <w:pStyle w:val="NoSpacing"/>
              <w:ind w:firstLine="0"/>
              <w:jc w:val="left"/>
              <w:cnfStyle w:val="100000000000" w:firstRow="1"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b w:val="0"/>
                <w:bCs w:val="0"/>
                <w:sz w:val="20"/>
                <w:szCs w:val="20"/>
              </w:rPr>
              <w:t>It represents the proportion of spikes that are located inside the burst intervals compared to all existing spikes in the spike train.</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ED410A6" w14:textId="3BCE94B0" w:rsidR="00BE2212" w:rsidRPr="001B2C81" w:rsidRDefault="00CD6F44" w:rsidP="00D44713">
            <w:pPr>
              <w:pStyle w:val="NoSpacing"/>
              <w:ind w:firstLine="0"/>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color w:val="auto"/>
                <w:sz w:val="20"/>
                <w:szCs w:val="20"/>
              </w:rPr>
            </w:pPr>
            <m:oMathPara>
              <m:oMath>
                <m:r>
                  <m:rPr>
                    <m:sty m:val="bi"/>
                  </m:rPr>
                  <w:rPr>
                    <w:rFonts w:ascii="Cambria Math" w:hAnsi="Cambria Math" w:cs="Times New Roman"/>
                    <w:color w:val="auto"/>
                    <w:sz w:val="20"/>
                    <w:szCs w:val="20"/>
                  </w:rPr>
                  <m:t>burst spike proportion=</m:t>
                </m:r>
              </m:oMath>
            </m:oMathPara>
          </w:p>
          <w:p w14:paraId="3569549C" w14:textId="5F0C0038" w:rsidR="00582B3B" w:rsidRPr="002C08A9" w:rsidRDefault="00CD6F44" w:rsidP="00D44713">
            <w:pPr>
              <w:pStyle w:val="NoSpacing"/>
              <w:ind w:firstLine="0"/>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sz w:val="20"/>
                <w:szCs w:val="20"/>
              </w:rPr>
            </w:pPr>
            <m:oMathPara>
              <m:oMath>
                <m:r>
                  <m:rPr>
                    <m:sty m:val="bi"/>
                  </m:rPr>
                  <w:rPr>
                    <w:rFonts w:ascii="Cambria Math" w:hAnsi="Cambria Math" w:cs="Times New Roman"/>
                    <w:color w:val="auto"/>
                    <w:sz w:val="20"/>
                    <w:szCs w:val="20"/>
                  </w:rPr>
                  <m:t xml:space="preserve"> </m:t>
                </m:r>
                <m:f>
                  <m:fPr>
                    <m:ctrlPr>
                      <w:rPr>
                        <w:rFonts w:ascii="Cambria Math" w:hAnsi="Cambria Math" w:cs="Times New Roman"/>
                        <w:b w:val="0"/>
                        <w:bCs w:val="0"/>
                        <w:color w:val="auto"/>
                        <w:sz w:val="20"/>
                        <w:szCs w:val="20"/>
                      </w:rPr>
                    </m:ctrlPr>
                  </m:fPr>
                  <m:num>
                    <m:nary>
                      <m:naryPr>
                        <m:chr m:val="∑"/>
                        <m:limLoc m:val="undOvr"/>
                        <m:ctrlPr>
                          <w:rPr>
                            <w:rFonts w:ascii="Cambria Math" w:hAnsi="Cambria Math" w:cs="Times New Roman"/>
                            <w:b w:val="0"/>
                            <w:bCs w:val="0"/>
                            <w:color w:val="auto"/>
                            <w:sz w:val="20"/>
                            <w:szCs w:val="20"/>
                          </w:rPr>
                        </m:ctrlPr>
                      </m:naryPr>
                      <m:sub>
                        <m:r>
                          <m:rPr>
                            <m:sty m:val="bi"/>
                          </m:rPr>
                          <w:rPr>
                            <w:rFonts w:ascii="Cambria Math" w:hAnsi="Cambria Math" w:cs="Times New Roman"/>
                            <w:color w:val="auto"/>
                            <w:sz w:val="20"/>
                            <w:szCs w:val="20"/>
                          </w:rPr>
                          <m:t>n=1</m:t>
                        </m:r>
                      </m:sub>
                      <m:sup>
                        <m:sSub>
                          <m:sSubPr>
                            <m:ctrlPr>
                              <w:rPr>
                                <w:rFonts w:ascii="Cambria Math" w:hAnsi="Cambria Math" w:cs="Times New Roman"/>
                                <w:b w:val="0"/>
                                <w:bCs w:val="0"/>
                                <w:color w:val="auto"/>
                                <w:sz w:val="20"/>
                                <w:szCs w:val="20"/>
                              </w:rPr>
                            </m:ctrlPr>
                          </m:sSubPr>
                          <m:e>
                            <m:r>
                              <m:rPr>
                                <m:sty m:val="bi"/>
                              </m:rPr>
                              <w:rPr>
                                <w:rFonts w:ascii="Cambria Math" w:hAnsi="Cambria Math" w:cs="Times New Roman"/>
                                <w:color w:val="auto"/>
                                <w:sz w:val="20"/>
                                <w:szCs w:val="20"/>
                              </w:rPr>
                              <m:t>N</m:t>
                            </m:r>
                          </m:e>
                          <m:sub>
                            <m:r>
                              <m:rPr>
                                <m:sty m:val="bi"/>
                              </m:rPr>
                              <w:rPr>
                                <w:rFonts w:ascii="Cambria Math" w:hAnsi="Cambria Math" w:cs="Times New Roman"/>
                                <w:color w:val="auto"/>
                                <w:sz w:val="20"/>
                                <w:szCs w:val="20"/>
                              </w:rPr>
                              <m:t>bursts</m:t>
                            </m:r>
                          </m:sub>
                        </m:sSub>
                      </m:sup>
                      <m:e>
                        <m:r>
                          <m:rPr>
                            <m:sty m:val="bi"/>
                          </m:rPr>
                          <w:rPr>
                            <w:rFonts w:ascii="Cambria Math" w:hAnsi="Cambria Math" w:cs="Times New Roman"/>
                            <w:color w:val="auto"/>
                            <w:sz w:val="20"/>
                            <w:szCs w:val="20"/>
                          </w:rPr>
                          <m:t>coun</m:t>
                        </m:r>
                        <m:sSub>
                          <m:sSubPr>
                            <m:ctrlPr>
                              <w:rPr>
                                <w:rFonts w:ascii="Cambria Math" w:hAnsi="Cambria Math" w:cs="Times New Roman"/>
                                <w:b w:val="0"/>
                                <w:bCs w:val="0"/>
                                <w:color w:val="auto"/>
                                <w:sz w:val="20"/>
                                <w:szCs w:val="20"/>
                              </w:rPr>
                            </m:ctrlPr>
                          </m:sSubPr>
                          <m:e>
                            <m:r>
                              <m:rPr>
                                <m:sty m:val="bi"/>
                              </m:rPr>
                              <w:rPr>
                                <w:rFonts w:ascii="Cambria Math" w:hAnsi="Cambria Math" w:cs="Times New Roman"/>
                                <w:color w:val="auto"/>
                                <w:sz w:val="20"/>
                                <w:szCs w:val="20"/>
                              </w:rPr>
                              <m:t>t</m:t>
                            </m:r>
                          </m:e>
                          <m:sub>
                            <m:r>
                              <m:rPr>
                                <m:sty m:val="bi"/>
                              </m:rPr>
                              <w:rPr>
                                <w:rFonts w:ascii="Cambria Math" w:hAnsi="Cambria Math" w:cs="Times New Roman"/>
                                <w:color w:val="auto"/>
                                <w:sz w:val="20"/>
                                <w:szCs w:val="20"/>
                              </w:rPr>
                              <m:t>n</m:t>
                            </m:r>
                          </m:sub>
                        </m:sSub>
                        <m:r>
                          <m:rPr>
                            <m:sty m:val="bi"/>
                          </m:rPr>
                          <w:rPr>
                            <w:rFonts w:ascii="Cambria Math" w:hAnsi="Cambria Math" w:cs="Times New Roman"/>
                            <w:color w:val="auto"/>
                            <w:sz w:val="20"/>
                            <w:szCs w:val="20"/>
                          </w:rPr>
                          <m:t>(spikes)</m:t>
                        </m:r>
                      </m:e>
                    </m:nary>
                  </m:num>
                  <m:den>
                    <m:r>
                      <m:rPr>
                        <m:sty m:val="bi"/>
                      </m:rPr>
                      <w:rPr>
                        <w:rFonts w:ascii="Cambria Math" w:hAnsi="Cambria Math" w:cs="Times New Roman"/>
                        <w:color w:val="auto"/>
                        <w:sz w:val="20"/>
                        <w:szCs w:val="20"/>
                      </w:rPr>
                      <m:t>count(all spikes)</m:t>
                    </m:r>
                  </m:den>
                </m:f>
              </m:oMath>
            </m:oMathPara>
          </w:p>
        </w:tc>
      </w:tr>
      <w:tr w:rsidR="0017005C" w:rsidRPr="005500F7" w14:paraId="1B50DFBA" w14:textId="77777777" w:rsidTr="0055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7ED01B15" w14:textId="78912817" w:rsidR="00582B3B"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average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spikes</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10ABE540" w14:textId="77777777" w:rsidR="00582B3B" w:rsidRPr="005500F7" w:rsidRDefault="006F2516" w:rsidP="00582B3B">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feature indicates the average number of spikes within the bursting interval.</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499A56D" w14:textId="73BC01D3" w:rsidR="00BE2212" w:rsidRPr="00F55D80" w:rsidRDefault="005500F7"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burst average spikes=</m:t>
                </m:r>
              </m:oMath>
            </m:oMathPara>
          </w:p>
          <w:p w14:paraId="2D867C07" w14:textId="61819E10" w:rsidR="00582B3B" w:rsidRPr="005500F7" w:rsidRDefault="005500F7"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 xml:space="preserve"> </m:t>
                </m:r>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sup>
                  <m:e>
                    <m:r>
                      <w:rPr>
                        <w:rFonts w:ascii="Cambria Math" w:hAnsi="Cambria Math" w:cs="Times New Roman"/>
                        <w:color w:val="auto"/>
                        <w:sz w:val="20"/>
                        <w:szCs w:val="20"/>
                      </w:rPr>
                      <m:t>coun</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r>
                      <w:rPr>
                        <w:rFonts w:ascii="Cambria Math" w:hAnsi="Cambria Math" w:cs="Times New Roman"/>
                        <w:color w:val="auto"/>
                        <w:sz w:val="20"/>
                        <w:szCs w:val="20"/>
                      </w:rPr>
                      <m:t>(spikes)</m:t>
                    </m:r>
                  </m:e>
                </m:nary>
              </m:oMath>
            </m:oMathPara>
          </w:p>
        </w:tc>
      </w:tr>
      <w:tr w:rsidR="0017005C" w:rsidRPr="005500F7" w14:paraId="39BE23D4" w14:textId="77777777" w:rsidTr="005500F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8A3AB7B" w14:textId="0E9EE514" w:rsidR="00582B3B"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index</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9F6370C" w14:textId="77777777" w:rsidR="00582B3B" w:rsidRPr="005500F7" w:rsidRDefault="006F2516" w:rsidP="00582B3B">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burst index</w:t>
            </w:r>
            <w:r w:rsidR="009B46F6" w:rsidRPr="005500F7">
              <w:rPr>
                <w:rFonts w:ascii="Aptos" w:hAnsi="Aptos" w:cs="Times New Roman"/>
                <w:sz w:val="20"/>
                <w:szCs w:val="20"/>
                <w:vertAlign w:val="superscript"/>
              </w:rPr>
              <w:t>12</w:t>
            </w:r>
            <w:r w:rsidRPr="005500F7">
              <w:rPr>
                <w:rFonts w:ascii="Aptos" w:hAnsi="Aptos" w:cs="Times New Roman"/>
                <w:sz w:val="20"/>
                <w:szCs w:val="20"/>
              </w:rPr>
              <w:t xml:space="preserve"> is a metric that is defined for the assessment of possible changes in firing patterns. It is a widely used feature for cortical neural analysis.</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5AA8506" w14:textId="00C6F9A0" w:rsidR="00582B3B" w:rsidRPr="005500F7" w:rsidRDefault="006F2516" w:rsidP="00582B3B">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0"/>
                <w:szCs w:val="20"/>
              </w:rPr>
            </w:pPr>
            <m:oMathPara>
              <m:oMath>
                <m:r>
                  <w:rPr>
                    <w:rFonts w:ascii="Cambria Math" w:hAnsi="Cambria Math" w:cs="Times New Roman"/>
                    <w:color w:val="auto"/>
                    <w:sz w:val="20"/>
                    <w:szCs w:val="20"/>
                  </w:rPr>
                  <m:t xml:space="preserve">burst index= </m:t>
                </m:r>
                <m:f>
                  <m:fPr>
                    <m:ctrlPr>
                      <w:rPr>
                        <w:rFonts w:ascii="Cambria Math" w:hAnsi="Cambria Math" w:cs="Times New Roman"/>
                        <w:color w:val="auto"/>
                        <w:sz w:val="20"/>
                        <w:szCs w:val="20"/>
                      </w:rPr>
                    </m:ctrlPr>
                  </m:fPr>
                  <m:num>
                    <m:r>
                      <w:rPr>
                        <w:rFonts w:ascii="Cambria Math" w:hAnsi="Cambria Math" w:cs="Times New Roman"/>
                        <w:color w:val="auto"/>
                        <w:sz w:val="20"/>
                        <w:szCs w:val="20"/>
                      </w:rPr>
                      <m:t>mean(ISI)</m:t>
                    </m:r>
                  </m:num>
                  <m:den>
                    <m:r>
                      <w:rPr>
                        <w:rFonts w:ascii="Cambria Math" w:hAnsi="Cambria Math" w:cs="Times New Roman"/>
                        <w:color w:val="auto"/>
                        <w:sz w:val="20"/>
                        <w:szCs w:val="20"/>
                      </w:rPr>
                      <m:t>mod(ISI)</m:t>
                    </m:r>
                  </m:den>
                </m:f>
              </m:oMath>
            </m:oMathPara>
          </w:p>
        </w:tc>
      </w:tr>
      <w:tr w:rsidR="0017005C" w:rsidRPr="005500F7" w14:paraId="397AFC4D" w14:textId="77777777" w:rsidTr="0055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E713E07" w14:textId="1CA1A523" w:rsidR="00582B3B" w:rsidRPr="005500F7" w:rsidRDefault="00CD0AC1" w:rsidP="004E3777">
            <w:pPr>
              <w:pStyle w:val="NoSpacing"/>
              <w:ind w:firstLine="0"/>
              <w:rPr>
                <w:rFonts w:ascii="Aptos" w:hAnsi="Aptos" w:cs="Times New Roman"/>
                <w:sz w:val="20"/>
                <w:szCs w:val="20"/>
              </w:rPr>
            </w:pPr>
            <w:r>
              <w:rPr>
                <w:rFonts w:ascii="Aptos" w:hAnsi="Aptos" w:cs="Times New Roman"/>
                <w:b w:val="0"/>
                <w:bCs w:val="0"/>
                <w:sz w:val="20"/>
                <w:szCs w:val="20"/>
              </w:rPr>
              <w:t>i</w:t>
            </w:r>
            <w:r w:rsidR="006F2516" w:rsidRPr="005500F7">
              <w:rPr>
                <w:rFonts w:ascii="Aptos" w:hAnsi="Aptos" w:cs="Times New Roman"/>
                <w:b w:val="0"/>
                <w:bCs w:val="0"/>
                <w:sz w:val="20"/>
                <w:szCs w:val="20"/>
              </w:rPr>
              <w:t>nter</w:t>
            </w:r>
            <w:r>
              <w:rPr>
                <w:rFonts w:ascii="Aptos" w:hAnsi="Aptos" w:cs="Times New Roman"/>
                <w:b w:val="0"/>
                <w:bCs w:val="0"/>
                <w:sz w:val="20"/>
                <w:szCs w:val="20"/>
              </w:rPr>
              <w:t xml:space="preserve"> </w:t>
            </w:r>
            <w:r w:rsidR="006F2516" w:rsidRPr="005500F7">
              <w:rPr>
                <w:rFonts w:ascii="Aptos" w:hAnsi="Aptos" w:cs="Times New Roman"/>
                <w:b w:val="0"/>
                <w:bCs w:val="0"/>
                <w:sz w:val="20"/>
                <w:szCs w:val="20"/>
              </w:rPr>
              <w:t>burst</w:t>
            </w:r>
            <w:r>
              <w:rPr>
                <w:rFonts w:ascii="Aptos" w:hAnsi="Aptos" w:cs="Times New Roman"/>
                <w:b w:val="0"/>
                <w:bCs w:val="0"/>
                <w:sz w:val="20"/>
                <w:szCs w:val="20"/>
              </w:rPr>
              <w:t xml:space="preserve"> </w:t>
            </w:r>
            <w:r w:rsidR="006F2516" w:rsidRPr="005500F7">
              <w:rPr>
                <w:rFonts w:ascii="Aptos" w:hAnsi="Aptos" w:cs="Times New Roman"/>
                <w:b w:val="0"/>
                <w:bCs w:val="0"/>
                <w:sz w:val="20"/>
                <w:szCs w:val="20"/>
              </w:rPr>
              <w:t>duration</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9656D5B" w14:textId="77777777" w:rsidR="00582B3B" w:rsidRPr="005500F7" w:rsidRDefault="006F2516" w:rsidP="00582B3B">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It indicates the average temporal distance between subsequent bursts.</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41C81B3" w14:textId="0048E285" w:rsidR="005500F7" w:rsidRPr="005500F7" w:rsidRDefault="005500F7"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inter burst duration=</m:t>
                </m:r>
              </m:oMath>
            </m:oMathPara>
          </w:p>
          <w:p w14:paraId="582C6066" w14:textId="551C9211" w:rsidR="00582B3B" w:rsidRPr="005500F7" w:rsidRDefault="006F2516"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 xml:space="preserve"> </m:t>
                </m:r>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r>
                      <w:rPr>
                        <w:rFonts w:ascii="Cambria Math" w:hAnsi="Cambria Math" w:cs="Times New Roman"/>
                        <w:color w:val="auto"/>
                        <w:sz w:val="20"/>
                        <w:szCs w:val="20"/>
                      </w:rPr>
                      <m:t>-1</m:t>
                    </m:r>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sup>
                  <m:e>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burst_star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n+1</m:t>
                            </m:r>
                          </m:sub>
                        </m:sSub>
                        <m:r>
                          <w:rPr>
                            <w:rFonts w:ascii="Cambria Math" w:hAnsi="Cambria Math" w:cs="Times New Roman"/>
                            <w:color w:val="auto"/>
                            <w:sz w:val="20"/>
                            <w:szCs w:val="20"/>
                          </w:rPr>
                          <m:t xml:space="preserve"> </m:t>
                        </m:r>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burst_finis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e>
                </m:nary>
              </m:oMath>
            </m:oMathPara>
          </w:p>
        </w:tc>
      </w:tr>
      <w:tr w:rsidR="0017005C" w:rsidRPr="005500F7" w14:paraId="0BC1C630" w14:textId="77777777" w:rsidTr="005500F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E2DE83F" w14:textId="0726C1A4" w:rsidR="00582B3B"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frequency</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2337D4D" w14:textId="77777777" w:rsidR="00582B3B" w:rsidRPr="005500F7" w:rsidRDefault="006F2516" w:rsidP="00582B3B">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mean firing rate during the bursting intervals.</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B5B0D8C" w14:textId="74DF6254" w:rsidR="005500F7" w:rsidRPr="005500F7" w:rsidRDefault="005500F7" w:rsidP="00582B3B">
            <w:pPr>
              <w:pStyle w:val="NoSpacing"/>
              <w:ind w:firstLine="0"/>
              <w:cnfStyle w:val="000000000000" w:firstRow="0" w:lastRow="0" w:firstColumn="0" w:lastColumn="0" w:oddVBand="0" w:evenVBand="0" w:oddHBand="0"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burst frequency=</m:t>
                </m:r>
              </m:oMath>
            </m:oMathPara>
          </w:p>
          <w:p w14:paraId="0C5AA03C" w14:textId="2AD9A9FD" w:rsidR="00582B3B" w:rsidRPr="005500F7" w:rsidRDefault="006F2516" w:rsidP="00582B3B">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0"/>
                <w:szCs w:val="20"/>
              </w:rPr>
            </w:pPr>
            <m:oMathPara>
              <m:oMath>
                <m:r>
                  <w:rPr>
                    <w:rFonts w:ascii="Cambria Math" w:hAnsi="Cambria Math" w:cs="Times New Roman"/>
                    <w:color w:val="auto"/>
                    <w:sz w:val="20"/>
                    <w:szCs w:val="20"/>
                  </w:rPr>
                  <m:t xml:space="preserve"> </m:t>
                </m:r>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sup>
                  <m:e>
                    <m:f>
                      <m:fPr>
                        <m:ctrlPr>
                          <w:rPr>
                            <w:rFonts w:ascii="Cambria Math" w:hAnsi="Cambria Math" w:cs="Times New Roman"/>
                            <w:color w:val="auto"/>
                            <w:sz w:val="20"/>
                            <w:szCs w:val="20"/>
                          </w:rPr>
                        </m:ctrlPr>
                      </m:fPr>
                      <m:num>
                        <m:r>
                          <w:rPr>
                            <w:rFonts w:ascii="Cambria Math" w:hAnsi="Cambria Math" w:cs="Times New Roman"/>
                            <w:color w:val="auto"/>
                            <w:sz w:val="20"/>
                            <w:szCs w:val="20"/>
                          </w:rPr>
                          <m:t>coun</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r>
                          <w:rPr>
                            <w:rFonts w:ascii="Cambria Math" w:hAnsi="Cambria Math" w:cs="Times New Roman"/>
                            <w:color w:val="auto"/>
                            <w:sz w:val="20"/>
                            <w:szCs w:val="20"/>
                          </w:rPr>
                          <m:t>(spikes)</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den>
                    </m:f>
                  </m:e>
                </m:nary>
              </m:oMath>
            </m:oMathPara>
          </w:p>
        </w:tc>
      </w:tr>
      <w:tr w:rsidR="0017005C" w:rsidRPr="005500F7" w14:paraId="5FA1D097" w14:textId="77777777" w:rsidTr="0055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23DCE63D" w14:textId="38CC301C" w:rsidR="00582B3B"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duration</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C796F54" w14:textId="77777777" w:rsidR="00582B3B" w:rsidRPr="005500F7" w:rsidRDefault="00614CD1" w:rsidP="00582B3B">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mean duration of bursting activity within the spike train.</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0FE28D4" w14:textId="0C5E799E" w:rsidR="005500F7" w:rsidRPr="005500F7" w:rsidRDefault="005500F7"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burst duration=</m:t>
                </m:r>
              </m:oMath>
            </m:oMathPara>
          </w:p>
          <w:p w14:paraId="09B0D32B" w14:textId="247CC0D3" w:rsidR="00582B3B" w:rsidRPr="005500F7" w:rsidRDefault="006F2516" w:rsidP="00582B3B">
            <w:pPr>
              <w:pStyle w:val="NoSpacing"/>
              <w:ind w:firstLine="0"/>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0"/>
                <w:szCs w:val="20"/>
              </w:rPr>
            </w:pPr>
            <m:oMathPara>
              <m:oMath>
                <m:r>
                  <w:rPr>
                    <w:rFonts w:ascii="Cambria Math" w:hAnsi="Cambria Math" w:cs="Times New Roman"/>
                    <w:color w:val="auto"/>
                    <w:sz w:val="20"/>
                    <w:szCs w:val="20"/>
                  </w:rPr>
                  <m:t xml:space="preserve"> </m:t>
                </m:r>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sup>
                  <m:e>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burst_finis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burst_star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 xml:space="preserve">)   </m:t>
                    </m:r>
                  </m:e>
                </m:nary>
              </m:oMath>
            </m:oMathPara>
          </w:p>
        </w:tc>
      </w:tr>
      <w:tr w:rsidR="0017005C" w:rsidRPr="005500F7" w14:paraId="41DC783F" w14:textId="77777777" w:rsidTr="005500F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5DCC24FE" w14:textId="1F6C54E7" w:rsidR="006314A1" w:rsidRPr="005500F7" w:rsidRDefault="006F2516" w:rsidP="004E3777">
            <w:pPr>
              <w:pStyle w:val="NoSpacing"/>
              <w:ind w:firstLine="0"/>
              <w:rPr>
                <w:rFonts w:ascii="Aptos" w:hAnsi="Aptos" w:cs="Times New Roman"/>
                <w:sz w:val="20"/>
                <w:szCs w:val="20"/>
              </w:rPr>
            </w:pPr>
            <w:r w:rsidRPr="005500F7">
              <w:rPr>
                <w:rFonts w:ascii="Aptos" w:hAnsi="Aptos" w:cs="Times New Roman"/>
                <w:b w:val="0"/>
                <w:bCs w:val="0"/>
                <w:sz w:val="20"/>
                <w:szCs w:val="20"/>
              </w:rPr>
              <w:t>burst</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count</w:t>
            </w:r>
          </w:p>
        </w:tc>
        <w:tc>
          <w:tcPr>
            <w:tcW w:w="212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7BB412F0" w14:textId="77777777" w:rsidR="006314A1" w:rsidRPr="005500F7" w:rsidRDefault="006F2516" w:rsidP="00582B3B">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number of spikes shows burstiness.</w:t>
            </w:r>
          </w:p>
        </w:tc>
        <w:tc>
          <w:tcPr>
            <w:tcW w:w="4677"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6478C41" w14:textId="1A01E5BB" w:rsidR="006314A1" w:rsidRPr="005500F7" w:rsidRDefault="006F2516" w:rsidP="00582B3B">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auto"/>
                <w:sz w:val="20"/>
                <w:szCs w:val="20"/>
              </w:rPr>
            </w:pPr>
            <m:oMathPara>
              <m:oMath>
                <m:r>
                  <w:rPr>
                    <w:rFonts w:ascii="Cambria Math" w:hAnsi="Cambria Math" w:cs="Times New Roman"/>
                    <w:color w:val="auto"/>
                    <w:sz w:val="20"/>
                    <w:szCs w:val="20"/>
                  </w:rPr>
                  <m:t xml:space="preserve">burst count= </m:t>
                </m:r>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bursts</m:t>
                        </m:r>
                      </m:sub>
                    </m:sSub>
                  </m:sup>
                  <m:e>
                    <m:r>
                      <w:rPr>
                        <w:rFonts w:ascii="Cambria Math" w:hAnsi="Cambria Math" w:cs="Times New Roman"/>
                        <w:color w:val="auto"/>
                        <w:sz w:val="20"/>
                        <w:szCs w:val="20"/>
                      </w:rPr>
                      <m:t>spike</m:t>
                    </m:r>
                  </m:e>
                </m:nary>
              </m:oMath>
            </m:oMathPara>
          </w:p>
        </w:tc>
      </w:tr>
    </w:tbl>
    <w:p w14:paraId="2CC92759" w14:textId="77777777" w:rsidR="005500F7" w:rsidRPr="005500F7" w:rsidRDefault="005500F7" w:rsidP="005500F7">
      <w:pPr>
        <w:rPr>
          <w:sz w:val="20"/>
          <w:szCs w:val="20"/>
        </w:rPr>
      </w:pPr>
      <w:bookmarkStart w:id="6" w:name="_Toc83249735"/>
    </w:p>
    <w:p w14:paraId="455E29D8" w14:textId="6CE66ECD" w:rsidR="00697B73" w:rsidRPr="005500F7" w:rsidRDefault="005500F7" w:rsidP="005500F7">
      <w:pPr>
        <w:pStyle w:val="Heading2"/>
        <w:rPr>
          <w:sz w:val="20"/>
          <w:szCs w:val="20"/>
        </w:rPr>
      </w:pPr>
      <w:r w:rsidRPr="005500F7">
        <w:rPr>
          <w:sz w:val="20"/>
          <w:szCs w:val="20"/>
        </w:rPr>
        <w:t>N</w:t>
      </w:r>
      <w:r w:rsidR="006F2516" w:rsidRPr="005500F7">
        <w:rPr>
          <w:sz w:val="20"/>
          <w:szCs w:val="20"/>
        </w:rPr>
        <w:t>eural Oscillations</w:t>
      </w:r>
      <w:bookmarkEnd w:id="6"/>
    </w:p>
    <w:p w14:paraId="48781404" w14:textId="7354C75B" w:rsidR="006314A1" w:rsidRPr="005500F7" w:rsidRDefault="009B46F6" w:rsidP="006314A1">
      <w:pPr>
        <w:pStyle w:val="NoSpacing"/>
        <w:rPr>
          <w:rFonts w:ascii="Aptos" w:hAnsi="Aptos" w:cs="Times New Roman"/>
          <w:sz w:val="20"/>
          <w:szCs w:val="20"/>
        </w:rPr>
      </w:pPr>
      <w:r w:rsidRPr="005500F7">
        <w:rPr>
          <w:rFonts w:ascii="Aptos" w:hAnsi="Aptos" w:cs="Times New Roman"/>
          <w:sz w:val="20"/>
          <w:szCs w:val="20"/>
        </w:rPr>
        <w:t>Neural oscillations are rhythmic patterns of neural activity in the CNS.</w:t>
      </w:r>
      <w:r w:rsidR="006F2516" w:rsidRPr="005500F7">
        <w:rPr>
          <w:rFonts w:ascii="Aptos" w:hAnsi="Aptos" w:cs="Times New Roman"/>
          <w:sz w:val="20"/>
          <w:szCs w:val="20"/>
        </w:rPr>
        <w:t xml:space="preserve"> </w:t>
      </w:r>
      <w:r w:rsidRPr="005500F7">
        <w:rPr>
          <w:rFonts w:ascii="Aptos" w:hAnsi="Aptos" w:cs="Times New Roman"/>
          <w:sz w:val="20"/>
          <w:szCs w:val="20"/>
        </w:rPr>
        <w:t>The generation of neural oscillations can be mediated by multiple factors</w:t>
      </w:r>
      <w:r w:rsidR="006F2516" w:rsidRPr="005500F7">
        <w:rPr>
          <w:rFonts w:ascii="Aptos" w:hAnsi="Aptos" w:cs="Times New Roman"/>
          <w:sz w:val="20"/>
          <w:szCs w:val="20"/>
        </w:rPr>
        <w:t>,</w:t>
      </w:r>
      <w:r w:rsidRPr="005500F7">
        <w:rPr>
          <w:rFonts w:ascii="Aptos" w:hAnsi="Aptos" w:cs="Times New Roman"/>
          <w:sz w:val="20"/>
          <w:szCs w:val="20"/>
        </w:rPr>
        <w:t xml:space="preserve"> such as intrinsic properties of the oscillating neurons or network-wide interactions between other neurons.</w:t>
      </w:r>
      <w:r w:rsidR="006F2516" w:rsidRPr="005500F7">
        <w:rPr>
          <w:rFonts w:ascii="Aptos" w:hAnsi="Aptos" w:cs="Times New Roman"/>
          <w:sz w:val="20"/>
          <w:szCs w:val="20"/>
        </w:rPr>
        <w:t xml:space="preserve"> </w:t>
      </w:r>
      <w:r w:rsidRPr="005500F7">
        <w:rPr>
          <w:rFonts w:ascii="Aptos" w:hAnsi="Aptos" w:cs="Times New Roman"/>
          <w:sz w:val="20"/>
          <w:szCs w:val="20"/>
        </w:rPr>
        <w:t xml:space="preserve">From this perspective, the rhythmic activity of neurons </w:t>
      </w:r>
      <w:r w:rsidRPr="005500F7">
        <w:rPr>
          <w:rFonts w:ascii="Aptos" w:hAnsi="Aptos" w:cs="Times New Roman"/>
          <w:sz w:val="20"/>
          <w:szCs w:val="20"/>
        </w:rPr>
        <w:lastRenderedPageBreak/>
        <w:t>plays a major role in neural processing and behavior.</w:t>
      </w:r>
      <w:r w:rsidR="00CC2BF9" w:rsidRPr="005500F7">
        <w:rPr>
          <w:rFonts w:ascii="Aptos" w:hAnsi="Aptos" w:cs="Times New Roman"/>
          <w:sz w:val="20"/>
          <w:szCs w:val="20"/>
          <w:vertAlign w:val="superscript"/>
        </w:rPr>
        <w:fldChar w:fldCharType="begin"/>
      </w:r>
      <w:r w:rsidR="00FF4210">
        <w:rPr>
          <w:rFonts w:ascii="Aptos" w:hAnsi="Aptos" w:cs="Times New Roman"/>
          <w:sz w:val="20"/>
          <w:szCs w:val="20"/>
          <w:vertAlign w:val="superscript"/>
        </w:rPr>
        <w:instrText xml:space="preserve"> ADDIN ZOTERO_ITEM CSL_CITATION {"citationID":"98r0MBXb","properties":{"formattedCitation":"\\super 113\\nosupersub{}","plainCitation":"113","noteIndex":0},"citationItems":[{"id":464,"uris":["http://zotero.org/users/local/qbj29eOf/items/98NM6HCF"],"itemData":{"id":464,"type":"article-journal","abstract":"Rhythmic brain activity plays an important role in neural processing and behavior. Features of these oscillations, including amplitude, phase, and spectrum, can be influenced by internal states (e.g., shifts in arousal, attention or cognitive ability) or external stimulation. Electromagnetic stimulation techniques such as transcranial magnetic stimulation, transcranial direct current stimulation, and transcranial alternating current stimulation are used increasingly in both research and clinical settings. Currently, the mechanisms whereby time-dependent external stimuli influence population-scale oscillations remain poorly understood. Here, we provide computational insights regarding the mapping between periodic pulsatile stimulation parameters such as amplitude and frequency and the response dynamics of recurrent, nonlinear spiking neural networks. Using a cortical model built of excitatory and inhibitory neurons, we explored a wide range of stimulation intensities and frequencies systematically. Our results suggest that rhythmic stimulation can form the basis of a control paradigm in which one can manipulate the intrinsic oscillatory properties of driven networks via a plurality of input-driven mechanisms. Our results show that, in addition to resonance and entrainment, nonlinear acceleration is involved in shaping the rhythmic response of our modeled network. Such nonlinear acceleration of spontaneous and synchronous oscillatory activity in a neural network occurs in regimes of intense, high-frequency rhythmic stimulation. These results open new perspectives on the manipulation of synchronous neural activity for basic and clinical research.\n            \n              SIGNIFICANCE STATEMENT\n              Oscillatory activity is widely recognized as a core mechanism for information transmission within and between brain circuits. Noninvasive stimulation methods can shape this activity, something that is increasingly capitalized upon in basic research and clinical practice. Here, we provide computational insights on the mechanistic bases for such effects. Our results show that rhythmic stimulation forms the basis of a control paradigm in which one can manipulate the intrinsic oscillatory properties of driven networks via a plurality of input-driven mechanisms. In addition to resonance and entrainment, nonlinear acceleration is involved in shaping the rhythmic response of our modeled network, particularly in regimes of high-frequency rhythmic stimulation. These results open new perspectives on the manipulation of synchronous neural activity for basic and clinical research.","container-title":"The Journal of Neuroscience","DOI":"10.1523/JNEUROSCI.0236-16.2016","ISSN":"0270-6474, 1529-2401","issue":"19","journalAbbreviation":"J. Neurosci.","language":"en","page":"5328-5337","source":"DOI.org (Crossref)","title":"Shaping Intrinsic Neural Oscillations with Periodic Stimulation","volume":"36","author":[{"family":"Herrmann","given":"Christoph S."},{"family":"Murray","given":"Micah M."},{"family":"Ionta","given":"Silvio"},{"family":"Hutt","given":"Axel"},{"family":"Lefebvre","given":"Jérémie"}],"issued":{"date-parts":[["2016",5,11]]}}}],"schema":"https://github.com/citation-style-language/schema/raw/master/csl-citation.json"} </w:instrText>
      </w:r>
      <w:r w:rsidR="00CC2BF9" w:rsidRPr="005500F7">
        <w:rPr>
          <w:rFonts w:ascii="Aptos" w:hAnsi="Aptos" w:cs="Times New Roman"/>
          <w:sz w:val="20"/>
          <w:szCs w:val="20"/>
          <w:vertAlign w:val="superscript"/>
        </w:rPr>
        <w:fldChar w:fldCharType="separate"/>
      </w:r>
      <w:r w:rsidR="00FF4210" w:rsidRPr="00FF4210">
        <w:rPr>
          <w:rFonts w:ascii="Aptos" w:hAnsi="Aptos" w:cs="Times New Roman"/>
          <w:sz w:val="20"/>
          <w:vertAlign w:val="superscript"/>
        </w:rPr>
        <w:t>113</w:t>
      </w:r>
      <w:r w:rsidR="00CC2BF9" w:rsidRPr="005500F7">
        <w:rPr>
          <w:rFonts w:ascii="Aptos" w:hAnsi="Aptos" w:cs="Times New Roman"/>
          <w:sz w:val="20"/>
          <w:szCs w:val="20"/>
          <w:vertAlign w:val="superscript"/>
        </w:rPr>
        <w:fldChar w:fldCharType="end"/>
      </w:r>
      <w:r w:rsidR="005B1294" w:rsidRPr="005500F7">
        <w:rPr>
          <w:rFonts w:ascii="Aptos" w:hAnsi="Aptos" w:cs="Times New Roman"/>
          <w:sz w:val="20"/>
          <w:szCs w:val="20"/>
          <w:vertAlign w:val="superscript"/>
        </w:rPr>
        <w:t xml:space="preserve"> </w:t>
      </w:r>
      <w:r w:rsidRPr="005500F7">
        <w:rPr>
          <w:rFonts w:ascii="Aptos" w:hAnsi="Aptos" w:cs="Times New Roman"/>
          <w:sz w:val="20"/>
          <w:szCs w:val="20"/>
        </w:rPr>
        <w:t xml:space="preserve">In addition to </w:t>
      </w:r>
      <w:r w:rsidR="006F2516" w:rsidRPr="005500F7">
        <w:rPr>
          <w:rFonts w:ascii="Aptos" w:hAnsi="Aptos" w:cs="Times New Roman"/>
          <w:sz w:val="20"/>
          <w:szCs w:val="20"/>
        </w:rPr>
        <w:t>their role in the</w:t>
      </w:r>
      <w:r w:rsidRPr="005500F7">
        <w:rPr>
          <w:rFonts w:ascii="Aptos" w:hAnsi="Aptos" w:cs="Times New Roman"/>
          <w:sz w:val="20"/>
          <w:szCs w:val="20"/>
        </w:rPr>
        <w:t xml:space="preserve"> normal functioning of neurons, neural oscillations can also </w:t>
      </w:r>
      <w:r w:rsidR="006F2516" w:rsidRPr="005500F7">
        <w:rPr>
          <w:rFonts w:ascii="Aptos" w:hAnsi="Aptos" w:cs="Times New Roman"/>
          <w:sz w:val="20"/>
          <w:szCs w:val="20"/>
        </w:rPr>
        <w:t>occur under</w:t>
      </w:r>
      <w:r w:rsidRPr="005500F7">
        <w:rPr>
          <w:rFonts w:ascii="Aptos" w:hAnsi="Aptos" w:cs="Times New Roman"/>
          <w:sz w:val="20"/>
          <w:szCs w:val="20"/>
        </w:rPr>
        <w:t xml:space="preserve"> pathological conditions. Pathological periodic bursting activity within the corticothalamic-basal ganglia network has been identified as a key hallmark of Parkinson's disease.</w:t>
      </w:r>
      <w:r w:rsidR="00CC2BF9" w:rsidRPr="005500F7">
        <w:rPr>
          <w:rFonts w:ascii="Aptos" w:hAnsi="Aptos" w:cs="Times New Roman"/>
          <w:sz w:val="20"/>
          <w:szCs w:val="20"/>
        </w:rPr>
        <w:fldChar w:fldCharType="begin"/>
      </w:r>
      <w:r w:rsidR="00FF4210">
        <w:rPr>
          <w:rFonts w:ascii="Aptos" w:hAnsi="Aptos" w:cs="Times New Roman"/>
          <w:sz w:val="20"/>
          <w:szCs w:val="20"/>
        </w:rPr>
        <w:instrText xml:space="preserve"> ADDIN ZOTERO_ITEM CSL_CITATION {"citationID":"KV9B8jd3","properties":{"formattedCitation":"\\super 114\\nosupersub{}","plainCitation":"114","noteIndex":0},"citationItems":[{"id":466,"uris":["http://zotero.org/users/local/qbj29eOf/items/8T2MKGFZ"],"itemData":{"id":466,"type":"article-journal","container-title":"The Journal of Neuroscience","DOI":"10.1523/JNEUROSCI.21-03-01033.2001","ISSN":"0270-6474, 1529-2401","issue":"3","journalAbbreviation":"J. Neurosci.","language":"en","page":"1033-1038","source":"DOI.org (Crossref)","title":"Dopamine Dependency of Oscillations between Subthalamic Nucleus and Pallidum in Parkinson's Disease","volume":"21","author":[{"family":"Brown","given":"Peter"},{"family":"Oliviero","given":"Antonio"},{"family":"Mazzone","given":"Paolo"},{"family":"Insola","given":"Angelo"},{"family":"Tonali","given":"Pietro"},{"family":"Di Lazzaro","given":"Vincenzo"}],"issued":{"date-parts":[["2001",2,1]]}}}],"schema":"https://github.com/citation-style-language/schema/raw/master/csl-citation.json"} </w:instrText>
      </w:r>
      <w:r w:rsidR="00CC2BF9" w:rsidRPr="005500F7">
        <w:rPr>
          <w:rFonts w:ascii="Aptos" w:hAnsi="Aptos" w:cs="Times New Roman"/>
          <w:sz w:val="20"/>
          <w:szCs w:val="20"/>
        </w:rPr>
        <w:fldChar w:fldCharType="separate"/>
      </w:r>
      <w:r w:rsidR="00FF4210" w:rsidRPr="00FF4210">
        <w:rPr>
          <w:rFonts w:ascii="Aptos" w:hAnsi="Aptos" w:cs="Times New Roman"/>
          <w:sz w:val="20"/>
          <w:vertAlign w:val="superscript"/>
        </w:rPr>
        <w:t>114</w:t>
      </w:r>
      <w:r w:rsidR="00CC2BF9" w:rsidRPr="005500F7">
        <w:rPr>
          <w:rFonts w:ascii="Aptos" w:hAnsi="Aptos" w:cs="Times New Roman"/>
          <w:sz w:val="20"/>
          <w:szCs w:val="20"/>
        </w:rPr>
        <w:fldChar w:fldCharType="end"/>
      </w:r>
    </w:p>
    <w:p w14:paraId="41A4C168" w14:textId="67BC6284" w:rsidR="00A814D3" w:rsidRPr="005500F7" w:rsidRDefault="006F2516" w:rsidP="00A814D3">
      <w:pPr>
        <w:pStyle w:val="NoSpacing"/>
        <w:spacing w:after="0"/>
        <w:rPr>
          <w:rFonts w:ascii="Aptos" w:hAnsi="Aptos" w:cs="Times New Roman"/>
          <w:sz w:val="20"/>
          <w:szCs w:val="20"/>
        </w:rPr>
      </w:pPr>
      <w:r w:rsidRPr="005500F7">
        <w:rPr>
          <w:rFonts w:ascii="Aptos" w:hAnsi="Aptos" w:cs="Times New Roman"/>
          <w:sz w:val="20"/>
          <w:szCs w:val="20"/>
        </w:rPr>
        <w:t>To detect neural oscillations, we utilized the widely used oscillation score</w:t>
      </w:r>
      <w:r w:rsidR="00EC1C69" w:rsidRPr="005500F7">
        <w:rPr>
          <w:rFonts w:ascii="Aptos" w:hAnsi="Aptos" w:cs="Times New Roman"/>
          <w:sz w:val="20"/>
          <w:szCs w:val="20"/>
        </w:rPr>
        <w:fldChar w:fldCharType="begin"/>
      </w:r>
      <w:r w:rsidR="00FF4210">
        <w:rPr>
          <w:rFonts w:ascii="Aptos" w:hAnsi="Aptos" w:cs="Times New Roman"/>
          <w:sz w:val="20"/>
          <w:szCs w:val="20"/>
        </w:rPr>
        <w:instrText xml:space="preserve"> ADDIN ZOTERO_ITEM CSL_CITATION {"citationID":"QSoZMDDI","properties":{"formattedCitation":"\\super 115\\nosupersub{}","plainCitation":"115","noteIndex":0},"citationItems":[{"id":563,"uris":["http://zotero.org/users/local/qbj29eOf/items/PFC6QMEK"],"itemData":{"id":563,"type":"article-journal","abstract":"We present a method that estimates the strength of neuronal oscillations at the cellular level, relying on autocorrelation histograms computed on spike trains. The method delivers a number, termed oscillation score, that estimates the degree to which a neuron is oscillating in a given frequency band. Moreover, it can also reliably identify the oscillation frequency and strength in the given band, independently of the oscillation in other frequency bands, and thus it can handle superimposed oscillations on multiple scales ( theta, alpha, beta, gamma, etc.). The method is relatively simple and fast. It can cope with a low number of spikes, converging exponentially fast with the number of spikes, to a stable estimation of the oscillation strength. It thus lends itself to the analysis of spike-sorted single-unit activity from electrophysiological recordings. We show that the method performs well on experimental data recorded from cat visual cortex and also compares favorably to other methods. In addition, we provide a measure, termed confidence score, that determines the stability of the oscillation score estimate over trials.","container-title":"Journal of Neurophysiology","DOI":"10.1152/jn.00772.2007","ISSN":"0022-3077, 1522-1598","issue":"3","journalAbbreviation":"Journal of Neurophysiology","language":"en","page":"1333-1353","source":"DOI.org (Crossref)","title":"The Oscillation Score: An Efficient Method for Estimating Oscillation Strength in Neuronal Activity","title-short":"The Oscillation Score","volume":"99","author":[{"family":"Mureşan","given":"Raul C."},{"family":"Jurjuţ","given":"Ovidiu F."},{"family":"Moca","given":"Vasile V."},{"family":"Singer","given":"Wolf"},{"family":"Nikolić","given":"Danko"}],"issued":{"date-parts":[["2008",3]]}}}],"schema":"https://github.com/citation-style-language/schema/raw/master/csl-citation.json"} </w:instrText>
      </w:r>
      <w:r w:rsidR="00EC1C69" w:rsidRPr="005500F7">
        <w:rPr>
          <w:rFonts w:ascii="Aptos" w:hAnsi="Aptos" w:cs="Times New Roman"/>
          <w:sz w:val="20"/>
          <w:szCs w:val="20"/>
        </w:rPr>
        <w:fldChar w:fldCharType="separate"/>
      </w:r>
      <w:r w:rsidR="00FF4210" w:rsidRPr="00FF4210">
        <w:rPr>
          <w:rFonts w:ascii="Aptos" w:hAnsi="Aptos" w:cs="Times New Roman"/>
          <w:sz w:val="20"/>
          <w:vertAlign w:val="superscript"/>
        </w:rPr>
        <w:t>115</w:t>
      </w:r>
      <w:r w:rsidR="00EC1C69" w:rsidRPr="005500F7">
        <w:rPr>
          <w:rFonts w:ascii="Aptos" w:hAnsi="Aptos" w:cs="Times New Roman"/>
          <w:sz w:val="20"/>
          <w:szCs w:val="20"/>
        </w:rPr>
        <w:fldChar w:fldCharType="end"/>
      </w:r>
      <w:r w:rsidRPr="005500F7">
        <w:rPr>
          <w:rFonts w:ascii="Aptos" w:hAnsi="Aptos" w:cs="Times New Roman"/>
          <w:sz w:val="20"/>
          <w:szCs w:val="20"/>
        </w:rPr>
        <w:t xml:space="preserve"> approach. This technique involves calculating autocorrelation histograms on spike trains to estimate the strength of neuronal oscillations at the single-neuron level. To establish a confidence measure for the oscillation scores in our single-trial experiments, we employed a bootstrap test with 100 iterations. In each iteration, we randomly shuffled the spike train while maintaining the number of spikes and the refractory period. Subsequently, we computed the oscillation score for the shuffled spike train. By repeating this process for 100 iterations, we obtained a null distribution of oscillation scores, representing random activity for the selected SUA. To determine the significance level for the computed oscillation score within a specific frequency band, we defined the boundaries of the 95th percentile of the null distribution (2.5% for the lower boundary and 97.5% for the upper boundary). If the original oscillation score exceeded the threshold defined by the upper boundary, we considered the observed oscillatory activity to be significant. Bootstrapping allowed us to assess the significance of the detected neural oscillations and provided a reliable measure for our analyses. Finally, we saved the oscillation frequencies for each frequency band.</w:t>
      </w:r>
    </w:p>
    <w:p w14:paraId="689C9875" w14:textId="77777777" w:rsidR="00A814D3" w:rsidRPr="005500F7" w:rsidRDefault="00A814D3" w:rsidP="00A814D3">
      <w:pPr>
        <w:pStyle w:val="NoSpacing"/>
        <w:spacing w:after="0"/>
        <w:rPr>
          <w:rFonts w:ascii="Aptos" w:hAnsi="Aptos" w:cs="Times New Roman"/>
          <w:sz w:val="20"/>
          <w:szCs w:val="20"/>
        </w:rPr>
      </w:pPr>
    </w:p>
    <w:p w14:paraId="5A91AD00" w14:textId="77777777" w:rsidR="00001DDC" w:rsidRPr="005500F7" w:rsidRDefault="006F2516" w:rsidP="005500F7">
      <w:pPr>
        <w:pStyle w:val="Heading2"/>
        <w:rPr>
          <w:sz w:val="20"/>
          <w:szCs w:val="20"/>
        </w:rPr>
      </w:pPr>
      <w:r w:rsidRPr="005500F7">
        <w:rPr>
          <w:sz w:val="20"/>
          <w:szCs w:val="20"/>
        </w:rPr>
        <w:t>Neural Pauses</w:t>
      </w:r>
    </w:p>
    <w:p w14:paraId="21A6B371" w14:textId="731C59E1" w:rsidR="00614CD1" w:rsidRPr="005500F7" w:rsidRDefault="006F2516" w:rsidP="00744713">
      <w:pPr>
        <w:ind w:firstLine="360"/>
        <w:jc w:val="both"/>
        <w:rPr>
          <w:rFonts w:ascii="Aptos" w:hAnsi="Aptos" w:cs="Helvetica"/>
          <w:sz w:val="20"/>
          <w:szCs w:val="20"/>
        </w:rPr>
      </w:pPr>
      <w:r w:rsidRPr="005500F7">
        <w:rPr>
          <w:rFonts w:ascii="Aptos" w:hAnsi="Aptos" w:cs="Helvetica"/>
          <w:sz w:val="20"/>
          <w:szCs w:val="20"/>
        </w:rPr>
        <w:t>In contrast</w:t>
      </w:r>
      <w:r w:rsidR="000958E5" w:rsidRPr="005500F7">
        <w:rPr>
          <w:rFonts w:ascii="Aptos" w:hAnsi="Aptos" w:cs="Helvetica"/>
          <w:sz w:val="20"/>
          <w:szCs w:val="20"/>
        </w:rPr>
        <w:t xml:space="preserve"> to neural bursts, neural pauses represent periods of hypoactivity in neurons, where spiking activity disappears. We consider neural pauses to be an essential mechanism for observing the behavior of SUA. These pauses can provide valuable insights into the dynamics of neural firing. Indeed, neural pauses have been previously utilized to distinguish neural activity within the external segment of the globus pallidum (GPe) between primary and secondary types of dystonia.</w:t>
      </w:r>
      <w:r w:rsidRPr="005500F7">
        <w:rPr>
          <w:rFonts w:ascii="Aptos" w:hAnsi="Aptos" w:cs="Helvetica"/>
          <w:sz w:val="20"/>
          <w:szCs w:val="20"/>
        </w:rPr>
        <w:fldChar w:fldCharType="begin"/>
      </w:r>
      <w:r w:rsidR="00FF4210">
        <w:rPr>
          <w:rFonts w:ascii="Aptos" w:hAnsi="Aptos" w:cs="Helvetica"/>
          <w:sz w:val="20"/>
          <w:szCs w:val="20"/>
        </w:rPr>
        <w:instrText xml:space="preserve"> ADDIN ZOTERO_ITEM CSL_CITATION {"citationID":"3pKh78hq","properties":{"formattedCitation":"\\super 116\\nosupersub{}","plainCitation":"116","noteIndex":0},"citationItems":[{"id":471,"uris":["http://zotero.org/users/local/qbj29eOf/items/XU8S784B"],"itemData":{"id":471,"type":"article-journal","container-title":"Experimental Neurology","DOI":"10.1016/j.expneurol.2008.12.006","ISSN":"00144886","issue":"2","journalAbbreviation":"Experimental Neurology","language":"en","page":"295-299","source":"DOI.org (Crossref)","title":"Single unit “pauser” characteristics of the globus pallidus pars externa distinguish primary dystonia from secondary dystonia and Parkinson's disease","volume":"216","author":[{"family":"Sani","given":"Sepehr"},{"family":"Ostrem","given":"Jill L."},{"family":"Shimamoto","given":"Shoichi"},{"family":"Levesque","given":"Nadja"},{"family":"Starr","given":"Philip A."}],"issued":{"date-parts":[["2009",4]]}}}],"schema":"https://github.com/citation-style-language/schema/raw/master/csl-citation.json"} </w:instrText>
      </w:r>
      <w:r w:rsidRPr="005500F7">
        <w:rPr>
          <w:rFonts w:ascii="Aptos" w:hAnsi="Aptos" w:cs="Helvetica"/>
          <w:sz w:val="20"/>
          <w:szCs w:val="20"/>
        </w:rPr>
        <w:fldChar w:fldCharType="separate"/>
      </w:r>
      <w:r w:rsidR="00FF4210" w:rsidRPr="00FF4210">
        <w:rPr>
          <w:rFonts w:ascii="Aptos" w:hAnsi="Aptos" w:cs="Times New Roman"/>
          <w:sz w:val="20"/>
          <w:vertAlign w:val="superscript"/>
        </w:rPr>
        <w:t>116</w:t>
      </w:r>
      <w:r w:rsidRPr="005500F7">
        <w:rPr>
          <w:rFonts w:ascii="Aptos" w:hAnsi="Aptos" w:cs="Helvetica"/>
          <w:sz w:val="20"/>
          <w:szCs w:val="20"/>
        </w:rPr>
        <w:fldChar w:fldCharType="end"/>
      </w:r>
      <w:r w:rsidRPr="005500F7">
        <w:rPr>
          <w:rFonts w:ascii="Aptos" w:hAnsi="Aptos" w:cs="Helvetica"/>
          <w:sz w:val="20"/>
          <w:szCs w:val="20"/>
        </w:rPr>
        <w:t xml:space="preserve"> For the detection of pauses, we used the Poisson Surprise</w:t>
      </w:r>
      <w:r w:rsidRPr="005500F7">
        <w:rPr>
          <w:rFonts w:ascii="Aptos" w:hAnsi="Aptos" w:cs="Helvetica"/>
          <w:sz w:val="20"/>
          <w:szCs w:val="20"/>
        </w:rPr>
        <w:fldChar w:fldCharType="begin"/>
      </w:r>
      <w:r w:rsidR="00FF4210">
        <w:rPr>
          <w:rFonts w:ascii="Aptos" w:hAnsi="Aptos" w:cs="Helvetica"/>
          <w:sz w:val="20"/>
          <w:szCs w:val="20"/>
        </w:rPr>
        <w:instrText xml:space="preserve"> ADDIN ZOTERO_ITEM CSL_CITATION {"citationID":"9q5HUK4o","properties":{"formattedCitation":"\\super 117\\nosupersub{}","plainCitation":"117","noteIndex":0},"citationItems":[{"id":473,"uris":["http://zotero.org/users/local/qbj29eOf/items/X3PJUIYY"],"itemData":{"id":473,"type":"article-journal","abstract":"The neurons of many basal ganglia nuclei, including the external and internal globus pallidus (GPe and GPi, respectively) and the substantia nigra pars reticulata (SNr) are characterized by their high-frequency (50-100 spikes/s) tonic discharge (HFD). However, the high firing rate of GPe neurons is interrupted by long pauses. We studied the extracellularly recorded spiking activity of 212 well-isolated HFD GPe and 52 GPi/SNr neurons from five monkeys during different states of behavioral activity. An algorithm that maximizes the surprise function was used to detect pauses and pauser cells (\"pausers\"). Only 6% of the GPi/SNr neurons versus as many as 56% of the GPe neurons were classified as pausers. The GPe average pause duration equals 0.62 s. The interpause intervals follow a Poissonian distribution with a frequency of 13 pauses/minute. No linear relationship was found between pause parameters (duration or frequency) and the firing rate of the cell. Pauses were preceded by various changes in firing rate but not dominantly by a decrease. The average amplitude and duration of the spike waveform was modulated only after the pause but not before it. Pauses of pairs of cells that were recorded simultaneously were not correlated. The probability of GPe cells to pause spontaneously was extremely variable among monkeys (30-90%) and inversely related to the degree of the monkey's motor activity. These findings suggest that spontaneous GPe pauses are related to low-arousal periods and are generated by a process that is independent of the discharge properties of the cells.","container-title":"The Journal of Neuroscience: The Official Journal of the Society for Neuroscience","DOI":"10.1523/JNEUROSCI.4156-06.2007","ISSN":"1529-2401","issue":"10","journalAbbreviation":"J Neurosci","language":"eng","note":"PMID: 17344390\nPMCID: PMC6672489","page":"2525-2538","source":"PubMed","title":"Statistical properties of pauses of the high-frequency discharge neurons in the external segment of the globus pallidus","volume":"27","author":[{"family":"Elias","given":"Shlomo"},{"family":"Joshua","given":"Mati"},{"family":"Goldberg","given":"Joshua A."},{"family":"Heimer","given":"Gali"},{"family":"Arkadir","given":"David"},{"family":"Morris","given":"Genela"},{"family":"Bergman","given":"Hagai"}],"issued":{"date-parts":[["2007",3,7]]}}}],"schema":"https://github.com/citation-style-language/schema/raw/master/csl-citation.json"} </w:instrText>
      </w:r>
      <w:r w:rsidRPr="005500F7">
        <w:rPr>
          <w:rFonts w:ascii="Aptos" w:hAnsi="Aptos" w:cs="Helvetica"/>
          <w:sz w:val="20"/>
          <w:szCs w:val="20"/>
        </w:rPr>
        <w:fldChar w:fldCharType="separate"/>
      </w:r>
      <w:r w:rsidR="00FF4210" w:rsidRPr="00FF4210">
        <w:rPr>
          <w:rFonts w:ascii="Aptos" w:hAnsi="Aptos" w:cs="Times New Roman"/>
          <w:sz w:val="20"/>
          <w:vertAlign w:val="superscript"/>
        </w:rPr>
        <w:t>117</w:t>
      </w:r>
      <w:r w:rsidRPr="005500F7">
        <w:rPr>
          <w:rFonts w:ascii="Aptos" w:hAnsi="Aptos" w:cs="Helvetica"/>
          <w:sz w:val="20"/>
          <w:szCs w:val="20"/>
        </w:rPr>
        <w:fldChar w:fldCharType="end"/>
      </w:r>
      <w:r w:rsidRPr="005500F7">
        <w:rPr>
          <w:rFonts w:ascii="Aptos" w:hAnsi="Aptos" w:cs="Helvetica"/>
          <w:sz w:val="20"/>
          <w:szCs w:val="20"/>
        </w:rPr>
        <w:t xml:space="preserve"> method. After detecting the temporal location of pauses in spike trains, we measured several metrics, such as pause frequency, pause count, pause duration, etc.</w:t>
      </w:r>
    </w:p>
    <w:p w14:paraId="133EB2BF" w14:textId="16E574B3" w:rsidR="00614CD1" w:rsidRPr="005500F7" w:rsidRDefault="006F2516" w:rsidP="00614CD1">
      <w:pPr>
        <w:jc w:val="both"/>
        <w:rPr>
          <w:rFonts w:ascii="Aptos" w:hAnsi="Aptos"/>
          <w:b/>
          <w:bCs/>
          <w:sz w:val="20"/>
          <w:szCs w:val="20"/>
        </w:rPr>
      </w:pPr>
      <w:r w:rsidRPr="005500F7">
        <w:rPr>
          <w:rFonts w:ascii="Aptos" w:hAnsi="Aptos"/>
          <w:b/>
          <w:bCs/>
          <w:sz w:val="20"/>
          <w:szCs w:val="20"/>
        </w:rPr>
        <w:t xml:space="preserve">Supplementary Table </w:t>
      </w:r>
      <w:r w:rsidR="00705731">
        <w:rPr>
          <w:rFonts w:ascii="Aptos" w:hAnsi="Aptos"/>
          <w:b/>
          <w:bCs/>
          <w:sz w:val="20"/>
          <w:szCs w:val="20"/>
        </w:rPr>
        <w:t>6.</w:t>
      </w:r>
      <w:r w:rsidRPr="005500F7">
        <w:rPr>
          <w:rFonts w:ascii="Aptos" w:hAnsi="Aptos"/>
          <w:b/>
          <w:bCs/>
          <w:sz w:val="20"/>
          <w:szCs w:val="20"/>
        </w:rPr>
        <w:t xml:space="preserve"> Neural pauses-related features, their descriptions, and formulations.</w:t>
      </w:r>
    </w:p>
    <w:tbl>
      <w:tblPr>
        <w:tblStyle w:val="PlainTable11"/>
        <w:tblW w:w="9072" w:type="dxa"/>
        <w:tblInd w:w="108" w:type="dxa"/>
        <w:tblLayout w:type="fixed"/>
        <w:tblLook w:val="04A0" w:firstRow="1" w:lastRow="0" w:firstColumn="1" w:lastColumn="0" w:noHBand="0" w:noVBand="1"/>
      </w:tblPr>
      <w:tblGrid>
        <w:gridCol w:w="1843"/>
        <w:gridCol w:w="2693"/>
        <w:gridCol w:w="4536"/>
      </w:tblGrid>
      <w:tr w:rsidR="0017005C" w:rsidRPr="005500F7" w14:paraId="5859814C" w14:textId="77777777" w:rsidTr="00F5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75C01CE" w14:textId="55D6F92B"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index</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FBE336C" w14:textId="72D5D672" w:rsidR="00614CD1" w:rsidRPr="005500F7" w:rsidRDefault="006F2516" w:rsidP="004F6AFB">
            <w:pPr>
              <w:pStyle w:val="NoSpacing"/>
              <w:ind w:firstLine="0"/>
              <w:jc w:val="left"/>
              <w:cnfStyle w:val="100000000000" w:firstRow="1"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b w:val="0"/>
                <w:bCs w:val="0"/>
                <w:sz w:val="20"/>
                <w:szCs w:val="20"/>
              </w:rPr>
              <w:t>number of ISI higher than 50ms divided by the number of ISI lower than 50ms.</w:t>
            </w:r>
            <w:r w:rsidRPr="005500F7">
              <w:rPr>
                <w:rFonts w:ascii="Aptos" w:hAnsi="Aptos" w:cs="Times New Roman"/>
                <w:sz w:val="20"/>
                <w:szCs w:val="20"/>
              </w:rPr>
              <w:fldChar w:fldCharType="begin"/>
            </w:r>
            <w:r w:rsidR="00FF4210">
              <w:rPr>
                <w:rFonts w:ascii="Aptos" w:hAnsi="Aptos" w:cs="Times New Roman"/>
                <w:b w:val="0"/>
                <w:bCs w:val="0"/>
                <w:sz w:val="20"/>
                <w:szCs w:val="20"/>
              </w:rPr>
              <w:instrText xml:space="preserve"> ADDIN ZOTERO_ITEM CSL_CITATION {"citationID":"3ONKj3r1","properties":{"formattedCitation":"\\super 118\\nosupersub{}","plainCitation":"118","noteIndex":0},"citationItems":[{"id":476,"uris":["http://zotero.org/users/local/qbj29eOf/items/BABE5HMF"],"itemData":{"id":476,"type":"article-journal","container-title":"Clinical Neurophysiology","DOI":"10.1016/j.clinph.2012.04.027","ISSN":"13882457","issue":"12","journalAbbreviation":"Clinical Neurophysiology","language":"en","page":"2406-2413","source":"DOI.org (Crossref)","title":"Deep brain stimulation: Subthalamic nucleus electrophysiological activity in awake and anesthetized patients","title-short":"Deep brain stimulation","volume":"123","author":[{"family":"Lettieri","given":"Christian"},{"family":"Rinaldo","given":"Sara"},{"family":"Devigili","given":"Grazia"},{"family":"Pauletto","given":"Giada"},{"family":"Verriello","given":"Lorenzo"},{"family":"Budai","given":"Riccardo"},{"family":"Fadiga","given":"Luciano"},{"family":"Oliynyk","given":"Andriy"},{"family":"Mondani","given":"Massimo"},{"family":"D’Auria","given":"Stanislao"},{"family":"Skrap","given":"Miran"},{"family":"Eleopra","given":"Roberto"}],"issued":{"date-parts":[["2012",12]]}}}],"schema":"https://github.com/citation-style-language/schema/raw/master/csl-citation.json"} </w:instrText>
            </w:r>
            <w:r w:rsidRPr="005500F7">
              <w:rPr>
                <w:rFonts w:ascii="Aptos" w:hAnsi="Aptos" w:cs="Times New Roman"/>
                <w:sz w:val="20"/>
                <w:szCs w:val="20"/>
              </w:rPr>
              <w:fldChar w:fldCharType="separate"/>
            </w:r>
            <w:r w:rsidR="00FF4210" w:rsidRPr="00FF4210">
              <w:rPr>
                <w:rFonts w:ascii="Aptos" w:hAnsi="Aptos" w:cs="Times New Roman"/>
                <w:sz w:val="20"/>
                <w:vertAlign w:val="superscript"/>
              </w:rPr>
              <w:t>118</w:t>
            </w:r>
            <w:r w:rsidRPr="005500F7">
              <w:rPr>
                <w:rFonts w:ascii="Aptos" w:hAnsi="Aptos" w:cs="Times New Roman"/>
                <w:sz w:val="20"/>
                <w:szCs w:val="20"/>
              </w:rPr>
              <w:fldChar w:fldCharType="end"/>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EC78C2D" w14:textId="4694F026" w:rsidR="00614CD1" w:rsidRPr="001B2C81" w:rsidRDefault="001B2C81" w:rsidP="004F6AFB">
            <w:pPr>
              <w:pStyle w:val="NoSpacing"/>
              <w:ind w:firstLine="0"/>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sz w:val="20"/>
                <w:szCs w:val="20"/>
              </w:rPr>
            </w:pPr>
            <m:oMathPara>
              <m:oMath>
                <m:r>
                  <m:rPr>
                    <m:sty m:val="bi"/>
                  </m:rPr>
                  <w:rPr>
                    <w:rFonts w:ascii="Cambria Math" w:hAnsi="Cambria Math" w:cs="Times New Roman"/>
                    <w:color w:val="auto"/>
                    <w:sz w:val="20"/>
                    <w:szCs w:val="20"/>
                  </w:rPr>
                  <m:t xml:space="preserve">pause index = </m:t>
                </m:r>
                <m:f>
                  <m:fPr>
                    <m:ctrlPr>
                      <w:rPr>
                        <w:rFonts w:ascii="Cambria Math" w:hAnsi="Cambria Math" w:cs="Times New Roman"/>
                        <w:b w:val="0"/>
                        <w:bCs w:val="0"/>
                        <w:i/>
                        <w:color w:val="auto"/>
                        <w:sz w:val="20"/>
                        <w:szCs w:val="20"/>
                      </w:rPr>
                    </m:ctrlPr>
                  </m:fPr>
                  <m:num>
                    <m:nary>
                      <m:naryPr>
                        <m:chr m:val="∑"/>
                        <m:limLoc m:val="undOvr"/>
                        <m:ctrlPr>
                          <w:rPr>
                            <w:rFonts w:ascii="Cambria Math" w:hAnsi="Cambria Math" w:cs="Times New Roman"/>
                            <w:b w:val="0"/>
                            <w:bCs w:val="0"/>
                            <w:color w:val="auto"/>
                            <w:sz w:val="20"/>
                            <w:szCs w:val="20"/>
                          </w:rPr>
                        </m:ctrlPr>
                      </m:naryPr>
                      <m:sub>
                        <m:r>
                          <m:rPr>
                            <m:sty m:val="bi"/>
                          </m:rPr>
                          <w:rPr>
                            <w:rFonts w:ascii="Cambria Math" w:hAnsi="Cambria Math" w:cs="Times New Roman"/>
                            <w:color w:val="auto"/>
                            <w:sz w:val="20"/>
                            <w:szCs w:val="20"/>
                          </w:rPr>
                          <m:t>i=1</m:t>
                        </m:r>
                      </m:sub>
                      <m:sup>
                        <m:r>
                          <m:rPr>
                            <m:sty m:val="bi"/>
                          </m:rPr>
                          <w:rPr>
                            <w:rFonts w:ascii="Cambria Math" w:hAnsi="Cambria Math" w:cs="Times New Roman"/>
                            <w:color w:val="auto"/>
                            <w:sz w:val="20"/>
                            <w:szCs w:val="20"/>
                          </w:rPr>
                          <m:t>N</m:t>
                        </m:r>
                      </m:sup>
                      <m:e>
                        <m:sSub>
                          <m:sSubPr>
                            <m:ctrlPr>
                              <w:rPr>
                                <w:rFonts w:ascii="Cambria Math" w:hAnsi="Cambria Math" w:cs="Times New Roman"/>
                                <w:b w:val="0"/>
                                <w:bCs w:val="0"/>
                                <w:i/>
                                <w:color w:val="auto"/>
                                <w:sz w:val="20"/>
                                <w:szCs w:val="20"/>
                              </w:rPr>
                            </m:ctrlPr>
                          </m:sSubPr>
                          <m:e>
                            <m:r>
                              <m:rPr>
                                <m:sty m:val="bi"/>
                              </m:rPr>
                              <w:rPr>
                                <w:rFonts w:ascii="Cambria Math" w:hAnsi="Cambria Math" w:cs="Times New Roman"/>
                                <w:color w:val="auto"/>
                                <w:sz w:val="20"/>
                                <w:szCs w:val="20"/>
                              </w:rPr>
                              <m:t>δ</m:t>
                            </m:r>
                          </m:e>
                          <m:sub>
                            <m:sSub>
                              <m:sSubPr>
                                <m:ctrlPr>
                                  <w:rPr>
                                    <w:rFonts w:ascii="Cambria Math" w:hAnsi="Cambria Math" w:cs="Times New Roman"/>
                                    <w:b w:val="0"/>
                                    <w:bCs w:val="0"/>
                                    <w:i/>
                                    <w:color w:val="auto"/>
                                    <w:sz w:val="20"/>
                                    <w:szCs w:val="20"/>
                                  </w:rPr>
                                </m:ctrlPr>
                              </m:sSubPr>
                              <m:e>
                                <m:r>
                                  <m:rPr>
                                    <m:sty m:val="bi"/>
                                  </m:rPr>
                                  <w:rPr>
                                    <w:rFonts w:ascii="Cambria Math" w:hAnsi="Cambria Math" w:cs="Times New Roman"/>
                                    <w:color w:val="auto"/>
                                    <w:sz w:val="20"/>
                                    <w:szCs w:val="20"/>
                                  </w:rPr>
                                  <m:t>ISI</m:t>
                                </m:r>
                              </m:e>
                              <m:sub>
                                <m:r>
                                  <m:rPr>
                                    <m:sty m:val="bi"/>
                                  </m:rPr>
                                  <w:rPr>
                                    <w:rFonts w:ascii="Cambria Math" w:hAnsi="Cambria Math" w:cs="Times New Roman"/>
                                    <w:color w:val="auto"/>
                                    <w:sz w:val="20"/>
                                    <w:szCs w:val="20"/>
                                  </w:rPr>
                                  <m:t>i</m:t>
                                </m:r>
                              </m:sub>
                            </m:sSub>
                            <m:r>
                              <m:rPr>
                                <m:sty m:val="bi"/>
                              </m:rPr>
                              <w:rPr>
                                <w:rFonts w:ascii="Cambria Math" w:hAnsi="Cambria Math" w:cs="Times New Roman"/>
                                <w:color w:val="auto"/>
                                <w:sz w:val="20"/>
                                <w:szCs w:val="20"/>
                              </w:rPr>
                              <m:t>≥50</m:t>
                            </m:r>
                          </m:sub>
                        </m:sSub>
                      </m:e>
                    </m:nary>
                  </m:num>
                  <m:den>
                    <m:nary>
                      <m:naryPr>
                        <m:chr m:val="∑"/>
                        <m:limLoc m:val="undOvr"/>
                        <m:ctrlPr>
                          <w:rPr>
                            <w:rFonts w:ascii="Cambria Math" w:hAnsi="Cambria Math" w:cs="Times New Roman"/>
                            <w:b w:val="0"/>
                            <w:bCs w:val="0"/>
                            <w:color w:val="auto"/>
                            <w:sz w:val="20"/>
                            <w:szCs w:val="20"/>
                          </w:rPr>
                        </m:ctrlPr>
                      </m:naryPr>
                      <m:sub>
                        <m:r>
                          <m:rPr>
                            <m:sty m:val="bi"/>
                          </m:rPr>
                          <w:rPr>
                            <w:rFonts w:ascii="Cambria Math" w:hAnsi="Cambria Math" w:cs="Times New Roman"/>
                            <w:color w:val="auto"/>
                            <w:sz w:val="20"/>
                            <w:szCs w:val="20"/>
                          </w:rPr>
                          <m:t>i=1</m:t>
                        </m:r>
                      </m:sub>
                      <m:sup>
                        <m:r>
                          <m:rPr>
                            <m:sty m:val="bi"/>
                          </m:rPr>
                          <w:rPr>
                            <w:rFonts w:ascii="Cambria Math" w:hAnsi="Cambria Math" w:cs="Times New Roman"/>
                            <w:color w:val="auto"/>
                            <w:sz w:val="20"/>
                            <w:szCs w:val="20"/>
                          </w:rPr>
                          <m:t>N</m:t>
                        </m:r>
                      </m:sup>
                      <m:e>
                        <m:sSub>
                          <m:sSubPr>
                            <m:ctrlPr>
                              <w:rPr>
                                <w:rFonts w:ascii="Cambria Math" w:hAnsi="Cambria Math" w:cs="Times New Roman"/>
                                <w:b w:val="0"/>
                                <w:bCs w:val="0"/>
                                <w:i/>
                                <w:color w:val="auto"/>
                                <w:sz w:val="20"/>
                                <w:szCs w:val="20"/>
                              </w:rPr>
                            </m:ctrlPr>
                          </m:sSubPr>
                          <m:e>
                            <m:r>
                              <m:rPr>
                                <m:sty m:val="bi"/>
                              </m:rPr>
                              <w:rPr>
                                <w:rFonts w:ascii="Cambria Math" w:hAnsi="Cambria Math" w:cs="Times New Roman"/>
                                <w:color w:val="auto"/>
                                <w:sz w:val="20"/>
                                <w:szCs w:val="20"/>
                              </w:rPr>
                              <m:t>δ</m:t>
                            </m:r>
                          </m:e>
                          <m:sub>
                            <m:sSub>
                              <m:sSubPr>
                                <m:ctrlPr>
                                  <w:rPr>
                                    <w:rFonts w:ascii="Cambria Math" w:hAnsi="Cambria Math" w:cs="Times New Roman"/>
                                    <w:b w:val="0"/>
                                    <w:bCs w:val="0"/>
                                    <w:i/>
                                    <w:color w:val="auto"/>
                                    <w:sz w:val="20"/>
                                    <w:szCs w:val="20"/>
                                  </w:rPr>
                                </m:ctrlPr>
                              </m:sSubPr>
                              <m:e>
                                <m:r>
                                  <m:rPr>
                                    <m:sty m:val="bi"/>
                                  </m:rPr>
                                  <w:rPr>
                                    <w:rFonts w:ascii="Cambria Math" w:hAnsi="Cambria Math" w:cs="Times New Roman"/>
                                    <w:color w:val="auto"/>
                                    <w:sz w:val="20"/>
                                    <w:szCs w:val="20"/>
                                  </w:rPr>
                                  <m:t>ISI</m:t>
                                </m:r>
                              </m:e>
                              <m:sub>
                                <m:r>
                                  <m:rPr>
                                    <m:sty m:val="bi"/>
                                  </m:rPr>
                                  <w:rPr>
                                    <w:rFonts w:ascii="Cambria Math" w:hAnsi="Cambria Math" w:cs="Times New Roman"/>
                                    <w:color w:val="auto"/>
                                    <w:sz w:val="20"/>
                                    <w:szCs w:val="20"/>
                                  </w:rPr>
                                  <m:t>i</m:t>
                                </m:r>
                              </m:sub>
                            </m:sSub>
                            <m:r>
                              <m:rPr>
                                <m:sty m:val="bi"/>
                              </m:rPr>
                              <w:rPr>
                                <w:rFonts w:ascii="Cambria Math" w:hAnsi="Cambria Math" w:cs="Times New Roman"/>
                                <w:color w:val="auto"/>
                                <w:sz w:val="20"/>
                                <w:szCs w:val="20"/>
                              </w:rPr>
                              <m:t>&lt;50</m:t>
                            </m:r>
                          </m:sub>
                        </m:sSub>
                      </m:e>
                    </m:nary>
                  </m:den>
                </m:f>
              </m:oMath>
            </m:oMathPara>
          </w:p>
        </w:tc>
      </w:tr>
      <w:tr w:rsidR="0017005C" w:rsidRPr="005500F7" w14:paraId="650EB375" w14:textId="77777777" w:rsidTr="00F5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7CC23079" w14:textId="34289AC7"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9C28EC">
              <w:rPr>
                <w:rFonts w:ascii="Aptos" w:hAnsi="Aptos" w:cs="Times New Roman"/>
                <w:b w:val="0"/>
                <w:bCs w:val="0"/>
                <w:sz w:val="20"/>
                <w:szCs w:val="20"/>
              </w:rPr>
              <w:t xml:space="preserve"> </w:t>
            </w:r>
            <w:r w:rsidRPr="005500F7">
              <w:rPr>
                <w:rFonts w:ascii="Aptos" w:hAnsi="Aptos" w:cs="Times New Roman"/>
                <w:b w:val="0"/>
                <w:bCs w:val="0"/>
                <w:sz w:val="20"/>
                <w:szCs w:val="20"/>
              </w:rPr>
              <w:t>ratio</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0CA996D" w14:textId="77777777" w:rsidR="00614CD1" w:rsidRPr="005500F7" w:rsidRDefault="006F2516" w:rsidP="004F6AFB">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cumulative of ISI higher than 50ms divided by the number of ISI lower than 50ms.</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376CD406" w14:textId="14C68F99" w:rsidR="00614CD1" w:rsidRPr="005500F7" w:rsidRDefault="006F2516" w:rsidP="004F6AFB">
            <w:pPr>
              <w:pStyle w:val="NoSpacing"/>
              <w:ind w:firstLine="0"/>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0"/>
                <w:szCs w:val="20"/>
              </w:rPr>
            </w:pPr>
            <m:oMathPara>
              <m:oMath>
                <m:r>
                  <w:rPr>
                    <w:rFonts w:ascii="Cambria Math" w:hAnsi="Cambria Math" w:cs="Times New Roman"/>
                    <w:color w:val="auto"/>
                    <w:sz w:val="20"/>
                    <w:szCs w:val="20"/>
                  </w:rPr>
                  <m:t xml:space="preserve">pause ratio = </m:t>
                </m:r>
                <m:f>
                  <m:fPr>
                    <m:ctrlPr>
                      <w:rPr>
                        <w:rFonts w:ascii="Cambria Math" w:hAnsi="Cambria Math" w:cs="Times New Roman"/>
                        <w:i/>
                        <w:color w:val="auto"/>
                        <w:sz w:val="20"/>
                        <w:szCs w:val="20"/>
                      </w:rPr>
                    </m:ctrlPr>
                  </m:fPr>
                  <m:num>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i=1</m:t>
                        </m:r>
                      </m:sub>
                      <m:sup>
                        <m:r>
                          <w:rPr>
                            <w:rFonts w:ascii="Cambria Math" w:hAnsi="Cambria Math" w:cs="Times New Roman"/>
                            <w:color w:val="auto"/>
                            <w:sz w:val="20"/>
                            <w:szCs w:val="20"/>
                          </w:rPr>
                          <m:t>N</m:t>
                        </m:r>
                      </m:sup>
                      <m:e>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ISI</m:t>
                            </m:r>
                          </m:e>
                          <m:sub>
                            <m:r>
                              <w:rPr>
                                <w:rFonts w:ascii="Cambria Math" w:hAnsi="Cambria Math" w:cs="Times New Roman"/>
                                <w:color w:val="auto"/>
                                <w:sz w:val="20"/>
                                <w:szCs w:val="20"/>
                              </w:rPr>
                              <m:t>i</m:t>
                            </m:r>
                          </m:sub>
                        </m:sSub>
                        <m:r>
                          <w:rPr>
                            <w:rFonts w:ascii="Cambria Math" w:hAnsi="Cambria Math" w:cs="Times New Roman"/>
                            <w:color w:val="auto"/>
                            <w:sz w:val="20"/>
                            <w:szCs w:val="20"/>
                          </w:rPr>
                          <m:t>≥50</m:t>
                        </m:r>
                      </m:e>
                    </m:nary>
                  </m:num>
                  <m:den>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i=1</m:t>
                        </m:r>
                      </m:sub>
                      <m:sup>
                        <m:r>
                          <w:rPr>
                            <w:rFonts w:ascii="Cambria Math" w:hAnsi="Cambria Math" w:cs="Times New Roman"/>
                            <w:color w:val="auto"/>
                            <w:sz w:val="20"/>
                            <w:szCs w:val="20"/>
                          </w:rPr>
                          <m:t>N</m:t>
                        </m:r>
                      </m:sup>
                      <m:e>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δ</m:t>
                            </m:r>
                          </m:e>
                          <m:sub>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ISI</m:t>
                                </m:r>
                              </m:e>
                              <m:sub>
                                <m:r>
                                  <w:rPr>
                                    <w:rFonts w:ascii="Cambria Math" w:hAnsi="Cambria Math" w:cs="Times New Roman"/>
                                    <w:color w:val="auto"/>
                                    <w:sz w:val="20"/>
                                    <w:szCs w:val="20"/>
                                  </w:rPr>
                                  <m:t>i</m:t>
                                </m:r>
                              </m:sub>
                            </m:sSub>
                            <m:r>
                              <w:rPr>
                                <w:rFonts w:ascii="Cambria Math" w:hAnsi="Cambria Math" w:cs="Times New Roman"/>
                                <w:color w:val="auto"/>
                                <w:sz w:val="20"/>
                                <w:szCs w:val="20"/>
                              </w:rPr>
                              <m:t>&lt;50</m:t>
                            </m:r>
                          </m:sub>
                        </m:sSub>
                      </m:e>
                    </m:nary>
                  </m:den>
                </m:f>
              </m:oMath>
            </m:oMathPara>
          </w:p>
        </w:tc>
      </w:tr>
      <w:tr w:rsidR="0017005C" w:rsidRPr="005500F7" w14:paraId="54867ADE" w14:textId="77777777" w:rsidTr="00F55D8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0078213" w14:textId="207FA91D"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freq</w:t>
            </w:r>
            <w:r w:rsidR="00CD0AC1">
              <w:rPr>
                <w:rFonts w:ascii="Aptos" w:hAnsi="Aptos" w:cs="Times New Roman"/>
                <w:b w:val="0"/>
                <w:bCs w:val="0"/>
                <w:sz w:val="20"/>
                <w:szCs w:val="20"/>
              </w:rPr>
              <w:t>uency</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B15BBF7" w14:textId="77777777" w:rsidR="00614CD1" w:rsidRPr="005500F7" w:rsidRDefault="006F2516" w:rsidP="004F6AFB">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mean firing rate during the pause intervals.</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1147B06" w14:textId="5C8790C7" w:rsidR="00CD0AC1" w:rsidRPr="00F55D80" w:rsidRDefault="00B87F2F" w:rsidP="004F6AFB">
            <w:pPr>
              <w:pStyle w:val="NoSpacing"/>
              <w:ind w:firstLine="0"/>
              <w:cnfStyle w:val="000000000000" w:firstRow="0" w:lastRow="0" w:firstColumn="0" w:lastColumn="0" w:oddVBand="0" w:evenVBand="0" w:oddHBand="0"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pause frequency=</m:t>
                </m:r>
              </m:oMath>
            </m:oMathPara>
          </w:p>
          <w:p w14:paraId="4BD8BAE3" w14:textId="7CCAF48B" w:rsidR="00614CD1" w:rsidRPr="005500F7" w:rsidRDefault="00B87F2F" w:rsidP="004F6AFB">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0"/>
                <w:szCs w:val="20"/>
              </w:rPr>
            </w:pPr>
            <m:oMathPara>
              <m:oMath>
                <m:r>
                  <w:rPr>
                    <w:rFonts w:ascii="Cambria Math" w:hAnsi="Cambria Math" w:cs="Times New Roman"/>
                    <w:color w:val="auto"/>
                    <w:sz w:val="20"/>
                    <w:szCs w:val="20"/>
                  </w:rPr>
                  <m:t xml:space="preserve"> </m:t>
                </m:r>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sup>
                  <m:e>
                    <m:f>
                      <m:fPr>
                        <m:ctrlPr>
                          <w:rPr>
                            <w:rFonts w:ascii="Cambria Math" w:hAnsi="Cambria Math" w:cs="Times New Roman"/>
                            <w:color w:val="auto"/>
                            <w:sz w:val="20"/>
                            <w:szCs w:val="20"/>
                          </w:rPr>
                        </m:ctrlPr>
                      </m:fPr>
                      <m:num>
                        <m:r>
                          <w:rPr>
                            <w:rFonts w:ascii="Cambria Math" w:hAnsi="Cambria Math" w:cs="Times New Roman"/>
                            <w:color w:val="auto"/>
                            <w:sz w:val="20"/>
                            <w:szCs w:val="20"/>
                          </w:rPr>
                          <m:t>coun</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r>
                          <w:rPr>
                            <w:rFonts w:ascii="Cambria Math" w:hAnsi="Cambria Math" w:cs="Times New Roman"/>
                            <w:color w:val="auto"/>
                            <w:sz w:val="20"/>
                            <w:szCs w:val="20"/>
                          </w:rPr>
                          <m:t>(spikes)</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den>
                    </m:f>
                  </m:e>
                </m:nary>
              </m:oMath>
            </m:oMathPara>
          </w:p>
        </w:tc>
      </w:tr>
      <w:tr w:rsidR="0017005C" w:rsidRPr="005500F7" w14:paraId="609BFF68" w14:textId="77777777" w:rsidTr="00F5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6247FC6" w14:textId="57CA1AED"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duration</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0146A2B4" w14:textId="77777777" w:rsidR="00614CD1" w:rsidRPr="005500F7" w:rsidRDefault="006F2516" w:rsidP="00614CD1">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mean duration of pauses within the spike train.</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12A5F4E" w14:textId="77777777" w:rsidR="00B87F2F" w:rsidRPr="00B87F2F" w:rsidRDefault="00B87F2F" w:rsidP="00614CD1">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paus</m:t>
                </m:r>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e</m:t>
                    </m:r>
                  </m:e>
                  <m:sub>
                    <m:r>
                      <w:rPr>
                        <w:rFonts w:ascii="Cambria Math" w:hAnsi="Cambria Math" w:cs="Times New Roman"/>
                        <w:color w:val="auto"/>
                        <w:sz w:val="20"/>
                        <w:szCs w:val="20"/>
                      </w:rPr>
                      <m:t>duration</m:t>
                    </m:r>
                  </m:sub>
                </m:sSub>
                <m:r>
                  <w:rPr>
                    <w:rFonts w:ascii="Cambria Math" w:hAnsi="Cambria Math" w:cs="Times New Roman"/>
                    <w:color w:val="auto"/>
                    <w:sz w:val="20"/>
                    <w:szCs w:val="20"/>
                  </w:rPr>
                  <m:t xml:space="preserve">= </m:t>
                </m:r>
              </m:oMath>
            </m:oMathPara>
          </w:p>
          <w:p w14:paraId="0DDC89B8" w14:textId="7CDA638F" w:rsidR="00614CD1" w:rsidRPr="005500F7" w:rsidRDefault="00000000" w:rsidP="00614CD1">
            <w:pPr>
              <w:pStyle w:val="NoSpacing"/>
              <w:ind w:firstLine="0"/>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0"/>
                <w:szCs w:val="20"/>
              </w:rPr>
            </w:pPr>
            <m:oMathPara>
              <m:oMath>
                <m:f>
                  <m:fPr>
                    <m:ctrlPr>
                      <w:rPr>
                        <w:rFonts w:ascii="Cambria Math" w:hAnsi="Cambria Math" w:cs="Times New Roman"/>
                        <w:color w:val="auto"/>
                        <w:sz w:val="20"/>
                        <w:szCs w:val="20"/>
                      </w:rPr>
                    </m:ctrlPr>
                  </m:fPr>
                  <m:num>
                    <m:r>
                      <w:rPr>
                        <w:rFonts w:ascii="Cambria Math" w:hAnsi="Cambria Math" w:cs="Times New Roman"/>
                        <w:color w:val="auto"/>
                        <w:sz w:val="20"/>
                        <w:szCs w:val="20"/>
                      </w:rPr>
                      <m:t>1</m:t>
                    </m:r>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den>
                </m:f>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sup>
                  <m:e>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pause_finis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pause_star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 xml:space="preserve">)   </m:t>
                    </m:r>
                  </m:e>
                </m:nary>
              </m:oMath>
            </m:oMathPara>
          </w:p>
        </w:tc>
      </w:tr>
      <w:tr w:rsidR="0017005C" w:rsidRPr="005500F7" w14:paraId="5F07131E" w14:textId="77777777" w:rsidTr="00F55D8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BA21A86" w14:textId="7F77E0DE"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lastRenderedPageBreak/>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count</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4E071D3" w14:textId="77777777" w:rsidR="00614CD1" w:rsidRPr="005500F7" w:rsidRDefault="006F2516" w:rsidP="00614CD1">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number of spikes in the pause regions.</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17BA21D" w14:textId="34FA9EA2" w:rsidR="00614CD1" w:rsidRPr="005500F7" w:rsidRDefault="006F2516" w:rsidP="00614CD1">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0"/>
                <w:szCs w:val="20"/>
              </w:rPr>
            </w:pPr>
            <m:oMathPara>
              <m:oMath>
                <m:r>
                  <w:rPr>
                    <w:rFonts w:ascii="Cambria Math" w:eastAsia="Times New Roman" w:hAnsi="Cambria Math" w:cs="Times New Roman"/>
                    <w:sz w:val="20"/>
                    <w:szCs w:val="20"/>
                  </w:rPr>
                  <m:t xml:space="preserve">pause count= </m:t>
                </m:r>
                <m:nary>
                  <m:naryPr>
                    <m:chr m:val="∑"/>
                    <m:limLoc m:val="undOvr"/>
                    <m:ctrlPr>
                      <w:rPr>
                        <w:rFonts w:ascii="Cambria Math" w:eastAsia="Times New Roman" w:hAnsi="Cambria Math" w:cs="Times New Roman"/>
                        <w:sz w:val="20"/>
                        <w:szCs w:val="20"/>
                      </w:rPr>
                    </m:ctrlPr>
                  </m:naryPr>
                  <m:sub>
                    <m:r>
                      <w:rPr>
                        <w:rFonts w:ascii="Cambria Math" w:eastAsia="Times New Roman" w:hAnsi="Cambria Math" w:cs="Times New Roman"/>
                        <w:sz w:val="20"/>
                        <w:szCs w:val="20"/>
                      </w:rPr>
                      <m:t>n=1</m:t>
                    </m:r>
                  </m:sub>
                  <m:sup>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pause_spike</m:t>
                        </m:r>
                      </m:sub>
                    </m:sSub>
                  </m:sup>
                  <m:e>
                    <m:r>
                      <w:rPr>
                        <w:rFonts w:ascii="Cambria Math" w:eastAsia="Times New Roman" w:hAnsi="Cambria Math" w:cs="Times New Roman"/>
                        <w:sz w:val="20"/>
                        <w:szCs w:val="20"/>
                      </w:rPr>
                      <m:t>1</m:t>
                    </m:r>
                  </m:e>
                </m:nary>
              </m:oMath>
            </m:oMathPara>
          </w:p>
        </w:tc>
      </w:tr>
      <w:tr w:rsidR="0017005C" w:rsidRPr="005500F7" w14:paraId="412C6F76" w14:textId="77777777" w:rsidTr="00F55D8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06E15E6A" w14:textId="7A26991C"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time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proportion</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0EEFABBA" w14:textId="77777777" w:rsidR="00614CD1" w:rsidRPr="005500F7" w:rsidRDefault="006F2516" w:rsidP="00614CD1">
            <w:pPr>
              <w:pStyle w:val="NoSpacing"/>
              <w:ind w:firstLine="0"/>
              <w:jc w:val="left"/>
              <w:cnfStyle w:val="000000100000" w:firstRow="0" w:lastRow="0" w:firstColumn="0" w:lastColumn="0" w:oddVBand="0" w:evenVBand="0" w:oddHBand="1"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Amount of time spent in the pause state compared to the total recording duration</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3D178F20" w14:textId="35CCC307" w:rsidR="00CD0AC1" w:rsidRPr="00F55D80" w:rsidRDefault="00CD0AC1" w:rsidP="00614CD1">
            <w:pPr>
              <w:pStyle w:val="NoSpacing"/>
              <w:ind w:firstLine="0"/>
              <w:cnfStyle w:val="000000100000" w:firstRow="0" w:lastRow="0" w:firstColumn="0" w:lastColumn="0" w:oddVBand="0" w:evenVBand="0" w:oddHBand="1" w:evenHBand="0" w:firstRowFirstColumn="0" w:firstRowLastColumn="0" w:lastRowFirstColumn="0" w:lastRowLastColumn="0"/>
              <w:rPr>
                <w:rFonts w:ascii="Aptos" w:hAnsi="Aptos" w:cs="Times New Roman"/>
                <w:color w:val="auto"/>
                <w:sz w:val="20"/>
                <w:szCs w:val="20"/>
              </w:rPr>
            </w:pPr>
            <m:oMathPara>
              <m:oMath>
                <m:r>
                  <w:rPr>
                    <w:rFonts w:ascii="Cambria Math" w:hAnsi="Cambria Math" w:cs="Times New Roman"/>
                    <w:color w:val="auto"/>
                    <w:sz w:val="20"/>
                    <w:szCs w:val="20"/>
                  </w:rPr>
                  <m:t xml:space="preserve">pause time proportion= </m:t>
                </m:r>
              </m:oMath>
            </m:oMathPara>
          </w:p>
          <w:p w14:paraId="1B9BC049" w14:textId="4077557E" w:rsidR="00614CD1" w:rsidRPr="005500F7" w:rsidRDefault="00000000" w:rsidP="00614CD1">
            <w:pPr>
              <w:pStyle w:val="NoSpacing"/>
              <w:ind w:firstLine="0"/>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0"/>
                <w:szCs w:val="20"/>
              </w:rPr>
            </w:pPr>
            <m:oMathPara>
              <m:oMath>
                <m:f>
                  <m:fPr>
                    <m:ctrlPr>
                      <w:rPr>
                        <w:rFonts w:ascii="Cambria Math" w:hAnsi="Cambria Math" w:cs="Times New Roman"/>
                        <w:color w:val="auto"/>
                        <w:sz w:val="20"/>
                        <w:szCs w:val="20"/>
                      </w:rPr>
                    </m:ctrlPr>
                  </m:fPr>
                  <m:num>
                    <m:nary>
                      <m:naryPr>
                        <m:chr m:val="∑"/>
                        <m:limLoc m:val="undOvr"/>
                        <m:ctrlPr>
                          <w:rPr>
                            <w:rFonts w:ascii="Cambria Math" w:hAnsi="Cambria Math" w:cs="Times New Roman"/>
                            <w:color w:val="auto"/>
                            <w:sz w:val="20"/>
                            <w:szCs w:val="20"/>
                          </w:rPr>
                        </m:ctrlPr>
                      </m:naryPr>
                      <m:sub>
                        <m:r>
                          <w:rPr>
                            <w:rFonts w:ascii="Cambria Math" w:hAnsi="Cambria Math" w:cs="Times New Roman"/>
                            <w:color w:val="auto"/>
                            <w:sz w:val="20"/>
                            <w:szCs w:val="20"/>
                          </w:rPr>
                          <m:t>n=1</m:t>
                        </m:r>
                      </m:sub>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sup>
                      <m:e>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finis</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h</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star</m:t>
                            </m:r>
                            <m:sSub>
                              <m:sSubPr>
                                <m:ctrlPr>
                                  <w:rPr>
                                    <w:rFonts w:ascii="Cambria Math" w:hAnsi="Cambria Math" w:cs="Times New Roman"/>
                                    <w:color w:val="auto"/>
                                    <w:sz w:val="20"/>
                                    <w:szCs w:val="20"/>
                                  </w:rPr>
                                </m:ctrlPr>
                              </m:sSubPr>
                              <m:e>
                                <m:r>
                                  <w:rPr>
                                    <w:rFonts w:ascii="Cambria Math" w:hAnsi="Cambria Math" w:cs="Times New Roman"/>
                                    <w:color w:val="auto"/>
                                    <w:sz w:val="20"/>
                                    <w:szCs w:val="20"/>
                                  </w:rPr>
                                  <m:t>t</m:t>
                                </m:r>
                              </m:e>
                              <m:sub>
                                <m:r>
                                  <w:rPr>
                                    <w:rFonts w:ascii="Cambria Math" w:hAnsi="Cambria Math" w:cs="Times New Roman"/>
                                    <w:color w:val="auto"/>
                                    <w:sz w:val="20"/>
                                    <w:szCs w:val="20"/>
                                  </w:rPr>
                                  <m:t>n</m:t>
                                </m:r>
                              </m:sub>
                            </m:sSub>
                          </m:sub>
                        </m:sSub>
                        <m:r>
                          <w:rPr>
                            <w:rFonts w:ascii="Cambria Math" w:hAnsi="Cambria Math" w:cs="Times New Roman"/>
                            <w:color w:val="auto"/>
                            <w:sz w:val="20"/>
                            <w:szCs w:val="20"/>
                          </w:rPr>
                          <m:t>)</m:t>
                        </m:r>
                      </m:e>
                    </m:nary>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τ</m:t>
                        </m:r>
                      </m:e>
                      <m:sub>
                        <m:r>
                          <w:rPr>
                            <w:rFonts w:ascii="Cambria Math" w:hAnsi="Cambria Math" w:cs="Times New Roman"/>
                            <w:color w:val="auto"/>
                            <w:sz w:val="20"/>
                            <w:szCs w:val="20"/>
                          </w:rPr>
                          <m:t>recording</m:t>
                        </m:r>
                      </m:sub>
                    </m:sSub>
                  </m:den>
                </m:f>
              </m:oMath>
            </m:oMathPara>
          </w:p>
        </w:tc>
      </w:tr>
      <w:tr w:rsidR="0017005C" w:rsidRPr="005500F7" w14:paraId="4853C8C4" w14:textId="77777777" w:rsidTr="00F55D8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5D89C5C" w14:textId="677DD975" w:rsidR="00614CD1" w:rsidRPr="005500F7" w:rsidRDefault="006F2516" w:rsidP="004E3777">
            <w:pPr>
              <w:pStyle w:val="NoSpacing"/>
              <w:ind w:firstLine="0"/>
              <w:jc w:val="left"/>
              <w:rPr>
                <w:rFonts w:ascii="Aptos" w:hAnsi="Aptos" w:cs="Times New Roman"/>
                <w:sz w:val="20"/>
                <w:szCs w:val="20"/>
              </w:rPr>
            </w:pPr>
            <w:r w:rsidRPr="005500F7">
              <w:rPr>
                <w:rFonts w:ascii="Aptos" w:hAnsi="Aptos" w:cs="Times New Roman"/>
                <w:b w:val="0"/>
                <w:bCs w:val="0"/>
                <w:sz w:val="20"/>
                <w:szCs w:val="20"/>
              </w:rPr>
              <w:t>pause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spike</w:t>
            </w:r>
            <w:r w:rsidR="00CD0AC1">
              <w:rPr>
                <w:rFonts w:ascii="Aptos" w:hAnsi="Aptos" w:cs="Times New Roman"/>
                <w:b w:val="0"/>
                <w:bCs w:val="0"/>
                <w:sz w:val="20"/>
                <w:szCs w:val="20"/>
              </w:rPr>
              <w:t xml:space="preserve"> </w:t>
            </w:r>
            <w:r w:rsidRPr="005500F7">
              <w:rPr>
                <w:rFonts w:ascii="Aptos" w:hAnsi="Aptos" w:cs="Times New Roman"/>
                <w:b w:val="0"/>
                <w:bCs w:val="0"/>
                <w:sz w:val="20"/>
                <w:szCs w:val="20"/>
              </w:rPr>
              <w:t>proportion</w:t>
            </w:r>
          </w:p>
        </w:tc>
        <w:tc>
          <w:tcPr>
            <w:tcW w:w="269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21F3569B" w14:textId="77777777" w:rsidR="00614CD1" w:rsidRPr="005500F7" w:rsidRDefault="006F2516" w:rsidP="00614CD1">
            <w:pPr>
              <w:pStyle w:val="NoSpacing"/>
              <w:ind w:firstLine="0"/>
              <w:jc w:val="left"/>
              <w:cnfStyle w:val="000000000000" w:firstRow="0" w:lastRow="0" w:firstColumn="0" w:lastColumn="0" w:oddVBand="0" w:evenVBand="0" w:oddHBand="0" w:evenHBand="0" w:firstRowFirstColumn="0" w:firstRowLastColumn="0" w:lastRowFirstColumn="0" w:lastRowLastColumn="0"/>
              <w:rPr>
                <w:rFonts w:ascii="Aptos" w:hAnsi="Aptos" w:cs="Times New Roman"/>
                <w:sz w:val="20"/>
                <w:szCs w:val="20"/>
              </w:rPr>
            </w:pPr>
            <w:r w:rsidRPr="005500F7">
              <w:rPr>
                <w:rFonts w:ascii="Aptos" w:hAnsi="Aptos" w:cs="Times New Roman"/>
                <w:sz w:val="20"/>
                <w:szCs w:val="20"/>
              </w:rPr>
              <w:t>The ratio between spikes that occurred in the pause state and the total number of spikes</w:t>
            </w:r>
          </w:p>
        </w:tc>
        <w:tc>
          <w:tcPr>
            <w:tcW w:w="453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0F4E4257" w14:textId="1110B7AE" w:rsidR="00614CD1" w:rsidRPr="005500F7" w:rsidRDefault="00CD0AC1" w:rsidP="00614CD1">
            <w:pPr>
              <w:pStyle w:val="NoSpacing"/>
              <w:ind w:firstLine="0"/>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auto"/>
                <w:sz w:val="20"/>
                <w:szCs w:val="20"/>
              </w:rPr>
            </w:pPr>
            <m:oMathPara>
              <m:oMath>
                <m:r>
                  <w:rPr>
                    <w:rFonts w:ascii="Cambria Math" w:hAnsi="Cambria Math" w:cs="Times New Roman"/>
                    <w:color w:val="auto"/>
                    <w:sz w:val="20"/>
                    <w:szCs w:val="20"/>
                  </w:rPr>
                  <m:t xml:space="preserve">pause spike proportion= </m:t>
                </m:r>
                <m:f>
                  <m:fPr>
                    <m:ctrlPr>
                      <w:rPr>
                        <w:rFonts w:ascii="Cambria Math" w:hAnsi="Cambria Math" w:cs="Times New Roman"/>
                        <w:color w:val="auto"/>
                        <w:sz w:val="20"/>
                        <w:szCs w:val="20"/>
                      </w:rPr>
                    </m:ctrlPr>
                  </m:fPr>
                  <m:num>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pauses</m:t>
                        </m:r>
                      </m:sub>
                    </m:sSub>
                  </m:num>
                  <m:den>
                    <m:sSub>
                      <m:sSubPr>
                        <m:ctrlPr>
                          <w:rPr>
                            <w:rFonts w:ascii="Cambria Math" w:hAnsi="Cambria Math" w:cs="Times New Roman"/>
                            <w:color w:val="auto"/>
                            <w:sz w:val="20"/>
                            <w:szCs w:val="20"/>
                          </w:rPr>
                        </m:ctrlPr>
                      </m:sSubPr>
                      <m:e>
                        <m:r>
                          <w:rPr>
                            <w:rFonts w:ascii="Cambria Math" w:hAnsi="Cambria Math" w:cs="Times New Roman"/>
                            <w:color w:val="auto"/>
                            <w:sz w:val="20"/>
                            <w:szCs w:val="20"/>
                          </w:rPr>
                          <m:t>N</m:t>
                        </m:r>
                      </m:e>
                      <m:sub>
                        <m:r>
                          <w:rPr>
                            <w:rFonts w:ascii="Cambria Math" w:hAnsi="Cambria Math" w:cs="Times New Roman"/>
                            <w:color w:val="auto"/>
                            <w:sz w:val="20"/>
                            <w:szCs w:val="20"/>
                          </w:rPr>
                          <m:t>spikes</m:t>
                        </m:r>
                      </m:sub>
                    </m:sSub>
                  </m:den>
                </m:f>
              </m:oMath>
            </m:oMathPara>
          </w:p>
        </w:tc>
      </w:tr>
    </w:tbl>
    <w:p w14:paraId="40E10167" w14:textId="77777777" w:rsidR="004E3777" w:rsidRPr="005500F7" w:rsidRDefault="004E3777" w:rsidP="004E3777">
      <w:pPr>
        <w:rPr>
          <w:rFonts w:ascii="Aptos" w:hAnsi="Aptos"/>
          <w:sz w:val="20"/>
          <w:szCs w:val="20"/>
        </w:rPr>
      </w:pPr>
    </w:p>
    <w:p w14:paraId="184E6B90" w14:textId="77777777" w:rsidR="004B51E4" w:rsidRPr="005500F7" w:rsidRDefault="006F2516" w:rsidP="004B51E4">
      <w:pPr>
        <w:pStyle w:val="Heading1"/>
        <w:rPr>
          <w:rFonts w:ascii="Aptos" w:hAnsi="Aptos"/>
          <w:sz w:val="20"/>
          <w:szCs w:val="20"/>
        </w:rPr>
      </w:pPr>
      <w:r w:rsidRPr="005500F7">
        <w:rPr>
          <w:rFonts w:ascii="Aptos" w:hAnsi="Aptos"/>
          <w:sz w:val="20"/>
          <w:szCs w:val="20"/>
        </w:rPr>
        <w:t>Effect Size Interpretation</w:t>
      </w:r>
    </w:p>
    <w:p w14:paraId="138126DE" w14:textId="40882140" w:rsidR="004B51E4" w:rsidRPr="005500F7" w:rsidRDefault="006F2516" w:rsidP="004B51E4">
      <w:pPr>
        <w:jc w:val="both"/>
        <w:rPr>
          <w:rFonts w:ascii="Aptos" w:hAnsi="Aptos"/>
          <w:sz w:val="20"/>
          <w:szCs w:val="20"/>
        </w:rPr>
      </w:pPr>
      <w:r w:rsidRPr="005500F7">
        <w:rPr>
          <w:rFonts w:ascii="Aptos" w:hAnsi="Aptos"/>
          <w:sz w:val="20"/>
          <w:szCs w:val="20"/>
        </w:rPr>
        <w:t>For the Kruskal</w:t>
      </w:r>
      <w:r w:rsidRPr="005500F7">
        <w:rPr>
          <w:rFonts w:ascii="Arial" w:hAnsi="Arial" w:cs="Arial"/>
          <w:sz w:val="20"/>
          <w:szCs w:val="20"/>
        </w:rPr>
        <w:t>‒</w:t>
      </w:r>
      <w:r w:rsidRPr="005500F7">
        <w:rPr>
          <w:rFonts w:ascii="Aptos" w:hAnsi="Aptos"/>
          <w:sz w:val="20"/>
          <w:szCs w:val="20"/>
        </w:rPr>
        <w:t>Wallis and Mann</w:t>
      </w:r>
      <w:r w:rsidRPr="005500F7">
        <w:rPr>
          <w:rFonts w:ascii="Arial" w:hAnsi="Arial" w:cs="Arial"/>
          <w:sz w:val="20"/>
          <w:szCs w:val="20"/>
        </w:rPr>
        <w:t>‒</w:t>
      </w:r>
      <w:r w:rsidRPr="005500F7">
        <w:rPr>
          <w:rFonts w:ascii="Aptos" w:hAnsi="Aptos"/>
          <w:sz w:val="20"/>
          <w:szCs w:val="20"/>
        </w:rPr>
        <w:t>Whitney U tests, we measured Cohen’s d effect size and followed general guidelines for interpreting effect size</w:t>
      </w:r>
      <w:r w:rsidRPr="005500F7">
        <w:rPr>
          <w:rFonts w:ascii="Aptos" w:hAnsi="Aptos"/>
          <w:sz w:val="20"/>
          <w:szCs w:val="20"/>
        </w:rPr>
        <w:fldChar w:fldCharType="begin"/>
      </w:r>
      <w:r w:rsidR="00FF4210">
        <w:rPr>
          <w:rFonts w:ascii="Aptos" w:hAnsi="Aptos"/>
          <w:sz w:val="20"/>
          <w:szCs w:val="20"/>
        </w:rPr>
        <w:instrText xml:space="preserve"> ADDIN ZOTERO_ITEM CSL_CITATION {"citationID":"eOU8brbe","properties":{"formattedCitation":"\\super 119,120\\nosupersub{}","plainCitation":"119,120","noteIndex":0},"citationItems":[{"id":560,"uris":["http://zotero.org/users/local/qbj29eOf/items/HGTFGQZQ"],"itemData":{"id":560,"type":"article-journal","container-title":"Journal of Experimental Psychology: General","DOI":"10.1037/a0024338","ISSN":"1939-2222, 0096-3445","issue":"1","journalAbbreviation":"Journal of Experimental Psychology: General","language":"en","page":"2-18","source":"DOI.org (Crossref)","title":"Effect size estimates: Current use, calculations, and interpretation.","title-short":"Effect size estimates","volume":"141","author":[{"family":"Fritz","given":"Catherine O."},{"family":"Morris","given":"Peter E."},{"family":"Richler","given":"Jennifer J."}],"issued":{"date-parts":[["2012"]]}},"label":"page"},{"id":561,"uris":["http://zotero.org/users/local/qbj29eOf/items/7RB4JURA"],"itemData":{"id":561,"type":"book","edition":"0","ISBN":"978-1-134-74270-7","language":"en","note":"DOI: 10.4324/9780203771587","publisher":"Routledge","source":"DOI.org (Crossref)","title":"Statistical Power Analysis for the Behavioral Sciences","URL":"https://www.taylorfrancis.com/books/9781134742707","author":[{"family":"Cohen","given":"Jacob"}],"accessed":{"date-parts":[["2023",9,22]]},"issued":{"date-parts":[["2013",5,13]]}},"label":"page"}],"schema":"https://github.com/citation-style-language/schema/raw/master/csl-citation.json"} </w:instrText>
      </w:r>
      <w:r w:rsidRPr="005500F7">
        <w:rPr>
          <w:rFonts w:ascii="Aptos" w:hAnsi="Aptos"/>
          <w:sz w:val="20"/>
          <w:szCs w:val="20"/>
        </w:rPr>
        <w:fldChar w:fldCharType="separate"/>
      </w:r>
      <w:r w:rsidR="00FF4210" w:rsidRPr="00FF4210">
        <w:rPr>
          <w:rFonts w:ascii="Aptos" w:hAnsi="Aptos" w:cs="Times New Roman"/>
          <w:sz w:val="20"/>
          <w:vertAlign w:val="superscript"/>
        </w:rPr>
        <w:t>119,120</w:t>
      </w:r>
      <w:r w:rsidRPr="005500F7">
        <w:rPr>
          <w:rFonts w:ascii="Aptos" w:hAnsi="Aptos"/>
          <w:sz w:val="20"/>
          <w:szCs w:val="20"/>
        </w:rPr>
        <w:fldChar w:fldCharType="end"/>
      </w:r>
      <w:r w:rsidRPr="005500F7">
        <w:rPr>
          <w:rFonts w:ascii="Aptos" w:hAnsi="Aptos"/>
          <w:sz w:val="20"/>
          <w:szCs w:val="20"/>
        </w:rPr>
        <w:t>:</w:t>
      </w:r>
    </w:p>
    <w:p w14:paraId="6980DC02" w14:textId="77777777" w:rsidR="00B87F2F" w:rsidRDefault="006F2516" w:rsidP="007779E7">
      <w:pPr>
        <w:pStyle w:val="ListParagraph"/>
        <w:numPr>
          <w:ilvl w:val="0"/>
          <w:numId w:val="26"/>
        </w:numPr>
        <w:rPr>
          <w:rFonts w:ascii="Aptos" w:hAnsi="Aptos"/>
          <w:sz w:val="20"/>
          <w:szCs w:val="20"/>
        </w:rPr>
      </w:pPr>
      <w:r w:rsidRPr="005500F7">
        <w:rPr>
          <w:rFonts w:ascii="Aptos" w:hAnsi="Aptos"/>
          <w:sz w:val="20"/>
          <w:szCs w:val="20"/>
        </w:rPr>
        <w:t>0.2 ≤small effect&lt;0.5</w:t>
      </w:r>
      <w:r w:rsidR="007779E7" w:rsidRPr="005500F7">
        <w:rPr>
          <w:rFonts w:ascii="Aptos" w:hAnsi="Aptos"/>
          <w:sz w:val="20"/>
          <w:szCs w:val="20"/>
        </w:rPr>
        <w:t xml:space="preserve"> </w:t>
      </w:r>
    </w:p>
    <w:p w14:paraId="4FE2D11E" w14:textId="77777777" w:rsidR="00B87F2F" w:rsidRDefault="006F2516" w:rsidP="007779E7">
      <w:pPr>
        <w:pStyle w:val="ListParagraph"/>
        <w:numPr>
          <w:ilvl w:val="0"/>
          <w:numId w:val="26"/>
        </w:numPr>
        <w:rPr>
          <w:rFonts w:ascii="Aptos" w:hAnsi="Aptos"/>
          <w:sz w:val="20"/>
          <w:szCs w:val="20"/>
        </w:rPr>
      </w:pPr>
      <w:r w:rsidRPr="005500F7">
        <w:rPr>
          <w:rFonts w:ascii="Aptos" w:hAnsi="Aptos"/>
          <w:sz w:val="20"/>
          <w:szCs w:val="20"/>
        </w:rPr>
        <w:t>0.5≤medium effect&lt;0.8</w:t>
      </w:r>
      <w:r w:rsidR="007779E7" w:rsidRPr="005500F7">
        <w:rPr>
          <w:rFonts w:ascii="Aptos" w:hAnsi="Aptos"/>
          <w:sz w:val="20"/>
          <w:szCs w:val="20"/>
        </w:rPr>
        <w:t xml:space="preserve"> </w:t>
      </w:r>
    </w:p>
    <w:p w14:paraId="11CB1DC0" w14:textId="5CF220D7" w:rsidR="004B51E4" w:rsidRPr="005500F7" w:rsidRDefault="006F2516" w:rsidP="007779E7">
      <w:pPr>
        <w:pStyle w:val="ListParagraph"/>
        <w:numPr>
          <w:ilvl w:val="0"/>
          <w:numId w:val="26"/>
        </w:numPr>
        <w:rPr>
          <w:rFonts w:ascii="Aptos" w:hAnsi="Aptos"/>
          <w:sz w:val="20"/>
          <w:szCs w:val="20"/>
        </w:rPr>
      </w:pPr>
      <w:r w:rsidRPr="005500F7">
        <w:rPr>
          <w:rFonts w:ascii="Aptos" w:hAnsi="Aptos"/>
          <w:sz w:val="20"/>
          <w:szCs w:val="20"/>
        </w:rPr>
        <w:t>0.8≥large effect</w:t>
      </w:r>
    </w:p>
    <w:p w14:paraId="384116FB" w14:textId="3C50A210" w:rsidR="004B51E4" w:rsidRPr="005500F7" w:rsidRDefault="006F2516" w:rsidP="004B51E4">
      <w:pPr>
        <w:jc w:val="both"/>
        <w:rPr>
          <w:rFonts w:ascii="Aptos" w:hAnsi="Aptos"/>
          <w:sz w:val="20"/>
          <w:szCs w:val="20"/>
        </w:rPr>
      </w:pPr>
      <w:r w:rsidRPr="005500F7">
        <w:rPr>
          <w:rFonts w:ascii="Aptos" w:hAnsi="Aptos"/>
          <w:sz w:val="20"/>
          <w:szCs w:val="20"/>
        </w:rPr>
        <w:t xml:space="preserve">For the chi-square test, we utilized Cramer’s v as the effect size metric, which falls within the range of 0 to 1. We followed these ranges </w:t>
      </w:r>
      <w:r w:rsidR="005500F7" w:rsidRPr="005500F7">
        <w:rPr>
          <w:rFonts w:ascii="Aptos" w:hAnsi="Aptos"/>
          <w:sz w:val="20"/>
          <w:szCs w:val="20"/>
        </w:rPr>
        <w:t>to interpret</w:t>
      </w:r>
      <w:r w:rsidRPr="005500F7">
        <w:rPr>
          <w:rFonts w:ascii="Aptos" w:hAnsi="Aptos"/>
          <w:sz w:val="20"/>
          <w:szCs w:val="20"/>
        </w:rPr>
        <w:t xml:space="preserve"> the effect size</w:t>
      </w:r>
      <w:r w:rsidRPr="005500F7">
        <w:rPr>
          <w:rFonts w:ascii="Aptos" w:hAnsi="Aptos"/>
          <w:sz w:val="20"/>
          <w:szCs w:val="20"/>
        </w:rPr>
        <w:fldChar w:fldCharType="begin"/>
      </w:r>
      <w:r w:rsidR="00FF4210">
        <w:rPr>
          <w:rFonts w:ascii="Aptos" w:hAnsi="Aptos"/>
          <w:sz w:val="20"/>
          <w:szCs w:val="20"/>
        </w:rPr>
        <w:instrText xml:space="preserve"> ADDIN ZOTERO_ITEM CSL_CITATION {"citationID":"jvuUpeeI","properties":{"formattedCitation":"\\super 120\\nosupersub{}","plainCitation":"120","noteIndex":0},"citationItems":[{"id":561,"uris":["http://zotero.org/users/local/qbj29eOf/items/7RB4JURA"],"itemData":{"id":561,"type":"book","edition":"0","ISBN":"978-1-134-74270-7","language":"en","note":"DOI: 10.4324/9780203771587","publisher":"Routledge","source":"DOI.org (Crossref)","title":"Statistical Power Analysis for the Behavioral Sciences","URL":"https://www.taylorfrancis.com/books/9781134742707","author":[{"family":"Cohen","given":"Jacob"}],"accessed":{"date-parts":[["2023",9,22]]},"issued":{"date-parts":[["2013",5,13]]}}}],"schema":"https://github.com/citation-style-language/schema/raw/master/csl-citation.json"} </w:instrText>
      </w:r>
      <w:r w:rsidRPr="005500F7">
        <w:rPr>
          <w:rFonts w:ascii="Aptos" w:hAnsi="Aptos"/>
          <w:sz w:val="20"/>
          <w:szCs w:val="20"/>
        </w:rPr>
        <w:fldChar w:fldCharType="separate"/>
      </w:r>
      <w:r w:rsidR="00FF4210" w:rsidRPr="00FF4210">
        <w:rPr>
          <w:rFonts w:ascii="Aptos" w:hAnsi="Aptos" w:cs="Times New Roman"/>
          <w:sz w:val="20"/>
          <w:vertAlign w:val="superscript"/>
        </w:rPr>
        <w:t>120</w:t>
      </w:r>
      <w:r w:rsidRPr="005500F7">
        <w:rPr>
          <w:rFonts w:ascii="Aptos" w:hAnsi="Aptos"/>
          <w:sz w:val="20"/>
          <w:szCs w:val="20"/>
        </w:rPr>
        <w:fldChar w:fldCharType="end"/>
      </w:r>
      <w:r w:rsidRPr="005500F7">
        <w:rPr>
          <w:rFonts w:ascii="Aptos" w:hAnsi="Aptos"/>
          <w:sz w:val="20"/>
          <w:szCs w:val="20"/>
        </w:rPr>
        <w:t>:</w:t>
      </w:r>
    </w:p>
    <w:p w14:paraId="2F221B05" w14:textId="77777777" w:rsidR="00B87F2F" w:rsidRDefault="007779E7" w:rsidP="007779E7">
      <w:pPr>
        <w:pStyle w:val="ListParagraph"/>
        <w:numPr>
          <w:ilvl w:val="0"/>
          <w:numId w:val="27"/>
        </w:numPr>
        <w:rPr>
          <w:rFonts w:ascii="Aptos" w:hAnsi="Aptos"/>
          <w:sz w:val="20"/>
          <w:szCs w:val="20"/>
        </w:rPr>
      </w:pPr>
      <w:r w:rsidRPr="005500F7">
        <w:rPr>
          <w:rFonts w:ascii="Aptos" w:hAnsi="Aptos"/>
          <w:sz w:val="20"/>
          <w:szCs w:val="20"/>
        </w:rPr>
        <w:t>s</w:t>
      </w:r>
      <w:r w:rsidR="006F2516" w:rsidRPr="005500F7">
        <w:rPr>
          <w:rFonts w:ascii="Aptos" w:hAnsi="Aptos"/>
          <w:sz w:val="20"/>
          <w:szCs w:val="20"/>
        </w:rPr>
        <w:t>mall effect&lt;0.15</w:t>
      </w:r>
      <w:r w:rsidRPr="005500F7">
        <w:rPr>
          <w:rFonts w:ascii="Aptos" w:hAnsi="Aptos"/>
          <w:sz w:val="20"/>
          <w:szCs w:val="20"/>
        </w:rPr>
        <w:t xml:space="preserve"> </w:t>
      </w:r>
    </w:p>
    <w:p w14:paraId="37A4A8E9" w14:textId="77777777" w:rsidR="00B87F2F" w:rsidRDefault="006F2516" w:rsidP="007779E7">
      <w:pPr>
        <w:pStyle w:val="ListParagraph"/>
        <w:numPr>
          <w:ilvl w:val="0"/>
          <w:numId w:val="27"/>
        </w:numPr>
        <w:rPr>
          <w:rFonts w:ascii="Aptos" w:hAnsi="Aptos"/>
          <w:sz w:val="20"/>
          <w:szCs w:val="20"/>
        </w:rPr>
      </w:pPr>
      <w:r w:rsidRPr="005500F7">
        <w:rPr>
          <w:rFonts w:ascii="Aptos" w:hAnsi="Aptos"/>
          <w:sz w:val="20"/>
          <w:szCs w:val="20"/>
        </w:rPr>
        <w:t>0.15≤medium effect&lt;0.25</w:t>
      </w:r>
      <w:r w:rsidR="007779E7" w:rsidRPr="005500F7">
        <w:rPr>
          <w:rFonts w:ascii="Aptos" w:hAnsi="Aptos"/>
          <w:sz w:val="20"/>
          <w:szCs w:val="20"/>
        </w:rPr>
        <w:t xml:space="preserve"> </w:t>
      </w:r>
    </w:p>
    <w:p w14:paraId="58905EE6" w14:textId="2ACDE3B0" w:rsidR="004B51E4" w:rsidRDefault="007779E7" w:rsidP="007779E7">
      <w:pPr>
        <w:pStyle w:val="ListParagraph"/>
        <w:numPr>
          <w:ilvl w:val="0"/>
          <w:numId w:val="27"/>
        </w:numPr>
        <w:rPr>
          <w:rFonts w:ascii="Aptos" w:hAnsi="Aptos"/>
          <w:sz w:val="20"/>
          <w:szCs w:val="20"/>
        </w:rPr>
      </w:pPr>
      <w:r w:rsidRPr="005500F7">
        <w:rPr>
          <w:rFonts w:ascii="Aptos" w:hAnsi="Aptos"/>
          <w:sz w:val="20"/>
          <w:szCs w:val="20"/>
        </w:rPr>
        <w:t>large effect</w:t>
      </w:r>
      <w:r w:rsidR="006F2516" w:rsidRPr="005500F7">
        <w:rPr>
          <w:rFonts w:ascii="Aptos" w:hAnsi="Aptos"/>
          <w:sz w:val="20"/>
          <w:szCs w:val="20"/>
        </w:rPr>
        <w:t xml:space="preserve"> ≥0.25 </w:t>
      </w:r>
    </w:p>
    <w:p w14:paraId="5F94522D" w14:textId="77777777" w:rsidR="005500F7" w:rsidRDefault="005500F7" w:rsidP="005500F7">
      <w:pPr>
        <w:rPr>
          <w:rFonts w:ascii="Aptos" w:hAnsi="Aptos"/>
          <w:sz w:val="20"/>
          <w:szCs w:val="20"/>
        </w:rPr>
      </w:pPr>
    </w:p>
    <w:p w14:paraId="5A2E4357" w14:textId="77777777" w:rsidR="005500F7" w:rsidRDefault="005500F7" w:rsidP="005500F7">
      <w:pPr>
        <w:rPr>
          <w:rFonts w:ascii="Aptos" w:hAnsi="Aptos"/>
          <w:sz w:val="20"/>
          <w:szCs w:val="20"/>
        </w:rPr>
      </w:pPr>
    </w:p>
    <w:p w14:paraId="429E63EF" w14:textId="0A361EBD" w:rsidR="00427380" w:rsidRDefault="00427380">
      <w:pPr>
        <w:rPr>
          <w:rFonts w:ascii="Aptos" w:hAnsi="Aptos"/>
          <w:sz w:val="20"/>
          <w:szCs w:val="20"/>
        </w:rPr>
      </w:pPr>
      <w:r>
        <w:rPr>
          <w:rFonts w:ascii="Aptos" w:hAnsi="Aptos"/>
          <w:sz w:val="20"/>
          <w:szCs w:val="20"/>
        </w:rPr>
        <w:br w:type="page"/>
      </w:r>
    </w:p>
    <w:p w14:paraId="35957F43" w14:textId="77777777" w:rsidR="00BB6A15" w:rsidRPr="005500F7" w:rsidRDefault="006F2516" w:rsidP="00BB6A15">
      <w:pPr>
        <w:pStyle w:val="Heading1"/>
        <w:rPr>
          <w:rFonts w:ascii="Aptos" w:hAnsi="Aptos"/>
          <w:sz w:val="20"/>
          <w:szCs w:val="20"/>
        </w:rPr>
      </w:pPr>
      <w:r w:rsidRPr="005500F7">
        <w:rPr>
          <w:rFonts w:ascii="Aptos" w:hAnsi="Aptos"/>
          <w:sz w:val="20"/>
          <w:szCs w:val="20"/>
        </w:rPr>
        <w:lastRenderedPageBreak/>
        <w:t>Neural Feature Categories</w:t>
      </w:r>
    </w:p>
    <w:p w14:paraId="434001C9" w14:textId="77777777" w:rsidR="00A0527A" w:rsidRPr="005500F7" w:rsidRDefault="006F2516" w:rsidP="00A0527A">
      <w:pPr>
        <w:rPr>
          <w:rFonts w:ascii="Aptos" w:hAnsi="Aptos"/>
          <w:sz w:val="20"/>
          <w:szCs w:val="20"/>
        </w:rPr>
      </w:pPr>
      <w:r w:rsidRPr="005500F7">
        <w:rPr>
          <w:rFonts w:ascii="Aptos" w:hAnsi="Aptos"/>
          <w:sz w:val="20"/>
          <w:szCs w:val="20"/>
        </w:rPr>
        <w:t>We categorized the neural features based on their association with a specific neural phenomenon for several analyses.</w:t>
      </w:r>
    </w:p>
    <w:p w14:paraId="09914AB3" w14:textId="587A221B" w:rsidR="00BB6A15" w:rsidRPr="005500F7" w:rsidRDefault="00E345AE" w:rsidP="00A0527A">
      <w:pPr>
        <w:jc w:val="both"/>
        <w:rPr>
          <w:rFonts w:ascii="Aptos" w:hAnsi="Aptos"/>
          <w:b/>
          <w:bCs/>
          <w:sz w:val="20"/>
          <w:szCs w:val="20"/>
        </w:rPr>
      </w:pPr>
      <w:r w:rsidRPr="005500F7">
        <w:rPr>
          <w:rFonts w:ascii="Aptos" w:hAnsi="Aptos"/>
          <w:b/>
          <w:bCs/>
          <w:sz w:val="20"/>
          <w:szCs w:val="20"/>
        </w:rPr>
        <w:t xml:space="preserve">Supplementary Table </w:t>
      </w:r>
      <w:r w:rsidR="00705731">
        <w:rPr>
          <w:rFonts w:ascii="Aptos" w:hAnsi="Aptos"/>
          <w:b/>
          <w:bCs/>
          <w:sz w:val="20"/>
          <w:szCs w:val="20"/>
        </w:rPr>
        <w:t>7.</w:t>
      </w:r>
      <w:r w:rsidRPr="005500F7">
        <w:rPr>
          <w:rFonts w:ascii="Aptos" w:hAnsi="Aptos"/>
          <w:b/>
          <w:bCs/>
          <w:sz w:val="20"/>
          <w:szCs w:val="20"/>
        </w:rPr>
        <w:t xml:space="preserve"> Neural features and the neural phenomena </w:t>
      </w:r>
      <w:r w:rsidR="006F2516" w:rsidRPr="005500F7">
        <w:rPr>
          <w:rFonts w:ascii="Aptos" w:hAnsi="Aptos"/>
          <w:b/>
          <w:bCs/>
          <w:sz w:val="20"/>
          <w:szCs w:val="20"/>
        </w:rPr>
        <w:t xml:space="preserve">associated with </w:t>
      </w:r>
      <w:r w:rsidR="007779E7" w:rsidRPr="005500F7">
        <w:rPr>
          <w:rFonts w:ascii="Aptos" w:hAnsi="Aptos"/>
          <w:b/>
          <w:bCs/>
          <w:sz w:val="20"/>
          <w:szCs w:val="20"/>
        </w:rPr>
        <w:t>them.</w:t>
      </w:r>
    </w:p>
    <w:tbl>
      <w:tblPr>
        <w:tblStyle w:val="TableGrid"/>
        <w:tblW w:w="0" w:type="auto"/>
        <w:jc w:val="center"/>
        <w:tblLook w:val="04A0" w:firstRow="1" w:lastRow="0" w:firstColumn="1" w:lastColumn="0" w:noHBand="0" w:noVBand="1"/>
      </w:tblPr>
      <w:tblGrid>
        <w:gridCol w:w="2819"/>
        <w:gridCol w:w="1525"/>
        <w:gridCol w:w="1286"/>
        <w:gridCol w:w="1032"/>
        <w:gridCol w:w="1317"/>
        <w:gridCol w:w="1066"/>
      </w:tblGrid>
      <w:tr w:rsidR="007779E7" w:rsidRPr="005500F7" w14:paraId="624DA3FB" w14:textId="77777777" w:rsidTr="00855BFE">
        <w:trPr>
          <w:trHeight w:val="278"/>
          <w:jc w:val="center"/>
        </w:trPr>
        <w:tc>
          <w:tcPr>
            <w:tcW w:w="2819"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25EB5DDD" w14:textId="77777777" w:rsidR="007779E7" w:rsidRPr="005500F7" w:rsidRDefault="007779E7" w:rsidP="009A5B7D">
            <w:pPr>
              <w:pStyle w:val="NoSpacing"/>
              <w:ind w:firstLine="0"/>
              <w:jc w:val="center"/>
              <w:rPr>
                <w:rFonts w:ascii="Aptos" w:hAnsi="Aptos" w:cs="Times New Roman"/>
                <w:sz w:val="20"/>
                <w:szCs w:val="20"/>
              </w:rPr>
            </w:pPr>
            <w:bookmarkStart w:id="7" w:name="_Hlk147237508"/>
            <w:r w:rsidRPr="005500F7">
              <w:rPr>
                <w:rFonts w:ascii="Aptos" w:hAnsi="Aptos" w:cs="Times New Roman"/>
                <w:b/>
                <w:sz w:val="20"/>
                <w:szCs w:val="20"/>
              </w:rPr>
              <w:t>Neural Feature</w:t>
            </w:r>
          </w:p>
        </w:tc>
        <w:tc>
          <w:tcPr>
            <w:tcW w:w="1525"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517CC0E6" w14:textId="19BBFC95" w:rsidR="007779E7" w:rsidRPr="005500F7" w:rsidRDefault="007779E7" w:rsidP="00112247">
            <w:pPr>
              <w:pStyle w:val="NoSpacing"/>
              <w:ind w:firstLine="0"/>
              <w:jc w:val="center"/>
              <w:rPr>
                <w:rFonts w:ascii="Aptos" w:hAnsi="Aptos" w:cs="Times New Roman"/>
                <w:b/>
                <w:sz w:val="20"/>
                <w:szCs w:val="20"/>
              </w:rPr>
            </w:pPr>
            <w:r w:rsidRPr="005500F7">
              <w:rPr>
                <w:rFonts w:ascii="Aptos" w:hAnsi="Aptos" w:cs="Times New Roman"/>
                <w:b/>
                <w:sz w:val="20"/>
                <w:szCs w:val="20"/>
              </w:rPr>
              <w:t>Regularity</w:t>
            </w:r>
          </w:p>
        </w:tc>
        <w:tc>
          <w:tcPr>
            <w:tcW w:w="1286"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3A011AAF" w14:textId="5C8948D5" w:rsidR="007779E7" w:rsidRPr="005500F7" w:rsidRDefault="007779E7" w:rsidP="00112247">
            <w:pPr>
              <w:pStyle w:val="NoSpacing"/>
              <w:ind w:firstLine="0"/>
              <w:jc w:val="center"/>
              <w:rPr>
                <w:rFonts w:ascii="Aptos" w:hAnsi="Aptos" w:cs="Times New Roman"/>
                <w:b/>
                <w:sz w:val="20"/>
                <w:szCs w:val="20"/>
              </w:rPr>
            </w:pPr>
            <w:r w:rsidRPr="005500F7">
              <w:rPr>
                <w:rFonts w:ascii="Aptos" w:hAnsi="Aptos" w:cs="Times New Roman"/>
                <w:b/>
                <w:sz w:val="20"/>
                <w:szCs w:val="20"/>
              </w:rPr>
              <w:t>Bursts</w:t>
            </w:r>
          </w:p>
        </w:tc>
        <w:tc>
          <w:tcPr>
            <w:tcW w:w="1032"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57699153" w14:textId="20970436" w:rsidR="007779E7" w:rsidRPr="005500F7" w:rsidRDefault="007779E7" w:rsidP="009A5B7D">
            <w:pPr>
              <w:pStyle w:val="NoSpacing"/>
              <w:ind w:firstLine="0"/>
              <w:jc w:val="center"/>
              <w:rPr>
                <w:rFonts w:ascii="Aptos" w:hAnsi="Aptos" w:cs="Times New Roman"/>
                <w:b/>
                <w:sz w:val="20"/>
                <w:szCs w:val="20"/>
              </w:rPr>
            </w:pPr>
            <w:r w:rsidRPr="005500F7">
              <w:rPr>
                <w:rFonts w:ascii="Aptos" w:hAnsi="Aptos" w:cs="Times New Roman"/>
                <w:b/>
                <w:sz w:val="20"/>
                <w:szCs w:val="20"/>
              </w:rPr>
              <w:t>Pauses</w:t>
            </w:r>
          </w:p>
        </w:tc>
        <w:tc>
          <w:tcPr>
            <w:tcW w:w="1241"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07F9109F" w14:textId="7B69B022" w:rsidR="007779E7" w:rsidRPr="005500F7" w:rsidRDefault="007779E7" w:rsidP="009A5B7D">
            <w:pPr>
              <w:pStyle w:val="NoSpacing"/>
              <w:ind w:firstLine="0"/>
              <w:jc w:val="center"/>
              <w:rPr>
                <w:rFonts w:ascii="Aptos" w:hAnsi="Aptos" w:cs="Times New Roman"/>
                <w:b/>
                <w:sz w:val="20"/>
                <w:szCs w:val="20"/>
              </w:rPr>
            </w:pPr>
            <w:r w:rsidRPr="005500F7">
              <w:rPr>
                <w:rFonts w:ascii="Aptos" w:hAnsi="Aptos" w:cs="Times New Roman"/>
                <w:b/>
                <w:sz w:val="20"/>
                <w:szCs w:val="20"/>
              </w:rPr>
              <w:t>Oscillations</w:t>
            </w:r>
          </w:p>
        </w:tc>
        <w:tc>
          <w:tcPr>
            <w:tcW w:w="106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78FF53B6" w14:textId="77777777" w:rsidR="007779E7" w:rsidRPr="005500F7" w:rsidRDefault="007779E7" w:rsidP="009A5B7D">
            <w:pPr>
              <w:pStyle w:val="NoSpacing"/>
              <w:ind w:firstLine="0"/>
              <w:jc w:val="center"/>
              <w:rPr>
                <w:rFonts w:ascii="Aptos" w:hAnsi="Aptos" w:cs="Times New Roman"/>
                <w:b/>
                <w:sz w:val="20"/>
                <w:szCs w:val="20"/>
              </w:rPr>
            </w:pPr>
            <w:r w:rsidRPr="005500F7">
              <w:rPr>
                <w:rFonts w:ascii="Aptos" w:hAnsi="Aptos" w:cs="Times New Roman"/>
                <w:b/>
                <w:sz w:val="20"/>
                <w:szCs w:val="20"/>
              </w:rPr>
              <w:t>Pattern</w:t>
            </w:r>
          </w:p>
        </w:tc>
      </w:tr>
      <w:tr w:rsidR="007779E7" w:rsidRPr="005500F7" w14:paraId="7569F51A" w14:textId="77777777" w:rsidTr="007779E7">
        <w:trPr>
          <w:jc w:val="center"/>
        </w:trPr>
        <w:tc>
          <w:tcPr>
            <w:tcW w:w="2819"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14:paraId="5798BE35" w14:textId="49633A91"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firing</w:t>
            </w:r>
            <w:r w:rsidR="00500008">
              <w:rPr>
                <w:rFonts w:ascii="Aptos" w:hAnsi="Aptos" w:cs="Times New Roman"/>
                <w:sz w:val="20"/>
                <w:szCs w:val="20"/>
              </w:rPr>
              <w:t xml:space="preserve"> </w:t>
            </w:r>
            <w:r w:rsidRPr="005500F7">
              <w:rPr>
                <w:rFonts w:ascii="Aptos" w:hAnsi="Aptos" w:cs="Times New Roman"/>
                <w:sz w:val="20"/>
                <w:szCs w:val="20"/>
              </w:rPr>
              <w:t>rate</w:t>
            </w:r>
          </w:p>
        </w:tc>
        <w:tc>
          <w:tcPr>
            <w:tcW w:w="1525"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19C5D1EB"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512F5F8"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372FD84"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D74834C"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9DDEC59"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0C96255"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ECDE2D" w14:textId="7ECABAE4"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firing</w:t>
            </w:r>
            <w:r w:rsidR="00500008">
              <w:rPr>
                <w:rFonts w:ascii="Aptos" w:hAnsi="Aptos" w:cs="Times New Roman"/>
                <w:sz w:val="20"/>
                <w:szCs w:val="20"/>
              </w:rPr>
              <w:t xml:space="preserve"> </w:t>
            </w:r>
            <w:r w:rsidRPr="005500F7">
              <w:rPr>
                <w:rFonts w:ascii="Aptos" w:hAnsi="Aptos" w:cs="Times New Roman"/>
                <w:sz w:val="20"/>
                <w:szCs w:val="20"/>
              </w:rPr>
              <w:t>regularity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46EB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93561"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1B995"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295FF9"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39AF1"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C1142E0"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CE3C69" w14:textId="77777777"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cv</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04057"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12C4A"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CCEE6"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A3A5B"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AD5EA5"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12255492"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3F6BCF" w14:textId="77777777"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lv</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7CC47"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047EBB"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EBBF4"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D4852"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C52FA"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B783578"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2A319E" w14:textId="4270C473"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isi</w:t>
            </w:r>
            <w:r w:rsidR="00500008">
              <w:rPr>
                <w:rFonts w:ascii="Aptos" w:hAnsi="Aptos" w:cs="Times New Roman"/>
                <w:sz w:val="20"/>
                <w:szCs w:val="20"/>
              </w:rPr>
              <w:t xml:space="preserve"> </w:t>
            </w:r>
            <w:r w:rsidRPr="005500F7">
              <w:rPr>
                <w:rFonts w:ascii="Aptos" w:hAnsi="Aptos" w:cs="Times New Roman"/>
                <w:sz w:val="20"/>
                <w:szCs w:val="20"/>
              </w:rPr>
              <w:t>mean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BE464E"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BD1E4"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CFCA1B"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4313"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F24DD"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0FF5E02C"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A845B6" w14:textId="7B2D40EC"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isi</w:t>
            </w:r>
            <w:r w:rsidR="00500008">
              <w:rPr>
                <w:rFonts w:ascii="Aptos" w:hAnsi="Aptos" w:cs="Times New Roman"/>
                <w:sz w:val="20"/>
                <w:szCs w:val="20"/>
              </w:rPr>
              <w:t xml:space="preserve"> </w:t>
            </w:r>
            <w:r w:rsidRPr="005500F7">
              <w:rPr>
                <w:rFonts w:ascii="Aptos" w:hAnsi="Aptos" w:cs="Times New Roman"/>
                <w:sz w:val="20"/>
                <w:szCs w:val="20"/>
              </w:rPr>
              <w:t>std</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7408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3DDC7"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FE77E"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0C28F"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4D678"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5DBB5A56"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A5B666" w14:textId="12209313"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isi</w:t>
            </w:r>
            <w:r w:rsidR="00500008">
              <w:rPr>
                <w:rFonts w:ascii="Aptos" w:hAnsi="Aptos" w:cs="Times New Roman"/>
                <w:sz w:val="20"/>
                <w:szCs w:val="20"/>
              </w:rPr>
              <w:t xml:space="preserve"> </w:t>
            </w:r>
            <w:r w:rsidRPr="005500F7">
              <w:rPr>
                <w:rFonts w:ascii="Aptos" w:hAnsi="Aptos" w:cs="Times New Roman"/>
                <w:sz w:val="20"/>
                <w:szCs w:val="20"/>
              </w:rPr>
              <w:t>skewness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534CA7"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0AE8F"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58296"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F77C8"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2EB7B"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A5E9A1B"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85894E" w14:textId="06B704C4"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isi</w:t>
            </w:r>
            <w:r w:rsidR="00500008">
              <w:rPr>
                <w:rFonts w:ascii="Aptos" w:hAnsi="Aptos" w:cs="Times New Roman"/>
                <w:sz w:val="20"/>
                <w:szCs w:val="20"/>
              </w:rPr>
              <w:t xml:space="preserve"> </w:t>
            </w:r>
            <w:r w:rsidRPr="005500F7">
              <w:rPr>
                <w:rFonts w:ascii="Aptos" w:hAnsi="Aptos" w:cs="Times New Roman"/>
                <w:sz w:val="20"/>
                <w:szCs w:val="20"/>
              </w:rPr>
              <w:t>rho</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15D0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B0B18"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575FA"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BE4FD"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8CB0C6"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666958F"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AD627" w14:textId="363E83E8"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index</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64F91"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272665"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F8DDC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6153D8"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DA478F"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0F559730"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847FDD" w14:textId="175737AC"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ratio</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A374B"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83BAB"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36000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AC4F36"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77A5A"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5FFF685F"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95C7EE" w14:textId="07FF738A"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asymmetry</w:t>
            </w:r>
            <w:r w:rsidR="00500008">
              <w:rPr>
                <w:rFonts w:ascii="Aptos" w:hAnsi="Aptos" w:cs="Times New Roman"/>
                <w:sz w:val="20"/>
                <w:szCs w:val="20"/>
              </w:rPr>
              <w:t xml:space="preserve"> </w:t>
            </w:r>
            <w:r w:rsidRPr="005500F7">
              <w:rPr>
                <w:rFonts w:ascii="Aptos" w:hAnsi="Aptos" w:cs="Times New Roman"/>
                <w:sz w:val="20"/>
                <w:szCs w:val="20"/>
              </w:rPr>
              <w:t>index</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3D7D7"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C3FE6"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C50DE"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72738"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86FA0"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A559F90"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53F307" w14:textId="6E00357E"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tonic</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F50AD"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6BD5D"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FB5B52"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B3E04"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70880"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697492AB"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D74B3A" w14:textId="1911241A"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irregular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DC9E8"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E7C151"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F019F6"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20F4E4"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FB8D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r>
      <w:tr w:rsidR="007779E7" w:rsidRPr="005500F7" w14:paraId="468EAEE5"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2B8A7B" w14:textId="41A2C0B4"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index</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6C5AC9"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3C382"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D0410B"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5C35A3"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82849C"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368DE0CB"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86A9E" w14:textId="50E9C14E"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average</w:t>
            </w:r>
            <w:r w:rsidR="00500008">
              <w:rPr>
                <w:rFonts w:ascii="Aptos" w:hAnsi="Aptos" w:cs="Times New Roman"/>
                <w:sz w:val="20"/>
                <w:szCs w:val="20"/>
              </w:rPr>
              <w:t xml:space="preserve"> </w:t>
            </w:r>
            <w:r w:rsidRPr="005500F7">
              <w:rPr>
                <w:rFonts w:ascii="Aptos" w:hAnsi="Aptos" w:cs="Times New Roman"/>
                <w:sz w:val="20"/>
                <w:szCs w:val="20"/>
              </w:rPr>
              <w:t>spikes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7F3107"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89650"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B3A73"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E413D"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19BDEA"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0FD9114B"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F5AAFA" w14:textId="331488C9"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spike</w:t>
            </w:r>
            <w:r w:rsidR="00500008">
              <w:rPr>
                <w:rFonts w:ascii="Aptos" w:hAnsi="Aptos" w:cs="Times New Roman"/>
                <w:sz w:val="20"/>
                <w:szCs w:val="20"/>
              </w:rPr>
              <w:t xml:space="preserve"> </w:t>
            </w:r>
            <w:r w:rsidRPr="005500F7">
              <w:rPr>
                <w:rFonts w:ascii="Aptos" w:hAnsi="Aptos" w:cs="Times New Roman"/>
                <w:sz w:val="20"/>
                <w:szCs w:val="20"/>
              </w:rPr>
              <w:t>proportion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AD33DB"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B15E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4F5DF"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93E82"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FF18C"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6DB46C6C"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7931A8" w14:textId="35D05ACA"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duration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2B17A"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0F7F0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9AE25"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ACA09"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559A35"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7E65EE6"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B052F0" w14:textId="19CF8478"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inter</w:t>
            </w:r>
            <w:r w:rsidR="00500008">
              <w:rPr>
                <w:rFonts w:ascii="Aptos" w:hAnsi="Aptos" w:cs="Times New Roman"/>
                <w:sz w:val="20"/>
                <w:szCs w:val="20"/>
              </w:rPr>
              <w:t xml:space="preserve"> </w:t>
            </w: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duration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6A83A6"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95592"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64627B"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2FB7A"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1640D4"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FE884D3"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D38D32" w14:textId="49199F79"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freq</w:t>
            </w:r>
            <w:r w:rsidR="00500008">
              <w:rPr>
                <w:rFonts w:ascii="Aptos" w:hAnsi="Aptos" w:cs="Times New Roman"/>
                <w:sz w:val="20"/>
                <w:szCs w:val="20"/>
              </w:rPr>
              <w:t>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CA9E1"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6DFA1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0775D"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FDC03"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F845E4"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24208BE3"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3C7B54" w14:textId="7707C16A"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w:t>
            </w:r>
            <w:r w:rsidR="00500008">
              <w:rPr>
                <w:rFonts w:ascii="Aptos" w:hAnsi="Aptos" w:cs="Times New Roman"/>
                <w:sz w:val="20"/>
                <w:szCs w:val="20"/>
              </w:rPr>
              <w:t xml:space="preserve"> </w:t>
            </w:r>
            <w:r w:rsidRPr="005500F7">
              <w:rPr>
                <w:rFonts w:ascii="Aptos" w:hAnsi="Aptos" w:cs="Times New Roman"/>
                <w:sz w:val="20"/>
                <w:szCs w:val="20"/>
              </w:rPr>
              <w:t>count</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415D6"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6A828"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DD249"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79067F"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B1705"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392181E0" w14:textId="77777777" w:rsidTr="007779E7">
        <w:trPr>
          <w:trHeight w:val="93"/>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34E9F" w14:textId="7F940540"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bursting</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BE45C"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4528B"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F9661"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8F90E"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7648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r>
      <w:tr w:rsidR="007779E7" w:rsidRPr="005500F7" w14:paraId="12543CC5"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0521B" w14:textId="6C9A714B"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freq</w:t>
            </w:r>
            <w:r w:rsidR="00500008">
              <w:rPr>
                <w:rFonts w:ascii="Aptos" w:hAnsi="Aptos" w:cs="Times New Roman"/>
                <w:sz w:val="20"/>
                <w:szCs w:val="20"/>
              </w:rPr>
              <w:t>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DAA695"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5749F"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7F771"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6C714F"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B393"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2A98C89F"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AC1454" w14:textId="7BF92CA0"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duration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94AE4A"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F0335"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AD62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778F4"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48051B"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4943B7F"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555719" w14:textId="11DE27A2"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time</w:t>
            </w:r>
            <w:r w:rsidR="00500008">
              <w:rPr>
                <w:rFonts w:ascii="Aptos" w:hAnsi="Aptos" w:cs="Times New Roman"/>
                <w:sz w:val="20"/>
                <w:szCs w:val="20"/>
              </w:rPr>
              <w:t xml:space="preserve"> </w:t>
            </w:r>
            <w:r w:rsidRPr="005500F7">
              <w:rPr>
                <w:rFonts w:ascii="Aptos" w:hAnsi="Aptos" w:cs="Times New Roman"/>
                <w:sz w:val="20"/>
                <w:szCs w:val="20"/>
              </w:rPr>
              <w:t>proportion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B4407"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6DBA99"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C7BA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0FACF"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E286B4"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33C1F888"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B7E3B" w14:textId="173240D2"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spike</w:t>
            </w:r>
            <w:r w:rsidR="00500008">
              <w:rPr>
                <w:rFonts w:ascii="Aptos" w:hAnsi="Aptos" w:cs="Times New Roman"/>
                <w:sz w:val="20"/>
                <w:szCs w:val="20"/>
              </w:rPr>
              <w:t xml:space="preserve"> </w:t>
            </w:r>
            <w:r w:rsidRPr="005500F7">
              <w:rPr>
                <w:rFonts w:ascii="Aptos" w:hAnsi="Aptos" w:cs="Times New Roman"/>
                <w:sz w:val="20"/>
                <w:szCs w:val="20"/>
              </w:rPr>
              <w:t>proportion</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68A75"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A6913"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DA4B8"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24DDC4"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C8783"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3CA1433"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683C9E" w14:textId="7DED7846"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pause</w:t>
            </w:r>
            <w:r w:rsidR="00500008">
              <w:rPr>
                <w:rFonts w:ascii="Aptos" w:hAnsi="Aptos" w:cs="Times New Roman"/>
                <w:sz w:val="20"/>
                <w:szCs w:val="20"/>
              </w:rPr>
              <w:t xml:space="preserve"> </w:t>
            </w:r>
            <w:r w:rsidRPr="005500F7">
              <w:rPr>
                <w:rFonts w:ascii="Aptos" w:hAnsi="Aptos" w:cs="Times New Roman"/>
                <w:sz w:val="20"/>
                <w:szCs w:val="20"/>
              </w:rPr>
              <w:t>count</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A509E"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3815B"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26769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08CD9" w14:textId="77777777" w:rsidR="007779E7" w:rsidRPr="005500F7" w:rsidRDefault="007779E7" w:rsidP="003F7295">
            <w:pPr>
              <w:pStyle w:val="NoSpacing"/>
              <w:ind w:firstLine="0"/>
              <w:jc w:val="center"/>
              <w:rPr>
                <w:rFonts w:ascii="Aptos" w:hAnsi="Aptos" w:cs="Times New Roman"/>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81C53"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FED900D"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75DED7" w14:textId="28F8F195" w:rsidR="007779E7" w:rsidRPr="005500F7" w:rsidRDefault="00D91039" w:rsidP="004E3777">
            <w:pPr>
              <w:pStyle w:val="NoSpacing"/>
              <w:ind w:firstLine="0"/>
              <w:jc w:val="left"/>
              <w:rPr>
                <w:rFonts w:ascii="Aptos" w:hAnsi="Aptos" w:cs="Times New Roman"/>
                <w:sz w:val="20"/>
                <w:szCs w:val="20"/>
              </w:rPr>
            </w:pPr>
            <w:r>
              <w:rPr>
                <w:rFonts w:ascii="Aptos" w:hAnsi="Aptos" w:cs="Times New Roman"/>
                <w:sz w:val="20"/>
                <w:szCs w:val="20"/>
              </w:rPr>
              <w:t xml:space="preserve">delta </w:t>
            </w:r>
            <w:r w:rsidR="007779E7" w:rsidRPr="005500F7">
              <w:rPr>
                <w:rFonts w:ascii="Aptos" w:hAnsi="Aptos" w:cs="Times New Roman"/>
                <w:sz w:val="20"/>
                <w:szCs w:val="20"/>
              </w:rPr>
              <w:t>oscillation</w:t>
            </w:r>
            <w:r>
              <w:rPr>
                <w:rFonts w:ascii="Aptos" w:hAnsi="Aptos" w:cs="Times New Roman"/>
                <w:sz w:val="20"/>
                <w:szCs w:val="20"/>
              </w:rPr>
              <w:t xml:space="preserve"> </w:t>
            </w:r>
            <w:r w:rsidR="007779E7" w:rsidRPr="005500F7">
              <w:rPr>
                <w:rFonts w:ascii="Aptos" w:hAnsi="Aptos" w:cs="Times New Roman"/>
                <w:sz w:val="20"/>
                <w:szCs w:val="20"/>
              </w:rPr>
              <w:t>frequency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2B0C1"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39D01"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AEE61"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7CFDC"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E15D9"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5517ED7E"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BC19A3" w14:textId="5D92DF7E" w:rsidR="007779E7" w:rsidRPr="005500F7" w:rsidRDefault="00500008" w:rsidP="004E3777">
            <w:pPr>
              <w:pStyle w:val="NoSpacing"/>
              <w:ind w:firstLine="0"/>
              <w:jc w:val="left"/>
              <w:rPr>
                <w:rFonts w:ascii="Aptos" w:hAnsi="Aptos" w:cs="Times New Roman"/>
                <w:sz w:val="20"/>
                <w:szCs w:val="20"/>
              </w:rPr>
            </w:pPr>
            <w:r w:rsidRPr="005500F7">
              <w:rPr>
                <w:rFonts w:ascii="Aptos" w:hAnsi="Aptos" w:cs="Times New Roman"/>
                <w:sz w:val="20"/>
                <w:szCs w:val="20"/>
              </w:rPr>
              <w:t xml:space="preserve">theta </w:t>
            </w:r>
            <w:r w:rsidR="007779E7" w:rsidRPr="005500F7">
              <w:rPr>
                <w:rFonts w:ascii="Aptos" w:hAnsi="Aptos" w:cs="Times New Roman"/>
                <w:sz w:val="20"/>
                <w:szCs w:val="20"/>
              </w:rPr>
              <w:t>oscillation</w:t>
            </w:r>
            <w:r w:rsidR="00D91039">
              <w:rPr>
                <w:rFonts w:ascii="Aptos" w:hAnsi="Aptos" w:cs="Times New Roman"/>
                <w:sz w:val="20"/>
                <w:szCs w:val="20"/>
              </w:rPr>
              <w:t xml:space="preserve"> </w:t>
            </w:r>
            <w:r w:rsidR="007779E7" w:rsidRPr="005500F7">
              <w:rPr>
                <w:rFonts w:ascii="Aptos" w:hAnsi="Aptos" w:cs="Times New Roman"/>
                <w:sz w:val="20"/>
                <w:szCs w:val="20"/>
              </w:rPr>
              <w:t>frequency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307707"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32832"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A1282"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4C0F1"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CAD4D5"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066FD7F0"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FEF01D" w14:textId="74D38B44" w:rsidR="007779E7" w:rsidRPr="005500F7" w:rsidRDefault="00500008" w:rsidP="004E3777">
            <w:pPr>
              <w:pStyle w:val="NoSpacing"/>
              <w:ind w:firstLine="0"/>
              <w:jc w:val="left"/>
              <w:rPr>
                <w:rFonts w:ascii="Aptos" w:hAnsi="Aptos" w:cs="Times New Roman"/>
                <w:sz w:val="20"/>
                <w:szCs w:val="20"/>
              </w:rPr>
            </w:pPr>
            <w:r w:rsidRPr="005500F7">
              <w:rPr>
                <w:rFonts w:ascii="Aptos" w:hAnsi="Aptos" w:cs="Times New Roman"/>
                <w:sz w:val="20"/>
                <w:szCs w:val="20"/>
              </w:rPr>
              <w:t xml:space="preserve">alpha </w:t>
            </w:r>
            <w:r w:rsidR="007779E7" w:rsidRPr="005500F7">
              <w:rPr>
                <w:rFonts w:ascii="Aptos" w:hAnsi="Aptos" w:cs="Times New Roman"/>
                <w:sz w:val="20"/>
                <w:szCs w:val="20"/>
              </w:rPr>
              <w:t>oscillation</w:t>
            </w:r>
            <w:r>
              <w:rPr>
                <w:rFonts w:ascii="Aptos" w:hAnsi="Aptos" w:cs="Times New Roman"/>
                <w:sz w:val="20"/>
                <w:szCs w:val="20"/>
              </w:rPr>
              <w:t xml:space="preserve"> </w:t>
            </w:r>
            <w:r w:rsidR="007779E7" w:rsidRPr="005500F7">
              <w:rPr>
                <w:rFonts w:ascii="Aptos" w:hAnsi="Aptos" w:cs="Times New Roman"/>
                <w:sz w:val="20"/>
                <w:szCs w:val="20"/>
              </w:rPr>
              <w:t>frequency</w:t>
            </w:r>
            <w:r w:rsidRPr="005500F7" w:rsidDel="00500008">
              <w:rPr>
                <w:rFonts w:ascii="Aptos" w:hAnsi="Aptos" w:cs="Times New Roman"/>
                <w:sz w:val="20"/>
                <w:szCs w:val="20"/>
              </w:rPr>
              <w:t xml:space="preserve"> </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E4D3E"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63304"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0516"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FCE4B"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A0104"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737B2F7"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BBCCDC" w14:textId="7D374E45" w:rsidR="007779E7" w:rsidRPr="005500F7" w:rsidRDefault="00500008" w:rsidP="004E3777">
            <w:pPr>
              <w:pStyle w:val="NoSpacing"/>
              <w:ind w:firstLine="0"/>
              <w:jc w:val="left"/>
              <w:rPr>
                <w:rFonts w:ascii="Aptos" w:hAnsi="Aptos" w:cs="Times New Roman"/>
                <w:sz w:val="20"/>
                <w:szCs w:val="20"/>
              </w:rPr>
            </w:pPr>
            <w:r w:rsidRPr="005500F7">
              <w:rPr>
                <w:rFonts w:ascii="Aptos" w:hAnsi="Aptos" w:cs="Times New Roman"/>
                <w:sz w:val="20"/>
                <w:szCs w:val="20"/>
              </w:rPr>
              <w:t xml:space="preserve">beta </w:t>
            </w:r>
            <w:r w:rsidR="007779E7" w:rsidRPr="005500F7">
              <w:rPr>
                <w:rFonts w:ascii="Aptos" w:hAnsi="Aptos" w:cs="Times New Roman"/>
                <w:sz w:val="20"/>
                <w:szCs w:val="20"/>
              </w:rPr>
              <w:t>oscillation</w:t>
            </w:r>
            <w:r>
              <w:rPr>
                <w:rFonts w:ascii="Aptos" w:hAnsi="Aptos" w:cs="Times New Roman"/>
                <w:sz w:val="20"/>
                <w:szCs w:val="20"/>
              </w:rPr>
              <w:t xml:space="preserve"> </w:t>
            </w:r>
            <w:r w:rsidR="007779E7" w:rsidRPr="005500F7">
              <w:rPr>
                <w:rFonts w:ascii="Aptos" w:hAnsi="Aptos" w:cs="Times New Roman"/>
                <w:sz w:val="20"/>
                <w:szCs w:val="20"/>
              </w:rPr>
              <w:t>frequency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ED004"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EF6DA"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0FB62"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B8D7E9"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FE268"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630DF707"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D9B0EE" w14:textId="5C7F92CC" w:rsidR="007779E7" w:rsidRPr="005500F7" w:rsidRDefault="00500008" w:rsidP="004E3777">
            <w:pPr>
              <w:pStyle w:val="NoSpacing"/>
              <w:ind w:firstLine="0"/>
              <w:jc w:val="left"/>
              <w:rPr>
                <w:rFonts w:ascii="Aptos" w:hAnsi="Aptos" w:cs="Times New Roman"/>
                <w:sz w:val="20"/>
                <w:szCs w:val="20"/>
              </w:rPr>
            </w:pPr>
            <w:r w:rsidRPr="005500F7">
              <w:rPr>
                <w:rFonts w:ascii="Aptos" w:hAnsi="Aptos" w:cs="Times New Roman"/>
                <w:sz w:val="20"/>
                <w:szCs w:val="20"/>
              </w:rPr>
              <w:t xml:space="preserve">gamma </w:t>
            </w:r>
            <w:r w:rsidR="007779E7" w:rsidRPr="005500F7">
              <w:rPr>
                <w:rFonts w:ascii="Aptos" w:hAnsi="Aptos" w:cs="Times New Roman"/>
                <w:sz w:val="20"/>
                <w:szCs w:val="20"/>
              </w:rPr>
              <w:t>oscillation</w:t>
            </w:r>
            <w:r>
              <w:rPr>
                <w:rFonts w:ascii="Aptos" w:hAnsi="Aptos" w:cs="Times New Roman"/>
                <w:sz w:val="20"/>
                <w:szCs w:val="20"/>
              </w:rPr>
              <w:t xml:space="preserve"> </w:t>
            </w:r>
            <w:r w:rsidR="007779E7" w:rsidRPr="005500F7">
              <w:rPr>
                <w:rFonts w:ascii="Aptos" w:hAnsi="Aptos" w:cs="Times New Roman"/>
                <w:sz w:val="20"/>
                <w:szCs w:val="20"/>
              </w:rPr>
              <w:t>frequency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57665"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FC05"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804B6B"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A2E9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A7E8C"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5CD08E3A"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CAC1C1" w14:textId="2995F3E6"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delta</w:t>
            </w:r>
            <w:r w:rsidR="00500008">
              <w:rPr>
                <w:rFonts w:ascii="Aptos" w:hAnsi="Aptos" w:cs="Times New Roman"/>
                <w:sz w:val="20"/>
                <w:szCs w:val="20"/>
              </w:rPr>
              <w:t xml:space="preserve"> </w:t>
            </w:r>
            <w:r w:rsidRPr="005500F7">
              <w:rPr>
                <w:rFonts w:ascii="Aptos" w:hAnsi="Aptos" w:cs="Times New Roman"/>
                <w:sz w:val="20"/>
                <w:szCs w:val="20"/>
              </w:rPr>
              <w:t>band</w:t>
            </w:r>
            <w:r w:rsidR="00500008">
              <w:rPr>
                <w:rFonts w:ascii="Aptos" w:hAnsi="Aptos" w:cs="Times New Roman"/>
                <w:sz w:val="20"/>
                <w:szCs w:val="20"/>
              </w:rPr>
              <w:t xml:space="preserve"> </w:t>
            </w: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77C667"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034D96"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C44A1D"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BED1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43C51"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77A906E8"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ED3404" w14:textId="26674F8B"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theta</w:t>
            </w:r>
            <w:r w:rsidR="00500008">
              <w:rPr>
                <w:rFonts w:ascii="Aptos" w:hAnsi="Aptos" w:cs="Times New Roman"/>
                <w:sz w:val="20"/>
                <w:szCs w:val="20"/>
              </w:rPr>
              <w:t xml:space="preserve"> </w:t>
            </w:r>
            <w:r w:rsidRPr="005500F7">
              <w:rPr>
                <w:rFonts w:ascii="Aptos" w:hAnsi="Aptos" w:cs="Times New Roman"/>
                <w:sz w:val="20"/>
                <w:szCs w:val="20"/>
              </w:rPr>
              <w:t>band</w:t>
            </w:r>
            <w:r w:rsidR="00500008">
              <w:rPr>
                <w:rFonts w:ascii="Aptos" w:hAnsi="Aptos" w:cs="Times New Roman"/>
                <w:sz w:val="20"/>
                <w:szCs w:val="20"/>
              </w:rPr>
              <w:t xml:space="preserve"> </w:t>
            </w: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F15B56"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49E2EF"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3CBDB"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07304"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92DDB"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66A0DC2"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7AF568" w14:textId="4F10A629"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alpha</w:t>
            </w:r>
            <w:r w:rsidR="00500008">
              <w:rPr>
                <w:rFonts w:ascii="Aptos" w:hAnsi="Aptos" w:cs="Times New Roman"/>
                <w:sz w:val="20"/>
                <w:szCs w:val="20"/>
              </w:rPr>
              <w:t xml:space="preserve"> </w:t>
            </w:r>
            <w:r w:rsidRPr="005500F7">
              <w:rPr>
                <w:rFonts w:ascii="Aptos" w:hAnsi="Aptos" w:cs="Times New Roman"/>
                <w:sz w:val="20"/>
                <w:szCs w:val="20"/>
              </w:rPr>
              <w:t>band</w:t>
            </w:r>
            <w:r w:rsidR="00500008">
              <w:rPr>
                <w:rFonts w:ascii="Aptos" w:hAnsi="Aptos" w:cs="Times New Roman"/>
                <w:sz w:val="20"/>
                <w:szCs w:val="20"/>
              </w:rPr>
              <w:t xml:space="preserve"> </w:t>
            </w: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56BD3"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65DB7"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5E3B6"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DD99BA"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5F61E4"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4F232858"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EAA42" w14:textId="7D9CC05C"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beta</w:t>
            </w:r>
            <w:r w:rsidR="00500008">
              <w:rPr>
                <w:rFonts w:ascii="Aptos" w:hAnsi="Aptos" w:cs="Times New Roman"/>
                <w:sz w:val="20"/>
                <w:szCs w:val="20"/>
              </w:rPr>
              <w:t xml:space="preserve"> </w:t>
            </w:r>
            <w:r w:rsidRPr="005500F7">
              <w:rPr>
                <w:rFonts w:ascii="Aptos" w:hAnsi="Aptos" w:cs="Times New Roman"/>
                <w:sz w:val="20"/>
                <w:szCs w:val="20"/>
              </w:rPr>
              <w:t>band</w:t>
            </w:r>
            <w:r w:rsidR="00500008">
              <w:rPr>
                <w:rFonts w:ascii="Aptos" w:hAnsi="Aptos" w:cs="Times New Roman"/>
                <w:sz w:val="20"/>
                <w:szCs w:val="20"/>
              </w:rPr>
              <w:t xml:space="preserve"> </w:t>
            </w: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F69D8F"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77341"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D6BA4"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7430E"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426B5"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5B2D21D7"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CF9602" w14:textId="05EAA380"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gamma</w:t>
            </w:r>
            <w:r w:rsidR="00500008">
              <w:rPr>
                <w:rFonts w:ascii="Aptos" w:hAnsi="Aptos" w:cs="Times New Roman"/>
                <w:sz w:val="20"/>
                <w:szCs w:val="20"/>
              </w:rPr>
              <w:t xml:space="preserve"> </w:t>
            </w:r>
            <w:r w:rsidRPr="005500F7">
              <w:rPr>
                <w:rFonts w:ascii="Aptos" w:hAnsi="Aptos" w:cs="Times New Roman"/>
                <w:sz w:val="20"/>
                <w:szCs w:val="20"/>
              </w:rPr>
              <w:t>band</w:t>
            </w:r>
            <w:r w:rsidR="00500008">
              <w:rPr>
                <w:rFonts w:ascii="Aptos" w:hAnsi="Aptos" w:cs="Times New Roman"/>
                <w:sz w:val="20"/>
                <w:szCs w:val="20"/>
              </w:rPr>
              <w:t xml:space="preserve"> </w:t>
            </w: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A7CA1"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C0547"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357FF"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03BE5B"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A987A" w14:textId="77777777" w:rsidR="007779E7" w:rsidRPr="005500F7" w:rsidRDefault="007779E7" w:rsidP="003F7295">
            <w:pPr>
              <w:pStyle w:val="NoSpacing"/>
              <w:ind w:firstLine="0"/>
              <w:jc w:val="center"/>
              <w:rPr>
                <w:rFonts w:ascii="Aptos" w:hAnsi="Aptos" w:cs="Times New Roman"/>
                <w:sz w:val="20"/>
                <w:szCs w:val="20"/>
              </w:rPr>
            </w:pPr>
          </w:p>
        </w:tc>
      </w:tr>
      <w:tr w:rsidR="007779E7" w:rsidRPr="005500F7" w14:paraId="03033B6C" w14:textId="77777777" w:rsidTr="007779E7">
        <w:trPr>
          <w:jc w:val="center"/>
        </w:trPr>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781E61" w14:textId="2BAA43EA" w:rsidR="007779E7" w:rsidRPr="005500F7" w:rsidRDefault="007779E7" w:rsidP="004E3777">
            <w:pPr>
              <w:pStyle w:val="NoSpacing"/>
              <w:ind w:firstLine="0"/>
              <w:jc w:val="left"/>
              <w:rPr>
                <w:rFonts w:ascii="Aptos" w:hAnsi="Aptos" w:cs="Times New Roman"/>
                <w:sz w:val="20"/>
                <w:szCs w:val="20"/>
              </w:rPr>
            </w:pPr>
            <w:r w:rsidRPr="005500F7">
              <w:rPr>
                <w:rFonts w:ascii="Aptos" w:hAnsi="Aptos" w:cs="Times New Roman"/>
                <w:sz w:val="20"/>
                <w:szCs w:val="20"/>
              </w:rPr>
              <w:t>oscillatory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250F2" w14:textId="77777777" w:rsidR="007779E7" w:rsidRPr="005500F7" w:rsidRDefault="007779E7" w:rsidP="003F7295">
            <w:pPr>
              <w:pStyle w:val="NoSpacing"/>
              <w:ind w:firstLine="0"/>
              <w:jc w:val="center"/>
              <w:rPr>
                <w:rFonts w:ascii="Aptos" w:hAnsi="Aptos" w:cs="Times New Roman"/>
                <w:sz w:val="20"/>
                <w:szCs w:val="20"/>
              </w:rPr>
            </w:pPr>
          </w:p>
        </w:tc>
        <w:tc>
          <w:tcPr>
            <w:tcW w:w="1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58285D" w14:textId="77777777" w:rsidR="007779E7" w:rsidRPr="005500F7" w:rsidRDefault="007779E7" w:rsidP="003F7295">
            <w:pPr>
              <w:pStyle w:val="NoSpacing"/>
              <w:ind w:firstLine="0"/>
              <w:jc w:val="center"/>
              <w:rPr>
                <w:rFonts w:ascii="Aptos" w:hAnsi="Aptos" w:cs="Times New Roman"/>
                <w:sz w:val="20"/>
                <w:szCs w:val="20"/>
              </w:rPr>
            </w:pP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112019" w14:textId="77777777" w:rsidR="007779E7" w:rsidRPr="005500F7" w:rsidRDefault="007779E7" w:rsidP="003F7295">
            <w:pPr>
              <w:pStyle w:val="NoSpacing"/>
              <w:ind w:firstLine="0"/>
              <w:jc w:val="center"/>
              <w:rPr>
                <w:rFonts w:ascii="Aptos" w:hAnsi="Aptos" w:cs="Times New Roman"/>
                <w:sz w:val="20"/>
                <w:szCs w:val="20"/>
              </w:rPr>
            </w:pP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92E48"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159C5" w14:textId="77777777" w:rsidR="007779E7" w:rsidRPr="005500F7" w:rsidRDefault="007779E7" w:rsidP="003F7295">
            <w:pPr>
              <w:pStyle w:val="NoSpacing"/>
              <w:ind w:firstLine="0"/>
              <w:jc w:val="center"/>
              <w:rPr>
                <w:rFonts w:ascii="Aptos" w:hAnsi="Aptos" w:cs="Times New Roman"/>
                <w:sz w:val="20"/>
                <w:szCs w:val="20"/>
              </w:rPr>
            </w:pPr>
            <w:r w:rsidRPr="005500F7">
              <w:rPr>
                <w:rFonts w:ascii="Aptos" w:hAnsi="Aptos" w:cs="Times New Roman"/>
                <w:sz w:val="20"/>
                <w:szCs w:val="20"/>
              </w:rPr>
              <w:t>X</w:t>
            </w:r>
          </w:p>
        </w:tc>
      </w:tr>
      <w:bookmarkEnd w:id="7"/>
    </w:tbl>
    <w:p w14:paraId="2E22CC08" w14:textId="77777777" w:rsidR="004E3777" w:rsidRPr="005500F7" w:rsidRDefault="004E3777" w:rsidP="00131C42">
      <w:pPr>
        <w:rPr>
          <w:rFonts w:ascii="Aptos" w:hAnsi="Aptos"/>
          <w:b/>
          <w:bCs/>
          <w:sz w:val="20"/>
          <w:szCs w:val="20"/>
        </w:rPr>
      </w:pPr>
    </w:p>
    <w:p w14:paraId="41A962FE" w14:textId="77777777" w:rsidR="005500F7" w:rsidRDefault="005500F7" w:rsidP="00131C42">
      <w:pPr>
        <w:rPr>
          <w:rFonts w:ascii="Aptos" w:hAnsi="Aptos"/>
          <w:b/>
          <w:bCs/>
          <w:sz w:val="20"/>
          <w:szCs w:val="20"/>
        </w:rPr>
      </w:pPr>
    </w:p>
    <w:p w14:paraId="6012115A" w14:textId="5C8E0403" w:rsidR="00131C42" w:rsidRPr="005500F7" w:rsidRDefault="00131C42" w:rsidP="00465A56">
      <w:pPr>
        <w:jc w:val="both"/>
        <w:rPr>
          <w:rFonts w:ascii="Aptos" w:hAnsi="Aptos" w:cs="Helvetica"/>
          <w:b/>
          <w:bCs/>
          <w:sz w:val="20"/>
          <w:szCs w:val="20"/>
          <w:lang w:val="en-CA"/>
        </w:rPr>
      </w:pPr>
      <w:r w:rsidRPr="005500F7">
        <w:rPr>
          <w:rFonts w:ascii="Aptos" w:hAnsi="Aptos"/>
          <w:b/>
          <w:bCs/>
          <w:sz w:val="20"/>
          <w:szCs w:val="20"/>
        </w:rPr>
        <w:lastRenderedPageBreak/>
        <w:t>Supplementary Figure 4 –</w:t>
      </w:r>
      <w:r w:rsidRPr="005500F7">
        <w:rPr>
          <w:rFonts w:ascii="Aptos" w:hAnsi="Aptos" w:cs="Helvetica"/>
          <w:b/>
          <w:bCs/>
          <w:sz w:val="20"/>
          <w:szCs w:val="20"/>
        </w:rPr>
        <w:t xml:space="preserve"> Details of the two stratification strategies developed for dystonia genes</w:t>
      </w:r>
      <w:r w:rsidR="00164B67">
        <w:rPr>
          <w:rFonts w:ascii="Aptos" w:hAnsi="Aptos" w:cs="Helvetica"/>
          <w:b/>
          <w:bCs/>
          <w:sz w:val="20"/>
          <w:szCs w:val="20"/>
        </w:rPr>
        <w:t xml:space="preserve">. </w:t>
      </w:r>
      <w:bookmarkStart w:id="8" w:name="_Hlk174187978"/>
      <w:r w:rsidR="00691569" w:rsidRPr="00691569">
        <w:rPr>
          <w:rFonts w:ascii="Aptos" w:hAnsi="Aptos" w:cs="Helvetica"/>
          <w:sz w:val="20"/>
          <w:szCs w:val="20"/>
        </w:rPr>
        <w:t>(A) Pooling of neurons from patients with pathogenic mutations in the same dystonia gene. (B) Schematic representation of stratification by thresholding approach. (C) Schematic representation of stratification by distance approach, which categorizes dystonia genes based on the cumulative distance between neural feature value distributions.</w:t>
      </w:r>
      <w:bookmarkEnd w:id="8"/>
    </w:p>
    <w:p w14:paraId="4F69AADE" w14:textId="16C67A1D" w:rsidR="00131C42" w:rsidRPr="005500F7" w:rsidRDefault="000B5C82" w:rsidP="005500F7">
      <w:pPr>
        <w:rPr>
          <w:sz w:val="20"/>
          <w:szCs w:val="20"/>
          <w:lang w:val="en-CA"/>
        </w:rPr>
      </w:pPr>
      <w:r w:rsidRPr="005500F7">
        <w:rPr>
          <w:noProof/>
          <w:sz w:val="20"/>
          <w:szCs w:val="20"/>
          <w:lang w:val="en-CA"/>
        </w:rPr>
        <w:drawing>
          <wp:inline distT="0" distB="0" distL="0" distR="0" wp14:anchorId="574766B4" wp14:editId="710AC338">
            <wp:extent cx="5601960" cy="4826000"/>
            <wp:effectExtent l="0" t="0" r="0" b="0"/>
            <wp:docPr id="59570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005"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1960" cy="4826000"/>
                    </a:xfrm>
                    <a:prstGeom prst="rect">
                      <a:avLst/>
                    </a:prstGeom>
                  </pic:spPr>
                </pic:pic>
              </a:graphicData>
            </a:graphic>
          </wp:inline>
        </w:drawing>
      </w:r>
    </w:p>
    <w:p w14:paraId="0161DAC8" w14:textId="6643BAFF" w:rsidR="00895D2B" w:rsidRPr="005500F7" w:rsidRDefault="006F2516" w:rsidP="00895D2B">
      <w:pPr>
        <w:pStyle w:val="Heading1"/>
        <w:rPr>
          <w:rFonts w:ascii="Aptos" w:hAnsi="Aptos"/>
          <w:sz w:val="20"/>
          <w:szCs w:val="20"/>
        </w:rPr>
      </w:pPr>
      <w:r w:rsidRPr="005500F7">
        <w:rPr>
          <w:rFonts w:ascii="Aptos" w:hAnsi="Aptos"/>
          <w:sz w:val="20"/>
          <w:szCs w:val="20"/>
        </w:rPr>
        <w:t>Computational pipeline for neural decoders</w:t>
      </w:r>
    </w:p>
    <w:p w14:paraId="6B997B9B" w14:textId="77777777" w:rsidR="005500F7" w:rsidRPr="005500F7" w:rsidRDefault="006F2516" w:rsidP="005500F7">
      <w:pPr>
        <w:jc w:val="both"/>
        <w:rPr>
          <w:rFonts w:ascii="Aptos" w:hAnsi="Aptos" w:cs="Helvetica"/>
          <w:sz w:val="20"/>
          <w:szCs w:val="20"/>
        </w:rPr>
      </w:pPr>
      <w:r w:rsidRPr="005500F7">
        <w:rPr>
          <w:rFonts w:ascii="Aptos" w:hAnsi="Aptos" w:cs="Helvetica"/>
          <w:sz w:val="20"/>
          <w:szCs w:val="20"/>
        </w:rPr>
        <w:t xml:space="preserve">We selected the random forest tree and gradient boosting approaches, along with a voting classifier that combines the predictions of these two techniques through a soft voting mechanism. We applied a stratified 5-fold cross-validation approach in which, in each fold, we trained the models with 80% of the neurons, and then, we used the remaining 20% of the neurons to test the performances of the trained models. To assess and contrast the performance of the trained models, we relied on metrics such as the balanced accuracy score, weighted area under the curve (AUC), and weighted F1 score. We averaged the scores of these three metrics fivefold to define the final performance of each decoder. Furthermore, we conducted a comprehensive validation of our trained models using a bootstrap test with 100 iterations. In each iteration, we introduced randomness by shuffling the genetic variant information (the label </w:t>
      </w:r>
      <w:r w:rsidRPr="005500F7">
        <w:rPr>
          <w:rFonts w:ascii="Aptos" w:hAnsi="Aptos" w:cs="Helvetica"/>
          <w:sz w:val="20"/>
          <w:szCs w:val="20"/>
        </w:rPr>
        <w:lastRenderedPageBreak/>
        <w:t>attribute); subsequently, we determined the average performance of the models as described in the previous paragraph. By repeating this procedure across all iterations, we generated a distribution of values (consisting of 100 scores) representing the model's performance under random circumstances. These distributions offer insights into the models' performances in the context of random events. Subsequently, we calculated the 95th percentile of this random-event distribution for each metric, establishing an upper threshold for the models' classification performances in random events.</w:t>
      </w:r>
      <w:r w:rsidRPr="005500F7">
        <w:rPr>
          <w:rFonts w:ascii="Aptos" w:hAnsi="Aptos" w:cs="Helvetica"/>
          <w:b/>
          <w:bCs/>
          <w:sz w:val="20"/>
          <w:szCs w:val="20"/>
        </w:rPr>
        <w:t xml:space="preserve"> </w:t>
      </w:r>
      <w:r w:rsidRPr="005500F7">
        <w:rPr>
          <w:rFonts w:ascii="Aptos" w:hAnsi="Aptos" w:cs="Helvetica"/>
          <w:sz w:val="20"/>
          <w:szCs w:val="20"/>
        </w:rPr>
        <w:t>We expected that the trained models/decoders would surpass these defined thresholds when applied to the actual dataset. In instances where this did not occur, it would indicate that the model had learned the random fluctuations or errors in the neural data rather than the distinct patterns associated with each genetic variant.</w:t>
      </w:r>
    </w:p>
    <w:p w14:paraId="480339FC" w14:textId="55DF1E47" w:rsidR="00C40612" w:rsidRPr="005500F7" w:rsidRDefault="006F2516" w:rsidP="005500F7">
      <w:pPr>
        <w:pStyle w:val="Heading2"/>
        <w:rPr>
          <w:rFonts w:cs="Helvetica"/>
          <w:sz w:val="20"/>
          <w:szCs w:val="20"/>
          <w:lang w:val="en-CA"/>
        </w:rPr>
      </w:pPr>
      <w:r w:rsidRPr="005500F7">
        <w:rPr>
          <w:sz w:val="20"/>
          <w:szCs w:val="20"/>
        </w:rPr>
        <w:t>One-vs-one (OVO) Decoding</w:t>
      </w:r>
    </w:p>
    <w:p w14:paraId="03E55A9A" w14:textId="5B0751D6" w:rsidR="005500F7" w:rsidRPr="005500F7" w:rsidRDefault="006F2516" w:rsidP="00956C03">
      <w:pPr>
        <w:jc w:val="both"/>
        <w:rPr>
          <w:rFonts w:ascii="Aptos" w:hAnsi="Aptos" w:cs="Helvetica"/>
          <w:sz w:val="20"/>
          <w:szCs w:val="20"/>
        </w:rPr>
      </w:pPr>
      <w:r w:rsidRPr="005500F7">
        <w:rPr>
          <w:rFonts w:ascii="Aptos" w:hAnsi="Aptos" w:cs="Helvetica"/>
          <w:sz w:val="20"/>
          <w:szCs w:val="20"/>
        </w:rPr>
        <w:t>Given the intricate nature of decoding neural activity at the SUA level, our initial focus was on classifying the neural patterns between dystonia-causing gene pairs. In total, we identified 36 possible gene pairs. For OVO decoding, we selected neural features that exhibited at least a medium effect size (</w:t>
      </w:r>
      <w:r w:rsidRPr="005500F7">
        <w:rPr>
          <w:rFonts w:ascii="Aptos" w:hAnsi="Aptos" w:cs="Helvetica"/>
          <w:i/>
          <w:iCs/>
          <w:sz w:val="20"/>
          <w:szCs w:val="20"/>
        </w:rPr>
        <w:t xml:space="preserve">Cohen's d </w:t>
      </w:r>
      <w:r w:rsidRPr="005500F7">
        <w:rPr>
          <w:rFonts w:ascii="Aptos" w:hAnsi="Aptos" w:cs="Helvetica"/>
          <w:sz w:val="20"/>
          <w:szCs w:val="20"/>
        </w:rPr>
        <w:t xml:space="preserve">≥ 0.8 or </w:t>
      </w:r>
      <w:r w:rsidRPr="005500F7">
        <w:rPr>
          <w:rFonts w:ascii="Aptos" w:hAnsi="Aptos" w:cs="Helvetica"/>
          <w:i/>
          <w:iCs/>
          <w:sz w:val="20"/>
          <w:szCs w:val="20"/>
        </w:rPr>
        <w:t>Cramer's v</w:t>
      </w:r>
      <w:r w:rsidRPr="005500F7">
        <w:rPr>
          <w:rFonts w:ascii="Aptos" w:hAnsi="Aptos" w:cs="Helvetica"/>
          <w:sz w:val="20"/>
          <w:szCs w:val="20"/>
        </w:rPr>
        <w:t xml:space="preserve"> ≥ 0.25), which signifies their practical utility, for the variants in each pair.</w:t>
      </w:r>
      <w:r w:rsidR="00C61F28">
        <w:rPr>
          <w:rFonts w:ascii="Aptos" w:hAnsi="Aptos" w:cs="Helvetica"/>
          <w:sz w:val="20"/>
          <w:szCs w:val="20"/>
        </w:rPr>
        <w:t xml:space="preserve"> </w:t>
      </w:r>
      <w:r w:rsidR="000B481B">
        <w:rPr>
          <w:rFonts w:ascii="Aptos" w:hAnsi="Aptos" w:cs="Helvetica"/>
          <w:sz w:val="20"/>
          <w:szCs w:val="20"/>
        </w:rPr>
        <w:t>We included all features in the model training for gene pairs where this condition was not met</w:t>
      </w:r>
      <w:r w:rsidR="00C61F28">
        <w:rPr>
          <w:rFonts w:ascii="Aptos" w:hAnsi="Aptos" w:cs="Helvetica"/>
          <w:sz w:val="20"/>
          <w:szCs w:val="20"/>
        </w:rPr>
        <w:t>.</w:t>
      </w:r>
      <w:r w:rsidR="00131C42" w:rsidRPr="005500F7">
        <w:rPr>
          <w:rFonts w:ascii="Aptos" w:hAnsi="Aptos" w:cs="Helvetica"/>
          <w:sz w:val="20"/>
          <w:szCs w:val="20"/>
          <w:lang w:val="en-CA"/>
        </w:rPr>
        <w:t xml:space="preserve"> </w:t>
      </w:r>
      <w:r w:rsidRPr="005500F7">
        <w:rPr>
          <w:rFonts w:ascii="Aptos" w:hAnsi="Aptos" w:cs="Helvetica"/>
          <w:sz w:val="20"/>
          <w:szCs w:val="20"/>
        </w:rPr>
        <w:t xml:space="preserve">We presented the performance of the random forest (RF) tree classifier, gradient boost classifier, and voting classifier in terms of balanced accuracy, weighted area under the curve (AUC), and weighted F1 (Supplementary Table </w:t>
      </w:r>
      <w:r w:rsidR="000B481B">
        <w:rPr>
          <w:rFonts w:ascii="Aptos" w:hAnsi="Aptos" w:cs="Helvetica"/>
          <w:sz w:val="20"/>
          <w:szCs w:val="20"/>
        </w:rPr>
        <w:t>8</w:t>
      </w:r>
      <w:r w:rsidRPr="005500F7">
        <w:rPr>
          <w:rFonts w:ascii="Aptos" w:hAnsi="Aptos" w:cs="Helvetica"/>
          <w:sz w:val="20"/>
          <w:szCs w:val="20"/>
        </w:rPr>
        <w:t>).</w:t>
      </w:r>
    </w:p>
    <w:p w14:paraId="2F319D53" w14:textId="3F776E6D" w:rsidR="00BB6A15" w:rsidRDefault="001A4566" w:rsidP="00BB6A15">
      <w:pPr>
        <w:jc w:val="both"/>
        <w:rPr>
          <w:rFonts w:ascii="Aptos" w:hAnsi="Aptos"/>
          <w:b/>
          <w:bCs/>
          <w:sz w:val="20"/>
          <w:szCs w:val="20"/>
        </w:rPr>
      </w:pPr>
      <w:r w:rsidRPr="005500F7">
        <w:rPr>
          <w:rFonts w:ascii="Aptos" w:hAnsi="Aptos"/>
          <w:b/>
          <w:bCs/>
          <w:sz w:val="20"/>
          <w:szCs w:val="20"/>
        </w:rPr>
        <w:t xml:space="preserve">Supplementary Table </w:t>
      </w:r>
      <w:r w:rsidR="00705731">
        <w:rPr>
          <w:rFonts w:ascii="Aptos" w:hAnsi="Aptos"/>
          <w:b/>
          <w:bCs/>
          <w:sz w:val="20"/>
          <w:szCs w:val="20"/>
        </w:rPr>
        <w:t>8.</w:t>
      </w:r>
      <w:r w:rsidRPr="005500F7">
        <w:rPr>
          <w:rFonts w:ascii="Aptos" w:hAnsi="Aptos"/>
          <w:b/>
          <w:bCs/>
          <w:sz w:val="20"/>
          <w:szCs w:val="20"/>
        </w:rPr>
        <w:t xml:space="preserve"> The one-vs-one (OVO) decoding performances</w:t>
      </w:r>
    </w:p>
    <w:p w14:paraId="52B34F8D" w14:textId="77777777" w:rsidR="001B4080" w:rsidRPr="005500F7" w:rsidRDefault="001B4080" w:rsidP="00BB6A15">
      <w:pPr>
        <w:jc w:val="both"/>
        <w:rPr>
          <w:rFonts w:ascii="Aptos" w:hAnsi="Aptos"/>
          <w:b/>
          <w:bCs/>
          <w:sz w:val="20"/>
          <w:szCs w:val="20"/>
        </w:rPr>
      </w:pPr>
    </w:p>
    <w:tbl>
      <w:tblPr>
        <w:tblStyle w:val="TableGrid"/>
        <w:tblW w:w="11326" w:type="dxa"/>
        <w:jc w:val="center"/>
        <w:tblLook w:val="04A0" w:firstRow="1" w:lastRow="0" w:firstColumn="1" w:lastColumn="0" w:noHBand="0" w:noVBand="1"/>
      </w:tblPr>
      <w:tblGrid>
        <w:gridCol w:w="908"/>
        <w:gridCol w:w="908"/>
        <w:gridCol w:w="1068"/>
        <w:gridCol w:w="1051"/>
        <w:gridCol w:w="1051"/>
        <w:gridCol w:w="1068"/>
        <w:gridCol w:w="1051"/>
        <w:gridCol w:w="1051"/>
        <w:gridCol w:w="1068"/>
        <w:gridCol w:w="1051"/>
        <w:gridCol w:w="1051"/>
      </w:tblGrid>
      <w:tr w:rsidR="0017005C" w:rsidRPr="005500F7" w14:paraId="7E0F21A8" w14:textId="77777777" w:rsidTr="0050587B">
        <w:trPr>
          <w:trHeight w:val="364"/>
          <w:jc w:val="center"/>
        </w:trPr>
        <w:tc>
          <w:tcPr>
            <w:tcW w:w="1816" w:type="dxa"/>
            <w:gridSpan w:val="2"/>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6D54F1" w14:textId="77777777" w:rsidR="0029224C" w:rsidRPr="005500F7" w:rsidRDefault="006F2516" w:rsidP="0029224C">
            <w:pPr>
              <w:pStyle w:val="NoSpacing"/>
              <w:rPr>
                <w:rFonts w:ascii="Aptos" w:hAnsi="Aptos" w:cs="Times New Roman"/>
                <w:b/>
                <w:sz w:val="20"/>
                <w:szCs w:val="20"/>
              </w:rPr>
            </w:pPr>
            <w:r w:rsidRPr="005500F7">
              <w:rPr>
                <w:rFonts w:ascii="Aptos" w:hAnsi="Aptos" w:cs="Times New Roman"/>
                <w:b/>
                <w:sz w:val="20"/>
                <w:szCs w:val="20"/>
              </w:rPr>
              <w:t>Gene Pair</w:t>
            </w:r>
          </w:p>
        </w:tc>
        <w:tc>
          <w:tcPr>
            <w:tcW w:w="3170"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06606896"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Random Forest Classifier</w:t>
            </w:r>
          </w:p>
        </w:tc>
        <w:tc>
          <w:tcPr>
            <w:tcW w:w="3170" w:type="dxa"/>
            <w:gridSpan w:val="3"/>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3B98FD76" w14:textId="14E17BC2" w:rsidR="0029224C" w:rsidRPr="005500F7" w:rsidRDefault="006F2516" w:rsidP="00DA6B87">
            <w:pPr>
              <w:pStyle w:val="NoSpacing"/>
              <w:ind w:firstLine="0"/>
              <w:jc w:val="center"/>
              <w:rPr>
                <w:rFonts w:ascii="Aptos" w:hAnsi="Aptos" w:cs="Times New Roman"/>
                <w:b/>
                <w:sz w:val="20"/>
                <w:szCs w:val="20"/>
              </w:rPr>
            </w:pPr>
            <w:bookmarkStart w:id="9" w:name="_Hlk147234945"/>
            <w:r w:rsidRPr="005500F7">
              <w:rPr>
                <w:rFonts w:ascii="Aptos" w:hAnsi="Aptos" w:cs="Times New Roman"/>
                <w:b/>
                <w:sz w:val="20"/>
                <w:szCs w:val="20"/>
              </w:rPr>
              <w:t>Gradient Boost Classifier</w:t>
            </w:r>
            <w:bookmarkEnd w:id="9"/>
          </w:p>
        </w:tc>
        <w:tc>
          <w:tcPr>
            <w:tcW w:w="3170" w:type="dxa"/>
            <w:gridSpan w:val="3"/>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77406FD4"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Voting Classifier</w:t>
            </w:r>
          </w:p>
        </w:tc>
      </w:tr>
      <w:tr w:rsidR="0017005C" w:rsidRPr="005500F7" w14:paraId="33A7924F" w14:textId="77777777" w:rsidTr="0050587B">
        <w:trPr>
          <w:trHeight w:val="364"/>
          <w:jc w:val="center"/>
        </w:trPr>
        <w:tc>
          <w:tcPr>
            <w:tcW w:w="1816" w:type="dxa"/>
            <w:gridSpan w:val="2"/>
            <w:vMerge/>
            <w:tcBorders>
              <w:left w:val="single" w:sz="4" w:space="0" w:color="FFFFFF" w:themeColor="background1"/>
              <w:bottom w:val="single" w:sz="12" w:space="0" w:color="auto"/>
              <w:right w:val="single" w:sz="4" w:space="0" w:color="FFFFFF" w:themeColor="background1"/>
            </w:tcBorders>
            <w:vAlign w:val="center"/>
          </w:tcPr>
          <w:p w14:paraId="258B1DCC" w14:textId="77777777" w:rsidR="0029224C" w:rsidRPr="005500F7" w:rsidRDefault="0029224C" w:rsidP="00DA6B87">
            <w:pPr>
              <w:pStyle w:val="NoSpacing"/>
              <w:ind w:firstLine="0"/>
              <w:jc w:val="center"/>
              <w:rPr>
                <w:rFonts w:ascii="Aptos" w:hAnsi="Aptos" w:cs="Times New Roman"/>
                <w:b/>
                <w:sz w:val="20"/>
                <w:szCs w:val="20"/>
              </w:rPr>
            </w:pPr>
          </w:p>
        </w:tc>
        <w:tc>
          <w:tcPr>
            <w:tcW w:w="106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502E703"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balanced</w:t>
            </w:r>
          </w:p>
          <w:p w14:paraId="3B653801"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accuracy</w:t>
            </w:r>
          </w:p>
        </w:tc>
        <w:tc>
          <w:tcPr>
            <w:tcW w:w="1051"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35225701"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017096A3"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AUC</w:t>
            </w:r>
          </w:p>
        </w:tc>
        <w:tc>
          <w:tcPr>
            <w:tcW w:w="1051"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574F9373"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22D89160"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F1</w:t>
            </w:r>
          </w:p>
        </w:tc>
        <w:tc>
          <w:tcPr>
            <w:tcW w:w="106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94DD2B5"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balanced</w:t>
            </w:r>
          </w:p>
          <w:p w14:paraId="69996ADA"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accuracy</w:t>
            </w:r>
          </w:p>
        </w:tc>
        <w:tc>
          <w:tcPr>
            <w:tcW w:w="1051"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3DA52C20"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049A95EE"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AUC</w:t>
            </w:r>
          </w:p>
        </w:tc>
        <w:tc>
          <w:tcPr>
            <w:tcW w:w="1051"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397677D2"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10DF7B26"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F1</w:t>
            </w:r>
          </w:p>
        </w:tc>
        <w:tc>
          <w:tcPr>
            <w:tcW w:w="106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8841BB2"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balanced</w:t>
            </w:r>
          </w:p>
          <w:p w14:paraId="2F277307"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accuracy</w:t>
            </w:r>
          </w:p>
        </w:tc>
        <w:tc>
          <w:tcPr>
            <w:tcW w:w="1051"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17749495"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6E74E514"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AUC</w:t>
            </w:r>
          </w:p>
        </w:tc>
        <w:tc>
          <w:tcPr>
            <w:tcW w:w="1051"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15851F03"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2F037B8D" w14:textId="77777777" w:rsidR="0029224C" w:rsidRPr="005500F7" w:rsidRDefault="006F2516" w:rsidP="00DA6B87">
            <w:pPr>
              <w:pStyle w:val="NoSpacing"/>
              <w:ind w:firstLine="0"/>
              <w:jc w:val="center"/>
              <w:rPr>
                <w:rFonts w:ascii="Aptos" w:hAnsi="Aptos" w:cs="Times New Roman"/>
                <w:b/>
                <w:sz w:val="20"/>
                <w:szCs w:val="20"/>
              </w:rPr>
            </w:pPr>
            <w:r w:rsidRPr="005500F7">
              <w:rPr>
                <w:rFonts w:ascii="Aptos" w:hAnsi="Aptos" w:cs="Times New Roman"/>
                <w:b/>
                <w:sz w:val="20"/>
                <w:szCs w:val="20"/>
              </w:rPr>
              <w:t>F1</w:t>
            </w:r>
          </w:p>
        </w:tc>
      </w:tr>
      <w:tr w:rsidR="0050587B" w:rsidRPr="005500F7" w14:paraId="25C9F313" w14:textId="77777777" w:rsidTr="003C106F">
        <w:trPr>
          <w:jc w:val="center"/>
        </w:trPr>
        <w:tc>
          <w:tcPr>
            <w:tcW w:w="908"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14:paraId="3EA4C27B"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1C5C418"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GNAL</w:t>
            </w:r>
          </w:p>
        </w:tc>
        <w:tc>
          <w:tcPr>
            <w:tcW w:w="106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B00BDA3" w14:textId="589A23D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0.78</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677E5CA" w14:textId="2C5EE945"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0.84</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0B74C7A" w14:textId="5027CBF0"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0.78</w:t>
            </w:r>
          </w:p>
        </w:tc>
        <w:tc>
          <w:tcPr>
            <w:tcW w:w="106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2FDB2D9" w14:textId="21C7A82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0.74</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9C2F017" w14:textId="038AC49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0.80</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681AA93" w14:textId="7DA3FE2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0.74</w:t>
            </w:r>
          </w:p>
        </w:tc>
        <w:tc>
          <w:tcPr>
            <w:tcW w:w="106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779ABEE" w14:textId="175A650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0.75</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11C5C432" w14:textId="01E29A6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0.82</w:t>
            </w:r>
          </w:p>
        </w:tc>
        <w:tc>
          <w:tcPr>
            <w:tcW w:w="105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B047A05" w14:textId="6D49571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0.75</w:t>
            </w:r>
          </w:p>
        </w:tc>
      </w:tr>
      <w:tr w:rsidR="0050587B" w:rsidRPr="005500F7" w14:paraId="3F784D15"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7EF10D"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24EB2"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KMT2B</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1EDBD" w14:textId="319F4E7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CA34CA" w14:textId="47915FA1"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80E04" w14:textId="2F0E72C4"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1E60C1" w14:textId="5855836C"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2B9E1" w14:textId="639FA53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51F0E9" w14:textId="7E9321A6"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4045E" w14:textId="6D7ECD3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86F4C" w14:textId="3494D21D"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2BF0E" w14:textId="4C4D6F7C"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0.82</w:t>
            </w:r>
          </w:p>
        </w:tc>
      </w:tr>
      <w:tr w:rsidR="0050587B" w:rsidRPr="005500F7" w14:paraId="0D7E5BA4"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320609"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E2DDB"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PANK2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2194D" w14:textId="51BAD6C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18ACC" w14:textId="07CEEF0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D67646" w14:textId="28B5C69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841DD1" w14:textId="6090C59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8B237" w14:textId="2CF9A5F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9D946" w14:textId="0061130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11E7C" w14:textId="2724D28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B3C89" w14:textId="4AAC979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BE242C" w14:textId="5A3FBC2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0.71</w:t>
            </w:r>
          </w:p>
        </w:tc>
      </w:tr>
      <w:tr w:rsidR="0050587B" w:rsidRPr="005500F7" w14:paraId="0FBF8E68"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8E6A22"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A8619"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PLA2G6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74E90" w14:textId="5A22885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DD037" w14:textId="79D4B5A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9A905" w14:textId="704A089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E5F2E4" w14:textId="63391805"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3F902" w14:textId="205B5F7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9495F3" w14:textId="6C6953E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9450D" w14:textId="1FC4CDA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AB8ED" w14:textId="5C12B944"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50E39" w14:textId="555A3C9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0.87</w:t>
            </w:r>
          </w:p>
        </w:tc>
      </w:tr>
      <w:tr w:rsidR="0050587B" w:rsidRPr="005500F7" w14:paraId="06BD00B9"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6DC43"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BDD2"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SGCE</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B0612" w14:textId="01D46E37"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49FC8" w14:textId="4D94EE46"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27AD2" w14:textId="6585D96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EA8D9" w14:textId="5AF263C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06F84" w14:textId="1FEB23A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2D6F9" w14:textId="1AC2E33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DD4E5" w14:textId="41941F0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0CFEC6" w14:textId="6A78470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6EADE" w14:textId="2348F94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0.94</w:t>
            </w:r>
          </w:p>
        </w:tc>
      </w:tr>
      <w:tr w:rsidR="0050587B" w:rsidRPr="005500F7" w14:paraId="53730B65"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D163EB"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2F660"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E2B011" w14:textId="41902C07"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96B4B" w14:textId="52F5DF75"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60465" w14:textId="3D8A8051"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382F7" w14:textId="05698416"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40344" w14:textId="3BFCFF9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FE10C2" w14:textId="73E6BF50"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5C022" w14:textId="76465061"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8DA80" w14:textId="02867DD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34DF8" w14:textId="7C978563"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r>
      <w:tr w:rsidR="0050587B" w:rsidRPr="005500F7" w14:paraId="6CF200D1"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88F588"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06C6D"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8C5B8D" w14:textId="5BE51BB4"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114C8" w14:textId="7F64B927"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6E725" w14:textId="56201B8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E298B" w14:textId="28CD0EB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8C9A30" w14:textId="5DBB5CCC"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42031" w14:textId="77E3ECC6"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3E247" w14:textId="7DFF72F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C758A" w14:textId="4BEB7F45"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60E5E" w14:textId="247E63C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0.92</w:t>
            </w:r>
          </w:p>
        </w:tc>
      </w:tr>
      <w:tr w:rsidR="0050587B" w:rsidRPr="005500F7" w14:paraId="4D4143DB"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163582"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AOPEP</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F7F23"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8D436B" w14:textId="1FC7218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605AAF" w14:textId="355E66DA"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393F6" w14:textId="019C8A1F"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D01A8A" w14:textId="6D6B8154"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96CF42" w14:textId="504D6AF4"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A20D8" w14:textId="450CE630"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AE0B3" w14:textId="1AE7873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B11E4" w14:textId="3F3B49A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A09A8" w14:textId="6084A0F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0.87</w:t>
            </w:r>
          </w:p>
        </w:tc>
      </w:tr>
      <w:tr w:rsidR="0050587B" w:rsidRPr="005500F7" w14:paraId="69CE3A99" w14:textId="77777777" w:rsidTr="003C106F">
        <w:trPr>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D4F506"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8BBDA"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KMT2B</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B576A" w14:textId="5B20311E"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54057" w14:textId="7D0942BB"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24AB4" w14:textId="6752034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8DA64" w14:textId="5054CB07"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0.58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F2A0A" w14:textId="5FFDBEA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C70D7" w14:textId="248726B1"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1AC36" w14:textId="6FE425F8"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89816" w14:textId="1E919AD9"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F8997" w14:textId="52EE4522" w:rsidR="0050587B" w:rsidRPr="00872870" w:rsidRDefault="0050587B" w:rsidP="0050587B">
            <w:pPr>
              <w:pStyle w:val="NoSpacing"/>
              <w:ind w:firstLine="0"/>
              <w:jc w:val="center"/>
              <w:rPr>
                <w:rFonts w:ascii="Aptos" w:hAnsi="Aptos" w:cs="Times New Roman"/>
                <w:sz w:val="20"/>
                <w:szCs w:val="20"/>
              </w:rPr>
            </w:pPr>
            <w:r w:rsidRPr="003C106F">
              <w:rPr>
                <w:rFonts w:ascii="Aptos" w:hAnsi="Aptos"/>
                <w:sz w:val="20"/>
                <w:szCs w:val="20"/>
              </w:rPr>
              <w:t>0.66</w:t>
            </w:r>
          </w:p>
        </w:tc>
      </w:tr>
      <w:tr w:rsidR="0050587B" w:rsidRPr="005500F7" w14:paraId="01EF0B27"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AAEA2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E4D911"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83C4B" w14:textId="19DEFC1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DB7ED" w14:textId="1A792CC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5DF29" w14:textId="35B6EFB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EE483" w14:textId="4617D04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814D69" w14:textId="1A9EB4A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83641F" w14:textId="5585114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4F531" w14:textId="6CF3D95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F436D" w14:textId="61E663B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A7249" w14:textId="5E8CD78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0.77</w:t>
            </w:r>
          </w:p>
        </w:tc>
      </w:tr>
      <w:tr w:rsidR="0050587B" w:rsidRPr="005500F7" w14:paraId="3DEAAAA6"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8B8639"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9153E"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A0E8E1" w14:textId="5C34FA4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2D529" w14:textId="77737F3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83C11" w14:textId="24E53F7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53E87" w14:textId="09C1BA3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C9FAD" w14:textId="68108F1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6997F" w14:textId="5E4F36E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2B7B79" w14:textId="1FFA474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C9EBB" w14:textId="5F8D8FA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25A9A" w14:textId="54CD45E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r>
      <w:tr w:rsidR="0050587B" w:rsidRPr="005500F7" w14:paraId="76BA8119"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A180F0"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DC60D6"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BD013" w14:textId="62004E6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A5D0B" w14:textId="40CD36F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0374C" w14:textId="1BC352C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5669AD" w14:textId="2F4AEE4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0F07B" w14:textId="68A4527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B68856" w14:textId="02FD7BC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90336" w14:textId="51831AA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D22C1" w14:textId="2DA22E7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B34F0" w14:textId="41DD8C1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r>
      <w:tr w:rsidR="0050587B" w:rsidRPr="005500F7" w14:paraId="68BD0CF5"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F798D6"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F3438"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3002B" w14:textId="6B54D1D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A3175" w14:textId="3002B30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A84C6B" w14:textId="729B7EB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86289" w14:textId="525A1F6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90E6A" w14:textId="6672BCD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AE109" w14:textId="5AC3F79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C7D8BB" w14:textId="2AFF755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D25C31" w14:textId="254557A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7B0F9" w14:textId="703FB13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r>
      <w:tr w:rsidR="0050587B" w:rsidRPr="005500F7" w14:paraId="468729B2"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A6FE4D"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6AE03"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E5AFF" w14:textId="567DD91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59B11" w14:textId="34FDAF4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A9805" w14:textId="033B116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6BE2D" w14:textId="0C17CD5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A8D53" w14:textId="082CBD6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CA635" w14:textId="3769DCA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1F3C" w14:textId="734242D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9834CA" w14:textId="500A2A8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DE3C0" w14:textId="310F99A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r>
      <w:tr w:rsidR="0050587B" w:rsidRPr="005500F7" w14:paraId="013A60AD"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577B03"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GNAL</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70AC4"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4D187" w14:textId="3E8740A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E6F717" w14:textId="65C78F4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A21F66" w14:textId="33D1278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9B5110" w14:textId="79E66CD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1B7D1" w14:textId="17EA452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5A113" w14:textId="116CBDD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108B5" w14:textId="13BCC46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7C113" w14:textId="4BC7FD6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6CE05" w14:textId="5250818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r>
      <w:tr w:rsidR="0050587B" w:rsidRPr="005500F7" w14:paraId="6C29FB9F"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9B6B9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A85A6"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60CCB" w14:textId="7584F0B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59946" w14:textId="0813F8A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D5B785" w14:textId="0135B8B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EE3FC8" w14:textId="04FC0CD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1D87E" w14:textId="54863F9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AFE90" w14:textId="3D42903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F4BB45" w14:textId="3DA3F22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C1218E" w14:textId="558D063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31161B" w14:textId="1E34ACE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r>
      <w:tr w:rsidR="0050587B" w:rsidRPr="005500F7" w14:paraId="09C533D6"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A6FFA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B152C"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7E87E" w14:textId="65DAA90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EE364" w14:textId="1092925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66752" w14:textId="6203BFB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66F28" w14:textId="44DE68E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B33E7B" w14:textId="236A6FA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0AC5B" w14:textId="454B4E4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0F754" w14:textId="75072BD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6D03F1" w14:textId="2F29074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D17C1" w14:textId="540A2A7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0.58</w:t>
            </w:r>
          </w:p>
        </w:tc>
      </w:tr>
      <w:tr w:rsidR="0050587B" w:rsidRPr="005500F7" w14:paraId="17524A15"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6261C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EACC4"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6DD81" w14:textId="250B8C4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C72E8" w14:textId="4711DF2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10E57" w14:textId="13AAC71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4FF45A" w14:textId="19A3A03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DE4E0" w14:textId="3546D51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2270D2" w14:textId="7969D58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4EDD1E" w14:textId="6C30A34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857D8C" w14:textId="20F3FC5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E3FCB" w14:textId="4B233AB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r>
      <w:tr w:rsidR="0050587B" w:rsidRPr="005500F7" w14:paraId="672E227C"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0BA5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A0DC7"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5F412B" w14:textId="21914EE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3D91A" w14:textId="5E8D09D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C830D" w14:textId="63BFB56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FC63F0" w14:textId="4CA0108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2BC56" w14:textId="33A6130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01A64" w14:textId="05340E0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113E94" w14:textId="390A849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A7BD9" w14:textId="638CBC1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8E03A1" w14:textId="2917A8A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r>
      <w:tr w:rsidR="0050587B" w:rsidRPr="005500F7" w14:paraId="7D6A8B66"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EDD79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lastRenderedPageBreak/>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3E4C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1CF0D4" w14:textId="0BADC54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FA785" w14:textId="247691A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A5D20" w14:textId="73BFAC5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39438" w14:textId="1B4316D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9FFC9" w14:textId="77D0078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69AE2" w14:textId="02BE971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50BA46" w14:textId="64B6684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6F81C" w14:textId="44CB445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8F422" w14:textId="450A62B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r>
      <w:tr w:rsidR="0050587B" w:rsidRPr="005500F7" w14:paraId="20A3DDFB"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72BA18"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KMT2B</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5A163D"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4152D" w14:textId="3A7A433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D324A" w14:textId="7F71D0B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F4403" w14:textId="4C6236E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0D5C5" w14:textId="6EE238E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5C6A0" w14:textId="77AECE9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1C82F" w14:textId="08383F5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987AA" w14:textId="70E1AC6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687BC" w14:textId="1CA03BD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A1FE41" w14:textId="4A259A1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r>
      <w:tr w:rsidR="0050587B" w:rsidRPr="005500F7" w14:paraId="5049AB2F"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879BE8"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F62F"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15604A" w14:textId="1F94B05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1BAA0F" w14:textId="263E6AA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57DD9C" w14:textId="438E491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D938C" w14:textId="449772B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22E95" w14:textId="0119A60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20A54" w14:textId="5002836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330A1" w14:textId="0B77D6B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D4A8F" w14:textId="0F76118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22106" w14:textId="3F8B9EC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r>
      <w:tr w:rsidR="0050587B" w:rsidRPr="005500F7" w14:paraId="7E329696"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91945"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B34D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64470" w14:textId="6A57AC6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C68F5" w14:textId="407E09B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C36AFA" w14:textId="3E48907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BC8D8" w14:textId="00DA37C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4E003" w14:textId="4E99FF3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9288E3" w14:textId="04E0D6D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A5656" w14:textId="409EF70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EF1454" w14:textId="2D78C51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BDAB9" w14:textId="0D2D66D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r>
      <w:tr w:rsidR="0050587B" w:rsidRPr="005500F7" w14:paraId="4CBE1617"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C7FF36"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6AB3D"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3F6EF" w14:textId="21CDE52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951C5F" w14:textId="72DD97E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6E3192" w14:textId="3A189D3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06557" w14:textId="5D53C78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C7007" w14:textId="7219841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92A9F0" w14:textId="57EE4E1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8E3D85" w14:textId="6C367E1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AEF47" w14:textId="018FA82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1A8071" w14:textId="7F3370D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0.58</w:t>
            </w:r>
          </w:p>
        </w:tc>
      </w:tr>
      <w:tr w:rsidR="0050587B" w:rsidRPr="005500F7" w14:paraId="4078FC40"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623C2F"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BAA05"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65E95" w14:textId="737C74D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728A9" w14:textId="089B633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FAD84" w14:textId="4C39888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07DCA" w14:textId="563847B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68A40" w14:textId="4823FDB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260E3" w14:textId="27C82A5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FBC1AD" w14:textId="450D50E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1E230" w14:textId="2AE58D1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8F2B32" w14:textId="436205F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r>
      <w:tr w:rsidR="0050587B" w:rsidRPr="005500F7" w14:paraId="07582324"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71E9F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PANK2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A2E0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3C4E4" w14:textId="228BBC6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52137" w14:textId="65C8B0C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81246" w14:textId="5F32ED4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1D25D" w14:textId="3FC5A9F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7FDF7A" w14:textId="1D16352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D0CCE" w14:textId="780223D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13199" w14:textId="0526911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890AE" w14:textId="3398844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30B5F" w14:textId="7D188E9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r>
      <w:tr w:rsidR="0050587B" w:rsidRPr="005500F7" w14:paraId="0BD6E6D3"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48D79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82DE6C"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B9BAA" w14:textId="3222D9B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FBF12" w14:textId="7E066D5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1E82F" w14:textId="579D56C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753A53" w14:textId="4A16142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B6788" w14:textId="4C0F5D6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F9D08" w14:textId="047E23D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C80077" w14:textId="76319B2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C6B6C9" w14:textId="681A6C9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F29E5" w14:textId="58C541C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r>
      <w:tr w:rsidR="0050587B" w:rsidRPr="005500F7" w14:paraId="0F221D68"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61DBB5"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68B4B"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A7C3D" w14:textId="2278AC4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CE848" w14:textId="0A771DB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7EDDF" w14:textId="16BB556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0.77</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D4413" w14:textId="2BC880E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9725B" w14:textId="4604E22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4E4A7" w14:textId="44649E4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49B1C" w14:textId="6319C94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F3CBD" w14:textId="6F4BE32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A0803" w14:textId="4D55ABF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r>
      <w:tr w:rsidR="0050587B" w:rsidRPr="005500F7" w14:paraId="5A7121F3"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CEC8BE"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7F012"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1D495" w14:textId="6AB27B6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51D24" w14:textId="5C349DA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BACB9" w14:textId="69918A0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DE2FE" w14:textId="0F681CE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9F414" w14:textId="2828DFB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7579E2" w14:textId="431C6D7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1AC0B" w14:textId="34A0483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1ECC5" w14:textId="03FF6BF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A54C69" w14:textId="78DD40C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r>
      <w:tr w:rsidR="0050587B" w:rsidRPr="005500F7" w14:paraId="4E95F9A4"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303DE5"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PLA2G6</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35321"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90A21" w14:textId="5B0B545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6789E" w14:textId="5CB0124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0.66</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E1D11" w14:textId="69BA2B3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DDC95" w14:textId="2619061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41DF0" w14:textId="290B9F2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D69E9" w14:textId="3DE4C21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4F4CC" w14:textId="0BF6543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601830" w14:textId="040A228B"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CE0BA" w14:textId="13DBF07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r>
      <w:tr w:rsidR="0050587B" w:rsidRPr="005500F7" w14:paraId="413CE401"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96D9A6"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8A3AD"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THAP1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BECAE" w14:textId="77A3A62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5397F7" w14:textId="5C2AA34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9C6E1" w14:textId="6AC6A4B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F9229" w14:textId="61AB17F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A7025D" w14:textId="7BC2496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90F7" w14:textId="6786A78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00BC7" w14:textId="33D56EA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0A609" w14:textId="1E031EF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E91D1" w14:textId="78C7ADD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0.82</w:t>
            </w:r>
          </w:p>
        </w:tc>
      </w:tr>
      <w:tr w:rsidR="0050587B" w:rsidRPr="005500F7" w14:paraId="7D736E41"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03D57A"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17E5E"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995D7" w14:textId="1F64EF3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F65411" w14:textId="7E39F036"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3C67F" w14:textId="0FC142A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2EA6C" w14:textId="0426BE0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482DD7" w14:textId="5D55300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36D92" w14:textId="2820E87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F330F" w14:textId="1184031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6A90D" w14:textId="1077509E"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0596C" w14:textId="4C5C66E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0.62</w:t>
            </w:r>
          </w:p>
        </w:tc>
      </w:tr>
      <w:tr w:rsidR="0050587B" w:rsidRPr="005500F7" w14:paraId="42CB340F"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59B4A4" w14:textId="77777777" w:rsidR="0050587B" w:rsidRPr="005500F7" w:rsidRDefault="0050587B" w:rsidP="0050587B">
            <w:pPr>
              <w:pStyle w:val="NoSpacing"/>
              <w:ind w:firstLine="0"/>
              <w:jc w:val="center"/>
              <w:rPr>
                <w:rFonts w:ascii="Aptos" w:hAnsi="Aptos" w:cs="Times New Roman"/>
                <w:b/>
                <w:bCs/>
                <w:i/>
                <w:iCs/>
                <w:sz w:val="20"/>
                <w:szCs w:val="20"/>
              </w:rPr>
            </w:pPr>
            <w:r w:rsidRPr="005500F7">
              <w:rPr>
                <w:rFonts w:ascii="Aptos" w:hAnsi="Aptos" w:cs="Times New Roman"/>
                <w:i/>
                <w:iCs/>
                <w:sz w:val="20"/>
                <w:szCs w:val="20"/>
              </w:rPr>
              <w:t>SGCE</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3C954"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F5583" w14:textId="0FE4C44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804CB1" w14:textId="5649894A"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B14CB" w14:textId="5E24C50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97834" w14:textId="43A6B17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52F2B" w14:textId="6CF431D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F5B04" w14:textId="6F28399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F36C7E" w14:textId="7535B90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5CE8E" w14:textId="29075E4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1DA95" w14:textId="1AB816C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r>
      <w:tr w:rsidR="0050587B" w:rsidRPr="005500F7" w14:paraId="0B3AE201"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990A8E"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THAP1</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69AA9"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TOR1A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D844A0" w14:textId="234E42A8"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D7217" w14:textId="0C5FFEA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9E862B" w14:textId="59B8009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8DE0BD" w14:textId="02FA763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36037" w14:textId="5D9711D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F089B" w14:textId="079580B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0.82</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9E811" w14:textId="0D76C74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0.68</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08B223" w14:textId="20C741B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6BA04" w14:textId="172FC971"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0.82</w:t>
            </w:r>
          </w:p>
        </w:tc>
      </w:tr>
      <w:tr w:rsidR="0050587B" w:rsidRPr="005500F7" w14:paraId="405D112F" w14:textId="77777777" w:rsidTr="003C106F">
        <w:trPr>
          <w:trHeight w:val="56"/>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FCFCD4"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THAP1</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C4142"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05EB5" w14:textId="1F4FB8F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0.67</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E4EE0" w14:textId="5078799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4AA6F" w14:textId="38DD216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B53F7" w14:textId="1656F87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E11D4B" w14:textId="218769E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DBC08" w14:textId="62F6162F"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936D6D" w14:textId="15BDF86C"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9C571" w14:textId="33EFF79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84789" w14:textId="17F92F3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0.75</w:t>
            </w:r>
          </w:p>
        </w:tc>
      </w:tr>
      <w:tr w:rsidR="0050587B" w:rsidRPr="005500F7" w14:paraId="0F7646FC" w14:textId="77777777" w:rsidTr="003C106F">
        <w:trPr>
          <w:trHeight w:val="64"/>
          <w:jc w:val="center"/>
        </w:trPr>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691DAD"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TOR1A</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45B60" w14:textId="77777777" w:rsidR="0050587B" w:rsidRPr="005500F7" w:rsidRDefault="0050587B" w:rsidP="0050587B">
            <w:pPr>
              <w:pStyle w:val="NoSpacing"/>
              <w:ind w:firstLine="0"/>
              <w:jc w:val="center"/>
              <w:rPr>
                <w:rFonts w:ascii="Aptos" w:hAnsi="Aptos" w:cs="Times New Roman"/>
                <w:i/>
                <w:iCs/>
                <w:sz w:val="20"/>
                <w:szCs w:val="20"/>
              </w:rPr>
            </w:pPr>
            <w:r w:rsidRPr="005500F7">
              <w:rPr>
                <w:rFonts w:ascii="Aptos" w:hAnsi="Aptos" w:cs="Times New Roman"/>
                <w:i/>
                <w:iCs/>
                <w:sz w:val="20"/>
                <w:szCs w:val="20"/>
              </w:rPr>
              <w:t>VPS16</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2506F" w14:textId="4D95645D"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49502" w14:textId="773828A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0.64</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529AB" w14:textId="407BE1C9"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0.61</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C6AF3" w14:textId="6B91BD80"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FC058" w14:textId="511FBD67"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0.63</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B2E888" w14:textId="49B1F375"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8F66D9" w14:textId="4AD59D94"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0.59</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696A93" w14:textId="000B1AF3"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0.65</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2A57C7" w14:textId="45158A22" w:rsidR="0050587B" w:rsidRPr="00872870" w:rsidRDefault="0050587B" w:rsidP="0050587B">
            <w:pPr>
              <w:pStyle w:val="NoSpacing"/>
              <w:ind w:firstLine="0"/>
              <w:jc w:val="center"/>
              <w:rPr>
                <w:rFonts w:ascii="Aptos" w:hAnsi="Aptos" w:cs="Times New Roman"/>
                <w:b/>
                <w:bCs/>
                <w:sz w:val="20"/>
                <w:szCs w:val="20"/>
              </w:rPr>
            </w:pPr>
            <w:r w:rsidRPr="003C106F">
              <w:rPr>
                <w:rFonts w:ascii="Aptos" w:hAnsi="Aptos"/>
                <w:sz w:val="20"/>
                <w:szCs w:val="20"/>
              </w:rPr>
              <w:t>0.60</w:t>
            </w:r>
          </w:p>
        </w:tc>
      </w:tr>
    </w:tbl>
    <w:p w14:paraId="64C90403" w14:textId="77777777" w:rsidR="00131C42" w:rsidRPr="005500F7" w:rsidRDefault="00131C42" w:rsidP="00956C03">
      <w:pPr>
        <w:jc w:val="both"/>
        <w:rPr>
          <w:rFonts w:ascii="Aptos" w:hAnsi="Aptos" w:cs="Helvetica"/>
          <w:sz w:val="20"/>
          <w:szCs w:val="20"/>
          <w:lang w:val="en-CA"/>
        </w:rPr>
      </w:pPr>
    </w:p>
    <w:p w14:paraId="2C07ACCA" w14:textId="77777777" w:rsidR="00BA386C" w:rsidRPr="005500F7" w:rsidRDefault="006F2516" w:rsidP="005500F7">
      <w:pPr>
        <w:pStyle w:val="Heading2"/>
        <w:rPr>
          <w:sz w:val="20"/>
          <w:szCs w:val="20"/>
          <w:lang w:val="en-CA"/>
        </w:rPr>
      </w:pPr>
      <w:r w:rsidRPr="005500F7">
        <w:rPr>
          <w:sz w:val="20"/>
          <w:szCs w:val="20"/>
        </w:rPr>
        <w:t>One-vs-rest (OVR) decoding</w:t>
      </w:r>
    </w:p>
    <w:p w14:paraId="3D7C8EDC" w14:textId="77777777" w:rsidR="00EC1C69" w:rsidRDefault="006F2516" w:rsidP="00EC1C69">
      <w:pPr>
        <w:ind w:left="360"/>
        <w:jc w:val="both"/>
        <w:rPr>
          <w:rFonts w:ascii="Aptos" w:hAnsi="Aptos" w:cs="Helvetica"/>
          <w:sz w:val="20"/>
          <w:szCs w:val="20"/>
        </w:rPr>
      </w:pPr>
      <w:r w:rsidRPr="005500F7">
        <w:rPr>
          <w:rFonts w:ascii="Aptos" w:hAnsi="Aptos" w:cs="Helvetica"/>
          <w:sz w:val="20"/>
          <w:szCs w:val="20"/>
        </w:rPr>
        <w:t xml:space="preserve">Furthermore, we also tried to successfully decode neurons associated with each genetic dystonia syndrome in contrast to the others. Employing a neural feature selection scheme </w:t>
      </w:r>
      <w:proofErr w:type="gramStart"/>
      <w:r w:rsidRPr="005500F7">
        <w:rPr>
          <w:rFonts w:ascii="Aptos" w:hAnsi="Aptos" w:cs="Helvetica"/>
          <w:sz w:val="20"/>
          <w:szCs w:val="20"/>
        </w:rPr>
        <w:t>similar to</w:t>
      </w:r>
      <w:proofErr w:type="gramEnd"/>
      <w:r w:rsidRPr="005500F7">
        <w:rPr>
          <w:rFonts w:ascii="Aptos" w:hAnsi="Aptos" w:cs="Helvetica"/>
          <w:sz w:val="20"/>
          <w:szCs w:val="20"/>
        </w:rPr>
        <w:t xml:space="preserve"> OVO decoding, we initiated Mann</w:t>
      </w:r>
      <w:r w:rsidRPr="005500F7">
        <w:rPr>
          <w:rFonts w:ascii="Arial" w:hAnsi="Arial" w:cs="Arial"/>
          <w:sz w:val="20"/>
          <w:szCs w:val="20"/>
        </w:rPr>
        <w:t>‒</w:t>
      </w:r>
      <w:r w:rsidRPr="005500F7">
        <w:rPr>
          <w:rFonts w:ascii="Aptos" w:hAnsi="Aptos" w:cs="Helvetica"/>
          <w:sz w:val="20"/>
          <w:szCs w:val="20"/>
        </w:rPr>
        <w:t>Whitney U tests with Holm</w:t>
      </w:r>
      <w:r w:rsidRPr="005500F7">
        <w:rPr>
          <w:rFonts w:ascii="Aptos" w:hAnsi="Aptos" w:cs="Aptos"/>
          <w:sz w:val="20"/>
          <w:szCs w:val="20"/>
        </w:rPr>
        <w:t>–</w:t>
      </w:r>
      <w:r w:rsidRPr="005500F7">
        <w:rPr>
          <w:rFonts w:ascii="Aptos" w:hAnsi="Aptos" w:cs="Helvetica"/>
          <w:sz w:val="20"/>
          <w:szCs w:val="20"/>
        </w:rPr>
        <w:t>Bonferroni correction in an OVR fashion. These tests aimed to pinpoint neural features distinguishing the neurons of the selected genetic dystonia syndromes from the rest, with corresponding p values provided in Supplementary Table 7. For OVR decoding, we exclusively employed the random forest classifier method, as different algorithms yielded comparable results in OVO decoding. The outcomes are presented in terms of balanced accuracy, weighted area under the curve (AUC), weighted F1, and recall scores, with a particular emphasis on recall, given the focus on targeting neurons of the specific genetic syndrome rather than the remaining syndromes (Supplementary Table 8).</w:t>
      </w:r>
    </w:p>
    <w:p w14:paraId="7DF89120" w14:textId="77777777" w:rsidR="00C908E5" w:rsidRDefault="00C908E5" w:rsidP="00EC1C69">
      <w:pPr>
        <w:ind w:left="360"/>
        <w:jc w:val="both"/>
        <w:rPr>
          <w:rFonts w:ascii="Aptos" w:hAnsi="Aptos" w:cs="Helvetica"/>
          <w:sz w:val="20"/>
          <w:szCs w:val="20"/>
        </w:rPr>
      </w:pPr>
    </w:p>
    <w:p w14:paraId="551203CF" w14:textId="77777777" w:rsidR="00C908E5" w:rsidRDefault="00C908E5" w:rsidP="00EC1C69">
      <w:pPr>
        <w:ind w:left="360"/>
        <w:jc w:val="both"/>
        <w:rPr>
          <w:rFonts w:ascii="Aptos" w:hAnsi="Aptos" w:cs="Helvetica"/>
          <w:sz w:val="20"/>
          <w:szCs w:val="20"/>
        </w:rPr>
      </w:pPr>
    </w:p>
    <w:p w14:paraId="31A96DF5" w14:textId="77777777" w:rsidR="00C908E5" w:rsidRDefault="00C908E5" w:rsidP="00EC1C69">
      <w:pPr>
        <w:ind w:left="360"/>
        <w:jc w:val="both"/>
        <w:rPr>
          <w:rFonts w:ascii="Aptos" w:hAnsi="Aptos" w:cs="Helvetica"/>
          <w:sz w:val="20"/>
          <w:szCs w:val="20"/>
        </w:rPr>
      </w:pPr>
    </w:p>
    <w:p w14:paraId="26070514" w14:textId="77777777" w:rsidR="00C908E5" w:rsidRDefault="00C908E5" w:rsidP="00EC1C69">
      <w:pPr>
        <w:ind w:left="360"/>
        <w:jc w:val="both"/>
        <w:rPr>
          <w:rFonts w:ascii="Aptos" w:hAnsi="Aptos" w:cs="Helvetica"/>
          <w:sz w:val="20"/>
          <w:szCs w:val="20"/>
        </w:rPr>
      </w:pPr>
    </w:p>
    <w:p w14:paraId="78AAD9D9" w14:textId="77777777" w:rsidR="00C908E5" w:rsidRDefault="00C908E5" w:rsidP="00EC1C69">
      <w:pPr>
        <w:ind w:left="360"/>
        <w:jc w:val="both"/>
        <w:rPr>
          <w:rFonts w:ascii="Aptos" w:hAnsi="Aptos" w:cs="Helvetica"/>
          <w:sz w:val="20"/>
          <w:szCs w:val="20"/>
        </w:rPr>
      </w:pPr>
    </w:p>
    <w:p w14:paraId="26237E70" w14:textId="77777777" w:rsidR="00C908E5" w:rsidRDefault="00C908E5" w:rsidP="00EC1C69">
      <w:pPr>
        <w:ind w:left="360"/>
        <w:jc w:val="both"/>
        <w:rPr>
          <w:rFonts w:ascii="Aptos" w:hAnsi="Aptos" w:cs="Helvetica"/>
          <w:sz w:val="20"/>
          <w:szCs w:val="20"/>
        </w:rPr>
      </w:pPr>
    </w:p>
    <w:p w14:paraId="6AD01EA5" w14:textId="77777777" w:rsidR="00C908E5" w:rsidRDefault="00C908E5" w:rsidP="00EC1C69">
      <w:pPr>
        <w:ind w:left="360"/>
        <w:jc w:val="both"/>
        <w:rPr>
          <w:rFonts w:ascii="Aptos" w:hAnsi="Aptos" w:cs="Helvetica"/>
          <w:sz w:val="20"/>
          <w:szCs w:val="20"/>
        </w:rPr>
      </w:pPr>
    </w:p>
    <w:p w14:paraId="3FC877F9" w14:textId="77777777" w:rsidR="00C908E5" w:rsidRDefault="00C908E5" w:rsidP="00EC1C69">
      <w:pPr>
        <w:ind w:left="360"/>
        <w:jc w:val="both"/>
        <w:rPr>
          <w:rFonts w:ascii="Aptos" w:hAnsi="Aptos" w:cs="Helvetica"/>
          <w:sz w:val="20"/>
          <w:szCs w:val="20"/>
        </w:rPr>
      </w:pPr>
    </w:p>
    <w:p w14:paraId="5ACD6164" w14:textId="77777777" w:rsidR="00C908E5" w:rsidRDefault="00C908E5" w:rsidP="00EC1C69">
      <w:pPr>
        <w:ind w:left="360"/>
        <w:jc w:val="both"/>
        <w:rPr>
          <w:rFonts w:ascii="Aptos" w:hAnsi="Aptos" w:cs="Helvetica"/>
          <w:sz w:val="20"/>
          <w:szCs w:val="20"/>
        </w:rPr>
      </w:pPr>
    </w:p>
    <w:p w14:paraId="0E01A3D6" w14:textId="77777777" w:rsidR="00C908E5" w:rsidRPr="005500F7" w:rsidRDefault="00C908E5" w:rsidP="00EC1C69">
      <w:pPr>
        <w:ind w:left="360"/>
        <w:jc w:val="both"/>
        <w:rPr>
          <w:rFonts w:ascii="Aptos" w:hAnsi="Aptos" w:cs="Helvetica"/>
          <w:sz w:val="20"/>
          <w:szCs w:val="20"/>
          <w:lang w:val="en-CA"/>
        </w:rPr>
      </w:pPr>
    </w:p>
    <w:p w14:paraId="6E8160B7" w14:textId="3641F03F" w:rsidR="00E345AE" w:rsidRDefault="006F2516" w:rsidP="005241D6">
      <w:pPr>
        <w:jc w:val="both"/>
        <w:rPr>
          <w:rFonts w:ascii="Aptos" w:hAnsi="Aptos" w:cs="Helvetica"/>
          <w:b/>
          <w:bCs/>
          <w:sz w:val="20"/>
          <w:szCs w:val="20"/>
        </w:rPr>
      </w:pPr>
      <w:bookmarkStart w:id="10" w:name="_Hlk147307302"/>
      <w:r w:rsidRPr="005500F7">
        <w:rPr>
          <w:rFonts w:ascii="Aptos" w:hAnsi="Aptos"/>
          <w:b/>
          <w:bCs/>
          <w:sz w:val="20"/>
          <w:szCs w:val="20"/>
        </w:rPr>
        <w:t xml:space="preserve">Supplementary </w:t>
      </w:r>
      <w:r w:rsidR="00C908E5">
        <w:rPr>
          <w:rFonts w:ascii="Aptos" w:hAnsi="Aptos"/>
          <w:b/>
          <w:bCs/>
          <w:sz w:val="20"/>
          <w:szCs w:val="20"/>
        </w:rPr>
        <w:t>Figure</w:t>
      </w:r>
      <w:r w:rsidR="00C908E5" w:rsidRPr="005500F7">
        <w:rPr>
          <w:rFonts w:ascii="Aptos" w:hAnsi="Aptos"/>
          <w:b/>
          <w:bCs/>
          <w:sz w:val="20"/>
          <w:szCs w:val="20"/>
        </w:rPr>
        <w:t xml:space="preserve"> </w:t>
      </w:r>
      <w:bookmarkEnd w:id="10"/>
      <w:r w:rsidR="00C908E5">
        <w:rPr>
          <w:rFonts w:ascii="Aptos" w:hAnsi="Aptos"/>
          <w:b/>
          <w:bCs/>
          <w:sz w:val="20"/>
          <w:szCs w:val="20"/>
        </w:rPr>
        <w:t>5</w:t>
      </w:r>
      <w:r w:rsidR="00705731">
        <w:rPr>
          <w:rFonts w:ascii="Aptos" w:hAnsi="Aptos"/>
          <w:b/>
          <w:bCs/>
          <w:sz w:val="20"/>
          <w:szCs w:val="20"/>
        </w:rPr>
        <w:t>.</w:t>
      </w:r>
      <w:r w:rsidRPr="005500F7">
        <w:rPr>
          <w:rFonts w:ascii="Aptos" w:hAnsi="Aptos"/>
          <w:b/>
          <w:bCs/>
          <w:sz w:val="20"/>
          <w:szCs w:val="20"/>
        </w:rPr>
        <w:t xml:space="preserve"> </w:t>
      </w:r>
      <w:r w:rsidRPr="005500F7">
        <w:rPr>
          <w:rFonts w:ascii="Aptos" w:hAnsi="Aptos" w:cs="Helvetica"/>
          <w:b/>
          <w:bCs/>
          <w:sz w:val="20"/>
          <w:szCs w:val="20"/>
        </w:rPr>
        <w:t>One-vs-rest statistical comparisons of pallidal neurons in patients with genetic dystonia syndromes</w:t>
      </w:r>
    </w:p>
    <w:p w14:paraId="7B592F06" w14:textId="3C5E9D2F" w:rsidR="008A43B8" w:rsidRPr="005500F7" w:rsidRDefault="008A43B8" w:rsidP="005241D6">
      <w:pPr>
        <w:jc w:val="both"/>
        <w:rPr>
          <w:rFonts w:ascii="Aptos" w:hAnsi="Aptos" w:cs="Helvetica"/>
          <w:b/>
          <w:bCs/>
          <w:sz w:val="20"/>
          <w:szCs w:val="20"/>
          <w:lang w:val="en-CA"/>
        </w:rPr>
      </w:pPr>
      <w:r>
        <w:rPr>
          <w:rFonts w:ascii="Aptos" w:hAnsi="Aptos" w:cs="Helvetica"/>
          <w:b/>
          <w:bCs/>
          <w:noProof/>
          <w:sz w:val="20"/>
          <w:szCs w:val="20"/>
          <w:lang w:val="en-CA"/>
        </w:rPr>
        <w:drawing>
          <wp:inline distT="0" distB="0" distL="0" distR="0" wp14:anchorId="3A85311C" wp14:editId="03DDAE6F">
            <wp:extent cx="5758813" cy="2713990"/>
            <wp:effectExtent l="0" t="0" r="0" b="0"/>
            <wp:docPr id="116360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07539"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8813" cy="2713990"/>
                    </a:xfrm>
                    <a:prstGeom prst="rect">
                      <a:avLst/>
                    </a:prstGeom>
                    <a:noFill/>
                    <a:ln>
                      <a:noFill/>
                    </a:ln>
                  </pic:spPr>
                </pic:pic>
              </a:graphicData>
            </a:graphic>
          </wp:inline>
        </w:drawing>
      </w:r>
    </w:p>
    <w:p w14:paraId="52B2A0B8" w14:textId="77777777" w:rsidR="004E3777" w:rsidRPr="005500F7" w:rsidRDefault="004E3777" w:rsidP="005241D6">
      <w:pPr>
        <w:jc w:val="both"/>
        <w:rPr>
          <w:rFonts w:ascii="Aptos" w:hAnsi="Aptos"/>
          <w:b/>
          <w:bCs/>
          <w:sz w:val="20"/>
          <w:szCs w:val="20"/>
        </w:rPr>
      </w:pPr>
    </w:p>
    <w:p w14:paraId="211657E1" w14:textId="0BF25590" w:rsidR="00150C34" w:rsidRPr="005500F7" w:rsidRDefault="006F2516" w:rsidP="005241D6">
      <w:pPr>
        <w:jc w:val="both"/>
        <w:rPr>
          <w:rFonts w:ascii="Aptos" w:hAnsi="Aptos" w:cs="Helvetica"/>
          <w:b/>
          <w:bCs/>
          <w:sz w:val="20"/>
          <w:szCs w:val="20"/>
          <w:lang w:val="en-CA"/>
        </w:rPr>
      </w:pPr>
      <w:r w:rsidRPr="005500F7">
        <w:rPr>
          <w:rFonts w:ascii="Aptos" w:hAnsi="Aptos"/>
          <w:b/>
          <w:bCs/>
          <w:sz w:val="20"/>
          <w:szCs w:val="20"/>
        </w:rPr>
        <w:t xml:space="preserve">Supplementary Table </w:t>
      </w:r>
      <w:r w:rsidR="00FB7628">
        <w:rPr>
          <w:rFonts w:ascii="Aptos" w:hAnsi="Aptos"/>
          <w:b/>
          <w:bCs/>
          <w:sz w:val="20"/>
          <w:szCs w:val="20"/>
        </w:rPr>
        <w:t>9</w:t>
      </w:r>
      <w:r w:rsidR="00705731">
        <w:rPr>
          <w:rFonts w:ascii="Aptos" w:hAnsi="Aptos"/>
          <w:b/>
          <w:bCs/>
          <w:sz w:val="20"/>
          <w:szCs w:val="20"/>
        </w:rPr>
        <w:t>.</w:t>
      </w:r>
      <w:r w:rsidRPr="005500F7">
        <w:rPr>
          <w:rFonts w:ascii="Aptos" w:hAnsi="Aptos" w:cs="Helvetica"/>
          <w:b/>
          <w:bCs/>
          <w:sz w:val="20"/>
          <w:szCs w:val="20"/>
        </w:rPr>
        <w:t xml:space="preserve"> The one-vs-rest (OVR) decoding performances</w:t>
      </w:r>
    </w:p>
    <w:tbl>
      <w:tblPr>
        <w:tblStyle w:val="TableGrid"/>
        <w:tblW w:w="9889" w:type="dxa"/>
        <w:tblLook w:val="04A0" w:firstRow="1" w:lastRow="0" w:firstColumn="1" w:lastColumn="0" w:noHBand="0" w:noVBand="1"/>
      </w:tblPr>
      <w:tblGrid>
        <w:gridCol w:w="2819"/>
        <w:gridCol w:w="2356"/>
        <w:gridCol w:w="2357"/>
        <w:gridCol w:w="2357"/>
      </w:tblGrid>
      <w:tr w:rsidR="00872870" w:rsidRPr="005500F7" w14:paraId="18CA8927" w14:textId="77777777" w:rsidTr="00872870">
        <w:trPr>
          <w:trHeight w:val="364"/>
        </w:trPr>
        <w:tc>
          <w:tcPr>
            <w:tcW w:w="2819"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713612E0" w14:textId="77777777" w:rsidR="00872870" w:rsidRPr="005500F7" w:rsidRDefault="00872870" w:rsidP="00A03DD4">
            <w:pPr>
              <w:pStyle w:val="NoSpacing"/>
              <w:ind w:firstLine="0"/>
              <w:jc w:val="center"/>
              <w:rPr>
                <w:rFonts w:ascii="Aptos" w:hAnsi="Aptos" w:cs="Times New Roman"/>
                <w:sz w:val="20"/>
                <w:szCs w:val="20"/>
              </w:rPr>
            </w:pPr>
            <w:bookmarkStart w:id="11" w:name="_Hlk184050853"/>
            <w:r w:rsidRPr="005500F7">
              <w:rPr>
                <w:rFonts w:ascii="Aptos" w:hAnsi="Aptos" w:cs="Times New Roman"/>
                <w:b/>
                <w:sz w:val="20"/>
                <w:szCs w:val="20"/>
              </w:rPr>
              <w:t>Neural Decoder</w:t>
            </w:r>
          </w:p>
        </w:tc>
        <w:tc>
          <w:tcPr>
            <w:tcW w:w="2356"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427F07CC" w14:textId="77777777" w:rsidR="00872870" w:rsidRPr="005500F7" w:rsidRDefault="00872870" w:rsidP="00A03DD4">
            <w:pPr>
              <w:pStyle w:val="NoSpacing"/>
              <w:ind w:firstLine="0"/>
              <w:jc w:val="center"/>
              <w:rPr>
                <w:rFonts w:ascii="Aptos" w:hAnsi="Aptos" w:cs="Times New Roman"/>
                <w:b/>
                <w:sz w:val="20"/>
                <w:szCs w:val="20"/>
              </w:rPr>
            </w:pPr>
            <w:r w:rsidRPr="005500F7">
              <w:rPr>
                <w:rFonts w:ascii="Aptos" w:hAnsi="Aptos" w:cs="Times New Roman"/>
                <w:b/>
                <w:sz w:val="20"/>
                <w:szCs w:val="20"/>
              </w:rPr>
              <w:t>balanced</w:t>
            </w:r>
          </w:p>
          <w:p w14:paraId="1E5AF0A8" w14:textId="77777777" w:rsidR="00872870" w:rsidRPr="005500F7" w:rsidRDefault="00872870" w:rsidP="00A03DD4">
            <w:pPr>
              <w:pStyle w:val="NoSpacing"/>
              <w:ind w:firstLine="0"/>
              <w:jc w:val="center"/>
              <w:rPr>
                <w:rFonts w:ascii="Aptos" w:hAnsi="Aptos" w:cs="Times New Roman"/>
                <w:b/>
                <w:sz w:val="20"/>
                <w:szCs w:val="20"/>
              </w:rPr>
            </w:pPr>
            <w:r w:rsidRPr="005500F7">
              <w:rPr>
                <w:rFonts w:ascii="Aptos" w:hAnsi="Aptos" w:cs="Times New Roman"/>
                <w:b/>
                <w:sz w:val="20"/>
                <w:szCs w:val="20"/>
              </w:rPr>
              <w:t>accuracy</w:t>
            </w:r>
          </w:p>
        </w:tc>
        <w:tc>
          <w:tcPr>
            <w:tcW w:w="2357"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21CF24D1" w14:textId="77777777" w:rsidR="00872870" w:rsidRPr="005500F7" w:rsidRDefault="00872870" w:rsidP="00A03DD4">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22C419DA" w14:textId="77777777" w:rsidR="00872870" w:rsidRPr="005500F7" w:rsidRDefault="00872870" w:rsidP="00A03DD4">
            <w:pPr>
              <w:pStyle w:val="NoSpacing"/>
              <w:ind w:firstLine="0"/>
              <w:jc w:val="center"/>
              <w:rPr>
                <w:rFonts w:ascii="Aptos" w:hAnsi="Aptos" w:cs="Times New Roman"/>
                <w:b/>
                <w:sz w:val="20"/>
                <w:szCs w:val="20"/>
              </w:rPr>
            </w:pPr>
            <w:r w:rsidRPr="005500F7">
              <w:rPr>
                <w:rFonts w:ascii="Aptos" w:hAnsi="Aptos" w:cs="Times New Roman"/>
                <w:b/>
                <w:sz w:val="20"/>
                <w:szCs w:val="20"/>
              </w:rPr>
              <w:t>AUC</w:t>
            </w:r>
          </w:p>
        </w:tc>
        <w:tc>
          <w:tcPr>
            <w:tcW w:w="2357" w:type="dxa"/>
            <w:tcBorders>
              <w:top w:val="single" w:sz="4" w:space="0" w:color="FFFFFF" w:themeColor="background1"/>
              <w:left w:val="single" w:sz="4" w:space="0" w:color="FFFFFF" w:themeColor="background1"/>
              <w:bottom w:val="single" w:sz="12" w:space="0" w:color="auto"/>
              <w:right w:val="single" w:sz="12" w:space="0" w:color="FFFFFF" w:themeColor="background1"/>
            </w:tcBorders>
            <w:vAlign w:val="center"/>
          </w:tcPr>
          <w:p w14:paraId="58209550" w14:textId="77777777" w:rsidR="00872870" w:rsidRPr="005500F7" w:rsidRDefault="00872870" w:rsidP="00150C34">
            <w:pPr>
              <w:pStyle w:val="NoSpacing"/>
              <w:ind w:firstLine="0"/>
              <w:jc w:val="center"/>
              <w:rPr>
                <w:rFonts w:ascii="Aptos" w:hAnsi="Aptos" w:cs="Times New Roman"/>
                <w:b/>
                <w:sz w:val="20"/>
                <w:szCs w:val="20"/>
              </w:rPr>
            </w:pPr>
            <w:r w:rsidRPr="005500F7">
              <w:rPr>
                <w:rFonts w:ascii="Aptos" w:hAnsi="Aptos" w:cs="Times New Roman"/>
                <w:b/>
                <w:sz w:val="20"/>
                <w:szCs w:val="20"/>
              </w:rPr>
              <w:t>weighted</w:t>
            </w:r>
          </w:p>
          <w:p w14:paraId="750D0516" w14:textId="77777777" w:rsidR="00872870" w:rsidRPr="005500F7" w:rsidRDefault="00872870" w:rsidP="00150C34">
            <w:pPr>
              <w:pStyle w:val="NoSpacing"/>
              <w:ind w:firstLine="0"/>
              <w:jc w:val="center"/>
              <w:rPr>
                <w:rFonts w:ascii="Aptos" w:hAnsi="Aptos" w:cs="Times New Roman"/>
                <w:b/>
                <w:sz w:val="20"/>
                <w:szCs w:val="20"/>
              </w:rPr>
            </w:pPr>
            <w:r w:rsidRPr="005500F7">
              <w:rPr>
                <w:rFonts w:ascii="Aptos" w:hAnsi="Aptos" w:cs="Times New Roman"/>
                <w:b/>
                <w:sz w:val="20"/>
                <w:szCs w:val="20"/>
              </w:rPr>
              <w:t>F1</w:t>
            </w:r>
          </w:p>
        </w:tc>
      </w:tr>
      <w:tr w:rsidR="00872870" w:rsidRPr="005500F7" w14:paraId="5AB4116D" w14:textId="77777777" w:rsidTr="00872870">
        <w:tc>
          <w:tcPr>
            <w:tcW w:w="2819"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CFC6E8B"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AOPEP</w:t>
            </w:r>
            <w:r w:rsidRPr="005500F7">
              <w:rPr>
                <w:rFonts w:ascii="Aptos" w:hAnsi="Aptos"/>
                <w:sz w:val="20"/>
                <w:szCs w:val="20"/>
              </w:rPr>
              <w:t xml:space="preserve"> vs REST</w:t>
            </w:r>
          </w:p>
        </w:tc>
        <w:tc>
          <w:tcPr>
            <w:tcW w:w="2356"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B298803" w14:textId="6AC9281D"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0.756284</w:t>
            </w:r>
          </w:p>
        </w:tc>
        <w:tc>
          <w:tcPr>
            <w:tcW w:w="2357"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3353B9CD" w14:textId="4214C038"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0.820838</w:t>
            </w:r>
          </w:p>
        </w:tc>
        <w:tc>
          <w:tcPr>
            <w:tcW w:w="2357"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E0BB7BA" w14:textId="311EFC89"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0.85273</w:t>
            </w:r>
          </w:p>
        </w:tc>
      </w:tr>
      <w:tr w:rsidR="00872870" w:rsidRPr="005500F7" w14:paraId="02F3E7CB"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D75FD"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KMT2B</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43A43" w14:textId="0CCAE598"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0.540599192</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BDD88" w14:textId="5ED6B92E"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0.648056565</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E5EEF" w14:textId="6E8B060E"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0.744992797</w:t>
            </w:r>
          </w:p>
        </w:tc>
      </w:tr>
      <w:tr w:rsidR="00872870" w:rsidRPr="005500F7" w14:paraId="44053EFA"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003DA"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GNAL</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0A960" w14:textId="667439F3"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0.557050439</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E96ED" w14:textId="13E00AA7"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0.562206689</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0CDC6" w14:textId="15056750"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0.813473037</w:t>
            </w:r>
          </w:p>
        </w:tc>
      </w:tr>
      <w:tr w:rsidR="00872870" w:rsidRPr="005500F7" w14:paraId="46D85876"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DD0F8"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PANK2</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66CE4" w14:textId="0B5915D9"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0.686158</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C6CE1" w14:textId="73A7D8A1"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0.740158</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9A590" w14:textId="092E9E8A"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0.721691</w:t>
            </w:r>
          </w:p>
        </w:tc>
      </w:tr>
      <w:tr w:rsidR="00872870" w:rsidRPr="005500F7" w14:paraId="0F5C22EE"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C69336"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PLA2G6</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A717D" w14:textId="5C84C5F5"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0.607557056</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B0670F" w14:textId="6CAB4030"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0.629575991</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E6916" w14:textId="00CA58C5"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0.810978847</w:t>
            </w:r>
          </w:p>
        </w:tc>
      </w:tr>
      <w:tr w:rsidR="00872870" w:rsidRPr="005500F7" w14:paraId="07AFDE49"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4B576"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SGCE</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26821" w14:textId="6DBC1D42"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0.6082774</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181EB" w14:textId="64BB66CF"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0.666171851</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1FC99" w14:textId="046405EB"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0.695081905</w:t>
            </w:r>
          </w:p>
        </w:tc>
      </w:tr>
      <w:tr w:rsidR="00872870" w:rsidRPr="005500F7" w14:paraId="666D30E1"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EF3997"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THAP1</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109A1" w14:textId="0C43BF5F"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0.716332</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5B530A" w14:textId="1E115F6E"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0.77672</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8D54B6" w14:textId="1B86B01E"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0.789802</w:t>
            </w:r>
          </w:p>
        </w:tc>
      </w:tr>
      <w:tr w:rsidR="00872870" w:rsidRPr="005500F7" w14:paraId="29BCEEE7"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F90F4B"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TOR1A</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C64C5" w14:textId="191F285F"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0.584547</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42C012" w14:textId="5B5C8433"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0.614407</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F389A" w14:textId="07488181"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0.560128</w:t>
            </w:r>
          </w:p>
        </w:tc>
      </w:tr>
      <w:tr w:rsidR="00872870" w:rsidRPr="005500F7" w14:paraId="3AC7AACD" w14:textId="77777777" w:rsidTr="00872870">
        <w:tc>
          <w:tcPr>
            <w:tcW w:w="2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5CBF7" w14:textId="77777777" w:rsidR="00872870" w:rsidRPr="005500F7" w:rsidRDefault="00872870" w:rsidP="00872870">
            <w:pPr>
              <w:pStyle w:val="NoSpacing"/>
              <w:ind w:firstLine="0"/>
              <w:jc w:val="center"/>
              <w:rPr>
                <w:rFonts w:ascii="Aptos" w:hAnsi="Aptos" w:cs="Times New Roman"/>
                <w:sz w:val="20"/>
                <w:szCs w:val="20"/>
              </w:rPr>
            </w:pPr>
            <w:r w:rsidRPr="001F7708">
              <w:rPr>
                <w:rFonts w:ascii="Aptos" w:hAnsi="Aptos"/>
                <w:i/>
                <w:iCs/>
                <w:sz w:val="20"/>
                <w:szCs w:val="20"/>
              </w:rPr>
              <w:t>VPS16</w:t>
            </w:r>
            <w:r w:rsidRPr="005500F7">
              <w:rPr>
                <w:rFonts w:ascii="Aptos" w:hAnsi="Aptos"/>
                <w:sz w:val="20"/>
                <w:szCs w:val="20"/>
              </w:rPr>
              <w:t xml:space="preserve"> vs REST</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E9779" w14:textId="039CF7B3"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0.56385</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5E782" w14:textId="37D74C98"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0.641069</w:t>
            </w:r>
          </w:p>
        </w:tc>
        <w:tc>
          <w:tcPr>
            <w:tcW w:w="2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F24F1" w14:textId="59A23065" w:rsidR="00872870" w:rsidRPr="00872870" w:rsidRDefault="00872870" w:rsidP="00872870">
            <w:pPr>
              <w:pStyle w:val="NoSpacing"/>
              <w:ind w:firstLine="0"/>
              <w:jc w:val="center"/>
              <w:rPr>
                <w:rFonts w:ascii="Aptos" w:hAnsi="Aptos" w:cs="Times New Roman"/>
                <w:sz w:val="20"/>
                <w:szCs w:val="20"/>
              </w:rPr>
            </w:pPr>
            <w:r w:rsidRPr="00872870">
              <w:rPr>
                <w:rFonts w:ascii="Aptos" w:hAnsi="Aptos"/>
                <w:sz w:val="20"/>
                <w:szCs w:val="20"/>
              </w:rPr>
              <w:t>0.734393</w:t>
            </w:r>
          </w:p>
        </w:tc>
      </w:tr>
      <w:bookmarkEnd w:id="11"/>
    </w:tbl>
    <w:p w14:paraId="3473B0FE" w14:textId="31EFA4ED" w:rsidR="005B31A5" w:rsidRPr="00167780" w:rsidRDefault="005B31A5" w:rsidP="00167780">
      <w:pPr>
        <w:jc w:val="both"/>
        <w:rPr>
          <w:rFonts w:ascii="Aptos" w:hAnsi="Aptos"/>
          <w:noProof/>
          <w:sz w:val="20"/>
          <w:szCs w:val="20"/>
          <w:lang w:val="en-CA"/>
        </w:rPr>
      </w:pPr>
      <w:r w:rsidRPr="00167780">
        <w:rPr>
          <w:rFonts w:ascii="Aptos" w:hAnsi="Aptos"/>
          <w:noProof/>
          <w:lang w:val="en-CA"/>
        </w:rPr>
        <w:br w:type="page"/>
      </w:r>
    </w:p>
    <w:p w14:paraId="502B5108" w14:textId="77777777" w:rsidR="004D239A" w:rsidRPr="00465A56" w:rsidRDefault="006F2516" w:rsidP="007E6912">
      <w:pPr>
        <w:pStyle w:val="NoSpacing"/>
        <w:spacing w:after="0"/>
        <w:ind w:firstLine="0"/>
        <w:rPr>
          <w:rFonts w:ascii="Aptos" w:hAnsi="Aptos" w:cs="Times New Roman"/>
          <w:b/>
          <w:bCs/>
          <w:sz w:val="20"/>
          <w:szCs w:val="20"/>
          <w:lang w:val="en-US"/>
        </w:rPr>
      </w:pPr>
      <w:r w:rsidRPr="00465A56">
        <w:rPr>
          <w:rFonts w:ascii="Aptos" w:hAnsi="Aptos" w:cs="Times New Roman"/>
          <w:b/>
          <w:bCs/>
          <w:sz w:val="20"/>
          <w:szCs w:val="20"/>
          <w:lang w:val="en-US"/>
        </w:rPr>
        <w:lastRenderedPageBreak/>
        <w:t>REFERENCES</w:t>
      </w:r>
    </w:p>
    <w:p w14:paraId="7E1CF7AB" w14:textId="77777777" w:rsidR="00292BDA" w:rsidRPr="00465A56" w:rsidRDefault="00292BDA" w:rsidP="007E6912">
      <w:pPr>
        <w:pStyle w:val="NoSpacing"/>
        <w:spacing w:after="0"/>
        <w:ind w:firstLine="0"/>
        <w:rPr>
          <w:rFonts w:ascii="Aptos" w:hAnsi="Aptos" w:cs="Times New Roman"/>
          <w:b/>
          <w:bCs/>
          <w:sz w:val="20"/>
          <w:szCs w:val="20"/>
          <w:lang w:val="en-US"/>
        </w:rPr>
      </w:pPr>
    </w:p>
    <w:p w14:paraId="23A87E5B" w14:textId="77777777" w:rsidR="00EE7B65" w:rsidRPr="00872870" w:rsidRDefault="006F2516" w:rsidP="00EE7B65">
      <w:pPr>
        <w:pStyle w:val="Bibliography"/>
        <w:rPr>
          <w:lang w:val="it-IT"/>
        </w:rPr>
      </w:pPr>
      <w:r w:rsidRPr="001F7708">
        <w:rPr>
          <w:rFonts w:ascii="Aptos" w:hAnsi="Aptos"/>
          <w:b/>
          <w:bCs/>
          <w:sz w:val="20"/>
          <w:szCs w:val="20"/>
        </w:rPr>
        <w:fldChar w:fldCharType="begin"/>
      </w:r>
      <w:r w:rsidR="005500F7" w:rsidRPr="001F7708">
        <w:rPr>
          <w:rFonts w:ascii="Aptos" w:hAnsi="Aptos"/>
          <w:b/>
          <w:bCs/>
          <w:sz w:val="20"/>
          <w:szCs w:val="20"/>
          <w:lang w:val="en-US"/>
        </w:rPr>
        <w:instrText xml:space="preserve"> ADDIN ZOTERO_BIBL {"uncited":[],"omitted":[],"custom":[]} CSL_BIBLIOGRAPHY </w:instrText>
      </w:r>
      <w:r w:rsidRPr="001F7708">
        <w:rPr>
          <w:rFonts w:ascii="Aptos" w:hAnsi="Aptos"/>
          <w:b/>
          <w:bCs/>
          <w:sz w:val="20"/>
          <w:szCs w:val="20"/>
        </w:rPr>
        <w:fldChar w:fldCharType="separate"/>
      </w:r>
      <w:r w:rsidR="00EE7B65">
        <w:t>1.</w:t>
      </w:r>
      <w:r w:rsidR="00EE7B65">
        <w:tab/>
        <w:t xml:space="preserve">Thomsen M, Lange LM, Klein C, Lohmann K. </w:t>
      </w:r>
      <w:proofErr w:type="gramStart"/>
      <w:r w:rsidR="00EE7B65">
        <w:rPr>
          <w:smallCaps/>
        </w:rPr>
        <w:t>MDSGene</w:t>
      </w:r>
      <w:r w:rsidR="00EE7B65">
        <w:t> :</w:t>
      </w:r>
      <w:proofErr w:type="gramEnd"/>
      <w:r w:rsidR="00EE7B65">
        <w:t xml:space="preserve"> Extending the List of Isolated Dystonia Genes by </w:t>
      </w:r>
      <w:r w:rsidR="00EE7B65">
        <w:rPr>
          <w:smallCaps/>
        </w:rPr>
        <w:t xml:space="preserve"> </w:t>
      </w:r>
      <w:r w:rsidR="00EE7B65">
        <w:rPr>
          <w:i/>
          <w:iCs/>
          <w:smallCaps/>
        </w:rPr>
        <w:t>VPS16</w:t>
      </w:r>
      <w:r w:rsidR="00EE7B65">
        <w:rPr>
          <w:smallCaps/>
        </w:rPr>
        <w:t xml:space="preserve"> </w:t>
      </w:r>
      <w:r w:rsidR="00EE7B65">
        <w:t xml:space="preserve"> , </w:t>
      </w:r>
      <w:r w:rsidR="00EE7B65">
        <w:rPr>
          <w:smallCaps/>
        </w:rPr>
        <w:t xml:space="preserve"> </w:t>
      </w:r>
      <w:r w:rsidR="00EE7B65">
        <w:rPr>
          <w:i/>
          <w:iCs/>
          <w:smallCaps/>
        </w:rPr>
        <w:t>EIF2AK2</w:t>
      </w:r>
      <w:r w:rsidR="00EE7B65">
        <w:rPr>
          <w:smallCaps/>
        </w:rPr>
        <w:t xml:space="preserve"> </w:t>
      </w:r>
      <w:r w:rsidR="00EE7B65">
        <w:t xml:space="preserve"> , and </w:t>
      </w:r>
      <w:r w:rsidR="00EE7B65">
        <w:rPr>
          <w:smallCaps/>
        </w:rPr>
        <w:t xml:space="preserve"> </w:t>
      </w:r>
      <w:r w:rsidR="00EE7B65">
        <w:rPr>
          <w:i/>
          <w:iCs/>
          <w:smallCaps/>
        </w:rPr>
        <w:t>AOPEP</w:t>
      </w:r>
      <w:r w:rsidR="00EE7B65">
        <w:rPr>
          <w:smallCaps/>
        </w:rPr>
        <w:t xml:space="preserve"> </w:t>
      </w:r>
      <w:r w:rsidR="00EE7B65">
        <w:t xml:space="preserve">. </w:t>
      </w:r>
      <w:r w:rsidR="00EE7B65" w:rsidRPr="00872870">
        <w:rPr>
          <w:i/>
          <w:iCs/>
          <w:lang w:val="it-IT"/>
        </w:rPr>
        <w:t>Mov Disord</w:t>
      </w:r>
      <w:r w:rsidR="00EE7B65" w:rsidRPr="00872870">
        <w:rPr>
          <w:lang w:val="it-IT"/>
        </w:rPr>
        <w:t xml:space="preserve">. 2023;38(3):507-508. </w:t>
      </w:r>
      <w:proofErr w:type="gramStart"/>
      <w:r w:rsidR="00EE7B65" w:rsidRPr="00872870">
        <w:rPr>
          <w:lang w:val="it-IT"/>
        </w:rPr>
        <w:t>doi:10.1002</w:t>
      </w:r>
      <w:proofErr w:type="gramEnd"/>
      <w:r w:rsidR="00EE7B65" w:rsidRPr="00872870">
        <w:rPr>
          <w:lang w:val="it-IT"/>
        </w:rPr>
        <w:t>/mds.29327</w:t>
      </w:r>
    </w:p>
    <w:p w14:paraId="12042381" w14:textId="77777777" w:rsidR="00EE7B65" w:rsidRDefault="00EE7B65" w:rsidP="00EE7B65">
      <w:pPr>
        <w:pStyle w:val="Bibliography"/>
      </w:pPr>
      <w:r w:rsidRPr="00872870">
        <w:rPr>
          <w:lang w:val="it-IT"/>
        </w:rPr>
        <w:t>2.</w:t>
      </w:r>
      <w:r w:rsidRPr="00872870">
        <w:rPr>
          <w:lang w:val="it-IT"/>
        </w:rPr>
        <w:tab/>
        <w:t xml:space="preserve">Garavaglia B, Vallian S, Romito LM, et al. </w:t>
      </w:r>
      <w:r>
        <w:t xml:space="preserve">AOPEP variants as a novel cause of recessive dystonia: Generalized dystonia and dystonia-parkinsonism. </w:t>
      </w:r>
      <w:r>
        <w:rPr>
          <w:i/>
          <w:iCs/>
        </w:rPr>
        <w:t>Parkinsonism Relat Disord</w:t>
      </w:r>
      <w:r>
        <w:t xml:space="preserve">. </w:t>
      </w:r>
      <w:proofErr w:type="gramStart"/>
      <w:r>
        <w:t>2022;97:52</w:t>
      </w:r>
      <w:proofErr w:type="gramEnd"/>
      <w:r>
        <w:t xml:space="preserve">-56. </w:t>
      </w:r>
      <w:proofErr w:type="gramStart"/>
      <w:r>
        <w:t>doi:10.1016/j.parkreldis</w:t>
      </w:r>
      <w:proofErr w:type="gramEnd"/>
      <w:r>
        <w:t>.2022.03.007</w:t>
      </w:r>
    </w:p>
    <w:p w14:paraId="43D2D96A" w14:textId="77777777" w:rsidR="00EE7B65" w:rsidRDefault="00EE7B65" w:rsidP="00EE7B65">
      <w:pPr>
        <w:pStyle w:val="Bibliography"/>
      </w:pPr>
      <w:r>
        <w:t>3.</w:t>
      </w:r>
      <w:r>
        <w:tab/>
        <w:t xml:space="preserve">Zech M, Kumar KR, Reining S, et al. </w:t>
      </w:r>
      <w:proofErr w:type="gramStart"/>
      <w:r>
        <w:t xml:space="preserve">Biallelic </w:t>
      </w:r>
      <w:r>
        <w:rPr>
          <w:smallCaps/>
        </w:rPr>
        <w:t xml:space="preserve"> </w:t>
      </w:r>
      <w:r>
        <w:rPr>
          <w:i/>
          <w:iCs/>
          <w:smallCaps/>
        </w:rPr>
        <w:t>AOPEP</w:t>
      </w:r>
      <w:proofErr w:type="gramEnd"/>
      <w:r>
        <w:rPr>
          <w:smallCaps/>
        </w:rPr>
        <w:t xml:space="preserve"> </w:t>
      </w:r>
      <w:r>
        <w:t xml:space="preserve"> Loss‐of‐Function Variants Cause Progressive Dystonia with Prominent Limb Involvement. </w:t>
      </w:r>
      <w:r>
        <w:rPr>
          <w:i/>
          <w:iCs/>
        </w:rPr>
        <w:t>Mov Disord</w:t>
      </w:r>
      <w:r>
        <w:t>. 2022;37(1):137-147. doi:10.1002/mds.28804</w:t>
      </w:r>
    </w:p>
    <w:p w14:paraId="0AEB9147" w14:textId="77777777" w:rsidR="00EE7B65" w:rsidRDefault="00EE7B65" w:rsidP="00EE7B65">
      <w:pPr>
        <w:pStyle w:val="Bibliography"/>
      </w:pPr>
      <w:r>
        <w:t>4.</w:t>
      </w:r>
      <w:r>
        <w:tab/>
        <w:t xml:space="preserve">Fevga C, Ferraro F, Breedveld GJ, Savant Sankhla C, Bonifati V. </w:t>
      </w:r>
      <w:r>
        <w:rPr>
          <w:smallCaps/>
        </w:rPr>
        <w:t xml:space="preserve"> </w:t>
      </w:r>
      <w:proofErr w:type="gramStart"/>
      <w:r>
        <w:rPr>
          <w:i/>
          <w:iCs/>
          <w:smallCaps/>
        </w:rPr>
        <w:t>AOPEP</w:t>
      </w:r>
      <w:r>
        <w:rPr>
          <w:smallCaps/>
        </w:rPr>
        <w:t xml:space="preserve"> </w:t>
      </w:r>
      <w:r>
        <w:t xml:space="preserve"> Homozygous</w:t>
      </w:r>
      <w:proofErr w:type="gramEnd"/>
      <w:r>
        <w:t xml:space="preserve"> Loss‐of‐Function Variant in an Indian Patient with Early‐Onset Generalized Dystonia. </w:t>
      </w:r>
      <w:r>
        <w:rPr>
          <w:i/>
          <w:iCs/>
        </w:rPr>
        <w:t>Mov Disord</w:t>
      </w:r>
      <w:r>
        <w:t>. 2022;37(4):874-875. doi:10.1002/mds.28928</w:t>
      </w:r>
    </w:p>
    <w:p w14:paraId="0A30F523" w14:textId="77777777" w:rsidR="00EE7B65" w:rsidRPr="00872870" w:rsidRDefault="00EE7B65" w:rsidP="00EE7B65">
      <w:pPr>
        <w:pStyle w:val="Bibliography"/>
        <w:rPr>
          <w:lang w:val="it-IT"/>
        </w:rPr>
      </w:pPr>
      <w:r>
        <w:t>5.</w:t>
      </w:r>
      <w:r>
        <w:tab/>
        <w:t xml:space="preserve">Menden B, Gutschalk A, Wunderlich G, Haack TB. Expanded Genetic Spectrum and Variable Disease Onset </w:t>
      </w:r>
      <w:proofErr w:type="gramStart"/>
      <w:r>
        <w:t xml:space="preserve">in </w:t>
      </w:r>
      <w:r>
        <w:rPr>
          <w:smallCaps/>
        </w:rPr>
        <w:t xml:space="preserve"> </w:t>
      </w:r>
      <w:r>
        <w:rPr>
          <w:i/>
          <w:iCs/>
          <w:smallCaps/>
        </w:rPr>
        <w:t>AOPEP</w:t>
      </w:r>
      <w:proofErr w:type="gramEnd"/>
      <w:r>
        <w:rPr>
          <w:smallCaps/>
        </w:rPr>
        <w:t xml:space="preserve"> </w:t>
      </w:r>
      <w:r>
        <w:t xml:space="preserve"> ‐Associated Dystonia. </w:t>
      </w:r>
      <w:r w:rsidRPr="00872870">
        <w:rPr>
          <w:i/>
          <w:iCs/>
          <w:lang w:val="it-IT"/>
        </w:rPr>
        <w:t>Mov Disord</w:t>
      </w:r>
      <w:r w:rsidRPr="00872870">
        <w:rPr>
          <w:lang w:val="it-IT"/>
        </w:rPr>
        <w:t xml:space="preserve">. 2022;37(5):1113-1115. </w:t>
      </w:r>
      <w:proofErr w:type="gramStart"/>
      <w:r w:rsidRPr="00872870">
        <w:rPr>
          <w:lang w:val="it-IT"/>
        </w:rPr>
        <w:t>doi:10.1002</w:t>
      </w:r>
      <w:proofErr w:type="gramEnd"/>
      <w:r w:rsidRPr="00872870">
        <w:rPr>
          <w:lang w:val="it-IT"/>
        </w:rPr>
        <w:t>/mds.29021</w:t>
      </w:r>
    </w:p>
    <w:p w14:paraId="1338F6DD" w14:textId="77777777" w:rsidR="00EE7B65" w:rsidRDefault="00EE7B65" w:rsidP="00EE7B65">
      <w:pPr>
        <w:pStyle w:val="Bibliography"/>
      </w:pPr>
      <w:r w:rsidRPr="00872870">
        <w:rPr>
          <w:lang w:val="it-IT"/>
        </w:rPr>
        <w:t>6.</w:t>
      </w:r>
      <w:r w:rsidRPr="00872870">
        <w:rPr>
          <w:lang w:val="it-IT"/>
        </w:rPr>
        <w:tab/>
        <w:t xml:space="preserve">Lin J, Li C, Cui Y, et al. </w:t>
      </w:r>
      <w:r>
        <w:t xml:space="preserve">Mutation screening of AOPEP variants in a large dystonia cohort. </w:t>
      </w:r>
      <w:r>
        <w:rPr>
          <w:i/>
          <w:iCs/>
        </w:rPr>
        <w:t>J Neurol</w:t>
      </w:r>
      <w:r>
        <w:t>. 2023;270(6):3225-3233. doi:10.1007/s00415-023-11665-7</w:t>
      </w:r>
    </w:p>
    <w:p w14:paraId="0B634A24" w14:textId="77777777" w:rsidR="00EE7B65" w:rsidRDefault="00EE7B65" w:rsidP="00EE7B65">
      <w:pPr>
        <w:pStyle w:val="Bibliography"/>
      </w:pPr>
      <w:r>
        <w:t>7.</w:t>
      </w:r>
      <w:r>
        <w:tab/>
        <w:t xml:space="preserve">Fuchs T, Saunders-Pullman R, Masuho I, et al. Mutations in GNAL cause primary torsion dystonia. </w:t>
      </w:r>
      <w:r>
        <w:rPr>
          <w:i/>
          <w:iCs/>
        </w:rPr>
        <w:t>Nat Genet</w:t>
      </w:r>
      <w:r>
        <w:t>. 2013;45(1):88-92. doi:10.1038/ng.2496</w:t>
      </w:r>
    </w:p>
    <w:p w14:paraId="7B1FEFFC" w14:textId="77777777" w:rsidR="00EE7B65" w:rsidRDefault="00EE7B65" w:rsidP="00EE7B65">
      <w:pPr>
        <w:pStyle w:val="Bibliography"/>
      </w:pPr>
      <w:r>
        <w:t>8.</w:t>
      </w:r>
      <w:r>
        <w:tab/>
        <w:t xml:space="preserve">Tisch S, Kumar KR. Pallidal Deep Brain Stimulation for Monogenic Dystonia: The Effect of Gene on Outcome. </w:t>
      </w:r>
      <w:r>
        <w:rPr>
          <w:i/>
          <w:iCs/>
        </w:rPr>
        <w:t>Front Neurol</w:t>
      </w:r>
      <w:r>
        <w:t xml:space="preserve">. </w:t>
      </w:r>
      <w:proofErr w:type="gramStart"/>
      <w:r>
        <w:t>2021;11:630391</w:t>
      </w:r>
      <w:proofErr w:type="gramEnd"/>
      <w:r>
        <w:t>. doi:10.3389/fneur.2020.630391</w:t>
      </w:r>
    </w:p>
    <w:p w14:paraId="13469D7F" w14:textId="77777777" w:rsidR="00EE7B65" w:rsidRDefault="00EE7B65" w:rsidP="00EE7B65">
      <w:pPr>
        <w:pStyle w:val="Bibliography"/>
      </w:pPr>
      <w:r>
        <w:t>9.</w:t>
      </w:r>
      <w:r>
        <w:tab/>
        <w:t xml:space="preserve">Dobričić V, Kresojević N, Westenberger A, et al. De novo mutation in the </w:t>
      </w:r>
      <w:r>
        <w:rPr>
          <w:i/>
          <w:iCs/>
        </w:rPr>
        <w:t>GNAL</w:t>
      </w:r>
      <w:r>
        <w:t xml:space="preserve"> gene causing seemingly sporadic dystonia in a Serbian patient: DE NOVO </w:t>
      </w:r>
      <w:r>
        <w:rPr>
          <w:i/>
          <w:iCs/>
        </w:rPr>
        <w:t>GNAL</w:t>
      </w:r>
      <w:r>
        <w:t xml:space="preserve"> (DYT25) MUTATION. </w:t>
      </w:r>
      <w:r>
        <w:rPr>
          <w:i/>
          <w:iCs/>
        </w:rPr>
        <w:t>Mov Disord</w:t>
      </w:r>
      <w:r>
        <w:t>. 2014;29(9):1190-1193. doi:10.1002/mds.25876</w:t>
      </w:r>
    </w:p>
    <w:p w14:paraId="1714C9DC" w14:textId="77777777" w:rsidR="00EE7B65" w:rsidRDefault="00EE7B65" w:rsidP="00EE7B65">
      <w:pPr>
        <w:pStyle w:val="Bibliography"/>
      </w:pPr>
      <w:r>
        <w:t>10.</w:t>
      </w:r>
      <w:r>
        <w:tab/>
        <w:t xml:space="preserve">Zech M, Boesch S, Sycha T, Mueller J, Poewe W, Winkelmann J. </w:t>
      </w:r>
      <w:r>
        <w:rPr>
          <w:i/>
          <w:iCs/>
        </w:rPr>
        <w:t>TOR1A, THAP</w:t>
      </w:r>
      <w:proofErr w:type="gramStart"/>
      <w:r>
        <w:rPr>
          <w:i/>
          <w:iCs/>
        </w:rPr>
        <w:t>1</w:t>
      </w:r>
      <w:r>
        <w:t xml:space="preserve"> ,</w:t>
      </w:r>
      <w:proofErr w:type="gramEnd"/>
      <w:r>
        <w:t xml:space="preserve"> and </w:t>
      </w:r>
      <w:r>
        <w:rPr>
          <w:i/>
          <w:iCs/>
        </w:rPr>
        <w:t>GNAL</w:t>
      </w:r>
      <w:r>
        <w:t xml:space="preserve"> mutational screening in Austrian patients with primary isolated dystonia: Letter to the Editors. </w:t>
      </w:r>
      <w:r>
        <w:rPr>
          <w:i/>
          <w:iCs/>
        </w:rPr>
        <w:t>Mov Disord</w:t>
      </w:r>
      <w:r>
        <w:t>. 2015;30(13):1853-1854. doi:10.1002/mds.26458</w:t>
      </w:r>
    </w:p>
    <w:p w14:paraId="1390C3A8" w14:textId="77777777" w:rsidR="00EE7B65" w:rsidRDefault="00EE7B65" w:rsidP="00EE7B65">
      <w:pPr>
        <w:pStyle w:val="Bibliography"/>
      </w:pPr>
      <w:r>
        <w:t>11.</w:t>
      </w:r>
      <w:r>
        <w:tab/>
        <w:t xml:space="preserve">Miao J, Wan XH, Sun Y, Feng JC, Cheng FB. Mutation screening of GNAL gene in patients with primary dystonia from Northeast China. </w:t>
      </w:r>
      <w:r>
        <w:rPr>
          <w:i/>
          <w:iCs/>
        </w:rPr>
        <w:t>Parkinsonism Relat Disord</w:t>
      </w:r>
      <w:r>
        <w:t xml:space="preserve">. 2013;19(10):910-912. </w:t>
      </w:r>
      <w:proofErr w:type="gramStart"/>
      <w:r>
        <w:t>doi:10.1016/j.parkreldis</w:t>
      </w:r>
      <w:proofErr w:type="gramEnd"/>
      <w:r>
        <w:t>.2013.05.011</w:t>
      </w:r>
    </w:p>
    <w:p w14:paraId="33AEC97E" w14:textId="77777777" w:rsidR="00EE7B65" w:rsidRDefault="00EE7B65" w:rsidP="00EE7B65">
      <w:pPr>
        <w:pStyle w:val="Bibliography"/>
      </w:pPr>
      <w:r>
        <w:t>12.</w:t>
      </w:r>
      <w:r>
        <w:tab/>
        <w:t xml:space="preserve">Vemula SR, Puschmann A, Xiao J, et al. Role of Gα(olf) in familial and sporadic adult-onset primary dystonia. </w:t>
      </w:r>
      <w:r>
        <w:rPr>
          <w:i/>
          <w:iCs/>
        </w:rPr>
        <w:t>Hum Mol Genet</w:t>
      </w:r>
      <w:r>
        <w:t>. 2013;22(12):2510-2519. doi:10.1093/hmg/ddt102</w:t>
      </w:r>
    </w:p>
    <w:p w14:paraId="5374A8DC" w14:textId="77777777" w:rsidR="00EE7B65" w:rsidRDefault="00EE7B65" w:rsidP="00EE7B65">
      <w:pPr>
        <w:pStyle w:val="Bibliography"/>
      </w:pPr>
      <w:r>
        <w:lastRenderedPageBreak/>
        <w:t>13.</w:t>
      </w:r>
      <w:r>
        <w:tab/>
        <w:t xml:space="preserve">Saunders-Pullman R, Fuchs T, San Luciano M, et al. Heterogeneity in primary dystonia: Lessons from </w:t>
      </w:r>
      <w:r>
        <w:rPr>
          <w:i/>
          <w:iCs/>
        </w:rPr>
        <w:t>THAP</w:t>
      </w:r>
      <w:proofErr w:type="gramStart"/>
      <w:r>
        <w:rPr>
          <w:i/>
          <w:iCs/>
        </w:rPr>
        <w:t>1</w:t>
      </w:r>
      <w:r>
        <w:t xml:space="preserve"> ,</w:t>
      </w:r>
      <w:proofErr w:type="gramEnd"/>
      <w:r>
        <w:t xml:space="preserve"> </w:t>
      </w:r>
      <w:r>
        <w:rPr>
          <w:i/>
          <w:iCs/>
        </w:rPr>
        <w:t>GNAL</w:t>
      </w:r>
      <w:r>
        <w:t xml:space="preserve"> , and </w:t>
      </w:r>
      <w:r>
        <w:rPr>
          <w:i/>
          <w:iCs/>
        </w:rPr>
        <w:t>TOR1A</w:t>
      </w:r>
      <w:r>
        <w:t xml:space="preserve"> in Amish-Mennonites: </w:t>
      </w:r>
      <w:r>
        <w:rPr>
          <w:i/>
          <w:iCs/>
        </w:rPr>
        <w:t>THAP1</w:t>
      </w:r>
      <w:r>
        <w:t xml:space="preserve"> , </w:t>
      </w:r>
      <w:r>
        <w:rPr>
          <w:i/>
          <w:iCs/>
        </w:rPr>
        <w:t>GNAL</w:t>
      </w:r>
      <w:r>
        <w:t xml:space="preserve"> , AND </w:t>
      </w:r>
      <w:r>
        <w:rPr>
          <w:i/>
          <w:iCs/>
        </w:rPr>
        <w:t>TOR1A</w:t>
      </w:r>
      <w:r>
        <w:t xml:space="preserve"> in Amish-Mennonites. </w:t>
      </w:r>
      <w:r>
        <w:rPr>
          <w:i/>
          <w:iCs/>
        </w:rPr>
        <w:t>Mov Disord</w:t>
      </w:r>
      <w:r>
        <w:t>. 2014;29(6):812-818. doi:10.1002/mds.25818</w:t>
      </w:r>
    </w:p>
    <w:p w14:paraId="3D7EE1B4" w14:textId="77777777" w:rsidR="00EE7B65" w:rsidRPr="003C106F" w:rsidRDefault="00EE7B65" w:rsidP="00EE7B65">
      <w:pPr>
        <w:pStyle w:val="Bibliography"/>
        <w:rPr>
          <w:lang w:val="it-IT"/>
        </w:rPr>
      </w:pPr>
      <w:r>
        <w:t>14.</w:t>
      </w:r>
      <w:r>
        <w:tab/>
        <w:t xml:space="preserve">Ziegan J, Wittstock M, Westenberger A, et al. Novel </w:t>
      </w:r>
      <w:r>
        <w:rPr>
          <w:i/>
          <w:iCs/>
        </w:rPr>
        <w:t>GNAL</w:t>
      </w:r>
      <w:r>
        <w:t xml:space="preserve"> mutations in two German patients with sporadic dystonia: LETTERS: NEW OBSERVATIONS. </w:t>
      </w:r>
      <w:r w:rsidRPr="003C106F">
        <w:rPr>
          <w:i/>
          <w:iCs/>
          <w:lang w:val="it-IT"/>
        </w:rPr>
        <w:t>Mov Disord</w:t>
      </w:r>
      <w:r w:rsidRPr="003C106F">
        <w:rPr>
          <w:lang w:val="it-IT"/>
        </w:rPr>
        <w:t xml:space="preserve">. 2014;29(14):1833-1834. </w:t>
      </w:r>
      <w:proofErr w:type="gramStart"/>
      <w:r w:rsidRPr="003C106F">
        <w:rPr>
          <w:lang w:val="it-IT"/>
        </w:rPr>
        <w:t>doi:10.1002</w:t>
      </w:r>
      <w:proofErr w:type="gramEnd"/>
      <w:r w:rsidRPr="003C106F">
        <w:rPr>
          <w:lang w:val="it-IT"/>
        </w:rPr>
        <w:t>/mds.26066</w:t>
      </w:r>
    </w:p>
    <w:p w14:paraId="47A591CE" w14:textId="77777777" w:rsidR="00EE7B65" w:rsidRDefault="00EE7B65" w:rsidP="00EE7B65">
      <w:pPr>
        <w:pStyle w:val="Bibliography"/>
      </w:pPr>
      <w:r w:rsidRPr="003C106F">
        <w:rPr>
          <w:lang w:val="it-IT"/>
        </w:rPr>
        <w:t>15.</w:t>
      </w:r>
      <w:r w:rsidRPr="003C106F">
        <w:rPr>
          <w:lang w:val="it-IT"/>
        </w:rPr>
        <w:tab/>
        <w:t xml:space="preserve">Carecchio M, Panteghini C, Reale C, et al. </w:t>
      </w:r>
      <w:r>
        <w:t xml:space="preserve">Novel GNAL mutation with intra-familial clinical heterogeneity: Expanding the phenotype. </w:t>
      </w:r>
      <w:r>
        <w:rPr>
          <w:i/>
          <w:iCs/>
        </w:rPr>
        <w:t>Parkinsonism Relat Disord</w:t>
      </w:r>
      <w:r>
        <w:t xml:space="preserve">. </w:t>
      </w:r>
      <w:proofErr w:type="gramStart"/>
      <w:r>
        <w:t>2016;23:66</w:t>
      </w:r>
      <w:proofErr w:type="gramEnd"/>
      <w:r>
        <w:t xml:space="preserve">-71. </w:t>
      </w:r>
      <w:proofErr w:type="gramStart"/>
      <w:r>
        <w:t>doi:10.1016/j.parkreldis</w:t>
      </w:r>
      <w:proofErr w:type="gramEnd"/>
      <w:r>
        <w:t>.2015.12.012</w:t>
      </w:r>
    </w:p>
    <w:p w14:paraId="35D75664" w14:textId="77777777" w:rsidR="00EE7B65" w:rsidRDefault="00EE7B65" w:rsidP="00EE7B65">
      <w:pPr>
        <w:pStyle w:val="Bibliography"/>
      </w:pPr>
      <w:r>
        <w:t>16.</w:t>
      </w:r>
      <w:r>
        <w:tab/>
        <w:t xml:space="preserve">LeDoux MS, Vemula SR, Xiao J, et al. Clinical and genetic features of cervical dystonia in a large multicenter cohort. </w:t>
      </w:r>
      <w:r>
        <w:rPr>
          <w:i/>
          <w:iCs/>
        </w:rPr>
        <w:t>Neurol Genet</w:t>
      </w:r>
      <w:r>
        <w:t>. 2016;2(3</w:t>
      </w:r>
      <w:proofErr w:type="gramStart"/>
      <w:r>
        <w:t>):e</w:t>
      </w:r>
      <w:proofErr w:type="gramEnd"/>
      <w:r>
        <w:t>69. doi:10.1212/NXG.0000000000000069</w:t>
      </w:r>
    </w:p>
    <w:p w14:paraId="211A09E7" w14:textId="77777777" w:rsidR="00EE7B65" w:rsidRDefault="00EE7B65" w:rsidP="00EE7B65">
      <w:pPr>
        <w:pStyle w:val="Bibliography"/>
      </w:pPr>
      <w:r>
        <w:t>17.</w:t>
      </w:r>
      <w:r>
        <w:tab/>
        <w:t xml:space="preserve">Sarva H, Trosch R, Kiss ZHT, et al. Deep Brain Stimulation in Isolated Dystonia </w:t>
      </w:r>
      <w:proofErr w:type="gramStart"/>
      <w:r>
        <w:t>With</w:t>
      </w:r>
      <w:proofErr w:type="gramEnd"/>
      <w:r>
        <w:t xml:space="preserve"> a </w:t>
      </w:r>
      <w:r>
        <w:rPr>
          <w:i/>
          <w:iCs/>
        </w:rPr>
        <w:t>GNAL</w:t>
      </w:r>
      <w:r>
        <w:t xml:space="preserve"> Mutation. </w:t>
      </w:r>
      <w:r>
        <w:rPr>
          <w:i/>
          <w:iCs/>
        </w:rPr>
        <w:t>Mov Disord</w:t>
      </w:r>
      <w:r>
        <w:t>. 2019;34(2):301-303. doi:10.1002/mds.27585</w:t>
      </w:r>
    </w:p>
    <w:p w14:paraId="7EFAB902" w14:textId="77777777" w:rsidR="00EE7B65" w:rsidRDefault="00EE7B65" w:rsidP="00EE7B65">
      <w:pPr>
        <w:pStyle w:val="Bibliography"/>
      </w:pPr>
      <w:r>
        <w:t>18.</w:t>
      </w:r>
      <w:r>
        <w:tab/>
        <w:t xml:space="preserve">Domingo A, Yadav R, Ozelius LJ. Isolated dystonia: clinical and genetic updates. </w:t>
      </w:r>
      <w:r>
        <w:rPr>
          <w:i/>
          <w:iCs/>
        </w:rPr>
        <w:t>J Neural Transm</w:t>
      </w:r>
      <w:r>
        <w:t>. 2021;128(4):405-416. doi:10.1007/s00702-020-02268-x</w:t>
      </w:r>
    </w:p>
    <w:p w14:paraId="7398769D" w14:textId="77777777" w:rsidR="00EE7B65" w:rsidRDefault="00EE7B65" w:rsidP="00EE7B65">
      <w:pPr>
        <w:pStyle w:val="Bibliography"/>
      </w:pPr>
      <w:r>
        <w:t>19.</w:t>
      </w:r>
      <w:r>
        <w:tab/>
        <w:t xml:space="preserve">Fan S, Cao Q, Peng B, et al. A new mutation in the GNAL gene in familial dystonia presenting with mental symptoms. </w:t>
      </w:r>
      <w:r>
        <w:rPr>
          <w:i/>
          <w:iCs/>
        </w:rPr>
        <w:t>Neurol Sci</w:t>
      </w:r>
      <w:r>
        <w:t>. 2022;43(7):4547-4549. doi:10.1007/s10072-022-06060-5</w:t>
      </w:r>
    </w:p>
    <w:p w14:paraId="3B0B4CA9" w14:textId="77777777" w:rsidR="00EE7B65" w:rsidRDefault="00EE7B65" w:rsidP="00EE7B65">
      <w:pPr>
        <w:pStyle w:val="Bibliography"/>
      </w:pPr>
      <w:r>
        <w:t>20.</w:t>
      </w:r>
      <w:r>
        <w:tab/>
        <w:t xml:space="preserve">Zech M, Boesch S, Maier EM, et al. Haploinsufficiency of KMT2B, Encoding the Lysine-Specific Histone Methyltransferase 2B, Results in Early-Onset Generalized Dystonia. </w:t>
      </w:r>
      <w:r>
        <w:rPr>
          <w:i/>
          <w:iCs/>
        </w:rPr>
        <w:t>Am J Hum Genet</w:t>
      </w:r>
      <w:r>
        <w:t xml:space="preserve">. 2016;99(6):1377-1387. </w:t>
      </w:r>
      <w:proofErr w:type="gramStart"/>
      <w:r>
        <w:t>doi:10.1016/j.ajhg</w:t>
      </w:r>
      <w:proofErr w:type="gramEnd"/>
      <w:r>
        <w:t>.2016.10.010</w:t>
      </w:r>
    </w:p>
    <w:p w14:paraId="3B88D154" w14:textId="77777777" w:rsidR="00EE7B65" w:rsidRPr="003C106F" w:rsidRDefault="00EE7B65" w:rsidP="00EE7B65">
      <w:pPr>
        <w:pStyle w:val="Bibliography"/>
        <w:rPr>
          <w:lang w:val="it-IT"/>
        </w:rPr>
      </w:pPr>
      <w:r>
        <w:t>21.</w:t>
      </w:r>
      <w:r>
        <w:tab/>
        <w:t xml:space="preserve">UK10K Consortium, Deciphering Developmental Disorders Study, NIHR BioResource Rare Diseases Consortium, et al. Mutations in the histone methyltransferase gene KMT2B cause complex early-onset dystonia. </w:t>
      </w:r>
      <w:r w:rsidRPr="003C106F">
        <w:rPr>
          <w:i/>
          <w:iCs/>
          <w:lang w:val="it-IT"/>
        </w:rPr>
        <w:t>Nat Genet</w:t>
      </w:r>
      <w:r w:rsidRPr="003C106F">
        <w:rPr>
          <w:lang w:val="it-IT"/>
        </w:rPr>
        <w:t xml:space="preserve">. 2017;49(2):223-237. </w:t>
      </w:r>
      <w:proofErr w:type="gramStart"/>
      <w:r w:rsidRPr="003C106F">
        <w:rPr>
          <w:lang w:val="it-IT"/>
        </w:rPr>
        <w:t>doi:10.1038</w:t>
      </w:r>
      <w:proofErr w:type="gramEnd"/>
      <w:r w:rsidRPr="003C106F">
        <w:rPr>
          <w:lang w:val="it-IT"/>
        </w:rPr>
        <w:t>/ng.3740</w:t>
      </w:r>
    </w:p>
    <w:p w14:paraId="0AD34681" w14:textId="77777777" w:rsidR="00EE7B65" w:rsidRPr="003C106F" w:rsidRDefault="00EE7B65" w:rsidP="00EE7B65">
      <w:pPr>
        <w:pStyle w:val="Bibliography"/>
        <w:rPr>
          <w:lang w:val="it-IT"/>
        </w:rPr>
      </w:pPr>
      <w:r w:rsidRPr="003C106F">
        <w:rPr>
          <w:lang w:val="it-IT"/>
        </w:rPr>
        <w:t>22.</w:t>
      </w:r>
      <w:r w:rsidRPr="003C106F">
        <w:rPr>
          <w:lang w:val="it-IT"/>
        </w:rPr>
        <w:tab/>
        <w:t xml:space="preserve">Carecchio M, Invernizzi F, Gonzàlez‐Latapi P, et al. </w:t>
      </w:r>
      <w:r>
        <w:t xml:space="preserve">Frequency and phenotypic spectrum of </w:t>
      </w:r>
      <w:r>
        <w:rPr>
          <w:i/>
          <w:iCs/>
        </w:rPr>
        <w:t>KMT2B</w:t>
      </w:r>
      <w:r>
        <w:t xml:space="preserve"> dystonia in childhood: A single‐center cohort study. </w:t>
      </w:r>
      <w:r w:rsidRPr="003C106F">
        <w:rPr>
          <w:i/>
          <w:iCs/>
          <w:lang w:val="it-IT"/>
        </w:rPr>
        <w:t>Mov Disord</w:t>
      </w:r>
      <w:r w:rsidRPr="003C106F">
        <w:rPr>
          <w:lang w:val="it-IT"/>
        </w:rPr>
        <w:t xml:space="preserve">. 2019;34(10):1516-1527. </w:t>
      </w:r>
      <w:proofErr w:type="gramStart"/>
      <w:r w:rsidRPr="003C106F">
        <w:rPr>
          <w:lang w:val="it-IT"/>
        </w:rPr>
        <w:t>doi:10.1002</w:t>
      </w:r>
      <w:proofErr w:type="gramEnd"/>
      <w:r w:rsidRPr="003C106F">
        <w:rPr>
          <w:lang w:val="it-IT"/>
        </w:rPr>
        <w:t>/mds.27771</w:t>
      </w:r>
    </w:p>
    <w:p w14:paraId="6644852C" w14:textId="77777777" w:rsidR="00EE7B65" w:rsidRDefault="00EE7B65" w:rsidP="00EE7B65">
      <w:pPr>
        <w:pStyle w:val="Bibliography"/>
      </w:pPr>
      <w:r w:rsidRPr="003C106F">
        <w:rPr>
          <w:lang w:val="it-IT"/>
        </w:rPr>
        <w:t>23.</w:t>
      </w:r>
      <w:r w:rsidRPr="003C106F">
        <w:rPr>
          <w:lang w:val="it-IT"/>
        </w:rPr>
        <w:tab/>
        <w:t xml:space="preserve">Li X yao, Dai L fang, Wan X hua, et al. </w:t>
      </w:r>
      <w:r>
        <w:t xml:space="preserve">Clinical phenotypes, genotypes and treatment in Chinese dystonia patients with KMT2B variants. </w:t>
      </w:r>
      <w:r>
        <w:rPr>
          <w:i/>
          <w:iCs/>
        </w:rPr>
        <w:t>Parkinsonism Relat Disord</w:t>
      </w:r>
      <w:r>
        <w:t xml:space="preserve">. </w:t>
      </w:r>
      <w:proofErr w:type="gramStart"/>
      <w:r>
        <w:t>2020;77:76</w:t>
      </w:r>
      <w:proofErr w:type="gramEnd"/>
      <w:r>
        <w:t xml:space="preserve">-82. </w:t>
      </w:r>
      <w:proofErr w:type="gramStart"/>
      <w:r>
        <w:t>doi:10.1016/j.parkreldis</w:t>
      </w:r>
      <w:proofErr w:type="gramEnd"/>
      <w:r>
        <w:t>.2020.06.002</w:t>
      </w:r>
    </w:p>
    <w:p w14:paraId="6DB5DFAB" w14:textId="77777777" w:rsidR="00EE7B65" w:rsidRDefault="00EE7B65" w:rsidP="00EE7B65">
      <w:pPr>
        <w:pStyle w:val="Bibliography"/>
      </w:pPr>
      <w:r>
        <w:t>24.</w:t>
      </w:r>
      <w:r>
        <w:tab/>
        <w:t xml:space="preserve">Cif L, Demailly D, Lin JP, et al. </w:t>
      </w:r>
      <w:r>
        <w:rPr>
          <w:i/>
          <w:iCs/>
        </w:rPr>
        <w:t>KMT2B</w:t>
      </w:r>
      <w:r>
        <w:t xml:space="preserve"> -related disorders: expansion of the phenotypic spectrum and long-term efficacy of deep brain stimulation. </w:t>
      </w:r>
      <w:r>
        <w:rPr>
          <w:i/>
          <w:iCs/>
        </w:rPr>
        <w:t>Brain</w:t>
      </w:r>
      <w:r>
        <w:t>. 2020;143(11):3242-3261. doi:10.1093/brain/awaa304</w:t>
      </w:r>
    </w:p>
    <w:p w14:paraId="75529888" w14:textId="77777777" w:rsidR="00EE7B65" w:rsidRDefault="00EE7B65" w:rsidP="00EE7B65">
      <w:pPr>
        <w:pStyle w:val="Bibliography"/>
      </w:pPr>
      <w:r>
        <w:t>25.</w:t>
      </w:r>
      <w:r>
        <w:tab/>
        <w:t xml:space="preserve">Zech M, Lam DD, Winkelmann J. Update on KMT2B-Related Dystonia. </w:t>
      </w:r>
      <w:r>
        <w:rPr>
          <w:i/>
          <w:iCs/>
        </w:rPr>
        <w:t>Curr Neurol Neurosci Rep</w:t>
      </w:r>
      <w:r>
        <w:t>. 2019;19(11):92. doi:10.1007/s11910-019-1007-y</w:t>
      </w:r>
    </w:p>
    <w:p w14:paraId="7CB28B85" w14:textId="77777777" w:rsidR="00EE7B65" w:rsidRDefault="00EE7B65" w:rsidP="00EE7B65">
      <w:pPr>
        <w:pStyle w:val="Bibliography"/>
      </w:pPr>
      <w:r>
        <w:lastRenderedPageBreak/>
        <w:t>26.</w:t>
      </w:r>
      <w:r>
        <w:tab/>
        <w:t xml:space="preserve">Zech M, Jech R, Havránková P, et al. </w:t>
      </w:r>
      <w:r>
        <w:rPr>
          <w:i/>
          <w:iCs/>
        </w:rPr>
        <w:t>KMT2B</w:t>
      </w:r>
      <w:r>
        <w:t xml:space="preserve"> rare missense variants in generalized dystonia: </w:t>
      </w:r>
      <w:r>
        <w:rPr>
          <w:i/>
          <w:iCs/>
        </w:rPr>
        <w:t>KMT2B</w:t>
      </w:r>
      <w:r>
        <w:t xml:space="preserve"> Missense Variants in Dystonia. </w:t>
      </w:r>
      <w:r>
        <w:rPr>
          <w:i/>
          <w:iCs/>
        </w:rPr>
        <w:t>Mov Disord</w:t>
      </w:r>
      <w:r>
        <w:t>. 2017;32(7):1087-1091. doi:10.1002/mds.27026</w:t>
      </w:r>
    </w:p>
    <w:p w14:paraId="689F5FBB" w14:textId="77777777" w:rsidR="00EE7B65" w:rsidRDefault="00EE7B65" w:rsidP="00EE7B65">
      <w:pPr>
        <w:pStyle w:val="Bibliography"/>
      </w:pPr>
      <w:r>
        <w:t>27.</w:t>
      </w:r>
      <w:r>
        <w:tab/>
        <w:t xml:space="preserve">Dafsari HS, Sprute R, Wunderlich G, et al. Novel mutations in KMT2B offer pathophysiological insights into childhood-onset progressive dystonia. </w:t>
      </w:r>
      <w:r>
        <w:rPr>
          <w:i/>
          <w:iCs/>
        </w:rPr>
        <w:t>J Hum Genet</w:t>
      </w:r>
      <w:r>
        <w:t>. 2019;64(8):803-813. doi:10.1038/s10038-019-0625-1</w:t>
      </w:r>
    </w:p>
    <w:p w14:paraId="452870DC" w14:textId="77777777" w:rsidR="00EE7B65" w:rsidRDefault="00EE7B65" w:rsidP="00EE7B65">
      <w:pPr>
        <w:pStyle w:val="Bibliography"/>
      </w:pPr>
      <w:r>
        <w:t>28.</w:t>
      </w:r>
      <w:r>
        <w:tab/>
        <w:t xml:space="preserve">Aksoy A, Yayıcı Köken Ö, Ceylan AC, Toptaş Dedeoğlu Ö. </w:t>
      </w:r>
      <w:r>
        <w:rPr>
          <w:b/>
          <w:bCs/>
          <w:i/>
          <w:iCs/>
        </w:rPr>
        <w:t>KMT2B</w:t>
      </w:r>
      <w:r>
        <w:t xml:space="preserve">-Related Dystonia: Challenges in Diagnosis and Treatment. </w:t>
      </w:r>
      <w:r>
        <w:rPr>
          <w:i/>
          <w:iCs/>
        </w:rPr>
        <w:t>Mol Syndromol</w:t>
      </w:r>
      <w:r>
        <w:t>. 2022;13(2):159-164. doi:10.1159/000518974</w:t>
      </w:r>
    </w:p>
    <w:p w14:paraId="3B7E7F4A" w14:textId="77777777" w:rsidR="00EE7B65" w:rsidRDefault="00EE7B65" w:rsidP="00EE7B65">
      <w:pPr>
        <w:pStyle w:val="Bibliography"/>
      </w:pPr>
      <w:r>
        <w:t>29.</w:t>
      </w:r>
      <w:r>
        <w:tab/>
        <w:t xml:space="preserve">Kumar KR, Davis RL, Tchan MC, et al. Whole genome sequencing for the genetic diagnosis of heterogenous dystonia phenotypes. </w:t>
      </w:r>
      <w:r>
        <w:rPr>
          <w:i/>
          <w:iCs/>
        </w:rPr>
        <w:t>Parkinsonism Relat Disord</w:t>
      </w:r>
      <w:r>
        <w:t xml:space="preserve">. </w:t>
      </w:r>
      <w:proofErr w:type="gramStart"/>
      <w:r>
        <w:t>2019;69:111</w:t>
      </w:r>
      <w:proofErr w:type="gramEnd"/>
      <w:r>
        <w:t xml:space="preserve">-118. </w:t>
      </w:r>
      <w:proofErr w:type="gramStart"/>
      <w:r>
        <w:t>doi:10.1016/j.parkreldis</w:t>
      </w:r>
      <w:proofErr w:type="gramEnd"/>
      <w:r>
        <w:t>.2019.11.004</w:t>
      </w:r>
    </w:p>
    <w:p w14:paraId="7EE60BC7" w14:textId="77777777" w:rsidR="00EE7B65" w:rsidRDefault="00EE7B65" w:rsidP="00EE7B65">
      <w:pPr>
        <w:pStyle w:val="Bibliography"/>
      </w:pPr>
      <w:r>
        <w:t>30.</w:t>
      </w:r>
      <w:r>
        <w:tab/>
        <w:t xml:space="preserve">Cao Z, Yao H, Bao X, et al. DYT28 Responsive to Pallidal Deep Brain Stimulation. </w:t>
      </w:r>
      <w:r>
        <w:rPr>
          <w:i/>
          <w:iCs/>
        </w:rPr>
        <w:t>Mov Disord Clin Pract</w:t>
      </w:r>
      <w:r>
        <w:t>. 2020;7(1):97-99. doi:10.1002/mdc3.12862</w:t>
      </w:r>
    </w:p>
    <w:p w14:paraId="5A5EBF96" w14:textId="77777777" w:rsidR="00EE7B65" w:rsidRDefault="00EE7B65" w:rsidP="00EE7B65">
      <w:pPr>
        <w:pStyle w:val="Bibliography"/>
      </w:pPr>
      <w:r>
        <w:t>31.</w:t>
      </w:r>
      <w:r>
        <w:tab/>
        <w:t xml:space="preserve">Kawarai T, Miyamoto R, Nakagawa E, et al. Phenotype variability and allelic heterogeneity in KMT2B-Associated disease. </w:t>
      </w:r>
      <w:r>
        <w:rPr>
          <w:i/>
          <w:iCs/>
        </w:rPr>
        <w:t>Parkinsonism Relat Disord</w:t>
      </w:r>
      <w:r>
        <w:t xml:space="preserve">. </w:t>
      </w:r>
      <w:proofErr w:type="gramStart"/>
      <w:r>
        <w:t>2018;52:55</w:t>
      </w:r>
      <w:proofErr w:type="gramEnd"/>
      <w:r>
        <w:t xml:space="preserve">-61. </w:t>
      </w:r>
      <w:proofErr w:type="gramStart"/>
      <w:r>
        <w:t>doi:10.1016/j.parkreldis</w:t>
      </w:r>
      <w:proofErr w:type="gramEnd"/>
      <w:r>
        <w:t>.2018.03.022</w:t>
      </w:r>
    </w:p>
    <w:p w14:paraId="7FE8C5B7" w14:textId="77777777" w:rsidR="00EE7B65" w:rsidRDefault="00EE7B65" w:rsidP="00EE7B65">
      <w:pPr>
        <w:pStyle w:val="Bibliography"/>
      </w:pPr>
      <w:r>
        <w:t>32.</w:t>
      </w:r>
      <w:r>
        <w:tab/>
        <w:t xml:space="preserve">Thomas M, Hayflick SJ, Jankovic J. Clinical heterogeneity of neurodegeneration with brain iron accumulation (Hallervorden-Spatz syndrome) and pantothenate kinase-associated neurodegeneration: Hallervorden-Spatz Syndrome and PKAN. </w:t>
      </w:r>
      <w:r>
        <w:rPr>
          <w:i/>
          <w:iCs/>
        </w:rPr>
        <w:t>Mov Disord</w:t>
      </w:r>
      <w:r>
        <w:t>. 2004;19(1):36-42. doi:10.1002/mds.10650</w:t>
      </w:r>
    </w:p>
    <w:p w14:paraId="1FF5F0B9" w14:textId="77777777" w:rsidR="00EE7B65" w:rsidRDefault="00EE7B65" w:rsidP="00EE7B65">
      <w:pPr>
        <w:pStyle w:val="Bibliography"/>
      </w:pPr>
      <w:r>
        <w:t>33.</w:t>
      </w:r>
      <w:r>
        <w:tab/>
        <w:t xml:space="preserve">Umemura A, Jaggi JL, Dolinskas CA, Stern MB, Baltuch GH. Pallidal deep brain stimulation for longstanding severe generalized dystonia in Hallervorden—Spatz syndrome: Case report. </w:t>
      </w:r>
      <w:r>
        <w:rPr>
          <w:i/>
          <w:iCs/>
        </w:rPr>
        <w:t>J Neurosurg</w:t>
      </w:r>
      <w:r>
        <w:t>. 2004;100(4):706-709. doi:10.3171/jns.2004.100.4.0706</w:t>
      </w:r>
    </w:p>
    <w:p w14:paraId="3920AAC5" w14:textId="77777777" w:rsidR="00EE7B65" w:rsidRDefault="00EE7B65" w:rsidP="00EE7B65">
      <w:pPr>
        <w:pStyle w:val="Bibliography"/>
      </w:pPr>
      <w:r>
        <w:t>34.</w:t>
      </w:r>
      <w:r>
        <w:tab/>
        <w:t xml:space="preserve">Hogarth P. Neurodegeneration with Brain Iron Accumulation: Diagnosis and Management. </w:t>
      </w:r>
      <w:r>
        <w:rPr>
          <w:i/>
          <w:iCs/>
        </w:rPr>
        <w:t>J Mov Disord</w:t>
      </w:r>
      <w:r>
        <w:t>. 2015;8(1):1-13. doi:10.14802/jmd.14034</w:t>
      </w:r>
    </w:p>
    <w:p w14:paraId="35441EEF" w14:textId="77777777" w:rsidR="00EE7B65" w:rsidRDefault="00EE7B65" w:rsidP="00EE7B65">
      <w:pPr>
        <w:pStyle w:val="Bibliography"/>
      </w:pPr>
      <w:r>
        <w:t>35.</w:t>
      </w:r>
      <w:r>
        <w:tab/>
        <w:t xml:space="preserve">Clement F, Devos D, Moreau C, Coubes P, Destee A, Defebvre L. Neurodegeneration with brain iron accumulation: clinical, radiographic and genetic heterogeneity and corresponding therapeutic options. </w:t>
      </w:r>
      <w:r>
        <w:rPr>
          <w:i/>
          <w:iCs/>
        </w:rPr>
        <w:t>Acta Neurol Belg</w:t>
      </w:r>
      <w:r>
        <w:t>. 2007;107(1):26-31.</w:t>
      </w:r>
    </w:p>
    <w:p w14:paraId="116388B9" w14:textId="77777777" w:rsidR="00EE7B65" w:rsidRDefault="00EE7B65" w:rsidP="00EE7B65">
      <w:pPr>
        <w:pStyle w:val="Bibliography"/>
      </w:pPr>
      <w:r>
        <w:t>36.</w:t>
      </w:r>
      <w:r>
        <w:tab/>
        <w:t xml:space="preserve">Li WB, Shen NX, Zhang C, et al. Novel PANK2 Mutations in Patients </w:t>
      </w:r>
      <w:proofErr w:type="gramStart"/>
      <w:r>
        <w:t>With</w:t>
      </w:r>
      <w:proofErr w:type="gramEnd"/>
      <w:r>
        <w:t xml:space="preserve"> Pantothenate Kinase-Associated Neurodegeneration and the Genotype–Phenotype Correlation. </w:t>
      </w:r>
      <w:r>
        <w:rPr>
          <w:i/>
          <w:iCs/>
        </w:rPr>
        <w:t>Front Aging Neurosci</w:t>
      </w:r>
      <w:r>
        <w:t xml:space="preserve">. </w:t>
      </w:r>
      <w:proofErr w:type="gramStart"/>
      <w:r>
        <w:t>2022;14:848919</w:t>
      </w:r>
      <w:proofErr w:type="gramEnd"/>
      <w:r>
        <w:t>. doi:10.3389/fnagi.2022.848919</w:t>
      </w:r>
    </w:p>
    <w:p w14:paraId="3280E924" w14:textId="77777777" w:rsidR="00EE7B65" w:rsidRDefault="00EE7B65" w:rsidP="00EE7B65">
      <w:pPr>
        <w:pStyle w:val="Bibliography"/>
      </w:pPr>
      <w:r>
        <w:t>37.</w:t>
      </w:r>
      <w:r>
        <w:tab/>
        <w:t xml:space="preserve">Chang X, Zhang J, Jiang Y, Wang J, Wu Y. Natural history and genotype‐phenotype correlation of pantothenate kinase‐associated neurodegeneration. </w:t>
      </w:r>
      <w:r>
        <w:rPr>
          <w:i/>
          <w:iCs/>
        </w:rPr>
        <w:t>CNS Neurosci Ther</w:t>
      </w:r>
      <w:r>
        <w:t>. 2020;26(7):754-761. doi:10.1111/cns.13294</w:t>
      </w:r>
    </w:p>
    <w:p w14:paraId="167CCBF1" w14:textId="77777777" w:rsidR="00EE7B65" w:rsidRDefault="00EE7B65" w:rsidP="00EE7B65">
      <w:pPr>
        <w:pStyle w:val="Bibliography"/>
      </w:pPr>
      <w:r>
        <w:lastRenderedPageBreak/>
        <w:t>38.</w:t>
      </w:r>
      <w:r>
        <w:tab/>
        <w:t xml:space="preserve">Mikati MA, Yehya A, Darwish H, Karam P, Comair Y. Deep brain stimulation as a mode of treatment of early onset pantothenate kinase-associated neurodegeneration. </w:t>
      </w:r>
      <w:r>
        <w:rPr>
          <w:i/>
          <w:iCs/>
        </w:rPr>
        <w:t>Eur J Paediatr Neurol</w:t>
      </w:r>
      <w:r>
        <w:t xml:space="preserve">. 2009;13(1):61-64. </w:t>
      </w:r>
      <w:proofErr w:type="gramStart"/>
      <w:r>
        <w:t>doi:10.1016/j.ejpn</w:t>
      </w:r>
      <w:proofErr w:type="gramEnd"/>
      <w:r>
        <w:t>.2008.01.006</w:t>
      </w:r>
    </w:p>
    <w:p w14:paraId="4CA8A96D" w14:textId="77777777" w:rsidR="00EE7B65" w:rsidRPr="003C106F" w:rsidRDefault="00EE7B65" w:rsidP="00EE7B65">
      <w:pPr>
        <w:pStyle w:val="Bibliography"/>
        <w:rPr>
          <w:lang w:val="it-IT"/>
        </w:rPr>
      </w:pPr>
      <w:r>
        <w:t>39.</w:t>
      </w:r>
      <w:r>
        <w:tab/>
        <w:t xml:space="preserve">Lim BC, Ki CS, Cho A, et al. Pantothenate kinase-associated neurodegeneration in Korea: recurrent R440P mutation in PANK2 and outcome of deep brain stimulation: Pantothenate kinase-associated neurodegeneration in Korea. </w:t>
      </w:r>
      <w:r w:rsidRPr="003C106F">
        <w:rPr>
          <w:i/>
          <w:iCs/>
          <w:lang w:val="it-IT"/>
        </w:rPr>
        <w:t>Eur J Neurol</w:t>
      </w:r>
      <w:r w:rsidRPr="003C106F">
        <w:rPr>
          <w:lang w:val="it-IT"/>
        </w:rPr>
        <w:t xml:space="preserve">. 2012;19(4):556-561. </w:t>
      </w:r>
      <w:proofErr w:type="gramStart"/>
      <w:r w:rsidRPr="003C106F">
        <w:rPr>
          <w:lang w:val="it-IT"/>
        </w:rPr>
        <w:t>doi:10.1111</w:t>
      </w:r>
      <w:proofErr w:type="gramEnd"/>
      <w:r w:rsidRPr="003C106F">
        <w:rPr>
          <w:lang w:val="it-IT"/>
        </w:rPr>
        <w:t>/j.1468-1331.2011.03589.x</w:t>
      </w:r>
    </w:p>
    <w:p w14:paraId="7D78A25F" w14:textId="77777777" w:rsidR="00EE7B65" w:rsidRPr="003C106F" w:rsidRDefault="00EE7B65" w:rsidP="00EE7B65">
      <w:pPr>
        <w:pStyle w:val="Bibliography"/>
        <w:rPr>
          <w:lang w:val="it-IT"/>
        </w:rPr>
      </w:pPr>
      <w:r w:rsidRPr="003C106F">
        <w:rPr>
          <w:lang w:val="it-IT"/>
        </w:rPr>
        <w:t>40.</w:t>
      </w:r>
      <w:r w:rsidRPr="003C106F">
        <w:rPr>
          <w:lang w:val="it-IT"/>
        </w:rPr>
        <w:tab/>
        <w:t xml:space="preserve">Akcakaya NH, Iseri SU, Bilir B, et al. </w:t>
      </w:r>
      <w:r>
        <w:t xml:space="preserve">Clinical and genetic features of PKAN patients in a tertiary centre in Turkey. </w:t>
      </w:r>
      <w:r w:rsidRPr="003C106F">
        <w:rPr>
          <w:i/>
          <w:iCs/>
          <w:lang w:val="it-IT"/>
        </w:rPr>
        <w:t>Clin Neurol Neurosurg</w:t>
      </w:r>
      <w:r w:rsidRPr="003C106F">
        <w:rPr>
          <w:lang w:val="it-IT"/>
        </w:rPr>
        <w:t xml:space="preserve">. </w:t>
      </w:r>
      <w:proofErr w:type="gramStart"/>
      <w:r w:rsidRPr="003C106F">
        <w:rPr>
          <w:lang w:val="it-IT"/>
        </w:rPr>
        <w:t>2017;154:34</w:t>
      </w:r>
      <w:proofErr w:type="gramEnd"/>
      <w:r w:rsidRPr="003C106F">
        <w:rPr>
          <w:lang w:val="it-IT"/>
        </w:rPr>
        <w:t xml:space="preserve">-42. </w:t>
      </w:r>
      <w:proofErr w:type="gramStart"/>
      <w:r w:rsidRPr="003C106F">
        <w:rPr>
          <w:lang w:val="it-IT"/>
        </w:rPr>
        <w:t>doi:10.1016/j.clineuro</w:t>
      </w:r>
      <w:proofErr w:type="gramEnd"/>
      <w:r w:rsidRPr="003C106F">
        <w:rPr>
          <w:lang w:val="it-IT"/>
        </w:rPr>
        <w:t>.2017.01.011</w:t>
      </w:r>
    </w:p>
    <w:p w14:paraId="17FA064F" w14:textId="77777777" w:rsidR="00EE7B65" w:rsidRDefault="00EE7B65" w:rsidP="00EE7B65">
      <w:pPr>
        <w:pStyle w:val="Bibliography"/>
      </w:pPr>
      <w:r w:rsidRPr="003C106F">
        <w:rPr>
          <w:lang w:val="it-IT"/>
        </w:rPr>
        <w:t>41.</w:t>
      </w:r>
      <w:r w:rsidRPr="003C106F">
        <w:rPr>
          <w:lang w:val="it-IT"/>
        </w:rPr>
        <w:tab/>
        <w:t xml:space="preserve">Artusi CA, Dwivedi A, Romagnolo A, et al. </w:t>
      </w:r>
      <w:r>
        <w:t xml:space="preserve">Differential response to pallidal deep brain stimulation among monogenic dystonias: systematic review and meta-analysis. </w:t>
      </w:r>
      <w:r>
        <w:rPr>
          <w:i/>
          <w:iCs/>
        </w:rPr>
        <w:t>J Neurol Neurosurg Psychiatry</w:t>
      </w:r>
      <w:r>
        <w:t>. 2020;91(4):426-433. doi:10.1136/jnnp-2019-322169</w:t>
      </w:r>
    </w:p>
    <w:p w14:paraId="6DD0B879" w14:textId="77777777" w:rsidR="00EE7B65" w:rsidRDefault="00EE7B65" w:rsidP="00EE7B65">
      <w:pPr>
        <w:pStyle w:val="Bibliography"/>
      </w:pPr>
      <w:r>
        <w:t>42.</w:t>
      </w:r>
      <w:r>
        <w:tab/>
        <w:t xml:space="preserve">Herzog R, Weissbach A, Bäumer T, Münchau A. Complex dystonias: an update on diagnosis and care. </w:t>
      </w:r>
      <w:r>
        <w:rPr>
          <w:i/>
          <w:iCs/>
        </w:rPr>
        <w:t>J Neural Transm</w:t>
      </w:r>
      <w:r>
        <w:t>. 2021;128(4):431-445. doi:10.1007/s00702-020-02275-y</w:t>
      </w:r>
    </w:p>
    <w:p w14:paraId="7B41E780" w14:textId="77777777" w:rsidR="00EE7B65" w:rsidRPr="003C106F" w:rsidRDefault="00EE7B65" w:rsidP="00EE7B65">
      <w:pPr>
        <w:pStyle w:val="Bibliography"/>
        <w:rPr>
          <w:lang w:val="it-IT"/>
        </w:rPr>
      </w:pPr>
      <w:r>
        <w:t>43.</w:t>
      </w:r>
      <w:r>
        <w:tab/>
        <w:t xml:space="preserve">Speelman JD, Contarino MF, Schuurman PR, Tijssen MAJ, De Bie RMA. Deep brain stimulation for dystonia: patient selection and outcomes: Deep brain stimulation for dystonia. </w:t>
      </w:r>
      <w:r w:rsidRPr="003C106F">
        <w:rPr>
          <w:i/>
          <w:iCs/>
          <w:lang w:val="it-IT"/>
        </w:rPr>
        <w:t>Eur J Neurol</w:t>
      </w:r>
      <w:r w:rsidRPr="003C106F">
        <w:rPr>
          <w:lang w:val="it-IT"/>
        </w:rPr>
        <w:t xml:space="preserve">. </w:t>
      </w:r>
      <w:proofErr w:type="gramStart"/>
      <w:r w:rsidRPr="003C106F">
        <w:rPr>
          <w:lang w:val="it-IT"/>
        </w:rPr>
        <w:t>2010;17:102</w:t>
      </w:r>
      <w:proofErr w:type="gramEnd"/>
      <w:r w:rsidRPr="003C106F">
        <w:rPr>
          <w:lang w:val="it-IT"/>
        </w:rPr>
        <w:t xml:space="preserve">-106. </w:t>
      </w:r>
      <w:proofErr w:type="gramStart"/>
      <w:r w:rsidRPr="003C106F">
        <w:rPr>
          <w:lang w:val="it-IT"/>
        </w:rPr>
        <w:t>doi:10.1111</w:t>
      </w:r>
      <w:proofErr w:type="gramEnd"/>
      <w:r w:rsidRPr="003C106F">
        <w:rPr>
          <w:lang w:val="it-IT"/>
        </w:rPr>
        <w:t>/j.1468-1331.2010.03060.x</w:t>
      </w:r>
    </w:p>
    <w:p w14:paraId="2A5B08EC" w14:textId="77777777" w:rsidR="00EE7B65" w:rsidRDefault="00EE7B65" w:rsidP="00EE7B65">
      <w:pPr>
        <w:pStyle w:val="Bibliography"/>
      </w:pPr>
      <w:r w:rsidRPr="003C106F">
        <w:rPr>
          <w:lang w:val="it-IT"/>
        </w:rPr>
        <w:t>44.</w:t>
      </w:r>
      <w:r w:rsidRPr="003C106F">
        <w:rPr>
          <w:lang w:val="it-IT"/>
        </w:rPr>
        <w:tab/>
        <w:t xml:space="preserve">Schneider SA, Bhatia KP. </w:t>
      </w:r>
      <w:r>
        <w:t xml:space="preserve">Rare Causes of Dystonia Parkinsonism. </w:t>
      </w:r>
      <w:r>
        <w:rPr>
          <w:i/>
          <w:iCs/>
        </w:rPr>
        <w:t>Curr Neurol Neurosci Rep</w:t>
      </w:r>
      <w:r>
        <w:t>. 2010;10(6):431-439. doi:10.1007/s11910-010-0136-0</w:t>
      </w:r>
    </w:p>
    <w:p w14:paraId="0171FD1C" w14:textId="77777777" w:rsidR="00EE7B65" w:rsidRDefault="00EE7B65" w:rsidP="00EE7B65">
      <w:pPr>
        <w:pStyle w:val="Bibliography"/>
      </w:pPr>
      <w:r>
        <w:t>45.</w:t>
      </w:r>
      <w:r>
        <w:tab/>
        <w:t xml:space="preserve">Kim J, Shin H, Youn J, Ki CS, Cho AR, Cho JW. A Novel </w:t>
      </w:r>
      <w:r>
        <w:rPr>
          <w:i/>
          <w:iCs/>
        </w:rPr>
        <w:t>PANK2</w:t>
      </w:r>
      <w:r>
        <w:t xml:space="preserve"> Gene Mutation with Sudden-Onset Dystonia. </w:t>
      </w:r>
      <w:r>
        <w:rPr>
          <w:i/>
          <w:iCs/>
        </w:rPr>
        <w:t>Can J Neurol Sci J Can Sci Neurol</w:t>
      </w:r>
      <w:r>
        <w:t>. 2012;39(3):395-397. doi:10.1017/S0317167100013597</w:t>
      </w:r>
    </w:p>
    <w:p w14:paraId="0D07D791" w14:textId="77777777" w:rsidR="00EE7B65" w:rsidRPr="003C106F" w:rsidRDefault="00EE7B65" w:rsidP="00EE7B65">
      <w:pPr>
        <w:pStyle w:val="Bibliography"/>
        <w:rPr>
          <w:lang w:val="it-IT"/>
        </w:rPr>
      </w:pPr>
      <w:r>
        <w:t>46.</w:t>
      </w:r>
      <w:r>
        <w:tab/>
        <w:t xml:space="preserve">Guo Y pei, Tang B sha, Guo J feng. PLA2G6-Associated Neurodegeneration (PLAN): Review of Clinical Phenotypes and Genotypes. </w:t>
      </w:r>
      <w:r w:rsidRPr="003C106F">
        <w:rPr>
          <w:i/>
          <w:iCs/>
          <w:lang w:val="it-IT"/>
        </w:rPr>
        <w:t>Front Neurol</w:t>
      </w:r>
      <w:r w:rsidRPr="003C106F">
        <w:rPr>
          <w:lang w:val="it-IT"/>
        </w:rPr>
        <w:t xml:space="preserve">. </w:t>
      </w:r>
      <w:proofErr w:type="gramStart"/>
      <w:r w:rsidRPr="003C106F">
        <w:rPr>
          <w:lang w:val="it-IT"/>
        </w:rPr>
        <w:t>2018;9:1100</w:t>
      </w:r>
      <w:proofErr w:type="gramEnd"/>
      <w:r w:rsidRPr="003C106F">
        <w:rPr>
          <w:lang w:val="it-IT"/>
        </w:rPr>
        <w:t xml:space="preserve">. </w:t>
      </w:r>
      <w:proofErr w:type="gramStart"/>
      <w:r w:rsidRPr="003C106F">
        <w:rPr>
          <w:lang w:val="it-IT"/>
        </w:rPr>
        <w:t>doi:10.3389</w:t>
      </w:r>
      <w:proofErr w:type="gramEnd"/>
      <w:r w:rsidRPr="003C106F">
        <w:rPr>
          <w:lang w:val="it-IT"/>
        </w:rPr>
        <w:t>/fneur.2018.01100</w:t>
      </w:r>
    </w:p>
    <w:p w14:paraId="00E59898" w14:textId="77777777" w:rsidR="00EE7B65" w:rsidRDefault="00EE7B65" w:rsidP="00EE7B65">
      <w:pPr>
        <w:pStyle w:val="Bibliography"/>
      </w:pPr>
      <w:r w:rsidRPr="003C106F">
        <w:rPr>
          <w:lang w:val="it-IT"/>
        </w:rPr>
        <w:t>47.</w:t>
      </w:r>
      <w:r w:rsidRPr="003C106F">
        <w:rPr>
          <w:lang w:val="it-IT"/>
        </w:rPr>
        <w:tab/>
        <w:t xml:space="preserve">Magrinelli F, Mehta S, Di Lazzaro G, et al. </w:t>
      </w:r>
      <w:r>
        <w:t xml:space="preserve">Dissecting the Phenotype and Genotype </w:t>
      </w:r>
      <w:proofErr w:type="gramStart"/>
      <w:r>
        <w:t xml:space="preserve">of </w:t>
      </w:r>
      <w:r>
        <w:rPr>
          <w:smallCaps/>
        </w:rPr>
        <w:t xml:space="preserve"> </w:t>
      </w:r>
      <w:r>
        <w:rPr>
          <w:i/>
          <w:iCs/>
          <w:smallCaps/>
        </w:rPr>
        <w:t>PLA</w:t>
      </w:r>
      <w:proofErr w:type="gramEnd"/>
      <w:r>
        <w:rPr>
          <w:i/>
          <w:iCs/>
          <w:smallCaps/>
        </w:rPr>
        <w:t>2G6</w:t>
      </w:r>
      <w:r>
        <w:rPr>
          <w:smallCaps/>
        </w:rPr>
        <w:t xml:space="preserve"> </w:t>
      </w:r>
      <w:r>
        <w:t xml:space="preserve"> ‐Related Parkinsonism. </w:t>
      </w:r>
      <w:r>
        <w:rPr>
          <w:i/>
          <w:iCs/>
        </w:rPr>
        <w:t>Mov Disord</w:t>
      </w:r>
      <w:r>
        <w:t>. 2022;37(1):148-161. doi:10.1002/mds.28807</w:t>
      </w:r>
    </w:p>
    <w:p w14:paraId="031B9FB4" w14:textId="77777777" w:rsidR="00EE7B65" w:rsidRDefault="00EE7B65" w:rsidP="00EE7B65">
      <w:pPr>
        <w:pStyle w:val="Bibliography"/>
      </w:pPr>
      <w:r>
        <w:t>48.</w:t>
      </w:r>
      <w:r>
        <w:tab/>
        <w:t xml:space="preserve">Jia F, Fellner A, Kumar KR. Monogenic Parkinson’s Disease: Genotype, Phenotype, Pathophysiology, and Genetic Testing. </w:t>
      </w:r>
      <w:r>
        <w:rPr>
          <w:i/>
          <w:iCs/>
        </w:rPr>
        <w:t>Genes</w:t>
      </w:r>
      <w:r>
        <w:t>. 2022;13(3):471. doi:10.3390/genes13030471</w:t>
      </w:r>
    </w:p>
    <w:p w14:paraId="55CA791F" w14:textId="77777777" w:rsidR="00EE7B65" w:rsidRPr="003C106F" w:rsidRDefault="00EE7B65" w:rsidP="00EE7B65">
      <w:pPr>
        <w:pStyle w:val="Bibliography"/>
        <w:rPr>
          <w:lang w:val="it-IT"/>
        </w:rPr>
      </w:pPr>
      <w:r>
        <w:t>49.</w:t>
      </w:r>
      <w:r>
        <w:tab/>
        <w:t xml:space="preserve">Sina F, Shojaee S, Elahi E, Paisán-Ruiz C. R632W mutation in </w:t>
      </w:r>
      <w:r>
        <w:rPr>
          <w:i/>
          <w:iCs/>
        </w:rPr>
        <w:t>PLA2G6</w:t>
      </w:r>
      <w:r>
        <w:t xml:space="preserve"> segregates with dystonia-parkinsonism in a consanguineous Iranian family. </w:t>
      </w:r>
      <w:r w:rsidRPr="003C106F">
        <w:rPr>
          <w:i/>
          <w:iCs/>
          <w:lang w:val="it-IT"/>
        </w:rPr>
        <w:t>Eur J Neurol</w:t>
      </w:r>
      <w:r w:rsidRPr="003C106F">
        <w:rPr>
          <w:lang w:val="it-IT"/>
        </w:rPr>
        <w:t xml:space="preserve">. 2009;16(1):101-104. </w:t>
      </w:r>
      <w:proofErr w:type="gramStart"/>
      <w:r w:rsidRPr="003C106F">
        <w:rPr>
          <w:lang w:val="it-IT"/>
        </w:rPr>
        <w:t>doi:10.1111</w:t>
      </w:r>
      <w:proofErr w:type="gramEnd"/>
      <w:r w:rsidRPr="003C106F">
        <w:rPr>
          <w:lang w:val="it-IT"/>
        </w:rPr>
        <w:t>/j.1468-1331.2008.02356.x</w:t>
      </w:r>
    </w:p>
    <w:p w14:paraId="539574D9" w14:textId="77777777" w:rsidR="00EE7B65" w:rsidRPr="003C106F" w:rsidRDefault="00EE7B65" w:rsidP="00EE7B65">
      <w:pPr>
        <w:pStyle w:val="Bibliography"/>
        <w:rPr>
          <w:lang w:val="it-IT"/>
        </w:rPr>
      </w:pPr>
      <w:r w:rsidRPr="003C106F">
        <w:rPr>
          <w:lang w:val="it-IT"/>
        </w:rPr>
        <w:t>50.</w:t>
      </w:r>
      <w:r w:rsidRPr="003C106F">
        <w:rPr>
          <w:lang w:val="it-IT"/>
        </w:rPr>
        <w:tab/>
        <w:t xml:space="preserve">Paisan-Ruiz C, Bhatia KP, Li A, et al. </w:t>
      </w:r>
      <w:r>
        <w:t xml:space="preserve">Characterization of PLA2G6 as a locus for dystonia-parkinsonism. </w:t>
      </w:r>
      <w:r w:rsidRPr="003C106F">
        <w:rPr>
          <w:i/>
          <w:iCs/>
          <w:lang w:val="it-IT"/>
        </w:rPr>
        <w:t>Ann Neurol</w:t>
      </w:r>
      <w:r w:rsidRPr="003C106F">
        <w:rPr>
          <w:lang w:val="it-IT"/>
        </w:rPr>
        <w:t xml:space="preserve">. 2008;65(1):19-23. </w:t>
      </w:r>
      <w:proofErr w:type="gramStart"/>
      <w:r w:rsidRPr="003C106F">
        <w:rPr>
          <w:lang w:val="it-IT"/>
        </w:rPr>
        <w:t>doi:10.1002</w:t>
      </w:r>
      <w:proofErr w:type="gramEnd"/>
      <w:r w:rsidRPr="003C106F">
        <w:rPr>
          <w:lang w:val="it-IT"/>
        </w:rPr>
        <w:t>/ana.21415</w:t>
      </w:r>
    </w:p>
    <w:p w14:paraId="27B082D3" w14:textId="77777777" w:rsidR="00EE7B65" w:rsidRDefault="00EE7B65" w:rsidP="00EE7B65">
      <w:pPr>
        <w:pStyle w:val="Bibliography"/>
      </w:pPr>
      <w:r w:rsidRPr="003C106F">
        <w:rPr>
          <w:lang w:val="it-IT"/>
        </w:rPr>
        <w:lastRenderedPageBreak/>
        <w:t>51.</w:t>
      </w:r>
      <w:r w:rsidRPr="003C106F">
        <w:rPr>
          <w:lang w:val="it-IT"/>
        </w:rPr>
        <w:tab/>
        <w:t xml:space="preserve">Cif L, Kurian MA, Gonzalez V, et al. </w:t>
      </w:r>
      <w:r>
        <w:t xml:space="preserve">Atypical </w:t>
      </w:r>
      <w:r>
        <w:rPr>
          <w:i/>
          <w:iCs/>
        </w:rPr>
        <w:t>PLA2G6</w:t>
      </w:r>
      <w:r>
        <w:t xml:space="preserve"> -Associated Neurodegeneration: Social Communication Impairment, Dystonia and Response to Deep Brain Stimulation. </w:t>
      </w:r>
      <w:r>
        <w:rPr>
          <w:i/>
          <w:iCs/>
        </w:rPr>
        <w:t>Mov Disord Clin Pract</w:t>
      </w:r>
      <w:r>
        <w:t>. 2014;1(2):128-131. doi:10.1002/mdc3.12030</w:t>
      </w:r>
    </w:p>
    <w:p w14:paraId="399791E6" w14:textId="77777777" w:rsidR="00EE7B65" w:rsidRDefault="00EE7B65" w:rsidP="00EE7B65">
      <w:pPr>
        <w:pStyle w:val="Bibliography"/>
      </w:pPr>
      <w:r>
        <w:t>52.</w:t>
      </w:r>
      <w:r>
        <w:tab/>
        <w:t xml:space="preserve">Illingworth MA, Meyer E, Chong WK, et al. PLA2G6-associated neurodegeneration (PLAN): Further expansion of the clinical, radiological and mutation spectrum associated with infantile and atypical childhood-onset disease. </w:t>
      </w:r>
      <w:r>
        <w:rPr>
          <w:i/>
          <w:iCs/>
        </w:rPr>
        <w:t>Mol Genet Metab</w:t>
      </w:r>
      <w:r>
        <w:t xml:space="preserve">. 2014;112(2):183-189. </w:t>
      </w:r>
      <w:proofErr w:type="gramStart"/>
      <w:r>
        <w:t>doi:10.1016/j.ymgme</w:t>
      </w:r>
      <w:proofErr w:type="gramEnd"/>
      <w:r>
        <w:t>.2014.03.008</w:t>
      </w:r>
    </w:p>
    <w:p w14:paraId="06C4F5B5" w14:textId="77777777" w:rsidR="00EE7B65" w:rsidRDefault="00EE7B65" w:rsidP="00EE7B65">
      <w:pPr>
        <w:pStyle w:val="Bibliography"/>
      </w:pPr>
      <w:r>
        <w:t>53.</w:t>
      </w:r>
      <w:r>
        <w:tab/>
        <w:t xml:space="preserve">Ozes B, Karagoz N, Schüle R, et al. PLA2G6 mutations associated with a continuous clinical spectrum from neuroaxonal dystrophy to hereditary spastic paraplegia. </w:t>
      </w:r>
      <w:r>
        <w:rPr>
          <w:i/>
          <w:iCs/>
        </w:rPr>
        <w:t>Clin Genet</w:t>
      </w:r>
      <w:r>
        <w:t>. 2017;92(5):534-539. doi:10.1111/cge.13008</w:t>
      </w:r>
    </w:p>
    <w:p w14:paraId="4D12C95D" w14:textId="77777777" w:rsidR="00EE7B65" w:rsidRDefault="00EE7B65" w:rsidP="00EE7B65">
      <w:pPr>
        <w:pStyle w:val="Bibliography"/>
      </w:pPr>
      <w:r>
        <w:t>54.</w:t>
      </w:r>
      <w:r>
        <w:tab/>
        <w:t xml:space="preserve">Chen YJ, Chen YC, Dong HL, et al. Novel PLA2G6 mutations and clinical heterogeneity in Chinese cases with phospholipase A2-associated neurodegeneration. </w:t>
      </w:r>
      <w:r>
        <w:rPr>
          <w:i/>
          <w:iCs/>
        </w:rPr>
        <w:t>Parkinsonism Relat Disord</w:t>
      </w:r>
      <w:r>
        <w:t xml:space="preserve">. </w:t>
      </w:r>
      <w:proofErr w:type="gramStart"/>
      <w:r>
        <w:t>2018;49:88</w:t>
      </w:r>
      <w:proofErr w:type="gramEnd"/>
      <w:r>
        <w:t xml:space="preserve">-94. </w:t>
      </w:r>
      <w:proofErr w:type="gramStart"/>
      <w:r>
        <w:t>doi:10.1016/j.parkreldis</w:t>
      </w:r>
      <w:proofErr w:type="gramEnd"/>
      <w:r>
        <w:t>.2018.02.010</w:t>
      </w:r>
    </w:p>
    <w:p w14:paraId="64C3DFDB" w14:textId="77777777" w:rsidR="00EE7B65" w:rsidRDefault="00EE7B65" w:rsidP="00EE7B65">
      <w:pPr>
        <w:pStyle w:val="Bibliography"/>
      </w:pPr>
      <w:r>
        <w:t>55.</w:t>
      </w:r>
      <w:r>
        <w:tab/>
        <w:t xml:space="preserve">Darling A, Aguilera-Albesa S, Tello CA, et al. PLA2G6-associated neurodegeneration: New insights into brain abnormalities and disease progression. </w:t>
      </w:r>
      <w:r>
        <w:rPr>
          <w:i/>
          <w:iCs/>
        </w:rPr>
        <w:t>Parkinsonism Relat Disord</w:t>
      </w:r>
      <w:r>
        <w:t xml:space="preserve">. </w:t>
      </w:r>
      <w:proofErr w:type="gramStart"/>
      <w:r>
        <w:t>2019;61:179</w:t>
      </w:r>
      <w:proofErr w:type="gramEnd"/>
      <w:r>
        <w:t xml:space="preserve">-186. </w:t>
      </w:r>
      <w:proofErr w:type="gramStart"/>
      <w:r>
        <w:t>doi:10.1016/j.parkreldis</w:t>
      </w:r>
      <w:proofErr w:type="gramEnd"/>
      <w:r>
        <w:t>.2018.10.013</w:t>
      </w:r>
    </w:p>
    <w:p w14:paraId="496FC40D" w14:textId="77777777" w:rsidR="00EE7B65" w:rsidRDefault="00EE7B65" w:rsidP="00EE7B65">
      <w:pPr>
        <w:pStyle w:val="Bibliography"/>
      </w:pPr>
      <w:r>
        <w:t>56.</w:t>
      </w:r>
      <w:r>
        <w:tab/>
        <w:t xml:space="preserve">Lu CS, Lai SC, Wu RM, et al. PLA2G6 mutations in PARK14-linked young-onset parkinsonism and sporadic Parkinson’s disease. </w:t>
      </w:r>
      <w:r>
        <w:rPr>
          <w:i/>
          <w:iCs/>
        </w:rPr>
        <w:t>Am J Med Genet B Neuropsychiatr Genet</w:t>
      </w:r>
      <w:r>
        <w:t>. 2012;159</w:t>
      </w:r>
      <w:proofErr w:type="gramStart"/>
      <w:r>
        <w:t>B(</w:t>
      </w:r>
      <w:proofErr w:type="gramEnd"/>
      <w:r>
        <w:t>2):183-191. doi:10.1002/ajmg.b.32012</w:t>
      </w:r>
    </w:p>
    <w:p w14:paraId="5FC10B5A" w14:textId="77777777" w:rsidR="00EE7B65" w:rsidRDefault="00EE7B65" w:rsidP="00EE7B65">
      <w:pPr>
        <w:pStyle w:val="Bibliography"/>
      </w:pPr>
      <w:r>
        <w:t>57.</w:t>
      </w:r>
      <w:r>
        <w:tab/>
        <w:t xml:space="preserve">Roze E, Lang AE, Vidailhet M. Myoclonus-dystonia: classification, phenomenology, pathogenesis, and treatment. </w:t>
      </w:r>
      <w:r>
        <w:rPr>
          <w:i/>
          <w:iCs/>
        </w:rPr>
        <w:t>Curr Opin Neurol</w:t>
      </w:r>
      <w:r>
        <w:t>. 2018;31(4):484-490. doi:10.1097/WCO.0000000000000577</w:t>
      </w:r>
    </w:p>
    <w:p w14:paraId="0BDD535D" w14:textId="77777777" w:rsidR="00EE7B65" w:rsidRPr="003C106F" w:rsidRDefault="00EE7B65" w:rsidP="00EE7B65">
      <w:pPr>
        <w:pStyle w:val="Bibliography"/>
        <w:rPr>
          <w:lang w:val="it-IT"/>
        </w:rPr>
      </w:pPr>
      <w:r>
        <w:t>58.</w:t>
      </w:r>
      <w:r>
        <w:tab/>
        <w:t xml:space="preserve">Valente EM, Edwards MJ, Mir P, et al. The epsilon-sarcoglycan gene in myoclonic syndromes. </w:t>
      </w:r>
      <w:r w:rsidRPr="003C106F">
        <w:rPr>
          <w:i/>
          <w:iCs/>
          <w:lang w:val="it-IT"/>
        </w:rPr>
        <w:t>Neurology</w:t>
      </w:r>
      <w:r w:rsidRPr="003C106F">
        <w:rPr>
          <w:lang w:val="it-IT"/>
        </w:rPr>
        <w:t xml:space="preserve">. 2005;64(4):737-739. </w:t>
      </w:r>
      <w:proofErr w:type="gramStart"/>
      <w:r w:rsidRPr="003C106F">
        <w:rPr>
          <w:lang w:val="it-IT"/>
        </w:rPr>
        <w:t>doi:10.1212/01.WNL</w:t>
      </w:r>
      <w:proofErr w:type="gramEnd"/>
      <w:r w:rsidRPr="003C106F">
        <w:rPr>
          <w:lang w:val="it-IT"/>
        </w:rPr>
        <w:t>.0000151979.68010.9B</w:t>
      </w:r>
    </w:p>
    <w:p w14:paraId="44D3DE31" w14:textId="77777777" w:rsidR="00EE7B65" w:rsidRDefault="00EE7B65" w:rsidP="00EE7B65">
      <w:pPr>
        <w:pStyle w:val="Bibliography"/>
      </w:pPr>
      <w:r w:rsidRPr="003C106F">
        <w:rPr>
          <w:lang w:val="it-IT"/>
        </w:rPr>
        <w:t>59.</w:t>
      </w:r>
      <w:r w:rsidRPr="003C106F">
        <w:rPr>
          <w:lang w:val="it-IT"/>
        </w:rPr>
        <w:tab/>
        <w:t xml:space="preserve">Carecchio M, Magliozzi M, Copetti M, et al. </w:t>
      </w:r>
      <w:r>
        <w:t xml:space="preserve">Defining the Epsilon-Sarcoglycan (SGCE) Gene Phenotypic Signature in Myoclonus-Dystonia: A Reappraisal of Genetic Testing Criteria: Reappraisal of </w:t>
      </w:r>
      <w:r>
        <w:rPr>
          <w:i/>
          <w:iCs/>
        </w:rPr>
        <w:t>SGCE</w:t>
      </w:r>
      <w:r>
        <w:t xml:space="preserve"> Genetic Testing Criteria. </w:t>
      </w:r>
      <w:r>
        <w:rPr>
          <w:i/>
          <w:iCs/>
        </w:rPr>
        <w:t>Mov Disord</w:t>
      </w:r>
      <w:r>
        <w:t>. 2013;28(6):787-794. doi:10.1002/mds.25506</w:t>
      </w:r>
    </w:p>
    <w:p w14:paraId="0EFFDB9D" w14:textId="77777777" w:rsidR="00EE7B65" w:rsidRDefault="00EE7B65" w:rsidP="00EE7B65">
      <w:pPr>
        <w:pStyle w:val="Bibliography"/>
      </w:pPr>
      <w:r>
        <w:t>60.</w:t>
      </w:r>
      <w:r>
        <w:tab/>
        <w:t xml:space="preserve">Klein C. Myoclonus and Myoclonus-Dystonias. In: </w:t>
      </w:r>
      <w:r>
        <w:rPr>
          <w:i/>
          <w:iCs/>
        </w:rPr>
        <w:t>Genetics of Movement Disorders</w:t>
      </w:r>
      <w:r>
        <w:t>. Elsevier; 2003:451-471. doi:10.1016/B978-012566652-7/50042-3</w:t>
      </w:r>
    </w:p>
    <w:p w14:paraId="0898D966" w14:textId="77777777" w:rsidR="00EE7B65" w:rsidRDefault="00EE7B65" w:rsidP="00EE7B65">
      <w:pPr>
        <w:pStyle w:val="Bibliography"/>
      </w:pPr>
      <w:r>
        <w:t>61.</w:t>
      </w:r>
      <w:r>
        <w:tab/>
        <w:t xml:space="preserve">Grünewald A, Djarmati A, Lohmann-Hedrich K, et al. Myoclonus-dystonia: significance of large </w:t>
      </w:r>
      <w:r>
        <w:rPr>
          <w:i/>
          <w:iCs/>
        </w:rPr>
        <w:t>SGCE</w:t>
      </w:r>
      <w:r>
        <w:t xml:space="preserve"> deletions. </w:t>
      </w:r>
      <w:r>
        <w:rPr>
          <w:i/>
          <w:iCs/>
        </w:rPr>
        <w:t>Hum Mutat</w:t>
      </w:r>
      <w:r>
        <w:t>. 2008;29(2):331-332. doi:10.1002/humu.9521</w:t>
      </w:r>
    </w:p>
    <w:p w14:paraId="6AD8DCD8" w14:textId="77777777" w:rsidR="00EE7B65" w:rsidRDefault="00EE7B65" w:rsidP="00EE7B65">
      <w:pPr>
        <w:pStyle w:val="Bibliography"/>
      </w:pPr>
      <w:r>
        <w:t>62.</w:t>
      </w:r>
      <w:r>
        <w:tab/>
        <w:t xml:space="preserve">Asmus F, Salih F, Hjermind LE, et al. Myoclonus-dystonia due to genomic deletions in the epsilon-sarcoglycan gene. </w:t>
      </w:r>
      <w:r>
        <w:rPr>
          <w:i/>
          <w:iCs/>
        </w:rPr>
        <w:t>Ann Neurol</w:t>
      </w:r>
      <w:r>
        <w:t>. 2005;58(5):792-797. doi:10.1002/ana.20661</w:t>
      </w:r>
    </w:p>
    <w:p w14:paraId="1C9D2C8D" w14:textId="77777777" w:rsidR="00EE7B65" w:rsidRDefault="00EE7B65" w:rsidP="00EE7B65">
      <w:pPr>
        <w:pStyle w:val="Bibliography"/>
      </w:pPr>
      <w:r>
        <w:lastRenderedPageBreak/>
        <w:t>63.</w:t>
      </w:r>
      <w:r>
        <w:tab/>
        <w:t xml:space="preserve">Hjermind LE, Werdelin LM, Eiberg H, Krag-Olsen B, Dupont E, Sorensen SA. A novel mutation in the -sarcoglycan gene causing myoclonus-dystonia syndrome. </w:t>
      </w:r>
      <w:r>
        <w:rPr>
          <w:i/>
          <w:iCs/>
        </w:rPr>
        <w:t>Neurology</w:t>
      </w:r>
      <w:r>
        <w:t xml:space="preserve">. 2003;60(9):1536-1539. </w:t>
      </w:r>
      <w:proofErr w:type="gramStart"/>
      <w:r>
        <w:t>doi:10.1212/01.WNL</w:t>
      </w:r>
      <w:proofErr w:type="gramEnd"/>
      <w:r>
        <w:t>.0000061480.86610.BF</w:t>
      </w:r>
    </w:p>
    <w:p w14:paraId="54C2EE38" w14:textId="77777777" w:rsidR="00EE7B65" w:rsidRDefault="00EE7B65" w:rsidP="00EE7B65">
      <w:pPr>
        <w:pStyle w:val="Bibliography"/>
      </w:pPr>
      <w:r>
        <w:t>64.</w:t>
      </w:r>
      <w:r>
        <w:tab/>
        <w:t xml:space="preserve">Schule B. Genetic heterogeneity in ten families with myoclonus-dystonia. </w:t>
      </w:r>
      <w:r>
        <w:rPr>
          <w:i/>
          <w:iCs/>
        </w:rPr>
        <w:t>J Neurol Neurosurg Psychiatry</w:t>
      </w:r>
      <w:r>
        <w:t>. 2004;75(8):1181-1185. doi:10.1136/jnnp.2003.027177</w:t>
      </w:r>
    </w:p>
    <w:p w14:paraId="5539C1BE" w14:textId="77777777" w:rsidR="00EE7B65" w:rsidRDefault="00EE7B65" w:rsidP="00EE7B65">
      <w:pPr>
        <w:pStyle w:val="Bibliography"/>
      </w:pPr>
      <w:r>
        <w:t>65.</w:t>
      </w:r>
      <w:r>
        <w:tab/>
        <w:t xml:space="preserve">Ritz K, Gerrits MCF, Foncke EMJ, et al. Myoclonus-dystonia: clinical and genetic evaluation of a large cohort. </w:t>
      </w:r>
      <w:r>
        <w:rPr>
          <w:i/>
          <w:iCs/>
        </w:rPr>
        <w:t>J Neurol Neurosurg Psychiatry</w:t>
      </w:r>
      <w:r>
        <w:t>. 2009;80(6):653-658. doi:10.1136/jnnp.2008.162099</w:t>
      </w:r>
    </w:p>
    <w:p w14:paraId="23CA8957" w14:textId="77777777" w:rsidR="00EE7B65" w:rsidRDefault="00EE7B65" w:rsidP="00EE7B65">
      <w:pPr>
        <w:pStyle w:val="Bibliography"/>
      </w:pPr>
      <w:r>
        <w:t>66.</w:t>
      </w:r>
      <w:r>
        <w:tab/>
        <w:t xml:space="preserve">Nardocci N, Zorzi G, Barzaghi C, et al. Myoclonus-dystonia syndrome: Clinical presentation, disease course, and genetic features in 11 families: A Clinical and Genetic Study of MDS. </w:t>
      </w:r>
      <w:r>
        <w:rPr>
          <w:i/>
          <w:iCs/>
        </w:rPr>
        <w:t>Mov Disord</w:t>
      </w:r>
      <w:r>
        <w:t>. 2008;23(1):28-34. doi:10.1002/mds.21715</w:t>
      </w:r>
    </w:p>
    <w:p w14:paraId="2C0396FD" w14:textId="77777777" w:rsidR="00EE7B65" w:rsidRDefault="00EE7B65" w:rsidP="00EE7B65">
      <w:pPr>
        <w:pStyle w:val="Bibliography"/>
      </w:pPr>
      <w:r>
        <w:t>67.</w:t>
      </w:r>
      <w:r>
        <w:tab/>
        <w:t xml:space="preserve">Hjermind LE, Vissing J, Asmus F, et al. No muscle involvement in myoclonus-dystonia caused by ɛ-sarcoglycan gene mutations. </w:t>
      </w:r>
      <w:r>
        <w:rPr>
          <w:i/>
          <w:iCs/>
        </w:rPr>
        <w:t>Eur J Neurol</w:t>
      </w:r>
      <w:r>
        <w:t>. 2008;15(5):525-529. doi:10.1111/j.1468-1331.</w:t>
      </w:r>
      <w:proofErr w:type="gramStart"/>
      <w:r>
        <w:t>2008.02116.x</w:t>
      </w:r>
      <w:proofErr w:type="gramEnd"/>
    </w:p>
    <w:p w14:paraId="20C42D39" w14:textId="77777777" w:rsidR="00EE7B65" w:rsidRDefault="00EE7B65" w:rsidP="00EE7B65">
      <w:pPr>
        <w:pStyle w:val="Bibliography"/>
      </w:pPr>
      <w:r>
        <w:t>68.</w:t>
      </w:r>
      <w:r>
        <w:tab/>
        <w:t xml:space="preserve">Saunders–Pullman R, Shriberg J, Heiman G, et al. Myoclonus dystonia: Possible association with obsessive–compulsive disorder and alcohol dependence. </w:t>
      </w:r>
      <w:r>
        <w:rPr>
          <w:i/>
          <w:iCs/>
        </w:rPr>
        <w:t>Neurology</w:t>
      </w:r>
      <w:r>
        <w:t>. 2002;58(2):242-245. doi:10.1212/WNL.58.2.242</w:t>
      </w:r>
    </w:p>
    <w:p w14:paraId="210797DC" w14:textId="77777777" w:rsidR="00EE7B65" w:rsidRDefault="00EE7B65" w:rsidP="00EE7B65">
      <w:pPr>
        <w:pStyle w:val="Bibliography"/>
      </w:pPr>
      <w:r>
        <w:t>69.</w:t>
      </w:r>
      <w:r>
        <w:tab/>
        <w:t xml:space="preserve">Fuchs T, Gavarini S, Saunders-Pullman R, et al. Mutations in the THAP1 gene are responsible for DYT6 primary torsion dystonia. </w:t>
      </w:r>
      <w:r>
        <w:rPr>
          <w:i/>
          <w:iCs/>
        </w:rPr>
        <w:t>Nat Genet</w:t>
      </w:r>
      <w:r>
        <w:t>. 2009;41(3):286-288. doi:10.1038/ng.304</w:t>
      </w:r>
    </w:p>
    <w:p w14:paraId="3B599695" w14:textId="77777777" w:rsidR="00EE7B65" w:rsidRDefault="00EE7B65" w:rsidP="00EE7B65">
      <w:pPr>
        <w:pStyle w:val="Bibliography"/>
      </w:pPr>
      <w:r>
        <w:t>70.</w:t>
      </w:r>
      <w:r>
        <w:tab/>
        <w:t xml:space="preserve">Bressman SB, Raymond D, Fuchs T, Heiman GA, Ozelius LJ, Saunders-Pullman R. Mutations in THAP1 (DYT6) in early-onset dystonia: a genetic screening study. </w:t>
      </w:r>
      <w:r>
        <w:rPr>
          <w:i/>
          <w:iCs/>
        </w:rPr>
        <w:t>Lancet Neurol</w:t>
      </w:r>
      <w:r>
        <w:t>. 2009;8(5):441-446. doi:10.1016/S1474-4422(09)70081-X</w:t>
      </w:r>
    </w:p>
    <w:p w14:paraId="76F2ACCA" w14:textId="77777777" w:rsidR="00EE7B65" w:rsidRDefault="00EE7B65" w:rsidP="00EE7B65">
      <w:pPr>
        <w:pStyle w:val="Bibliography"/>
      </w:pPr>
      <w:r>
        <w:t>71.</w:t>
      </w:r>
      <w:r>
        <w:tab/>
        <w:t xml:space="preserve">Lange LM, Junker J, Loens S, et al. Genotype–Phenotype Relations for Isolated Dystonia Genes: </w:t>
      </w:r>
      <w:r>
        <w:rPr>
          <w:smallCaps/>
        </w:rPr>
        <w:t>MDSGene</w:t>
      </w:r>
      <w:r>
        <w:t xml:space="preserve"> Systematic Review. </w:t>
      </w:r>
      <w:r>
        <w:rPr>
          <w:i/>
          <w:iCs/>
        </w:rPr>
        <w:t>Mov Disord</w:t>
      </w:r>
      <w:r>
        <w:t>. 2021;36(5):1086-1103. doi:10.1002/mds.28485</w:t>
      </w:r>
    </w:p>
    <w:p w14:paraId="56DBB958" w14:textId="77777777" w:rsidR="00EE7B65" w:rsidRDefault="00EE7B65" w:rsidP="00EE7B65">
      <w:pPr>
        <w:pStyle w:val="Bibliography"/>
      </w:pPr>
      <w:r>
        <w:t>72.</w:t>
      </w:r>
      <w:r>
        <w:tab/>
        <w:t xml:space="preserve">Blanchard A, Ea V, Roubertie A, et al. DYT6 dystonia: Review of the literature and creation of the UMD locus-specific database (LSDB) for mutations in the THAP1 gene. </w:t>
      </w:r>
      <w:r>
        <w:rPr>
          <w:i/>
          <w:iCs/>
        </w:rPr>
        <w:t>Hum Mutat</w:t>
      </w:r>
      <w:r>
        <w:t>. 2011;32(11):1213-1224. doi:10.1002/humu.21564</w:t>
      </w:r>
    </w:p>
    <w:p w14:paraId="46623777" w14:textId="77777777" w:rsidR="00EE7B65" w:rsidRDefault="00EE7B65" w:rsidP="00EE7B65">
      <w:pPr>
        <w:pStyle w:val="Bibliography"/>
      </w:pPr>
      <w:r>
        <w:t>73.</w:t>
      </w:r>
      <w:r>
        <w:tab/>
        <w:t xml:space="preserve">Xiao J, Zhao Y, Bastian RW, et al. Novel THAP1 sequence variants in primary dystonia. </w:t>
      </w:r>
      <w:r>
        <w:rPr>
          <w:i/>
          <w:iCs/>
        </w:rPr>
        <w:t>Neurology</w:t>
      </w:r>
      <w:r>
        <w:t>. 2010;74(3):229-238. doi:10.1212/WNL.0b013e3181ca00ca</w:t>
      </w:r>
    </w:p>
    <w:p w14:paraId="40F6A98C" w14:textId="77777777" w:rsidR="00EE7B65" w:rsidRDefault="00EE7B65" w:rsidP="00EE7B65">
      <w:pPr>
        <w:pStyle w:val="Bibliography"/>
      </w:pPr>
      <w:r>
        <w:t>74.</w:t>
      </w:r>
      <w:r>
        <w:tab/>
        <w:t xml:space="preserve">Xiromerisiou G, Houlden H, Scarmeas N, et al. THAP1 mutations and dystonia phenotypes: Genotype phenotype correlations. </w:t>
      </w:r>
      <w:r>
        <w:rPr>
          <w:i/>
          <w:iCs/>
        </w:rPr>
        <w:t>Mov Disord</w:t>
      </w:r>
      <w:r>
        <w:t>. 2012;27(10):1290-1294. doi:10.1002/mds.25146</w:t>
      </w:r>
    </w:p>
    <w:p w14:paraId="51D3271E" w14:textId="77777777" w:rsidR="00EE7B65" w:rsidRDefault="00EE7B65" w:rsidP="00EE7B65">
      <w:pPr>
        <w:pStyle w:val="Bibliography"/>
      </w:pPr>
      <w:r>
        <w:t>75.</w:t>
      </w:r>
      <w:r>
        <w:tab/>
        <w:t xml:space="preserve">Dauer W. Inherited Isolated Dystonia: Clinical Genetics and Gene Function. </w:t>
      </w:r>
      <w:r>
        <w:rPr>
          <w:i/>
          <w:iCs/>
        </w:rPr>
        <w:t>Neurotherapeutics</w:t>
      </w:r>
      <w:r>
        <w:t>. 2014;11(4):807-816. doi:10.1007/s13311-014-0297-7</w:t>
      </w:r>
    </w:p>
    <w:p w14:paraId="2C9079C6" w14:textId="77777777" w:rsidR="00EE7B65" w:rsidRDefault="00EE7B65" w:rsidP="00EE7B65">
      <w:pPr>
        <w:pStyle w:val="Bibliography"/>
      </w:pPr>
      <w:r>
        <w:t>76.</w:t>
      </w:r>
      <w:r>
        <w:tab/>
        <w:t xml:space="preserve">Lohmann K, Klein C. Update on the Genetics of Dystonia. </w:t>
      </w:r>
      <w:r>
        <w:rPr>
          <w:i/>
          <w:iCs/>
        </w:rPr>
        <w:t>Curr Neurol Neurosci Rep</w:t>
      </w:r>
      <w:r>
        <w:t>. 2017;17(3):26. doi:10.1007/s11910-017-0735-0</w:t>
      </w:r>
    </w:p>
    <w:p w14:paraId="3D9C6C88" w14:textId="77777777" w:rsidR="00EE7B65" w:rsidRDefault="00EE7B65" w:rsidP="00EE7B65">
      <w:pPr>
        <w:pStyle w:val="Bibliography"/>
      </w:pPr>
      <w:r>
        <w:lastRenderedPageBreak/>
        <w:t>77.</w:t>
      </w:r>
      <w:r>
        <w:tab/>
        <w:t xml:space="preserve">Ozelius LJ, Hewett JW, Page CE, et al. The early-onset torsion dystonia gene (DYT1) encodes an ATP-binding protein. </w:t>
      </w:r>
      <w:r>
        <w:rPr>
          <w:i/>
          <w:iCs/>
        </w:rPr>
        <w:t>Nat Genet</w:t>
      </w:r>
      <w:r>
        <w:t>. 1997;17(1):40-48. doi:10.1038/ng0997-40</w:t>
      </w:r>
    </w:p>
    <w:p w14:paraId="34FC81D0" w14:textId="77777777" w:rsidR="00EE7B65" w:rsidRDefault="00EE7B65" w:rsidP="00EE7B65">
      <w:pPr>
        <w:pStyle w:val="Bibliography"/>
      </w:pPr>
      <w:r>
        <w:t>78.</w:t>
      </w:r>
      <w:r>
        <w:tab/>
        <w:t xml:space="preserve">Bressman SB. Dystonia genotypes, phenotypes, and classification. </w:t>
      </w:r>
      <w:r>
        <w:rPr>
          <w:i/>
          <w:iCs/>
        </w:rPr>
        <w:t>Adv Neurol</w:t>
      </w:r>
      <w:r>
        <w:t xml:space="preserve">. </w:t>
      </w:r>
      <w:proofErr w:type="gramStart"/>
      <w:r>
        <w:t>2004;94:101</w:t>
      </w:r>
      <w:proofErr w:type="gramEnd"/>
      <w:r>
        <w:t>-107.</w:t>
      </w:r>
    </w:p>
    <w:p w14:paraId="560CCB53" w14:textId="77777777" w:rsidR="00EE7B65" w:rsidRDefault="00EE7B65" w:rsidP="00EE7B65">
      <w:pPr>
        <w:pStyle w:val="Bibliography"/>
      </w:pPr>
      <w:r>
        <w:t>79.</w:t>
      </w:r>
      <w:r>
        <w:tab/>
        <w:t xml:space="preserve">Fasano A, Nardocci N, Elia AE, Zorzi G, Bentivoglio AR, Albanese A. Non-DYT1 early-onset primary torsion dystonia: Comparison with DYT1 phenotype and review of the literature. </w:t>
      </w:r>
      <w:r>
        <w:rPr>
          <w:i/>
          <w:iCs/>
        </w:rPr>
        <w:t>Mov Disord</w:t>
      </w:r>
      <w:r>
        <w:t>. 2006;21(9):1411-1418. doi:10.1002/mds.21000</w:t>
      </w:r>
    </w:p>
    <w:p w14:paraId="43E102EC" w14:textId="77777777" w:rsidR="00EE7B65" w:rsidRDefault="00EE7B65" w:rsidP="00EE7B65">
      <w:pPr>
        <w:pStyle w:val="Bibliography"/>
      </w:pPr>
      <w:r>
        <w:t>80.</w:t>
      </w:r>
      <w:r>
        <w:tab/>
        <w:t xml:space="preserve">Bressman SB, Sabatti C, Raymond D, et al. The DYT1 phenotype and guidelines for diagnostic testing. </w:t>
      </w:r>
      <w:r>
        <w:rPr>
          <w:i/>
          <w:iCs/>
        </w:rPr>
        <w:t>Neurology</w:t>
      </w:r>
      <w:r>
        <w:t>. 2000;54(9):1746-1753. doi:10.1212/WNL.54.9.1746</w:t>
      </w:r>
    </w:p>
    <w:p w14:paraId="2A39F46C" w14:textId="77777777" w:rsidR="00EE7B65" w:rsidRDefault="00EE7B65" w:rsidP="00EE7B65">
      <w:pPr>
        <w:pStyle w:val="Bibliography"/>
      </w:pPr>
      <w:r>
        <w:t>81.</w:t>
      </w:r>
      <w:r>
        <w:tab/>
        <w:t xml:space="preserve">Steel D, Zech M, Zhao C, et al. Loss‐of‐Function Variants in </w:t>
      </w:r>
      <w:r>
        <w:rPr>
          <w:smallCaps/>
        </w:rPr>
        <w:t>HOPS</w:t>
      </w:r>
      <w:r>
        <w:t xml:space="preserve"> Complex </w:t>
      </w:r>
      <w:proofErr w:type="gramStart"/>
      <w:r>
        <w:t xml:space="preserve">Genes </w:t>
      </w:r>
      <w:r>
        <w:rPr>
          <w:smallCaps/>
        </w:rPr>
        <w:t xml:space="preserve"> </w:t>
      </w:r>
      <w:r>
        <w:rPr>
          <w:i/>
          <w:iCs/>
          <w:smallCaps/>
        </w:rPr>
        <w:t>VPS</w:t>
      </w:r>
      <w:proofErr w:type="gramEnd"/>
      <w:r>
        <w:rPr>
          <w:i/>
          <w:iCs/>
          <w:smallCaps/>
        </w:rPr>
        <w:t>16</w:t>
      </w:r>
      <w:r>
        <w:rPr>
          <w:smallCaps/>
        </w:rPr>
        <w:t xml:space="preserve"> </w:t>
      </w:r>
      <w:r>
        <w:t xml:space="preserve"> and </w:t>
      </w:r>
      <w:r>
        <w:rPr>
          <w:smallCaps/>
        </w:rPr>
        <w:t xml:space="preserve"> </w:t>
      </w:r>
      <w:r>
        <w:rPr>
          <w:i/>
          <w:iCs/>
          <w:smallCaps/>
        </w:rPr>
        <w:t>VPS41</w:t>
      </w:r>
      <w:r>
        <w:rPr>
          <w:smallCaps/>
        </w:rPr>
        <w:t xml:space="preserve"> </w:t>
      </w:r>
      <w:r>
        <w:t xml:space="preserve"> Cause Early Onset Dystonia Associated with Lysosomal Abnormalities. </w:t>
      </w:r>
      <w:r>
        <w:rPr>
          <w:i/>
          <w:iCs/>
        </w:rPr>
        <w:t>Ann Neurol</w:t>
      </w:r>
      <w:r>
        <w:t>. 2020;88(5):867-877. doi:10.1002/ana.25879</w:t>
      </w:r>
    </w:p>
    <w:p w14:paraId="0C62A12A" w14:textId="77777777" w:rsidR="00EE7B65" w:rsidRDefault="00EE7B65" w:rsidP="00EE7B65">
      <w:pPr>
        <w:pStyle w:val="Bibliography"/>
      </w:pPr>
      <w:r>
        <w:t>82.</w:t>
      </w:r>
      <w:r>
        <w:tab/>
        <w:t xml:space="preserve">Cai X, Chen X, Wu S, et al. Homozygous mutation of VPS16 gene is responsible for an autosomal recessive adolescent-onset primary dystonia. </w:t>
      </w:r>
      <w:r>
        <w:rPr>
          <w:i/>
          <w:iCs/>
        </w:rPr>
        <w:t>Sci Rep</w:t>
      </w:r>
      <w:r>
        <w:t>. 2016;6(1):25834. doi:10.1038/srep25834</w:t>
      </w:r>
    </w:p>
    <w:p w14:paraId="3ECD7823" w14:textId="77777777" w:rsidR="00EE7B65" w:rsidRDefault="00EE7B65" w:rsidP="00EE7B65">
      <w:pPr>
        <w:pStyle w:val="Bibliography"/>
      </w:pPr>
      <w:r>
        <w:t>83.</w:t>
      </w:r>
      <w:r>
        <w:tab/>
        <w:t xml:space="preserve">Ostrozovicova M, Jech R, Steel D, et al. A </w:t>
      </w:r>
      <w:proofErr w:type="gramStart"/>
      <w:r>
        <w:t xml:space="preserve">Recurrent </w:t>
      </w:r>
      <w:r>
        <w:rPr>
          <w:smallCaps/>
        </w:rPr>
        <w:t xml:space="preserve"> </w:t>
      </w:r>
      <w:r>
        <w:rPr>
          <w:i/>
          <w:iCs/>
          <w:smallCaps/>
        </w:rPr>
        <w:t>VPS</w:t>
      </w:r>
      <w:proofErr w:type="gramEnd"/>
      <w:r>
        <w:rPr>
          <w:i/>
          <w:iCs/>
          <w:smallCaps/>
        </w:rPr>
        <w:t>16</w:t>
      </w:r>
      <w:r>
        <w:rPr>
          <w:smallCaps/>
        </w:rPr>
        <w:t xml:space="preserve"> </w:t>
      </w:r>
      <w:r>
        <w:t xml:space="preserve"> p.Arg187* Nonsense Variant in Early‐Onset Generalized Dystonia. </w:t>
      </w:r>
      <w:r>
        <w:rPr>
          <w:i/>
          <w:iCs/>
        </w:rPr>
        <w:t>Mov Disord</w:t>
      </w:r>
      <w:r>
        <w:t>. 2021;36(8):1984-1985. doi:10.1002/mds.28647</w:t>
      </w:r>
    </w:p>
    <w:p w14:paraId="6B86B32D" w14:textId="77777777" w:rsidR="00EE7B65" w:rsidRDefault="00EE7B65" w:rsidP="00EE7B65">
      <w:pPr>
        <w:pStyle w:val="Bibliography"/>
      </w:pPr>
      <w:r>
        <w:t>84.</w:t>
      </w:r>
      <w:r>
        <w:tab/>
        <w:t xml:space="preserve">Pott H, Brüggemann N, Reese R, et al. </w:t>
      </w:r>
      <w:proofErr w:type="gramStart"/>
      <w:r>
        <w:t xml:space="preserve">Truncating </w:t>
      </w:r>
      <w:r>
        <w:rPr>
          <w:smallCaps/>
        </w:rPr>
        <w:t xml:space="preserve"> </w:t>
      </w:r>
      <w:r>
        <w:rPr>
          <w:i/>
          <w:iCs/>
          <w:smallCaps/>
        </w:rPr>
        <w:t>VPS</w:t>
      </w:r>
      <w:proofErr w:type="gramEnd"/>
      <w:r>
        <w:rPr>
          <w:i/>
          <w:iCs/>
          <w:smallCaps/>
        </w:rPr>
        <w:t>16</w:t>
      </w:r>
      <w:r>
        <w:rPr>
          <w:smallCaps/>
        </w:rPr>
        <w:t xml:space="preserve"> </w:t>
      </w:r>
      <w:r>
        <w:t xml:space="preserve"> Mutations Are Rare in Early Onset Dystonia. </w:t>
      </w:r>
      <w:r>
        <w:rPr>
          <w:i/>
          <w:iCs/>
        </w:rPr>
        <w:t>Ann Neurol</w:t>
      </w:r>
      <w:r>
        <w:t>. 2021;89(3):625-626. doi:10.1002/ana.25990</w:t>
      </w:r>
    </w:p>
    <w:p w14:paraId="2994A4BC" w14:textId="77777777" w:rsidR="00EE7B65" w:rsidRDefault="00EE7B65" w:rsidP="00EE7B65">
      <w:pPr>
        <w:pStyle w:val="Bibliography"/>
      </w:pPr>
      <w:r>
        <w:t>85.</w:t>
      </w:r>
      <w:r>
        <w:tab/>
        <w:t xml:space="preserve">Gu X, Lin J, Hou Y, Zhang L, Shang H. De Novo Missense Mutation </w:t>
      </w:r>
      <w:proofErr w:type="gramStart"/>
      <w:r>
        <w:t xml:space="preserve">of </w:t>
      </w:r>
      <w:r>
        <w:rPr>
          <w:smallCaps/>
        </w:rPr>
        <w:t xml:space="preserve"> </w:t>
      </w:r>
      <w:r>
        <w:rPr>
          <w:i/>
          <w:iCs/>
          <w:smallCaps/>
        </w:rPr>
        <w:t>VPS</w:t>
      </w:r>
      <w:proofErr w:type="gramEnd"/>
      <w:r>
        <w:rPr>
          <w:i/>
          <w:iCs/>
          <w:smallCaps/>
        </w:rPr>
        <w:t>16</w:t>
      </w:r>
      <w:r>
        <w:rPr>
          <w:smallCaps/>
        </w:rPr>
        <w:t xml:space="preserve"> </w:t>
      </w:r>
      <w:r>
        <w:t xml:space="preserve"> in a Chinese Patient with Generalized Dystonia with Myoclonus. </w:t>
      </w:r>
      <w:r>
        <w:rPr>
          <w:i/>
          <w:iCs/>
        </w:rPr>
        <w:t>Mov Disord Clin Pract</w:t>
      </w:r>
      <w:r>
        <w:t>. 2022;9(4):551-552. doi:10.1002/mdc3.13392</w:t>
      </w:r>
    </w:p>
    <w:p w14:paraId="46807C9D" w14:textId="77777777" w:rsidR="00EE7B65" w:rsidRDefault="00EE7B65" w:rsidP="00EE7B65">
      <w:pPr>
        <w:pStyle w:val="Bibliography"/>
      </w:pPr>
      <w:r>
        <w:t>86.</w:t>
      </w:r>
      <w:r>
        <w:tab/>
        <w:t xml:space="preserve">Li LX, Jiang LT, Liu Y, et al. Mutation screening of VPS16 gene in patients with isolated dystonia. </w:t>
      </w:r>
      <w:r>
        <w:rPr>
          <w:i/>
          <w:iCs/>
        </w:rPr>
        <w:t>Parkinsonism Relat Disord</w:t>
      </w:r>
      <w:r>
        <w:t xml:space="preserve">. </w:t>
      </w:r>
      <w:proofErr w:type="gramStart"/>
      <w:r>
        <w:t>2021;83:63</w:t>
      </w:r>
      <w:proofErr w:type="gramEnd"/>
      <w:r>
        <w:t xml:space="preserve">-65. </w:t>
      </w:r>
      <w:proofErr w:type="gramStart"/>
      <w:r>
        <w:t>doi:10.1016/j.parkreldis</w:t>
      </w:r>
      <w:proofErr w:type="gramEnd"/>
      <w:r>
        <w:t>.2020.12.014</w:t>
      </w:r>
    </w:p>
    <w:p w14:paraId="4A397557" w14:textId="77777777" w:rsidR="00EE7B65" w:rsidRDefault="00EE7B65" w:rsidP="00EE7B65">
      <w:pPr>
        <w:pStyle w:val="Bibliography"/>
      </w:pPr>
      <w:r>
        <w:t>87.</w:t>
      </w:r>
      <w:r>
        <w:tab/>
        <w:t xml:space="preserve">Li X, Wang L, Guo Y, Wan X. Mutations in </w:t>
      </w:r>
      <w:proofErr w:type="gramStart"/>
      <w:r>
        <w:t xml:space="preserve">the </w:t>
      </w:r>
      <w:r>
        <w:rPr>
          <w:smallCaps/>
        </w:rPr>
        <w:t xml:space="preserve"> </w:t>
      </w:r>
      <w:r>
        <w:rPr>
          <w:i/>
          <w:iCs/>
          <w:smallCaps/>
        </w:rPr>
        <w:t>VPS</w:t>
      </w:r>
      <w:proofErr w:type="gramEnd"/>
      <w:r>
        <w:rPr>
          <w:i/>
          <w:iCs/>
          <w:smallCaps/>
        </w:rPr>
        <w:t>16</w:t>
      </w:r>
      <w:r>
        <w:rPr>
          <w:smallCaps/>
        </w:rPr>
        <w:t xml:space="preserve"> </w:t>
      </w:r>
      <w:r>
        <w:t xml:space="preserve"> Gene in 56 </w:t>
      </w:r>
      <w:r>
        <w:rPr>
          <w:smallCaps/>
        </w:rPr>
        <w:t>Early‐Onset</w:t>
      </w:r>
      <w:r>
        <w:t xml:space="preserve"> Dystonia Patients. </w:t>
      </w:r>
      <w:r>
        <w:rPr>
          <w:i/>
          <w:iCs/>
        </w:rPr>
        <w:t>Mov Disord</w:t>
      </w:r>
      <w:r>
        <w:t>. 2021;36(3):780-781. doi:10.1002/mds.28540</w:t>
      </w:r>
    </w:p>
    <w:p w14:paraId="19577070" w14:textId="77777777" w:rsidR="00EE7B65" w:rsidRDefault="00EE7B65" w:rsidP="00EE7B65">
      <w:pPr>
        <w:pStyle w:val="Bibliography"/>
      </w:pPr>
      <w:r>
        <w:t>88.</w:t>
      </w:r>
      <w:r>
        <w:tab/>
        <w:t xml:space="preserve">Park J, Reilaender A, Petry-Schmelzer JN, et al. Transcript-Specific Loss-of-Function Variants in </w:t>
      </w:r>
      <w:r>
        <w:rPr>
          <w:i/>
          <w:iCs/>
        </w:rPr>
        <w:t>VPS16</w:t>
      </w:r>
      <w:r>
        <w:t xml:space="preserve"> Are Enriched in Patients </w:t>
      </w:r>
      <w:proofErr w:type="gramStart"/>
      <w:r>
        <w:t>With</w:t>
      </w:r>
      <w:proofErr w:type="gramEnd"/>
      <w:r>
        <w:t xml:space="preserve"> Dystonia. </w:t>
      </w:r>
      <w:r>
        <w:rPr>
          <w:i/>
          <w:iCs/>
        </w:rPr>
        <w:t>Neurol Genet</w:t>
      </w:r>
      <w:r>
        <w:t>. 2022;8(1</w:t>
      </w:r>
      <w:proofErr w:type="gramStart"/>
      <w:r>
        <w:t>):e</w:t>
      </w:r>
      <w:proofErr w:type="gramEnd"/>
      <w:r>
        <w:t>644. doi:10.1212/NXG.0000000000000644</w:t>
      </w:r>
    </w:p>
    <w:p w14:paraId="4A812665" w14:textId="77777777" w:rsidR="00EE7B65" w:rsidRDefault="00EE7B65" w:rsidP="00EE7B65">
      <w:pPr>
        <w:pStyle w:val="Bibliography"/>
      </w:pPr>
      <w:r>
        <w:t>89.</w:t>
      </w:r>
      <w:r>
        <w:tab/>
        <w:t xml:space="preserve">Petry-Schmelzer JN, Park J, Haack TB, Visser-Vandewalle V, Barbe MT, Wunderlich G. Long-term benefit of pallidal deep brain stimulation in a patient with VPS16-associated dystonia. </w:t>
      </w:r>
      <w:r>
        <w:rPr>
          <w:i/>
          <w:iCs/>
        </w:rPr>
        <w:t>Neurol Res Pract</w:t>
      </w:r>
      <w:r>
        <w:t>. 2022;4(1):21. doi:10.1186/s42466-022-00185-w</w:t>
      </w:r>
    </w:p>
    <w:p w14:paraId="57AAC2E3" w14:textId="77777777" w:rsidR="00EE7B65" w:rsidRDefault="00EE7B65" w:rsidP="00EE7B65">
      <w:pPr>
        <w:pStyle w:val="Bibliography"/>
      </w:pPr>
      <w:r>
        <w:t>90.</w:t>
      </w:r>
      <w:r>
        <w:tab/>
        <w:t xml:space="preserve">Santos M, Massano J, Lopes AM, Brandão AF, Freixo JP, Oliveira J. Aberrant Splicing Caused by a Novel VPS16 Variant Linked to Dystonia Type 30. </w:t>
      </w:r>
      <w:r>
        <w:rPr>
          <w:i/>
          <w:iCs/>
        </w:rPr>
        <w:t>neurogenetics</w:t>
      </w:r>
      <w:r>
        <w:t>. Published online May 24, 2023. doi:10.1007/s10048-023-00720-0</w:t>
      </w:r>
    </w:p>
    <w:p w14:paraId="4D036245" w14:textId="77777777" w:rsidR="00EE7B65" w:rsidRDefault="00EE7B65" w:rsidP="00EE7B65">
      <w:pPr>
        <w:pStyle w:val="Bibliography"/>
      </w:pPr>
      <w:r>
        <w:lastRenderedPageBreak/>
        <w:t>91.</w:t>
      </w:r>
      <w:r>
        <w:tab/>
        <w:t xml:space="preserve">Monfrini E, Avanzino L, Palermo G, et al. </w:t>
      </w:r>
      <w:proofErr w:type="gramStart"/>
      <w:r>
        <w:t xml:space="preserve">Dominant </w:t>
      </w:r>
      <w:r>
        <w:rPr>
          <w:smallCaps/>
        </w:rPr>
        <w:t xml:space="preserve"> </w:t>
      </w:r>
      <w:r>
        <w:rPr>
          <w:i/>
          <w:iCs/>
          <w:smallCaps/>
        </w:rPr>
        <w:t>VPS</w:t>
      </w:r>
      <w:proofErr w:type="gramEnd"/>
      <w:r>
        <w:rPr>
          <w:i/>
          <w:iCs/>
          <w:smallCaps/>
        </w:rPr>
        <w:t>16</w:t>
      </w:r>
      <w:r>
        <w:rPr>
          <w:smallCaps/>
        </w:rPr>
        <w:t xml:space="preserve"> </w:t>
      </w:r>
      <w:r>
        <w:t xml:space="preserve"> Pathogenic Variants: Not Only Isolated Dystonia. </w:t>
      </w:r>
      <w:r>
        <w:rPr>
          <w:i/>
          <w:iCs/>
        </w:rPr>
        <w:t>Mov Disord Clin Pract</w:t>
      </w:r>
      <w:r>
        <w:t>. 2024;11(1):87-93. doi:10.1002/mdc3.13927</w:t>
      </w:r>
    </w:p>
    <w:p w14:paraId="15DDC8CF" w14:textId="77777777" w:rsidR="00EE7B65" w:rsidRDefault="00EE7B65" w:rsidP="00EE7B65">
      <w:pPr>
        <w:pStyle w:val="Bibliography"/>
      </w:pPr>
      <w:r>
        <w:t>92.</w:t>
      </w:r>
      <w:r>
        <w:tab/>
        <w:t xml:space="preserve">Garavaglia B, Vallian S, Romito LM, et al. AOPEP variants as a novel cause of recessive dystonia: Generalized dystonia and dystonia-parkinsonism. </w:t>
      </w:r>
      <w:r>
        <w:rPr>
          <w:i/>
          <w:iCs/>
        </w:rPr>
        <w:t>Parkinsonism Relat Disord</w:t>
      </w:r>
      <w:r>
        <w:t xml:space="preserve">. </w:t>
      </w:r>
      <w:proofErr w:type="gramStart"/>
      <w:r>
        <w:t>2022;97:52</w:t>
      </w:r>
      <w:proofErr w:type="gramEnd"/>
      <w:r>
        <w:t xml:space="preserve">-56. </w:t>
      </w:r>
      <w:proofErr w:type="gramStart"/>
      <w:r>
        <w:t>doi:10.1016/j.parkreldis</w:t>
      </w:r>
      <w:proofErr w:type="gramEnd"/>
      <w:r>
        <w:t>.2022.03.007</w:t>
      </w:r>
    </w:p>
    <w:p w14:paraId="786D7B92" w14:textId="77777777" w:rsidR="00EE7B65" w:rsidRPr="003C106F" w:rsidRDefault="00EE7B65" w:rsidP="00EE7B65">
      <w:pPr>
        <w:pStyle w:val="Bibliography"/>
        <w:rPr>
          <w:lang w:val="it-IT"/>
        </w:rPr>
      </w:pPr>
      <w:r>
        <w:t>93.</w:t>
      </w:r>
      <w:r>
        <w:tab/>
        <w:t xml:space="preserve">Hess CW, Raymond D, Aguiar PDC, et al. Myoclonus-dystonia, obsessive-compulsive disorder, and alcohol dependence in            </w:t>
      </w:r>
      <w:r>
        <w:rPr>
          <w:i/>
          <w:iCs/>
        </w:rPr>
        <w:t>SGCE</w:t>
      </w:r>
      <w:r>
        <w:t xml:space="preserve">            mutation carriers. </w:t>
      </w:r>
      <w:r w:rsidRPr="003C106F">
        <w:rPr>
          <w:i/>
          <w:iCs/>
          <w:lang w:val="it-IT"/>
        </w:rPr>
        <w:t>Neurology</w:t>
      </w:r>
      <w:r w:rsidRPr="003C106F">
        <w:rPr>
          <w:lang w:val="it-IT"/>
        </w:rPr>
        <w:t xml:space="preserve">. 2007;68(7):522-524. </w:t>
      </w:r>
      <w:proofErr w:type="gramStart"/>
      <w:r w:rsidRPr="003C106F">
        <w:rPr>
          <w:lang w:val="it-IT"/>
        </w:rPr>
        <w:t>doi:10.1212/01.wnl</w:t>
      </w:r>
      <w:proofErr w:type="gramEnd"/>
      <w:r w:rsidRPr="003C106F">
        <w:rPr>
          <w:lang w:val="it-IT"/>
        </w:rPr>
        <w:t>.0000253188.76092.06</w:t>
      </w:r>
    </w:p>
    <w:p w14:paraId="1B2A9018" w14:textId="77777777" w:rsidR="00EE7B65" w:rsidRPr="003C106F" w:rsidRDefault="00EE7B65" w:rsidP="00EE7B65">
      <w:pPr>
        <w:pStyle w:val="Bibliography"/>
        <w:rPr>
          <w:lang w:val="it-IT"/>
        </w:rPr>
      </w:pPr>
      <w:r w:rsidRPr="003C106F">
        <w:rPr>
          <w:lang w:val="it-IT"/>
        </w:rPr>
        <w:t>94.</w:t>
      </w:r>
      <w:r w:rsidRPr="003C106F">
        <w:rPr>
          <w:lang w:val="it-IT"/>
        </w:rPr>
        <w:tab/>
        <w:t xml:space="preserve">Danielsson A, Carecchio M, Cif L, et al. </w:t>
      </w:r>
      <w:r>
        <w:t xml:space="preserve">Pallidal Deep Brain Stimulation in DYT6 Dystonia: Clinical Outcome and Predictive Factors for Motor Improvement. </w:t>
      </w:r>
      <w:r w:rsidRPr="003C106F">
        <w:rPr>
          <w:i/>
          <w:iCs/>
          <w:lang w:val="it-IT"/>
        </w:rPr>
        <w:t>J Clin Med</w:t>
      </w:r>
      <w:r w:rsidRPr="003C106F">
        <w:rPr>
          <w:lang w:val="it-IT"/>
        </w:rPr>
        <w:t xml:space="preserve">. 2019;8(12):2163. </w:t>
      </w:r>
      <w:proofErr w:type="gramStart"/>
      <w:r w:rsidRPr="003C106F">
        <w:rPr>
          <w:lang w:val="it-IT"/>
        </w:rPr>
        <w:t>doi:10.3390</w:t>
      </w:r>
      <w:proofErr w:type="gramEnd"/>
      <w:r w:rsidRPr="003C106F">
        <w:rPr>
          <w:lang w:val="it-IT"/>
        </w:rPr>
        <w:t>/jcm8122163</w:t>
      </w:r>
    </w:p>
    <w:p w14:paraId="4AE6AC87" w14:textId="77777777" w:rsidR="00EE7B65" w:rsidRDefault="00EE7B65" w:rsidP="00EE7B65">
      <w:pPr>
        <w:pStyle w:val="Bibliography"/>
      </w:pPr>
      <w:r w:rsidRPr="003C106F">
        <w:rPr>
          <w:lang w:val="it-IT"/>
        </w:rPr>
        <w:t>95.</w:t>
      </w:r>
      <w:r w:rsidRPr="003C106F">
        <w:rPr>
          <w:lang w:val="it-IT"/>
        </w:rPr>
        <w:tab/>
        <w:t xml:space="preserve">Romito LM, Colucci F, Zorzi G, et al. </w:t>
      </w:r>
      <w:r>
        <w:t xml:space="preserve">Illustration of the long-term efficacy of pallidal deep brain stimulation in a patient with PKAN dystonia. </w:t>
      </w:r>
      <w:r>
        <w:rPr>
          <w:i/>
          <w:iCs/>
        </w:rPr>
        <w:t>Parkinsonism Relat Disord</w:t>
      </w:r>
      <w:r>
        <w:t xml:space="preserve">. </w:t>
      </w:r>
      <w:proofErr w:type="gramStart"/>
      <w:r>
        <w:t>2024;123:106977</w:t>
      </w:r>
      <w:proofErr w:type="gramEnd"/>
      <w:r>
        <w:t xml:space="preserve">. </w:t>
      </w:r>
      <w:proofErr w:type="gramStart"/>
      <w:r>
        <w:t>doi:10.1016/j.parkreldis</w:t>
      </w:r>
      <w:proofErr w:type="gramEnd"/>
      <w:r>
        <w:t>.2024.106977</w:t>
      </w:r>
    </w:p>
    <w:p w14:paraId="0E759FA5" w14:textId="77777777" w:rsidR="00EE7B65" w:rsidRPr="003C106F" w:rsidRDefault="00EE7B65" w:rsidP="00EE7B65">
      <w:pPr>
        <w:pStyle w:val="Bibliography"/>
        <w:rPr>
          <w:lang w:val="it-IT"/>
        </w:rPr>
      </w:pPr>
      <w:r>
        <w:t>96.</w:t>
      </w:r>
      <w:r>
        <w:tab/>
        <w:t xml:space="preserve">Duga V, Giossi R, Romito LM, et al. Long-term GPi DBS in pediatric non-degenerative genetic dystonia: a cohort study and a meta-analysis. </w:t>
      </w:r>
      <w:r w:rsidRPr="003C106F">
        <w:rPr>
          <w:i/>
          <w:iCs/>
          <w:lang w:val="it-IT"/>
        </w:rPr>
        <w:t>Mov Disord</w:t>
      </w:r>
      <w:r w:rsidRPr="003C106F">
        <w:rPr>
          <w:lang w:val="it-IT"/>
        </w:rPr>
        <w:t xml:space="preserve">. </w:t>
      </w:r>
      <w:proofErr w:type="gramStart"/>
      <w:r w:rsidRPr="003C106F">
        <w:rPr>
          <w:lang w:val="it-IT"/>
        </w:rPr>
        <w:t>doi:10.1002</w:t>
      </w:r>
      <w:proofErr w:type="gramEnd"/>
      <w:r w:rsidRPr="003C106F">
        <w:rPr>
          <w:lang w:val="it-IT"/>
        </w:rPr>
        <w:t>/mds.29815</w:t>
      </w:r>
    </w:p>
    <w:p w14:paraId="517A464C" w14:textId="77777777" w:rsidR="00EE7B65" w:rsidRPr="003C106F" w:rsidRDefault="00EE7B65" w:rsidP="00EE7B65">
      <w:pPr>
        <w:pStyle w:val="Bibliography"/>
        <w:rPr>
          <w:lang w:val="it-IT"/>
        </w:rPr>
      </w:pPr>
      <w:r w:rsidRPr="003C106F">
        <w:rPr>
          <w:lang w:val="it-IT"/>
        </w:rPr>
        <w:t>97.</w:t>
      </w:r>
      <w:r w:rsidRPr="003C106F">
        <w:rPr>
          <w:lang w:val="it-IT"/>
        </w:rPr>
        <w:tab/>
        <w:t xml:space="preserve">Carecchio M, Invernizzi F, Gonzàlez‐Latapi P, et al. </w:t>
      </w:r>
      <w:r>
        <w:t xml:space="preserve">Frequency and phenotypic spectrum of </w:t>
      </w:r>
      <w:r>
        <w:rPr>
          <w:i/>
          <w:iCs/>
        </w:rPr>
        <w:t>KMT2B</w:t>
      </w:r>
      <w:r>
        <w:t xml:space="preserve"> dystonia in childhood: A single‐center cohort study. </w:t>
      </w:r>
      <w:r w:rsidRPr="003C106F">
        <w:rPr>
          <w:i/>
          <w:iCs/>
          <w:lang w:val="it-IT"/>
        </w:rPr>
        <w:t>Mov Disord</w:t>
      </w:r>
      <w:r w:rsidRPr="003C106F">
        <w:rPr>
          <w:lang w:val="it-IT"/>
        </w:rPr>
        <w:t xml:space="preserve">. 2019;34(10):1516-1527. </w:t>
      </w:r>
      <w:proofErr w:type="gramStart"/>
      <w:r w:rsidRPr="003C106F">
        <w:rPr>
          <w:lang w:val="it-IT"/>
        </w:rPr>
        <w:t>doi:10.1002</w:t>
      </w:r>
      <w:proofErr w:type="gramEnd"/>
      <w:r w:rsidRPr="003C106F">
        <w:rPr>
          <w:lang w:val="it-IT"/>
        </w:rPr>
        <w:t>/mds.27771</w:t>
      </w:r>
    </w:p>
    <w:p w14:paraId="5AE7A4C7" w14:textId="77777777" w:rsidR="00EE7B65" w:rsidRDefault="00EE7B65" w:rsidP="00EE7B65">
      <w:pPr>
        <w:pStyle w:val="Bibliography"/>
      </w:pPr>
      <w:r w:rsidRPr="003C106F">
        <w:rPr>
          <w:lang w:val="it-IT"/>
        </w:rPr>
        <w:t>98.</w:t>
      </w:r>
      <w:r w:rsidRPr="003C106F">
        <w:rPr>
          <w:lang w:val="it-IT"/>
        </w:rPr>
        <w:tab/>
        <w:t xml:space="preserve">Lunardini F, Satolli S, Levi V, Rossi Sebastiano D, Zorzi GS. </w:t>
      </w:r>
      <w:r>
        <w:t xml:space="preserve">The effect of GPi-DBS assessed by gait analysis in DYT11 dystonia: a case study. </w:t>
      </w:r>
      <w:r>
        <w:rPr>
          <w:i/>
          <w:iCs/>
        </w:rPr>
        <w:t>Neurol Sci</w:t>
      </w:r>
      <w:r>
        <w:t>. 2024;45(1):335-340. doi:10.1007/s10072-023-07063-6</w:t>
      </w:r>
    </w:p>
    <w:p w14:paraId="03A957F7" w14:textId="77777777" w:rsidR="00EE7B65" w:rsidRPr="003C106F" w:rsidRDefault="00EE7B65" w:rsidP="00EE7B65">
      <w:pPr>
        <w:pStyle w:val="Bibliography"/>
        <w:rPr>
          <w:lang w:val="it-IT"/>
        </w:rPr>
      </w:pPr>
      <w:r>
        <w:t>99.</w:t>
      </w:r>
      <w:r>
        <w:tab/>
        <w:t xml:space="preserve">Romito LM, Paio F, Andreasi NG, et al. A novel GNAL pathogenic variant leading to generalized dystonia: Immediate and sustained response to globus pallidus internus deep brain stimulation. </w:t>
      </w:r>
      <w:r w:rsidRPr="003C106F">
        <w:rPr>
          <w:i/>
          <w:iCs/>
          <w:lang w:val="it-IT"/>
        </w:rPr>
        <w:t>Parkinsonism Relat Disord</w:t>
      </w:r>
      <w:r w:rsidRPr="003C106F">
        <w:rPr>
          <w:lang w:val="it-IT"/>
        </w:rPr>
        <w:t xml:space="preserve">. </w:t>
      </w:r>
      <w:proofErr w:type="gramStart"/>
      <w:r w:rsidRPr="003C106F">
        <w:rPr>
          <w:lang w:val="it-IT"/>
        </w:rPr>
        <w:t>2023;115:105833</w:t>
      </w:r>
      <w:proofErr w:type="gramEnd"/>
      <w:r w:rsidRPr="003C106F">
        <w:rPr>
          <w:lang w:val="it-IT"/>
        </w:rPr>
        <w:t xml:space="preserve">. </w:t>
      </w:r>
      <w:proofErr w:type="gramStart"/>
      <w:r w:rsidRPr="003C106F">
        <w:rPr>
          <w:lang w:val="it-IT"/>
        </w:rPr>
        <w:t>doi:10.1016/j.parkreldis</w:t>
      </w:r>
      <w:proofErr w:type="gramEnd"/>
      <w:r w:rsidRPr="003C106F">
        <w:rPr>
          <w:lang w:val="it-IT"/>
        </w:rPr>
        <w:t>.2023.105833</w:t>
      </w:r>
    </w:p>
    <w:p w14:paraId="12A040E7" w14:textId="77777777" w:rsidR="00EE7B65" w:rsidRDefault="00EE7B65" w:rsidP="00EE7B65">
      <w:pPr>
        <w:pStyle w:val="Bibliography"/>
      </w:pPr>
      <w:r w:rsidRPr="003C106F">
        <w:rPr>
          <w:lang w:val="it-IT"/>
        </w:rPr>
        <w:t>100.</w:t>
      </w:r>
      <w:r w:rsidRPr="003C106F">
        <w:rPr>
          <w:lang w:val="it-IT"/>
        </w:rPr>
        <w:tab/>
        <w:t xml:space="preserve">Carecchio M, Panteghini C, Reale C, et al. </w:t>
      </w:r>
      <w:r>
        <w:t xml:space="preserve">Novel GNAL mutation with intra-familial clinical heterogeneity: Expanding the phenotype. </w:t>
      </w:r>
      <w:r>
        <w:rPr>
          <w:i/>
          <w:iCs/>
        </w:rPr>
        <w:t>Parkinsonism Relat Disord</w:t>
      </w:r>
      <w:r>
        <w:t xml:space="preserve">. </w:t>
      </w:r>
      <w:proofErr w:type="gramStart"/>
      <w:r>
        <w:t>2016;23:66</w:t>
      </w:r>
      <w:proofErr w:type="gramEnd"/>
      <w:r>
        <w:t xml:space="preserve">-71. </w:t>
      </w:r>
      <w:proofErr w:type="gramStart"/>
      <w:r>
        <w:t>doi:10.1016/j.parkreldis</w:t>
      </w:r>
      <w:proofErr w:type="gramEnd"/>
      <w:r>
        <w:t>.2015.12.012</w:t>
      </w:r>
    </w:p>
    <w:p w14:paraId="28E68ACD" w14:textId="77777777" w:rsidR="00EE7B65" w:rsidRDefault="00EE7B65" w:rsidP="00EE7B65">
      <w:pPr>
        <w:pStyle w:val="Bibliography"/>
      </w:pPr>
      <w:r>
        <w:t>101.</w:t>
      </w:r>
      <w:r>
        <w:tab/>
        <w:t xml:space="preserve">Levi V, Franzini A, Rinaldo S, et al. Globus pallidus internus activity during simultaneous bilateral microelectrode recordings in status dystonicus. </w:t>
      </w:r>
      <w:r>
        <w:rPr>
          <w:i/>
          <w:iCs/>
        </w:rPr>
        <w:t>Acta Neurochir (Wien)</w:t>
      </w:r>
      <w:r>
        <w:t>. 2021;163(1):211-217. doi:10.1007/s00701-020-04618-w</w:t>
      </w:r>
    </w:p>
    <w:p w14:paraId="2F67ACBF" w14:textId="77777777" w:rsidR="00EE7B65" w:rsidRDefault="00EE7B65" w:rsidP="00EE7B65">
      <w:pPr>
        <w:pStyle w:val="Bibliography"/>
      </w:pPr>
      <w:r>
        <w:t>102.</w:t>
      </w:r>
      <w:r>
        <w:tab/>
        <w:t xml:space="preserve">Gold C, Henze DA, Koch C, Buzsáki G. On the Origin of the Extracellular Action Potential Waveform: A Modeling Study. </w:t>
      </w:r>
      <w:r>
        <w:rPr>
          <w:i/>
          <w:iCs/>
        </w:rPr>
        <w:t>J Neurophysiol</w:t>
      </w:r>
      <w:r>
        <w:t>. 2006;95(5):3113-3128. doi:10.1152/jn.00979.2005</w:t>
      </w:r>
    </w:p>
    <w:p w14:paraId="375ADFCC" w14:textId="77777777" w:rsidR="00EE7B65" w:rsidRDefault="00EE7B65" w:rsidP="00EE7B65">
      <w:pPr>
        <w:pStyle w:val="Bibliography"/>
      </w:pPr>
      <w:r>
        <w:t>103.</w:t>
      </w:r>
      <w:r>
        <w:tab/>
        <w:t xml:space="preserve">Quiroga RQ, Nadasdy Z, Ben-Shaul Y. Unsupervised Spike Detection and Sorting with Wavelets and Superparamagnetic Clustering. </w:t>
      </w:r>
      <w:r>
        <w:rPr>
          <w:i/>
          <w:iCs/>
        </w:rPr>
        <w:t>Neural Comput</w:t>
      </w:r>
      <w:r>
        <w:t>. 2004;16(8):1661-1687. doi:10.1162/089976604774201631</w:t>
      </w:r>
    </w:p>
    <w:p w14:paraId="344868BB" w14:textId="77777777" w:rsidR="00EE7B65" w:rsidRDefault="00EE7B65" w:rsidP="00EE7B65">
      <w:pPr>
        <w:pStyle w:val="Bibliography"/>
      </w:pPr>
      <w:r>
        <w:lastRenderedPageBreak/>
        <w:t>104.</w:t>
      </w:r>
      <w:r>
        <w:tab/>
        <w:t xml:space="preserve">Moran A, Bar-Gad I. Revealing neuronal functional organization through the relation between multi-scale oscillatory extracellular signals. </w:t>
      </w:r>
      <w:r>
        <w:rPr>
          <w:i/>
          <w:iCs/>
        </w:rPr>
        <w:t>J Neurosci Methods</w:t>
      </w:r>
      <w:r>
        <w:t xml:space="preserve">. 2010;186(1):116-129. </w:t>
      </w:r>
      <w:proofErr w:type="gramStart"/>
      <w:r>
        <w:t>doi:10.1016/j.jneumeth</w:t>
      </w:r>
      <w:proofErr w:type="gramEnd"/>
      <w:r>
        <w:t>.2009.10.024</w:t>
      </w:r>
    </w:p>
    <w:p w14:paraId="58E69CAF" w14:textId="77777777" w:rsidR="00EE7B65" w:rsidRDefault="00EE7B65" w:rsidP="00EE7B65">
      <w:pPr>
        <w:pStyle w:val="Bibliography"/>
      </w:pPr>
      <w:r>
        <w:t>105.</w:t>
      </w:r>
      <w:r>
        <w:tab/>
        <w:t xml:space="preserve">Abeles M. </w:t>
      </w:r>
      <w:r>
        <w:rPr>
          <w:i/>
          <w:iCs/>
        </w:rPr>
        <w:t>Corticonics: Neural Circuits of the Cerebral Cortex</w:t>
      </w:r>
      <w:r>
        <w:t>. 1st ed. Cambridge University Press; 1991. doi:10.1017/CBO9780511574566</w:t>
      </w:r>
    </w:p>
    <w:p w14:paraId="2215BBBE" w14:textId="77777777" w:rsidR="00EE7B65" w:rsidRDefault="00EE7B65" w:rsidP="00EE7B65">
      <w:pPr>
        <w:pStyle w:val="Bibliography"/>
      </w:pPr>
      <w:r>
        <w:t>106.</w:t>
      </w:r>
      <w:r>
        <w:tab/>
        <w:t xml:space="preserve">Giorni A, Windels F, Stratton PG, et al. Single-unit activity of the anterior Globus pallidus internus in Tourette patients and posterior Globus pallidus internus in dystonic patients. </w:t>
      </w:r>
      <w:r>
        <w:rPr>
          <w:i/>
          <w:iCs/>
        </w:rPr>
        <w:t>Clin Neurophysiol</w:t>
      </w:r>
      <w:r>
        <w:t xml:space="preserve">. 2017;128(12):2510-2518. </w:t>
      </w:r>
      <w:proofErr w:type="gramStart"/>
      <w:r>
        <w:t>doi:10.1016/j.clinph</w:t>
      </w:r>
      <w:proofErr w:type="gramEnd"/>
      <w:r>
        <w:t>.2017.10.003</w:t>
      </w:r>
    </w:p>
    <w:p w14:paraId="36D03D84" w14:textId="77777777" w:rsidR="00EE7B65" w:rsidRDefault="00EE7B65" w:rsidP="00EE7B65">
      <w:pPr>
        <w:pStyle w:val="Bibliography"/>
      </w:pPr>
      <w:r>
        <w:t>107.</w:t>
      </w:r>
      <w:r>
        <w:tab/>
        <w:t xml:space="preserve">Ahmadi N, Constandinou TG, Bouganis CS. </w:t>
      </w:r>
      <w:r>
        <w:rPr>
          <w:i/>
          <w:iCs/>
        </w:rPr>
        <w:t>Estimation of Neuronal Firing Rate Using Bayesian Adaptive Kernel Smoother (BAKS)</w:t>
      </w:r>
      <w:r>
        <w:t>. Neuroscience; 2017. doi:10.1101/204818</w:t>
      </w:r>
    </w:p>
    <w:p w14:paraId="6DD4D475" w14:textId="77777777" w:rsidR="00EE7B65" w:rsidRDefault="00EE7B65" w:rsidP="00EE7B65">
      <w:pPr>
        <w:pStyle w:val="Bibliography"/>
      </w:pPr>
      <w:r>
        <w:t>108.</w:t>
      </w:r>
      <w:r>
        <w:tab/>
        <w:t xml:space="preserve">Vissani M, Cordella R, Micera S, Eleopra R, Romito LM, Mazzoni A. Spatio-temporal structure of single neuron subthalamic activity identifies DBS target for anesthetized Tourette syndrome patients. </w:t>
      </w:r>
      <w:r>
        <w:rPr>
          <w:i/>
          <w:iCs/>
        </w:rPr>
        <w:t>J Neural Eng</w:t>
      </w:r>
      <w:r>
        <w:t>. 2019;16(6):066011. doi:10.1088/1741-2552/ab37b4</w:t>
      </w:r>
    </w:p>
    <w:p w14:paraId="18E76EBD" w14:textId="77777777" w:rsidR="00EE7B65" w:rsidRDefault="00EE7B65" w:rsidP="00EE7B65">
      <w:pPr>
        <w:pStyle w:val="Bibliography"/>
      </w:pPr>
      <w:r>
        <w:t>109.</w:t>
      </w:r>
      <w:r>
        <w:tab/>
        <w:t xml:space="preserve">Lengler J, Steger A. Note on the coefficient of variations of neuronal spike trains. </w:t>
      </w:r>
      <w:r>
        <w:rPr>
          <w:i/>
          <w:iCs/>
        </w:rPr>
        <w:t>Biol Cybern</w:t>
      </w:r>
      <w:r>
        <w:t>. 2017;111(3-4):229-235. doi:10.1007/s00422-017-0717-y</w:t>
      </w:r>
    </w:p>
    <w:p w14:paraId="0190013C" w14:textId="77777777" w:rsidR="00EE7B65" w:rsidRDefault="00EE7B65" w:rsidP="00EE7B65">
      <w:pPr>
        <w:pStyle w:val="Bibliography"/>
      </w:pPr>
      <w:r>
        <w:t>110.</w:t>
      </w:r>
      <w:r>
        <w:tab/>
        <w:t xml:space="preserve">Shinomoto S, Shima K, Tanji J. Differences in Spiking Patterns Among Cortical Neurons. </w:t>
      </w:r>
      <w:r>
        <w:rPr>
          <w:i/>
          <w:iCs/>
        </w:rPr>
        <w:t>Neural Comput</w:t>
      </w:r>
      <w:r>
        <w:t>. 2003;15(12):2823-2842. doi:10.1162/089976603322518759</w:t>
      </w:r>
    </w:p>
    <w:p w14:paraId="0C8C1399" w14:textId="77777777" w:rsidR="00EE7B65" w:rsidRDefault="00EE7B65" w:rsidP="00EE7B65">
      <w:pPr>
        <w:pStyle w:val="Bibliography"/>
      </w:pPr>
      <w:r>
        <w:t>111.</w:t>
      </w:r>
      <w:r>
        <w:tab/>
        <w:t xml:space="preserve">Chacron MJ, Lindner B, Longtin A. ISI CORRELATIONS AND INFORMATION TRANSFER. </w:t>
      </w:r>
      <w:r>
        <w:rPr>
          <w:i/>
          <w:iCs/>
        </w:rPr>
        <w:t>Fluct Noise Lett</w:t>
      </w:r>
      <w:r>
        <w:t>. 2004;04(01</w:t>
      </w:r>
      <w:proofErr w:type="gramStart"/>
      <w:r>
        <w:t>):L</w:t>
      </w:r>
      <w:proofErr w:type="gramEnd"/>
      <w:r>
        <w:t>195-L205. doi:10.1142/S0219477504001793</w:t>
      </w:r>
    </w:p>
    <w:p w14:paraId="74D87BEB" w14:textId="77777777" w:rsidR="00EE7B65" w:rsidRDefault="00EE7B65" w:rsidP="00EE7B65">
      <w:pPr>
        <w:pStyle w:val="Bibliography"/>
      </w:pPr>
      <w:r>
        <w:t>112.</w:t>
      </w:r>
      <w:r>
        <w:tab/>
        <w:t xml:space="preserve">Gourévitch B, Eggermont JJ. A nonparametric approach for detection of bursts in spike trains. </w:t>
      </w:r>
      <w:r>
        <w:rPr>
          <w:i/>
          <w:iCs/>
        </w:rPr>
        <w:t>J Neurosci Methods</w:t>
      </w:r>
      <w:r>
        <w:t xml:space="preserve">. 2007;160(2):349-358. </w:t>
      </w:r>
      <w:proofErr w:type="gramStart"/>
      <w:r>
        <w:t>doi:10.1016/j.jneumeth</w:t>
      </w:r>
      <w:proofErr w:type="gramEnd"/>
      <w:r>
        <w:t>.2006.09.024</w:t>
      </w:r>
    </w:p>
    <w:p w14:paraId="3016D993" w14:textId="77777777" w:rsidR="00EE7B65" w:rsidRDefault="00EE7B65" w:rsidP="00EE7B65">
      <w:pPr>
        <w:pStyle w:val="Bibliography"/>
      </w:pPr>
      <w:r>
        <w:t>113.</w:t>
      </w:r>
      <w:r>
        <w:tab/>
        <w:t xml:space="preserve">Herrmann CS, Murray MM, Ionta S, Hutt A, Lefebvre J. Shaping Intrinsic Neural Oscillations with Periodic Stimulation. </w:t>
      </w:r>
      <w:r>
        <w:rPr>
          <w:i/>
          <w:iCs/>
        </w:rPr>
        <w:t>J Neurosci</w:t>
      </w:r>
      <w:r>
        <w:t>. 2016;36(19):5328-5337. doi:10.1523/JNEUROSCI.0236-16.2016</w:t>
      </w:r>
    </w:p>
    <w:p w14:paraId="77A5AD8C" w14:textId="77777777" w:rsidR="00EE7B65" w:rsidRDefault="00EE7B65" w:rsidP="00EE7B65">
      <w:pPr>
        <w:pStyle w:val="Bibliography"/>
      </w:pPr>
      <w:r>
        <w:t>114.</w:t>
      </w:r>
      <w:r>
        <w:tab/>
        <w:t xml:space="preserve">Brown P, Oliviero A, Mazzone P, Insola A, Tonali P, Di Lazzaro V. Dopamine Dependency of Oscillations between Subthalamic Nucleus and Pallidum in Parkinson’s Disease. </w:t>
      </w:r>
      <w:r>
        <w:rPr>
          <w:i/>
          <w:iCs/>
        </w:rPr>
        <w:t>J Neurosci</w:t>
      </w:r>
      <w:r>
        <w:t>. 2001;21(3):1033-1038. doi:10.1523/JNEUROSCI.21-03-01033.2001</w:t>
      </w:r>
    </w:p>
    <w:p w14:paraId="29FFC933" w14:textId="77777777" w:rsidR="00EE7B65" w:rsidRDefault="00EE7B65" w:rsidP="00EE7B65">
      <w:pPr>
        <w:pStyle w:val="Bibliography"/>
      </w:pPr>
      <w:r>
        <w:t>115.</w:t>
      </w:r>
      <w:r>
        <w:tab/>
        <w:t xml:space="preserve">Mureşan RC, Jurjuţ OF, Moca VV, Singer W, Nikolić D. The Oscillation Score: An Efficient Method for Estimating Oscillation Strength in Neuronal Activity. </w:t>
      </w:r>
      <w:r>
        <w:rPr>
          <w:i/>
          <w:iCs/>
        </w:rPr>
        <w:t>J Neurophysiol</w:t>
      </w:r>
      <w:r>
        <w:t>. 2008;99(3):1333-1353. doi:10.1152/jn.00772.2007</w:t>
      </w:r>
    </w:p>
    <w:p w14:paraId="54D66E63" w14:textId="77777777" w:rsidR="00EE7B65" w:rsidRDefault="00EE7B65" w:rsidP="00EE7B65">
      <w:pPr>
        <w:pStyle w:val="Bibliography"/>
      </w:pPr>
      <w:r>
        <w:t>116.</w:t>
      </w:r>
      <w:r>
        <w:tab/>
        <w:t xml:space="preserve">Sani S, Ostrem JL, Shimamoto S, Levesque N, Starr PA. Single unit “pauser” characteristics of the globus pallidus pars externa distinguish primary dystonia from secondary dystonia and Parkinson’s disease. </w:t>
      </w:r>
      <w:r>
        <w:rPr>
          <w:i/>
          <w:iCs/>
        </w:rPr>
        <w:t>Exp Neurol</w:t>
      </w:r>
      <w:r>
        <w:t xml:space="preserve">. 2009;216(2):295-299. </w:t>
      </w:r>
      <w:proofErr w:type="gramStart"/>
      <w:r>
        <w:t>doi:10.1016/j.expneurol</w:t>
      </w:r>
      <w:proofErr w:type="gramEnd"/>
      <w:r>
        <w:t>.2008.12.006</w:t>
      </w:r>
    </w:p>
    <w:p w14:paraId="4155A308" w14:textId="77777777" w:rsidR="00EE7B65" w:rsidRPr="003C106F" w:rsidRDefault="00EE7B65" w:rsidP="00EE7B65">
      <w:pPr>
        <w:pStyle w:val="Bibliography"/>
        <w:rPr>
          <w:lang w:val="it-IT"/>
        </w:rPr>
      </w:pPr>
      <w:r>
        <w:lastRenderedPageBreak/>
        <w:t>117.</w:t>
      </w:r>
      <w:r>
        <w:tab/>
        <w:t xml:space="preserve">Elias S, Joshua M, Goldberg JA, et al. Statistical properties of pauses of the high-frequency discharge neurons in the external segment of the globus pallidus. </w:t>
      </w:r>
      <w:r w:rsidRPr="003C106F">
        <w:rPr>
          <w:i/>
          <w:iCs/>
          <w:lang w:val="it-IT"/>
        </w:rPr>
        <w:t>J Neurosci Off J Soc Neurosci</w:t>
      </w:r>
      <w:r w:rsidRPr="003C106F">
        <w:rPr>
          <w:lang w:val="it-IT"/>
        </w:rPr>
        <w:t xml:space="preserve">. 2007;27(10):2525-2538. </w:t>
      </w:r>
      <w:proofErr w:type="gramStart"/>
      <w:r w:rsidRPr="003C106F">
        <w:rPr>
          <w:lang w:val="it-IT"/>
        </w:rPr>
        <w:t>doi:10.1523</w:t>
      </w:r>
      <w:proofErr w:type="gramEnd"/>
      <w:r w:rsidRPr="003C106F">
        <w:rPr>
          <w:lang w:val="it-IT"/>
        </w:rPr>
        <w:t>/JNEUROSCI.4156-06.2007</w:t>
      </w:r>
    </w:p>
    <w:p w14:paraId="0D5C464C" w14:textId="77777777" w:rsidR="00EE7B65" w:rsidRDefault="00EE7B65" w:rsidP="00EE7B65">
      <w:pPr>
        <w:pStyle w:val="Bibliography"/>
      </w:pPr>
      <w:r w:rsidRPr="003C106F">
        <w:rPr>
          <w:lang w:val="it-IT"/>
        </w:rPr>
        <w:t>118.</w:t>
      </w:r>
      <w:r w:rsidRPr="003C106F">
        <w:rPr>
          <w:lang w:val="it-IT"/>
        </w:rPr>
        <w:tab/>
        <w:t xml:space="preserve">Lettieri C, Rinaldo S, Devigili G, et al. </w:t>
      </w:r>
      <w:r>
        <w:t xml:space="preserve">Deep brain stimulation: Subthalamic nucleus electrophysiological activity in awake and anesthetized patients. </w:t>
      </w:r>
      <w:r>
        <w:rPr>
          <w:i/>
          <w:iCs/>
        </w:rPr>
        <w:t>Clin Neurophysiol</w:t>
      </w:r>
      <w:r>
        <w:t xml:space="preserve">. 2012;123(12):2406-2413. </w:t>
      </w:r>
      <w:proofErr w:type="gramStart"/>
      <w:r>
        <w:t>doi:10.1016/j.clinph</w:t>
      </w:r>
      <w:proofErr w:type="gramEnd"/>
      <w:r>
        <w:t>.2012.04.027</w:t>
      </w:r>
    </w:p>
    <w:p w14:paraId="280183AA" w14:textId="77777777" w:rsidR="00EE7B65" w:rsidRDefault="00EE7B65" w:rsidP="00EE7B65">
      <w:pPr>
        <w:pStyle w:val="Bibliography"/>
      </w:pPr>
      <w:r>
        <w:t>119.</w:t>
      </w:r>
      <w:r>
        <w:tab/>
        <w:t xml:space="preserve">Fritz CO, Morris PE, Richler JJ. Effect size estimates: Current use, calculations, and interpretation. </w:t>
      </w:r>
      <w:r>
        <w:rPr>
          <w:i/>
          <w:iCs/>
        </w:rPr>
        <w:t>J Exp Psychol Gen</w:t>
      </w:r>
      <w:r>
        <w:t>. 2012;141(1):2-18. doi:10.1037/a0024338</w:t>
      </w:r>
    </w:p>
    <w:p w14:paraId="5D24D11F" w14:textId="77777777" w:rsidR="00EE7B65" w:rsidRDefault="00EE7B65" w:rsidP="00EE7B65">
      <w:pPr>
        <w:pStyle w:val="Bibliography"/>
      </w:pPr>
      <w:r>
        <w:t>120.</w:t>
      </w:r>
      <w:r>
        <w:tab/>
        <w:t xml:space="preserve">Cohen J. </w:t>
      </w:r>
      <w:r>
        <w:rPr>
          <w:i/>
          <w:iCs/>
        </w:rPr>
        <w:t>Statistical Power Analysis for the Behavioral Sciences</w:t>
      </w:r>
      <w:r>
        <w:t>. 0 ed. Routledge; 2013. doi:10.4324/9780203771587</w:t>
      </w:r>
    </w:p>
    <w:p w14:paraId="3C10D607" w14:textId="48A6112D" w:rsidR="004D239A" w:rsidRPr="001F7708" w:rsidRDefault="006F2516" w:rsidP="00A24492">
      <w:pPr>
        <w:pStyle w:val="Bibliography"/>
        <w:rPr>
          <w:rFonts w:ascii="Aptos" w:hAnsi="Aptos"/>
          <w:sz w:val="20"/>
          <w:szCs w:val="20"/>
        </w:rPr>
      </w:pPr>
      <w:r w:rsidRPr="001F7708">
        <w:rPr>
          <w:rFonts w:ascii="Aptos" w:hAnsi="Aptos" w:cs="Times New Roman"/>
          <w:b/>
          <w:bCs/>
          <w:sz w:val="20"/>
          <w:szCs w:val="20"/>
        </w:rPr>
        <w:fldChar w:fldCharType="end"/>
      </w:r>
    </w:p>
    <w:p w14:paraId="6CEF9C70" w14:textId="77777777" w:rsidR="001E0E77" w:rsidRPr="005500F7" w:rsidRDefault="006F2516" w:rsidP="001C7EF6">
      <w:pPr>
        <w:pStyle w:val="reference"/>
        <w:rPr>
          <w:rFonts w:ascii="Aptos" w:hAnsi="Aptos"/>
          <w:sz w:val="20"/>
          <w:szCs w:val="20"/>
        </w:rPr>
      </w:pPr>
      <w:r w:rsidRPr="005500F7">
        <w:rPr>
          <w:rFonts w:ascii="Aptos" w:hAnsi="Aptos"/>
          <w:i/>
          <w:iCs/>
          <w:sz w:val="20"/>
          <w:szCs w:val="20"/>
        </w:rPr>
        <w:br/>
      </w:r>
    </w:p>
    <w:sectPr w:rsidR="001E0E77" w:rsidRPr="005500F7" w:rsidSect="00F4465B">
      <w:headerReference w:type="default" r:id="rId16"/>
      <w:footerReference w:type="default" r:id="rId17"/>
      <w:pgSz w:w="11906" w:h="16838" w:code="9"/>
      <w:pgMar w:top="1417" w:right="1417" w:bottom="1417" w:left="141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19C1F" w14:textId="77777777" w:rsidR="00043A85" w:rsidRDefault="00043A85">
      <w:pPr>
        <w:spacing w:after="0" w:line="240" w:lineRule="auto"/>
      </w:pPr>
      <w:r>
        <w:separator/>
      </w:r>
    </w:p>
  </w:endnote>
  <w:endnote w:type="continuationSeparator" w:id="0">
    <w:p w14:paraId="2E5F0DC5" w14:textId="77777777" w:rsidR="00043A85" w:rsidRDefault="00043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Roboto Cn">
    <w:altName w:val="Arial"/>
    <w:charset w:val="A2"/>
    <w:family w:val="auto"/>
    <w:pitch w:val="variable"/>
    <w:sig w:usb0="E00002E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Roboto-Condensed">
    <w:altName w:val="Roboto"/>
    <w:panose1 w:val="00000000000000000000"/>
    <w:charset w:val="00"/>
    <w:family w:val="roman"/>
    <w:notTrueType/>
    <w:pitch w:val="default"/>
  </w:font>
  <w:font w:name="Roboto-CondensedItalic">
    <w:altName w:val="Roboto"/>
    <w:panose1 w:val="00000000000000000000"/>
    <w:charset w:val="00"/>
    <w:family w:val="roman"/>
    <w:notTrueType/>
    <w:pitch w:val="default"/>
  </w:font>
  <w:font w:name="Roboto-BoldCondensed">
    <w:altName w:val="Robot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A00000AF" w:usb1="40000048" w:usb2="00000000" w:usb3="00000000" w:csb0="0000011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378068"/>
      <w:docPartObj>
        <w:docPartGallery w:val="Page Numbers (Bottom of Page)"/>
        <w:docPartUnique/>
      </w:docPartObj>
    </w:sdtPr>
    <w:sdtEndPr>
      <w:rPr>
        <w:noProof/>
      </w:rPr>
    </w:sdtEndPr>
    <w:sdtContent>
      <w:p w14:paraId="43ACD7BB" w14:textId="77777777" w:rsidR="006F173E" w:rsidRPr="004764B7" w:rsidRDefault="006F2516">
        <w:pPr>
          <w:pStyle w:val="Footer"/>
          <w:jc w:val="right"/>
        </w:pPr>
        <w:r w:rsidRPr="004764B7">
          <w:rPr>
            <w:rFonts w:ascii="Roboto Cn" w:hAnsi="Roboto Cn"/>
          </w:rPr>
          <w:fldChar w:fldCharType="begin"/>
        </w:r>
        <w:r w:rsidRPr="004764B7">
          <w:rPr>
            <w:rFonts w:ascii="Roboto Cn" w:hAnsi="Roboto Cn"/>
          </w:rPr>
          <w:instrText xml:space="preserve"> PAGE   \* MERGEFORMAT </w:instrText>
        </w:r>
        <w:r w:rsidRPr="004764B7">
          <w:rPr>
            <w:rFonts w:ascii="Roboto Cn" w:hAnsi="Roboto Cn"/>
          </w:rPr>
          <w:fldChar w:fldCharType="separate"/>
        </w:r>
        <w:r w:rsidR="000F0251">
          <w:rPr>
            <w:rFonts w:ascii="Roboto Cn" w:hAnsi="Roboto Cn"/>
            <w:noProof/>
          </w:rPr>
          <w:t>1</w:t>
        </w:r>
        <w:r w:rsidRPr="004764B7">
          <w:rPr>
            <w:rFonts w:ascii="Roboto Cn" w:hAnsi="Roboto Cn"/>
            <w:noProof/>
          </w:rPr>
          <w:fldChar w:fldCharType="end"/>
        </w:r>
      </w:p>
    </w:sdtContent>
  </w:sdt>
  <w:p w14:paraId="58DCF022" w14:textId="77777777" w:rsidR="006F173E" w:rsidRPr="004764B7" w:rsidRDefault="006F173E">
    <w:pPr>
      <w:pStyle w:val="Footer"/>
    </w:pPr>
  </w:p>
  <w:p w14:paraId="2EF521F8" w14:textId="77777777" w:rsidR="003C0015" w:rsidRDefault="003C0015"/>
  <w:p w14:paraId="0D24E3DD" w14:textId="77777777" w:rsidR="005D69AB" w:rsidRDefault="005D69AB"/>
  <w:p w14:paraId="5B4654AC" w14:textId="77777777" w:rsidR="005D69AB" w:rsidRDefault="005D69AB" w:rsidP="004012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85150" w14:textId="77777777" w:rsidR="00043A85" w:rsidRDefault="00043A85">
      <w:pPr>
        <w:spacing w:after="0" w:line="240" w:lineRule="auto"/>
      </w:pPr>
      <w:r>
        <w:separator/>
      </w:r>
    </w:p>
  </w:footnote>
  <w:footnote w:type="continuationSeparator" w:id="0">
    <w:p w14:paraId="482C6202" w14:textId="77777777" w:rsidR="00043A85" w:rsidRDefault="00043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97483" w14:textId="77777777" w:rsidR="00457AE1" w:rsidRPr="00895F5C" w:rsidRDefault="006F2516" w:rsidP="00457AE1">
    <w:pPr>
      <w:pStyle w:val="NoSpacing"/>
      <w:ind w:firstLine="0"/>
      <w:rPr>
        <w:rFonts w:ascii="Gill Sans MT" w:hAnsi="Gill Sans MT"/>
        <w:b/>
        <w:bCs/>
      </w:rPr>
    </w:pPr>
    <w:r w:rsidRPr="00895F5C">
      <w:rPr>
        <w:rFonts w:ascii="Gill Sans MT" w:hAnsi="Gill Sans MT"/>
        <w:b/>
        <w:bCs/>
      </w:rPr>
      <w:t>Supplementary Methods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F02CA"/>
    <w:multiLevelType w:val="hybridMultilevel"/>
    <w:tmpl w:val="62E41C12"/>
    <w:lvl w:ilvl="0" w:tplc="F45C2664">
      <w:start w:val="1"/>
      <w:numFmt w:val="bullet"/>
      <w:lvlText w:val=""/>
      <w:lvlJc w:val="left"/>
      <w:pPr>
        <w:ind w:left="502" w:hanging="360"/>
      </w:pPr>
      <w:rPr>
        <w:rFonts w:ascii="Symbol" w:hAnsi="Symbol" w:hint="default"/>
      </w:rPr>
    </w:lvl>
    <w:lvl w:ilvl="1" w:tplc="2B14F194" w:tentative="1">
      <w:start w:val="1"/>
      <w:numFmt w:val="bullet"/>
      <w:lvlText w:val="o"/>
      <w:lvlJc w:val="left"/>
      <w:pPr>
        <w:ind w:left="1222" w:hanging="360"/>
      </w:pPr>
      <w:rPr>
        <w:rFonts w:ascii="Courier New" w:hAnsi="Courier New" w:cs="Courier New" w:hint="default"/>
      </w:rPr>
    </w:lvl>
    <w:lvl w:ilvl="2" w:tplc="76E81016" w:tentative="1">
      <w:start w:val="1"/>
      <w:numFmt w:val="bullet"/>
      <w:lvlText w:val=""/>
      <w:lvlJc w:val="left"/>
      <w:pPr>
        <w:ind w:left="1942" w:hanging="360"/>
      </w:pPr>
      <w:rPr>
        <w:rFonts w:ascii="Wingdings" w:hAnsi="Wingdings" w:hint="default"/>
      </w:rPr>
    </w:lvl>
    <w:lvl w:ilvl="3" w:tplc="62142818" w:tentative="1">
      <w:start w:val="1"/>
      <w:numFmt w:val="bullet"/>
      <w:lvlText w:val=""/>
      <w:lvlJc w:val="left"/>
      <w:pPr>
        <w:ind w:left="2662" w:hanging="360"/>
      </w:pPr>
      <w:rPr>
        <w:rFonts w:ascii="Symbol" w:hAnsi="Symbol" w:hint="default"/>
      </w:rPr>
    </w:lvl>
    <w:lvl w:ilvl="4" w:tplc="AB9E7B70" w:tentative="1">
      <w:start w:val="1"/>
      <w:numFmt w:val="bullet"/>
      <w:lvlText w:val="o"/>
      <w:lvlJc w:val="left"/>
      <w:pPr>
        <w:ind w:left="3382" w:hanging="360"/>
      </w:pPr>
      <w:rPr>
        <w:rFonts w:ascii="Courier New" w:hAnsi="Courier New" w:cs="Courier New" w:hint="default"/>
      </w:rPr>
    </w:lvl>
    <w:lvl w:ilvl="5" w:tplc="D910BC3C" w:tentative="1">
      <w:start w:val="1"/>
      <w:numFmt w:val="bullet"/>
      <w:lvlText w:val=""/>
      <w:lvlJc w:val="left"/>
      <w:pPr>
        <w:ind w:left="4102" w:hanging="360"/>
      </w:pPr>
      <w:rPr>
        <w:rFonts w:ascii="Wingdings" w:hAnsi="Wingdings" w:hint="default"/>
      </w:rPr>
    </w:lvl>
    <w:lvl w:ilvl="6" w:tplc="CD06E662" w:tentative="1">
      <w:start w:val="1"/>
      <w:numFmt w:val="bullet"/>
      <w:lvlText w:val=""/>
      <w:lvlJc w:val="left"/>
      <w:pPr>
        <w:ind w:left="4822" w:hanging="360"/>
      </w:pPr>
      <w:rPr>
        <w:rFonts w:ascii="Symbol" w:hAnsi="Symbol" w:hint="default"/>
      </w:rPr>
    </w:lvl>
    <w:lvl w:ilvl="7" w:tplc="FAEA96D4" w:tentative="1">
      <w:start w:val="1"/>
      <w:numFmt w:val="bullet"/>
      <w:lvlText w:val="o"/>
      <w:lvlJc w:val="left"/>
      <w:pPr>
        <w:ind w:left="5542" w:hanging="360"/>
      </w:pPr>
      <w:rPr>
        <w:rFonts w:ascii="Courier New" w:hAnsi="Courier New" w:cs="Courier New" w:hint="default"/>
      </w:rPr>
    </w:lvl>
    <w:lvl w:ilvl="8" w:tplc="B16E428C" w:tentative="1">
      <w:start w:val="1"/>
      <w:numFmt w:val="bullet"/>
      <w:lvlText w:val=""/>
      <w:lvlJc w:val="left"/>
      <w:pPr>
        <w:ind w:left="6262" w:hanging="360"/>
      </w:pPr>
      <w:rPr>
        <w:rFonts w:ascii="Wingdings" w:hAnsi="Wingdings" w:hint="default"/>
      </w:rPr>
    </w:lvl>
  </w:abstractNum>
  <w:abstractNum w:abstractNumId="1" w15:restartNumberingAfterBreak="0">
    <w:nsid w:val="0EC53C26"/>
    <w:multiLevelType w:val="multilevel"/>
    <w:tmpl w:val="C1FC8B3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FF1"/>
    <w:multiLevelType w:val="hybridMultilevel"/>
    <w:tmpl w:val="164818DA"/>
    <w:lvl w:ilvl="0" w:tplc="208ACA5C">
      <w:start w:val="1"/>
      <w:numFmt w:val="bullet"/>
      <w:lvlText w:val=""/>
      <w:lvlJc w:val="left"/>
      <w:pPr>
        <w:ind w:left="767" w:hanging="360"/>
      </w:pPr>
      <w:rPr>
        <w:rFonts w:ascii="Symbol" w:hAnsi="Symbol" w:hint="default"/>
      </w:rPr>
    </w:lvl>
    <w:lvl w:ilvl="1" w:tplc="DCEA8D7C" w:tentative="1">
      <w:start w:val="1"/>
      <w:numFmt w:val="bullet"/>
      <w:lvlText w:val="o"/>
      <w:lvlJc w:val="left"/>
      <w:pPr>
        <w:ind w:left="1487" w:hanging="360"/>
      </w:pPr>
      <w:rPr>
        <w:rFonts w:ascii="Courier New" w:hAnsi="Courier New" w:cs="Courier New" w:hint="default"/>
      </w:rPr>
    </w:lvl>
    <w:lvl w:ilvl="2" w:tplc="60F4E6F0" w:tentative="1">
      <w:start w:val="1"/>
      <w:numFmt w:val="bullet"/>
      <w:lvlText w:val=""/>
      <w:lvlJc w:val="left"/>
      <w:pPr>
        <w:ind w:left="2207" w:hanging="360"/>
      </w:pPr>
      <w:rPr>
        <w:rFonts w:ascii="Wingdings" w:hAnsi="Wingdings" w:hint="default"/>
      </w:rPr>
    </w:lvl>
    <w:lvl w:ilvl="3" w:tplc="33C2F7CC" w:tentative="1">
      <w:start w:val="1"/>
      <w:numFmt w:val="bullet"/>
      <w:lvlText w:val=""/>
      <w:lvlJc w:val="left"/>
      <w:pPr>
        <w:ind w:left="2927" w:hanging="360"/>
      </w:pPr>
      <w:rPr>
        <w:rFonts w:ascii="Symbol" w:hAnsi="Symbol" w:hint="default"/>
      </w:rPr>
    </w:lvl>
    <w:lvl w:ilvl="4" w:tplc="D8689250" w:tentative="1">
      <w:start w:val="1"/>
      <w:numFmt w:val="bullet"/>
      <w:lvlText w:val="o"/>
      <w:lvlJc w:val="left"/>
      <w:pPr>
        <w:ind w:left="3647" w:hanging="360"/>
      </w:pPr>
      <w:rPr>
        <w:rFonts w:ascii="Courier New" w:hAnsi="Courier New" w:cs="Courier New" w:hint="default"/>
      </w:rPr>
    </w:lvl>
    <w:lvl w:ilvl="5" w:tplc="9CA4AB40" w:tentative="1">
      <w:start w:val="1"/>
      <w:numFmt w:val="bullet"/>
      <w:lvlText w:val=""/>
      <w:lvlJc w:val="left"/>
      <w:pPr>
        <w:ind w:left="4367" w:hanging="360"/>
      </w:pPr>
      <w:rPr>
        <w:rFonts w:ascii="Wingdings" w:hAnsi="Wingdings" w:hint="default"/>
      </w:rPr>
    </w:lvl>
    <w:lvl w:ilvl="6" w:tplc="3A86760E" w:tentative="1">
      <w:start w:val="1"/>
      <w:numFmt w:val="bullet"/>
      <w:lvlText w:val=""/>
      <w:lvlJc w:val="left"/>
      <w:pPr>
        <w:ind w:left="5087" w:hanging="360"/>
      </w:pPr>
      <w:rPr>
        <w:rFonts w:ascii="Symbol" w:hAnsi="Symbol" w:hint="default"/>
      </w:rPr>
    </w:lvl>
    <w:lvl w:ilvl="7" w:tplc="5268C082" w:tentative="1">
      <w:start w:val="1"/>
      <w:numFmt w:val="bullet"/>
      <w:lvlText w:val="o"/>
      <w:lvlJc w:val="left"/>
      <w:pPr>
        <w:ind w:left="5807" w:hanging="360"/>
      </w:pPr>
      <w:rPr>
        <w:rFonts w:ascii="Courier New" w:hAnsi="Courier New" w:cs="Courier New" w:hint="default"/>
      </w:rPr>
    </w:lvl>
    <w:lvl w:ilvl="8" w:tplc="E5569E8E" w:tentative="1">
      <w:start w:val="1"/>
      <w:numFmt w:val="bullet"/>
      <w:lvlText w:val=""/>
      <w:lvlJc w:val="left"/>
      <w:pPr>
        <w:ind w:left="6527" w:hanging="360"/>
      </w:pPr>
      <w:rPr>
        <w:rFonts w:ascii="Wingdings" w:hAnsi="Wingdings" w:hint="default"/>
      </w:rPr>
    </w:lvl>
  </w:abstractNum>
  <w:abstractNum w:abstractNumId="3" w15:restartNumberingAfterBreak="0">
    <w:nsid w:val="26FC432E"/>
    <w:multiLevelType w:val="hybridMultilevel"/>
    <w:tmpl w:val="1C703F08"/>
    <w:lvl w:ilvl="0" w:tplc="5ADADC40">
      <w:start w:val="1"/>
      <w:numFmt w:val="bullet"/>
      <w:lvlText w:val=""/>
      <w:lvlJc w:val="left"/>
      <w:pPr>
        <w:ind w:left="720" w:hanging="360"/>
      </w:pPr>
      <w:rPr>
        <w:rFonts w:ascii="Symbol" w:hAnsi="Symbol" w:hint="default"/>
      </w:rPr>
    </w:lvl>
    <w:lvl w:ilvl="1" w:tplc="38C2DC38" w:tentative="1">
      <w:start w:val="1"/>
      <w:numFmt w:val="bullet"/>
      <w:lvlText w:val="o"/>
      <w:lvlJc w:val="left"/>
      <w:pPr>
        <w:ind w:left="1440" w:hanging="360"/>
      </w:pPr>
      <w:rPr>
        <w:rFonts w:ascii="Courier New" w:hAnsi="Courier New" w:cs="Courier New" w:hint="default"/>
      </w:rPr>
    </w:lvl>
    <w:lvl w:ilvl="2" w:tplc="E58E0CAA" w:tentative="1">
      <w:start w:val="1"/>
      <w:numFmt w:val="bullet"/>
      <w:lvlText w:val=""/>
      <w:lvlJc w:val="left"/>
      <w:pPr>
        <w:ind w:left="2160" w:hanging="360"/>
      </w:pPr>
      <w:rPr>
        <w:rFonts w:ascii="Wingdings" w:hAnsi="Wingdings" w:hint="default"/>
      </w:rPr>
    </w:lvl>
    <w:lvl w:ilvl="3" w:tplc="4DA2A6BA" w:tentative="1">
      <w:start w:val="1"/>
      <w:numFmt w:val="bullet"/>
      <w:lvlText w:val=""/>
      <w:lvlJc w:val="left"/>
      <w:pPr>
        <w:ind w:left="2880" w:hanging="360"/>
      </w:pPr>
      <w:rPr>
        <w:rFonts w:ascii="Symbol" w:hAnsi="Symbol" w:hint="default"/>
      </w:rPr>
    </w:lvl>
    <w:lvl w:ilvl="4" w:tplc="CC14C476" w:tentative="1">
      <w:start w:val="1"/>
      <w:numFmt w:val="bullet"/>
      <w:lvlText w:val="o"/>
      <w:lvlJc w:val="left"/>
      <w:pPr>
        <w:ind w:left="3600" w:hanging="360"/>
      </w:pPr>
      <w:rPr>
        <w:rFonts w:ascii="Courier New" w:hAnsi="Courier New" w:cs="Courier New" w:hint="default"/>
      </w:rPr>
    </w:lvl>
    <w:lvl w:ilvl="5" w:tplc="9196A384" w:tentative="1">
      <w:start w:val="1"/>
      <w:numFmt w:val="bullet"/>
      <w:lvlText w:val=""/>
      <w:lvlJc w:val="left"/>
      <w:pPr>
        <w:ind w:left="4320" w:hanging="360"/>
      </w:pPr>
      <w:rPr>
        <w:rFonts w:ascii="Wingdings" w:hAnsi="Wingdings" w:hint="default"/>
      </w:rPr>
    </w:lvl>
    <w:lvl w:ilvl="6" w:tplc="79F6311A" w:tentative="1">
      <w:start w:val="1"/>
      <w:numFmt w:val="bullet"/>
      <w:lvlText w:val=""/>
      <w:lvlJc w:val="left"/>
      <w:pPr>
        <w:ind w:left="5040" w:hanging="360"/>
      </w:pPr>
      <w:rPr>
        <w:rFonts w:ascii="Symbol" w:hAnsi="Symbol" w:hint="default"/>
      </w:rPr>
    </w:lvl>
    <w:lvl w:ilvl="7" w:tplc="1BF4B6B6" w:tentative="1">
      <w:start w:val="1"/>
      <w:numFmt w:val="bullet"/>
      <w:lvlText w:val="o"/>
      <w:lvlJc w:val="left"/>
      <w:pPr>
        <w:ind w:left="5760" w:hanging="360"/>
      </w:pPr>
      <w:rPr>
        <w:rFonts w:ascii="Courier New" w:hAnsi="Courier New" w:cs="Courier New" w:hint="default"/>
      </w:rPr>
    </w:lvl>
    <w:lvl w:ilvl="8" w:tplc="D946DE62" w:tentative="1">
      <w:start w:val="1"/>
      <w:numFmt w:val="bullet"/>
      <w:lvlText w:val=""/>
      <w:lvlJc w:val="left"/>
      <w:pPr>
        <w:ind w:left="6480" w:hanging="360"/>
      </w:pPr>
      <w:rPr>
        <w:rFonts w:ascii="Wingdings" w:hAnsi="Wingdings" w:hint="default"/>
      </w:rPr>
    </w:lvl>
  </w:abstractNum>
  <w:abstractNum w:abstractNumId="4" w15:restartNumberingAfterBreak="0">
    <w:nsid w:val="2B436D67"/>
    <w:multiLevelType w:val="multilevel"/>
    <w:tmpl w:val="8D6A98C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C3F00BF"/>
    <w:multiLevelType w:val="hybridMultilevel"/>
    <w:tmpl w:val="B11861A2"/>
    <w:lvl w:ilvl="0" w:tplc="31447E68">
      <w:start w:val="1"/>
      <w:numFmt w:val="bullet"/>
      <w:lvlText w:val=""/>
      <w:lvlJc w:val="left"/>
      <w:pPr>
        <w:ind w:left="720" w:hanging="360"/>
      </w:pPr>
      <w:rPr>
        <w:rFonts w:ascii="Symbol" w:hAnsi="Symbol" w:hint="default"/>
      </w:rPr>
    </w:lvl>
    <w:lvl w:ilvl="1" w:tplc="FC0620CA" w:tentative="1">
      <w:start w:val="1"/>
      <w:numFmt w:val="bullet"/>
      <w:lvlText w:val="o"/>
      <w:lvlJc w:val="left"/>
      <w:pPr>
        <w:ind w:left="1440" w:hanging="360"/>
      </w:pPr>
      <w:rPr>
        <w:rFonts w:ascii="Courier New" w:hAnsi="Courier New" w:cs="Courier New" w:hint="default"/>
      </w:rPr>
    </w:lvl>
    <w:lvl w:ilvl="2" w:tplc="441C5D3C" w:tentative="1">
      <w:start w:val="1"/>
      <w:numFmt w:val="bullet"/>
      <w:lvlText w:val=""/>
      <w:lvlJc w:val="left"/>
      <w:pPr>
        <w:ind w:left="2160" w:hanging="360"/>
      </w:pPr>
      <w:rPr>
        <w:rFonts w:ascii="Wingdings" w:hAnsi="Wingdings" w:hint="default"/>
      </w:rPr>
    </w:lvl>
    <w:lvl w:ilvl="3" w:tplc="2168DD3E" w:tentative="1">
      <w:start w:val="1"/>
      <w:numFmt w:val="bullet"/>
      <w:lvlText w:val=""/>
      <w:lvlJc w:val="left"/>
      <w:pPr>
        <w:ind w:left="2880" w:hanging="360"/>
      </w:pPr>
      <w:rPr>
        <w:rFonts w:ascii="Symbol" w:hAnsi="Symbol" w:hint="default"/>
      </w:rPr>
    </w:lvl>
    <w:lvl w:ilvl="4" w:tplc="55EA45E2" w:tentative="1">
      <w:start w:val="1"/>
      <w:numFmt w:val="bullet"/>
      <w:lvlText w:val="o"/>
      <w:lvlJc w:val="left"/>
      <w:pPr>
        <w:ind w:left="3600" w:hanging="360"/>
      </w:pPr>
      <w:rPr>
        <w:rFonts w:ascii="Courier New" w:hAnsi="Courier New" w:cs="Courier New" w:hint="default"/>
      </w:rPr>
    </w:lvl>
    <w:lvl w:ilvl="5" w:tplc="84BEFED4" w:tentative="1">
      <w:start w:val="1"/>
      <w:numFmt w:val="bullet"/>
      <w:lvlText w:val=""/>
      <w:lvlJc w:val="left"/>
      <w:pPr>
        <w:ind w:left="4320" w:hanging="360"/>
      </w:pPr>
      <w:rPr>
        <w:rFonts w:ascii="Wingdings" w:hAnsi="Wingdings" w:hint="default"/>
      </w:rPr>
    </w:lvl>
    <w:lvl w:ilvl="6" w:tplc="B282D474" w:tentative="1">
      <w:start w:val="1"/>
      <w:numFmt w:val="bullet"/>
      <w:lvlText w:val=""/>
      <w:lvlJc w:val="left"/>
      <w:pPr>
        <w:ind w:left="5040" w:hanging="360"/>
      </w:pPr>
      <w:rPr>
        <w:rFonts w:ascii="Symbol" w:hAnsi="Symbol" w:hint="default"/>
      </w:rPr>
    </w:lvl>
    <w:lvl w:ilvl="7" w:tplc="1C207320" w:tentative="1">
      <w:start w:val="1"/>
      <w:numFmt w:val="bullet"/>
      <w:lvlText w:val="o"/>
      <w:lvlJc w:val="left"/>
      <w:pPr>
        <w:ind w:left="5760" w:hanging="360"/>
      </w:pPr>
      <w:rPr>
        <w:rFonts w:ascii="Courier New" w:hAnsi="Courier New" w:cs="Courier New" w:hint="default"/>
      </w:rPr>
    </w:lvl>
    <w:lvl w:ilvl="8" w:tplc="0AA6FAA4" w:tentative="1">
      <w:start w:val="1"/>
      <w:numFmt w:val="bullet"/>
      <w:lvlText w:val=""/>
      <w:lvlJc w:val="left"/>
      <w:pPr>
        <w:ind w:left="6480" w:hanging="360"/>
      </w:pPr>
      <w:rPr>
        <w:rFonts w:ascii="Wingdings" w:hAnsi="Wingdings" w:hint="default"/>
      </w:rPr>
    </w:lvl>
  </w:abstractNum>
  <w:abstractNum w:abstractNumId="6" w15:restartNumberingAfterBreak="0">
    <w:nsid w:val="3D3F5A86"/>
    <w:multiLevelType w:val="hybridMultilevel"/>
    <w:tmpl w:val="33966C6A"/>
    <w:lvl w:ilvl="0" w:tplc="E4E49162">
      <w:start w:val="1"/>
      <w:numFmt w:val="bullet"/>
      <w:lvlText w:val=""/>
      <w:lvlJc w:val="left"/>
      <w:pPr>
        <w:ind w:left="720" w:hanging="360"/>
      </w:pPr>
      <w:rPr>
        <w:rFonts w:ascii="Symbol" w:hAnsi="Symbol" w:hint="default"/>
      </w:rPr>
    </w:lvl>
    <w:lvl w:ilvl="1" w:tplc="D096B6EA" w:tentative="1">
      <w:start w:val="1"/>
      <w:numFmt w:val="bullet"/>
      <w:lvlText w:val="o"/>
      <w:lvlJc w:val="left"/>
      <w:pPr>
        <w:ind w:left="1440" w:hanging="360"/>
      </w:pPr>
      <w:rPr>
        <w:rFonts w:ascii="Courier New" w:hAnsi="Courier New" w:cs="Courier New" w:hint="default"/>
      </w:rPr>
    </w:lvl>
    <w:lvl w:ilvl="2" w:tplc="DF404694" w:tentative="1">
      <w:start w:val="1"/>
      <w:numFmt w:val="bullet"/>
      <w:lvlText w:val=""/>
      <w:lvlJc w:val="left"/>
      <w:pPr>
        <w:ind w:left="2160" w:hanging="360"/>
      </w:pPr>
      <w:rPr>
        <w:rFonts w:ascii="Wingdings" w:hAnsi="Wingdings" w:hint="default"/>
      </w:rPr>
    </w:lvl>
    <w:lvl w:ilvl="3" w:tplc="0AD4C12A" w:tentative="1">
      <w:start w:val="1"/>
      <w:numFmt w:val="bullet"/>
      <w:lvlText w:val=""/>
      <w:lvlJc w:val="left"/>
      <w:pPr>
        <w:ind w:left="2880" w:hanging="360"/>
      </w:pPr>
      <w:rPr>
        <w:rFonts w:ascii="Symbol" w:hAnsi="Symbol" w:hint="default"/>
      </w:rPr>
    </w:lvl>
    <w:lvl w:ilvl="4" w:tplc="F072D3A6" w:tentative="1">
      <w:start w:val="1"/>
      <w:numFmt w:val="bullet"/>
      <w:lvlText w:val="o"/>
      <w:lvlJc w:val="left"/>
      <w:pPr>
        <w:ind w:left="3600" w:hanging="360"/>
      </w:pPr>
      <w:rPr>
        <w:rFonts w:ascii="Courier New" w:hAnsi="Courier New" w:cs="Courier New" w:hint="default"/>
      </w:rPr>
    </w:lvl>
    <w:lvl w:ilvl="5" w:tplc="FE6AB0DE" w:tentative="1">
      <w:start w:val="1"/>
      <w:numFmt w:val="bullet"/>
      <w:lvlText w:val=""/>
      <w:lvlJc w:val="left"/>
      <w:pPr>
        <w:ind w:left="4320" w:hanging="360"/>
      </w:pPr>
      <w:rPr>
        <w:rFonts w:ascii="Wingdings" w:hAnsi="Wingdings" w:hint="default"/>
      </w:rPr>
    </w:lvl>
    <w:lvl w:ilvl="6" w:tplc="A4B2BE20" w:tentative="1">
      <w:start w:val="1"/>
      <w:numFmt w:val="bullet"/>
      <w:lvlText w:val=""/>
      <w:lvlJc w:val="left"/>
      <w:pPr>
        <w:ind w:left="5040" w:hanging="360"/>
      </w:pPr>
      <w:rPr>
        <w:rFonts w:ascii="Symbol" w:hAnsi="Symbol" w:hint="default"/>
      </w:rPr>
    </w:lvl>
    <w:lvl w:ilvl="7" w:tplc="451E1B94" w:tentative="1">
      <w:start w:val="1"/>
      <w:numFmt w:val="bullet"/>
      <w:lvlText w:val="o"/>
      <w:lvlJc w:val="left"/>
      <w:pPr>
        <w:ind w:left="5760" w:hanging="360"/>
      </w:pPr>
      <w:rPr>
        <w:rFonts w:ascii="Courier New" w:hAnsi="Courier New" w:cs="Courier New" w:hint="default"/>
      </w:rPr>
    </w:lvl>
    <w:lvl w:ilvl="8" w:tplc="84AE914A" w:tentative="1">
      <w:start w:val="1"/>
      <w:numFmt w:val="bullet"/>
      <w:lvlText w:val=""/>
      <w:lvlJc w:val="left"/>
      <w:pPr>
        <w:ind w:left="6480" w:hanging="360"/>
      </w:pPr>
      <w:rPr>
        <w:rFonts w:ascii="Wingdings" w:hAnsi="Wingdings" w:hint="default"/>
      </w:rPr>
    </w:lvl>
  </w:abstractNum>
  <w:abstractNum w:abstractNumId="7" w15:restartNumberingAfterBreak="0">
    <w:nsid w:val="42DA7889"/>
    <w:multiLevelType w:val="hybridMultilevel"/>
    <w:tmpl w:val="E592B1CE"/>
    <w:lvl w:ilvl="0" w:tplc="4A2A8F5C">
      <w:start w:val="1"/>
      <w:numFmt w:val="bullet"/>
      <w:lvlText w:val=""/>
      <w:lvlJc w:val="left"/>
      <w:pPr>
        <w:ind w:left="720" w:hanging="360"/>
      </w:pPr>
      <w:rPr>
        <w:rFonts w:ascii="Symbol" w:hAnsi="Symbol" w:hint="default"/>
      </w:rPr>
    </w:lvl>
    <w:lvl w:ilvl="1" w:tplc="30F6ABF2" w:tentative="1">
      <w:start w:val="1"/>
      <w:numFmt w:val="bullet"/>
      <w:lvlText w:val="o"/>
      <w:lvlJc w:val="left"/>
      <w:pPr>
        <w:ind w:left="1440" w:hanging="360"/>
      </w:pPr>
      <w:rPr>
        <w:rFonts w:ascii="Courier New" w:hAnsi="Courier New" w:cs="Courier New" w:hint="default"/>
      </w:rPr>
    </w:lvl>
    <w:lvl w:ilvl="2" w:tplc="D63443AE" w:tentative="1">
      <w:start w:val="1"/>
      <w:numFmt w:val="bullet"/>
      <w:lvlText w:val=""/>
      <w:lvlJc w:val="left"/>
      <w:pPr>
        <w:ind w:left="2160" w:hanging="360"/>
      </w:pPr>
      <w:rPr>
        <w:rFonts w:ascii="Wingdings" w:hAnsi="Wingdings" w:hint="default"/>
      </w:rPr>
    </w:lvl>
    <w:lvl w:ilvl="3" w:tplc="D0D8652E" w:tentative="1">
      <w:start w:val="1"/>
      <w:numFmt w:val="bullet"/>
      <w:lvlText w:val=""/>
      <w:lvlJc w:val="left"/>
      <w:pPr>
        <w:ind w:left="2880" w:hanging="360"/>
      </w:pPr>
      <w:rPr>
        <w:rFonts w:ascii="Symbol" w:hAnsi="Symbol" w:hint="default"/>
      </w:rPr>
    </w:lvl>
    <w:lvl w:ilvl="4" w:tplc="076290A6" w:tentative="1">
      <w:start w:val="1"/>
      <w:numFmt w:val="bullet"/>
      <w:lvlText w:val="o"/>
      <w:lvlJc w:val="left"/>
      <w:pPr>
        <w:ind w:left="3600" w:hanging="360"/>
      </w:pPr>
      <w:rPr>
        <w:rFonts w:ascii="Courier New" w:hAnsi="Courier New" w:cs="Courier New" w:hint="default"/>
      </w:rPr>
    </w:lvl>
    <w:lvl w:ilvl="5" w:tplc="D418402C" w:tentative="1">
      <w:start w:val="1"/>
      <w:numFmt w:val="bullet"/>
      <w:lvlText w:val=""/>
      <w:lvlJc w:val="left"/>
      <w:pPr>
        <w:ind w:left="4320" w:hanging="360"/>
      </w:pPr>
      <w:rPr>
        <w:rFonts w:ascii="Wingdings" w:hAnsi="Wingdings" w:hint="default"/>
      </w:rPr>
    </w:lvl>
    <w:lvl w:ilvl="6" w:tplc="68829BA4" w:tentative="1">
      <w:start w:val="1"/>
      <w:numFmt w:val="bullet"/>
      <w:lvlText w:val=""/>
      <w:lvlJc w:val="left"/>
      <w:pPr>
        <w:ind w:left="5040" w:hanging="360"/>
      </w:pPr>
      <w:rPr>
        <w:rFonts w:ascii="Symbol" w:hAnsi="Symbol" w:hint="default"/>
      </w:rPr>
    </w:lvl>
    <w:lvl w:ilvl="7" w:tplc="5F58287E" w:tentative="1">
      <w:start w:val="1"/>
      <w:numFmt w:val="bullet"/>
      <w:lvlText w:val="o"/>
      <w:lvlJc w:val="left"/>
      <w:pPr>
        <w:ind w:left="5760" w:hanging="360"/>
      </w:pPr>
      <w:rPr>
        <w:rFonts w:ascii="Courier New" w:hAnsi="Courier New" w:cs="Courier New" w:hint="default"/>
      </w:rPr>
    </w:lvl>
    <w:lvl w:ilvl="8" w:tplc="F112D7EE" w:tentative="1">
      <w:start w:val="1"/>
      <w:numFmt w:val="bullet"/>
      <w:lvlText w:val=""/>
      <w:lvlJc w:val="left"/>
      <w:pPr>
        <w:ind w:left="6480" w:hanging="360"/>
      </w:pPr>
      <w:rPr>
        <w:rFonts w:ascii="Wingdings" w:hAnsi="Wingdings" w:hint="default"/>
      </w:rPr>
    </w:lvl>
  </w:abstractNum>
  <w:abstractNum w:abstractNumId="8" w15:restartNumberingAfterBreak="0">
    <w:nsid w:val="4F007293"/>
    <w:multiLevelType w:val="hybridMultilevel"/>
    <w:tmpl w:val="698EC874"/>
    <w:lvl w:ilvl="0" w:tplc="2482D73A">
      <w:start w:val="1"/>
      <w:numFmt w:val="bullet"/>
      <w:lvlText w:val=""/>
      <w:lvlJc w:val="left"/>
      <w:pPr>
        <w:ind w:left="1080" w:hanging="360"/>
      </w:pPr>
      <w:rPr>
        <w:rFonts w:ascii="Symbol" w:hAnsi="Symbol" w:hint="default"/>
      </w:rPr>
    </w:lvl>
    <w:lvl w:ilvl="1" w:tplc="7BA4BBCE" w:tentative="1">
      <w:start w:val="1"/>
      <w:numFmt w:val="bullet"/>
      <w:lvlText w:val="o"/>
      <w:lvlJc w:val="left"/>
      <w:pPr>
        <w:ind w:left="1800" w:hanging="360"/>
      </w:pPr>
      <w:rPr>
        <w:rFonts w:ascii="Courier New" w:hAnsi="Courier New" w:cs="Courier New" w:hint="default"/>
      </w:rPr>
    </w:lvl>
    <w:lvl w:ilvl="2" w:tplc="6032D088" w:tentative="1">
      <w:start w:val="1"/>
      <w:numFmt w:val="bullet"/>
      <w:lvlText w:val=""/>
      <w:lvlJc w:val="left"/>
      <w:pPr>
        <w:ind w:left="2520" w:hanging="360"/>
      </w:pPr>
      <w:rPr>
        <w:rFonts w:ascii="Wingdings" w:hAnsi="Wingdings" w:hint="default"/>
      </w:rPr>
    </w:lvl>
    <w:lvl w:ilvl="3" w:tplc="A282EC98" w:tentative="1">
      <w:start w:val="1"/>
      <w:numFmt w:val="bullet"/>
      <w:lvlText w:val=""/>
      <w:lvlJc w:val="left"/>
      <w:pPr>
        <w:ind w:left="3240" w:hanging="360"/>
      </w:pPr>
      <w:rPr>
        <w:rFonts w:ascii="Symbol" w:hAnsi="Symbol" w:hint="default"/>
      </w:rPr>
    </w:lvl>
    <w:lvl w:ilvl="4" w:tplc="3E00E16A" w:tentative="1">
      <w:start w:val="1"/>
      <w:numFmt w:val="bullet"/>
      <w:lvlText w:val="o"/>
      <w:lvlJc w:val="left"/>
      <w:pPr>
        <w:ind w:left="3960" w:hanging="360"/>
      </w:pPr>
      <w:rPr>
        <w:rFonts w:ascii="Courier New" w:hAnsi="Courier New" w:cs="Courier New" w:hint="default"/>
      </w:rPr>
    </w:lvl>
    <w:lvl w:ilvl="5" w:tplc="3AEAA44E" w:tentative="1">
      <w:start w:val="1"/>
      <w:numFmt w:val="bullet"/>
      <w:lvlText w:val=""/>
      <w:lvlJc w:val="left"/>
      <w:pPr>
        <w:ind w:left="4680" w:hanging="360"/>
      </w:pPr>
      <w:rPr>
        <w:rFonts w:ascii="Wingdings" w:hAnsi="Wingdings" w:hint="default"/>
      </w:rPr>
    </w:lvl>
    <w:lvl w:ilvl="6" w:tplc="F2880468" w:tentative="1">
      <w:start w:val="1"/>
      <w:numFmt w:val="bullet"/>
      <w:lvlText w:val=""/>
      <w:lvlJc w:val="left"/>
      <w:pPr>
        <w:ind w:left="5400" w:hanging="360"/>
      </w:pPr>
      <w:rPr>
        <w:rFonts w:ascii="Symbol" w:hAnsi="Symbol" w:hint="default"/>
      </w:rPr>
    </w:lvl>
    <w:lvl w:ilvl="7" w:tplc="7CBA905C" w:tentative="1">
      <w:start w:val="1"/>
      <w:numFmt w:val="bullet"/>
      <w:lvlText w:val="o"/>
      <w:lvlJc w:val="left"/>
      <w:pPr>
        <w:ind w:left="6120" w:hanging="360"/>
      </w:pPr>
      <w:rPr>
        <w:rFonts w:ascii="Courier New" w:hAnsi="Courier New" w:cs="Courier New" w:hint="default"/>
      </w:rPr>
    </w:lvl>
    <w:lvl w:ilvl="8" w:tplc="8E8867B4" w:tentative="1">
      <w:start w:val="1"/>
      <w:numFmt w:val="bullet"/>
      <w:lvlText w:val=""/>
      <w:lvlJc w:val="left"/>
      <w:pPr>
        <w:ind w:left="6840" w:hanging="360"/>
      </w:pPr>
      <w:rPr>
        <w:rFonts w:ascii="Wingdings" w:hAnsi="Wingdings" w:hint="default"/>
      </w:rPr>
    </w:lvl>
  </w:abstractNum>
  <w:abstractNum w:abstractNumId="9" w15:restartNumberingAfterBreak="0">
    <w:nsid w:val="51631614"/>
    <w:multiLevelType w:val="hybridMultilevel"/>
    <w:tmpl w:val="6BAE48E6"/>
    <w:lvl w:ilvl="0" w:tplc="058E5FF2">
      <w:start w:val="1"/>
      <w:numFmt w:val="lowerLetter"/>
      <w:lvlText w:val="%1."/>
      <w:lvlJc w:val="left"/>
      <w:pPr>
        <w:ind w:left="720" w:hanging="360"/>
      </w:pPr>
    </w:lvl>
    <w:lvl w:ilvl="1" w:tplc="36F6DE64" w:tentative="1">
      <w:start w:val="1"/>
      <w:numFmt w:val="lowerLetter"/>
      <w:lvlText w:val="%2."/>
      <w:lvlJc w:val="left"/>
      <w:pPr>
        <w:ind w:left="1440" w:hanging="360"/>
      </w:pPr>
    </w:lvl>
    <w:lvl w:ilvl="2" w:tplc="53EE4012" w:tentative="1">
      <w:start w:val="1"/>
      <w:numFmt w:val="lowerRoman"/>
      <w:lvlText w:val="%3."/>
      <w:lvlJc w:val="right"/>
      <w:pPr>
        <w:ind w:left="2160" w:hanging="180"/>
      </w:pPr>
    </w:lvl>
    <w:lvl w:ilvl="3" w:tplc="4044F03C" w:tentative="1">
      <w:start w:val="1"/>
      <w:numFmt w:val="decimal"/>
      <w:lvlText w:val="%4."/>
      <w:lvlJc w:val="left"/>
      <w:pPr>
        <w:ind w:left="2880" w:hanging="360"/>
      </w:pPr>
    </w:lvl>
    <w:lvl w:ilvl="4" w:tplc="BE1E3DAC" w:tentative="1">
      <w:start w:val="1"/>
      <w:numFmt w:val="lowerLetter"/>
      <w:lvlText w:val="%5."/>
      <w:lvlJc w:val="left"/>
      <w:pPr>
        <w:ind w:left="3600" w:hanging="360"/>
      </w:pPr>
    </w:lvl>
    <w:lvl w:ilvl="5" w:tplc="391A046C" w:tentative="1">
      <w:start w:val="1"/>
      <w:numFmt w:val="lowerRoman"/>
      <w:lvlText w:val="%6."/>
      <w:lvlJc w:val="right"/>
      <w:pPr>
        <w:ind w:left="4320" w:hanging="180"/>
      </w:pPr>
    </w:lvl>
    <w:lvl w:ilvl="6" w:tplc="DBFCE444" w:tentative="1">
      <w:start w:val="1"/>
      <w:numFmt w:val="decimal"/>
      <w:lvlText w:val="%7."/>
      <w:lvlJc w:val="left"/>
      <w:pPr>
        <w:ind w:left="5040" w:hanging="360"/>
      </w:pPr>
    </w:lvl>
    <w:lvl w:ilvl="7" w:tplc="9FA4C166" w:tentative="1">
      <w:start w:val="1"/>
      <w:numFmt w:val="lowerLetter"/>
      <w:lvlText w:val="%8."/>
      <w:lvlJc w:val="left"/>
      <w:pPr>
        <w:ind w:left="5760" w:hanging="360"/>
      </w:pPr>
    </w:lvl>
    <w:lvl w:ilvl="8" w:tplc="FC7A64EA" w:tentative="1">
      <w:start w:val="1"/>
      <w:numFmt w:val="lowerRoman"/>
      <w:lvlText w:val="%9."/>
      <w:lvlJc w:val="right"/>
      <w:pPr>
        <w:ind w:left="6480" w:hanging="180"/>
      </w:pPr>
    </w:lvl>
  </w:abstractNum>
  <w:abstractNum w:abstractNumId="10" w15:restartNumberingAfterBreak="0">
    <w:nsid w:val="53437598"/>
    <w:multiLevelType w:val="hybridMultilevel"/>
    <w:tmpl w:val="0F0ED9CE"/>
    <w:lvl w:ilvl="0" w:tplc="CE983C70">
      <w:start w:val="1"/>
      <w:numFmt w:val="bullet"/>
      <w:lvlText w:val=""/>
      <w:lvlJc w:val="left"/>
      <w:pPr>
        <w:ind w:left="767" w:hanging="360"/>
      </w:pPr>
      <w:rPr>
        <w:rFonts w:ascii="Symbol" w:hAnsi="Symbol" w:hint="default"/>
      </w:rPr>
    </w:lvl>
    <w:lvl w:ilvl="1" w:tplc="05FCD552" w:tentative="1">
      <w:start w:val="1"/>
      <w:numFmt w:val="bullet"/>
      <w:lvlText w:val="o"/>
      <w:lvlJc w:val="left"/>
      <w:pPr>
        <w:ind w:left="1487" w:hanging="360"/>
      </w:pPr>
      <w:rPr>
        <w:rFonts w:ascii="Courier New" w:hAnsi="Courier New" w:cs="Courier New" w:hint="default"/>
      </w:rPr>
    </w:lvl>
    <w:lvl w:ilvl="2" w:tplc="679E87D8" w:tentative="1">
      <w:start w:val="1"/>
      <w:numFmt w:val="bullet"/>
      <w:lvlText w:val=""/>
      <w:lvlJc w:val="left"/>
      <w:pPr>
        <w:ind w:left="2207" w:hanging="360"/>
      </w:pPr>
      <w:rPr>
        <w:rFonts w:ascii="Wingdings" w:hAnsi="Wingdings" w:hint="default"/>
      </w:rPr>
    </w:lvl>
    <w:lvl w:ilvl="3" w:tplc="CF66FD6E" w:tentative="1">
      <w:start w:val="1"/>
      <w:numFmt w:val="bullet"/>
      <w:lvlText w:val=""/>
      <w:lvlJc w:val="left"/>
      <w:pPr>
        <w:ind w:left="2927" w:hanging="360"/>
      </w:pPr>
      <w:rPr>
        <w:rFonts w:ascii="Symbol" w:hAnsi="Symbol" w:hint="default"/>
      </w:rPr>
    </w:lvl>
    <w:lvl w:ilvl="4" w:tplc="FB0A56F4" w:tentative="1">
      <w:start w:val="1"/>
      <w:numFmt w:val="bullet"/>
      <w:lvlText w:val="o"/>
      <w:lvlJc w:val="left"/>
      <w:pPr>
        <w:ind w:left="3647" w:hanging="360"/>
      </w:pPr>
      <w:rPr>
        <w:rFonts w:ascii="Courier New" w:hAnsi="Courier New" w:cs="Courier New" w:hint="default"/>
      </w:rPr>
    </w:lvl>
    <w:lvl w:ilvl="5" w:tplc="43626EC2" w:tentative="1">
      <w:start w:val="1"/>
      <w:numFmt w:val="bullet"/>
      <w:lvlText w:val=""/>
      <w:lvlJc w:val="left"/>
      <w:pPr>
        <w:ind w:left="4367" w:hanging="360"/>
      </w:pPr>
      <w:rPr>
        <w:rFonts w:ascii="Wingdings" w:hAnsi="Wingdings" w:hint="default"/>
      </w:rPr>
    </w:lvl>
    <w:lvl w:ilvl="6" w:tplc="61963A2E" w:tentative="1">
      <w:start w:val="1"/>
      <w:numFmt w:val="bullet"/>
      <w:lvlText w:val=""/>
      <w:lvlJc w:val="left"/>
      <w:pPr>
        <w:ind w:left="5087" w:hanging="360"/>
      </w:pPr>
      <w:rPr>
        <w:rFonts w:ascii="Symbol" w:hAnsi="Symbol" w:hint="default"/>
      </w:rPr>
    </w:lvl>
    <w:lvl w:ilvl="7" w:tplc="4FB690B2" w:tentative="1">
      <w:start w:val="1"/>
      <w:numFmt w:val="bullet"/>
      <w:lvlText w:val="o"/>
      <w:lvlJc w:val="left"/>
      <w:pPr>
        <w:ind w:left="5807" w:hanging="360"/>
      </w:pPr>
      <w:rPr>
        <w:rFonts w:ascii="Courier New" w:hAnsi="Courier New" w:cs="Courier New" w:hint="default"/>
      </w:rPr>
    </w:lvl>
    <w:lvl w:ilvl="8" w:tplc="77BA9902" w:tentative="1">
      <w:start w:val="1"/>
      <w:numFmt w:val="bullet"/>
      <w:lvlText w:val=""/>
      <w:lvlJc w:val="left"/>
      <w:pPr>
        <w:ind w:left="6527" w:hanging="360"/>
      </w:pPr>
      <w:rPr>
        <w:rFonts w:ascii="Wingdings" w:hAnsi="Wingdings" w:hint="default"/>
      </w:rPr>
    </w:lvl>
  </w:abstractNum>
  <w:abstractNum w:abstractNumId="11" w15:restartNumberingAfterBreak="0">
    <w:nsid w:val="604221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D0530F"/>
    <w:multiLevelType w:val="hybridMultilevel"/>
    <w:tmpl w:val="43D4712A"/>
    <w:lvl w:ilvl="0" w:tplc="C75472D8">
      <w:start w:val="1"/>
      <w:numFmt w:val="bullet"/>
      <w:lvlText w:val=""/>
      <w:lvlJc w:val="left"/>
      <w:pPr>
        <w:ind w:left="1080" w:hanging="360"/>
      </w:pPr>
      <w:rPr>
        <w:rFonts w:ascii="Symbol" w:hAnsi="Symbol" w:hint="default"/>
      </w:rPr>
    </w:lvl>
    <w:lvl w:ilvl="1" w:tplc="23560714" w:tentative="1">
      <w:start w:val="1"/>
      <w:numFmt w:val="bullet"/>
      <w:lvlText w:val="o"/>
      <w:lvlJc w:val="left"/>
      <w:pPr>
        <w:ind w:left="1800" w:hanging="360"/>
      </w:pPr>
      <w:rPr>
        <w:rFonts w:ascii="Courier New" w:hAnsi="Courier New" w:cs="Courier New" w:hint="default"/>
      </w:rPr>
    </w:lvl>
    <w:lvl w:ilvl="2" w:tplc="DB063684" w:tentative="1">
      <w:start w:val="1"/>
      <w:numFmt w:val="bullet"/>
      <w:lvlText w:val=""/>
      <w:lvlJc w:val="left"/>
      <w:pPr>
        <w:ind w:left="2520" w:hanging="360"/>
      </w:pPr>
      <w:rPr>
        <w:rFonts w:ascii="Wingdings" w:hAnsi="Wingdings" w:hint="default"/>
      </w:rPr>
    </w:lvl>
    <w:lvl w:ilvl="3" w:tplc="CCBC0122" w:tentative="1">
      <w:start w:val="1"/>
      <w:numFmt w:val="bullet"/>
      <w:lvlText w:val=""/>
      <w:lvlJc w:val="left"/>
      <w:pPr>
        <w:ind w:left="3240" w:hanging="360"/>
      </w:pPr>
      <w:rPr>
        <w:rFonts w:ascii="Symbol" w:hAnsi="Symbol" w:hint="default"/>
      </w:rPr>
    </w:lvl>
    <w:lvl w:ilvl="4" w:tplc="F7C86D56" w:tentative="1">
      <w:start w:val="1"/>
      <w:numFmt w:val="bullet"/>
      <w:lvlText w:val="o"/>
      <w:lvlJc w:val="left"/>
      <w:pPr>
        <w:ind w:left="3960" w:hanging="360"/>
      </w:pPr>
      <w:rPr>
        <w:rFonts w:ascii="Courier New" w:hAnsi="Courier New" w:cs="Courier New" w:hint="default"/>
      </w:rPr>
    </w:lvl>
    <w:lvl w:ilvl="5" w:tplc="D33AE106" w:tentative="1">
      <w:start w:val="1"/>
      <w:numFmt w:val="bullet"/>
      <w:lvlText w:val=""/>
      <w:lvlJc w:val="left"/>
      <w:pPr>
        <w:ind w:left="4680" w:hanging="360"/>
      </w:pPr>
      <w:rPr>
        <w:rFonts w:ascii="Wingdings" w:hAnsi="Wingdings" w:hint="default"/>
      </w:rPr>
    </w:lvl>
    <w:lvl w:ilvl="6" w:tplc="3BD60A80" w:tentative="1">
      <w:start w:val="1"/>
      <w:numFmt w:val="bullet"/>
      <w:lvlText w:val=""/>
      <w:lvlJc w:val="left"/>
      <w:pPr>
        <w:ind w:left="5400" w:hanging="360"/>
      </w:pPr>
      <w:rPr>
        <w:rFonts w:ascii="Symbol" w:hAnsi="Symbol" w:hint="default"/>
      </w:rPr>
    </w:lvl>
    <w:lvl w:ilvl="7" w:tplc="1DA48386" w:tentative="1">
      <w:start w:val="1"/>
      <w:numFmt w:val="bullet"/>
      <w:lvlText w:val="o"/>
      <w:lvlJc w:val="left"/>
      <w:pPr>
        <w:ind w:left="6120" w:hanging="360"/>
      </w:pPr>
      <w:rPr>
        <w:rFonts w:ascii="Courier New" w:hAnsi="Courier New" w:cs="Courier New" w:hint="default"/>
      </w:rPr>
    </w:lvl>
    <w:lvl w:ilvl="8" w:tplc="15DC09FC" w:tentative="1">
      <w:start w:val="1"/>
      <w:numFmt w:val="bullet"/>
      <w:lvlText w:val=""/>
      <w:lvlJc w:val="left"/>
      <w:pPr>
        <w:ind w:left="6840" w:hanging="360"/>
      </w:pPr>
      <w:rPr>
        <w:rFonts w:ascii="Wingdings" w:hAnsi="Wingdings" w:hint="default"/>
      </w:rPr>
    </w:lvl>
  </w:abstractNum>
  <w:abstractNum w:abstractNumId="13" w15:restartNumberingAfterBreak="0">
    <w:nsid w:val="616C3A1E"/>
    <w:multiLevelType w:val="multilevel"/>
    <w:tmpl w:val="7A581454"/>
    <w:lvl w:ilvl="0">
      <w:start w:val="1"/>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2B32E82"/>
    <w:multiLevelType w:val="hybridMultilevel"/>
    <w:tmpl w:val="F82C7588"/>
    <w:lvl w:ilvl="0" w:tplc="F7869924">
      <w:start w:val="1"/>
      <w:numFmt w:val="bullet"/>
      <w:lvlText w:val=""/>
      <w:lvlJc w:val="left"/>
      <w:pPr>
        <w:ind w:left="720" w:hanging="360"/>
      </w:pPr>
      <w:rPr>
        <w:rFonts w:ascii="Symbol" w:hAnsi="Symbol" w:hint="default"/>
      </w:rPr>
    </w:lvl>
    <w:lvl w:ilvl="1" w:tplc="82906716" w:tentative="1">
      <w:start w:val="1"/>
      <w:numFmt w:val="bullet"/>
      <w:lvlText w:val="o"/>
      <w:lvlJc w:val="left"/>
      <w:pPr>
        <w:ind w:left="1440" w:hanging="360"/>
      </w:pPr>
      <w:rPr>
        <w:rFonts w:ascii="Courier New" w:hAnsi="Courier New" w:cs="Courier New" w:hint="default"/>
      </w:rPr>
    </w:lvl>
    <w:lvl w:ilvl="2" w:tplc="152EF682" w:tentative="1">
      <w:start w:val="1"/>
      <w:numFmt w:val="bullet"/>
      <w:lvlText w:val=""/>
      <w:lvlJc w:val="left"/>
      <w:pPr>
        <w:ind w:left="2160" w:hanging="360"/>
      </w:pPr>
      <w:rPr>
        <w:rFonts w:ascii="Wingdings" w:hAnsi="Wingdings" w:hint="default"/>
      </w:rPr>
    </w:lvl>
    <w:lvl w:ilvl="3" w:tplc="928A585C" w:tentative="1">
      <w:start w:val="1"/>
      <w:numFmt w:val="bullet"/>
      <w:lvlText w:val=""/>
      <w:lvlJc w:val="left"/>
      <w:pPr>
        <w:ind w:left="2880" w:hanging="360"/>
      </w:pPr>
      <w:rPr>
        <w:rFonts w:ascii="Symbol" w:hAnsi="Symbol" w:hint="default"/>
      </w:rPr>
    </w:lvl>
    <w:lvl w:ilvl="4" w:tplc="1504AC50" w:tentative="1">
      <w:start w:val="1"/>
      <w:numFmt w:val="bullet"/>
      <w:lvlText w:val="o"/>
      <w:lvlJc w:val="left"/>
      <w:pPr>
        <w:ind w:left="3600" w:hanging="360"/>
      </w:pPr>
      <w:rPr>
        <w:rFonts w:ascii="Courier New" w:hAnsi="Courier New" w:cs="Courier New" w:hint="default"/>
      </w:rPr>
    </w:lvl>
    <w:lvl w:ilvl="5" w:tplc="FCBC4CBA" w:tentative="1">
      <w:start w:val="1"/>
      <w:numFmt w:val="bullet"/>
      <w:lvlText w:val=""/>
      <w:lvlJc w:val="left"/>
      <w:pPr>
        <w:ind w:left="4320" w:hanging="360"/>
      </w:pPr>
      <w:rPr>
        <w:rFonts w:ascii="Wingdings" w:hAnsi="Wingdings" w:hint="default"/>
      </w:rPr>
    </w:lvl>
    <w:lvl w:ilvl="6" w:tplc="0E60B76E" w:tentative="1">
      <w:start w:val="1"/>
      <w:numFmt w:val="bullet"/>
      <w:lvlText w:val=""/>
      <w:lvlJc w:val="left"/>
      <w:pPr>
        <w:ind w:left="5040" w:hanging="360"/>
      </w:pPr>
      <w:rPr>
        <w:rFonts w:ascii="Symbol" w:hAnsi="Symbol" w:hint="default"/>
      </w:rPr>
    </w:lvl>
    <w:lvl w:ilvl="7" w:tplc="A112A6F0" w:tentative="1">
      <w:start w:val="1"/>
      <w:numFmt w:val="bullet"/>
      <w:lvlText w:val="o"/>
      <w:lvlJc w:val="left"/>
      <w:pPr>
        <w:ind w:left="5760" w:hanging="360"/>
      </w:pPr>
      <w:rPr>
        <w:rFonts w:ascii="Courier New" w:hAnsi="Courier New" w:cs="Courier New" w:hint="default"/>
      </w:rPr>
    </w:lvl>
    <w:lvl w:ilvl="8" w:tplc="E20A4738" w:tentative="1">
      <w:start w:val="1"/>
      <w:numFmt w:val="bullet"/>
      <w:lvlText w:val=""/>
      <w:lvlJc w:val="left"/>
      <w:pPr>
        <w:ind w:left="6480" w:hanging="360"/>
      </w:pPr>
      <w:rPr>
        <w:rFonts w:ascii="Wingdings" w:hAnsi="Wingdings" w:hint="default"/>
      </w:rPr>
    </w:lvl>
  </w:abstractNum>
  <w:abstractNum w:abstractNumId="15" w15:restartNumberingAfterBreak="0">
    <w:nsid w:val="692F02C0"/>
    <w:multiLevelType w:val="hybridMultilevel"/>
    <w:tmpl w:val="4BD81208"/>
    <w:lvl w:ilvl="0" w:tplc="A99E8386">
      <w:start w:val="1"/>
      <w:numFmt w:val="bullet"/>
      <w:lvlText w:val=""/>
      <w:lvlJc w:val="left"/>
      <w:pPr>
        <w:ind w:left="720" w:hanging="360"/>
      </w:pPr>
      <w:rPr>
        <w:rFonts w:ascii="Symbol" w:hAnsi="Symbol" w:hint="default"/>
      </w:rPr>
    </w:lvl>
    <w:lvl w:ilvl="1" w:tplc="53AE990C" w:tentative="1">
      <w:start w:val="1"/>
      <w:numFmt w:val="bullet"/>
      <w:lvlText w:val="o"/>
      <w:lvlJc w:val="left"/>
      <w:pPr>
        <w:ind w:left="1440" w:hanging="360"/>
      </w:pPr>
      <w:rPr>
        <w:rFonts w:ascii="Courier New" w:hAnsi="Courier New" w:cs="Courier New" w:hint="default"/>
      </w:rPr>
    </w:lvl>
    <w:lvl w:ilvl="2" w:tplc="DD525506" w:tentative="1">
      <w:start w:val="1"/>
      <w:numFmt w:val="bullet"/>
      <w:lvlText w:val=""/>
      <w:lvlJc w:val="left"/>
      <w:pPr>
        <w:ind w:left="2160" w:hanging="360"/>
      </w:pPr>
      <w:rPr>
        <w:rFonts w:ascii="Wingdings" w:hAnsi="Wingdings" w:hint="default"/>
      </w:rPr>
    </w:lvl>
    <w:lvl w:ilvl="3" w:tplc="3F48228E" w:tentative="1">
      <w:start w:val="1"/>
      <w:numFmt w:val="bullet"/>
      <w:lvlText w:val=""/>
      <w:lvlJc w:val="left"/>
      <w:pPr>
        <w:ind w:left="2880" w:hanging="360"/>
      </w:pPr>
      <w:rPr>
        <w:rFonts w:ascii="Symbol" w:hAnsi="Symbol" w:hint="default"/>
      </w:rPr>
    </w:lvl>
    <w:lvl w:ilvl="4" w:tplc="22E87D2C" w:tentative="1">
      <w:start w:val="1"/>
      <w:numFmt w:val="bullet"/>
      <w:lvlText w:val="o"/>
      <w:lvlJc w:val="left"/>
      <w:pPr>
        <w:ind w:left="3600" w:hanging="360"/>
      </w:pPr>
      <w:rPr>
        <w:rFonts w:ascii="Courier New" w:hAnsi="Courier New" w:cs="Courier New" w:hint="default"/>
      </w:rPr>
    </w:lvl>
    <w:lvl w:ilvl="5" w:tplc="623AAEE0" w:tentative="1">
      <w:start w:val="1"/>
      <w:numFmt w:val="bullet"/>
      <w:lvlText w:val=""/>
      <w:lvlJc w:val="left"/>
      <w:pPr>
        <w:ind w:left="4320" w:hanging="360"/>
      </w:pPr>
      <w:rPr>
        <w:rFonts w:ascii="Wingdings" w:hAnsi="Wingdings" w:hint="default"/>
      </w:rPr>
    </w:lvl>
    <w:lvl w:ilvl="6" w:tplc="54D2681E" w:tentative="1">
      <w:start w:val="1"/>
      <w:numFmt w:val="bullet"/>
      <w:lvlText w:val=""/>
      <w:lvlJc w:val="left"/>
      <w:pPr>
        <w:ind w:left="5040" w:hanging="360"/>
      </w:pPr>
      <w:rPr>
        <w:rFonts w:ascii="Symbol" w:hAnsi="Symbol" w:hint="default"/>
      </w:rPr>
    </w:lvl>
    <w:lvl w:ilvl="7" w:tplc="CBC00B22" w:tentative="1">
      <w:start w:val="1"/>
      <w:numFmt w:val="bullet"/>
      <w:lvlText w:val="o"/>
      <w:lvlJc w:val="left"/>
      <w:pPr>
        <w:ind w:left="5760" w:hanging="360"/>
      </w:pPr>
      <w:rPr>
        <w:rFonts w:ascii="Courier New" w:hAnsi="Courier New" w:cs="Courier New" w:hint="default"/>
      </w:rPr>
    </w:lvl>
    <w:lvl w:ilvl="8" w:tplc="88D6DBE2" w:tentative="1">
      <w:start w:val="1"/>
      <w:numFmt w:val="bullet"/>
      <w:lvlText w:val=""/>
      <w:lvlJc w:val="left"/>
      <w:pPr>
        <w:ind w:left="6480" w:hanging="360"/>
      </w:pPr>
      <w:rPr>
        <w:rFonts w:ascii="Wingdings" w:hAnsi="Wingdings" w:hint="default"/>
      </w:rPr>
    </w:lvl>
  </w:abstractNum>
  <w:abstractNum w:abstractNumId="16" w15:restartNumberingAfterBreak="0">
    <w:nsid w:val="6C042D36"/>
    <w:multiLevelType w:val="hybridMultilevel"/>
    <w:tmpl w:val="6088BC70"/>
    <w:lvl w:ilvl="0" w:tplc="F3047546">
      <w:start w:val="1"/>
      <w:numFmt w:val="bullet"/>
      <w:lvlText w:val=""/>
      <w:lvlJc w:val="left"/>
      <w:pPr>
        <w:ind w:left="720" w:hanging="360"/>
      </w:pPr>
      <w:rPr>
        <w:rFonts w:ascii="Symbol" w:hAnsi="Symbol" w:hint="default"/>
      </w:rPr>
    </w:lvl>
    <w:lvl w:ilvl="1" w:tplc="9DB6E764" w:tentative="1">
      <w:start w:val="1"/>
      <w:numFmt w:val="bullet"/>
      <w:lvlText w:val="o"/>
      <w:lvlJc w:val="left"/>
      <w:pPr>
        <w:ind w:left="1440" w:hanging="360"/>
      </w:pPr>
      <w:rPr>
        <w:rFonts w:ascii="Courier New" w:hAnsi="Courier New" w:cs="Courier New" w:hint="default"/>
      </w:rPr>
    </w:lvl>
    <w:lvl w:ilvl="2" w:tplc="A9C67E8A" w:tentative="1">
      <w:start w:val="1"/>
      <w:numFmt w:val="bullet"/>
      <w:lvlText w:val=""/>
      <w:lvlJc w:val="left"/>
      <w:pPr>
        <w:ind w:left="2160" w:hanging="360"/>
      </w:pPr>
      <w:rPr>
        <w:rFonts w:ascii="Wingdings" w:hAnsi="Wingdings" w:hint="default"/>
      </w:rPr>
    </w:lvl>
    <w:lvl w:ilvl="3" w:tplc="EA4053C2" w:tentative="1">
      <w:start w:val="1"/>
      <w:numFmt w:val="bullet"/>
      <w:lvlText w:val=""/>
      <w:lvlJc w:val="left"/>
      <w:pPr>
        <w:ind w:left="2880" w:hanging="360"/>
      </w:pPr>
      <w:rPr>
        <w:rFonts w:ascii="Symbol" w:hAnsi="Symbol" w:hint="default"/>
      </w:rPr>
    </w:lvl>
    <w:lvl w:ilvl="4" w:tplc="CBEA48A6" w:tentative="1">
      <w:start w:val="1"/>
      <w:numFmt w:val="bullet"/>
      <w:lvlText w:val="o"/>
      <w:lvlJc w:val="left"/>
      <w:pPr>
        <w:ind w:left="3600" w:hanging="360"/>
      </w:pPr>
      <w:rPr>
        <w:rFonts w:ascii="Courier New" w:hAnsi="Courier New" w:cs="Courier New" w:hint="default"/>
      </w:rPr>
    </w:lvl>
    <w:lvl w:ilvl="5" w:tplc="6AB2ACD4" w:tentative="1">
      <w:start w:val="1"/>
      <w:numFmt w:val="bullet"/>
      <w:lvlText w:val=""/>
      <w:lvlJc w:val="left"/>
      <w:pPr>
        <w:ind w:left="4320" w:hanging="360"/>
      </w:pPr>
      <w:rPr>
        <w:rFonts w:ascii="Wingdings" w:hAnsi="Wingdings" w:hint="default"/>
      </w:rPr>
    </w:lvl>
    <w:lvl w:ilvl="6" w:tplc="C986C6EE" w:tentative="1">
      <w:start w:val="1"/>
      <w:numFmt w:val="bullet"/>
      <w:lvlText w:val=""/>
      <w:lvlJc w:val="left"/>
      <w:pPr>
        <w:ind w:left="5040" w:hanging="360"/>
      </w:pPr>
      <w:rPr>
        <w:rFonts w:ascii="Symbol" w:hAnsi="Symbol" w:hint="default"/>
      </w:rPr>
    </w:lvl>
    <w:lvl w:ilvl="7" w:tplc="4BE873F6" w:tentative="1">
      <w:start w:val="1"/>
      <w:numFmt w:val="bullet"/>
      <w:lvlText w:val="o"/>
      <w:lvlJc w:val="left"/>
      <w:pPr>
        <w:ind w:left="5760" w:hanging="360"/>
      </w:pPr>
      <w:rPr>
        <w:rFonts w:ascii="Courier New" w:hAnsi="Courier New" w:cs="Courier New" w:hint="default"/>
      </w:rPr>
    </w:lvl>
    <w:lvl w:ilvl="8" w:tplc="0E58BA0C" w:tentative="1">
      <w:start w:val="1"/>
      <w:numFmt w:val="bullet"/>
      <w:lvlText w:val=""/>
      <w:lvlJc w:val="left"/>
      <w:pPr>
        <w:ind w:left="6480" w:hanging="360"/>
      </w:pPr>
      <w:rPr>
        <w:rFonts w:ascii="Wingdings" w:hAnsi="Wingdings" w:hint="default"/>
      </w:rPr>
    </w:lvl>
  </w:abstractNum>
  <w:abstractNum w:abstractNumId="17" w15:restartNumberingAfterBreak="0">
    <w:nsid w:val="6C8F77BF"/>
    <w:multiLevelType w:val="hybridMultilevel"/>
    <w:tmpl w:val="52F86CA8"/>
    <w:lvl w:ilvl="0" w:tplc="980A5DCC">
      <w:start w:val="1"/>
      <w:numFmt w:val="bullet"/>
      <w:lvlText w:val=""/>
      <w:lvlJc w:val="left"/>
      <w:pPr>
        <w:ind w:left="720" w:hanging="360"/>
      </w:pPr>
      <w:rPr>
        <w:rFonts w:ascii="Symbol" w:hAnsi="Symbol" w:hint="default"/>
      </w:rPr>
    </w:lvl>
    <w:lvl w:ilvl="1" w:tplc="CFAEFB52" w:tentative="1">
      <w:start w:val="1"/>
      <w:numFmt w:val="bullet"/>
      <w:lvlText w:val="o"/>
      <w:lvlJc w:val="left"/>
      <w:pPr>
        <w:ind w:left="1440" w:hanging="360"/>
      </w:pPr>
      <w:rPr>
        <w:rFonts w:ascii="Courier New" w:hAnsi="Courier New" w:cs="Courier New" w:hint="default"/>
      </w:rPr>
    </w:lvl>
    <w:lvl w:ilvl="2" w:tplc="44444A80" w:tentative="1">
      <w:start w:val="1"/>
      <w:numFmt w:val="bullet"/>
      <w:lvlText w:val=""/>
      <w:lvlJc w:val="left"/>
      <w:pPr>
        <w:ind w:left="2160" w:hanging="360"/>
      </w:pPr>
      <w:rPr>
        <w:rFonts w:ascii="Wingdings" w:hAnsi="Wingdings" w:hint="default"/>
      </w:rPr>
    </w:lvl>
    <w:lvl w:ilvl="3" w:tplc="6DB417A6" w:tentative="1">
      <w:start w:val="1"/>
      <w:numFmt w:val="bullet"/>
      <w:lvlText w:val=""/>
      <w:lvlJc w:val="left"/>
      <w:pPr>
        <w:ind w:left="2880" w:hanging="360"/>
      </w:pPr>
      <w:rPr>
        <w:rFonts w:ascii="Symbol" w:hAnsi="Symbol" w:hint="default"/>
      </w:rPr>
    </w:lvl>
    <w:lvl w:ilvl="4" w:tplc="8C4CE6BC" w:tentative="1">
      <w:start w:val="1"/>
      <w:numFmt w:val="bullet"/>
      <w:lvlText w:val="o"/>
      <w:lvlJc w:val="left"/>
      <w:pPr>
        <w:ind w:left="3600" w:hanging="360"/>
      </w:pPr>
      <w:rPr>
        <w:rFonts w:ascii="Courier New" w:hAnsi="Courier New" w:cs="Courier New" w:hint="default"/>
      </w:rPr>
    </w:lvl>
    <w:lvl w:ilvl="5" w:tplc="427035A0" w:tentative="1">
      <w:start w:val="1"/>
      <w:numFmt w:val="bullet"/>
      <w:lvlText w:val=""/>
      <w:lvlJc w:val="left"/>
      <w:pPr>
        <w:ind w:left="4320" w:hanging="360"/>
      </w:pPr>
      <w:rPr>
        <w:rFonts w:ascii="Wingdings" w:hAnsi="Wingdings" w:hint="default"/>
      </w:rPr>
    </w:lvl>
    <w:lvl w:ilvl="6" w:tplc="CCBE4FBC" w:tentative="1">
      <w:start w:val="1"/>
      <w:numFmt w:val="bullet"/>
      <w:lvlText w:val=""/>
      <w:lvlJc w:val="left"/>
      <w:pPr>
        <w:ind w:left="5040" w:hanging="360"/>
      </w:pPr>
      <w:rPr>
        <w:rFonts w:ascii="Symbol" w:hAnsi="Symbol" w:hint="default"/>
      </w:rPr>
    </w:lvl>
    <w:lvl w:ilvl="7" w:tplc="3794AF5E" w:tentative="1">
      <w:start w:val="1"/>
      <w:numFmt w:val="bullet"/>
      <w:lvlText w:val="o"/>
      <w:lvlJc w:val="left"/>
      <w:pPr>
        <w:ind w:left="5760" w:hanging="360"/>
      </w:pPr>
      <w:rPr>
        <w:rFonts w:ascii="Courier New" w:hAnsi="Courier New" w:cs="Courier New" w:hint="default"/>
      </w:rPr>
    </w:lvl>
    <w:lvl w:ilvl="8" w:tplc="4E4AC636" w:tentative="1">
      <w:start w:val="1"/>
      <w:numFmt w:val="bullet"/>
      <w:lvlText w:val=""/>
      <w:lvlJc w:val="left"/>
      <w:pPr>
        <w:ind w:left="6480" w:hanging="360"/>
      </w:pPr>
      <w:rPr>
        <w:rFonts w:ascii="Wingdings" w:hAnsi="Wingdings" w:hint="default"/>
      </w:rPr>
    </w:lvl>
  </w:abstractNum>
  <w:abstractNum w:abstractNumId="18" w15:restartNumberingAfterBreak="0">
    <w:nsid w:val="6CF072B0"/>
    <w:multiLevelType w:val="multilevel"/>
    <w:tmpl w:val="0562FBE4"/>
    <w:lvl w:ilvl="0">
      <w:start w:val="1"/>
      <w:numFmt w:val="decimal"/>
      <w:lvlText w:val="%1."/>
      <w:lvlJc w:val="left"/>
      <w:pPr>
        <w:ind w:left="720" w:hanging="360"/>
      </w:pPr>
      <w:rPr>
        <w:rFonts w:hint="default"/>
      </w:rPr>
    </w:lvl>
    <w:lvl w:ilvl="1">
      <w:start w:val="1"/>
      <w:numFmt w:val="decimal"/>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DF47938"/>
    <w:multiLevelType w:val="hybridMultilevel"/>
    <w:tmpl w:val="3614F33C"/>
    <w:lvl w:ilvl="0" w:tplc="A620A8D8">
      <w:start w:val="1"/>
      <w:numFmt w:val="bullet"/>
      <w:lvlText w:val=""/>
      <w:lvlJc w:val="left"/>
      <w:pPr>
        <w:ind w:left="1080" w:hanging="360"/>
      </w:pPr>
      <w:rPr>
        <w:rFonts w:ascii="Symbol" w:hAnsi="Symbol" w:hint="default"/>
      </w:rPr>
    </w:lvl>
    <w:lvl w:ilvl="1" w:tplc="0BD42E64" w:tentative="1">
      <w:start w:val="1"/>
      <w:numFmt w:val="bullet"/>
      <w:lvlText w:val="o"/>
      <w:lvlJc w:val="left"/>
      <w:pPr>
        <w:ind w:left="1800" w:hanging="360"/>
      </w:pPr>
      <w:rPr>
        <w:rFonts w:ascii="Courier New" w:hAnsi="Courier New" w:cs="Courier New" w:hint="default"/>
      </w:rPr>
    </w:lvl>
    <w:lvl w:ilvl="2" w:tplc="419EB7E0" w:tentative="1">
      <w:start w:val="1"/>
      <w:numFmt w:val="bullet"/>
      <w:lvlText w:val=""/>
      <w:lvlJc w:val="left"/>
      <w:pPr>
        <w:ind w:left="2520" w:hanging="360"/>
      </w:pPr>
      <w:rPr>
        <w:rFonts w:ascii="Wingdings" w:hAnsi="Wingdings" w:hint="default"/>
      </w:rPr>
    </w:lvl>
    <w:lvl w:ilvl="3" w:tplc="7E480C46" w:tentative="1">
      <w:start w:val="1"/>
      <w:numFmt w:val="bullet"/>
      <w:lvlText w:val=""/>
      <w:lvlJc w:val="left"/>
      <w:pPr>
        <w:ind w:left="3240" w:hanging="360"/>
      </w:pPr>
      <w:rPr>
        <w:rFonts w:ascii="Symbol" w:hAnsi="Symbol" w:hint="default"/>
      </w:rPr>
    </w:lvl>
    <w:lvl w:ilvl="4" w:tplc="42D40F1C" w:tentative="1">
      <w:start w:val="1"/>
      <w:numFmt w:val="bullet"/>
      <w:lvlText w:val="o"/>
      <w:lvlJc w:val="left"/>
      <w:pPr>
        <w:ind w:left="3960" w:hanging="360"/>
      </w:pPr>
      <w:rPr>
        <w:rFonts w:ascii="Courier New" w:hAnsi="Courier New" w:cs="Courier New" w:hint="default"/>
      </w:rPr>
    </w:lvl>
    <w:lvl w:ilvl="5" w:tplc="295C0892" w:tentative="1">
      <w:start w:val="1"/>
      <w:numFmt w:val="bullet"/>
      <w:lvlText w:val=""/>
      <w:lvlJc w:val="left"/>
      <w:pPr>
        <w:ind w:left="4680" w:hanging="360"/>
      </w:pPr>
      <w:rPr>
        <w:rFonts w:ascii="Wingdings" w:hAnsi="Wingdings" w:hint="default"/>
      </w:rPr>
    </w:lvl>
    <w:lvl w:ilvl="6" w:tplc="071AC866" w:tentative="1">
      <w:start w:val="1"/>
      <w:numFmt w:val="bullet"/>
      <w:lvlText w:val=""/>
      <w:lvlJc w:val="left"/>
      <w:pPr>
        <w:ind w:left="5400" w:hanging="360"/>
      </w:pPr>
      <w:rPr>
        <w:rFonts w:ascii="Symbol" w:hAnsi="Symbol" w:hint="default"/>
      </w:rPr>
    </w:lvl>
    <w:lvl w:ilvl="7" w:tplc="9566E4D2" w:tentative="1">
      <w:start w:val="1"/>
      <w:numFmt w:val="bullet"/>
      <w:lvlText w:val="o"/>
      <w:lvlJc w:val="left"/>
      <w:pPr>
        <w:ind w:left="6120" w:hanging="360"/>
      </w:pPr>
      <w:rPr>
        <w:rFonts w:ascii="Courier New" w:hAnsi="Courier New" w:cs="Courier New" w:hint="default"/>
      </w:rPr>
    </w:lvl>
    <w:lvl w:ilvl="8" w:tplc="02C2121A" w:tentative="1">
      <w:start w:val="1"/>
      <w:numFmt w:val="bullet"/>
      <w:lvlText w:val=""/>
      <w:lvlJc w:val="left"/>
      <w:pPr>
        <w:ind w:left="6840" w:hanging="360"/>
      </w:pPr>
      <w:rPr>
        <w:rFonts w:ascii="Wingdings" w:hAnsi="Wingdings" w:hint="default"/>
      </w:rPr>
    </w:lvl>
  </w:abstractNum>
  <w:abstractNum w:abstractNumId="20" w15:restartNumberingAfterBreak="0">
    <w:nsid w:val="74292689"/>
    <w:multiLevelType w:val="hybridMultilevel"/>
    <w:tmpl w:val="3B242B58"/>
    <w:lvl w:ilvl="0" w:tplc="48FEBD98">
      <w:start w:val="1"/>
      <w:numFmt w:val="bullet"/>
      <w:lvlText w:val=""/>
      <w:lvlJc w:val="left"/>
      <w:pPr>
        <w:ind w:left="720" w:hanging="360"/>
      </w:pPr>
      <w:rPr>
        <w:rFonts w:ascii="Symbol" w:hAnsi="Symbol" w:hint="default"/>
      </w:rPr>
    </w:lvl>
    <w:lvl w:ilvl="1" w:tplc="E4E6FD5C" w:tentative="1">
      <w:start w:val="1"/>
      <w:numFmt w:val="bullet"/>
      <w:lvlText w:val="o"/>
      <w:lvlJc w:val="left"/>
      <w:pPr>
        <w:ind w:left="1440" w:hanging="360"/>
      </w:pPr>
      <w:rPr>
        <w:rFonts w:ascii="Courier New" w:hAnsi="Courier New" w:cs="Courier New" w:hint="default"/>
      </w:rPr>
    </w:lvl>
    <w:lvl w:ilvl="2" w:tplc="47143FC0" w:tentative="1">
      <w:start w:val="1"/>
      <w:numFmt w:val="bullet"/>
      <w:lvlText w:val=""/>
      <w:lvlJc w:val="left"/>
      <w:pPr>
        <w:ind w:left="2160" w:hanging="360"/>
      </w:pPr>
      <w:rPr>
        <w:rFonts w:ascii="Wingdings" w:hAnsi="Wingdings" w:hint="default"/>
      </w:rPr>
    </w:lvl>
    <w:lvl w:ilvl="3" w:tplc="15C8D982" w:tentative="1">
      <w:start w:val="1"/>
      <w:numFmt w:val="bullet"/>
      <w:lvlText w:val=""/>
      <w:lvlJc w:val="left"/>
      <w:pPr>
        <w:ind w:left="2880" w:hanging="360"/>
      </w:pPr>
      <w:rPr>
        <w:rFonts w:ascii="Symbol" w:hAnsi="Symbol" w:hint="default"/>
      </w:rPr>
    </w:lvl>
    <w:lvl w:ilvl="4" w:tplc="E9B21490" w:tentative="1">
      <w:start w:val="1"/>
      <w:numFmt w:val="bullet"/>
      <w:lvlText w:val="o"/>
      <w:lvlJc w:val="left"/>
      <w:pPr>
        <w:ind w:left="3600" w:hanging="360"/>
      </w:pPr>
      <w:rPr>
        <w:rFonts w:ascii="Courier New" w:hAnsi="Courier New" w:cs="Courier New" w:hint="default"/>
      </w:rPr>
    </w:lvl>
    <w:lvl w:ilvl="5" w:tplc="3F422D28" w:tentative="1">
      <w:start w:val="1"/>
      <w:numFmt w:val="bullet"/>
      <w:lvlText w:val=""/>
      <w:lvlJc w:val="left"/>
      <w:pPr>
        <w:ind w:left="4320" w:hanging="360"/>
      </w:pPr>
      <w:rPr>
        <w:rFonts w:ascii="Wingdings" w:hAnsi="Wingdings" w:hint="default"/>
      </w:rPr>
    </w:lvl>
    <w:lvl w:ilvl="6" w:tplc="E2AC671C" w:tentative="1">
      <w:start w:val="1"/>
      <w:numFmt w:val="bullet"/>
      <w:lvlText w:val=""/>
      <w:lvlJc w:val="left"/>
      <w:pPr>
        <w:ind w:left="5040" w:hanging="360"/>
      </w:pPr>
      <w:rPr>
        <w:rFonts w:ascii="Symbol" w:hAnsi="Symbol" w:hint="default"/>
      </w:rPr>
    </w:lvl>
    <w:lvl w:ilvl="7" w:tplc="00B8F968" w:tentative="1">
      <w:start w:val="1"/>
      <w:numFmt w:val="bullet"/>
      <w:lvlText w:val="o"/>
      <w:lvlJc w:val="left"/>
      <w:pPr>
        <w:ind w:left="5760" w:hanging="360"/>
      </w:pPr>
      <w:rPr>
        <w:rFonts w:ascii="Courier New" w:hAnsi="Courier New" w:cs="Courier New" w:hint="default"/>
      </w:rPr>
    </w:lvl>
    <w:lvl w:ilvl="8" w:tplc="ACE20028" w:tentative="1">
      <w:start w:val="1"/>
      <w:numFmt w:val="bullet"/>
      <w:lvlText w:val=""/>
      <w:lvlJc w:val="left"/>
      <w:pPr>
        <w:ind w:left="6480" w:hanging="360"/>
      </w:pPr>
      <w:rPr>
        <w:rFonts w:ascii="Wingdings" w:hAnsi="Wingdings" w:hint="default"/>
      </w:rPr>
    </w:lvl>
  </w:abstractNum>
  <w:abstractNum w:abstractNumId="21" w15:restartNumberingAfterBreak="0">
    <w:nsid w:val="7BFD6C51"/>
    <w:multiLevelType w:val="multilevel"/>
    <w:tmpl w:val="C5F6F7E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713700387">
    <w:abstractNumId w:val="7"/>
  </w:num>
  <w:num w:numId="2" w16cid:durableId="1656837327">
    <w:abstractNumId w:val="0"/>
  </w:num>
  <w:num w:numId="3" w16cid:durableId="1620379019">
    <w:abstractNumId w:val="6"/>
  </w:num>
  <w:num w:numId="4" w16cid:durableId="461729097">
    <w:abstractNumId w:val="20"/>
  </w:num>
  <w:num w:numId="5" w16cid:durableId="373383903">
    <w:abstractNumId w:val="12"/>
  </w:num>
  <w:num w:numId="6" w16cid:durableId="2120374964">
    <w:abstractNumId w:val="17"/>
  </w:num>
  <w:num w:numId="7" w16cid:durableId="1232426682">
    <w:abstractNumId w:val="8"/>
  </w:num>
  <w:num w:numId="8" w16cid:durableId="140774979">
    <w:abstractNumId w:val="19"/>
  </w:num>
  <w:num w:numId="9" w16cid:durableId="1788114789">
    <w:abstractNumId w:val="16"/>
  </w:num>
  <w:num w:numId="10" w16cid:durableId="789009346">
    <w:abstractNumId w:val="3"/>
  </w:num>
  <w:num w:numId="11" w16cid:durableId="1671835347">
    <w:abstractNumId w:val="5"/>
  </w:num>
  <w:num w:numId="12" w16cid:durableId="2028558399">
    <w:abstractNumId w:val="9"/>
  </w:num>
  <w:num w:numId="13" w16cid:durableId="1065571336">
    <w:abstractNumId w:val="18"/>
  </w:num>
  <w:num w:numId="14" w16cid:durableId="1362827160">
    <w:abstractNumId w:val="11"/>
  </w:num>
  <w:num w:numId="15" w16cid:durableId="969819819">
    <w:abstractNumId w:val="21"/>
  </w:num>
  <w:num w:numId="16" w16cid:durableId="1649898470">
    <w:abstractNumId w:val="15"/>
  </w:num>
  <w:num w:numId="17" w16cid:durableId="1898971522">
    <w:abstractNumId w:val="14"/>
  </w:num>
  <w:num w:numId="18" w16cid:durableId="4214186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45685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1502028">
    <w:abstractNumId w:val="4"/>
  </w:num>
  <w:num w:numId="21" w16cid:durableId="1352300898">
    <w:abstractNumId w:val="13"/>
  </w:num>
  <w:num w:numId="22" w16cid:durableId="1082064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2825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3750666">
    <w:abstractNumId w:val="1"/>
  </w:num>
  <w:num w:numId="25" w16cid:durableId="136342317">
    <w:abstractNumId w:val="1"/>
  </w:num>
  <w:num w:numId="26" w16cid:durableId="2065717027">
    <w:abstractNumId w:val="2"/>
  </w:num>
  <w:num w:numId="27" w16cid:durableId="282884848">
    <w:abstractNumId w:val="10"/>
  </w:num>
  <w:num w:numId="28" w16cid:durableId="934050937">
    <w:abstractNumId w:val="1"/>
  </w:num>
  <w:num w:numId="29" w16cid:durableId="181155115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W0MDY1MzY0tLA0NDBR0lEKTi0uzszPAykwNDGrBQAMSvgQLgAAAA=="/>
  </w:docVars>
  <w:rsids>
    <w:rsidRoot w:val="00C7508E"/>
    <w:rsid w:val="00000423"/>
    <w:rsid w:val="00001DDC"/>
    <w:rsid w:val="00002702"/>
    <w:rsid w:val="00002CF5"/>
    <w:rsid w:val="00003D69"/>
    <w:rsid w:val="0000599C"/>
    <w:rsid w:val="0000699A"/>
    <w:rsid w:val="00006AD0"/>
    <w:rsid w:val="0000774B"/>
    <w:rsid w:val="00007E90"/>
    <w:rsid w:val="0001487C"/>
    <w:rsid w:val="00016628"/>
    <w:rsid w:val="00016A35"/>
    <w:rsid w:val="00020797"/>
    <w:rsid w:val="00020936"/>
    <w:rsid w:val="00021B9D"/>
    <w:rsid w:val="00023316"/>
    <w:rsid w:val="00024572"/>
    <w:rsid w:val="000252C1"/>
    <w:rsid w:val="000306A7"/>
    <w:rsid w:val="00034083"/>
    <w:rsid w:val="000348B6"/>
    <w:rsid w:val="00037039"/>
    <w:rsid w:val="00037F9B"/>
    <w:rsid w:val="0004191B"/>
    <w:rsid w:val="00043A85"/>
    <w:rsid w:val="00043EA5"/>
    <w:rsid w:val="000444ED"/>
    <w:rsid w:val="00044898"/>
    <w:rsid w:val="00045C51"/>
    <w:rsid w:val="0004744D"/>
    <w:rsid w:val="00051D8E"/>
    <w:rsid w:val="00052E49"/>
    <w:rsid w:val="00054ED7"/>
    <w:rsid w:val="00055168"/>
    <w:rsid w:val="000556CD"/>
    <w:rsid w:val="000569C2"/>
    <w:rsid w:val="000574BD"/>
    <w:rsid w:val="00060CCF"/>
    <w:rsid w:val="00060EDC"/>
    <w:rsid w:val="00062DA1"/>
    <w:rsid w:val="00063ADC"/>
    <w:rsid w:val="00063FB4"/>
    <w:rsid w:val="00066B81"/>
    <w:rsid w:val="00067510"/>
    <w:rsid w:val="000678CF"/>
    <w:rsid w:val="000679C1"/>
    <w:rsid w:val="00070076"/>
    <w:rsid w:val="000703EA"/>
    <w:rsid w:val="000714CC"/>
    <w:rsid w:val="00071636"/>
    <w:rsid w:val="000738C0"/>
    <w:rsid w:val="0007562E"/>
    <w:rsid w:val="00076018"/>
    <w:rsid w:val="000772F5"/>
    <w:rsid w:val="0008234C"/>
    <w:rsid w:val="000839C4"/>
    <w:rsid w:val="00085AB3"/>
    <w:rsid w:val="000901F5"/>
    <w:rsid w:val="000902BC"/>
    <w:rsid w:val="00094809"/>
    <w:rsid w:val="00095054"/>
    <w:rsid w:val="0009527E"/>
    <w:rsid w:val="000958E5"/>
    <w:rsid w:val="000A1703"/>
    <w:rsid w:val="000A1C49"/>
    <w:rsid w:val="000A27D6"/>
    <w:rsid w:val="000B14BE"/>
    <w:rsid w:val="000B2093"/>
    <w:rsid w:val="000B3651"/>
    <w:rsid w:val="000B3926"/>
    <w:rsid w:val="000B4756"/>
    <w:rsid w:val="000B481B"/>
    <w:rsid w:val="000B593F"/>
    <w:rsid w:val="000B5C82"/>
    <w:rsid w:val="000C0395"/>
    <w:rsid w:val="000C0C1F"/>
    <w:rsid w:val="000C0DE6"/>
    <w:rsid w:val="000C3862"/>
    <w:rsid w:val="000C3A36"/>
    <w:rsid w:val="000C49FA"/>
    <w:rsid w:val="000C4BE6"/>
    <w:rsid w:val="000C4C69"/>
    <w:rsid w:val="000D5EB5"/>
    <w:rsid w:val="000D6061"/>
    <w:rsid w:val="000D64CC"/>
    <w:rsid w:val="000E14A3"/>
    <w:rsid w:val="000E42D2"/>
    <w:rsid w:val="000E6051"/>
    <w:rsid w:val="000E6850"/>
    <w:rsid w:val="000F0251"/>
    <w:rsid w:val="000F0684"/>
    <w:rsid w:val="000F0A19"/>
    <w:rsid w:val="000F11C1"/>
    <w:rsid w:val="000F22B6"/>
    <w:rsid w:val="000F23FB"/>
    <w:rsid w:val="000F44C4"/>
    <w:rsid w:val="000F4A3C"/>
    <w:rsid w:val="000F6F93"/>
    <w:rsid w:val="000F7D16"/>
    <w:rsid w:val="00100006"/>
    <w:rsid w:val="00100879"/>
    <w:rsid w:val="001018E3"/>
    <w:rsid w:val="001038E4"/>
    <w:rsid w:val="001044CF"/>
    <w:rsid w:val="00106A99"/>
    <w:rsid w:val="001077CA"/>
    <w:rsid w:val="0011033C"/>
    <w:rsid w:val="00112247"/>
    <w:rsid w:val="00116301"/>
    <w:rsid w:val="00116D8A"/>
    <w:rsid w:val="00123E3F"/>
    <w:rsid w:val="00124831"/>
    <w:rsid w:val="00125504"/>
    <w:rsid w:val="00126515"/>
    <w:rsid w:val="00127D9D"/>
    <w:rsid w:val="00131C42"/>
    <w:rsid w:val="001326C1"/>
    <w:rsid w:val="001327B1"/>
    <w:rsid w:val="00135586"/>
    <w:rsid w:val="00135DB2"/>
    <w:rsid w:val="00136BDF"/>
    <w:rsid w:val="00136D29"/>
    <w:rsid w:val="001378C5"/>
    <w:rsid w:val="00140DF2"/>
    <w:rsid w:val="0014173F"/>
    <w:rsid w:val="00143BF2"/>
    <w:rsid w:val="00145613"/>
    <w:rsid w:val="0014659B"/>
    <w:rsid w:val="001471C3"/>
    <w:rsid w:val="00147FEB"/>
    <w:rsid w:val="00150C34"/>
    <w:rsid w:val="0015167A"/>
    <w:rsid w:val="00151692"/>
    <w:rsid w:val="001518B2"/>
    <w:rsid w:val="00153D21"/>
    <w:rsid w:val="00154973"/>
    <w:rsid w:val="00155C26"/>
    <w:rsid w:val="00157092"/>
    <w:rsid w:val="00157DE3"/>
    <w:rsid w:val="0016065C"/>
    <w:rsid w:val="001620B7"/>
    <w:rsid w:val="00163EB7"/>
    <w:rsid w:val="00164B67"/>
    <w:rsid w:val="001654C4"/>
    <w:rsid w:val="00165D1D"/>
    <w:rsid w:val="00166CD2"/>
    <w:rsid w:val="001671AB"/>
    <w:rsid w:val="00167780"/>
    <w:rsid w:val="0016797D"/>
    <w:rsid w:val="00167A4D"/>
    <w:rsid w:val="0017005C"/>
    <w:rsid w:val="00171537"/>
    <w:rsid w:val="001720F4"/>
    <w:rsid w:val="001752FB"/>
    <w:rsid w:val="00176022"/>
    <w:rsid w:val="00180365"/>
    <w:rsid w:val="00180CA8"/>
    <w:rsid w:val="00182616"/>
    <w:rsid w:val="00182BED"/>
    <w:rsid w:val="001846BB"/>
    <w:rsid w:val="00185419"/>
    <w:rsid w:val="00186F93"/>
    <w:rsid w:val="001904A8"/>
    <w:rsid w:val="00190E30"/>
    <w:rsid w:val="00190EF8"/>
    <w:rsid w:val="0019130B"/>
    <w:rsid w:val="0019155F"/>
    <w:rsid w:val="001915DB"/>
    <w:rsid w:val="00194EA0"/>
    <w:rsid w:val="00194F0D"/>
    <w:rsid w:val="0019741B"/>
    <w:rsid w:val="00197C7D"/>
    <w:rsid w:val="00197E3B"/>
    <w:rsid w:val="001A102E"/>
    <w:rsid w:val="001A4566"/>
    <w:rsid w:val="001B008E"/>
    <w:rsid w:val="001B0456"/>
    <w:rsid w:val="001B0B23"/>
    <w:rsid w:val="001B2274"/>
    <w:rsid w:val="001B2367"/>
    <w:rsid w:val="001B2407"/>
    <w:rsid w:val="001B26EA"/>
    <w:rsid w:val="001B2C81"/>
    <w:rsid w:val="001B4080"/>
    <w:rsid w:val="001B4CCC"/>
    <w:rsid w:val="001B5F4C"/>
    <w:rsid w:val="001B608D"/>
    <w:rsid w:val="001C09B6"/>
    <w:rsid w:val="001C1116"/>
    <w:rsid w:val="001C3EC7"/>
    <w:rsid w:val="001C46CD"/>
    <w:rsid w:val="001C567A"/>
    <w:rsid w:val="001C6DAE"/>
    <w:rsid w:val="001C7EF6"/>
    <w:rsid w:val="001D2408"/>
    <w:rsid w:val="001D3B2A"/>
    <w:rsid w:val="001D5A26"/>
    <w:rsid w:val="001D6BC3"/>
    <w:rsid w:val="001E0E77"/>
    <w:rsid w:val="001E1BC7"/>
    <w:rsid w:val="001E2D80"/>
    <w:rsid w:val="001E2E10"/>
    <w:rsid w:val="001E5FE6"/>
    <w:rsid w:val="001E75E9"/>
    <w:rsid w:val="001F0D88"/>
    <w:rsid w:val="001F3ACF"/>
    <w:rsid w:val="001F468A"/>
    <w:rsid w:val="001F46C5"/>
    <w:rsid w:val="001F4D25"/>
    <w:rsid w:val="001F58B8"/>
    <w:rsid w:val="001F5FB9"/>
    <w:rsid w:val="001F7708"/>
    <w:rsid w:val="00200856"/>
    <w:rsid w:val="002020FA"/>
    <w:rsid w:val="00202B88"/>
    <w:rsid w:val="0020416A"/>
    <w:rsid w:val="00204D45"/>
    <w:rsid w:val="00204DCF"/>
    <w:rsid w:val="00204FFB"/>
    <w:rsid w:val="00205D87"/>
    <w:rsid w:val="0020661C"/>
    <w:rsid w:val="00207A6E"/>
    <w:rsid w:val="00210D04"/>
    <w:rsid w:val="00211475"/>
    <w:rsid w:val="00211666"/>
    <w:rsid w:val="002200A3"/>
    <w:rsid w:val="00220B18"/>
    <w:rsid w:val="0022473D"/>
    <w:rsid w:val="00224848"/>
    <w:rsid w:val="0022705C"/>
    <w:rsid w:val="002278DB"/>
    <w:rsid w:val="00231762"/>
    <w:rsid w:val="00231D55"/>
    <w:rsid w:val="00232268"/>
    <w:rsid w:val="00235FDE"/>
    <w:rsid w:val="00236676"/>
    <w:rsid w:val="0024038E"/>
    <w:rsid w:val="00240492"/>
    <w:rsid w:val="0024053C"/>
    <w:rsid w:val="002422D3"/>
    <w:rsid w:val="00243C6E"/>
    <w:rsid w:val="00245F1D"/>
    <w:rsid w:val="00246805"/>
    <w:rsid w:val="00246CBF"/>
    <w:rsid w:val="00247351"/>
    <w:rsid w:val="002476A3"/>
    <w:rsid w:val="00250BCD"/>
    <w:rsid w:val="00255533"/>
    <w:rsid w:val="00256A0D"/>
    <w:rsid w:val="00256D4C"/>
    <w:rsid w:val="00260B69"/>
    <w:rsid w:val="00261962"/>
    <w:rsid w:val="00262609"/>
    <w:rsid w:val="00262FF7"/>
    <w:rsid w:val="00264446"/>
    <w:rsid w:val="00264493"/>
    <w:rsid w:val="00264653"/>
    <w:rsid w:val="00272328"/>
    <w:rsid w:val="00272812"/>
    <w:rsid w:val="00272EA3"/>
    <w:rsid w:val="002756D1"/>
    <w:rsid w:val="00280706"/>
    <w:rsid w:val="00280805"/>
    <w:rsid w:val="00282B36"/>
    <w:rsid w:val="002867B0"/>
    <w:rsid w:val="0028713B"/>
    <w:rsid w:val="00287B9A"/>
    <w:rsid w:val="00290F91"/>
    <w:rsid w:val="00291B40"/>
    <w:rsid w:val="0029224C"/>
    <w:rsid w:val="00292BDA"/>
    <w:rsid w:val="00294818"/>
    <w:rsid w:val="00294D1C"/>
    <w:rsid w:val="00296BCB"/>
    <w:rsid w:val="002977C7"/>
    <w:rsid w:val="002A6189"/>
    <w:rsid w:val="002A6DD5"/>
    <w:rsid w:val="002A77AE"/>
    <w:rsid w:val="002B3EFA"/>
    <w:rsid w:val="002B5F19"/>
    <w:rsid w:val="002C08A9"/>
    <w:rsid w:val="002C70B8"/>
    <w:rsid w:val="002C7F29"/>
    <w:rsid w:val="002D0A50"/>
    <w:rsid w:val="002D0E0B"/>
    <w:rsid w:val="002D24D3"/>
    <w:rsid w:val="002D3160"/>
    <w:rsid w:val="002D318E"/>
    <w:rsid w:val="002D36A7"/>
    <w:rsid w:val="002D383D"/>
    <w:rsid w:val="002D5D86"/>
    <w:rsid w:val="002D7CCD"/>
    <w:rsid w:val="002E147E"/>
    <w:rsid w:val="002E2890"/>
    <w:rsid w:val="002E300B"/>
    <w:rsid w:val="002E4BAC"/>
    <w:rsid w:val="002E7501"/>
    <w:rsid w:val="002F0EAE"/>
    <w:rsid w:val="002F359B"/>
    <w:rsid w:val="002F4FE4"/>
    <w:rsid w:val="002F6663"/>
    <w:rsid w:val="002F6D63"/>
    <w:rsid w:val="003009D4"/>
    <w:rsid w:val="003030C0"/>
    <w:rsid w:val="00305042"/>
    <w:rsid w:val="0030545D"/>
    <w:rsid w:val="00305AFF"/>
    <w:rsid w:val="003064E3"/>
    <w:rsid w:val="003103A9"/>
    <w:rsid w:val="00310BF4"/>
    <w:rsid w:val="00311676"/>
    <w:rsid w:val="0031192A"/>
    <w:rsid w:val="00311F49"/>
    <w:rsid w:val="00313C50"/>
    <w:rsid w:val="00314474"/>
    <w:rsid w:val="00315BE5"/>
    <w:rsid w:val="00316CED"/>
    <w:rsid w:val="0031721B"/>
    <w:rsid w:val="003177DE"/>
    <w:rsid w:val="00317B46"/>
    <w:rsid w:val="00320D47"/>
    <w:rsid w:val="00323EB5"/>
    <w:rsid w:val="003245D4"/>
    <w:rsid w:val="0032604C"/>
    <w:rsid w:val="00330561"/>
    <w:rsid w:val="00335645"/>
    <w:rsid w:val="003359C1"/>
    <w:rsid w:val="0033637A"/>
    <w:rsid w:val="00336E43"/>
    <w:rsid w:val="00337BF0"/>
    <w:rsid w:val="00341064"/>
    <w:rsid w:val="0034532A"/>
    <w:rsid w:val="003457BA"/>
    <w:rsid w:val="00351160"/>
    <w:rsid w:val="0035127A"/>
    <w:rsid w:val="00351946"/>
    <w:rsid w:val="00353488"/>
    <w:rsid w:val="003538D6"/>
    <w:rsid w:val="0035423A"/>
    <w:rsid w:val="00355FE1"/>
    <w:rsid w:val="00357A56"/>
    <w:rsid w:val="00360EFC"/>
    <w:rsid w:val="0036217B"/>
    <w:rsid w:val="003672C5"/>
    <w:rsid w:val="0036759F"/>
    <w:rsid w:val="003676B8"/>
    <w:rsid w:val="0037618C"/>
    <w:rsid w:val="00381834"/>
    <w:rsid w:val="00385B6E"/>
    <w:rsid w:val="0039111F"/>
    <w:rsid w:val="00391300"/>
    <w:rsid w:val="00391F18"/>
    <w:rsid w:val="00393784"/>
    <w:rsid w:val="00395BA6"/>
    <w:rsid w:val="003972D2"/>
    <w:rsid w:val="003A229D"/>
    <w:rsid w:val="003A3C73"/>
    <w:rsid w:val="003A4A48"/>
    <w:rsid w:val="003A5987"/>
    <w:rsid w:val="003A5BCC"/>
    <w:rsid w:val="003B0008"/>
    <w:rsid w:val="003B2C9C"/>
    <w:rsid w:val="003B5A65"/>
    <w:rsid w:val="003B78F5"/>
    <w:rsid w:val="003C0015"/>
    <w:rsid w:val="003C106F"/>
    <w:rsid w:val="003C15ED"/>
    <w:rsid w:val="003C6AB6"/>
    <w:rsid w:val="003D3683"/>
    <w:rsid w:val="003D60EA"/>
    <w:rsid w:val="003E0696"/>
    <w:rsid w:val="003E0B27"/>
    <w:rsid w:val="003E4196"/>
    <w:rsid w:val="003E6CDE"/>
    <w:rsid w:val="003E7032"/>
    <w:rsid w:val="003F024E"/>
    <w:rsid w:val="003F1AC4"/>
    <w:rsid w:val="003F1EEF"/>
    <w:rsid w:val="003F2551"/>
    <w:rsid w:val="003F4595"/>
    <w:rsid w:val="003F7295"/>
    <w:rsid w:val="00401152"/>
    <w:rsid w:val="004012F6"/>
    <w:rsid w:val="004019B3"/>
    <w:rsid w:val="00405EB4"/>
    <w:rsid w:val="00405FA2"/>
    <w:rsid w:val="00406257"/>
    <w:rsid w:val="0040669E"/>
    <w:rsid w:val="0040700D"/>
    <w:rsid w:val="0040737F"/>
    <w:rsid w:val="004101F1"/>
    <w:rsid w:val="00414E8A"/>
    <w:rsid w:val="004150A1"/>
    <w:rsid w:val="00416645"/>
    <w:rsid w:val="004166B1"/>
    <w:rsid w:val="00416982"/>
    <w:rsid w:val="00421A51"/>
    <w:rsid w:val="00421C9B"/>
    <w:rsid w:val="00422E01"/>
    <w:rsid w:val="00423AB6"/>
    <w:rsid w:val="00427380"/>
    <w:rsid w:val="00432E80"/>
    <w:rsid w:val="00435137"/>
    <w:rsid w:val="00441FB1"/>
    <w:rsid w:val="0044360B"/>
    <w:rsid w:val="004438EC"/>
    <w:rsid w:val="00444783"/>
    <w:rsid w:val="004449A0"/>
    <w:rsid w:val="00445C24"/>
    <w:rsid w:val="00445FE2"/>
    <w:rsid w:val="00446073"/>
    <w:rsid w:val="00453D62"/>
    <w:rsid w:val="00454084"/>
    <w:rsid w:val="00457AE1"/>
    <w:rsid w:val="00457BAE"/>
    <w:rsid w:val="004607F0"/>
    <w:rsid w:val="00464496"/>
    <w:rsid w:val="00465A56"/>
    <w:rsid w:val="00466E53"/>
    <w:rsid w:val="00467F6F"/>
    <w:rsid w:val="004718DB"/>
    <w:rsid w:val="00471B2B"/>
    <w:rsid w:val="00473616"/>
    <w:rsid w:val="00473D8F"/>
    <w:rsid w:val="00474781"/>
    <w:rsid w:val="004764B7"/>
    <w:rsid w:val="004765FC"/>
    <w:rsid w:val="00476B13"/>
    <w:rsid w:val="004800A1"/>
    <w:rsid w:val="004804F9"/>
    <w:rsid w:val="004816A8"/>
    <w:rsid w:val="004836AE"/>
    <w:rsid w:val="0048594B"/>
    <w:rsid w:val="0048688D"/>
    <w:rsid w:val="004869EA"/>
    <w:rsid w:val="00486EEF"/>
    <w:rsid w:val="004900F6"/>
    <w:rsid w:val="0049020B"/>
    <w:rsid w:val="00490401"/>
    <w:rsid w:val="004905AC"/>
    <w:rsid w:val="0049479B"/>
    <w:rsid w:val="00496C1D"/>
    <w:rsid w:val="00496FF0"/>
    <w:rsid w:val="004A02F8"/>
    <w:rsid w:val="004A1D5B"/>
    <w:rsid w:val="004A2397"/>
    <w:rsid w:val="004B1235"/>
    <w:rsid w:val="004B32D2"/>
    <w:rsid w:val="004B4AFB"/>
    <w:rsid w:val="004B4E13"/>
    <w:rsid w:val="004B51E4"/>
    <w:rsid w:val="004B51EE"/>
    <w:rsid w:val="004B5738"/>
    <w:rsid w:val="004B5843"/>
    <w:rsid w:val="004B6190"/>
    <w:rsid w:val="004B6722"/>
    <w:rsid w:val="004B7E0A"/>
    <w:rsid w:val="004C009F"/>
    <w:rsid w:val="004C26F4"/>
    <w:rsid w:val="004C2AD5"/>
    <w:rsid w:val="004C428F"/>
    <w:rsid w:val="004C4EA8"/>
    <w:rsid w:val="004D239A"/>
    <w:rsid w:val="004D2732"/>
    <w:rsid w:val="004E0161"/>
    <w:rsid w:val="004E136D"/>
    <w:rsid w:val="004E184F"/>
    <w:rsid w:val="004E1EE7"/>
    <w:rsid w:val="004E2250"/>
    <w:rsid w:val="004E3777"/>
    <w:rsid w:val="004E3FD1"/>
    <w:rsid w:val="004E6A83"/>
    <w:rsid w:val="004E71B9"/>
    <w:rsid w:val="004E76FF"/>
    <w:rsid w:val="004E7E90"/>
    <w:rsid w:val="004F0EF7"/>
    <w:rsid w:val="004F6AFB"/>
    <w:rsid w:val="00500008"/>
    <w:rsid w:val="00501524"/>
    <w:rsid w:val="00502DEE"/>
    <w:rsid w:val="00504455"/>
    <w:rsid w:val="0050587B"/>
    <w:rsid w:val="00506E08"/>
    <w:rsid w:val="00510C6B"/>
    <w:rsid w:val="005116AF"/>
    <w:rsid w:val="005138A8"/>
    <w:rsid w:val="00513B1D"/>
    <w:rsid w:val="00513BFD"/>
    <w:rsid w:val="00514294"/>
    <w:rsid w:val="00514B81"/>
    <w:rsid w:val="00517A39"/>
    <w:rsid w:val="00520807"/>
    <w:rsid w:val="005241D6"/>
    <w:rsid w:val="005246EB"/>
    <w:rsid w:val="005250D9"/>
    <w:rsid w:val="00525D8A"/>
    <w:rsid w:val="00525FFD"/>
    <w:rsid w:val="005273DE"/>
    <w:rsid w:val="0053003F"/>
    <w:rsid w:val="00532119"/>
    <w:rsid w:val="00532A55"/>
    <w:rsid w:val="00532D33"/>
    <w:rsid w:val="00532E84"/>
    <w:rsid w:val="0053430F"/>
    <w:rsid w:val="0053660D"/>
    <w:rsid w:val="005378D1"/>
    <w:rsid w:val="005378D9"/>
    <w:rsid w:val="005400B9"/>
    <w:rsid w:val="00540907"/>
    <w:rsid w:val="005419EA"/>
    <w:rsid w:val="00541A05"/>
    <w:rsid w:val="005420E6"/>
    <w:rsid w:val="00543708"/>
    <w:rsid w:val="00546313"/>
    <w:rsid w:val="00547DE1"/>
    <w:rsid w:val="00547F44"/>
    <w:rsid w:val="005500F7"/>
    <w:rsid w:val="00550EF4"/>
    <w:rsid w:val="00553DA9"/>
    <w:rsid w:val="00553F70"/>
    <w:rsid w:val="005550A6"/>
    <w:rsid w:val="00555628"/>
    <w:rsid w:val="00557217"/>
    <w:rsid w:val="00557C22"/>
    <w:rsid w:val="005608D2"/>
    <w:rsid w:val="00561A12"/>
    <w:rsid w:val="0056312D"/>
    <w:rsid w:val="005632DC"/>
    <w:rsid w:val="00564A14"/>
    <w:rsid w:val="005673CB"/>
    <w:rsid w:val="00567759"/>
    <w:rsid w:val="00570BA9"/>
    <w:rsid w:val="00572517"/>
    <w:rsid w:val="00572935"/>
    <w:rsid w:val="00573106"/>
    <w:rsid w:val="00573D39"/>
    <w:rsid w:val="00574DF5"/>
    <w:rsid w:val="005755CB"/>
    <w:rsid w:val="00575DD7"/>
    <w:rsid w:val="00575E8F"/>
    <w:rsid w:val="005800C7"/>
    <w:rsid w:val="005802E6"/>
    <w:rsid w:val="00580C86"/>
    <w:rsid w:val="00581859"/>
    <w:rsid w:val="00581BBE"/>
    <w:rsid w:val="005829EB"/>
    <w:rsid w:val="00582B3B"/>
    <w:rsid w:val="0058370B"/>
    <w:rsid w:val="00584030"/>
    <w:rsid w:val="00585F76"/>
    <w:rsid w:val="00587E39"/>
    <w:rsid w:val="00591644"/>
    <w:rsid w:val="00592A66"/>
    <w:rsid w:val="00592DC3"/>
    <w:rsid w:val="00594167"/>
    <w:rsid w:val="00594758"/>
    <w:rsid w:val="005A05FB"/>
    <w:rsid w:val="005A1524"/>
    <w:rsid w:val="005A1763"/>
    <w:rsid w:val="005A31F5"/>
    <w:rsid w:val="005A497D"/>
    <w:rsid w:val="005B0D2B"/>
    <w:rsid w:val="005B0FD8"/>
    <w:rsid w:val="005B1294"/>
    <w:rsid w:val="005B3142"/>
    <w:rsid w:val="005B31A5"/>
    <w:rsid w:val="005B38B5"/>
    <w:rsid w:val="005B51B1"/>
    <w:rsid w:val="005B5C90"/>
    <w:rsid w:val="005B60BE"/>
    <w:rsid w:val="005B661C"/>
    <w:rsid w:val="005B67AF"/>
    <w:rsid w:val="005C1DC8"/>
    <w:rsid w:val="005C4582"/>
    <w:rsid w:val="005C46C6"/>
    <w:rsid w:val="005C6CDD"/>
    <w:rsid w:val="005C7C33"/>
    <w:rsid w:val="005D3555"/>
    <w:rsid w:val="005D468B"/>
    <w:rsid w:val="005D69AB"/>
    <w:rsid w:val="005D6D71"/>
    <w:rsid w:val="005E0B58"/>
    <w:rsid w:val="005E14E4"/>
    <w:rsid w:val="005E1678"/>
    <w:rsid w:val="005E1997"/>
    <w:rsid w:val="005E1B53"/>
    <w:rsid w:val="005E2581"/>
    <w:rsid w:val="005E471A"/>
    <w:rsid w:val="005F0C4F"/>
    <w:rsid w:val="005F0EBF"/>
    <w:rsid w:val="005F266D"/>
    <w:rsid w:val="005F4046"/>
    <w:rsid w:val="005F5021"/>
    <w:rsid w:val="005F5EC4"/>
    <w:rsid w:val="005F7158"/>
    <w:rsid w:val="006007C6"/>
    <w:rsid w:val="00601972"/>
    <w:rsid w:val="00602A31"/>
    <w:rsid w:val="00604BC0"/>
    <w:rsid w:val="00605890"/>
    <w:rsid w:val="00605CE4"/>
    <w:rsid w:val="00605E10"/>
    <w:rsid w:val="00606A57"/>
    <w:rsid w:val="00607EE6"/>
    <w:rsid w:val="00611004"/>
    <w:rsid w:val="006111A7"/>
    <w:rsid w:val="00611D22"/>
    <w:rsid w:val="00612786"/>
    <w:rsid w:val="006128D5"/>
    <w:rsid w:val="00612CA1"/>
    <w:rsid w:val="006135F6"/>
    <w:rsid w:val="00613950"/>
    <w:rsid w:val="00613E38"/>
    <w:rsid w:val="00614CD1"/>
    <w:rsid w:val="0061572E"/>
    <w:rsid w:val="006200FA"/>
    <w:rsid w:val="006201CC"/>
    <w:rsid w:val="006207CB"/>
    <w:rsid w:val="006222FC"/>
    <w:rsid w:val="006244B6"/>
    <w:rsid w:val="0062510F"/>
    <w:rsid w:val="00625B24"/>
    <w:rsid w:val="0062618B"/>
    <w:rsid w:val="00630E7D"/>
    <w:rsid w:val="006314A1"/>
    <w:rsid w:val="0063395B"/>
    <w:rsid w:val="0063623B"/>
    <w:rsid w:val="00636766"/>
    <w:rsid w:val="00636B34"/>
    <w:rsid w:val="00637A2E"/>
    <w:rsid w:val="00637A43"/>
    <w:rsid w:val="00640D4F"/>
    <w:rsid w:val="00642062"/>
    <w:rsid w:val="006432FD"/>
    <w:rsid w:val="006444BE"/>
    <w:rsid w:val="0064455C"/>
    <w:rsid w:val="00644BD6"/>
    <w:rsid w:val="00644D8D"/>
    <w:rsid w:val="00646735"/>
    <w:rsid w:val="00647909"/>
    <w:rsid w:val="00653AA3"/>
    <w:rsid w:val="00654844"/>
    <w:rsid w:val="00654CC1"/>
    <w:rsid w:val="00654EF7"/>
    <w:rsid w:val="006572FD"/>
    <w:rsid w:val="0066244E"/>
    <w:rsid w:val="0066378C"/>
    <w:rsid w:val="00664A2E"/>
    <w:rsid w:val="00665A6A"/>
    <w:rsid w:val="00666CAF"/>
    <w:rsid w:val="00666E08"/>
    <w:rsid w:val="006671C7"/>
    <w:rsid w:val="00667BAB"/>
    <w:rsid w:val="00667F54"/>
    <w:rsid w:val="00671C65"/>
    <w:rsid w:val="0067300C"/>
    <w:rsid w:val="00673634"/>
    <w:rsid w:val="006755CB"/>
    <w:rsid w:val="006766C4"/>
    <w:rsid w:val="00676F3E"/>
    <w:rsid w:val="00677CC3"/>
    <w:rsid w:val="00681068"/>
    <w:rsid w:val="00681627"/>
    <w:rsid w:val="00682809"/>
    <w:rsid w:val="00683CA5"/>
    <w:rsid w:val="00683D65"/>
    <w:rsid w:val="00684760"/>
    <w:rsid w:val="00684A83"/>
    <w:rsid w:val="006869F8"/>
    <w:rsid w:val="00686D65"/>
    <w:rsid w:val="0069043F"/>
    <w:rsid w:val="00690921"/>
    <w:rsid w:val="00691569"/>
    <w:rsid w:val="0069192D"/>
    <w:rsid w:val="0069499B"/>
    <w:rsid w:val="00694E6F"/>
    <w:rsid w:val="00695C2E"/>
    <w:rsid w:val="00697B73"/>
    <w:rsid w:val="006A1A69"/>
    <w:rsid w:val="006A2D11"/>
    <w:rsid w:val="006A61F0"/>
    <w:rsid w:val="006A64CB"/>
    <w:rsid w:val="006A6DD6"/>
    <w:rsid w:val="006B1826"/>
    <w:rsid w:val="006B406B"/>
    <w:rsid w:val="006B6F33"/>
    <w:rsid w:val="006B7138"/>
    <w:rsid w:val="006D02F7"/>
    <w:rsid w:val="006D0671"/>
    <w:rsid w:val="006D1233"/>
    <w:rsid w:val="006D3819"/>
    <w:rsid w:val="006D3B3F"/>
    <w:rsid w:val="006D3CDE"/>
    <w:rsid w:val="006D5567"/>
    <w:rsid w:val="006E14B0"/>
    <w:rsid w:val="006E2180"/>
    <w:rsid w:val="006E3CE1"/>
    <w:rsid w:val="006E3F7A"/>
    <w:rsid w:val="006E4B79"/>
    <w:rsid w:val="006F0D80"/>
    <w:rsid w:val="006F100B"/>
    <w:rsid w:val="006F173E"/>
    <w:rsid w:val="006F2516"/>
    <w:rsid w:val="006F3CBC"/>
    <w:rsid w:val="006F4504"/>
    <w:rsid w:val="006F47E3"/>
    <w:rsid w:val="006F55F2"/>
    <w:rsid w:val="006F6DB7"/>
    <w:rsid w:val="00700D93"/>
    <w:rsid w:val="00701907"/>
    <w:rsid w:val="00701AF9"/>
    <w:rsid w:val="00701B92"/>
    <w:rsid w:val="00701FBF"/>
    <w:rsid w:val="00702051"/>
    <w:rsid w:val="00702148"/>
    <w:rsid w:val="007032EF"/>
    <w:rsid w:val="007034E8"/>
    <w:rsid w:val="007042B5"/>
    <w:rsid w:val="00705731"/>
    <w:rsid w:val="00707C8D"/>
    <w:rsid w:val="0071409A"/>
    <w:rsid w:val="0071451F"/>
    <w:rsid w:val="00715880"/>
    <w:rsid w:val="00720EEE"/>
    <w:rsid w:val="0072109E"/>
    <w:rsid w:val="00721CD2"/>
    <w:rsid w:val="00724D5D"/>
    <w:rsid w:val="0072636B"/>
    <w:rsid w:val="00732AD9"/>
    <w:rsid w:val="00733AA0"/>
    <w:rsid w:val="00733C80"/>
    <w:rsid w:val="00733E36"/>
    <w:rsid w:val="00736597"/>
    <w:rsid w:val="007370E1"/>
    <w:rsid w:val="007374DC"/>
    <w:rsid w:val="007377FB"/>
    <w:rsid w:val="0074043A"/>
    <w:rsid w:val="007437CD"/>
    <w:rsid w:val="007437E5"/>
    <w:rsid w:val="00744116"/>
    <w:rsid w:val="00744713"/>
    <w:rsid w:val="007452F1"/>
    <w:rsid w:val="0075292B"/>
    <w:rsid w:val="00753C21"/>
    <w:rsid w:val="00754C88"/>
    <w:rsid w:val="007576A6"/>
    <w:rsid w:val="00760712"/>
    <w:rsid w:val="00765D91"/>
    <w:rsid w:val="007663BE"/>
    <w:rsid w:val="007664B5"/>
    <w:rsid w:val="00767E9B"/>
    <w:rsid w:val="007708B3"/>
    <w:rsid w:val="00770ED7"/>
    <w:rsid w:val="007733D0"/>
    <w:rsid w:val="00774712"/>
    <w:rsid w:val="00775162"/>
    <w:rsid w:val="007755A5"/>
    <w:rsid w:val="00775E79"/>
    <w:rsid w:val="00777810"/>
    <w:rsid w:val="007779E7"/>
    <w:rsid w:val="00780445"/>
    <w:rsid w:val="00781AF7"/>
    <w:rsid w:val="007826B4"/>
    <w:rsid w:val="00785960"/>
    <w:rsid w:val="007863E7"/>
    <w:rsid w:val="00787790"/>
    <w:rsid w:val="007904BC"/>
    <w:rsid w:val="007910BE"/>
    <w:rsid w:val="0079216D"/>
    <w:rsid w:val="00792787"/>
    <w:rsid w:val="00794940"/>
    <w:rsid w:val="00795708"/>
    <w:rsid w:val="00795828"/>
    <w:rsid w:val="007A2576"/>
    <w:rsid w:val="007A3AEE"/>
    <w:rsid w:val="007A3D21"/>
    <w:rsid w:val="007A55B6"/>
    <w:rsid w:val="007A5F64"/>
    <w:rsid w:val="007A66F7"/>
    <w:rsid w:val="007B0975"/>
    <w:rsid w:val="007B18CB"/>
    <w:rsid w:val="007B199D"/>
    <w:rsid w:val="007B1DBD"/>
    <w:rsid w:val="007B2095"/>
    <w:rsid w:val="007B3A19"/>
    <w:rsid w:val="007B400F"/>
    <w:rsid w:val="007B6DC7"/>
    <w:rsid w:val="007C074C"/>
    <w:rsid w:val="007C0AF1"/>
    <w:rsid w:val="007C12C0"/>
    <w:rsid w:val="007C1A5C"/>
    <w:rsid w:val="007C1CB3"/>
    <w:rsid w:val="007C2AD3"/>
    <w:rsid w:val="007C3771"/>
    <w:rsid w:val="007C62E3"/>
    <w:rsid w:val="007C645D"/>
    <w:rsid w:val="007C78BA"/>
    <w:rsid w:val="007C7E67"/>
    <w:rsid w:val="007D591A"/>
    <w:rsid w:val="007D653D"/>
    <w:rsid w:val="007D68E9"/>
    <w:rsid w:val="007D73C6"/>
    <w:rsid w:val="007D752A"/>
    <w:rsid w:val="007D77E5"/>
    <w:rsid w:val="007E1E35"/>
    <w:rsid w:val="007E2168"/>
    <w:rsid w:val="007E3777"/>
    <w:rsid w:val="007E3A5C"/>
    <w:rsid w:val="007E56F7"/>
    <w:rsid w:val="007E6912"/>
    <w:rsid w:val="007E6936"/>
    <w:rsid w:val="007E6A19"/>
    <w:rsid w:val="007F0887"/>
    <w:rsid w:val="007F09BF"/>
    <w:rsid w:val="007F22F1"/>
    <w:rsid w:val="007F2966"/>
    <w:rsid w:val="007F538A"/>
    <w:rsid w:val="007F6F03"/>
    <w:rsid w:val="007F6F39"/>
    <w:rsid w:val="007F7771"/>
    <w:rsid w:val="008003CF"/>
    <w:rsid w:val="008015A3"/>
    <w:rsid w:val="0080313F"/>
    <w:rsid w:val="00806AD9"/>
    <w:rsid w:val="00810412"/>
    <w:rsid w:val="008117F9"/>
    <w:rsid w:val="00811BB3"/>
    <w:rsid w:val="008139C8"/>
    <w:rsid w:val="00813A3F"/>
    <w:rsid w:val="00813B41"/>
    <w:rsid w:val="00814D43"/>
    <w:rsid w:val="00821F76"/>
    <w:rsid w:val="00822FC5"/>
    <w:rsid w:val="00822FFB"/>
    <w:rsid w:val="00823D4A"/>
    <w:rsid w:val="00824088"/>
    <w:rsid w:val="00824FDD"/>
    <w:rsid w:val="008255C7"/>
    <w:rsid w:val="00825DF8"/>
    <w:rsid w:val="0082732C"/>
    <w:rsid w:val="00827E6D"/>
    <w:rsid w:val="00827F1B"/>
    <w:rsid w:val="008327BE"/>
    <w:rsid w:val="008354AE"/>
    <w:rsid w:val="00835AAC"/>
    <w:rsid w:val="008361CD"/>
    <w:rsid w:val="0083740D"/>
    <w:rsid w:val="008400E7"/>
    <w:rsid w:val="00840F67"/>
    <w:rsid w:val="00841ABB"/>
    <w:rsid w:val="00844AFF"/>
    <w:rsid w:val="00851811"/>
    <w:rsid w:val="00851D12"/>
    <w:rsid w:val="00852B58"/>
    <w:rsid w:val="00854F6A"/>
    <w:rsid w:val="00855BFE"/>
    <w:rsid w:val="00861298"/>
    <w:rsid w:val="00861D96"/>
    <w:rsid w:val="00866F83"/>
    <w:rsid w:val="008677EF"/>
    <w:rsid w:val="00867968"/>
    <w:rsid w:val="00867989"/>
    <w:rsid w:val="00870F29"/>
    <w:rsid w:val="00872870"/>
    <w:rsid w:val="00877ECE"/>
    <w:rsid w:val="00881413"/>
    <w:rsid w:val="008835BB"/>
    <w:rsid w:val="0088369A"/>
    <w:rsid w:val="00885616"/>
    <w:rsid w:val="00886DA8"/>
    <w:rsid w:val="00887063"/>
    <w:rsid w:val="0088754A"/>
    <w:rsid w:val="008920FC"/>
    <w:rsid w:val="00893E8A"/>
    <w:rsid w:val="00895D2B"/>
    <w:rsid w:val="00895F5C"/>
    <w:rsid w:val="00896016"/>
    <w:rsid w:val="008960A8"/>
    <w:rsid w:val="008961B7"/>
    <w:rsid w:val="008974A6"/>
    <w:rsid w:val="008A09C4"/>
    <w:rsid w:val="008A1802"/>
    <w:rsid w:val="008A263B"/>
    <w:rsid w:val="008A34BA"/>
    <w:rsid w:val="008A3836"/>
    <w:rsid w:val="008A43B8"/>
    <w:rsid w:val="008A6169"/>
    <w:rsid w:val="008A654D"/>
    <w:rsid w:val="008B01F4"/>
    <w:rsid w:val="008B0D9E"/>
    <w:rsid w:val="008B1CD5"/>
    <w:rsid w:val="008B223B"/>
    <w:rsid w:val="008B2487"/>
    <w:rsid w:val="008B2BAF"/>
    <w:rsid w:val="008C02C5"/>
    <w:rsid w:val="008C09D4"/>
    <w:rsid w:val="008C12A6"/>
    <w:rsid w:val="008C19B3"/>
    <w:rsid w:val="008C294A"/>
    <w:rsid w:val="008C38A9"/>
    <w:rsid w:val="008C43B2"/>
    <w:rsid w:val="008C5A8A"/>
    <w:rsid w:val="008C6B29"/>
    <w:rsid w:val="008C76E1"/>
    <w:rsid w:val="008D0678"/>
    <w:rsid w:val="008D158F"/>
    <w:rsid w:val="008D3F41"/>
    <w:rsid w:val="008D47BE"/>
    <w:rsid w:val="008D4F26"/>
    <w:rsid w:val="008D6FA0"/>
    <w:rsid w:val="008D7349"/>
    <w:rsid w:val="008D766C"/>
    <w:rsid w:val="008E18C9"/>
    <w:rsid w:val="008E20DE"/>
    <w:rsid w:val="008E3807"/>
    <w:rsid w:val="008E4E63"/>
    <w:rsid w:val="008E58A2"/>
    <w:rsid w:val="008E6FDD"/>
    <w:rsid w:val="008E748E"/>
    <w:rsid w:val="008F1713"/>
    <w:rsid w:val="008F47A2"/>
    <w:rsid w:val="008F5746"/>
    <w:rsid w:val="008F7723"/>
    <w:rsid w:val="009019F6"/>
    <w:rsid w:val="00905EFC"/>
    <w:rsid w:val="0090779E"/>
    <w:rsid w:val="00912631"/>
    <w:rsid w:val="00914846"/>
    <w:rsid w:val="00914B75"/>
    <w:rsid w:val="00915555"/>
    <w:rsid w:val="009226D7"/>
    <w:rsid w:val="00923F18"/>
    <w:rsid w:val="00924A85"/>
    <w:rsid w:val="00925B75"/>
    <w:rsid w:val="00925BD0"/>
    <w:rsid w:val="00931696"/>
    <w:rsid w:val="009316FD"/>
    <w:rsid w:val="00932C3B"/>
    <w:rsid w:val="009360DC"/>
    <w:rsid w:val="00940592"/>
    <w:rsid w:val="00942FC2"/>
    <w:rsid w:val="00954E7E"/>
    <w:rsid w:val="0095666A"/>
    <w:rsid w:val="00956C03"/>
    <w:rsid w:val="0096081F"/>
    <w:rsid w:val="00963C9E"/>
    <w:rsid w:val="0096400B"/>
    <w:rsid w:val="009640AB"/>
    <w:rsid w:val="00966295"/>
    <w:rsid w:val="00972292"/>
    <w:rsid w:val="00975637"/>
    <w:rsid w:val="009756A6"/>
    <w:rsid w:val="00976141"/>
    <w:rsid w:val="00976B9D"/>
    <w:rsid w:val="0097704D"/>
    <w:rsid w:val="00977264"/>
    <w:rsid w:val="00977A67"/>
    <w:rsid w:val="00977CE2"/>
    <w:rsid w:val="00982469"/>
    <w:rsid w:val="00984107"/>
    <w:rsid w:val="00984BDD"/>
    <w:rsid w:val="00984E28"/>
    <w:rsid w:val="009863FC"/>
    <w:rsid w:val="0098653A"/>
    <w:rsid w:val="0098734C"/>
    <w:rsid w:val="00987CCF"/>
    <w:rsid w:val="00990416"/>
    <w:rsid w:val="00990BB5"/>
    <w:rsid w:val="0099200B"/>
    <w:rsid w:val="00993225"/>
    <w:rsid w:val="00993B8B"/>
    <w:rsid w:val="00995FF2"/>
    <w:rsid w:val="009A1DC7"/>
    <w:rsid w:val="009A2D90"/>
    <w:rsid w:val="009A34F2"/>
    <w:rsid w:val="009A5B7D"/>
    <w:rsid w:val="009B03D3"/>
    <w:rsid w:val="009B1CDE"/>
    <w:rsid w:val="009B2B32"/>
    <w:rsid w:val="009B2FBE"/>
    <w:rsid w:val="009B46F6"/>
    <w:rsid w:val="009B478E"/>
    <w:rsid w:val="009B5033"/>
    <w:rsid w:val="009B63C0"/>
    <w:rsid w:val="009C0092"/>
    <w:rsid w:val="009C0B28"/>
    <w:rsid w:val="009C1508"/>
    <w:rsid w:val="009C28EC"/>
    <w:rsid w:val="009C463F"/>
    <w:rsid w:val="009C6E13"/>
    <w:rsid w:val="009C7818"/>
    <w:rsid w:val="009D0352"/>
    <w:rsid w:val="009D1D59"/>
    <w:rsid w:val="009D49F0"/>
    <w:rsid w:val="009D6B19"/>
    <w:rsid w:val="009E248D"/>
    <w:rsid w:val="009E24CE"/>
    <w:rsid w:val="009E351A"/>
    <w:rsid w:val="009E53A3"/>
    <w:rsid w:val="009E5D2F"/>
    <w:rsid w:val="009E65DE"/>
    <w:rsid w:val="009E709A"/>
    <w:rsid w:val="009E7FB1"/>
    <w:rsid w:val="009F00C9"/>
    <w:rsid w:val="009F053A"/>
    <w:rsid w:val="009F25F6"/>
    <w:rsid w:val="009F52FA"/>
    <w:rsid w:val="009F5A3E"/>
    <w:rsid w:val="00A03DD4"/>
    <w:rsid w:val="00A04AB3"/>
    <w:rsid w:val="00A04F24"/>
    <w:rsid w:val="00A0527A"/>
    <w:rsid w:val="00A06176"/>
    <w:rsid w:val="00A12C8E"/>
    <w:rsid w:val="00A131A6"/>
    <w:rsid w:val="00A157FD"/>
    <w:rsid w:val="00A15BF6"/>
    <w:rsid w:val="00A16392"/>
    <w:rsid w:val="00A22151"/>
    <w:rsid w:val="00A2437F"/>
    <w:rsid w:val="00A24492"/>
    <w:rsid w:val="00A2586B"/>
    <w:rsid w:val="00A264D0"/>
    <w:rsid w:val="00A27B70"/>
    <w:rsid w:val="00A300C1"/>
    <w:rsid w:val="00A3027C"/>
    <w:rsid w:val="00A308D5"/>
    <w:rsid w:val="00A30C35"/>
    <w:rsid w:val="00A316C1"/>
    <w:rsid w:val="00A32EA7"/>
    <w:rsid w:val="00A41E09"/>
    <w:rsid w:val="00A4239C"/>
    <w:rsid w:val="00A44C23"/>
    <w:rsid w:val="00A4621B"/>
    <w:rsid w:val="00A47AEA"/>
    <w:rsid w:val="00A47D93"/>
    <w:rsid w:val="00A52BDB"/>
    <w:rsid w:val="00A53AD0"/>
    <w:rsid w:val="00A56573"/>
    <w:rsid w:val="00A57669"/>
    <w:rsid w:val="00A57D68"/>
    <w:rsid w:val="00A6156F"/>
    <w:rsid w:val="00A62E9F"/>
    <w:rsid w:val="00A63854"/>
    <w:rsid w:val="00A64288"/>
    <w:rsid w:val="00A6520C"/>
    <w:rsid w:val="00A65A21"/>
    <w:rsid w:val="00A65D19"/>
    <w:rsid w:val="00A667A5"/>
    <w:rsid w:val="00A7086B"/>
    <w:rsid w:val="00A71090"/>
    <w:rsid w:val="00A74F7D"/>
    <w:rsid w:val="00A754BF"/>
    <w:rsid w:val="00A76430"/>
    <w:rsid w:val="00A77EC8"/>
    <w:rsid w:val="00A814D3"/>
    <w:rsid w:val="00A833D6"/>
    <w:rsid w:val="00A84029"/>
    <w:rsid w:val="00A84D75"/>
    <w:rsid w:val="00A87256"/>
    <w:rsid w:val="00A90649"/>
    <w:rsid w:val="00A930EE"/>
    <w:rsid w:val="00A94D92"/>
    <w:rsid w:val="00A95BD5"/>
    <w:rsid w:val="00A96D49"/>
    <w:rsid w:val="00AA13D5"/>
    <w:rsid w:val="00AA2659"/>
    <w:rsid w:val="00AA38C1"/>
    <w:rsid w:val="00AA3A4D"/>
    <w:rsid w:val="00AA3DD9"/>
    <w:rsid w:val="00AA3F0C"/>
    <w:rsid w:val="00AA4A3D"/>
    <w:rsid w:val="00AA646B"/>
    <w:rsid w:val="00AA69F6"/>
    <w:rsid w:val="00AA7142"/>
    <w:rsid w:val="00AB3DD9"/>
    <w:rsid w:val="00AB519A"/>
    <w:rsid w:val="00AB6F68"/>
    <w:rsid w:val="00AC01DD"/>
    <w:rsid w:val="00AC0535"/>
    <w:rsid w:val="00AC351A"/>
    <w:rsid w:val="00AC38EF"/>
    <w:rsid w:val="00AC60CC"/>
    <w:rsid w:val="00AC784E"/>
    <w:rsid w:val="00AC7C35"/>
    <w:rsid w:val="00AD1EC2"/>
    <w:rsid w:val="00AD2726"/>
    <w:rsid w:val="00AD3059"/>
    <w:rsid w:val="00AD4207"/>
    <w:rsid w:val="00AD4231"/>
    <w:rsid w:val="00AD4B56"/>
    <w:rsid w:val="00AD5307"/>
    <w:rsid w:val="00AD5E76"/>
    <w:rsid w:val="00AE18B7"/>
    <w:rsid w:val="00AE25B3"/>
    <w:rsid w:val="00AE3814"/>
    <w:rsid w:val="00AE67DF"/>
    <w:rsid w:val="00AE6D28"/>
    <w:rsid w:val="00AE71CD"/>
    <w:rsid w:val="00AF2B94"/>
    <w:rsid w:val="00AF3D84"/>
    <w:rsid w:val="00AF47D7"/>
    <w:rsid w:val="00AF4843"/>
    <w:rsid w:val="00AF5860"/>
    <w:rsid w:val="00B007B5"/>
    <w:rsid w:val="00B02AC9"/>
    <w:rsid w:val="00B06EEB"/>
    <w:rsid w:val="00B11252"/>
    <w:rsid w:val="00B135C9"/>
    <w:rsid w:val="00B1411B"/>
    <w:rsid w:val="00B25521"/>
    <w:rsid w:val="00B304AB"/>
    <w:rsid w:val="00B31C10"/>
    <w:rsid w:val="00B358FF"/>
    <w:rsid w:val="00B37CC7"/>
    <w:rsid w:val="00B40B83"/>
    <w:rsid w:val="00B421E6"/>
    <w:rsid w:val="00B44897"/>
    <w:rsid w:val="00B44F5F"/>
    <w:rsid w:val="00B45B0D"/>
    <w:rsid w:val="00B512F0"/>
    <w:rsid w:val="00B55674"/>
    <w:rsid w:val="00B619D7"/>
    <w:rsid w:val="00B670EF"/>
    <w:rsid w:val="00B6798D"/>
    <w:rsid w:val="00B71B52"/>
    <w:rsid w:val="00B753AB"/>
    <w:rsid w:val="00B77721"/>
    <w:rsid w:val="00B777D9"/>
    <w:rsid w:val="00B8275A"/>
    <w:rsid w:val="00B827B3"/>
    <w:rsid w:val="00B83EFA"/>
    <w:rsid w:val="00B8440B"/>
    <w:rsid w:val="00B87F2F"/>
    <w:rsid w:val="00B918D0"/>
    <w:rsid w:val="00B934DF"/>
    <w:rsid w:val="00B940F7"/>
    <w:rsid w:val="00B941FB"/>
    <w:rsid w:val="00BA21FD"/>
    <w:rsid w:val="00BA386C"/>
    <w:rsid w:val="00BA447E"/>
    <w:rsid w:val="00BA4B22"/>
    <w:rsid w:val="00BA4C08"/>
    <w:rsid w:val="00BA5E7F"/>
    <w:rsid w:val="00BA61AB"/>
    <w:rsid w:val="00BA66E0"/>
    <w:rsid w:val="00BA7033"/>
    <w:rsid w:val="00BA7DB9"/>
    <w:rsid w:val="00BB043F"/>
    <w:rsid w:val="00BB09A0"/>
    <w:rsid w:val="00BB3A1F"/>
    <w:rsid w:val="00BB520D"/>
    <w:rsid w:val="00BB5F85"/>
    <w:rsid w:val="00BB6A15"/>
    <w:rsid w:val="00BB6B94"/>
    <w:rsid w:val="00BC125E"/>
    <w:rsid w:val="00BC1D38"/>
    <w:rsid w:val="00BC50DC"/>
    <w:rsid w:val="00BC5A50"/>
    <w:rsid w:val="00BC7408"/>
    <w:rsid w:val="00BD0631"/>
    <w:rsid w:val="00BD0A7B"/>
    <w:rsid w:val="00BD2EEF"/>
    <w:rsid w:val="00BD494D"/>
    <w:rsid w:val="00BD657E"/>
    <w:rsid w:val="00BD6D45"/>
    <w:rsid w:val="00BD6E12"/>
    <w:rsid w:val="00BD7D04"/>
    <w:rsid w:val="00BE1447"/>
    <w:rsid w:val="00BE1534"/>
    <w:rsid w:val="00BE1C65"/>
    <w:rsid w:val="00BE2212"/>
    <w:rsid w:val="00BE324D"/>
    <w:rsid w:val="00BE583C"/>
    <w:rsid w:val="00BF1040"/>
    <w:rsid w:val="00BF3F4F"/>
    <w:rsid w:val="00BF4742"/>
    <w:rsid w:val="00BF4C22"/>
    <w:rsid w:val="00BF509D"/>
    <w:rsid w:val="00BF6295"/>
    <w:rsid w:val="00BF6965"/>
    <w:rsid w:val="00BF71B1"/>
    <w:rsid w:val="00BF7808"/>
    <w:rsid w:val="00C031AF"/>
    <w:rsid w:val="00C03215"/>
    <w:rsid w:val="00C0794C"/>
    <w:rsid w:val="00C07B87"/>
    <w:rsid w:val="00C10A42"/>
    <w:rsid w:val="00C11C19"/>
    <w:rsid w:val="00C12038"/>
    <w:rsid w:val="00C1458F"/>
    <w:rsid w:val="00C16FEA"/>
    <w:rsid w:val="00C21376"/>
    <w:rsid w:val="00C21E5D"/>
    <w:rsid w:val="00C26006"/>
    <w:rsid w:val="00C327C6"/>
    <w:rsid w:val="00C32D54"/>
    <w:rsid w:val="00C33F20"/>
    <w:rsid w:val="00C33F7A"/>
    <w:rsid w:val="00C34DDB"/>
    <w:rsid w:val="00C350B7"/>
    <w:rsid w:val="00C37C41"/>
    <w:rsid w:val="00C401DC"/>
    <w:rsid w:val="00C40612"/>
    <w:rsid w:val="00C456DD"/>
    <w:rsid w:val="00C46B91"/>
    <w:rsid w:val="00C505BB"/>
    <w:rsid w:val="00C50A5D"/>
    <w:rsid w:val="00C53347"/>
    <w:rsid w:val="00C53E4D"/>
    <w:rsid w:val="00C558DB"/>
    <w:rsid w:val="00C56DC9"/>
    <w:rsid w:val="00C56FAA"/>
    <w:rsid w:val="00C61F15"/>
    <w:rsid w:val="00C61F28"/>
    <w:rsid w:val="00C62934"/>
    <w:rsid w:val="00C632A9"/>
    <w:rsid w:val="00C66D09"/>
    <w:rsid w:val="00C67542"/>
    <w:rsid w:val="00C71C75"/>
    <w:rsid w:val="00C728A8"/>
    <w:rsid w:val="00C73640"/>
    <w:rsid w:val="00C74821"/>
    <w:rsid w:val="00C7508E"/>
    <w:rsid w:val="00C7521F"/>
    <w:rsid w:val="00C802A4"/>
    <w:rsid w:val="00C8079C"/>
    <w:rsid w:val="00C84CB1"/>
    <w:rsid w:val="00C8590F"/>
    <w:rsid w:val="00C87E18"/>
    <w:rsid w:val="00C908E5"/>
    <w:rsid w:val="00C919CA"/>
    <w:rsid w:val="00C91D27"/>
    <w:rsid w:val="00C95BE4"/>
    <w:rsid w:val="00C96D04"/>
    <w:rsid w:val="00C973FB"/>
    <w:rsid w:val="00C976A7"/>
    <w:rsid w:val="00C97D88"/>
    <w:rsid w:val="00CA0251"/>
    <w:rsid w:val="00CA19D1"/>
    <w:rsid w:val="00CA1F1E"/>
    <w:rsid w:val="00CA276B"/>
    <w:rsid w:val="00CA2CF6"/>
    <w:rsid w:val="00CA5FE1"/>
    <w:rsid w:val="00CB3124"/>
    <w:rsid w:val="00CB361C"/>
    <w:rsid w:val="00CB3855"/>
    <w:rsid w:val="00CB4CE9"/>
    <w:rsid w:val="00CB5A92"/>
    <w:rsid w:val="00CC01C8"/>
    <w:rsid w:val="00CC1A47"/>
    <w:rsid w:val="00CC2A28"/>
    <w:rsid w:val="00CC2BF9"/>
    <w:rsid w:val="00CC4215"/>
    <w:rsid w:val="00CC4D1C"/>
    <w:rsid w:val="00CD0AC1"/>
    <w:rsid w:val="00CD1AF1"/>
    <w:rsid w:val="00CD343D"/>
    <w:rsid w:val="00CD3951"/>
    <w:rsid w:val="00CD6F44"/>
    <w:rsid w:val="00CD729F"/>
    <w:rsid w:val="00CE106B"/>
    <w:rsid w:val="00CE298F"/>
    <w:rsid w:val="00CE3DF7"/>
    <w:rsid w:val="00CE65E8"/>
    <w:rsid w:val="00CE6BF6"/>
    <w:rsid w:val="00CE760B"/>
    <w:rsid w:val="00CF045F"/>
    <w:rsid w:val="00CF3114"/>
    <w:rsid w:val="00CF32AD"/>
    <w:rsid w:val="00CF7DAB"/>
    <w:rsid w:val="00D0012A"/>
    <w:rsid w:val="00D02093"/>
    <w:rsid w:val="00D02DB4"/>
    <w:rsid w:val="00D033BF"/>
    <w:rsid w:val="00D04A8A"/>
    <w:rsid w:val="00D04BD8"/>
    <w:rsid w:val="00D05039"/>
    <w:rsid w:val="00D053C6"/>
    <w:rsid w:val="00D055BA"/>
    <w:rsid w:val="00D05E67"/>
    <w:rsid w:val="00D06FD2"/>
    <w:rsid w:val="00D07EC0"/>
    <w:rsid w:val="00D07EC8"/>
    <w:rsid w:val="00D1077B"/>
    <w:rsid w:val="00D10CD9"/>
    <w:rsid w:val="00D112FF"/>
    <w:rsid w:val="00D12855"/>
    <w:rsid w:val="00D1649B"/>
    <w:rsid w:val="00D16FD6"/>
    <w:rsid w:val="00D21C06"/>
    <w:rsid w:val="00D21C77"/>
    <w:rsid w:val="00D21DF8"/>
    <w:rsid w:val="00D25987"/>
    <w:rsid w:val="00D261AC"/>
    <w:rsid w:val="00D30C94"/>
    <w:rsid w:val="00D31189"/>
    <w:rsid w:val="00D31F19"/>
    <w:rsid w:val="00D345B0"/>
    <w:rsid w:val="00D34FE0"/>
    <w:rsid w:val="00D36499"/>
    <w:rsid w:val="00D40C9F"/>
    <w:rsid w:val="00D4242C"/>
    <w:rsid w:val="00D42430"/>
    <w:rsid w:val="00D44713"/>
    <w:rsid w:val="00D44DA6"/>
    <w:rsid w:val="00D44FB7"/>
    <w:rsid w:val="00D4677A"/>
    <w:rsid w:val="00D477C6"/>
    <w:rsid w:val="00D50B46"/>
    <w:rsid w:val="00D51B78"/>
    <w:rsid w:val="00D56ACE"/>
    <w:rsid w:val="00D57062"/>
    <w:rsid w:val="00D607CF"/>
    <w:rsid w:val="00D616D3"/>
    <w:rsid w:val="00D61DC7"/>
    <w:rsid w:val="00D6443D"/>
    <w:rsid w:val="00D64868"/>
    <w:rsid w:val="00D659ED"/>
    <w:rsid w:val="00D661B3"/>
    <w:rsid w:val="00D67E9D"/>
    <w:rsid w:val="00D71A2F"/>
    <w:rsid w:val="00D72891"/>
    <w:rsid w:val="00D72B86"/>
    <w:rsid w:val="00D742AF"/>
    <w:rsid w:val="00D77A4A"/>
    <w:rsid w:val="00D8229A"/>
    <w:rsid w:val="00D82571"/>
    <w:rsid w:val="00D83EF2"/>
    <w:rsid w:val="00D8598E"/>
    <w:rsid w:val="00D91039"/>
    <w:rsid w:val="00DA51DE"/>
    <w:rsid w:val="00DA6B87"/>
    <w:rsid w:val="00DA77C0"/>
    <w:rsid w:val="00DB0BB4"/>
    <w:rsid w:val="00DB0FA1"/>
    <w:rsid w:val="00DB2EE3"/>
    <w:rsid w:val="00DB4FFD"/>
    <w:rsid w:val="00DB55B8"/>
    <w:rsid w:val="00DB7D35"/>
    <w:rsid w:val="00DC16F5"/>
    <w:rsid w:val="00DC213B"/>
    <w:rsid w:val="00DC5141"/>
    <w:rsid w:val="00DC57A7"/>
    <w:rsid w:val="00DC683B"/>
    <w:rsid w:val="00DC6E2B"/>
    <w:rsid w:val="00DD09D9"/>
    <w:rsid w:val="00DD2427"/>
    <w:rsid w:val="00DD242E"/>
    <w:rsid w:val="00DD37CD"/>
    <w:rsid w:val="00DD3D33"/>
    <w:rsid w:val="00DD4209"/>
    <w:rsid w:val="00DD4766"/>
    <w:rsid w:val="00DD6253"/>
    <w:rsid w:val="00DD6E40"/>
    <w:rsid w:val="00DD701E"/>
    <w:rsid w:val="00DD709D"/>
    <w:rsid w:val="00DD77C6"/>
    <w:rsid w:val="00DE174B"/>
    <w:rsid w:val="00DE1DA1"/>
    <w:rsid w:val="00DE207A"/>
    <w:rsid w:val="00DE370A"/>
    <w:rsid w:val="00DE4841"/>
    <w:rsid w:val="00DE6560"/>
    <w:rsid w:val="00DE754B"/>
    <w:rsid w:val="00DF01BB"/>
    <w:rsid w:val="00DF08CC"/>
    <w:rsid w:val="00DF1E4C"/>
    <w:rsid w:val="00DF2A08"/>
    <w:rsid w:val="00DF30C2"/>
    <w:rsid w:val="00DF319C"/>
    <w:rsid w:val="00DF34C0"/>
    <w:rsid w:val="00DF4BA5"/>
    <w:rsid w:val="00DF744F"/>
    <w:rsid w:val="00E00A60"/>
    <w:rsid w:val="00E0107F"/>
    <w:rsid w:val="00E016D8"/>
    <w:rsid w:val="00E0510C"/>
    <w:rsid w:val="00E05E83"/>
    <w:rsid w:val="00E0668D"/>
    <w:rsid w:val="00E10073"/>
    <w:rsid w:val="00E15599"/>
    <w:rsid w:val="00E176D8"/>
    <w:rsid w:val="00E178F0"/>
    <w:rsid w:val="00E17E1D"/>
    <w:rsid w:val="00E21655"/>
    <w:rsid w:val="00E21C04"/>
    <w:rsid w:val="00E22168"/>
    <w:rsid w:val="00E23570"/>
    <w:rsid w:val="00E248E2"/>
    <w:rsid w:val="00E25CB9"/>
    <w:rsid w:val="00E308BF"/>
    <w:rsid w:val="00E30918"/>
    <w:rsid w:val="00E323B4"/>
    <w:rsid w:val="00E33729"/>
    <w:rsid w:val="00E345AE"/>
    <w:rsid w:val="00E34704"/>
    <w:rsid w:val="00E37AB0"/>
    <w:rsid w:val="00E408F1"/>
    <w:rsid w:val="00E40FF9"/>
    <w:rsid w:val="00E44504"/>
    <w:rsid w:val="00E44B35"/>
    <w:rsid w:val="00E452FA"/>
    <w:rsid w:val="00E4600D"/>
    <w:rsid w:val="00E4690A"/>
    <w:rsid w:val="00E4690E"/>
    <w:rsid w:val="00E52B76"/>
    <w:rsid w:val="00E53DDC"/>
    <w:rsid w:val="00E5414A"/>
    <w:rsid w:val="00E55FF1"/>
    <w:rsid w:val="00E578A8"/>
    <w:rsid w:val="00E60B2C"/>
    <w:rsid w:val="00E629B0"/>
    <w:rsid w:val="00E62EE8"/>
    <w:rsid w:val="00E73210"/>
    <w:rsid w:val="00E757E7"/>
    <w:rsid w:val="00E75B9E"/>
    <w:rsid w:val="00E76921"/>
    <w:rsid w:val="00E80F73"/>
    <w:rsid w:val="00E816A1"/>
    <w:rsid w:val="00E81D94"/>
    <w:rsid w:val="00E82441"/>
    <w:rsid w:val="00E83057"/>
    <w:rsid w:val="00E83994"/>
    <w:rsid w:val="00E85034"/>
    <w:rsid w:val="00E8505D"/>
    <w:rsid w:val="00E90810"/>
    <w:rsid w:val="00E931A6"/>
    <w:rsid w:val="00E9343E"/>
    <w:rsid w:val="00E95C6D"/>
    <w:rsid w:val="00E976AF"/>
    <w:rsid w:val="00E97AD5"/>
    <w:rsid w:val="00EA0042"/>
    <w:rsid w:val="00EA01C6"/>
    <w:rsid w:val="00EA1BA3"/>
    <w:rsid w:val="00EA3B97"/>
    <w:rsid w:val="00EA3FE2"/>
    <w:rsid w:val="00EA4D90"/>
    <w:rsid w:val="00EA7A3F"/>
    <w:rsid w:val="00EB1CF0"/>
    <w:rsid w:val="00EB2247"/>
    <w:rsid w:val="00EB33AC"/>
    <w:rsid w:val="00EB5453"/>
    <w:rsid w:val="00EB54B5"/>
    <w:rsid w:val="00EB576D"/>
    <w:rsid w:val="00EB589F"/>
    <w:rsid w:val="00EB63C2"/>
    <w:rsid w:val="00EB6799"/>
    <w:rsid w:val="00EB6F4C"/>
    <w:rsid w:val="00EB7769"/>
    <w:rsid w:val="00EC0F5A"/>
    <w:rsid w:val="00EC1C69"/>
    <w:rsid w:val="00EC2F5F"/>
    <w:rsid w:val="00EC30EB"/>
    <w:rsid w:val="00EC36C8"/>
    <w:rsid w:val="00EC3852"/>
    <w:rsid w:val="00EC6069"/>
    <w:rsid w:val="00ED0260"/>
    <w:rsid w:val="00ED142F"/>
    <w:rsid w:val="00ED2156"/>
    <w:rsid w:val="00ED36F1"/>
    <w:rsid w:val="00ED3CA1"/>
    <w:rsid w:val="00ED4CDE"/>
    <w:rsid w:val="00ED59AC"/>
    <w:rsid w:val="00ED5C02"/>
    <w:rsid w:val="00ED6EC8"/>
    <w:rsid w:val="00EE0F2C"/>
    <w:rsid w:val="00EE21AE"/>
    <w:rsid w:val="00EE393A"/>
    <w:rsid w:val="00EE60CB"/>
    <w:rsid w:val="00EE7748"/>
    <w:rsid w:val="00EE774E"/>
    <w:rsid w:val="00EE792A"/>
    <w:rsid w:val="00EE7B65"/>
    <w:rsid w:val="00EE7DB3"/>
    <w:rsid w:val="00EE7EFC"/>
    <w:rsid w:val="00EF07ED"/>
    <w:rsid w:val="00EF0B2B"/>
    <w:rsid w:val="00EF2451"/>
    <w:rsid w:val="00EF56E0"/>
    <w:rsid w:val="00F00C08"/>
    <w:rsid w:val="00F0371A"/>
    <w:rsid w:val="00F064BA"/>
    <w:rsid w:val="00F07C3B"/>
    <w:rsid w:val="00F10798"/>
    <w:rsid w:val="00F13B12"/>
    <w:rsid w:val="00F14E79"/>
    <w:rsid w:val="00F16B07"/>
    <w:rsid w:val="00F2108C"/>
    <w:rsid w:val="00F22B3A"/>
    <w:rsid w:val="00F23C47"/>
    <w:rsid w:val="00F23CF0"/>
    <w:rsid w:val="00F25C6F"/>
    <w:rsid w:val="00F26155"/>
    <w:rsid w:val="00F30935"/>
    <w:rsid w:val="00F31F87"/>
    <w:rsid w:val="00F3628A"/>
    <w:rsid w:val="00F40199"/>
    <w:rsid w:val="00F4193D"/>
    <w:rsid w:val="00F425DC"/>
    <w:rsid w:val="00F42CA9"/>
    <w:rsid w:val="00F4465B"/>
    <w:rsid w:val="00F467EF"/>
    <w:rsid w:val="00F47427"/>
    <w:rsid w:val="00F50946"/>
    <w:rsid w:val="00F54003"/>
    <w:rsid w:val="00F543EA"/>
    <w:rsid w:val="00F54E0C"/>
    <w:rsid w:val="00F55D80"/>
    <w:rsid w:val="00F55F9C"/>
    <w:rsid w:val="00F56546"/>
    <w:rsid w:val="00F5725D"/>
    <w:rsid w:val="00F57398"/>
    <w:rsid w:val="00F575FA"/>
    <w:rsid w:val="00F60F12"/>
    <w:rsid w:val="00F61274"/>
    <w:rsid w:val="00F613D2"/>
    <w:rsid w:val="00F62107"/>
    <w:rsid w:val="00F640CA"/>
    <w:rsid w:val="00F65901"/>
    <w:rsid w:val="00F674F3"/>
    <w:rsid w:val="00F71E01"/>
    <w:rsid w:val="00F727FF"/>
    <w:rsid w:val="00F74C62"/>
    <w:rsid w:val="00F76FDF"/>
    <w:rsid w:val="00F77B9E"/>
    <w:rsid w:val="00F82EE7"/>
    <w:rsid w:val="00F84E3D"/>
    <w:rsid w:val="00F87D1B"/>
    <w:rsid w:val="00F921C5"/>
    <w:rsid w:val="00F97472"/>
    <w:rsid w:val="00F97ADA"/>
    <w:rsid w:val="00FA0710"/>
    <w:rsid w:val="00FA2E63"/>
    <w:rsid w:val="00FA499B"/>
    <w:rsid w:val="00FA79A5"/>
    <w:rsid w:val="00FA79D3"/>
    <w:rsid w:val="00FB057E"/>
    <w:rsid w:val="00FB08C3"/>
    <w:rsid w:val="00FB0A0C"/>
    <w:rsid w:val="00FB3173"/>
    <w:rsid w:val="00FB457F"/>
    <w:rsid w:val="00FB49DB"/>
    <w:rsid w:val="00FB4EA4"/>
    <w:rsid w:val="00FB5B9C"/>
    <w:rsid w:val="00FB61F8"/>
    <w:rsid w:val="00FB7628"/>
    <w:rsid w:val="00FC22EB"/>
    <w:rsid w:val="00FC32F3"/>
    <w:rsid w:val="00FC3CAE"/>
    <w:rsid w:val="00FC4660"/>
    <w:rsid w:val="00FC4839"/>
    <w:rsid w:val="00FC4CFF"/>
    <w:rsid w:val="00FC70DF"/>
    <w:rsid w:val="00FD01EE"/>
    <w:rsid w:val="00FD0E5E"/>
    <w:rsid w:val="00FD0F26"/>
    <w:rsid w:val="00FD1D33"/>
    <w:rsid w:val="00FD224C"/>
    <w:rsid w:val="00FD329E"/>
    <w:rsid w:val="00FD6D21"/>
    <w:rsid w:val="00FE112B"/>
    <w:rsid w:val="00FE2E87"/>
    <w:rsid w:val="00FE63DC"/>
    <w:rsid w:val="00FE758C"/>
    <w:rsid w:val="00FF0D5B"/>
    <w:rsid w:val="00FF33FE"/>
    <w:rsid w:val="00FF4210"/>
    <w:rsid w:val="00FF4C35"/>
    <w:rsid w:val="00FF4E37"/>
    <w:rsid w:val="00FF558C"/>
    <w:rsid w:val="00FF6C33"/>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C1EEA4"/>
  <w15:docId w15:val="{21213CBE-3213-43AB-B674-CF974D85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033"/>
    <w:pPr>
      <w:numPr>
        <w:numId w:val="24"/>
      </w:numPr>
      <w:ind w:right="-375"/>
      <w:outlineLvl w:val="0"/>
    </w:pPr>
    <w:rPr>
      <w:rFonts w:ascii="Gill Sans MT" w:hAnsi="Gill Sans MT" w:cs="Times New Roman"/>
      <w:b/>
      <w:bCs/>
      <w:sz w:val="24"/>
      <w:szCs w:val="24"/>
    </w:rPr>
  </w:style>
  <w:style w:type="paragraph" w:styleId="Heading2">
    <w:name w:val="heading 2"/>
    <w:basedOn w:val="Heading1"/>
    <w:next w:val="Normal"/>
    <w:link w:val="Heading2Char"/>
    <w:autoRedefine/>
    <w:uiPriority w:val="9"/>
    <w:unhideWhenUsed/>
    <w:qFormat/>
    <w:rsid w:val="005500F7"/>
    <w:pPr>
      <w:numPr>
        <w:ilvl w:val="1"/>
      </w:numPr>
      <w:outlineLvl w:val="1"/>
    </w:pPr>
    <w:rPr>
      <w:rFonts w:ascii="Aptos" w:hAnsi="Aptos"/>
      <w:sz w:val="22"/>
      <w:szCs w:val="22"/>
    </w:rPr>
  </w:style>
  <w:style w:type="paragraph" w:styleId="Heading3">
    <w:name w:val="heading 3"/>
    <w:basedOn w:val="Heading2"/>
    <w:next w:val="Normal"/>
    <w:link w:val="Heading3Char"/>
    <w:uiPriority w:val="9"/>
    <w:unhideWhenUsed/>
    <w:qFormat/>
    <w:rsid w:val="00B02AC9"/>
    <w:pPr>
      <w:numPr>
        <w:ilvl w:val="2"/>
      </w:numPr>
      <w:ind w:left="1004" w:hanging="720"/>
      <w:outlineLvl w:val="2"/>
    </w:pPr>
  </w:style>
  <w:style w:type="paragraph" w:styleId="Heading4">
    <w:name w:val="heading 4"/>
    <w:basedOn w:val="Heading2"/>
    <w:next w:val="Normal"/>
    <w:link w:val="Heading4Char"/>
    <w:uiPriority w:val="9"/>
    <w:unhideWhenUsed/>
    <w:qFormat/>
    <w:rsid w:val="00007E90"/>
    <w:pPr>
      <w:ind w:firstLine="36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0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08E"/>
  </w:style>
  <w:style w:type="paragraph" w:styleId="Footer">
    <w:name w:val="footer"/>
    <w:basedOn w:val="Normal"/>
    <w:link w:val="FooterChar"/>
    <w:uiPriority w:val="99"/>
    <w:unhideWhenUsed/>
    <w:rsid w:val="00C750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08E"/>
  </w:style>
  <w:style w:type="table" w:styleId="TableGrid">
    <w:name w:val="Table Grid"/>
    <w:basedOn w:val="TableNormal"/>
    <w:uiPriority w:val="39"/>
    <w:unhideWhenUsed/>
    <w:rsid w:val="00D05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E774E"/>
    <w:pPr>
      <w:ind w:firstLine="360"/>
      <w:jc w:val="both"/>
    </w:pPr>
    <w:rPr>
      <w:rFonts w:ascii="Roboto Cn" w:hAnsi="Roboto Cn" w:cs="Calibri"/>
      <w:color w:val="000000"/>
    </w:rPr>
  </w:style>
  <w:style w:type="paragraph" w:styleId="Title">
    <w:name w:val="Title"/>
    <w:basedOn w:val="NoSpacing"/>
    <w:next w:val="Normal"/>
    <w:link w:val="TitleChar"/>
    <w:uiPriority w:val="10"/>
    <w:qFormat/>
    <w:rsid w:val="00561A12"/>
    <w:rPr>
      <w:b/>
      <w:bCs/>
      <w:sz w:val="32"/>
      <w:szCs w:val="32"/>
    </w:rPr>
  </w:style>
  <w:style w:type="character" w:customStyle="1" w:styleId="TitleChar">
    <w:name w:val="Title Char"/>
    <w:basedOn w:val="DefaultParagraphFont"/>
    <w:link w:val="Title"/>
    <w:uiPriority w:val="10"/>
    <w:rsid w:val="00561A12"/>
    <w:rPr>
      <w:rFonts w:ascii="Roboto Cn" w:hAnsi="Roboto Cn" w:cs="Calibri"/>
      <w:b/>
      <w:bCs/>
      <w:color w:val="000000"/>
      <w:sz w:val="32"/>
      <w:szCs w:val="32"/>
    </w:rPr>
  </w:style>
  <w:style w:type="character" w:customStyle="1" w:styleId="Heading1Char">
    <w:name w:val="Heading 1 Char"/>
    <w:basedOn w:val="DefaultParagraphFont"/>
    <w:link w:val="Heading1"/>
    <w:uiPriority w:val="9"/>
    <w:rsid w:val="00BA7033"/>
    <w:rPr>
      <w:rFonts w:ascii="Gill Sans MT" w:hAnsi="Gill Sans MT" w:cs="Times New Roman"/>
      <w:b/>
      <w:bCs/>
      <w:sz w:val="24"/>
      <w:szCs w:val="24"/>
      <w:lang w:val="en-US"/>
    </w:rPr>
  </w:style>
  <w:style w:type="paragraph" w:styleId="TOCHeading">
    <w:name w:val="TOC Heading"/>
    <w:basedOn w:val="NoSpacing"/>
    <w:next w:val="Normal"/>
    <w:uiPriority w:val="39"/>
    <w:unhideWhenUsed/>
    <w:qFormat/>
    <w:rsid w:val="001A102E"/>
    <w:pPr>
      <w:pBdr>
        <w:bottom w:val="single" w:sz="6" w:space="1" w:color="auto"/>
      </w:pBdr>
      <w:ind w:firstLine="0"/>
    </w:pPr>
    <w:rPr>
      <w:b/>
      <w:bCs/>
      <w:sz w:val="60"/>
      <w:szCs w:val="60"/>
    </w:rPr>
  </w:style>
  <w:style w:type="paragraph" w:styleId="ListParagraph">
    <w:name w:val="List Paragraph"/>
    <w:basedOn w:val="Normal"/>
    <w:uiPriority w:val="34"/>
    <w:qFormat/>
    <w:rsid w:val="00561A12"/>
    <w:pPr>
      <w:ind w:left="720"/>
      <w:contextualSpacing/>
    </w:pPr>
  </w:style>
  <w:style w:type="paragraph" w:styleId="TOC1">
    <w:name w:val="toc 1"/>
    <w:basedOn w:val="Normal"/>
    <w:next w:val="Normal"/>
    <w:autoRedefine/>
    <w:uiPriority w:val="39"/>
    <w:unhideWhenUsed/>
    <w:rsid w:val="00561A12"/>
    <w:pPr>
      <w:spacing w:after="100"/>
    </w:pPr>
  </w:style>
  <w:style w:type="character" w:styleId="Hyperlink">
    <w:name w:val="Hyperlink"/>
    <w:basedOn w:val="DefaultParagraphFont"/>
    <w:uiPriority w:val="99"/>
    <w:unhideWhenUsed/>
    <w:rsid w:val="00561A12"/>
    <w:rPr>
      <w:color w:val="0000FF" w:themeColor="hyperlink"/>
      <w:u w:val="single"/>
    </w:rPr>
  </w:style>
  <w:style w:type="paragraph" w:styleId="Bibliography">
    <w:name w:val="Bibliography"/>
    <w:basedOn w:val="Normal"/>
    <w:next w:val="Normal"/>
    <w:link w:val="BibliographyChar"/>
    <w:uiPriority w:val="37"/>
    <w:unhideWhenUsed/>
    <w:rsid w:val="004E71B9"/>
    <w:pPr>
      <w:tabs>
        <w:tab w:val="left" w:pos="264"/>
      </w:tabs>
      <w:spacing w:after="240" w:line="240" w:lineRule="auto"/>
      <w:ind w:left="264" w:hanging="264"/>
    </w:pPr>
  </w:style>
  <w:style w:type="character" w:customStyle="1" w:styleId="Heading2Char">
    <w:name w:val="Heading 2 Char"/>
    <w:basedOn w:val="DefaultParagraphFont"/>
    <w:link w:val="Heading2"/>
    <w:uiPriority w:val="9"/>
    <w:rsid w:val="005500F7"/>
    <w:rPr>
      <w:rFonts w:ascii="Aptos" w:hAnsi="Aptos" w:cs="Times New Roman"/>
      <w:b/>
      <w:bCs/>
    </w:rPr>
  </w:style>
  <w:style w:type="paragraph" w:styleId="TOC2">
    <w:name w:val="toc 2"/>
    <w:basedOn w:val="Normal"/>
    <w:next w:val="Normal"/>
    <w:autoRedefine/>
    <w:uiPriority w:val="39"/>
    <w:unhideWhenUsed/>
    <w:rsid w:val="008F5746"/>
    <w:pPr>
      <w:spacing w:after="100"/>
      <w:ind w:left="220"/>
    </w:pPr>
  </w:style>
  <w:style w:type="character" w:customStyle="1" w:styleId="Heading3Char">
    <w:name w:val="Heading 3 Char"/>
    <w:basedOn w:val="DefaultParagraphFont"/>
    <w:link w:val="Heading3"/>
    <w:uiPriority w:val="9"/>
    <w:rsid w:val="00B02AC9"/>
    <w:rPr>
      <w:rFonts w:ascii="Roboto Cn" w:hAnsi="Roboto Cn"/>
      <w:b/>
      <w:bCs/>
      <w:sz w:val="28"/>
      <w:szCs w:val="28"/>
      <w:lang w:val="en-US"/>
    </w:rPr>
  </w:style>
  <w:style w:type="paragraph" w:styleId="TOC3">
    <w:name w:val="toc 3"/>
    <w:basedOn w:val="Normal"/>
    <w:next w:val="Normal"/>
    <w:autoRedefine/>
    <w:uiPriority w:val="39"/>
    <w:unhideWhenUsed/>
    <w:rsid w:val="00AF3D84"/>
    <w:pPr>
      <w:spacing w:after="100"/>
      <w:ind w:left="440"/>
    </w:pPr>
  </w:style>
  <w:style w:type="paragraph" w:styleId="Caption">
    <w:name w:val="caption"/>
    <w:basedOn w:val="Normal"/>
    <w:next w:val="Normal"/>
    <w:uiPriority w:val="35"/>
    <w:unhideWhenUsed/>
    <w:qFormat/>
    <w:rsid w:val="0096081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6081F"/>
    <w:pPr>
      <w:spacing w:after="0"/>
    </w:pPr>
  </w:style>
  <w:style w:type="paragraph" w:styleId="NormalWeb">
    <w:name w:val="Normal (Web)"/>
    <w:basedOn w:val="Normal"/>
    <w:uiPriority w:val="99"/>
    <w:semiHidden/>
    <w:unhideWhenUsed/>
    <w:rsid w:val="00423AB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PlaceholderText">
    <w:name w:val="Placeholder Text"/>
    <w:basedOn w:val="DefaultParagraphFont"/>
    <w:uiPriority w:val="99"/>
    <w:semiHidden/>
    <w:rsid w:val="005A497D"/>
    <w:rPr>
      <w:color w:val="808080"/>
    </w:rPr>
  </w:style>
  <w:style w:type="character" w:styleId="Emphasis">
    <w:name w:val="Emphasis"/>
    <w:basedOn w:val="DefaultParagraphFont"/>
    <w:uiPriority w:val="20"/>
    <w:qFormat/>
    <w:rsid w:val="00BD6E12"/>
    <w:rPr>
      <w:i/>
      <w:iCs/>
    </w:rPr>
  </w:style>
  <w:style w:type="character" w:styleId="Strong">
    <w:name w:val="Strong"/>
    <w:basedOn w:val="DefaultParagraphFont"/>
    <w:uiPriority w:val="22"/>
    <w:qFormat/>
    <w:rsid w:val="00BD0631"/>
    <w:rPr>
      <w:b/>
      <w:bCs/>
    </w:rPr>
  </w:style>
  <w:style w:type="character" w:customStyle="1" w:styleId="mathtext">
    <w:name w:val="mathtext"/>
    <w:basedOn w:val="DefaultParagraphFont"/>
    <w:rsid w:val="005F4046"/>
  </w:style>
  <w:style w:type="character" w:customStyle="1" w:styleId="mathtextbox">
    <w:name w:val="mathtextbox"/>
    <w:basedOn w:val="DefaultParagraphFont"/>
    <w:rsid w:val="005F4046"/>
  </w:style>
  <w:style w:type="paragraph" w:customStyle="1" w:styleId="BasicParagraph">
    <w:name w:val="[Basic Paragraph]"/>
    <w:basedOn w:val="Normal"/>
    <w:uiPriority w:val="99"/>
    <w:rsid w:val="000F0A19"/>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eastAsia="en-US"/>
    </w:rPr>
  </w:style>
  <w:style w:type="paragraph" w:styleId="TOC4">
    <w:name w:val="toc 4"/>
    <w:basedOn w:val="Normal"/>
    <w:next w:val="Normal"/>
    <w:autoRedefine/>
    <w:uiPriority w:val="39"/>
    <w:unhideWhenUsed/>
    <w:rsid w:val="00DB7D35"/>
    <w:pPr>
      <w:spacing w:after="100" w:line="259" w:lineRule="auto"/>
      <w:ind w:left="660"/>
    </w:pPr>
    <w:rPr>
      <w:lang w:eastAsia="en-US"/>
    </w:rPr>
  </w:style>
  <w:style w:type="paragraph" w:styleId="TOC5">
    <w:name w:val="toc 5"/>
    <w:basedOn w:val="Normal"/>
    <w:next w:val="Normal"/>
    <w:autoRedefine/>
    <w:uiPriority w:val="39"/>
    <w:unhideWhenUsed/>
    <w:rsid w:val="00DB7D35"/>
    <w:pPr>
      <w:spacing w:after="100" w:line="259" w:lineRule="auto"/>
      <w:ind w:left="880"/>
    </w:pPr>
    <w:rPr>
      <w:lang w:eastAsia="en-US"/>
    </w:rPr>
  </w:style>
  <w:style w:type="paragraph" w:styleId="TOC6">
    <w:name w:val="toc 6"/>
    <w:basedOn w:val="Normal"/>
    <w:next w:val="Normal"/>
    <w:autoRedefine/>
    <w:uiPriority w:val="39"/>
    <w:unhideWhenUsed/>
    <w:rsid w:val="00DB7D35"/>
    <w:pPr>
      <w:spacing w:after="100" w:line="259" w:lineRule="auto"/>
      <w:ind w:left="1100"/>
    </w:pPr>
    <w:rPr>
      <w:lang w:eastAsia="en-US"/>
    </w:rPr>
  </w:style>
  <w:style w:type="paragraph" w:styleId="TOC7">
    <w:name w:val="toc 7"/>
    <w:basedOn w:val="Normal"/>
    <w:next w:val="Normal"/>
    <w:autoRedefine/>
    <w:uiPriority w:val="39"/>
    <w:unhideWhenUsed/>
    <w:rsid w:val="00DB7D35"/>
    <w:pPr>
      <w:spacing w:after="100" w:line="259" w:lineRule="auto"/>
      <w:ind w:left="1320"/>
    </w:pPr>
    <w:rPr>
      <w:lang w:eastAsia="en-US"/>
    </w:rPr>
  </w:style>
  <w:style w:type="paragraph" w:styleId="TOC8">
    <w:name w:val="toc 8"/>
    <w:basedOn w:val="Normal"/>
    <w:next w:val="Normal"/>
    <w:autoRedefine/>
    <w:uiPriority w:val="39"/>
    <w:unhideWhenUsed/>
    <w:rsid w:val="00DB7D35"/>
    <w:pPr>
      <w:spacing w:after="100" w:line="259" w:lineRule="auto"/>
      <w:ind w:left="1540"/>
    </w:pPr>
    <w:rPr>
      <w:lang w:eastAsia="en-US"/>
    </w:rPr>
  </w:style>
  <w:style w:type="paragraph" w:styleId="TOC9">
    <w:name w:val="toc 9"/>
    <w:basedOn w:val="Normal"/>
    <w:next w:val="Normal"/>
    <w:autoRedefine/>
    <w:uiPriority w:val="39"/>
    <w:unhideWhenUsed/>
    <w:rsid w:val="00DB7D35"/>
    <w:pPr>
      <w:spacing w:after="100" w:line="259" w:lineRule="auto"/>
      <w:ind w:left="1760"/>
    </w:pPr>
    <w:rPr>
      <w:lang w:eastAsia="en-US"/>
    </w:rPr>
  </w:style>
  <w:style w:type="character" w:customStyle="1" w:styleId="UnresolvedMention1">
    <w:name w:val="Unresolved Mention1"/>
    <w:basedOn w:val="DefaultParagraphFont"/>
    <w:uiPriority w:val="99"/>
    <w:semiHidden/>
    <w:unhideWhenUsed/>
    <w:rsid w:val="00DB7D35"/>
    <w:rPr>
      <w:color w:val="605E5C"/>
      <w:shd w:val="clear" w:color="auto" w:fill="E1DFDD"/>
    </w:rPr>
  </w:style>
  <w:style w:type="table" w:customStyle="1" w:styleId="PlainTable11">
    <w:name w:val="Plain Table 11"/>
    <w:basedOn w:val="TableNormal"/>
    <w:uiPriority w:val="41"/>
    <w:rsid w:val="006135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007E90"/>
    <w:rPr>
      <w:rFonts w:ascii="Roboto Cn" w:hAnsi="Roboto Cn"/>
      <w:b/>
      <w:bCs/>
      <w:sz w:val="30"/>
      <w:szCs w:val="30"/>
      <w:lang w:val="en-US"/>
    </w:rPr>
  </w:style>
  <w:style w:type="paragraph" w:styleId="HTMLPreformatted">
    <w:name w:val="HTML Preformatted"/>
    <w:basedOn w:val="Normal"/>
    <w:link w:val="HTMLPreformattedChar"/>
    <w:uiPriority w:val="99"/>
    <w:unhideWhenUsed/>
    <w:rsid w:val="00984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984BDD"/>
    <w:rPr>
      <w:rFonts w:ascii="Courier New" w:eastAsia="Times New Roman" w:hAnsi="Courier New" w:cs="Courier New"/>
      <w:sz w:val="20"/>
      <w:szCs w:val="20"/>
      <w:lang w:val="en-US" w:eastAsia="en-US"/>
    </w:rPr>
  </w:style>
  <w:style w:type="character" w:styleId="CommentReference">
    <w:name w:val="annotation reference"/>
    <w:basedOn w:val="DefaultParagraphFont"/>
    <w:uiPriority w:val="99"/>
    <w:semiHidden/>
    <w:unhideWhenUsed/>
    <w:rsid w:val="007E6912"/>
    <w:rPr>
      <w:sz w:val="16"/>
      <w:szCs w:val="16"/>
    </w:rPr>
  </w:style>
  <w:style w:type="paragraph" w:styleId="CommentText">
    <w:name w:val="annotation text"/>
    <w:basedOn w:val="Normal"/>
    <w:link w:val="CommentTextChar"/>
    <w:uiPriority w:val="99"/>
    <w:unhideWhenUsed/>
    <w:rsid w:val="007E6912"/>
    <w:pPr>
      <w:spacing w:line="240" w:lineRule="auto"/>
    </w:pPr>
    <w:rPr>
      <w:sz w:val="20"/>
      <w:szCs w:val="20"/>
    </w:rPr>
  </w:style>
  <w:style w:type="character" w:customStyle="1" w:styleId="CommentTextChar">
    <w:name w:val="Comment Text Char"/>
    <w:basedOn w:val="DefaultParagraphFont"/>
    <w:link w:val="CommentText"/>
    <w:uiPriority w:val="99"/>
    <w:rsid w:val="007E6912"/>
    <w:rPr>
      <w:sz w:val="20"/>
      <w:szCs w:val="20"/>
      <w:lang w:val="en-US"/>
    </w:rPr>
  </w:style>
  <w:style w:type="paragraph" w:styleId="CommentSubject">
    <w:name w:val="annotation subject"/>
    <w:basedOn w:val="CommentText"/>
    <w:next w:val="CommentText"/>
    <w:link w:val="CommentSubjectChar"/>
    <w:uiPriority w:val="99"/>
    <w:semiHidden/>
    <w:unhideWhenUsed/>
    <w:rsid w:val="007E6912"/>
    <w:rPr>
      <w:b/>
      <w:bCs/>
    </w:rPr>
  </w:style>
  <w:style w:type="character" w:customStyle="1" w:styleId="CommentSubjectChar">
    <w:name w:val="Comment Subject Char"/>
    <w:basedOn w:val="CommentTextChar"/>
    <w:link w:val="CommentSubject"/>
    <w:uiPriority w:val="99"/>
    <w:semiHidden/>
    <w:rsid w:val="007E6912"/>
    <w:rPr>
      <w:b/>
      <w:bCs/>
      <w:sz w:val="20"/>
      <w:szCs w:val="20"/>
      <w:lang w:val="en-US"/>
    </w:rPr>
  </w:style>
  <w:style w:type="character" w:customStyle="1" w:styleId="fontstyle01">
    <w:name w:val="fontstyle01"/>
    <w:basedOn w:val="DefaultParagraphFont"/>
    <w:rsid w:val="001C7EF6"/>
    <w:rPr>
      <w:rFonts w:ascii="Roboto-Condensed" w:hAnsi="Roboto-Condensed" w:hint="default"/>
      <w:b w:val="0"/>
      <w:bCs w:val="0"/>
      <w:i w:val="0"/>
      <w:iCs w:val="0"/>
      <w:color w:val="000000"/>
      <w:sz w:val="20"/>
      <w:szCs w:val="20"/>
    </w:rPr>
  </w:style>
  <w:style w:type="character" w:customStyle="1" w:styleId="fontstyle21">
    <w:name w:val="fontstyle21"/>
    <w:basedOn w:val="DefaultParagraphFont"/>
    <w:rsid w:val="001C7EF6"/>
    <w:rPr>
      <w:rFonts w:ascii="Roboto-CondensedItalic" w:hAnsi="Roboto-CondensedItalic" w:hint="default"/>
      <w:b w:val="0"/>
      <w:bCs w:val="0"/>
      <w:i/>
      <w:iCs/>
      <w:color w:val="000000"/>
      <w:sz w:val="20"/>
      <w:szCs w:val="20"/>
    </w:rPr>
  </w:style>
  <w:style w:type="character" w:customStyle="1" w:styleId="fontstyle31">
    <w:name w:val="fontstyle31"/>
    <w:basedOn w:val="DefaultParagraphFont"/>
    <w:rsid w:val="001C7EF6"/>
    <w:rPr>
      <w:rFonts w:ascii="Roboto-BoldCondensed" w:hAnsi="Roboto-BoldCondensed" w:hint="default"/>
      <w:b/>
      <w:bCs/>
      <w:i w:val="0"/>
      <w:iCs w:val="0"/>
      <w:color w:val="000000"/>
      <w:sz w:val="20"/>
      <w:szCs w:val="20"/>
    </w:rPr>
  </w:style>
  <w:style w:type="paragraph" w:customStyle="1" w:styleId="reference">
    <w:name w:val="reference"/>
    <w:basedOn w:val="Bibliography"/>
    <w:link w:val="referenceChar"/>
    <w:qFormat/>
    <w:rsid w:val="001C7EF6"/>
    <w:rPr>
      <w:rFonts w:ascii="Times New Roman" w:hAnsi="Times New Roman" w:cs="Times New Roman"/>
    </w:rPr>
  </w:style>
  <w:style w:type="character" w:customStyle="1" w:styleId="BibliographyChar">
    <w:name w:val="Bibliography Char"/>
    <w:basedOn w:val="DefaultParagraphFont"/>
    <w:link w:val="Bibliography"/>
    <w:uiPriority w:val="37"/>
    <w:rsid w:val="001C7EF6"/>
    <w:rPr>
      <w:lang w:val="en-US"/>
    </w:rPr>
  </w:style>
  <w:style w:type="character" w:customStyle="1" w:styleId="referenceChar">
    <w:name w:val="reference Char"/>
    <w:basedOn w:val="BibliographyChar"/>
    <w:link w:val="reference"/>
    <w:rsid w:val="001C7EF6"/>
    <w:rPr>
      <w:rFonts w:ascii="Times New Roman" w:hAnsi="Times New Roman" w:cs="Times New Roman"/>
      <w:lang w:val="en-US"/>
    </w:rPr>
  </w:style>
  <w:style w:type="paragraph" w:styleId="BalloonText">
    <w:name w:val="Balloon Text"/>
    <w:basedOn w:val="Normal"/>
    <w:link w:val="BalloonTextChar"/>
    <w:uiPriority w:val="99"/>
    <w:semiHidden/>
    <w:unhideWhenUsed/>
    <w:rsid w:val="009B5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033"/>
    <w:rPr>
      <w:rFonts w:ascii="Tahoma" w:hAnsi="Tahoma" w:cs="Tahoma"/>
      <w:sz w:val="16"/>
      <w:szCs w:val="16"/>
      <w:lang w:val="en-US"/>
    </w:rPr>
  </w:style>
  <w:style w:type="paragraph" w:styleId="Revision">
    <w:name w:val="Revision"/>
    <w:hidden/>
    <w:uiPriority w:val="99"/>
    <w:semiHidden/>
    <w:rsid w:val="005B661C"/>
    <w:pPr>
      <w:spacing w:after="0" w:line="240" w:lineRule="auto"/>
    </w:pPr>
  </w:style>
  <w:style w:type="table" w:styleId="LightList-Accent1">
    <w:name w:val="Light List Accent 1"/>
    <w:basedOn w:val="TableNormal"/>
    <w:uiPriority w:val="61"/>
    <w:rsid w:val="00673634"/>
    <w:pPr>
      <w:spacing w:after="0" w:line="240" w:lineRule="auto"/>
    </w:pPr>
    <w:rPr>
      <w:rFonts w:eastAsiaTheme="minorHAnsi"/>
      <w:lang w:val="it-IT" w:eastAsia="en-U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Table2">
    <w:name w:val="List Table 2"/>
    <w:basedOn w:val="TableNormal"/>
    <w:uiPriority w:val="47"/>
    <w:rsid w:val="006736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20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6901D0-18BF-4627-AFE7-0A9165D2ABD9}">
  <we:reference id="wa104381714" version="4.2.0.0" store="en-US" storeType="omex"/>
  <we:alternateReferences>
    <we:reference id="WA104381714" version="4.2.0.0" store="" storeType="omex"/>
  </we:alternateReferences>
  <we:properties>
    <we:property name="production_outwrite_document" value="&quot;{\&quot;documentId\&quot;:\&quot;f9fcdf9cad58440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DB61A773A88BBB44AC13091DED201450" ma:contentTypeVersion="4" ma:contentTypeDescription="Create a new document." ma:contentTypeScope="" ma:versionID="45e83726dc7f94e32a0d35dec7f9fd0b">
  <xsd:schema xmlns:xsd="http://www.w3.org/2001/XMLSchema" xmlns:xs="http://www.w3.org/2001/XMLSchema" xmlns:p="http://schemas.microsoft.com/office/2006/metadata/properties" xmlns:ns3="793c08f3-ec98-4008-a6c0-6d2187638081" targetNamespace="http://schemas.microsoft.com/office/2006/metadata/properties" ma:root="true" ma:fieldsID="8a578019f8dcbbe91691e2978a9a3394" ns3:_="">
    <xsd:import namespace="793c08f3-ec98-4008-a6c0-6d21876380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08f3-ec98-4008-a6c0-6d2187638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127463-E812-4163-8ED0-B73C294D96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4901B0-8470-4244-A404-78C148C310AB}">
  <ds:schemaRefs>
    <ds:schemaRef ds:uri="http://schemas.openxmlformats.org/officeDocument/2006/bibliography"/>
  </ds:schemaRefs>
</ds:datastoreItem>
</file>

<file path=customXml/itemProps3.xml><?xml version="1.0" encoding="utf-8"?>
<ds:datastoreItem xmlns:ds="http://schemas.openxmlformats.org/officeDocument/2006/customXml" ds:itemID="{4A357146-37C7-43F8-AB07-0882D61CA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08f3-ec98-4008-a6c0-6d2187638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41ADEC-45EB-438D-B81C-0CDFB9E143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Pages>
  <Words>48183</Words>
  <Characters>305487</Characters>
  <Application>Microsoft Office Word</Application>
  <DocSecurity>0</DocSecurity>
  <Lines>11314</Lines>
  <Paragraphs>7524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Ahmet Kaymak</cp:lastModifiedBy>
  <cp:revision>130</cp:revision>
  <cp:lastPrinted>2024-03-15T12:30:00Z</cp:lastPrinted>
  <dcterms:created xsi:type="dcterms:W3CDTF">2024-02-21T13:58:00Z</dcterms:created>
  <dcterms:modified xsi:type="dcterms:W3CDTF">2024-12-05T11:21:00Z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0x010100DB61A773A88BBB44AC13091DED201450</vt:lpwstr>
  </property>
  <property fmtid="{D5CDD505-2E9C-101B-9397-08002B2CF9AE}" pid="3" name="GrammarlyDocumentId">
    <vt:lpwstr>3f1abc1a2a2328eaee33cccefcbaf606099c99db3f8f6138fa094dd6a88bf392</vt:lpwstr>
  </property>
  <property fmtid="{D5CDD505-2E9C-101B-9397-08002B2CF9AE}" pid="4" name="LE1">
    <vt:filetime>2024-01-30T08:18:53Z</vt:filetime>
  </property>
  <property fmtid="{D5CDD505-2E9C-101B-9397-08002B2CF9AE}" pid="5" name="ZOTERO_PREF_1">
    <vt:lpwstr>&lt;data data-version="3" zotero-version="6.0.36"&gt;&lt;session id="KB7kCxO4"/&gt;&lt;style id="http://www.zotero.org/styles/brain" hasBibliography="1" bibliographyStyleHasBeenSet="1"/&gt;&lt;prefs&gt;&lt;pref name="fieldType" value="Field"/&gt;&lt;pref name="automaticJournalAbbreviatio</vt:lpwstr>
  </property>
  <property fmtid="{D5CDD505-2E9C-101B-9397-08002B2CF9AE}" pid="6" name="ZOTERO_PREF_2">
    <vt:lpwstr>ns" value="true"/&gt;&lt;pref name="dontAskDelayCitationUpdates" value="true"/&gt;&lt;/prefs&gt;&lt;/data&gt;</vt:lpwstr>
  </property>
</Properties>
</file>