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52036A">
        <w:rPr>
          <w:rFonts w:ascii="Arial" w:hAnsi="Arial" w:cs="Arial"/>
          <w:b/>
          <w:sz w:val="22"/>
          <w:szCs w:val="22"/>
          <w:u w:val="single"/>
          <w:lang w:val="en-US"/>
        </w:rPr>
        <w:t>Supplementary material:</w:t>
      </w: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52036A">
        <w:rPr>
          <w:rFonts w:ascii="Arial" w:hAnsi="Arial" w:cs="Arial"/>
          <w:b/>
          <w:bCs/>
          <w:sz w:val="22"/>
          <w:szCs w:val="22"/>
          <w:lang w:val="en-US"/>
        </w:rPr>
        <w:t xml:space="preserve">Fig. S1: Density distribution of adipocyte diameter in lipoma and </w:t>
      </w:r>
      <w:proofErr w:type="spellStart"/>
      <w:r w:rsidRPr="0052036A">
        <w:rPr>
          <w:rFonts w:ascii="Arial" w:hAnsi="Arial" w:cs="Arial"/>
          <w:b/>
          <w:bCs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b/>
          <w:bCs/>
          <w:sz w:val="22"/>
          <w:szCs w:val="22"/>
          <w:lang w:val="en-US"/>
        </w:rPr>
        <w:t xml:space="preserve"> control. A) </w:t>
      </w:r>
      <w:r w:rsidRPr="0052036A">
        <w:rPr>
          <w:rFonts w:ascii="Arial" w:hAnsi="Arial" w:cs="Arial"/>
          <w:sz w:val="22"/>
          <w:szCs w:val="22"/>
          <w:lang w:val="en-US"/>
        </w:rPr>
        <w:t xml:space="preserve">At d0 lipoma adipocytes (peak at 16 to 38 µm) were smaller than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adipocytes (peak at 45 µm). Hatched line indicates 28.31 µm as cut-off value between distribution probabilities of lipoma and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adipocytes. At d0, 27.7% of lipoma adipocytes had a diameter ≤28.31 µm, compared to 17.5% of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adipocytes. </w:t>
      </w:r>
      <w:r w:rsidRPr="0052036A">
        <w:rPr>
          <w:rFonts w:ascii="Arial" w:hAnsi="Arial" w:cs="Arial"/>
          <w:b/>
          <w:bCs/>
          <w:sz w:val="22"/>
          <w:szCs w:val="22"/>
          <w:lang w:val="en-US"/>
        </w:rPr>
        <w:t>B)</w:t>
      </w:r>
      <w:r w:rsidRPr="0052036A">
        <w:rPr>
          <w:rFonts w:ascii="Arial" w:hAnsi="Arial" w:cs="Arial"/>
          <w:sz w:val="22"/>
          <w:szCs w:val="22"/>
          <w:lang w:val="en-US"/>
        </w:rPr>
        <w:t xml:space="preserve"> After 72 hours of medium incubation, adipocytes were smaller in lipoma (diameter peaked at 18 µm). Untreated and medium-incubated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adipocytes showed similar diameters (diameter ≤28.31 µm: d0 17.5%, medium 15.9%). Number of adipocytes with diameter ≤28.31 µm was increased by 6% in lipoma (d0: 27.8%, 72h: 33.8%). </w:t>
      </w:r>
      <w:r w:rsidRPr="0052036A">
        <w:rPr>
          <w:rFonts w:ascii="Arial" w:hAnsi="Arial" w:cs="Arial"/>
          <w:b/>
          <w:bCs/>
          <w:sz w:val="22"/>
          <w:szCs w:val="22"/>
          <w:lang w:val="en-US"/>
        </w:rPr>
        <w:t>C)</w:t>
      </w:r>
      <w:r w:rsidRPr="0052036A">
        <w:rPr>
          <w:rFonts w:ascii="Arial" w:hAnsi="Arial" w:cs="Arial"/>
          <w:sz w:val="22"/>
          <w:szCs w:val="22"/>
          <w:lang w:val="en-US"/>
        </w:rPr>
        <w:t xml:space="preserve"> Highest number of adipocytes at a diameter of 18 µm across all treatment conditions. In comparison to medium-treated lipoma,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wortmannin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-treated slices showed an increase of adipocytes ≤28.31 µm by 13.7% (medium: 33.8%,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wortmannin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: 47.5%). The adipocyte diameter decreased in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alpelisib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-treated tissue compared to control tissue (≤28.31 µm: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alpelisib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: 24.8%, medium: 33.8%. </w:t>
      </w:r>
      <w:r w:rsidRPr="0052036A">
        <w:rPr>
          <w:rFonts w:ascii="Arial" w:hAnsi="Arial" w:cs="Arial"/>
          <w:b/>
          <w:bCs/>
          <w:sz w:val="22"/>
          <w:szCs w:val="22"/>
          <w:lang w:val="en-US"/>
        </w:rPr>
        <w:t xml:space="preserve">D)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Alpelisib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and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wortmannin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-treated adipocytes showed highest density at 35 to 38 µm. Adipocyte diameter decreased (adipocytes ≤28.31 µm: medium 17.5%,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alpelisib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: 21.8%,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wortmannin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: 24.3%). </w:t>
      </w:r>
      <w:r w:rsidRPr="0052036A">
        <w:rPr>
          <w:rFonts w:ascii="Arial" w:hAnsi="Arial" w:cs="Arial"/>
          <w:b/>
          <w:bCs/>
          <w:sz w:val="22"/>
          <w:szCs w:val="22"/>
          <w:lang w:val="en-US"/>
        </w:rPr>
        <w:t xml:space="preserve">E-F) </w:t>
      </w:r>
      <w:r w:rsidRPr="0052036A">
        <w:rPr>
          <w:rFonts w:ascii="Arial" w:hAnsi="Arial" w:cs="Arial"/>
          <w:sz w:val="22"/>
          <w:szCs w:val="22"/>
          <w:lang w:val="en-US"/>
        </w:rPr>
        <w:t xml:space="preserve">Adipocyte diameter distribution after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alpelisib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(E) and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wortmannin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(F) treatment in lipoma and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. </w:t>
      </w: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52036A">
        <w:rPr>
          <w:rFonts w:ascii="Arial" w:hAnsi="Arial" w:cs="Arial"/>
          <w:b/>
          <w:sz w:val="22"/>
          <w:szCs w:val="22"/>
          <w:lang w:val="en-US"/>
        </w:rPr>
        <w:t xml:space="preserve">Fig. S1 Alt text: </w:t>
      </w:r>
      <w:r w:rsidRPr="0052036A">
        <w:rPr>
          <w:rFonts w:ascii="Arial" w:hAnsi="Arial" w:cs="Arial"/>
          <w:sz w:val="22"/>
          <w:szCs w:val="22"/>
          <w:lang w:val="en-US"/>
        </w:rPr>
        <w:t>A composite figure consisting of 6 graphs (A-F) showing the density distribution of adipocyte diameter after different treatments. Each density distribution curve graph is accompanied by a graph showing percentages of smaller and larger adipocytes for the different treatments.</w:t>
      </w:r>
    </w:p>
    <w:p w:rsidR="00F44751" w:rsidRPr="0052036A" w:rsidRDefault="00F44751" w:rsidP="00F44751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52036A">
        <w:rPr>
          <w:rFonts w:ascii="Arial" w:hAnsi="Arial" w:cs="Arial"/>
          <w:b/>
          <w:bCs/>
          <w:sz w:val="22"/>
          <w:szCs w:val="22"/>
          <w:lang w:val="en-US"/>
        </w:rPr>
        <w:t xml:space="preserve">Fig. S2: Glycerol release from inhibitor-treated </w:t>
      </w:r>
      <w:proofErr w:type="spellStart"/>
      <w:r w:rsidRPr="0052036A">
        <w:rPr>
          <w:rFonts w:ascii="Arial" w:hAnsi="Arial" w:cs="Arial"/>
          <w:b/>
          <w:bCs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b/>
          <w:bCs/>
          <w:sz w:val="22"/>
          <w:szCs w:val="22"/>
          <w:lang w:val="en-US"/>
        </w:rPr>
        <w:t xml:space="preserve"> and lipoma slices </w:t>
      </w: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52036A">
        <w:rPr>
          <w:rFonts w:ascii="Arial" w:hAnsi="Arial" w:cs="Arial"/>
          <w:bCs/>
          <w:sz w:val="22"/>
          <w:szCs w:val="22"/>
          <w:lang w:val="en-US"/>
        </w:rPr>
        <w:t xml:space="preserve">A) Released glycerol in supernatant of </w:t>
      </w:r>
      <w:proofErr w:type="spellStart"/>
      <w:r w:rsidRPr="0052036A">
        <w:rPr>
          <w:rFonts w:ascii="Arial" w:hAnsi="Arial" w:cs="Arial"/>
          <w:bCs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bCs/>
          <w:sz w:val="22"/>
          <w:szCs w:val="22"/>
          <w:lang w:val="en-US"/>
        </w:rPr>
        <w:t xml:space="preserve"> and lipoma slice cultures after 48h of incubation with solvent control or inhibitors. Reduced glycerol release from lipoma compared to </w:t>
      </w:r>
      <w:proofErr w:type="spellStart"/>
      <w:r w:rsidRPr="0052036A">
        <w:rPr>
          <w:rFonts w:ascii="Arial" w:hAnsi="Arial" w:cs="Arial"/>
          <w:bCs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bCs/>
          <w:sz w:val="22"/>
          <w:szCs w:val="22"/>
          <w:lang w:val="en-US"/>
        </w:rPr>
        <w:t xml:space="preserve"> slices (p= 0.0564, n=3), with no influence of inhibitor treatment. Positive association (r²=0.362) between glycerol release and hormone sensitive lipase (HSL) phosphorylation in human lipoma adipocytes after isoproterenol treatment</w:t>
      </w:r>
      <w:r w:rsidRPr="0052036A">
        <w:rPr>
          <w:rFonts w:ascii="Arial" w:hAnsi="Arial" w:cs="Arial"/>
          <w:b/>
          <w:bCs/>
          <w:sz w:val="22"/>
          <w:szCs w:val="22"/>
          <w:lang w:val="en-US"/>
        </w:rPr>
        <w:t xml:space="preserve"> B)</w:t>
      </w:r>
      <w:r w:rsidRPr="0052036A">
        <w:rPr>
          <w:rFonts w:ascii="Arial" w:hAnsi="Arial" w:cs="Arial"/>
          <w:bCs/>
          <w:sz w:val="22"/>
          <w:szCs w:val="22"/>
          <w:lang w:val="en-US"/>
        </w:rPr>
        <w:t xml:space="preserve">, but not after </w:t>
      </w:r>
      <w:proofErr w:type="spellStart"/>
      <w:r w:rsidRPr="0052036A">
        <w:rPr>
          <w:rFonts w:ascii="Arial" w:hAnsi="Arial" w:cs="Arial"/>
          <w:bCs/>
          <w:sz w:val="22"/>
          <w:szCs w:val="22"/>
          <w:lang w:val="en-US"/>
        </w:rPr>
        <w:t>alpelisib</w:t>
      </w:r>
      <w:proofErr w:type="spellEnd"/>
      <w:r w:rsidRPr="0052036A">
        <w:rPr>
          <w:rFonts w:ascii="Arial" w:hAnsi="Arial" w:cs="Arial"/>
          <w:bCs/>
          <w:sz w:val="22"/>
          <w:szCs w:val="22"/>
          <w:lang w:val="en-US"/>
        </w:rPr>
        <w:t xml:space="preserve"> treatment (r²=0.004, </w:t>
      </w:r>
      <w:r w:rsidRPr="0052036A">
        <w:rPr>
          <w:rFonts w:ascii="Arial" w:hAnsi="Arial" w:cs="Arial"/>
          <w:b/>
          <w:bCs/>
          <w:sz w:val="22"/>
          <w:szCs w:val="22"/>
          <w:lang w:val="en-US"/>
        </w:rPr>
        <w:t>C</w:t>
      </w:r>
      <w:r w:rsidRPr="0052036A">
        <w:rPr>
          <w:rFonts w:ascii="Arial" w:hAnsi="Arial" w:cs="Arial"/>
          <w:bCs/>
          <w:sz w:val="22"/>
          <w:szCs w:val="22"/>
          <w:lang w:val="en-US"/>
        </w:rPr>
        <w:t>).</w:t>
      </w: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F44751" w:rsidRPr="0052036A" w:rsidRDefault="00F44751" w:rsidP="00F44751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52036A">
        <w:rPr>
          <w:rFonts w:ascii="Arial" w:hAnsi="Arial" w:cs="Arial"/>
          <w:b/>
          <w:sz w:val="22"/>
          <w:szCs w:val="22"/>
          <w:lang w:val="en-US"/>
        </w:rPr>
        <w:t>Fig. S2 Alt text:</w:t>
      </w:r>
      <w:r w:rsidRPr="0052036A">
        <w:rPr>
          <w:rFonts w:ascii="Arial" w:hAnsi="Arial" w:cs="Arial"/>
          <w:sz w:val="22"/>
          <w:szCs w:val="22"/>
          <w:lang w:val="en-US"/>
        </w:rPr>
        <w:t xml:space="preserve"> A composite figure consisting of 3 graphs (A-C). A) </w:t>
      </w:r>
      <w:proofErr w:type="gramStart"/>
      <w:r w:rsidRPr="0052036A">
        <w:rPr>
          <w:rFonts w:ascii="Arial" w:hAnsi="Arial" w:cs="Arial"/>
          <w:sz w:val="22"/>
          <w:szCs w:val="22"/>
          <w:lang w:val="en-US"/>
        </w:rPr>
        <w:t>is</w:t>
      </w:r>
      <w:proofErr w:type="gramEnd"/>
      <w:r w:rsidRPr="0052036A">
        <w:rPr>
          <w:rFonts w:ascii="Arial" w:hAnsi="Arial" w:cs="Arial"/>
          <w:sz w:val="22"/>
          <w:szCs w:val="22"/>
          <w:lang w:val="en-US"/>
        </w:rPr>
        <w:t xml:space="preserve"> a bar graph showing released glycerol from </w:t>
      </w:r>
      <w:proofErr w:type="spellStart"/>
      <w:r w:rsidRPr="0052036A">
        <w:rPr>
          <w:rFonts w:ascii="Arial" w:hAnsi="Arial" w:cs="Arial"/>
          <w:sz w:val="22"/>
          <w:szCs w:val="22"/>
          <w:lang w:val="en-US"/>
        </w:rPr>
        <w:t>epiWAT</w:t>
      </w:r>
      <w:proofErr w:type="spellEnd"/>
      <w:r w:rsidRPr="0052036A">
        <w:rPr>
          <w:rFonts w:ascii="Arial" w:hAnsi="Arial" w:cs="Arial"/>
          <w:sz w:val="22"/>
          <w:szCs w:val="22"/>
          <w:lang w:val="en-US"/>
        </w:rPr>
        <w:t xml:space="preserve"> control and lipoma tissues after different treatment conditions. B) </w:t>
      </w:r>
      <w:proofErr w:type="gramStart"/>
      <w:r w:rsidRPr="0052036A">
        <w:rPr>
          <w:rFonts w:ascii="Arial" w:hAnsi="Arial" w:cs="Arial"/>
          <w:sz w:val="22"/>
          <w:szCs w:val="22"/>
          <w:lang w:val="en-US"/>
        </w:rPr>
        <w:t>and</w:t>
      </w:r>
      <w:proofErr w:type="gramEnd"/>
      <w:r w:rsidRPr="0052036A">
        <w:rPr>
          <w:rFonts w:ascii="Arial" w:hAnsi="Arial" w:cs="Arial"/>
          <w:sz w:val="22"/>
          <w:szCs w:val="22"/>
          <w:lang w:val="en-US"/>
        </w:rPr>
        <w:t xml:space="preserve"> C) show the correlation between glycerol fold changes in the supernatant and phosphorylation of </w:t>
      </w:r>
      <w:r w:rsidRPr="0052036A">
        <w:rPr>
          <w:rFonts w:ascii="Arial" w:hAnsi="Arial" w:cs="Arial"/>
          <w:bCs/>
          <w:sz w:val="22"/>
          <w:szCs w:val="22"/>
          <w:lang w:val="en-US"/>
        </w:rPr>
        <w:t xml:space="preserve">hormone sensitive lipase (HSL) after B) isoproterenol and C) </w:t>
      </w:r>
      <w:proofErr w:type="spellStart"/>
      <w:r w:rsidRPr="0052036A">
        <w:rPr>
          <w:rFonts w:ascii="Arial" w:hAnsi="Arial" w:cs="Arial"/>
          <w:bCs/>
          <w:sz w:val="22"/>
          <w:szCs w:val="22"/>
          <w:lang w:val="en-US"/>
        </w:rPr>
        <w:t>alpelisib</w:t>
      </w:r>
      <w:proofErr w:type="spellEnd"/>
      <w:r w:rsidRPr="0052036A">
        <w:rPr>
          <w:rFonts w:ascii="Arial" w:hAnsi="Arial" w:cs="Arial"/>
          <w:bCs/>
          <w:sz w:val="22"/>
          <w:szCs w:val="22"/>
          <w:lang w:val="en-US"/>
        </w:rPr>
        <w:t xml:space="preserve"> treatment.</w:t>
      </w:r>
      <w:r w:rsidRPr="0052036A">
        <w:rPr>
          <w:rFonts w:ascii="Arial" w:hAnsi="Arial" w:cs="Arial"/>
          <w:b/>
          <w:bCs/>
          <w:sz w:val="22"/>
          <w:szCs w:val="22"/>
          <w:lang w:val="en-US"/>
        </w:rPr>
        <w:br w:type="page"/>
      </w:r>
    </w:p>
    <w:p w:rsidR="00E52E5C" w:rsidRDefault="004038CF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760720" cy="8321040"/>
            <wp:effectExtent l="0" t="0" r="0" b="381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ure S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32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8CF" w:rsidRDefault="004038CF">
      <w:pPr>
        <w:rPr>
          <w:lang w:val="en-US"/>
        </w:rPr>
      </w:pPr>
    </w:p>
    <w:p w:rsidR="004038CF" w:rsidRDefault="004038CF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:rsidR="004038CF" w:rsidRPr="00F44751" w:rsidRDefault="004038CF">
      <w:pPr>
        <w:rPr>
          <w:lang w:val="en-US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760720" cy="8321040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pplementary Figure S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32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038CF" w:rsidRPr="00F4475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751"/>
    <w:rsid w:val="004038CF"/>
    <w:rsid w:val="00E52E5C"/>
    <w:rsid w:val="00F4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E7378"/>
  <w15:chartTrackingRefBased/>
  <w15:docId w15:val="{898B5719-0EEC-4772-8DAF-468F2E82E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44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UKL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Garten, Antje</dc:creator>
  <cp:keywords/>
  <dc:description/>
  <cp:lastModifiedBy>Garten, Antje</cp:lastModifiedBy>
  <cp:revision>2</cp:revision>
  <dcterms:created xsi:type="dcterms:W3CDTF">2025-01-20T12:09:00Z</dcterms:created>
  <dcterms:modified xsi:type="dcterms:W3CDTF">2025-01-20T12:10:00Z</dcterms:modified>
</cp:coreProperties>
</file>