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937CB6" w14:textId="70B4AA9F" w:rsidR="00484609" w:rsidRDefault="00484609" w:rsidP="00484609">
      <w:pPr>
        <w:rPr>
          <w:rFonts w:ascii="Arial" w:hAnsi="Arial" w:cs="Arial"/>
          <w:b/>
          <w:bCs/>
          <w:sz w:val="28"/>
          <w:szCs w:val="28"/>
          <w:lang w:val="en-US"/>
        </w:rPr>
      </w:pPr>
      <w:r w:rsidRPr="00484609">
        <w:rPr>
          <w:rFonts w:ascii="Arial" w:hAnsi="Arial" w:cs="Arial"/>
          <w:b/>
          <w:bCs/>
          <w:sz w:val="28"/>
          <w:szCs w:val="28"/>
          <w:lang w:val="en-US"/>
        </w:rPr>
        <w:t>Supplementary</w:t>
      </w:r>
      <w:r w:rsidR="00AB07DA">
        <w:rPr>
          <w:rFonts w:ascii="Arial" w:hAnsi="Arial" w:cs="Arial"/>
          <w:b/>
          <w:bCs/>
          <w:sz w:val="28"/>
          <w:szCs w:val="28"/>
          <w:lang w:val="en-US"/>
        </w:rPr>
        <w:t xml:space="preserve"> </w:t>
      </w:r>
      <w:r w:rsidRPr="00484609">
        <w:rPr>
          <w:rFonts w:ascii="Arial" w:hAnsi="Arial" w:cs="Arial"/>
          <w:b/>
          <w:bCs/>
          <w:sz w:val="28"/>
          <w:szCs w:val="28"/>
          <w:lang w:val="en-US"/>
        </w:rPr>
        <w:t>information</w:t>
      </w:r>
    </w:p>
    <w:p w14:paraId="11240A8B" w14:textId="77777777" w:rsidR="00484609" w:rsidRPr="00484609" w:rsidRDefault="00484609" w:rsidP="00484609">
      <w:pPr>
        <w:rPr>
          <w:lang w:val="en-US"/>
        </w:rPr>
      </w:pPr>
    </w:p>
    <w:p w14:paraId="56111174" w14:textId="5A05A787" w:rsidR="00552D90" w:rsidRDefault="00552D90" w:rsidP="00552D90">
      <w:pPr>
        <w:spacing w:after="120" w:line="360" w:lineRule="auto"/>
        <w:jc w:val="both"/>
        <w:rPr>
          <w:rFonts w:ascii="Arial" w:hAnsi="Arial" w:cs="Arial"/>
          <w:b/>
          <w:bCs/>
          <w:lang w:val="en-US"/>
        </w:rPr>
      </w:pPr>
      <w:r w:rsidRPr="00552D90">
        <w:rPr>
          <w:rFonts w:ascii="Arial" w:hAnsi="Arial" w:cs="Arial"/>
          <w:b/>
          <w:bCs/>
          <w:lang w:val="en-US"/>
        </w:rPr>
        <w:t xml:space="preserve">Supplementary </w:t>
      </w:r>
      <w:r>
        <w:rPr>
          <w:rFonts w:ascii="Arial" w:hAnsi="Arial" w:cs="Arial"/>
          <w:b/>
          <w:bCs/>
          <w:lang w:val="en-US"/>
        </w:rPr>
        <w:t>M</w:t>
      </w:r>
      <w:r w:rsidRPr="00552D90">
        <w:rPr>
          <w:rFonts w:ascii="Arial" w:hAnsi="Arial" w:cs="Arial"/>
          <w:b/>
          <w:bCs/>
          <w:lang w:val="en-US"/>
        </w:rPr>
        <w:t>ethods</w:t>
      </w:r>
      <w:r>
        <w:rPr>
          <w:rFonts w:ascii="Arial" w:hAnsi="Arial" w:cs="Arial"/>
          <w:b/>
          <w:bCs/>
          <w:lang w:val="en-US"/>
        </w:rPr>
        <w:t xml:space="preserve"> 1. MRI Acquisition</w:t>
      </w:r>
    </w:p>
    <w:p w14:paraId="49F114F8" w14:textId="5B49C3DC" w:rsidR="00552D90" w:rsidRPr="008B2DDD" w:rsidRDefault="00552D90" w:rsidP="00552D90">
      <w:pPr>
        <w:spacing w:after="120" w:line="360" w:lineRule="auto"/>
        <w:jc w:val="both"/>
        <w:rPr>
          <w:rFonts w:ascii="Arial" w:hAnsi="Arial" w:cs="Arial"/>
          <w:lang w:val="en-US"/>
        </w:rPr>
      </w:pPr>
      <w:r w:rsidRPr="008B2DDD">
        <w:rPr>
          <w:rFonts w:ascii="Arial" w:hAnsi="Arial" w:cs="Arial"/>
          <w:lang w:val="en-US"/>
        </w:rPr>
        <w:t>VBM-Morphological brain data w</w:t>
      </w:r>
      <w:r>
        <w:rPr>
          <w:rFonts w:ascii="Arial" w:hAnsi="Arial" w:cs="Arial"/>
          <w:lang w:val="en-US"/>
        </w:rPr>
        <w:t>ere</w:t>
      </w:r>
      <w:r w:rsidRPr="008B2DDD">
        <w:rPr>
          <w:rFonts w:ascii="Arial" w:hAnsi="Arial" w:cs="Arial"/>
          <w:lang w:val="en-US"/>
        </w:rPr>
        <w:t xml:space="preserve"> acquired using a T1-weighted images with the following parameters: repetition time (TR)= 7ms; echo time (TE) = 3.2ms; number of excitations (NEX) = 1; field of view (FOV) = 240x240x180 mm;</w:t>
      </w:r>
      <w:r w:rsidRPr="008B2DDD">
        <w:rPr>
          <w:lang w:val="en-US"/>
        </w:rPr>
        <w:t xml:space="preserve"> </w:t>
      </w:r>
      <w:r w:rsidRPr="008B2DDD">
        <w:rPr>
          <w:rFonts w:ascii="Arial" w:hAnsi="Arial" w:cs="Arial"/>
          <w:lang w:val="en-US"/>
        </w:rPr>
        <w:t>slice thickness = 1mm, no gaps, matrix = 240x240 pixels; and voxel size = 1x1x1 mm, resulting in 180 slices covering the whole brain. The estimated time for the acquisition of the sequences was approximately 30 minutes.</w:t>
      </w:r>
    </w:p>
    <w:p w14:paraId="40BE447D" w14:textId="77777777" w:rsidR="00552D90" w:rsidRPr="008B2DDD" w:rsidRDefault="00552D90" w:rsidP="00552D90">
      <w:pPr>
        <w:spacing w:after="120" w:line="360" w:lineRule="auto"/>
        <w:jc w:val="both"/>
        <w:rPr>
          <w:rFonts w:ascii="Arial" w:hAnsi="Arial" w:cs="Arial"/>
          <w:lang w:val="en-US"/>
        </w:rPr>
      </w:pPr>
      <w:r w:rsidRPr="008B2DDD">
        <w:rPr>
          <w:rFonts w:ascii="Arial" w:hAnsi="Arial" w:cs="Arial"/>
          <w:lang w:val="en-US"/>
        </w:rPr>
        <w:t>We acquired DTI data using a sequence of T2-weighted images without diffusion gradient (b=0 s/mm2), gradient diffusion images (b= 1000S/mm²) obtained in 33 non-collinear directions. Data acquisition parameters were as follows: TR=8.7ms, TE= 65ms, flip angle=90, FOV = 256x256x256mm, slice thickness = 2mm, no gaps, number of averages: 3, acquisition matrix = 128 × 128 pixels, resulting in voxels with an isotropic size of 2x2x2mm, with 50 sections covering the whole brain. The estimated time for the acquisition of the sequences was approximately 20 minutes.</w:t>
      </w:r>
    </w:p>
    <w:p w14:paraId="5E563372" w14:textId="77777777" w:rsidR="00552D90" w:rsidRPr="008B2DDD" w:rsidRDefault="00552D90" w:rsidP="00552D90">
      <w:pPr>
        <w:spacing w:after="120" w:line="360" w:lineRule="auto"/>
        <w:jc w:val="both"/>
        <w:rPr>
          <w:rFonts w:ascii="Arial" w:hAnsi="Arial" w:cs="Arial"/>
          <w:lang w:val="en-US"/>
        </w:rPr>
      </w:pPr>
      <w:r w:rsidRPr="008B2DDD">
        <w:rPr>
          <w:rFonts w:ascii="Arial" w:hAnsi="Arial" w:cs="Arial"/>
          <w:lang w:val="en-US"/>
        </w:rPr>
        <w:t>Resting state fMRI data acquisition employed a T2-weighted echoplanar image sequence and the following parameters: TR= 2000ms, TE=30ms, inclination angle= 80, FOV = 240x240mm, with an interval between slices of 0.5mm, acquisition matrix = 80x80 pixels. Resulting in 32 slices, with 4mm thick sections. To perform the fMRI, the patients were informed to keep their eyes open and look at a fixed point, without any external stimuli. The estimated sequence acquisition time was approximately 10 minutes.</w:t>
      </w:r>
    </w:p>
    <w:p w14:paraId="2C00738F" w14:textId="77777777" w:rsidR="00552D90" w:rsidRDefault="00552D90" w:rsidP="00552D90">
      <w:pPr>
        <w:spacing w:after="120" w:line="360" w:lineRule="auto"/>
        <w:jc w:val="both"/>
        <w:rPr>
          <w:rFonts w:ascii="Arial" w:hAnsi="Arial" w:cs="Arial"/>
          <w:lang w:val="en-US"/>
        </w:rPr>
      </w:pPr>
      <w:r w:rsidRPr="008B2DDD">
        <w:rPr>
          <w:rFonts w:ascii="Arial" w:hAnsi="Arial" w:cs="Arial"/>
          <w:lang w:val="en-US"/>
        </w:rPr>
        <w:t>MRS focused on the hypothalamic region was performed using the PRESS technique (Point Resolved single voxel) with TE = 35ms, TR = 4000ms and 160 repetitions. 16 spectra without water suppression were also acquired for reference purposes and error correction of spurious currents. The nominal voxel size of the spectrum was 8cm</w:t>
      </w:r>
      <w:r w:rsidRPr="008B2DDD">
        <w:rPr>
          <w:rFonts w:ascii="Arial" w:hAnsi="Arial" w:cs="Arial"/>
          <w:vertAlign w:val="superscript"/>
          <w:lang w:val="en-US"/>
        </w:rPr>
        <w:t>3</w:t>
      </w:r>
      <w:r w:rsidRPr="008B2DDD">
        <w:rPr>
          <w:rFonts w:ascii="Arial" w:hAnsi="Arial" w:cs="Arial"/>
          <w:lang w:val="en-US"/>
        </w:rPr>
        <w:t xml:space="preserve"> (2x2x2cm</w:t>
      </w:r>
      <w:r w:rsidRPr="008B2DDD">
        <w:rPr>
          <w:rFonts w:ascii="Arial" w:hAnsi="Arial" w:cs="Arial"/>
          <w:vertAlign w:val="superscript"/>
          <w:lang w:val="en-US"/>
        </w:rPr>
        <w:t>3</w:t>
      </w:r>
      <w:r w:rsidRPr="008B2DDD">
        <w:rPr>
          <w:rFonts w:ascii="Arial" w:hAnsi="Arial" w:cs="Arial"/>
          <w:lang w:val="en-US"/>
        </w:rPr>
        <w:t>), located at the height of the hypothalamus. To reduce the chemical shift effect, four saturation bars were placed within the limits of the water-voxel overlap and N-</w:t>
      </w:r>
      <w:proofErr w:type="spellStart"/>
      <w:r w:rsidRPr="008B2DDD">
        <w:rPr>
          <w:rFonts w:ascii="Arial" w:hAnsi="Arial" w:cs="Arial"/>
          <w:lang w:val="en-US"/>
        </w:rPr>
        <w:t>acetylaspartate</w:t>
      </w:r>
      <w:proofErr w:type="spellEnd"/>
      <w:r w:rsidRPr="008B2DDD">
        <w:rPr>
          <w:rFonts w:ascii="Arial" w:hAnsi="Arial" w:cs="Arial"/>
          <w:lang w:val="en-US"/>
        </w:rPr>
        <w:t xml:space="preserve"> (NAA). The estimated time for acquisition of the sequences was approximately 8 minutes.</w:t>
      </w:r>
    </w:p>
    <w:p w14:paraId="0E95D34E" w14:textId="1409E959" w:rsidR="00552D90" w:rsidRDefault="00552D90" w:rsidP="00552D90">
      <w:pPr>
        <w:spacing w:after="120" w:line="360" w:lineRule="auto"/>
        <w:jc w:val="both"/>
        <w:rPr>
          <w:rFonts w:ascii="Arial" w:hAnsi="Arial" w:cs="Arial"/>
          <w:b/>
          <w:bCs/>
          <w:lang w:val="en-US"/>
        </w:rPr>
      </w:pPr>
      <w:r w:rsidRPr="00552D90">
        <w:rPr>
          <w:rFonts w:ascii="Arial" w:hAnsi="Arial" w:cs="Arial"/>
          <w:b/>
          <w:bCs/>
          <w:lang w:val="en-US"/>
        </w:rPr>
        <w:lastRenderedPageBreak/>
        <w:t xml:space="preserve">Supplementary </w:t>
      </w:r>
      <w:r>
        <w:rPr>
          <w:rFonts w:ascii="Arial" w:hAnsi="Arial" w:cs="Arial"/>
          <w:b/>
          <w:bCs/>
          <w:lang w:val="en-US"/>
        </w:rPr>
        <w:t>M</w:t>
      </w:r>
      <w:r w:rsidRPr="00552D90">
        <w:rPr>
          <w:rFonts w:ascii="Arial" w:hAnsi="Arial" w:cs="Arial"/>
          <w:b/>
          <w:bCs/>
          <w:lang w:val="en-US"/>
        </w:rPr>
        <w:t>ethods</w:t>
      </w:r>
      <w:r>
        <w:rPr>
          <w:rFonts w:ascii="Arial" w:hAnsi="Arial" w:cs="Arial"/>
          <w:b/>
          <w:bCs/>
          <w:lang w:val="en-US"/>
        </w:rPr>
        <w:t xml:space="preserve"> 2. DTI data processing</w:t>
      </w:r>
    </w:p>
    <w:p w14:paraId="5DE5FD53" w14:textId="187C517E" w:rsidR="00552D90" w:rsidRDefault="00552D90" w:rsidP="00552D90">
      <w:pPr>
        <w:spacing w:line="360" w:lineRule="auto"/>
        <w:jc w:val="both"/>
        <w:rPr>
          <w:rFonts w:ascii="Arial" w:hAnsi="Arial" w:cs="Arial"/>
          <w:lang w:val="en-US"/>
        </w:rPr>
      </w:pPr>
      <w:r w:rsidRPr="008B2DDD">
        <w:rPr>
          <w:rFonts w:ascii="Arial" w:hAnsi="Arial" w:cs="Arial"/>
          <w:lang w:val="en-US"/>
        </w:rPr>
        <w:t xml:space="preserve">Initially, all anatomical images were reoriented to match the anterior commissure's coordinates with the origin (0, 0, 0), and their orientation was aligned with the Montreal Neurological Institute (MNI) space. Subsequently, the images were segmented into gray matter (GM), white matter (WM) and cerebrospinal fluid (CSF) partitions using the unified segmentation procedure described by Ashburner </w:t>
      </w:r>
      <w:r w:rsidRPr="00B35963">
        <w:rPr>
          <w:rFonts w:ascii="Arial" w:hAnsi="Arial" w:cs="Arial"/>
          <w:lang w:val="en-US"/>
        </w:rPr>
        <w:t>and Friston</w:t>
      </w:r>
      <w:r w:rsidR="00800F21">
        <w:rPr>
          <w:rFonts w:ascii="Arial" w:hAnsi="Arial" w:cs="Arial"/>
          <w:lang w:val="en-US"/>
        </w:rPr>
        <w:t xml:space="preserve"> </w:t>
      </w:r>
      <w:r w:rsidR="00800F21" w:rsidRPr="006C7C66">
        <w:rPr>
          <w:rFonts w:ascii="Arial" w:hAnsi="Arial" w:cs="Arial"/>
          <w:vertAlign w:val="superscript"/>
          <w:lang w:val="en-US"/>
        </w:rPr>
        <w:t>S</w:t>
      </w:r>
      <w:r w:rsidR="00800F21">
        <w:rPr>
          <w:rFonts w:ascii="Arial" w:hAnsi="Arial" w:cs="Arial"/>
          <w:vertAlign w:val="superscript"/>
          <w:lang w:val="en-US"/>
        </w:rPr>
        <w:t>4</w:t>
      </w:r>
      <w:r w:rsidR="00800F21">
        <w:rPr>
          <w:rFonts w:ascii="Arial" w:hAnsi="Arial" w:cs="Arial"/>
          <w:vertAlign w:val="superscript"/>
          <w:lang w:val="en-US"/>
        </w:rPr>
        <w:t>4</w:t>
      </w:r>
      <w:r w:rsidRPr="00B35963">
        <w:rPr>
          <w:rFonts w:ascii="Arial" w:hAnsi="Arial" w:cs="Arial"/>
          <w:lang w:val="en-US"/>
        </w:rPr>
        <w:t>.</w:t>
      </w:r>
      <w:r w:rsidRPr="00B35963">
        <w:rPr>
          <w:lang w:val="en-US"/>
        </w:rPr>
        <w:t xml:space="preserve"> </w:t>
      </w:r>
      <w:r w:rsidRPr="00B35963">
        <w:rPr>
          <w:rFonts w:ascii="Arial" w:hAnsi="Arial" w:cs="Arial"/>
          <w:lang w:val="en-US"/>
        </w:rPr>
        <w:t>The Diffeomorphic Anatomical Registration Through Exponentiated Lie Algebra (DARTEL) algorithm was applied for spatial normalization, maximizing sensitivity and accuracy by using an asymmetric T1-weighted template derived from participants' structural images instead of a standard template</w:t>
      </w:r>
      <w:r w:rsidR="00800F21" w:rsidRPr="00800F21">
        <w:rPr>
          <w:rFonts w:ascii="Arial" w:hAnsi="Arial" w:cs="Arial"/>
          <w:vertAlign w:val="superscript"/>
          <w:lang w:val="en-US"/>
        </w:rPr>
        <w:t xml:space="preserve"> </w:t>
      </w:r>
      <w:r w:rsidR="00800F21" w:rsidRPr="006C7C66">
        <w:rPr>
          <w:rFonts w:ascii="Arial" w:hAnsi="Arial" w:cs="Arial"/>
          <w:vertAlign w:val="superscript"/>
          <w:lang w:val="en-US"/>
        </w:rPr>
        <w:t>S</w:t>
      </w:r>
      <w:r w:rsidR="00800F21">
        <w:rPr>
          <w:rFonts w:ascii="Arial" w:hAnsi="Arial" w:cs="Arial"/>
          <w:vertAlign w:val="superscript"/>
          <w:lang w:val="en-US"/>
        </w:rPr>
        <w:t>4</w:t>
      </w:r>
      <w:r w:rsidR="00800F21">
        <w:rPr>
          <w:rFonts w:ascii="Arial" w:hAnsi="Arial" w:cs="Arial"/>
          <w:vertAlign w:val="superscript"/>
          <w:lang w:val="en-US"/>
        </w:rPr>
        <w:t>5</w:t>
      </w:r>
      <w:r w:rsidRPr="00B35963">
        <w:rPr>
          <w:rFonts w:ascii="Arial" w:hAnsi="Arial" w:cs="Arial"/>
          <w:lang w:val="en-US"/>
        </w:rPr>
        <w:t>. The</w:t>
      </w:r>
      <w:r w:rsidRPr="008B2DDD">
        <w:rPr>
          <w:rFonts w:ascii="Arial" w:hAnsi="Arial" w:cs="Arial"/>
          <w:lang w:val="en-US"/>
        </w:rPr>
        <w:t xml:space="preserve"> fully normalized images were resliced to a final voxel size of 2x2×2 mm³ using trilinear interpolation. An additional "modulation" step involved multiplying each spatially normalized GM and WM image by its relative volume before and after normalization, preserving the total amount of GM and WM in each voxel. Finally, the resulting GM and WM images were smoothed with an 8-mm isotropic kernel at full width at half maximum (FWHM) to ensure data followed a normal distribution for subsequent statistical parametric tests.</w:t>
      </w:r>
    </w:p>
    <w:p w14:paraId="1CE6D0D3" w14:textId="77777777" w:rsidR="00552D90" w:rsidRDefault="00552D90" w:rsidP="00552D90">
      <w:pPr>
        <w:spacing w:after="120" w:line="360" w:lineRule="auto"/>
        <w:jc w:val="both"/>
        <w:rPr>
          <w:rFonts w:ascii="Arial" w:hAnsi="Arial" w:cs="Arial"/>
          <w:lang w:val="en-US"/>
        </w:rPr>
      </w:pPr>
    </w:p>
    <w:p w14:paraId="45145B8D" w14:textId="2FF80EFC" w:rsidR="00DC4A85" w:rsidRPr="003E32C1" w:rsidRDefault="00DC4A85" w:rsidP="00552D90">
      <w:pPr>
        <w:spacing w:after="120" w:line="360" w:lineRule="auto"/>
        <w:jc w:val="both"/>
        <w:rPr>
          <w:rFonts w:ascii="Arial" w:hAnsi="Arial" w:cs="Arial"/>
          <w:b/>
          <w:bCs/>
          <w:lang w:val="en-US"/>
        </w:rPr>
      </w:pPr>
      <w:r w:rsidRPr="00552D90">
        <w:rPr>
          <w:rFonts w:ascii="Arial" w:hAnsi="Arial" w:cs="Arial"/>
          <w:b/>
          <w:bCs/>
          <w:lang w:val="en-US"/>
        </w:rPr>
        <w:t xml:space="preserve">Supplementary </w:t>
      </w:r>
      <w:r>
        <w:rPr>
          <w:rFonts w:ascii="Arial" w:hAnsi="Arial" w:cs="Arial"/>
          <w:b/>
          <w:bCs/>
          <w:lang w:val="en-US"/>
        </w:rPr>
        <w:t>M</w:t>
      </w:r>
      <w:r w:rsidRPr="00552D90">
        <w:rPr>
          <w:rFonts w:ascii="Arial" w:hAnsi="Arial" w:cs="Arial"/>
          <w:b/>
          <w:bCs/>
          <w:lang w:val="en-US"/>
        </w:rPr>
        <w:t>ethods</w:t>
      </w:r>
      <w:r>
        <w:rPr>
          <w:rFonts w:ascii="Arial" w:hAnsi="Arial" w:cs="Arial"/>
          <w:b/>
          <w:bCs/>
          <w:lang w:val="en-US"/>
        </w:rPr>
        <w:t xml:space="preserve"> 3. DTI data processing</w:t>
      </w:r>
    </w:p>
    <w:p w14:paraId="4D6C036C" w14:textId="493DBC51" w:rsidR="00DC4A85" w:rsidRDefault="00DC4A85" w:rsidP="00DC4A85">
      <w:pPr>
        <w:spacing w:line="360" w:lineRule="auto"/>
        <w:jc w:val="both"/>
        <w:rPr>
          <w:rFonts w:ascii="Arial" w:hAnsi="Arial" w:cs="Arial"/>
          <w:lang w:val="en-US"/>
        </w:rPr>
      </w:pPr>
      <w:r w:rsidRPr="00EC3859">
        <w:rPr>
          <w:rFonts w:ascii="Arial" w:hAnsi="Arial" w:cs="Arial"/>
          <w:lang w:val="en-US"/>
        </w:rPr>
        <w:t xml:space="preserve">The distortions caused by the large diffusion-sensitizing gradients and motion were corrected, using as a guide the b0 volume. Afterward, an automated procedure for segmenting and making brain and nonbrain tissues was applied; then, eigenvalues and eigenvectors were estimated </w:t>
      </w:r>
      <w:proofErr w:type="gramStart"/>
      <w:r w:rsidRPr="00EC3859">
        <w:rPr>
          <w:rFonts w:ascii="Arial" w:hAnsi="Arial" w:cs="Arial"/>
          <w:lang w:val="en-US"/>
        </w:rPr>
        <w:t>in order to</w:t>
      </w:r>
      <w:proofErr w:type="gramEnd"/>
      <w:r w:rsidRPr="00EC3859">
        <w:rPr>
          <w:rFonts w:ascii="Arial" w:hAnsi="Arial" w:cs="Arial"/>
          <w:lang w:val="en-US"/>
        </w:rPr>
        <w:t xml:space="preserve"> compute FA values, which were used in the present study. Then, we used Tract-Based Spatial Statistics (TBSS) on the FSL to process fiber tracts. TBSS involves several preprocessing steps before final analyses. First, FA maps of all subjects were aligned to each other based on free-form deformations and B-spline nonlinear registration approach</w:t>
      </w:r>
      <w:r w:rsidR="00800F21">
        <w:rPr>
          <w:rFonts w:ascii="Arial" w:hAnsi="Arial" w:cs="Arial"/>
          <w:lang w:val="en-US"/>
        </w:rPr>
        <w:t xml:space="preserve"> </w:t>
      </w:r>
      <w:r w:rsidR="00800F21" w:rsidRPr="006C7C66">
        <w:rPr>
          <w:rFonts w:ascii="Arial" w:hAnsi="Arial" w:cs="Arial"/>
          <w:vertAlign w:val="superscript"/>
          <w:lang w:val="en-US"/>
        </w:rPr>
        <w:t>S</w:t>
      </w:r>
      <w:r w:rsidR="00800F21">
        <w:rPr>
          <w:rFonts w:ascii="Arial" w:hAnsi="Arial" w:cs="Arial"/>
          <w:vertAlign w:val="superscript"/>
          <w:lang w:val="en-US"/>
        </w:rPr>
        <w:t>4</w:t>
      </w:r>
      <w:r w:rsidR="00800F21">
        <w:rPr>
          <w:rFonts w:ascii="Arial" w:hAnsi="Arial" w:cs="Arial"/>
          <w:vertAlign w:val="superscript"/>
          <w:lang w:val="en-US"/>
        </w:rPr>
        <w:t>6</w:t>
      </w:r>
      <w:r>
        <w:rPr>
          <w:rFonts w:ascii="Arial" w:hAnsi="Arial" w:cs="Arial"/>
          <w:lang w:val="en-US"/>
        </w:rPr>
        <w:t xml:space="preserve">. </w:t>
      </w:r>
      <w:r w:rsidRPr="008B2DDD">
        <w:rPr>
          <w:rFonts w:ascii="Arial" w:hAnsi="Arial" w:cs="Arial"/>
          <w:lang w:val="en-US"/>
        </w:rPr>
        <w:t xml:space="preserve">The target image was </w:t>
      </w:r>
      <w:proofErr w:type="gramStart"/>
      <w:r w:rsidRPr="008B2DDD">
        <w:rPr>
          <w:rFonts w:ascii="Arial" w:hAnsi="Arial" w:cs="Arial"/>
          <w:lang w:val="en-US"/>
        </w:rPr>
        <w:t>affine-aligned</w:t>
      </w:r>
      <w:proofErr w:type="gramEnd"/>
      <w:r w:rsidRPr="008B2DDD">
        <w:rPr>
          <w:rFonts w:ascii="Arial" w:hAnsi="Arial" w:cs="Arial"/>
          <w:lang w:val="en-US"/>
        </w:rPr>
        <w:t xml:space="preserve"> into MNI standard space, </w:t>
      </w:r>
      <w:r w:rsidRPr="00EC3859">
        <w:rPr>
          <w:rFonts w:ascii="Arial" w:hAnsi="Arial" w:cs="Arial"/>
          <w:lang w:val="en-US"/>
        </w:rPr>
        <w:t>and every image was transformed into 1 × 1 × 1 mm</w:t>
      </w:r>
      <w:r w:rsidRPr="00FF73FC">
        <w:rPr>
          <w:rFonts w:ascii="Arial" w:hAnsi="Arial" w:cs="Arial"/>
          <w:vertAlign w:val="superscript"/>
          <w:lang w:val="en-US"/>
        </w:rPr>
        <w:t>3</w:t>
      </w:r>
      <w:r w:rsidRPr="00EC3859">
        <w:rPr>
          <w:rFonts w:ascii="Arial" w:hAnsi="Arial" w:cs="Arial"/>
          <w:lang w:val="en-US"/>
        </w:rPr>
        <w:t xml:space="preserve"> MNI standard space by combining the obtained linear and nonlinear transformation parameters. Next, the mean FA image was computed and thinned to create a mean FA (skeletonization). Then, each subject's aligned FA data were then projected onto </w:t>
      </w:r>
      <w:r w:rsidRPr="00EC3859">
        <w:rPr>
          <w:rFonts w:ascii="Arial" w:hAnsi="Arial" w:cs="Arial"/>
          <w:lang w:val="en-US"/>
        </w:rPr>
        <w:lastRenderedPageBreak/>
        <w:t>this skeleton. Such procedure is taken by searching the highest FA values of the subject's perpendicular tract direction within mean FA skeleton. The data were then exported to the SPM12, to conduct the between-groups comparative statistical analysis.</w:t>
      </w:r>
    </w:p>
    <w:p w14:paraId="23726A90" w14:textId="77777777" w:rsidR="003D2C85" w:rsidRPr="008B2DDD" w:rsidRDefault="003D2C85" w:rsidP="00DC4A85">
      <w:pPr>
        <w:spacing w:line="360" w:lineRule="auto"/>
        <w:jc w:val="both"/>
        <w:rPr>
          <w:rFonts w:ascii="Arial" w:hAnsi="Arial" w:cs="Arial"/>
          <w:lang w:val="en-US"/>
        </w:rPr>
      </w:pPr>
    </w:p>
    <w:p w14:paraId="2B71F25F" w14:textId="6BACEB20" w:rsidR="00DC4A85" w:rsidRPr="003D2C85" w:rsidRDefault="003D2C85" w:rsidP="00552D90">
      <w:pPr>
        <w:spacing w:after="120" w:line="360" w:lineRule="auto"/>
        <w:jc w:val="both"/>
        <w:rPr>
          <w:rFonts w:ascii="Arial" w:hAnsi="Arial" w:cs="Arial"/>
          <w:b/>
          <w:bCs/>
          <w:lang w:val="en-US"/>
        </w:rPr>
      </w:pPr>
      <w:r w:rsidRPr="00552D90">
        <w:rPr>
          <w:rFonts w:ascii="Arial" w:hAnsi="Arial" w:cs="Arial"/>
          <w:b/>
          <w:bCs/>
          <w:lang w:val="en-US"/>
        </w:rPr>
        <w:t xml:space="preserve">Supplementary </w:t>
      </w:r>
      <w:r>
        <w:rPr>
          <w:rFonts w:ascii="Arial" w:hAnsi="Arial" w:cs="Arial"/>
          <w:b/>
          <w:bCs/>
          <w:lang w:val="en-US"/>
        </w:rPr>
        <w:t>M</w:t>
      </w:r>
      <w:r w:rsidRPr="00552D90">
        <w:rPr>
          <w:rFonts w:ascii="Arial" w:hAnsi="Arial" w:cs="Arial"/>
          <w:b/>
          <w:bCs/>
          <w:lang w:val="en-US"/>
        </w:rPr>
        <w:t>ethods</w:t>
      </w:r>
      <w:r>
        <w:rPr>
          <w:rFonts w:ascii="Arial" w:hAnsi="Arial" w:cs="Arial"/>
          <w:b/>
          <w:bCs/>
          <w:lang w:val="en-US"/>
        </w:rPr>
        <w:t xml:space="preserve"> 4.</w:t>
      </w:r>
      <w:r w:rsidRPr="00800F21">
        <w:rPr>
          <w:lang w:val="en-US"/>
        </w:rPr>
        <w:t xml:space="preserve"> </w:t>
      </w:r>
      <w:proofErr w:type="spellStart"/>
      <w:r w:rsidRPr="003D2C85">
        <w:rPr>
          <w:rFonts w:ascii="Arial" w:hAnsi="Arial" w:cs="Arial"/>
          <w:b/>
          <w:bCs/>
          <w:lang w:val="en-US"/>
        </w:rPr>
        <w:t>rsfMRI</w:t>
      </w:r>
      <w:proofErr w:type="spellEnd"/>
      <w:r w:rsidRPr="003D2C85">
        <w:rPr>
          <w:rFonts w:ascii="Arial" w:hAnsi="Arial" w:cs="Arial"/>
          <w:b/>
          <w:bCs/>
          <w:lang w:val="en-US"/>
        </w:rPr>
        <w:t xml:space="preserve"> </w:t>
      </w:r>
      <w:r>
        <w:rPr>
          <w:rFonts w:ascii="Arial" w:hAnsi="Arial" w:cs="Arial"/>
          <w:b/>
          <w:bCs/>
          <w:lang w:val="en-US"/>
        </w:rPr>
        <w:t>data processing</w:t>
      </w:r>
    </w:p>
    <w:p w14:paraId="7A241CA9" w14:textId="17BF70C3" w:rsidR="003D2C85" w:rsidRDefault="003D2C85" w:rsidP="00552D90">
      <w:pPr>
        <w:spacing w:after="120" w:line="360" w:lineRule="auto"/>
        <w:jc w:val="both"/>
        <w:rPr>
          <w:rFonts w:ascii="Arial" w:hAnsi="Arial" w:cs="Arial"/>
          <w:lang w:val="en-US"/>
        </w:rPr>
      </w:pPr>
      <w:r w:rsidRPr="00B35963">
        <w:rPr>
          <w:rFonts w:ascii="Arial" w:hAnsi="Arial" w:cs="Arial"/>
          <w:lang w:val="en-US"/>
        </w:rPr>
        <w:t>The anatomical component-based noise correction algorithm (</w:t>
      </w:r>
      <w:proofErr w:type="spellStart"/>
      <w:r w:rsidRPr="00B35963">
        <w:rPr>
          <w:rFonts w:ascii="Arial" w:hAnsi="Arial" w:cs="Arial"/>
          <w:lang w:val="en-US"/>
        </w:rPr>
        <w:t>aCompCor</w:t>
      </w:r>
      <w:proofErr w:type="spellEnd"/>
      <w:r w:rsidRPr="00B35963">
        <w:rPr>
          <w:rFonts w:ascii="Arial" w:hAnsi="Arial" w:cs="Arial"/>
          <w:lang w:val="en-US"/>
        </w:rPr>
        <w:t>) method</w:t>
      </w:r>
      <w:r w:rsidR="00800F21" w:rsidRPr="00800F21">
        <w:rPr>
          <w:rFonts w:ascii="Arial" w:hAnsi="Arial" w:cs="Arial"/>
          <w:vertAlign w:val="superscript"/>
          <w:lang w:val="en-US"/>
        </w:rPr>
        <w:t xml:space="preserve"> </w:t>
      </w:r>
      <w:r w:rsidR="00800F21" w:rsidRPr="006C7C66">
        <w:rPr>
          <w:rFonts w:ascii="Arial" w:hAnsi="Arial" w:cs="Arial"/>
          <w:vertAlign w:val="superscript"/>
          <w:lang w:val="en-US"/>
        </w:rPr>
        <w:t>S</w:t>
      </w:r>
      <w:r w:rsidR="00800F21">
        <w:rPr>
          <w:rFonts w:ascii="Arial" w:hAnsi="Arial" w:cs="Arial"/>
          <w:vertAlign w:val="superscript"/>
          <w:lang w:val="en-US"/>
        </w:rPr>
        <w:t>4</w:t>
      </w:r>
      <w:r w:rsidR="00800F21">
        <w:rPr>
          <w:rFonts w:ascii="Arial" w:hAnsi="Arial" w:cs="Arial"/>
          <w:vertAlign w:val="superscript"/>
          <w:lang w:val="en-US"/>
        </w:rPr>
        <w:t>7</w:t>
      </w:r>
      <w:r w:rsidRPr="00B35963">
        <w:rPr>
          <w:rFonts w:ascii="Arial" w:hAnsi="Arial" w:cs="Arial"/>
          <w:lang w:val="en-US"/>
        </w:rPr>
        <w:t xml:space="preserve"> was used to denoise the potential confounding effect of the functional data from white matter and cerebrospinal areas (5 components each), estimated subject-motion parameters (12 components), scrubbing (100 components), and session effect (2 components), and simultaneously, the temporal band-pass filter was applied to remove frequencies below 0.008Hz from the BOLD signal as a single regression step</w:t>
      </w:r>
      <w:r w:rsidR="00800F21" w:rsidRPr="00800F21">
        <w:rPr>
          <w:rFonts w:ascii="Arial" w:hAnsi="Arial" w:cs="Arial"/>
          <w:vertAlign w:val="superscript"/>
          <w:lang w:val="en-US"/>
        </w:rPr>
        <w:t xml:space="preserve"> </w:t>
      </w:r>
      <w:r w:rsidR="00800F21" w:rsidRPr="006C7C66">
        <w:rPr>
          <w:rFonts w:ascii="Arial" w:hAnsi="Arial" w:cs="Arial"/>
          <w:vertAlign w:val="superscript"/>
          <w:lang w:val="en-US"/>
        </w:rPr>
        <w:t>S</w:t>
      </w:r>
      <w:r w:rsidR="00800F21">
        <w:rPr>
          <w:rFonts w:ascii="Arial" w:hAnsi="Arial" w:cs="Arial"/>
          <w:vertAlign w:val="superscript"/>
          <w:lang w:val="en-US"/>
        </w:rPr>
        <w:t>4</w:t>
      </w:r>
      <w:r w:rsidR="00800F21">
        <w:rPr>
          <w:rFonts w:ascii="Arial" w:hAnsi="Arial" w:cs="Arial"/>
          <w:vertAlign w:val="superscript"/>
          <w:lang w:val="en-US"/>
        </w:rPr>
        <w:t>8</w:t>
      </w:r>
      <w:r w:rsidR="00800F21">
        <w:rPr>
          <w:rFonts w:ascii="Arial" w:hAnsi="Arial" w:cs="Arial"/>
          <w:lang w:val="en-US"/>
        </w:rPr>
        <w:t>.</w:t>
      </w:r>
    </w:p>
    <w:p w14:paraId="3360C46E" w14:textId="77777777" w:rsidR="003D2C85" w:rsidRDefault="003D2C85" w:rsidP="003D2C85">
      <w:pPr>
        <w:spacing w:after="120" w:line="360" w:lineRule="auto"/>
        <w:jc w:val="both"/>
        <w:rPr>
          <w:rFonts w:ascii="Arial" w:hAnsi="Arial" w:cs="Arial"/>
          <w:b/>
          <w:bCs/>
          <w:lang w:val="en-US"/>
        </w:rPr>
      </w:pPr>
    </w:p>
    <w:p w14:paraId="58EB35FA" w14:textId="0BD2DC79" w:rsidR="003D2C85" w:rsidRPr="003D2C85" w:rsidRDefault="003D2C85" w:rsidP="003D2C85">
      <w:pPr>
        <w:spacing w:after="120" w:line="360" w:lineRule="auto"/>
        <w:jc w:val="both"/>
        <w:rPr>
          <w:rFonts w:ascii="Arial" w:hAnsi="Arial" w:cs="Arial"/>
          <w:b/>
          <w:bCs/>
          <w:lang w:val="en-US"/>
        </w:rPr>
      </w:pPr>
      <w:r w:rsidRPr="00552D90">
        <w:rPr>
          <w:rFonts w:ascii="Arial" w:hAnsi="Arial" w:cs="Arial"/>
          <w:b/>
          <w:bCs/>
          <w:lang w:val="en-US"/>
        </w:rPr>
        <w:t xml:space="preserve">Supplementary </w:t>
      </w:r>
      <w:r>
        <w:rPr>
          <w:rFonts w:ascii="Arial" w:hAnsi="Arial" w:cs="Arial"/>
          <w:b/>
          <w:bCs/>
          <w:lang w:val="en-US"/>
        </w:rPr>
        <w:t>M</w:t>
      </w:r>
      <w:r w:rsidRPr="00552D90">
        <w:rPr>
          <w:rFonts w:ascii="Arial" w:hAnsi="Arial" w:cs="Arial"/>
          <w:b/>
          <w:bCs/>
          <w:lang w:val="en-US"/>
        </w:rPr>
        <w:t>ethods</w:t>
      </w:r>
      <w:r>
        <w:rPr>
          <w:rFonts w:ascii="Arial" w:hAnsi="Arial" w:cs="Arial"/>
          <w:b/>
          <w:bCs/>
          <w:lang w:val="en-US"/>
        </w:rPr>
        <w:t xml:space="preserve"> 5.</w:t>
      </w:r>
      <w:r w:rsidRPr="003D2C85">
        <w:rPr>
          <w:lang w:val="en-US"/>
        </w:rPr>
        <w:t xml:space="preserve"> </w:t>
      </w:r>
      <w:r>
        <w:rPr>
          <w:rFonts w:ascii="Arial" w:hAnsi="Arial" w:cs="Arial"/>
          <w:b/>
          <w:bCs/>
          <w:lang w:val="en-US"/>
        </w:rPr>
        <w:t>MRS quantification</w:t>
      </w:r>
      <w:r w:rsidRPr="003D2C85">
        <w:rPr>
          <w:rFonts w:ascii="Arial" w:hAnsi="Arial" w:cs="Arial"/>
          <w:b/>
          <w:bCs/>
          <w:lang w:val="en-US"/>
        </w:rPr>
        <w:t xml:space="preserve"> </w:t>
      </w:r>
      <w:r>
        <w:rPr>
          <w:rFonts w:ascii="Arial" w:hAnsi="Arial" w:cs="Arial"/>
          <w:b/>
          <w:bCs/>
          <w:lang w:val="en-US"/>
        </w:rPr>
        <w:t>data processing</w:t>
      </w:r>
    </w:p>
    <w:p w14:paraId="61CED510" w14:textId="58A30238" w:rsidR="003D2C85" w:rsidRPr="00B35963" w:rsidRDefault="003D2C85" w:rsidP="003D2C85">
      <w:pPr>
        <w:spacing w:line="360" w:lineRule="auto"/>
        <w:jc w:val="both"/>
        <w:rPr>
          <w:rFonts w:ascii="Arial" w:hAnsi="Arial" w:cs="Arial"/>
          <w:color w:val="FF0000"/>
          <w:lang w:val="en-US"/>
        </w:rPr>
      </w:pPr>
      <w:r w:rsidRPr="00B35963">
        <w:rPr>
          <w:rFonts w:ascii="Arial" w:hAnsi="Arial" w:cs="Arial"/>
          <w:lang w:val="en-US"/>
        </w:rPr>
        <w:t>An unsuppressed water signal was used as an internal reference. To ensure the quality and accuracy of the measurements, all spectra with a Cramer-Rao lower limit values (CRLB) of less than 20%</w:t>
      </w:r>
      <w:r w:rsidR="00800F21" w:rsidRPr="00800F21">
        <w:rPr>
          <w:rFonts w:ascii="Arial" w:hAnsi="Arial" w:cs="Arial"/>
          <w:vertAlign w:val="superscript"/>
          <w:lang w:val="en-US"/>
        </w:rPr>
        <w:t xml:space="preserve"> </w:t>
      </w:r>
      <w:r w:rsidR="00800F21" w:rsidRPr="006C7C66">
        <w:rPr>
          <w:rFonts w:ascii="Arial" w:hAnsi="Arial" w:cs="Arial"/>
          <w:vertAlign w:val="superscript"/>
          <w:lang w:val="en-US"/>
        </w:rPr>
        <w:t>S</w:t>
      </w:r>
      <w:r w:rsidR="00800F21">
        <w:rPr>
          <w:rFonts w:ascii="Arial" w:hAnsi="Arial" w:cs="Arial"/>
          <w:vertAlign w:val="superscript"/>
          <w:lang w:val="en-US"/>
        </w:rPr>
        <w:t>4</w:t>
      </w:r>
      <w:r w:rsidR="00800F21">
        <w:rPr>
          <w:rFonts w:ascii="Arial" w:hAnsi="Arial" w:cs="Arial"/>
          <w:vertAlign w:val="superscript"/>
          <w:lang w:val="en-US"/>
        </w:rPr>
        <w:t>9</w:t>
      </w:r>
      <w:r w:rsidRPr="00B35963">
        <w:rPr>
          <w:rFonts w:ascii="Arial" w:hAnsi="Arial" w:cs="Arial"/>
          <w:lang w:val="en-US"/>
        </w:rPr>
        <w:t xml:space="preserve">, low spectral resolution [width at half height of maximum intensity (FWHM) &gt; 0.1ppm] or/and a signal-to-noise ratio below 5 were excluded from the analysis. Metabolite concentrations are expressed as ratios over Cr, as absolute values are more susceptible to partial volume effects and less reliable. Out of a total of 22 spectra obtained, only 14 spectra (WSC=6, CC=8) met the established quality criteria and were considered for further analysis. The high number of excluded low-quality spectra (n = 8) is related to the </w:t>
      </w:r>
      <w:r>
        <w:rPr>
          <w:rFonts w:ascii="Arial" w:hAnsi="Arial" w:cs="Arial"/>
          <w:lang w:val="en-US"/>
        </w:rPr>
        <w:t>anatomical site</w:t>
      </w:r>
      <w:r w:rsidRPr="00B35963">
        <w:rPr>
          <w:rFonts w:ascii="Arial" w:hAnsi="Arial" w:cs="Arial"/>
          <w:lang w:val="en-US"/>
        </w:rPr>
        <w:t xml:space="preserve"> of the hypothalamus, which is very difficult to locate and often leads to non-optimal equipment adjustment.</w:t>
      </w:r>
    </w:p>
    <w:p w14:paraId="3A70222F" w14:textId="77777777" w:rsidR="003D2C85" w:rsidRDefault="003D2C85" w:rsidP="00552D90">
      <w:pPr>
        <w:spacing w:after="120" w:line="360" w:lineRule="auto"/>
        <w:jc w:val="both"/>
        <w:rPr>
          <w:rFonts w:ascii="Arial" w:hAnsi="Arial" w:cs="Arial"/>
          <w:lang w:val="en-US"/>
        </w:rPr>
      </w:pPr>
    </w:p>
    <w:p w14:paraId="3A971501" w14:textId="5EC4AAA8" w:rsidR="003D2C85" w:rsidRDefault="003D2C85" w:rsidP="003D2C85">
      <w:pPr>
        <w:spacing w:after="120" w:line="360" w:lineRule="auto"/>
        <w:jc w:val="both"/>
        <w:rPr>
          <w:rFonts w:ascii="Arial" w:hAnsi="Arial" w:cs="Arial"/>
          <w:b/>
          <w:bCs/>
          <w:lang w:val="en-US"/>
        </w:rPr>
      </w:pPr>
      <w:r w:rsidRPr="00552D90">
        <w:rPr>
          <w:rFonts w:ascii="Arial" w:hAnsi="Arial" w:cs="Arial"/>
          <w:b/>
          <w:bCs/>
          <w:lang w:val="en-US"/>
        </w:rPr>
        <w:t xml:space="preserve">Supplementary </w:t>
      </w:r>
      <w:r>
        <w:rPr>
          <w:rFonts w:ascii="Arial" w:hAnsi="Arial" w:cs="Arial"/>
          <w:b/>
          <w:bCs/>
          <w:lang w:val="en-US"/>
        </w:rPr>
        <w:t>M</w:t>
      </w:r>
      <w:r w:rsidRPr="00552D90">
        <w:rPr>
          <w:rFonts w:ascii="Arial" w:hAnsi="Arial" w:cs="Arial"/>
          <w:b/>
          <w:bCs/>
          <w:lang w:val="en-US"/>
        </w:rPr>
        <w:t>ethods</w:t>
      </w:r>
      <w:r>
        <w:rPr>
          <w:rFonts w:ascii="Arial" w:hAnsi="Arial" w:cs="Arial"/>
          <w:b/>
          <w:bCs/>
          <w:lang w:val="en-US"/>
        </w:rPr>
        <w:t xml:space="preserve"> 6.</w:t>
      </w:r>
      <w:r w:rsidRPr="003D2C85">
        <w:rPr>
          <w:lang w:val="en-US"/>
        </w:rPr>
        <w:t xml:space="preserve"> </w:t>
      </w:r>
      <w:r w:rsidRPr="003D2C85">
        <w:rPr>
          <w:rFonts w:ascii="Arial" w:hAnsi="Arial" w:cs="Arial"/>
          <w:b/>
          <w:bCs/>
          <w:lang w:val="en-US"/>
        </w:rPr>
        <w:t>Immunohistochemistry (IHC)</w:t>
      </w:r>
      <w:r>
        <w:rPr>
          <w:rFonts w:ascii="Arial" w:hAnsi="Arial" w:cs="Arial"/>
          <w:b/>
          <w:bCs/>
          <w:lang w:val="en-US"/>
        </w:rPr>
        <w:t xml:space="preserve"> protocol</w:t>
      </w:r>
    </w:p>
    <w:p w14:paraId="59DCECA7" w14:textId="6D0A2E17" w:rsidR="003D2C85" w:rsidRPr="008B2DDD" w:rsidRDefault="003D2C85" w:rsidP="003D2C85">
      <w:pPr>
        <w:spacing w:after="120" w:line="360" w:lineRule="auto"/>
        <w:jc w:val="both"/>
        <w:rPr>
          <w:rFonts w:ascii="Arial" w:hAnsi="Arial" w:cs="Arial"/>
          <w:lang w:val="en-US"/>
        </w:rPr>
      </w:pPr>
      <w:r w:rsidRPr="008B2DDD">
        <w:rPr>
          <w:rFonts w:ascii="Arial" w:hAnsi="Arial" w:cs="Arial"/>
          <w:lang w:val="en-US"/>
        </w:rPr>
        <w:t>After baking the slides at 60°C for 20 minutes to melt paraffin, slides were rehydrated using a standard rehydration curve (3x5 min Xylene, 100% Ethanol, 70% Ethanol, H</w:t>
      </w:r>
      <w:r w:rsidRPr="008B2DDD">
        <w:rPr>
          <w:rFonts w:ascii="Arial" w:hAnsi="Arial" w:cs="Arial"/>
          <w:vertAlign w:val="subscript"/>
          <w:lang w:val="en-US"/>
        </w:rPr>
        <w:t>2</w:t>
      </w:r>
      <w:r w:rsidRPr="008B2DDD">
        <w:rPr>
          <w:rFonts w:ascii="Arial" w:hAnsi="Arial" w:cs="Arial"/>
          <w:lang w:val="en-US"/>
        </w:rPr>
        <w:t>0). Endogenous peroxidase activity was quenched by exposure to 3% H</w:t>
      </w:r>
      <w:r w:rsidRPr="008B2DDD">
        <w:rPr>
          <w:rFonts w:ascii="Arial" w:hAnsi="Arial" w:cs="Arial"/>
          <w:vertAlign w:val="subscript"/>
          <w:lang w:val="en-US"/>
        </w:rPr>
        <w:t>2</w:t>
      </w:r>
      <w:r w:rsidRPr="008B2DDD">
        <w:rPr>
          <w:rFonts w:ascii="Arial" w:hAnsi="Arial" w:cs="Arial"/>
          <w:lang w:val="en-US"/>
        </w:rPr>
        <w:t>0</w:t>
      </w:r>
      <w:r w:rsidRPr="008B2DDD">
        <w:rPr>
          <w:rFonts w:ascii="Arial" w:hAnsi="Arial" w:cs="Arial"/>
          <w:vertAlign w:val="subscript"/>
          <w:lang w:val="en-US"/>
        </w:rPr>
        <w:t>2</w:t>
      </w:r>
      <w:r w:rsidRPr="008B2DDD">
        <w:rPr>
          <w:rFonts w:ascii="Arial" w:hAnsi="Arial" w:cs="Arial"/>
          <w:lang w:val="en-US"/>
        </w:rPr>
        <w:t xml:space="preserve"> for 30 minutes. Heat-mediated antigen retrieval was conducted in </w:t>
      </w:r>
      <w:r w:rsidRPr="008B2DDD">
        <w:rPr>
          <w:rFonts w:ascii="Arial" w:hAnsi="Arial" w:cs="Arial"/>
          <w:lang w:val="en-US"/>
        </w:rPr>
        <w:lastRenderedPageBreak/>
        <w:t xml:space="preserve">either citrate buffer or Tris-buffered saline (pH6) by usage of microwave (for 10m) or autoclave (15psi, 121°C for 60m) dependent on the antibody. After slides had cooled down, tissue sections were placed in Shandon </w:t>
      </w:r>
      <w:proofErr w:type="spellStart"/>
      <w:r w:rsidRPr="008B2DDD">
        <w:rPr>
          <w:rFonts w:ascii="Arial" w:hAnsi="Arial" w:cs="Arial"/>
          <w:lang w:val="en-US"/>
        </w:rPr>
        <w:t>Sequenza</w:t>
      </w:r>
      <w:proofErr w:type="spellEnd"/>
      <w:r w:rsidRPr="008B2DDD">
        <w:rPr>
          <w:rFonts w:ascii="Arial" w:hAnsi="Arial" w:cs="Arial"/>
          <w:lang w:val="en-US"/>
        </w:rPr>
        <w:t xml:space="preserve"> units and washed with PBS or TBS-T. Primary antibodies were applied for 1h at RT in antibody diluent (S2022 </w:t>
      </w:r>
      <w:proofErr w:type="spellStart"/>
      <w:r w:rsidRPr="008B2DDD">
        <w:rPr>
          <w:rFonts w:ascii="Arial" w:hAnsi="Arial" w:cs="Arial"/>
          <w:lang w:val="en-US"/>
        </w:rPr>
        <w:t>Dako</w:t>
      </w:r>
      <w:proofErr w:type="spellEnd"/>
      <w:r w:rsidRPr="008B2DDD">
        <w:rPr>
          <w:rFonts w:ascii="Arial" w:hAnsi="Arial" w:cs="Arial"/>
          <w:lang w:val="en-US"/>
        </w:rPr>
        <w:t xml:space="preserve"> REAL Antibody Diluent). Sections were washed 2x in PBS or TBS-T and secondary antibody (</w:t>
      </w:r>
      <w:proofErr w:type="spellStart"/>
      <w:r w:rsidRPr="008B2DDD">
        <w:rPr>
          <w:rFonts w:ascii="Arial" w:hAnsi="Arial" w:cs="Arial"/>
          <w:lang w:val="en-US"/>
        </w:rPr>
        <w:t>Dako</w:t>
      </w:r>
      <w:proofErr w:type="spellEnd"/>
      <w:r w:rsidRPr="008B2DDD">
        <w:rPr>
          <w:rFonts w:ascii="Arial" w:hAnsi="Arial" w:cs="Arial"/>
          <w:lang w:val="en-US"/>
        </w:rPr>
        <w:t xml:space="preserve"> REAL </w:t>
      </w:r>
      <w:proofErr w:type="spellStart"/>
      <w:r w:rsidRPr="008B2DDD">
        <w:rPr>
          <w:rFonts w:ascii="Arial" w:hAnsi="Arial" w:cs="Arial"/>
          <w:lang w:val="en-US"/>
        </w:rPr>
        <w:t>EnVision</w:t>
      </w:r>
      <w:proofErr w:type="spellEnd"/>
      <w:r w:rsidRPr="008B2DDD">
        <w:rPr>
          <w:rFonts w:ascii="Arial" w:hAnsi="Arial" w:cs="Arial"/>
          <w:lang w:val="en-US"/>
        </w:rPr>
        <w:t xml:space="preserve"> Detection System, Peroxidase/DAB, Rabbit/Mouse, HRP) was applied according to manufacturer’s instructions for 40 minutes. Sections were washed again in PBS or TBS-T (2x5min) and exposed to 3,3</w:t>
      </w:r>
      <w:r w:rsidRPr="008B2DDD">
        <w:rPr>
          <w:rFonts w:ascii="Cambria Math" w:hAnsi="Cambria Math" w:cs="Cambria Math"/>
          <w:lang w:val="en-US"/>
        </w:rPr>
        <w:t>‐</w:t>
      </w:r>
      <w:r w:rsidRPr="008B2DDD">
        <w:rPr>
          <w:rFonts w:ascii="Arial" w:hAnsi="Arial" w:cs="Arial"/>
          <w:lang w:val="en-US"/>
        </w:rPr>
        <w:t xml:space="preserve">diaminobenzidine (DAB) </w:t>
      </w:r>
      <w:proofErr w:type="spellStart"/>
      <w:r w:rsidRPr="008B2DDD">
        <w:rPr>
          <w:rFonts w:ascii="Arial" w:hAnsi="Arial" w:cs="Arial"/>
          <w:lang w:val="en-US"/>
        </w:rPr>
        <w:t>EnVision</w:t>
      </w:r>
      <w:proofErr w:type="spellEnd"/>
      <w:r w:rsidRPr="008B2DDD">
        <w:rPr>
          <w:rFonts w:ascii="Arial" w:hAnsi="Arial" w:cs="Arial"/>
          <w:lang w:val="en-US"/>
        </w:rPr>
        <w:t>+ kit (</w:t>
      </w:r>
      <w:proofErr w:type="spellStart"/>
      <w:r w:rsidRPr="008B2DDD">
        <w:rPr>
          <w:rFonts w:ascii="Arial" w:hAnsi="Arial" w:cs="Arial"/>
          <w:lang w:val="en-US"/>
        </w:rPr>
        <w:t>Dako</w:t>
      </w:r>
      <w:proofErr w:type="spellEnd"/>
      <w:r w:rsidRPr="008B2DDD">
        <w:rPr>
          <w:rFonts w:ascii="Arial" w:hAnsi="Arial" w:cs="Arial"/>
          <w:lang w:val="en-US"/>
        </w:rPr>
        <w:t>, Glostrup, Denmark) for 5 min after which sections were washed 2x5min with PBS or TBS-T. Sections were counterstained using Harris Hematoxylin (Leica, 3801560E) for 60s. Subsequently, sections were washed in water and dehydrated (H</w:t>
      </w:r>
      <w:r w:rsidRPr="008B2DDD">
        <w:rPr>
          <w:rFonts w:ascii="Arial" w:hAnsi="Arial" w:cs="Arial"/>
          <w:vertAlign w:val="subscript"/>
          <w:lang w:val="en-US"/>
        </w:rPr>
        <w:t>2</w:t>
      </w:r>
      <w:r w:rsidRPr="008B2DDD">
        <w:rPr>
          <w:rFonts w:ascii="Arial" w:hAnsi="Arial" w:cs="Arial"/>
          <w:lang w:val="en-US"/>
        </w:rPr>
        <w:t>O, 70% Ethanol, 100% Ethanol, Xylene) after which they were kept in xylene (</w:t>
      </w:r>
      <w:proofErr w:type="spellStart"/>
      <w:r w:rsidRPr="008B2DDD">
        <w:rPr>
          <w:rFonts w:ascii="Arial" w:hAnsi="Arial" w:cs="Arial"/>
          <w:lang w:val="en-US"/>
        </w:rPr>
        <w:t>Genta</w:t>
      </w:r>
      <w:proofErr w:type="spellEnd"/>
      <w:r w:rsidRPr="008B2DDD">
        <w:rPr>
          <w:rFonts w:ascii="Arial" w:hAnsi="Arial" w:cs="Arial"/>
          <w:lang w:val="en-US"/>
        </w:rPr>
        <w:t xml:space="preserve"> Medical, XYL050) until slides were mounted using DPX (Fisher Scientific, 12658646). </w:t>
      </w:r>
    </w:p>
    <w:p w14:paraId="0B6FA0B5" w14:textId="61CA0249" w:rsidR="003D2C85" w:rsidRPr="008B2DDD" w:rsidRDefault="003D2C85" w:rsidP="003D2C85">
      <w:pPr>
        <w:spacing w:line="360" w:lineRule="auto"/>
        <w:jc w:val="both"/>
        <w:rPr>
          <w:rFonts w:ascii="Arial" w:hAnsi="Arial" w:cs="Arial"/>
          <w:lang w:val="en-US"/>
        </w:rPr>
      </w:pPr>
      <w:r w:rsidRPr="008B2DDD">
        <w:rPr>
          <w:rFonts w:ascii="Arial" w:hAnsi="Arial" w:cs="Arial"/>
          <w:lang w:val="en-US"/>
        </w:rPr>
        <w:t>Specific antigen retrieval methods, primary antibody concentrations, and incubation times were adjusted and standardized as show</w:t>
      </w:r>
      <w:r>
        <w:rPr>
          <w:rFonts w:ascii="Arial" w:hAnsi="Arial" w:cs="Arial"/>
          <w:lang w:val="en-US"/>
        </w:rPr>
        <w:t>n</w:t>
      </w:r>
      <w:r w:rsidRPr="008B2DDD">
        <w:rPr>
          <w:rFonts w:ascii="Arial" w:hAnsi="Arial" w:cs="Arial"/>
          <w:lang w:val="en-US"/>
        </w:rPr>
        <w:t xml:space="preserve"> in </w:t>
      </w:r>
      <w:r w:rsidRPr="008B2DDD">
        <w:rPr>
          <w:rFonts w:ascii="Arial" w:hAnsi="Arial" w:cs="Arial"/>
          <w:b/>
          <w:bCs/>
          <w:lang w:val="en-US"/>
        </w:rPr>
        <w:t xml:space="preserve">Supplementary Table 2. </w:t>
      </w:r>
      <w:r w:rsidRPr="008B2DDD">
        <w:rPr>
          <w:rFonts w:ascii="Arial" w:hAnsi="Arial" w:cs="Arial"/>
          <w:lang w:val="en-US"/>
        </w:rPr>
        <w:t xml:space="preserve">Positive controls indicated by the manufacturer were used for antibody optimization. A secondary antibody only control condition was included as negative control. </w:t>
      </w:r>
    </w:p>
    <w:p w14:paraId="6037DB17" w14:textId="77777777" w:rsidR="003D2C85" w:rsidRDefault="003D2C85" w:rsidP="00552D90">
      <w:pPr>
        <w:spacing w:after="120" w:line="360" w:lineRule="auto"/>
        <w:jc w:val="both"/>
        <w:rPr>
          <w:rFonts w:ascii="Arial" w:hAnsi="Arial" w:cs="Arial"/>
          <w:lang w:val="en-US"/>
        </w:rPr>
      </w:pPr>
    </w:p>
    <w:p w14:paraId="6BABB989" w14:textId="34735054" w:rsidR="003D2C85" w:rsidRDefault="003D2C85" w:rsidP="003D2C85">
      <w:pPr>
        <w:spacing w:line="360" w:lineRule="auto"/>
        <w:jc w:val="both"/>
        <w:rPr>
          <w:rFonts w:ascii="Arial" w:hAnsi="Arial" w:cs="Arial"/>
          <w:b/>
          <w:bCs/>
          <w:lang w:val="en-US"/>
        </w:rPr>
      </w:pPr>
      <w:r w:rsidRPr="00503F5D">
        <w:rPr>
          <w:rFonts w:ascii="Arial" w:hAnsi="Arial" w:cs="Arial"/>
          <w:b/>
          <w:bCs/>
          <w:lang w:val="en-US"/>
        </w:rPr>
        <w:t xml:space="preserve">Supplementary Methods </w:t>
      </w:r>
      <w:r>
        <w:rPr>
          <w:rFonts w:ascii="Arial" w:hAnsi="Arial" w:cs="Arial"/>
          <w:b/>
          <w:bCs/>
          <w:lang w:val="en-US"/>
        </w:rPr>
        <w:t>7</w:t>
      </w:r>
      <w:r>
        <w:rPr>
          <w:rFonts w:ascii="Arial" w:hAnsi="Arial" w:cs="Arial"/>
          <w:lang w:val="en-US"/>
        </w:rPr>
        <w:t xml:space="preserve">.  </w:t>
      </w:r>
      <w:r w:rsidRPr="003D2C85">
        <w:rPr>
          <w:rFonts w:ascii="Arial" w:hAnsi="Arial" w:cs="Arial"/>
          <w:b/>
          <w:bCs/>
          <w:lang w:val="en-US"/>
        </w:rPr>
        <w:t>Regional Analysis</w:t>
      </w:r>
    </w:p>
    <w:p w14:paraId="0D46A0BB" w14:textId="77777777" w:rsidR="003D2C85" w:rsidRPr="008B2DDD" w:rsidRDefault="003D2C85" w:rsidP="003D2C85">
      <w:pPr>
        <w:spacing w:before="240" w:after="240" w:line="360" w:lineRule="auto"/>
        <w:jc w:val="both"/>
        <w:rPr>
          <w:rFonts w:ascii="Arial" w:hAnsi="Arial" w:cs="Arial"/>
          <w:lang w:val="en-US"/>
        </w:rPr>
      </w:pPr>
      <w:r w:rsidRPr="008B2DDD">
        <w:rPr>
          <w:rFonts w:ascii="Arial" w:hAnsi="Arial" w:cs="Arial"/>
          <w:lang w:val="en-US"/>
        </w:rPr>
        <w:t>1.1 Regional Analysis: Quantitative analysis</w:t>
      </w:r>
    </w:p>
    <w:p w14:paraId="6990DA9B" w14:textId="77777777" w:rsidR="003D2C85" w:rsidRPr="008B2DDD" w:rsidRDefault="003D2C85" w:rsidP="003D2C85">
      <w:pPr>
        <w:spacing w:line="360" w:lineRule="auto"/>
        <w:jc w:val="both"/>
        <w:rPr>
          <w:rFonts w:ascii="Arial" w:hAnsi="Arial" w:cs="Arial"/>
          <w:lang w:val="en-US"/>
        </w:rPr>
      </w:pPr>
      <w:r w:rsidRPr="008B2DDD">
        <w:rPr>
          <w:rFonts w:ascii="Arial" w:hAnsi="Arial" w:cs="Arial"/>
          <w:lang w:val="en-US"/>
        </w:rPr>
        <w:t>Neuronal counts were performed on tissue sections stained for H&amp;E, with counting frames created at x400 magnification. Neuron cells were counted if they contained both a nucleus and a single, large nucleolus. Neuronal counts in each tissue section were averaged. Neuronal density was calculated by dividing the number of cells by the area of the counting frame.</w:t>
      </w:r>
    </w:p>
    <w:p w14:paraId="751F60BF" w14:textId="77777777" w:rsidR="003D2C85" w:rsidRPr="008B2DDD" w:rsidRDefault="003D2C85" w:rsidP="003D2C85">
      <w:pPr>
        <w:spacing w:line="360" w:lineRule="auto"/>
        <w:jc w:val="both"/>
        <w:rPr>
          <w:rFonts w:ascii="Arial" w:hAnsi="Arial" w:cs="Arial"/>
          <w:lang w:val="en-US"/>
        </w:rPr>
      </w:pPr>
      <w:r w:rsidRPr="008B2DDD">
        <w:rPr>
          <w:rFonts w:ascii="Arial" w:hAnsi="Arial" w:cs="Arial"/>
          <w:lang w:val="en-US"/>
        </w:rPr>
        <w:t xml:space="preserve">Automated quantification of specific markers for neuroglia cells (Iba1- microglia, CD68- macrophages, and GFAP- astrocytes) was performed using </w:t>
      </w:r>
      <w:proofErr w:type="spellStart"/>
      <w:r w:rsidRPr="008B2DDD">
        <w:rPr>
          <w:rFonts w:ascii="Arial" w:hAnsi="Arial" w:cs="Arial"/>
          <w:lang w:val="en-US"/>
        </w:rPr>
        <w:t>Qupath</w:t>
      </w:r>
      <w:proofErr w:type="spellEnd"/>
      <w:r w:rsidRPr="008B2DDD">
        <w:rPr>
          <w:rFonts w:ascii="Arial" w:hAnsi="Arial" w:cs="Arial"/>
          <w:lang w:val="en-US"/>
        </w:rPr>
        <w:t xml:space="preserve"> Software and the algorithms described in </w:t>
      </w:r>
      <w:r w:rsidRPr="008B2DDD">
        <w:rPr>
          <w:rFonts w:ascii="Arial" w:hAnsi="Arial" w:cs="Arial"/>
          <w:b/>
          <w:bCs/>
          <w:lang w:val="en-US"/>
        </w:rPr>
        <w:t>Supplementary Table 3</w:t>
      </w:r>
      <w:r w:rsidRPr="008B2DDD">
        <w:rPr>
          <w:rFonts w:ascii="Arial" w:hAnsi="Arial" w:cs="Arial"/>
          <w:lang w:val="en-US"/>
        </w:rPr>
        <w:t xml:space="preserve">. Number of positively and negatively stained pixels were measured to generate a value for </w:t>
      </w:r>
      <w:r w:rsidRPr="008B2DDD">
        <w:rPr>
          <w:rFonts w:ascii="Arial" w:hAnsi="Arial" w:cs="Arial"/>
          <w:lang w:val="en-US"/>
        </w:rPr>
        <w:lastRenderedPageBreak/>
        <w:t>positivity (positivity = total number of positive pixels ÷ total area). A DAB</w:t>
      </w:r>
      <w:r w:rsidRPr="008B2DDD">
        <w:rPr>
          <w:rFonts w:ascii="Cambria Math" w:hAnsi="Cambria Math" w:cs="Cambria Math"/>
          <w:lang w:val="en-US"/>
        </w:rPr>
        <w:t>‐</w:t>
      </w:r>
      <w:r w:rsidRPr="008B2DDD">
        <w:rPr>
          <w:rFonts w:ascii="Arial" w:hAnsi="Arial" w:cs="Arial"/>
          <w:lang w:val="en-US"/>
        </w:rPr>
        <w:t>stained image for each marker was used to threshold the algorithms ensuring all positively stained pixels were identified and counted. This quantification was performed exclusively on the gray matter of each brain region of interest. A section of control tissue, stained only with hematoxylin, was used to confirm the algorithm specificity.</w:t>
      </w:r>
    </w:p>
    <w:p w14:paraId="4FCF6391" w14:textId="77777777" w:rsidR="003D2C85" w:rsidRPr="008B2DDD" w:rsidRDefault="003D2C85" w:rsidP="003D2C85">
      <w:pPr>
        <w:spacing w:before="240" w:after="240" w:line="360" w:lineRule="auto"/>
        <w:jc w:val="both"/>
        <w:rPr>
          <w:rFonts w:ascii="Arial" w:hAnsi="Arial" w:cs="Arial"/>
          <w:lang w:val="en-US"/>
        </w:rPr>
      </w:pPr>
      <w:r w:rsidRPr="008B2DDD">
        <w:rPr>
          <w:rFonts w:ascii="Arial" w:hAnsi="Arial" w:cs="Arial"/>
          <w:lang w:val="en-US"/>
        </w:rPr>
        <w:t>1.2. Regional Analysis: Semi-quantitative analysis</w:t>
      </w:r>
    </w:p>
    <w:p w14:paraId="622B85F8" w14:textId="77777777" w:rsidR="003D2C85" w:rsidRPr="008B2DDD" w:rsidRDefault="003D2C85" w:rsidP="003D2C85">
      <w:pPr>
        <w:spacing w:line="360" w:lineRule="auto"/>
        <w:jc w:val="both"/>
        <w:rPr>
          <w:rFonts w:ascii="Arial" w:hAnsi="Arial" w:cs="Arial"/>
          <w:lang w:val="en-US"/>
        </w:rPr>
      </w:pPr>
      <w:r w:rsidRPr="008B2DDD">
        <w:rPr>
          <w:rFonts w:ascii="Arial" w:hAnsi="Arial" w:cs="Arial"/>
          <w:lang w:val="en-US"/>
        </w:rPr>
        <w:t>The global measure of mTOR activity was assessed using semi</w:t>
      </w:r>
      <w:r w:rsidRPr="008B2DDD">
        <w:rPr>
          <w:rFonts w:ascii="Cambria Math" w:hAnsi="Cambria Math" w:cs="Cambria Math"/>
          <w:lang w:val="en-US"/>
        </w:rPr>
        <w:t>‐</w:t>
      </w:r>
      <w:r w:rsidRPr="008B2DDD">
        <w:rPr>
          <w:rFonts w:ascii="Arial" w:hAnsi="Arial" w:cs="Arial"/>
          <w:lang w:val="en-US"/>
        </w:rPr>
        <w:t xml:space="preserve">quantitative expression analyses for each marker related to the mTOR pathway. </w:t>
      </w:r>
    </w:p>
    <w:p w14:paraId="3ABF6232" w14:textId="0E914213" w:rsidR="003D2C85" w:rsidRPr="008B2DDD" w:rsidRDefault="003D2C85" w:rsidP="003D2C85">
      <w:pPr>
        <w:spacing w:line="360" w:lineRule="auto"/>
        <w:jc w:val="both"/>
        <w:rPr>
          <w:rFonts w:ascii="Arial" w:hAnsi="Arial" w:cs="Arial"/>
          <w:lang w:val="en-US"/>
        </w:rPr>
      </w:pPr>
      <w:r w:rsidRPr="008B2DDD">
        <w:rPr>
          <w:rFonts w:ascii="Arial" w:hAnsi="Arial" w:cs="Arial"/>
          <w:lang w:val="en-US"/>
        </w:rPr>
        <w:t>The semi</w:t>
      </w:r>
      <w:r w:rsidRPr="008B2DDD">
        <w:rPr>
          <w:rFonts w:ascii="Cambria Math" w:hAnsi="Cambria Math" w:cs="Cambria Math"/>
          <w:lang w:val="en-US"/>
        </w:rPr>
        <w:t>‐</w:t>
      </w:r>
      <w:r w:rsidRPr="008B2DDD">
        <w:rPr>
          <w:rFonts w:ascii="Arial" w:hAnsi="Arial" w:cs="Arial"/>
          <w:lang w:val="en-US"/>
        </w:rPr>
        <w:t xml:space="preserve">quantitative analyses of Hamartin (TSC1), Tuberin (TSC2), mTOR, </w:t>
      </w:r>
      <w:proofErr w:type="spellStart"/>
      <w:r w:rsidRPr="008B2DDD">
        <w:rPr>
          <w:rFonts w:ascii="Arial" w:hAnsi="Arial" w:cs="Arial"/>
          <w:lang w:val="en-US"/>
        </w:rPr>
        <w:t>phospo</w:t>
      </w:r>
      <w:proofErr w:type="spellEnd"/>
      <w:r w:rsidRPr="008B2DDD">
        <w:rPr>
          <w:rFonts w:ascii="Arial" w:hAnsi="Arial" w:cs="Arial"/>
          <w:lang w:val="en-US"/>
        </w:rPr>
        <w:t xml:space="preserve">-mTOR, ribosomal protein S6 kinase (p70S6K) and phospo-p70S6K markers staining were performed according to previously </w:t>
      </w:r>
      <w:r w:rsidRPr="004162D5">
        <w:rPr>
          <w:rFonts w:ascii="Arial" w:hAnsi="Arial" w:cs="Arial"/>
          <w:lang w:val="en-US"/>
        </w:rPr>
        <w:t>published methods</w:t>
      </w:r>
      <w:r w:rsidR="00800F21" w:rsidRPr="00800F21">
        <w:rPr>
          <w:rFonts w:ascii="Arial" w:hAnsi="Arial" w:cs="Arial"/>
          <w:vertAlign w:val="superscript"/>
          <w:lang w:val="en-US"/>
        </w:rPr>
        <w:t xml:space="preserve"> </w:t>
      </w:r>
      <w:r w:rsidR="00800F21" w:rsidRPr="006C7C66">
        <w:rPr>
          <w:rFonts w:ascii="Arial" w:hAnsi="Arial" w:cs="Arial"/>
          <w:vertAlign w:val="superscript"/>
          <w:lang w:val="en-US"/>
        </w:rPr>
        <w:t>S</w:t>
      </w:r>
      <w:r w:rsidR="00800F21">
        <w:rPr>
          <w:rFonts w:ascii="Arial" w:hAnsi="Arial" w:cs="Arial"/>
          <w:vertAlign w:val="superscript"/>
          <w:lang w:val="en-US"/>
        </w:rPr>
        <w:t>50</w:t>
      </w:r>
      <w:r w:rsidRPr="004162D5">
        <w:rPr>
          <w:rFonts w:ascii="Arial" w:hAnsi="Arial" w:cs="Arial"/>
          <w:lang w:val="en-US"/>
        </w:rPr>
        <w:t>.</w:t>
      </w:r>
      <w:r w:rsidRPr="008B2DDD">
        <w:rPr>
          <w:rFonts w:ascii="Arial" w:hAnsi="Arial" w:cs="Arial"/>
          <w:lang w:val="en-US"/>
        </w:rPr>
        <w:t xml:space="preserve"> Each marker was scored as absent (0), mild/some (1), moderate (2), or abundant (3) in each region of interest (scales showed in</w:t>
      </w:r>
      <w:r w:rsidRPr="008B2DDD">
        <w:rPr>
          <w:rFonts w:ascii="Arial" w:hAnsi="Arial" w:cs="Arial"/>
          <w:b/>
          <w:bCs/>
          <w:lang w:val="en-US"/>
        </w:rPr>
        <w:t xml:space="preserve"> Supplementary Figure 1-6</w:t>
      </w:r>
      <w:r w:rsidRPr="008B2DDD">
        <w:rPr>
          <w:rFonts w:ascii="Arial" w:hAnsi="Arial" w:cs="Arial"/>
          <w:lang w:val="en-US"/>
        </w:rPr>
        <w:t xml:space="preserve">). </w:t>
      </w:r>
    </w:p>
    <w:p w14:paraId="43FAF2EF" w14:textId="77777777" w:rsidR="003D2C85" w:rsidRDefault="003D2C85" w:rsidP="003D2C85">
      <w:pPr>
        <w:spacing w:line="360" w:lineRule="auto"/>
        <w:jc w:val="both"/>
        <w:rPr>
          <w:rFonts w:ascii="Arial" w:hAnsi="Arial" w:cs="Arial"/>
          <w:color w:val="FF0000"/>
          <w:lang w:val="en-US"/>
        </w:rPr>
      </w:pPr>
    </w:p>
    <w:p w14:paraId="6DE450CB" w14:textId="4FBAE5F5" w:rsidR="00BB7925" w:rsidRPr="00E95D23" w:rsidRDefault="00BB7925" w:rsidP="00BB7925">
      <w:pPr>
        <w:spacing w:after="120" w:line="360" w:lineRule="auto"/>
        <w:jc w:val="both"/>
        <w:rPr>
          <w:rFonts w:ascii="Arial" w:hAnsi="Arial" w:cs="Arial"/>
          <w:i/>
          <w:iCs/>
          <w:lang w:val="en-US"/>
        </w:rPr>
      </w:pPr>
      <w:r w:rsidRPr="00503F5D">
        <w:rPr>
          <w:rFonts w:ascii="Arial" w:hAnsi="Arial" w:cs="Arial"/>
          <w:b/>
          <w:bCs/>
          <w:lang w:val="en-US"/>
        </w:rPr>
        <w:t xml:space="preserve">Supplementary Methods </w:t>
      </w:r>
      <w:r>
        <w:rPr>
          <w:rFonts w:ascii="Arial" w:hAnsi="Arial" w:cs="Arial"/>
          <w:b/>
          <w:bCs/>
          <w:lang w:val="en-US"/>
        </w:rPr>
        <w:t xml:space="preserve">8. </w:t>
      </w:r>
      <w:r w:rsidRPr="00BB7925">
        <w:rPr>
          <w:rFonts w:ascii="Arial" w:hAnsi="Arial" w:cs="Arial"/>
          <w:b/>
          <w:bCs/>
          <w:lang w:val="en-US"/>
        </w:rPr>
        <w:t>Neuroimaging statistical analysis</w:t>
      </w:r>
      <w:r w:rsidRPr="00E95D23">
        <w:rPr>
          <w:rFonts w:ascii="Arial" w:hAnsi="Arial" w:cs="Arial"/>
          <w:i/>
          <w:iCs/>
          <w:lang w:val="en-US"/>
        </w:rPr>
        <w:t xml:space="preserve"> </w:t>
      </w:r>
    </w:p>
    <w:p w14:paraId="6AFC7ECB" w14:textId="77777777" w:rsidR="00BB7925" w:rsidRDefault="00BB7925" w:rsidP="00BB7925">
      <w:pPr>
        <w:spacing w:after="120" w:line="360" w:lineRule="auto"/>
        <w:jc w:val="both"/>
        <w:rPr>
          <w:rFonts w:ascii="Arial" w:hAnsi="Arial" w:cs="Arial"/>
          <w:lang w:val="en-US"/>
        </w:rPr>
      </w:pPr>
      <w:r w:rsidRPr="002900B5">
        <w:rPr>
          <w:rFonts w:ascii="Arial" w:hAnsi="Arial" w:cs="Arial"/>
          <w:lang w:val="en-US"/>
        </w:rPr>
        <w:t xml:space="preserve">Total GM, WM and CSF volumes (in milliliters) were calculated by the MATLAB </w:t>
      </w:r>
      <w:proofErr w:type="spellStart"/>
      <w:r w:rsidRPr="002900B5">
        <w:rPr>
          <w:rFonts w:ascii="Arial" w:hAnsi="Arial" w:cs="Arial"/>
          <w:lang w:val="en-US"/>
        </w:rPr>
        <w:t>get_totals</w:t>
      </w:r>
      <w:proofErr w:type="spellEnd"/>
      <w:r w:rsidRPr="002900B5">
        <w:rPr>
          <w:rFonts w:ascii="Arial" w:hAnsi="Arial" w:cs="Arial"/>
          <w:lang w:val="en-US"/>
        </w:rPr>
        <w:t xml:space="preserve"> script (http://www.cs.ucl.ac.uk/staff/g.ridgway/vbm/get_totals.m) implemented for SPM using the modulated segmented images for each subject. Between-group differences in total GM, CSF and WM volumes, total brain volume (TBV, calculated as GM + WM), and TIV (calculated as GM + WM + CSF) were tested using </w:t>
      </w:r>
      <w:proofErr w:type="spellStart"/>
      <w:r>
        <w:rPr>
          <w:rFonts w:ascii="Arial" w:hAnsi="Arial" w:cs="Arial"/>
          <w:lang w:val="en-US"/>
        </w:rPr>
        <w:t>U</w:t>
      </w:r>
      <w:r w:rsidRPr="002900B5">
        <w:rPr>
          <w:rFonts w:ascii="Arial" w:hAnsi="Arial" w:cs="Arial"/>
          <w:lang w:val="en-US"/>
        </w:rPr>
        <w:t>nparied</w:t>
      </w:r>
      <w:proofErr w:type="spellEnd"/>
      <w:r w:rsidRPr="002900B5">
        <w:rPr>
          <w:rFonts w:ascii="Arial" w:hAnsi="Arial" w:cs="Arial"/>
          <w:lang w:val="en-US"/>
        </w:rPr>
        <w:t xml:space="preserve"> </w:t>
      </w:r>
      <w:r>
        <w:rPr>
          <w:rFonts w:ascii="Arial" w:hAnsi="Arial" w:cs="Arial"/>
          <w:lang w:val="en-US"/>
        </w:rPr>
        <w:t>T</w:t>
      </w:r>
      <w:r w:rsidRPr="002900B5">
        <w:rPr>
          <w:rFonts w:ascii="Arial" w:hAnsi="Arial" w:cs="Arial"/>
          <w:lang w:val="en-US"/>
        </w:rPr>
        <w:t xml:space="preserve">-test. </w:t>
      </w:r>
    </w:p>
    <w:p w14:paraId="7399261B" w14:textId="643A8031" w:rsidR="00BB7925" w:rsidRDefault="00BB7925" w:rsidP="00BB7925">
      <w:pPr>
        <w:spacing w:after="240" w:line="360" w:lineRule="auto"/>
        <w:jc w:val="both"/>
        <w:rPr>
          <w:rFonts w:ascii="Arial" w:hAnsi="Arial" w:cs="Arial"/>
          <w:lang w:val="en-US"/>
        </w:rPr>
      </w:pPr>
      <w:r w:rsidRPr="002900B5">
        <w:rPr>
          <w:rFonts w:ascii="Arial" w:hAnsi="Arial" w:cs="Arial"/>
          <w:lang w:val="en-US"/>
        </w:rPr>
        <w:t>Regarding VBM analyses, between-group statistical comparisons of mean GM and WM volumes were performed with the general linear model, based on random Gaussian field theory</w:t>
      </w:r>
      <w:r>
        <w:rPr>
          <w:rFonts w:ascii="Arial" w:hAnsi="Arial" w:cs="Arial"/>
          <w:lang w:val="en-US"/>
        </w:rPr>
        <w:t xml:space="preserve"> </w:t>
      </w:r>
      <w:r w:rsidR="00800F21" w:rsidRPr="006C7C66">
        <w:rPr>
          <w:rFonts w:ascii="Arial" w:hAnsi="Arial" w:cs="Arial"/>
          <w:vertAlign w:val="superscript"/>
          <w:lang w:val="en-US"/>
        </w:rPr>
        <w:t>S</w:t>
      </w:r>
      <w:r w:rsidR="00800F21">
        <w:rPr>
          <w:rFonts w:ascii="Arial" w:hAnsi="Arial" w:cs="Arial"/>
          <w:vertAlign w:val="superscript"/>
          <w:lang w:val="en-US"/>
        </w:rPr>
        <w:t>51</w:t>
      </w:r>
      <w:r w:rsidR="00800F21">
        <w:rPr>
          <w:rFonts w:ascii="Arial" w:hAnsi="Arial" w:cs="Arial"/>
          <w:lang w:val="en-US"/>
        </w:rPr>
        <w:t>.</w:t>
      </w:r>
      <w:r w:rsidRPr="002900B5">
        <w:rPr>
          <w:rFonts w:ascii="Arial" w:hAnsi="Arial" w:cs="Arial"/>
          <w:lang w:val="en-US"/>
        </w:rPr>
        <w:t xml:space="preserve"> Firstly, we conducted exploratory between-group (WSC and CC) GM and WM volumes whole-brain comparisons; resulting statistics were </w:t>
      </w:r>
      <w:proofErr w:type="spellStart"/>
      <w:r w:rsidRPr="002900B5">
        <w:rPr>
          <w:rFonts w:ascii="Arial" w:hAnsi="Arial" w:cs="Arial"/>
          <w:lang w:val="en-US"/>
        </w:rPr>
        <w:t>thresholded</w:t>
      </w:r>
      <w:proofErr w:type="spellEnd"/>
      <w:r w:rsidRPr="002900B5">
        <w:rPr>
          <w:rFonts w:ascii="Arial" w:hAnsi="Arial" w:cs="Arial"/>
          <w:lang w:val="en-US"/>
        </w:rPr>
        <w:t xml:space="preserve"> at a Z value of</w:t>
      </w:r>
      <w:r>
        <w:rPr>
          <w:rFonts w:ascii="Arial" w:hAnsi="Arial" w:cs="Arial"/>
          <w:lang w:val="en-US"/>
        </w:rPr>
        <w:t xml:space="preserve"> </w:t>
      </w:r>
      <w:r w:rsidRPr="002900B5">
        <w:rPr>
          <w:rFonts w:ascii="Arial" w:hAnsi="Arial" w:cs="Arial"/>
          <w:lang w:val="en-US"/>
        </w:rPr>
        <w:t xml:space="preserve">≥3.09 (corresponding to the two-tailed p≤0.001 level, uncorrected for multiple comparisons) and displayed as statistical parametric maps (SPMs) into standard anatomical space, with a minimum cluster size of 25 voxels. A measure of the total GM and WM volumes of each subject was entered as a confounder in an analysis of covariance model. Clusters of between-group GM and WM volumes difference were reported as significant with </w:t>
      </w:r>
      <w:r w:rsidRPr="002900B5">
        <w:rPr>
          <w:rFonts w:ascii="Arial" w:hAnsi="Arial" w:cs="Arial"/>
          <w:lang w:val="en-US"/>
        </w:rPr>
        <w:lastRenderedPageBreak/>
        <w:t>peak voxel surviving family-wise error (FWE) correction for multiple comparisons (p&lt;0.05) over the entire brain.</w:t>
      </w:r>
      <w:r>
        <w:rPr>
          <w:rFonts w:ascii="Arial" w:hAnsi="Arial" w:cs="Arial"/>
          <w:lang w:val="en-US"/>
        </w:rPr>
        <w:t xml:space="preserve"> </w:t>
      </w:r>
      <w:r w:rsidRPr="002900B5">
        <w:rPr>
          <w:rFonts w:ascii="Arial" w:hAnsi="Arial" w:cs="Arial"/>
          <w:lang w:val="en-US"/>
        </w:rPr>
        <w:t>Second</w:t>
      </w:r>
      <w:r>
        <w:rPr>
          <w:rFonts w:ascii="Arial" w:hAnsi="Arial" w:cs="Arial"/>
          <w:lang w:val="en-US"/>
        </w:rPr>
        <w:t>ly</w:t>
      </w:r>
      <w:r w:rsidRPr="002900B5">
        <w:rPr>
          <w:rFonts w:ascii="Arial" w:hAnsi="Arial" w:cs="Arial"/>
          <w:lang w:val="en-US"/>
        </w:rPr>
        <w:t xml:space="preserve">, we used the small volume correction (SVC) approach to conduct a hypothesis-driven investigation of the GM volumes where abnormalities have been identified in neuroimaging studies: caudate nucleus and putamen left; caudate nucleus and putamen right amygdala left; amygdala right; hypothalamus left; and hypothalamus, defined with basis on the Automated Anatomical Labeling (AAL) atlas. </w:t>
      </w:r>
      <w:r w:rsidRPr="00562904">
        <w:rPr>
          <w:rFonts w:ascii="Arial" w:hAnsi="Arial" w:cs="Arial"/>
          <w:lang w:val="en-US"/>
        </w:rPr>
        <w:t xml:space="preserve">Thirdly, we used the small volume correction (SVC) approach to conduct a hypothesis-driven investigation of the WM volumes </w:t>
      </w:r>
      <w:r w:rsidRPr="002900B5">
        <w:rPr>
          <w:rFonts w:ascii="Arial" w:hAnsi="Arial" w:cs="Arial"/>
          <w:lang w:val="en-US"/>
        </w:rPr>
        <w:t xml:space="preserve">where abnormalities have been identified in neuroimaging studies: </w:t>
      </w:r>
      <w:r w:rsidRPr="003E0476">
        <w:rPr>
          <w:rFonts w:ascii="Arial" w:hAnsi="Arial" w:cs="Arial"/>
          <w:lang w:val="en-US"/>
        </w:rPr>
        <w:t>internal and external capsule, cingulum, fornix/stria terminalis, and corpus callosum</w:t>
      </w:r>
      <w:r>
        <w:rPr>
          <w:rFonts w:ascii="Arial" w:hAnsi="Arial" w:cs="Arial"/>
          <w:lang w:val="en-US"/>
        </w:rPr>
        <w:t>,</w:t>
      </w:r>
      <w:r w:rsidRPr="002900B5">
        <w:rPr>
          <w:rFonts w:ascii="Arial" w:hAnsi="Arial" w:cs="Arial"/>
          <w:lang w:val="en-US"/>
        </w:rPr>
        <w:t xml:space="preserve"> defined with basis </w:t>
      </w:r>
      <w:r w:rsidRPr="008B4A18">
        <w:rPr>
          <w:rFonts w:ascii="Arial" w:hAnsi="Arial" w:cs="Arial"/>
          <w:lang w:val="en-US"/>
        </w:rPr>
        <w:t>on the JHU DTI-based WM atlases</w:t>
      </w:r>
      <w:r w:rsidR="00800F21" w:rsidRPr="00800F21">
        <w:rPr>
          <w:rFonts w:ascii="Arial" w:hAnsi="Arial" w:cs="Arial"/>
          <w:vertAlign w:val="superscript"/>
          <w:lang w:val="en-US"/>
        </w:rPr>
        <w:t xml:space="preserve"> </w:t>
      </w:r>
      <w:r w:rsidR="00800F21" w:rsidRPr="006C7C66">
        <w:rPr>
          <w:rFonts w:ascii="Arial" w:hAnsi="Arial" w:cs="Arial"/>
          <w:vertAlign w:val="superscript"/>
          <w:lang w:val="en-US"/>
        </w:rPr>
        <w:t>S</w:t>
      </w:r>
      <w:r w:rsidR="00800F21">
        <w:rPr>
          <w:rFonts w:ascii="Arial" w:hAnsi="Arial" w:cs="Arial"/>
          <w:vertAlign w:val="superscript"/>
          <w:lang w:val="en-US"/>
        </w:rPr>
        <w:t>52-5</w:t>
      </w:r>
      <w:r w:rsidR="00800F21">
        <w:rPr>
          <w:rFonts w:ascii="Arial" w:hAnsi="Arial" w:cs="Arial"/>
          <w:vertAlign w:val="superscript"/>
          <w:lang w:val="en-US"/>
        </w:rPr>
        <w:t>4</w:t>
      </w:r>
      <w:r w:rsidR="00800F21">
        <w:rPr>
          <w:rFonts w:ascii="Arial" w:hAnsi="Arial" w:cs="Arial"/>
          <w:lang w:val="en-US"/>
        </w:rPr>
        <w:t>.</w:t>
      </w:r>
      <w:r w:rsidRPr="008B4A18">
        <w:rPr>
          <w:rFonts w:ascii="Arial" w:hAnsi="Arial" w:cs="Arial"/>
          <w:lang w:val="en-US"/>
        </w:rPr>
        <w:t xml:space="preserve"> Findings </w:t>
      </w:r>
      <w:r w:rsidRPr="002900B5">
        <w:rPr>
          <w:rFonts w:ascii="Arial" w:hAnsi="Arial" w:cs="Arial"/>
          <w:lang w:val="en-US"/>
        </w:rPr>
        <w:t>of these hypothesis-driven, SVC-analyses were reported as significant if they survived FWE correction for multiple comparisons (pFWE≤0.05) over the specific brain region</w:t>
      </w:r>
      <w:r>
        <w:rPr>
          <w:rFonts w:ascii="Arial" w:hAnsi="Arial" w:cs="Arial"/>
          <w:lang w:val="en-US"/>
        </w:rPr>
        <w:t xml:space="preserve"> </w:t>
      </w:r>
      <w:r w:rsidR="003E32C1" w:rsidRPr="006C7C66">
        <w:rPr>
          <w:rFonts w:ascii="Arial" w:hAnsi="Arial" w:cs="Arial"/>
          <w:vertAlign w:val="superscript"/>
          <w:lang w:val="en-US"/>
        </w:rPr>
        <w:t>S</w:t>
      </w:r>
      <w:r w:rsidR="003E32C1">
        <w:rPr>
          <w:rFonts w:ascii="Arial" w:hAnsi="Arial" w:cs="Arial"/>
          <w:vertAlign w:val="superscript"/>
          <w:lang w:val="en-US"/>
        </w:rPr>
        <w:t>51</w:t>
      </w:r>
      <w:r w:rsidRPr="002900B5">
        <w:rPr>
          <w:rFonts w:ascii="Arial" w:hAnsi="Arial" w:cs="Arial"/>
          <w:lang w:val="en-US"/>
        </w:rPr>
        <w:t>.</w:t>
      </w:r>
    </w:p>
    <w:p w14:paraId="5557DD75" w14:textId="0EE23C8E" w:rsidR="00BB7925" w:rsidRDefault="00BB7925" w:rsidP="00BB7925">
      <w:pPr>
        <w:spacing w:after="240" w:line="360" w:lineRule="auto"/>
        <w:jc w:val="both"/>
        <w:rPr>
          <w:rFonts w:ascii="Arial" w:hAnsi="Arial" w:cs="Arial"/>
          <w:lang w:val="en-US"/>
        </w:rPr>
      </w:pPr>
      <w:r w:rsidRPr="00CB2274">
        <w:rPr>
          <w:rFonts w:ascii="Arial" w:hAnsi="Arial" w:cs="Arial"/>
          <w:lang w:val="en-US"/>
        </w:rPr>
        <w:t xml:space="preserve">For DTI analyses, voxel-based comparisons of FA values were performed using SPM12. FA values were standardized to the global mean using proportional scaling, thus controlling for interindividual differences in FA values. Firstly, we conducted exploratory between-group (WSC and CC) whole-brain comparisons; resulting statistics were </w:t>
      </w:r>
      <w:proofErr w:type="spellStart"/>
      <w:r w:rsidRPr="00CB2274">
        <w:rPr>
          <w:rFonts w:ascii="Arial" w:hAnsi="Arial" w:cs="Arial"/>
          <w:lang w:val="en-US"/>
        </w:rPr>
        <w:t>thresholded</w:t>
      </w:r>
      <w:proofErr w:type="spellEnd"/>
      <w:r w:rsidRPr="00CB2274">
        <w:rPr>
          <w:rFonts w:ascii="Arial" w:hAnsi="Arial" w:cs="Arial"/>
          <w:lang w:val="en-US"/>
        </w:rPr>
        <w:t xml:space="preserve"> at a Z value of≥3.09 (corresponding to the two-tailed p≤0.001 level, uncorrected for multiple comparisons) and displayed as statistical parametric maps (SPMs) into standard anatomical space, with a minimum cluster size of 25 voxels. Clusters of between-group of FA values difference were reported as significant with peak voxel surviving family-wise error (FWE) correction for multiple comparisons (p&lt;0.05) over the entire brain. </w:t>
      </w:r>
      <w:r w:rsidRPr="00562904">
        <w:rPr>
          <w:rFonts w:ascii="Arial" w:hAnsi="Arial" w:cs="Arial"/>
          <w:lang w:val="en-US"/>
        </w:rPr>
        <w:t xml:space="preserve">We used the small volume correction (SVC) approach to conduct a hypothesis-driven investigation of the WM volumes where abnormalities have been identified in neuroimaging studies: </w:t>
      </w:r>
      <w:r w:rsidRPr="003E0476">
        <w:rPr>
          <w:rFonts w:ascii="Arial" w:hAnsi="Arial" w:cs="Arial"/>
          <w:lang w:val="en-US"/>
        </w:rPr>
        <w:t>internal and external capsule, cingulum, fornix/stria terminalis, and corpus callosum</w:t>
      </w:r>
      <w:r w:rsidRPr="002900B5">
        <w:rPr>
          <w:rFonts w:ascii="Arial" w:hAnsi="Arial" w:cs="Arial"/>
          <w:lang w:val="en-US"/>
        </w:rPr>
        <w:t xml:space="preserve">, defined with basis </w:t>
      </w:r>
      <w:r w:rsidRPr="008B4A18">
        <w:rPr>
          <w:rFonts w:ascii="Arial" w:hAnsi="Arial" w:cs="Arial"/>
          <w:lang w:val="en-US"/>
        </w:rPr>
        <w:t>on the JHU DTI-based WM atlases</w:t>
      </w:r>
      <w:r w:rsidR="003E32C1">
        <w:rPr>
          <w:rFonts w:ascii="Arial" w:hAnsi="Arial" w:cs="Arial"/>
          <w:lang w:val="en-US"/>
        </w:rPr>
        <w:t xml:space="preserve"> </w:t>
      </w:r>
      <w:r w:rsidR="003E32C1" w:rsidRPr="006C7C66">
        <w:rPr>
          <w:rFonts w:ascii="Arial" w:hAnsi="Arial" w:cs="Arial"/>
          <w:vertAlign w:val="superscript"/>
          <w:lang w:val="en-US"/>
        </w:rPr>
        <w:t>S</w:t>
      </w:r>
      <w:r w:rsidR="003E32C1">
        <w:rPr>
          <w:rFonts w:ascii="Arial" w:hAnsi="Arial" w:cs="Arial"/>
          <w:vertAlign w:val="superscript"/>
          <w:lang w:val="en-US"/>
        </w:rPr>
        <w:t>52-54</w:t>
      </w:r>
      <w:r w:rsidR="003E32C1">
        <w:rPr>
          <w:rFonts w:ascii="Arial" w:hAnsi="Arial" w:cs="Arial"/>
          <w:lang w:val="en-US"/>
        </w:rPr>
        <w:t xml:space="preserve">. </w:t>
      </w:r>
      <w:r w:rsidRPr="008B4A18">
        <w:rPr>
          <w:rFonts w:ascii="Arial" w:hAnsi="Arial" w:cs="Arial"/>
          <w:lang w:val="en-US"/>
        </w:rPr>
        <w:t xml:space="preserve">Findings </w:t>
      </w:r>
      <w:r w:rsidRPr="002900B5">
        <w:rPr>
          <w:rFonts w:ascii="Arial" w:hAnsi="Arial" w:cs="Arial"/>
          <w:lang w:val="en-US"/>
        </w:rPr>
        <w:t>of these hypothesis-driven, SVC-analyses were reported as significant if they survived FWE correction for multiple comparisons (pFWE≤0.05) over the specific brain region</w:t>
      </w:r>
      <w:r w:rsidR="003E32C1">
        <w:rPr>
          <w:rFonts w:ascii="Arial" w:hAnsi="Arial" w:cs="Arial"/>
          <w:lang w:val="en-US"/>
        </w:rPr>
        <w:t xml:space="preserve"> </w:t>
      </w:r>
      <w:r w:rsidR="003E32C1" w:rsidRPr="006C7C66">
        <w:rPr>
          <w:rFonts w:ascii="Arial" w:hAnsi="Arial" w:cs="Arial"/>
          <w:vertAlign w:val="superscript"/>
          <w:lang w:val="en-US"/>
        </w:rPr>
        <w:t>S</w:t>
      </w:r>
      <w:r w:rsidR="003E32C1">
        <w:rPr>
          <w:rFonts w:ascii="Arial" w:hAnsi="Arial" w:cs="Arial"/>
          <w:vertAlign w:val="superscript"/>
          <w:lang w:val="en-US"/>
        </w:rPr>
        <w:t>5</w:t>
      </w:r>
      <w:r w:rsidR="003E32C1">
        <w:rPr>
          <w:rFonts w:ascii="Arial" w:hAnsi="Arial" w:cs="Arial"/>
          <w:vertAlign w:val="superscript"/>
          <w:lang w:val="en-US"/>
        </w:rPr>
        <w:t>1</w:t>
      </w:r>
      <w:r w:rsidRPr="002900B5">
        <w:rPr>
          <w:rFonts w:ascii="Arial" w:hAnsi="Arial" w:cs="Arial"/>
          <w:lang w:val="en-US"/>
        </w:rPr>
        <w:t>.</w:t>
      </w:r>
    </w:p>
    <w:p w14:paraId="26D7B0E4" w14:textId="77777777" w:rsidR="00BB7925" w:rsidRDefault="00BB7925" w:rsidP="00BB7925">
      <w:pPr>
        <w:spacing w:after="240" w:line="360" w:lineRule="auto"/>
        <w:jc w:val="both"/>
        <w:rPr>
          <w:rFonts w:ascii="Arial" w:hAnsi="Arial" w:cs="Arial"/>
          <w:lang w:val="en-US"/>
        </w:rPr>
      </w:pPr>
      <w:r>
        <w:rPr>
          <w:rFonts w:ascii="Arial" w:hAnsi="Arial" w:cs="Arial"/>
          <w:lang w:val="en-US"/>
        </w:rPr>
        <w:t>For r</w:t>
      </w:r>
      <w:r w:rsidRPr="008B2DDD">
        <w:rPr>
          <w:rFonts w:ascii="Arial" w:hAnsi="Arial" w:cs="Arial"/>
          <w:lang w:val="en-US"/>
        </w:rPr>
        <w:t xml:space="preserve">esting state fMRI </w:t>
      </w:r>
      <w:r>
        <w:rPr>
          <w:rFonts w:ascii="Arial" w:hAnsi="Arial" w:cs="Arial"/>
          <w:lang w:val="en-US"/>
        </w:rPr>
        <w:t xml:space="preserve">analyses, we </w:t>
      </w:r>
      <w:r w:rsidRPr="00B35963">
        <w:rPr>
          <w:rFonts w:ascii="Arial" w:hAnsi="Arial" w:cs="Arial"/>
          <w:lang w:val="en-US"/>
        </w:rPr>
        <w:t xml:space="preserve">conducted seed-to-voxel analyses from a priori regions of interest (ROIs). For each ROI, whole-brain seed-to-voxel </w:t>
      </w:r>
      <w:r w:rsidRPr="00B35963">
        <w:rPr>
          <w:rFonts w:ascii="Arial" w:hAnsi="Arial" w:cs="Arial"/>
          <w:lang w:val="en-US"/>
        </w:rPr>
        <w:lastRenderedPageBreak/>
        <w:t>analyses were conducted to identify voxels with highly correlated time-courses. Functional connectivity maps showed the group comparison (CC cachexia &gt; WSC controls) for a seed-to-voxel analysis using the parametric statistics (Gaussian Random Field theory) cluster threshold, two-tailed t-tests: p&lt;0.05 cluster-size with a false discovery rate (FDR) corrected and voxel threshold: p&lt;0.001 p-uncorrected. The ROIs for seed-to-voxel analysis were automatically defined using the standard brain atlas and n</w:t>
      </w:r>
      <w:r w:rsidRPr="008B2DDD">
        <w:rPr>
          <w:rFonts w:ascii="Arial" w:hAnsi="Arial" w:cs="Arial"/>
          <w:lang w:val="en-US"/>
        </w:rPr>
        <w:t>etworks of CONN toolbox. Three subjects were removed after pre-processing because there weren't enough valid scans (less than 3 min of total scan time) to guarantee the accuracy of the data.</w:t>
      </w:r>
      <w:r w:rsidRPr="00CB2274">
        <w:rPr>
          <w:rFonts w:ascii="Arial" w:hAnsi="Arial" w:cs="Arial"/>
          <w:color w:val="FF0000"/>
          <w:lang w:val="en-US"/>
        </w:rPr>
        <w:t xml:space="preserve"> </w:t>
      </w:r>
      <w:r w:rsidRPr="00CB2274">
        <w:rPr>
          <w:rFonts w:ascii="Arial" w:hAnsi="Arial" w:cs="Arial"/>
          <w:lang w:val="en-US"/>
        </w:rPr>
        <w:t>Results were corrected for multiple comparison</w:t>
      </w:r>
      <w:r>
        <w:rPr>
          <w:rFonts w:ascii="Arial" w:hAnsi="Arial" w:cs="Arial"/>
          <w:lang w:val="en-US"/>
        </w:rPr>
        <w:t>s</w:t>
      </w:r>
      <w:r w:rsidRPr="00CB2274">
        <w:rPr>
          <w:rFonts w:ascii="Arial" w:hAnsi="Arial" w:cs="Arial"/>
          <w:lang w:val="en-US"/>
        </w:rPr>
        <w:t xml:space="preserve"> using false discovery rate (FDR) and significance level of p&lt;0.05.</w:t>
      </w:r>
    </w:p>
    <w:p w14:paraId="3BA9D712" w14:textId="77777777" w:rsidR="00BB7925" w:rsidRDefault="00BB7925" w:rsidP="00BB7925">
      <w:pPr>
        <w:spacing w:after="480" w:line="360" w:lineRule="auto"/>
        <w:jc w:val="both"/>
        <w:rPr>
          <w:rFonts w:ascii="Arial" w:hAnsi="Arial" w:cs="Arial"/>
          <w:lang w:val="en-US"/>
        </w:rPr>
      </w:pPr>
      <w:r w:rsidRPr="00866031">
        <w:rPr>
          <w:rFonts w:ascii="Arial" w:hAnsi="Arial" w:cs="Arial"/>
          <w:lang w:val="en-US"/>
        </w:rPr>
        <w:t>Data obtained using MRS</w:t>
      </w:r>
      <w:r>
        <w:rPr>
          <w:rFonts w:ascii="Arial" w:hAnsi="Arial" w:cs="Arial"/>
          <w:lang w:val="en-US"/>
        </w:rPr>
        <w:t>,</w:t>
      </w:r>
      <w:r w:rsidRPr="00866031">
        <w:rPr>
          <w:rFonts w:ascii="Arial" w:hAnsi="Arial" w:cs="Arial"/>
          <w:lang w:val="en-US"/>
        </w:rPr>
        <w:t xml:space="preserve"> focused on the hypothalam</w:t>
      </w:r>
      <w:r>
        <w:rPr>
          <w:rFonts w:ascii="Arial" w:hAnsi="Arial" w:cs="Arial"/>
          <w:lang w:val="en-US"/>
        </w:rPr>
        <w:t>us,</w:t>
      </w:r>
      <w:r w:rsidRPr="00866031">
        <w:rPr>
          <w:rFonts w:ascii="Arial" w:hAnsi="Arial" w:cs="Arial"/>
          <w:lang w:val="en-US"/>
        </w:rPr>
        <w:t xml:space="preserve"> was analyzed using </w:t>
      </w:r>
      <w:proofErr w:type="spellStart"/>
      <w:r w:rsidRPr="00866031">
        <w:rPr>
          <w:rFonts w:ascii="Arial" w:hAnsi="Arial" w:cs="Arial"/>
          <w:lang w:val="en-US"/>
        </w:rPr>
        <w:t>Graphpad</w:t>
      </w:r>
      <w:proofErr w:type="spellEnd"/>
      <w:r w:rsidRPr="00866031">
        <w:rPr>
          <w:rFonts w:ascii="Arial" w:hAnsi="Arial" w:cs="Arial"/>
          <w:lang w:val="en-US"/>
        </w:rPr>
        <w:t xml:space="preserve"> Prism 8.0. Comparisons between metabolites were conducted through Unpaired T-test. Significance was considered at p &lt;0.05.</w:t>
      </w:r>
    </w:p>
    <w:p w14:paraId="4227D07E" w14:textId="77777777" w:rsidR="00BB7925" w:rsidRPr="00B35963" w:rsidRDefault="00BB7925" w:rsidP="003D2C85">
      <w:pPr>
        <w:spacing w:line="360" w:lineRule="auto"/>
        <w:jc w:val="both"/>
        <w:rPr>
          <w:rFonts w:ascii="Arial" w:hAnsi="Arial" w:cs="Arial"/>
          <w:color w:val="FF0000"/>
          <w:lang w:val="en-US"/>
        </w:rPr>
      </w:pPr>
    </w:p>
    <w:p w14:paraId="06B5C095" w14:textId="77777777" w:rsidR="003D2C85" w:rsidRPr="008B2DDD" w:rsidRDefault="003D2C85" w:rsidP="00552D90">
      <w:pPr>
        <w:spacing w:after="120" w:line="360" w:lineRule="auto"/>
        <w:jc w:val="both"/>
        <w:rPr>
          <w:rFonts w:ascii="Arial" w:hAnsi="Arial" w:cs="Arial"/>
          <w:lang w:val="en-US"/>
        </w:rPr>
      </w:pPr>
    </w:p>
    <w:p w14:paraId="2EB5215B" w14:textId="77777777" w:rsidR="00D47C37" w:rsidRPr="00D47C37" w:rsidRDefault="00484609" w:rsidP="00D47C37">
      <w:pPr>
        <w:pStyle w:val="Descripcin"/>
        <w:keepNext/>
        <w:spacing w:after="240" w:line="360" w:lineRule="auto"/>
        <w:jc w:val="left"/>
        <w:rPr>
          <w:rFonts w:ascii="Arial" w:hAnsi="Arial" w:cs="Arial"/>
          <w:i w:val="0"/>
          <w:iCs w:val="0"/>
          <w:color w:val="auto"/>
          <w:sz w:val="24"/>
          <w:szCs w:val="24"/>
          <w:lang w:val="en-US"/>
        </w:rPr>
      </w:pPr>
      <w:r>
        <w:rPr>
          <w:rFonts w:ascii="Arial" w:hAnsi="Arial" w:cs="Arial"/>
          <w:b/>
          <w:bCs/>
          <w:i w:val="0"/>
          <w:iCs w:val="0"/>
          <w:color w:val="auto"/>
          <w:sz w:val="24"/>
          <w:szCs w:val="24"/>
          <w:lang w:val="en-US"/>
        </w:rPr>
        <w:lastRenderedPageBreak/>
        <w:t>Supplementary</w:t>
      </w:r>
      <w:r w:rsidR="00D47C37" w:rsidRPr="00D47C37">
        <w:rPr>
          <w:rFonts w:ascii="Arial" w:hAnsi="Arial" w:cs="Arial"/>
          <w:b/>
          <w:bCs/>
          <w:i w:val="0"/>
          <w:iCs w:val="0"/>
          <w:color w:val="auto"/>
          <w:sz w:val="24"/>
          <w:szCs w:val="24"/>
          <w:lang w:val="en-US"/>
        </w:rPr>
        <w:t xml:space="preserve"> Table </w:t>
      </w:r>
      <w:r w:rsidR="00D47C37" w:rsidRPr="00D47C37">
        <w:rPr>
          <w:rFonts w:ascii="Arial" w:hAnsi="Arial" w:cs="Arial"/>
          <w:b/>
          <w:bCs/>
          <w:i w:val="0"/>
          <w:iCs w:val="0"/>
          <w:color w:val="auto"/>
          <w:sz w:val="24"/>
          <w:szCs w:val="24"/>
          <w:lang w:val="en-US"/>
        </w:rPr>
        <w:fldChar w:fldCharType="begin"/>
      </w:r>
      <w:r w:rsidR="00D47C37" w:rsidRPr="00D47C37">
        <w:rPr>
          <w:rFonts w:ascii="Arial" w:hAnsi="Arial" w:cs="Arial"/>
          <w:b/>
          <w:bCs/>
          <w:i w:val="0"/>
          <w:iCs w:val="0"/>
          <w:color w:val="auto"/>
          <w:sz w:val="24"/>
          <w:szCs w:val="24"/>
          <w:lang w:val="en-US"/>
        </w:rPr>
        <w:instrText xml:space="preserve"> SEQ Extended_data_Table \* ARABIC </w:instrText>
      </w:r>
      <w:r w:rsidR="00D47C37" w:rsidRPr="00D47C37">
        <w:rPr>
          <w:rFonts w:ascii="Arial" w:hAnsi="Arial" w:cs="Arial"/>
          <w:b/>
          <w:bCs/>
          <w:i w:val="0"/>
          <w:iCs w:val="0"/>
          <w:color w:val="auto"/>
          <w:sz w:val="24"/>
          <w:szCs w:val="24"/>
          <w:lang w:val="en-US"/>
        </w:rPr>
        <w:fldChar w:fldCharType="separate"/>
      </w:r>
      <w:r w:rsidR="00060E2D">
        <w:rPr>
          <w:rFonts w:ascii="Arial" w:hAnsi="Arial" w:cs="Arial"/>
          <w:b/>
          <w:bCs/>
          <w:i w:val="0"/>
          <w:iCs w:val="0"/>
          <w:noProof/>
          <w:color w:val="auto"/>
          <w:sz w:val="24"/>
          <w:szCs w:val="24"/>
          <w:lang w:val="en-US"/>
        </w:rPr>
        <w:t>1</w:t>
      </w:r>
      <w:r w:rsidR="00D47C37" w:rsidRPr="00D47C37">
        <w:rPr>
          <w:rFonts w:ascii="Arial" w:hAnsi="Arial" w:cs="Arial"/>
          <w:b/>
          <w:bCs/>
          <w:i w:val="0"/>
          <w:iCs w:val="0"/>
          <w:color w:val="auto"/>
          <w:sz w:val="24"/>
          <w:szCs w:val="24"/>
          <w:lang w:val="en-US"/>
        </w:rPr>
        <w:fldChar w:fldCharType="end"/>
      </w:r>
      <w:r w:rsidR="00D47C37" w:rsidRPr="00D47C37">
        <w:rPr>
          <w:rFonts w:ascii="Arial" w:hAnsi="Arial" w:cs="Arial"/>
          <w:b/>
          <w:bCs/>
          <w:i w:val="0"/>
          <w:iCs w:val="0"/>
          <w:color w:val="auto"/>
          <w:sz w:val="24"/>
          <w:szCs w:val="24"/>
          <w:lang w:val="en-US"/>
        </w:rPr>
        <w:t xml:space="preserve"> </w:t>
      </w:r>
      <w:r w:rsidR="00D47C37" w:rsidRPr="00D47C37">
        <w:rPr>
          <w:rFonts w:ascii="Arial" w:hAnsi="Arial" w:cs="Arial"/>
          <w:i w:val="0"/>
          <w:iCs w:val="0"/>
          <w:color w:val="auto"/>
          <w:sz w:val="24"/>
          <w:szCs w:val="24"/>
          <w:lang w:val="en-US"/>
        </w:rPr>
        <w:t>Case Demographics of Post-Mortem Human Tissue Selected</w:t>
      </w:r>
    </w:p>
    <w:p w14:paraId="75CD7600" w14:textId="77777777" w:rsidR="00D321F9" w:rsidRPr="00D47C37" w:rsidRDefault="00AB4CD2" w:rsidP="00AB4CD2">
      <w:pPr>
        <w:rPr>
          <w:lang w:val="en-US"/>
        </w:rPr>
      </w:pPr>
      <w:r w:rsidRPr="00D47C37">
        <w:rPr>
          <w:noProof/>
          <w:lang w:val="en-US"/>
        </w:rPr>
        <w:drawing>
          <wp:inline distT="0" distB="0" distL="0" distR="0" wp14:anchorId="0B9EA5EC" wp14:editId="60501132">
            <wp:extent cx="5396230" cy="4145280"/>
            <wp:effectExtent l="0" t="0" r="127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396230" cy="4145280"/>
                    </a:xfrm>
                    <a:prstGeom prst="rect">
                      <a:avLst/>
                    </a:prstGeom>
                  </pic:spPr>
                </pic:pic>
              </a:graphicData>
            </a:graphic>
          </wp:inline>
        </w:drawing>
      </w:r>
    </w:p>
    <w:p w14:paraId="6634C4F3" w14:textId="77777777" w:rsidR="006D1356" w:rsidRPr="00D47C37" w:rsidRDefault="00D321F9" w:rsidP="00AA64E2">
      <w:pPr>
        <w:pStyle w:val="Sinespaciado"/>
        <w:spacing w:before="120" w:after="240"/>
        <w:rPr>
          <w:rFonts w:ascii="Arial" w:hAnsi="Arial" w:cs="Arial"/>
          <w:sz w:val="21"/>
          <w:szCs w:val="21"/>
          <w:lang w:val="en-US"/>
        </w:rPr>
      </w:pPr>
      <w:r w:rsidRPr="00D47C37">
        <w:rPr>
          <w:rFonts w:ascii="Arial" w:hAnsi="Arial" w:cs="Arial"/>
          <w:sz w:val="21"/>
          <w:szCs w:val="21"/>
          <w:lang w:val="en-US"/>
        </w:rPr>
        <w:t xml:space="preserve">PMI: post mortem interval. CERAD: The Consortium to Establish a Registry for Alzheimer’s disease. </w:t>
      </w:r>
      <w:proofErr w:type="spellStart"/>
      <w:r w:rsidRPr="00D47C37">
        <w:rPr>
          <w:rFonts w:ascii="Arial" w:hAnsi="Arial" w:cs="Arial"/>
          <w:sz w:val="21"/>
          <w:szCs w:val="21"/>
          <w:lang w:val="en-US"/>
        </w:rPr>
        <w:t>Braak</w:t>
      </w:r>
      <w:proofErr w:type="spellEnd"/>
      <w:r w:rsidRPr="00D47C37">
        <w:rPr>
          <w:rFonts w:ascii="Arial" w:hAnsi="Arial" w:cs="Arial"/>
          <w:sz w:val="21"/>
          <w:szCs w:val="21"/>
          <w:lang w:val="en-US"/>
        </w:rPr>
        <w:t>: Neurofibrillary tangles staging.</w:t>
      </w:r>
    </w:p>
    <w:p w14:paraId="11748E26" w14:textId="77777777" w:rsidR="00D47C37" w:rsidRPr="00D47C37" w:rsidRDefault="00D47C37">
      <w:pPr>
        <w:rPr>
          <w:rFonts w:ascii="Arial" w:hAnsi="Arial" w:cs="Arial"/>
          <w:b/>
          <w:bCs/>
          <w:lang w:val="en-US"/>
        </w:rPr>
      </w:pPr>
      <w:r w:rsidRPr="00D47C37">
        <w:rPr>
          <w:rFonts w:ascii="Arial" w:hAnsi="Arial" w:cs="Arial"/>
          <w:b/>
          <w:bCs/>
          <w:i/>
          <w:iCs/>
          <w:lang w:val="en-US"/>
        </w:rPr>
        <w:br w:type="page"/>
      </w:r>
    </w:p>
    <w:p w14:paraId="3F7E028D" w14:textId="77777777" w:rsidR="00D47C37" w:rsidRPr="00D47C37" w:rsidRDefault="00484609" w:rsidP="00D47C37">
      <w:pPr>
        <w:pStyle w:val="Descripcin"/>
        <w:keepNext/>
        <w:spacing w:after="120" w:line="240" w:lineRule="auto"/>
        <w:jc w:val="left"/>
        <w:rPr>
          <w:rFonts w:ascii="Arial" w:hAnsi="Arial" w:cs="Arial"/>
          <w:i w:val="0"/>
          <w:iCs w:val="0"/>
          <w:color w:val="auto"/>
          <w:sz w:val="24"/>
          <w:szCs w:val="24"/>
          <w:lang w:val="en-US"/>
        </w:rPr>
      </w:pPr>
      <w:r>
        <w:rPr>
          <w:rFonts w:ascii="Arial" w:hAnsi="Arial" w:cs="Arial"/>
          <w:b/>
          <w:bCs/>
          <w:i w:val="0"/>
          <w:iCs w:val="0"/>
          <w:color w:val="auto"/>
          <w:sz w:val="24"/>
          <w:szCs w:val="24"/>
          <w:lang w:val="en-US"/>
        </w:rPr>
        <w:lastRenderedPageBreak/>
        <w:t>Supplementary</w:t>
      </w:r>
      <w:r w:rsidRPr="00D47C37">
        <w:rPr>
          <w:rFonts w:ascii="Arial" w:hAnsi="Arial" w:cs="Arial"/>
          <w:b/>
          <w:bCs/>
          <w:i w:val="0"/>
          <w:iCs w:val="0"/>
          <w:color w:val="auto"/>
          <w:sz w:val="24"/>
          <w:szCs w:val="24"/>
          <w:lang w:val="en-US"/>
        </w:rPr>
        <w:t xml:space="preserve"> </w:t>
      </w:r>
      <w:r w:rsidR="00D47C37" w:rsidRPr="00D47C37">
        <w:rPr>
          <w:rFonts w:ascii="Arial" w:hAnsi="Arial" w:cs="Arial"/>
          <w:b/>
          <w:bCs/>
          <w:i w:val="0"/>
          <w:iCs w:val="0"/>
          <w:color w:val="auto"/>
          <w:sz w:val="24"/>
          <w:szCs w:val="24"/>
          <w:lang w:val="en-US"/>
        </w:rPr>
        <w:t xml:space="preserve">Table </w:t>
      </w:r>
      <w:r w:rsidR="00D47C37" w:rsidRPr="00D47C37">
        <w:rPr>
          <w:rFonts w:ascii="Arial" w:hAnsi="Arial" w:cs="Arial"/>
          <w:b/>
          <w:bCs/>
          <w:i w:val="0"/>
          <w:iCs w:val="0"/>
          <w:color w:val="auto"/>
          <w:sz w:val="24"/>
          <w:szCs w:val="24"/>
          <w:lang w:val="en-US"/>
        </w:rPr>
        <w:fldChar w:fldCharType="begin"/>
      </w:r>
      <w:r w:rsidR="00D47C37" w:rsidRPr="00D47C37">
        <w:rPr>
          <w:rFonts w:ascii="Arial" w:hAnsi="Arial" w:cs="Arial"/>
          <w:b/>
          <w:bCs/>
          <w:i w:val="0"/>
          <w:iCs w:val="0"/>
          <w:color w:val="auto"/>
          <w:sz w:val="24"/>
          <w:szCs w:val="24"/>
          <w:lang w:val="en-US"/>
        </w:rPr>
        <w:instrText xml:space="preserve"> SEQ Extended_data_Table \* ARABIC </w:instrText>
      </w:r>
      <w:r w:rsidR="00D47C37" w:rsidRPr="00D47C37">
        <w:rPr>
          <w:rFonts w:ascii="Arial" w:hAnsi="Arial" w:cs="Arial"/>
          <w:b/>
          <w:bCs/>
          <w:i w:val="0"/>
          <w:iCs w:val="0"/>
          <w:color w:val="auto"/>
          <w:sz w:val="24"/>
          <w:szCs w:val="24"/>
          <w:lang w:val="en-US"/>
        </w:rPr>
        <w:fldChar w:fldCharType="separate"/>
      </w:r>
      <w:r w:rsidR="00060E2D">
        <w:rPr>
          <w:rFonts w:ascii="Arial" w:hAnsi="Arial" w:cs="Arial"/>
          <w:b/>
          <w:bCs/>
          <w:i w:val="0"/>
          <w:iCs w:val="0"/>
          <w:noProof/>
          <w:color w:val="auto"/>
          <w:sz w:val="24"/>
          <w:szCs w:val="24"/>
          <w:lang w:val="en-US"/>
        </w:rPr>
        <w:t>2</w:t>
      </w:r>
      <w:r w:rsidR="00D47C37" w:rsidRPr="00D47C37">
        <w:rPr>
          <w:rFonts w:ascii="Arial" w:hAnsi="Arial" w:cs="Arial"/>
          <w:b/>
          <w:bCs/>
          <w:i w:val="0"/>
          <w:iCs w:val="0"/>
          <w:color w:val="auto"/>
          <w:sz w:val="24"/>
          <w:szCs w:val="24"/>
          <w:lang w:val="en-US"/>
        </w:rPr>
        <w:fldChar w:fldCharType="end"/>
      </w:r>
      <w:r w:rsidR="00D47C37" w:rsidRPr="00D47C37">
        <w:rPr>
          <w:rFonts w:ascii="Arial" w:hAnsi="Arial" w:cs="Arial"/>
          <w:b/>
          <w:bCs/>
          <w:i w:val="0"/>
          <w:iCs w:val="0"/>
          <w:color w:val="auto"/>
          <w:sz w:val="24"/>
          <w:szCs w:val="24"/>
          <w:lang w:val="en-US"/>
        </w:rPr>
        <w:t xml:space="preserve"> </w:t>
      </w:r>
      <w:r w:rsidR="00D47C37" w:rsidRPr="00D47C37">
        <w:rPr>
          <w:rFonts w:ascii="Arial" w:hAnsi="Arial" w:cs="Arial"/>
          <w:i w:val="0"/>
          <w:iCs w:val="0"/>
          <w:color w:val="000000" w:themeColor="text1"/>
          <w:sz w:val="24"/>
          <w:szCs w:val="24"/>
          <w:lang w:val="en-US"/>
        </w:rPr>
        <w:t>Optimized antibodies</w:t>
      </w:r>
    </w:p>
    <w:tbl>
      <w:tblPr>
        <w:tblStyle w:val="Tablaconcuadrcula"/>
        <w:tblW w:w="8931" w:type="dxa"/>
        <w:tblInd w:w="-5" w:type="dxa"/>
        <w:tblLook w:val="04A0" w:firstRow="1" w:lastRow="0" w:firstColumn="1" w:lastColumn="0" w:noHBand="0" w:noVBand="1"/>
      </w:tblPr>
      <w:tblGrid>
        <w:gridCol w:w="1111"/>
        <w:gridCol w:w="1695"/>
        <w:gridCol w:w="1462"/>
        <w:gridCol w:w="1184"/>
        <w:gridCol w:w="1095"/>
        <w:gridCol w:w="1139"/>
        <w:gridCol w:w="1245"/>
      </w:tblGrid>
      <w:tr w:rsidR="006D1356" w:rsidRPr="00D47C37" w14:paraId="65CC08FC" w14:textId="77777777" w:rsidTr="00412801">
        <w:tc>
          <w:tcPr>
            <w:tcW w:w="1111" w:type="dxa"/>
            <w:shd w:val="clear" w:color="auto" w:fill="D8D7C2"/>
            <w:vAlign w:val="center"/>
          </w:tcPr>
          <w:p w14:paraId="60349E48" w14:textId="77777777" w:rsidR="006D1356" w:rsidRPr="00D47C37" w:rsidRDefault="006D1356" w:rsidP="00512826">
            <w:pPr>
              <w:snapToGrid w:val="0"/>
              <w:rPr>
                <w:rFonts w:ascii="Arial" w:hAnsi="Arial" w:cs="Arial"/>
                <w:color w:val="000000"/>
                <w:sz w:val="20"/>
                <w:szCs w:val="20"/>
                <w:lang w:val="en-US"/>
              </w:rPr>
            </w:pPr>
            <w:r w:rsidRPr="00D47C37">
              <w:rPr>
                <w:rFonts w:ascii="Arial" w:hAnsi="Arial" w:cs="Arial"/>
                <w:color w:val="000000"/>
                <w:sz w:val="20"/>
                <w:szCs w:val="20"/>
                <w:lang w:val="en-US"/>
              </w:rPr>
              <w:t>Target</w:t>
            </w:r>
          </w:p>
        </w:tc>
        <w:tc>
          <w:tcPr>
            <w:tcW w:w="1695" w:type="dxa"/>
            <w:shd w:val="clear" w:color="auto" w:fill="D8D7C2"/>
            <w:vAlign w:val="center"/>
          </w:tcPr>
          <w:p w14:paraId="5DA91FCC" w14:textId="77777777" w:rsidR="006D1356" w:rsidRPr="00D47C37" w:rsidRDefault="006D1356" w:rsidP="00512826">
            <w:pPr>
              <w:snapToGrid w:val="0"/>
              <w:rPr>
                <w:rFonts w:ascii="Arial" w:hAnsi="Arial" w:cs="Arial"/>
                <w:color w:val="000000"/>
                <w:sz w:val="20"/>
                <w:szCs w:val="20"/>
                <w:lang w:val="en-US"/>
              </w:rPr>
            </w:pPr>
            <w:r w:rsidRPr="00D47C37">
              <w:rPr>
                <w:rFonts w:ascii="Arial" w:hAnsi="Arial" w:cs="Arial"/>
                <w:color w:val="000000"/>
                <w:sz w:val="20"/>
                <w:szCs w:val="20"/>
                <w:lang w:val="en-US"/>
              </w:rPr>
              <w:t>Primary Antibody</w:t>
            </w:r>
          </w:p>
        </w:tc>
        <w:tc>
          <w:tcPr>
            <w:tcW w:w="0" w:type="auto"/>
            <w:shd w:val="clear" w:color="auto" w:fill="D8D7C2"/>
            <w:vAlign w:val="center"/>
          </w:tcPr>
          <w:p w14:paraId="3C35C7AD" w14:textId="77777777" w:rsidR="006D1356" w:rsidRPr="00D47C37" w:rsidRDefault="006D1356" w:rsidP="00512826">
            <w:pPr>
              <w:snapToGrid w:val="0"/>
              <w:rPr>
                <w:rFonts w:ascii="Arial" w:hAnsi="Arial" w:cs="Arial"/>
                <w:color w:val="000000"/>
                <w:sz w:val="20"/>
                <w:szCs w:val="20"/>
                <w:lang w:val="en-US"/>
              </w:rPr>
            </w:pPr>
            <w:r w:rsidRPr="00D47C37">
              <w:rPr>
                <w:rFonts w:ascii="Arial" w:hAnsi="Arial" w:cs="Arial"/>
                <w:color w:val="000000"/>
                <w:sz w:val="20"/>
                <w:szCs w:val="20"/>
                <w:lang w:val="en-US"/>
              </w:rPr>
              <w:t>Antibody Concentration</w:t>
            </w:r>
          </w:p>
        </w:tc>
        <w:tc>
          <w:tcPr>
            <w:tcW w:w="0" w:type="auto"/>
            <w:shd w:val="clear" w:color="auto" w:fill="D8D7C2"/>
            <w:vAlign w:val="center"/>
          </w:tcPr>
          <w:p w14:paraId="763A0745" w14:textId="77777777" w:rsidR="006D1356" w:rsidRPr="00D47C37" w:rsidRDefault="006D1356" w:rsidP="00512826">
            <w:pPr>
              <w:snapToGrid w:val="0"/>
              <w:rPr>
                <w:rFonts w:ascii="Arial" w:hAnsi="Arial" w:cs="Arial"/>
                <w:color w:val="000000"/>
                <w:sz w:val="20"/>
                <w:szCs w:val="20"/>
                <w:lang w:val="en-US"/>
              </w:rPr>
            </w:pPr>
            <w:r w:rsidRPr="00D47C37">
              <w:rPr>
                <w:rFonts w:ascii="Arial" w:hAnsi="Arial" w:cs="Arial"/>
                <w:color w:val="000000"/>
                <w:sz w:val="20"/>
                <w:szCs w:val="20"/>
                <w:lang w:val="en-US"/>
              </w:rPr>
              <w:t>Clone</w:t>
            </w:r>
          </w:p>
        </w:tc>
        <w:tc>
          <w:tcPr>
            <w:tcW w:w="0" w:type="auto"/>
            <w:shd w:val="clear" w:color="auto" w:fill="D8D7C2"/>
            <w:vAlign w:val="center"/>
          </w:tcPr>
          <w:p w14:paraId="2B35D096" w14:textId="77777777" w:rsidR="006D1356" w:rsidRPr="00D47C37" w:rsidRDefault="006D1356" w:rsidP="00512826">
            <w:pPr>
              <w:snapToGrid w:val="0"/>
              <w:rPr>
                <w:rFonts w:ascii="Arial" w:hAnsi="Arial" w:cs="Arial"/>
                <w:color w:val="000000"/>
                <w:sz w:val="20"/>
                <w:szCs w:val="20"/>
                <w:lang w:val="en-US"/>
              </w:rPr>
            </w:pPr>
            <w:r w:rsidRPr="00D47C37">
              <w:rPr>
                <w:rFonts w:ascii="Arial" w:hAnsi="Arial" w:cs="Arial"/>
                <w:color w:val="000000"/>
                <w:sz w:val="20"/>
                <w:szCs w:val="20"/>
                <w:lang w:val="en-US"/>
              </w:rPr>
              <w:t>Antigen Retrieval</w:t>
            </w:r>
          </w:p>
        </w:tc>
        <w:tc>
          <w:tcPr>
            <w:tcW w:w="0" w:type="auto"/>
            <w:shd w:val="clear" w:color="auto" w:fill="D8D7C2"/>
            <w:vAlign w:val="center"/>
          </w:tcPr>
          <w:p w14:paraId="4A8FE155" w14:textId="77777777" w:rsidR="006D1356" w:rsidRPr="00D47C37" w:rsidRDefault="006D1356" w:rsidP="00512826">
            <w:pPr>
              <w:snapToGrid w:val="0"/>
              <w:rPr>
                <w:rFonts w:ascii="Arial" w:hAnsi="Arial" w:cs="Arial"/>
                <w:color w:val="000000"/>
                <w:sz w:val="20"/>
                <w:szCs w:val="20"/>
                <w:lang w:val="en-US"/>
              </w:rPr>
            </w:pPr>
            <w:r w:rsidRPr="00D47C37">
              <w:rPr>
                <w:rFonts w:ascii="Arial" w:hAnsi="Arial" w:cs="Arial"/>
                <w:color w:val="000000"/>
                <w:sz w:val="20"/>
                <w:szCs w:val="20"/>
                <w:lang w:val="en-US"/>
              </w:rPr>
              <w:t>Incubation Settings</w:t>
            </w:r>
          </w:p>
        </w:tc>
        <w:tc>
          <w:tcPr>
            <w:tcW w:w="1245" w:type="dxa"/>
            <w:shd w:val="clear" w:color="auto" w:fill="D8D7C2"/>
            <w:vAlign w:val="center"/>
          </w:tcPr>
          <w:p w14:paraId="0CC467BA" w14:textId="77777777" w:rsidR="006D1356" w:rsidRPr="00D47C37" w:rsidRDefault="006D1356" w:rsidP="00512826">
            <w:pPr>
              <w:snapToGrid w:val="0"/>
              <w:rPr>
                <w:rFonts w:ascii="Arial" w:hAnsi="Arial" w:cs="Arial"/>
                <w:color w:val="000000"/>
                <w:sz w:val="20"/>
                <w:szCs w:val="20"/>
                <w:lang w:val="en-US"/>
              </w:rPr>
            </w:pPr>
            <w:r w:rsidRPr="00D47C37">
              <w:rPr>
                <w:rFonts w:ascii="Arial" w:hAnsi="Arial" w:cs="Arial"/>
                <w:color w:val="000000"/>
                <w:sz w:val="20"/>
                <w:szCs w:val="20"/>
                <w:lang w:val="en-US"/>
              </w:rPr>
              <w:t>Positive Control</w:t>
            </w:r>
          </w:p>
        </w:tc>
      </w:tr>
      <w:tr w:rsidR="006D1356" w:rsidRPr="00D47C37" w14:paraId="3CD99853" w14:textId="77777777" w:rsidTr="00412801">
        <w:trPr>
          <w:trHeight w:val="414"/>
        </w:trPr>
        <w:tc>
          <w:tcPr>
            <w:tcW w:w="1111" w:type="dxa"/>
            <w:shd w:val="clear" w:color="auto" w:fill="auto"/>
            <w:vAlign w:val="center"/>
          </w:tcPr>
          <w:p w14:paraId="5F819126" w14:textId="77777777" w:rsidR="006D1356" w:rsidRPr="00D47C37" w:rsidRDefault="006D1356" w:rsidP="00512826">
            <w:pPr>
              <w:snapToGrid w:val="0"/>
              <w:rPr>
                <w:rFonts w:ascii="Arial" w:hAnsi="Arial" w:cs="Arial"/>
                <w:color w:val="000000" w:themeColor="text1"/>
                <w:sz w:val="20"/>
                <w:szCs w:val="20"/>
                <w:lang w:val="en-US"/>
              </w:rPr>
            </w:pPr>
            <w:r w:rsidRPr="00D47C37">
              <w:rPr>
                <w:rFonts w:ascii="Arial" w:hAnsi="Arial" w:cs="Arial"/>
                <w:color w:val="000000" w:themeColor="text1"/>
                <w:sz w:val="20"/>
                <w:szCs w:val="20"/>
                <w:lang w:val="en-US"/>
              </w:rPr>
              <w:t>Iba1</w:t>
            </w:r>
          </w:p>
        </w:tc>
        <w:tc>
          <w:tcPr>
            <w:tcW w:w="1695" w:type="dxa"/>
            <w:shd w:val="clear" w:color="auto" w:fill="auto"/>
            <w:vAlign w:val="center"/>
          </w:tcPr>
          <w:p w14:paraId="08AA4456" w14:textId="77777777" w:rsidR="006D1356" w:rsidRPr="00D47C37" w:rsidRDefault="006D1356" w:rsidP="00512826">
            <w:pPr>
              <w:snapToGrid w:val="0"/>
              <w:rPr>
                <w:rFonts w:ascii="Arial" w:hAnsi="Arial" w:cs="Arial"/>
                <w:sz w:val="20"/>
                <w:szCs w:val="20"/>
                <w:highlight w:val="yellow"/>
                <w:lang w:val="en-US"/>
              </w:rPr>
            </w:pPr>
            <w:r w:rsidRPr="00D47C37">
              <w:rPr>
                <w:rFonts w:ascii="Arial" w:hAnsi="Arial" w:cs="Arial"/>
                <w:sz w:val="20"/>
                <w:szCs w:val="20"/>
                <w:lang w:val="en-US"/>
              </w:rPr>
              <w:t>Wako 019-19741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0C4F71" w14:textId="77777777" w:rsidR="006D1356" w:rsidRPr="00D47C37" w:rsidRDefault="006D1356" w:rsidP="00512826">
            <w:pPr>
              <w:snapToGrid w:val="0"/>
              <w:rPr>
                <w:rFonts w:ascii="Arial" w:hAnsi="Arial" w:cs="Arial"/>
                <w:sz w:val="20"/>
                <w:szCs w:val="20"/>
                <w:highlight w:val="yellow"/>
                <w:lang w:val="en-US"/>
              </w:rPr>
            </w:pPr>
            <w:r w:rsidRPr="00D47C37">
              <w:rPr>
                <w:rFonts w:ascii="Arial" w:hAnsi="Arial" w:cs="Arial"/>
                <w:sz w:val="20"/>
                <w:szCs w:val="20"/>
                <w:lang w:val="en-US"/>
              </w:rPr>
              <w:t>1:1000 in PBS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05E5D"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 Polyclonal</w:t>
            </w:r>
          </w:p>
        </w:tc>
        <w:tc>
          <w:tcPr>
            <w:tcW w:w="0" w:type="auto"/>
            <w:vAlign w:val="center"/>
          </w:tcPr>
          <w:p w14:paraId="6C411E74" w14:textId="77777777" w:rsidR="006D1356" w:rsidRPr="00D47C37" w:rsidRDefault="006D1356" w:rsidP="00512826">
            <w:pPr>
              <w:snapToGrid w:val="0"/>
              <w:rPr>
                <w:rFonts w:ascii="Arial" w:hAnsi="Arial" w:cs="Arial"/>
                <w:sz w:val="20"/>
                <w:szCs w:val="20"/>
                <w:highlight w:val="yellow"/>
                <w:lang w:val="en-US"/>
              </w:rPr>
            </w:pPr>
            <w:r w:rsidRPr="00D47C37">
              <w:rPr>
                <w:rFonts w:ascii="Arial" w:hAnsi="Arial" w:cs="Arial"/>
                <w:color w:val="000000"/>
                <w:sz w:val="20"/>
                <w:szCs w:val="20"/>
                <w:lang w:val="en-US"/>
              </w:rPr>
              <w:t>Autoclave citrate</w:t>
            </w:r>
          </w:p>
        </w:tc>
        <w:tc>
          <w:tcPr>
            <w:tcW w:w="0" w:type="auto"/>
            <w:shd w:val="clear" w:color="auto" w:fill="auto"/>
            <w:vAlign w:val="center"/>
          </w:tcPr>
          <w:p w14:paraId="193A2DF9" w14:textId="77777777" w:rsidR="006D1356" w:rsidRPr="00D47C37" w:rsidRDefault="006D1356" w:rsidP="00512826">
            <w:pPr>
              <w:snapToGrid w:val="0"/>
              <w:rPr>
                <w:rFonts w:ascii="Arial" w:hAnsi="Arial" w:cs="Arial"/>
                <w:color w:val="000000" w:themeColor="text1"/>
                <w:sz w:val="20"/>
                <w:szCs w:val="20"/>
                <w:lang w:val="en-US"/>
              </w:rPr>
            </w:pPr>
            <w:r w:rsidRPr="00D47C37">
              <w:rPr>
                <w:rFonts w:ascii="Arial" w:hAnsi="Arial" w:cs="Arial"/>
                <w:color w:val="000000" w:themeColor="text1"/>
                <w:sz w:val="20"/>
                <w:szCs w:val="20"/>
                <w:lang w:val="en-US"/>
              </w:rPr>
              <w:t>RT 1h</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14:paraId="6802573C" w14:textId="77777777" w:rsidR="006D1356" w:rsidRPr="00D47C37" w:rsidRDefault="006D1356" w:rsidP="00512826">
            <w:pPr>
              <w:snapToGrid w:val="0"/>
              <w:rPr>
                <w:rFonts w:ascii="Arial" w:hAnsi="Arial" w:cs="Arial"/>
                <w:sz w:val="20"/>
                <w:szCs w:val="20"/>
                <w:highlight w:val="yellow"/>
                <w:lang w:val="en-US"/>
              </w:rPr>
            </w:pPr>
          </w:p>
        </w:tc>
      </w:tr>
      <w:tr w:rsidR="006D1356" w:rsidRPr="00D47C37" w14:paraId="0002BE26" w14:textId="77777777" w:rsidTr="00412801">
        <w:trPr>
          <w:trHeight w:val="414"/>
        </w:trPr>
        <w:tc>
          <w:tcPr>
            <w:tcW w:w="1111" w:type="dxa"/>
            <w:shd w:val="clear" w:color="auto" w:fill="auto"/>
            <w:vAlign w:val="center"/>
          </w:tcPr>
          <w:p w14:paraId="02B587D7" w14:textId="77777777" w:rsidR="006D1356" w:rsidRPr="00D47C37" w:rsidRDefault="006D1356" w:rsidP="00512826">
            <w:pPr>
              <w:snapToGrid w:val="0"/>
              <w:rPr>
                <w:rFonts w:ascii="Arial" w:hAnsi="Arial" w:cs="Arial"/>
                <w:color w:val="000000" w:themeColor="text1"/>
                <w:sz w:val="20"/>
                <w:szCs w:val="20"/>
                <w:lang w:val="en-US"/>
              </w:rPr>
            </w:pPr>
            <w:r w:rsidRPr="00D47C37">
              <w:rPr>
                <w:rFonts w:ascii="Arial" w:hAnsi="Arial" w:cs="Arial"/>
                <w:color w:val="000000" w:themeColor="text1"/>
                <w:sz w:val="20"/>
                <w:szCs w:val="20"/>
                <w:lang w:val="en-US"/>
              </w:rPr>
              <w:t>GFAP</w:t>
            </w:r>
          </w:p>
        </w:tc>
        <w:tc>
          <w:tcPr>
            <w:tcW w:w="1695" w:type="dxa"/>
            <w:shd w:val="clear" w:color="auto" w:fill="auto"/>
            <w:vAlign w:val="center"/>
          </w:tcPr>
          <w:p w14:paraId="0928F4DD" w14:textId="77777777" w:rsidR="006D1356" w:rsidRPr="00D47C37" w:rsidRDefault="006D1356" w:rsidP="00512826">
            <w:pPr>
              <w:snapToGrid w:val="0"/>
              <w:rPr>
                <w:rFonts w:ascii="Arial" w:hAnsi="Arial" w:cs="Arial"/>
                <w:color w:val="000000" w:themeColor="text1"/>
                <w:sz w:val="20"/>
                <w:szCs w:val="20"/>
                <w:highlight w:val="yellow"/>
                <w:lang w:val="en-US"/>
              </w:rPr>
            </w:pPr>
            <w:proofErr w:type="spellStart"/>
            <w:r w:rsidRPr="00D47C37">
              <w:rPr>
                <w:rFonts w:ascii="Arial" w:hAnsi="Arial" w:cs="Arial"/>
                <w:color w:val="000000" w:themeColor="text1"/>
                <w:sz w:val="20"/>
                <w:szCs w:val="20"/>
                <w:lang w:val="en-US"/>
              </w:rPr>
              <w:t>Dako</w:t>
            </w:r>
            <w:proofErr w:type="spellEnd"/>
            <w:r w:rsidRPr="00D47C37">
              <w:rPr>
                <w:rFonts w:ascii="Arial" w:hAnsi="Arial" w:cs="Arial"/>
                <w:color w:val="000000" w:themeColor="text1"/>
                <w:sz w:val="20"/>
                <w:szCs w:val="20"/>
                <w:lang w:val="en-US"/>
              </w:rPr>
              <w:t xml:space="preserve"> z0334</w:t>
            </w:r>
          </w:p>
        </w:tc>
        <w:tc>
          <w:tcPr>
            <w:tcW w:w="0" w:type="auto"/>
            <w:tcBorders>
              <w:top w:val="nil"/>
              <w:left w:val="single" w:sz="4" w:space="0" w:color="auto"/>
              <w:bottom w:val="single" w:sz="4" w:space="0" w:color="auto"/>
              <w:right w:val="single" w:sz="4" w:space="0" w:color="auto"/>
            </w:tcBorders>
            <w:shd w:val="clear" w:color="auto" w:fill="auto"/>
            <w:vAlign w:val="center"/>
          </w:tcPr>
          <w:p w14:paraId="034666C8" w14:textId="77777777" w:rsidR="006D1356" w:rsidRPr="00D47C37" w:rsidRDefault="006D1356" w:rsidP="00512826">
            <w:pPr>
              <w:snapToGrid w:val="0"/>
              <w:rPr>
                <w:rFonts w:ascii="Arial" w:hAnsi="Arial" w:cs="Arial"/>
                <w:sz w:val="20"/>
                <w:szCs w:val="20"/>
                <w:highlight w:val="yellow"/>
                <w:lang w:val="en-US"/>
              </w:rPr>
            </w:pPr>
            <w:r w:rsidRPr="00D47C37">
              <w:rPr>
                <w:rFonts w:ascii="Arial" w:hAnsi="Arial" w:cs="Arial"/>
                <w:sz w:val="20"/>
                <w:szCs w:val="20"/>
                <w:lang w:val="en-US"/>
              </w:rPr>
              <w:t>1:2500</w:t>
            </w:r>
          </w:p>
        </w:tc>
        <w:tc>
          <w:tcPr>
            <w:tcW w:w="0" w:type="auto"/>
            <w:tcBorders>
              <w:top w:val="nil"/>
              <w:left w:val="single" w:sz="4" w:space="0" w:color="auto"/>
              <w:bottom w:val="single" w:sz="4" w:space="0" w:color="auto"/>
              <w:right w:val="single" w:sz="4" w:space="0" w:color="auto"/>
            </w:tcBorders>
            <w:shd w:val="clear" w:color="auto" w:fill="auto"/>
            <w:vAlign w:val="center"/>
          </w:tcPr>
          <w:p w14:paraId="3EE1BC5F"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 Polyclonal</w:t>
            </w:r>
          </w:p>
        </w:tc>
        <w:tc>
          <w:tcPr>
            <w:tcW w:w="0" w:type="auto"/>
            <w:vAlign w:val="center"/>
          </w:tcPr>
          <w:p w14:paraId="75045C29" w14:textId="77777777" w:rsidR="006D1356" w:rsidRPr="00D47C37" w:rsidRDefault="006D1356" w:rsidP="00512826">
            <w:pPr>
              <w:snapToGrid w:val="0"/>
              <w:rPr>
                <w:rFonts w:ascii="Arial" w:hAnsi="Arial" w:cs="Arial"/>
                <w:sz w:val="20"/>
                <w:szCs w:val="20"/>
                <w:highlight w:val="yellow"/>
                <w:lang w:val="en-US"/>
              </w:rPr>
            </w:pPr>
            <w:r w:rsidRPr="00D47C37">
              <w:rPr>
                <w:rFonts w:ascii="Arial" w:hAnsi="Arial" w:cs="Arial"/>
                <w:sz w:val="20"/>
                <w:szCs w:val="20"/>
                <w:lang w:val="en-US"/>
              </w:rPr>
              <w:t>MW citrate</w:t>
            </w:r>
          </w:p>
        </w:tc>
        <w:tc>
          <w:tcPr>
            <w:tcW w:w="0" w:type="auto"/>
            <w:shd w:val="clear" w:color="auto" w:fill="auto"/>
            <w:vAlign w:val="center"/>
          </w:tcPr>
          <w:p w14:paraId="43507E11" w14:textId="77777777" w:rsidR="006D1356" w:rsidRPr="00D47C37" w:rsidRDefault="006D1356" w:rsidP="00512826">
            <w:pPr>
              <w:snapToGrid w:val="0"/>
              <w:rPr>
                <w:rFonts w:ascii="Arial" w:hAnsi="Arial" w:cs="Arial"/>
                <w:color w:val="000000" w:themeColor="text1"/>
                <w:sz w:val="20"/>
                <w:szCs w:val="20"/>
                <w:lang w:val="en-US"/>
              </w:rPr>
            </w:pPr>
            <w:r w:rsidRPr="00D47C37">
              <w:rPr>
                <w:rFonts w:ascii="Arial" w:hAnsi="Arial" w:cs="Arial"/>
                <w:color w:val="000000" w:themeColor="text1"/>
                <w:sz w:val="20"/>
                <w:szCs w:val="20"/>
                <w:lang w:val="en-US"/>
              </w:rPr>
              <w:t>RT 1h</w:t>
            </w:r>
          </w:p>
        </w:tc>
        <w:tc>
          <w:tcPr>
            <w:tcW w:w="1245" w:type="dxa"/>
            <w:tcBorders>
              <w:top w:val="nil"/>
              <w:left w:val="single" w:sz="4" w:space="0" w:color="auto"/>
              <w:bottom w:val="single" w:sz="4" w:space="0" w:color="auto"/>
              <w:right w:val="single" w:sz="4" w:space="0" w:color="auto"/>
            </w:tcBorders>
            <w:shd w:val="clear" w:color="auto" w:fill="auto"/>
            <w:vAlign w:val="center"/>
          </w:tcPr>
          <w:p w14:paraId="02011EAF" w14:textId="77777777" w:rsidR="006D1356" w:rsidRPr="00D47C37" w:rsidRDefault="006D1356" w:rsidP="00512826">
            <w:pPr>
              <w:snapToGrid w:val="0"/>
              <w:rPr>
                <w:rFonts w:ascii="Arial" w:hAnsi="Arial" w:cs="Arial"/>
                <w:sz w:val="20"/>
                <w:szCs w:val="20"/>
                <w:highlight w:val="yellow"/>
                <w:lang w:val="en-US"/>
              </w:rPr>
            </w:pPr>
          </w:p>
        </w:tc>
      </w:tr>
      <w:tr w:rsidR="006D1356" w:rsidRPr="00D47C37" w14:paraId="45488DB8" w14:textId="77777777" w:rsidTr="00412801">
        <w:trPr>
          <w:trHeight w:val="414"/>
        </w:trPr>
        <w:tc>
          <w:tcPr>
            <w:tcW w:w="1111" w:type="dxa"/>
            <w:shd w:val="clear" w:color="auto" w:fill="auto"/>
            <w:vAlign w:val="center"/>
          </w:tcPr>
          <w:p w14:paraId="04456F7C" w14:textId="77777777" w:rsidR="006D1356" w:rsidRPr="00D47C37" w:rsidRDefault="006D1356" w:rsidP="00512826">
            <w:pPr>
              <w:snapToGrid w:val="0"/>
              <w:rPr>
                <w:rFonts w:ascii="Arial" w:hAnsi="Arial" w:cs="Arial"/>
                <w:color w:val="000000" w:themeColor="text1"/>
                <w:sz w:val="20"/>
                <w:szCs w:val="20"/>
                <w:lang w:val="en-US"/>
              </w:rPr>
            </w:pPr>
            <w:r w:rsidRPr="00D47C37">
              <w:rPr>
                <w:rFonts w:ascii="Arial" w:hAnsi="Arial" w:cs="Arial"/>
                <w:color w:val="000000" w:themeColor="text1"/>
                <w:sz w:val="20"/>
                <w:szCs w:val="20"/>
                <w:lang w:val="en-US"/>
              </w:rPr>
              <w:t>CD68</w:t>
            </w:r>
          </w:p>
        </w:tc>
        <w:tc>
          <w:tcPr>
            <w:tcW w:w="1695" w:type="dxa"/>
            <w:shd w:val="clear" w:color="auto" w:fill="auto"/>
            <w:vAlign w:val="center"/>
          </w:tcPr>
          <w:p w14:paraId="76D28A95" w14:textId="77777777" w:rsidR="006D1356" w:rsidRPr="00D47C37" w:rsidRDefault="006D1356" w:rsidP="00512826">
            <w:pPr>
              <w:snapToGrid w:val="0"/>
              <w:rPr>
                <w:rFonts w:ascii="Arial" w:hAnsi="Arial" w:cs="Arial"/>
                <w:color w:val="000000" w:themeColor="text1"/>
                <w:sz w:val="20"/>
                <w:szCs w:val="20"/>
                <w:highlight w:val="yellow"/>
                <w:lang w:val="en-US"/>
              </w:rPr>
            </w:pPr>
            <w:proofErr w:type="spellStart"/>
            <w:proofErr w:type="gramStart"/>
            <w:r w:rsidRPr="00D47C37">
              <w:rPr>
                <w:rFonts w:ascii="Arial" w:hAnsi="Arial" w:cs="Arial"/>
                <w:color w:val="000000" w:themeColor="text1"/>
                <w:sz w:val="20"/>
                <w:szCs w:val="20"/>
                <w:lang w:val="en-US"/>
              </w:rPr>
              <w:t>DakoCytomation</w:t>
            </w:r>
            <w:proofErr w:type="spellEnd"/>
            <w:r w:rsidRPr="00D47C37">
              <w:rPr>
                <w:rFonts w:ascii="Arial" w:hAnsi="Arial" w:cs="Arial"/>
                <w:color w:val="000000" w:themeColor="text1"/>
                <w:sz w:val="20"/>
                <w:szCs w:val="20"/>
                <w:lang w:val="en-US"/>
              </w:rPr>
              <w:t xml:space="preserve">  M</w:t>
            </w:r>
            <w:proofErr w:type="gramEnd"/>
            <w:r w:rsidRPr="00D47C37">
              <w:rPr>
                <w:rFonts w:ascii="Arial" w:hAnsi="Arial" w:cs="Arial"/>
                <w:color w:val="000000" w:themeColor="text1"/>
                <w:sz w:val="20"/>
                <w:szCs w:val="20"/>
                <w:lang w:val="en-US"/>
              </w:rPr>
              <w:t>0876</w:t>
            </w:r>
          </w:p>
        </w:tc>
        <w:tc>
          <w:tcPr>
            <w:tcW w:w="0" w:type="auto"/>
            <w:tcBorders>
              <w:top w:val="nil"/>
              <w:left w:val="single" w:sz="4" w:space="0" w:color="auto"/>
              <w:bottom w:val="single" w:sz="4" w:space="0" w:color="auto"/>
              <w:right w:val="single" w:sz="4" w:space="0" w:color="auto"/>
            </w:tcBorders>
            <w:shd w:val="clear" w:color="auto" w:fill="auto"/>
            <w:vAlign w:val="center"/>
          </w:tcPr>
          <w:p w14:paraId="061B5B6E" w14:textId="77777777" w:rsidR="006D1356" w:rsidRPr="00D47C37" w:rsidRDefault="006D1356" w:rsidP="00512826">
            <w:pPr>
              <w:snapToGrid w:val="0"/>
              <w:rPr>
                <w:rFonts w:ascii="Arial" w:hAnsi="Arial" w:cs="Arial"/>
                <w:sz w:val="20"/>
                <w:szCs w:val="20"/>
                <w:highlight w:val="yellow"/>
                <w:lang w:val="en-US"/>
              </w:rPr>
            </w:pPr>
            <w:r w:rsidRPr="00D47C37">
              <w:rPr>
                <w:rFonts w:ascii="Arial" w:hAnsi="Arial" w:cs="Arial"/>
                <w:sz w:val="20"/>
                <w:szCs w:val="20"/>
                <w:lang w:val="en-US"/>
              </w:rPr>
              <w:t>1:50</w:t>
            </w:r>
          </w:p>
        </w:tc>
        <w:tc>
          <w:tcPr>
            <w:tcW w:w="0" w:type="auto"/>
            <w:tcBorders>
              <w:top w:val="nil"/>
              <w:left w:val="single" w:sz="4" w:space="0" w:color="auto"/>
              <w:bottom w:val="single" w:sz="4" w:space="0" w:color="auto"/>
              <w:right w:val="single" w:sz="4" w:space="0" w:color="auto"/>
            </w:tcBorders>
            <w:shd w:val="clear" w:color="auto" w:fill="auto"/>
            <w:vAlign w:val="center"/>
          </w:tcPr>
          <w:p w14:paraId="628F4CF9"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Clone PG-M1</w:t>
            </w:r>
          </w:p>
        </w:tc>
        <w:tc>
          <w:tcPr>
            <w:tcW w:w="0" w:type="auto"/>
            <w:vAlign w:val="center"/>
          </w:tcPr>
          <w:p w14:paraId="2E88C746" w14:textId="77777777" w:rsidR="006D1356" w:rsidRPr="00D47C37" w:rsidRDefault="006D1356" w:rsidP="00512826">
            <w:pPr>
              <w:snapToGrid w:val="0"/>
              <w:rPr>
                <w:rFonts w:ascii="Arial" w:hAnsi="Arial" w:cs="Arial"/>
                <w:sz w:val="20"/>
                <w:szCs w:val="20"/>
                <w:highlight w:val="yellow"/>
                <w:lang w:val="en-US"/>
              </w:rPr>
            </w:pPr>
            <w:r w:rsidRPr="00D47C37">
              <w:rPr>
                <w:rFonts w:ascii="Arial" w:hAnsi="Arial" w:cs="Arial"/>
                <w:color w:val="000000"/>
                <w:sz w:val="20"/>
                <w:szCs w:val="20"/>
                <w:lang w:val="en-US"/>
              </w:rPr>
              <w:t>Autoclave citrate</w:t>
            </w:r>
          </w:p>
        </w:tc>
        <w:tc>
          <w:tcPr>
            <w:tcW w:w="0" w:type="auto"/>
            <w:shd w:val="clear" w:color="auto" w:fill="auto"/>
            <w:vAlign w:val="center"/>
          </w:tcPr>
          <w:p w14:paraId="50518199" w14:textId="77777777" w:rsidR="006D1356" w:rsidRPr="00D47C37" w:rsidRDefault="006D1356" w:rsidP="00512826">
            <w:pPr>
              <w:snapToGrid w:val="0"/>
              <w:rPr>
                <w:rFonts w:ascii="Arial" w:hAnsi="Arial" w:cs="Arial"/>
                <w:color w:val="000000" w:themeColor="text1"/>
                <w:sz w:val="20"/>
                <w:szCs w:val="20"/>
                <w:lang w:val="en-US"/>
              </w:rPr>
            </w:pPr>
            <w:r w:rsidRPr="00D47C37">
              <w:rPr>
                <w:rFonts w:ascii="Arial" w:hAnsi="Arial" w:cs="Arial"/>
                <w:color w:val="000000" w:themeColor="text1"/>
                <w:sz w:val="20"/>
                <w:szCs w:val="20"/>
                <w:lang w:val="en-US"/>
              </w:rPr>
              <w:t>RT 1h</w:t>
            </w:r>
          </w:p>
        </w:tc>
        <w:tc>
          <w:tcPr>
            <w:tcW w:w="1245" w:type="dxa"/>
            <w:tcBorders>
              <w:top w:val="nil"/>
              <w:left w:val="single" w:sz="4" w:space="0" w:color="auto"/>
              <w:bottom w:val="single" w:sz="4" w:space="0" w:color="auto"/>
              <w:right w:val="single" w:sz="4" w:space="0" w:color="auto"/>
            </w:tcBorders>
            <w:shd w:val="clear" w:color="auto" w:fill="auto"/>
            <w:vAlign w:val="center"/>
          </w:tcPr>
          <w:p w14:paraId="61E5BB1F"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Liver</w:t>
            </w:r>
          </w:p>
        </w:tc>
      </w:tr>
      <w:tr w:rsidR="006D1356" w:rsidRPr="00D47C37" w14:paraId="371D39C2" w14:textId="77777777" w:rsidTr="00412801">
        <w:trPr>
          <w:trHeight w:val="414"/>
        </w:trPr>
        <w:tc>
          <w:tcPr>
            <w:tcW w:w="1111" w:type="dxa"/>
            <w:shd w:val="clear" w:color="auto" w:fill="auto"/>
            <w:vAlign w:val="center"/>
          </w:tcPr>
          <w:p w14:paraId="0B71B68C" w14:textId="77777777" w:rsidR="006D1356" w:rsidRPr="00D47C37" w:rsidRDefault="006D1356" w:rsidP="00512826">
            <w:pPr>
              <w:snapToGrid w:val="0"/>
              <w:rPr>
                <w:rFonts w:ascii="Arial" w:hAnsi="Arial" w:cs="Arial"/>
                <w:color w:val="000000" w:themeColor="text1"/>
                <w:sz w:val="20"/>
                <w:szCs w:val="20"/>
                <w:lang w:val="en-US"/>
              </w:rPr>
            </w:pPr>
            <w:r w:rsidRPr="00D47C37">
              <w:rPr>
                <w:rFonts w:ascii="Arial" w:hAnsi="Arial" w:cs="Arial"/>
                <w:color w:val="000000" w:themeColor="text1"/>
                <w:sz w:val="20"/>
                <w:szCs w:val="20"/>
                <w:lang w:val="en-US"/>
              </w:rPr>
              <w:t>TSC1</w:t>
            </w:r>
          </w:p>
        </w:tc>
        <w:tc>
          <w:tcPr>
            <w:tcW w:w="1695" w:type="dxa"/>
            <w:shd w:val="clear" w:color="auto" w:fill="auto"/>
            <w:vAlign w:val="center"/>
          </w:tcPr>
          <w:p w14:paraId="2474BF26" w14:textId="77777777" w:rsidR="006D1356" w:rsidRPr="00D47C37" w:rsidRDefault="006D1356" w:rsidP="00512826">
            <w:pPr>
              <w:snapToGrid w:val="0"/>
              <w:rPr>
                <w:rFonts w:ascii="Arial" w:hAnsi="Arial" w:cs="Arial"/>
                <w:color w:val="000000" w:themeColor="text1"/>
                <w:sz w:val="20"/>
                <w:szCs w:val="20"/>
                <w:highlight w:val="yellow"/>
                <w:lang w:val="en-US"/>
              </w:rPr>
            </w:pPr>
            <w:r w:rsidRPr="00D47C37">
              <w:rPr>
                <w:rFonts w:ascii="Arial" w:hAnsi="Arial" w:cs="Arial"/>
                <w:color w:val="000000" w:themeColor="text1"/>
                <w:sz w:val="20"/>
                <w:szCs w:val="20"/>
                <w:lang w:val="en-US"/>
              </w:rPr>
              <w:t>Abcam ab40872</w:t>
            </w:r>
          </w:p>
        </w:tc>
        <w:tc>
          <w:tcPr>
            <w:tcW w:w="0" w:type="auto"/>
            <w:tcBorders>
              <w:top w:val="nil"/>
              <w:left w:val="single" w:sz="4" w:space="0" w:color="auto"/>
              <w:bottom w:val="single" w:sz="4" w:space="0" w:color="auto"/>
              <w:right w:val="single" w:sz="4" w:space="0" w:color="auto"/>
            </w:tcBorders>
            <w:shd w:val="clear" w:color="auto" w:fill="auto"/>
            <w:vAlign w:val="center"/>
          </w:tcPr>
          <w:p w14:paraId="2DD5E7AD" w14:textId="77777777" w:rsidR="006D1356" w:rsidRPr="00D47C37" w:rsidRDefault="006D1356" w:rsidP="00512826">
            <w:pPr>
              <w:snapToGrid w:val="0"/>
              <w:rPr>
                <w:rFonts w:ascii="Arial" w:hAnsi="Arial" w:cs="Arial"/>
                <w:sz w:val="20"/>
                <w:szCs w:val="20"/>
                <w:highlight w:val="yellow"/>
                <w:lang w:val="en-US"/>
              </w:rPr>
            </w:pPr>
            <w:r w:rsidRPr="00D47C37">
              <w:rPr>
                <w:rFonts w:ascii="Arial" w:hAnsi="Arial" w:cs="Arial"/>
                <w:sz w:val="20"/>
                <w:szCs w:val="20"/>
                <w:lang w:val="en-US"/>
              </w:rPr>
              <w:t>1:400</w:t>
            </w:r>
          </w:p>
        </w:tc>
        <w:tc>
          <w:tcPr>
            <w:tcW w:w="0" w:type="auto"/>
            <w:tcBorders>
              <w:top w:val="nil"/>
              <w:left w:val="single" w:sz="4" w:space="0" w:color="auto"/>
              <w:bottom w:val="single" w:sz="4" w:space="0" w:color="auto"/>
              <w:right w:val="single" w:sz="4" w:space="0" w:color="auto"/>
            </w:tcBorders>
            <w:shd w:val="clear" w:color="auto" w:fill="auto"/>
            <w:vAlign w:val="center"/>
          </w:tcPr>
          <w:p w14:paraId="0225ADA5" w14:textId="77777777" w:rsidR="006D1356" w:rsidRPr="00D47C37" w:rsidRDefault="006D1356" w:rsidP="00512826">
            <w:pPr>
              <w:snapToGrid w:val="0"/>
              <w:rPr>
                <w:rFonts w:ascii="Arial" w:hAnsi="Arial" w:cs="Arial"/>
                <w:sz w:val="20"/>
                <w:szCs w:val="20"/>
                <w:lang w:val="en-US"/>
              </w:rPr>
            </w:pPr>
            <w:r w:rsidRPr="00D47C37">
              <w:rPr>
                <w:rFonts w:ascii="Arial" w:hAnsi="Arial" w:cs="Arial"/>
                <w:color w:val="000000"/>
                <w:sz w:val="20"/>
                <w:szCs w:val="20"/>
                <w:lang w:val="en-US"/>
              </w:rPr>
              <w:t>Clone EP318Y</w:t>
            </w:r>
          </w:p>
        </w:tc>
        <w:tc>
          <w:tcPr>
            <w:tcW w:w="0" w:type="auto"/>
            <w:vAlign w:val="center"/>
          </w:tcPr>
          <w:p w14:paraId="7A834597" w14:textId="77777777" w:rsidR="006D1356" w:rsidRPr="00D47C37" w:rsidRDefault="006D1356" w:rsidP="00512826">
            <w:pPr>
              <w:snapToGrid w:val="0"/>
              <w:rPr>
                <w:rFonts w:ascii="Arial" w:hAnsi="Arial" w:cs="Arial"/>
                <w:sz w:val="20"/>
                <w:szCs w:val="20"/>
                <w:highlight w:val="yellow"/>
                <w:lang w:val="en-US"/>
              </w:rPr>
            </w:pPr>
            <w:proofErr w:type="gramStart"/>
            <w:r w:rsidRPr="00D47C37">
              <w:rPr>
                <w:rFonts w:ascii="Arial" w:hAnsi="Arial" w:cs="Arial"/>
                <w:color w:val="000000"/>
                <w:sz w:val="20"/>
                <w:szCs w:val="20"/>
                <w:lang w:val="en-US"/>
              </w:rPr>
              <w:t>Autoclave  tris</w:t>
            </w:r>
            <w:proofErr w:type="gramEnd"/>
            <w:r w:rsidRPr="00D47C37">
              <w:rPr>
                <w:rFonts w:ascii="Arial" w:hAnsi="Arial" w:cs="Arial"/>
                <w:color w:val="000000"/>
                <w:sz w:val="20"/>
                <w:szCs w:val="20"/>
                <w:lang w:val="en-US"/>
              </w:rPr>
              <w:t xml:space="preserve"> EDTA</w:t>
            </w:r>
          </w:p>
        </w:tc>
        <w:tc>
          <w:tcPr>
            <w:tcW w:w="0" w:type="auto"/>
            <w:shd w:val="clear" w:color="auto" w:fill="auto"/>
            <w:vAlign w:val="center"/>
          </w:tcPr>
          <w:p w14:paraId="1911A9F8" w14:textId="77777777" w:rsidR="006D1356" w:rsidRPr="00D47C37" w:rsidRDefault="006D1356" w:rsidP="00512826">
            <w:pPr>
              <w:snapToGrid w:val="0"/>
              <w:rPr>
                <w:rFonts w:ascii="Arial" w:hAnsi="Arial" w:cs="Arial"/>
                <w:color w:val="000000" w:themeColor="text1"/>
                <w:sz w:val="20"/>
                <w:szCs w:val="20"/>
                <w:lang w:val="en-US"/>
              </w:rPr>
            </w:pPr>
            <w:r w:rsidRPr="00D47C37">
              <w:rPr>
                <w:rFonts w:ascii="Arial" w:hAnsi="Arial" w:cs="Arial"/>
                <w:color w:val="000000" w:themeColor="text1"/>
                <w:sz w:val="20"/>
                <w:szCs w:val="20"/>
                <w:lang w:val="en-US"/>
              </w:rPr>
              <w:t>RT 1h</w:t>
            </w:r>
          </w:p>
        </w:tc>
        <w:tc>
          <w:tcPr>
            <w:tcW w:w="1245" w:type="dxa"/>
            <w:tcBorders>
              <w:top w:val="nil"/>
              <w:left w:val="single" w:sz="4" w:space="0" w:color="auto"/>
              <w:bottom w:val="single" w:sz="4" w:space="0" w:color="auto"/>
              <w:right w:val="single" w:sz="4" w:space="0" w:color="auto"/>
            </w:tcBorders>
            <w:shd w:val="clear" w:color="auto" w:fill="auto"/>
            <w:vAlign w:val="center"/>
          </w:tcPr>
          <w:p w14:paraId="55B26017"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Cerebellum</w:t>
            </w:r>
          </w:p>
        </w:tc>
      </w:tr>
      <w:tr w:rsidR="006D1356" w:rsidRPr="00D47C37" w14:paraId="59BE3946" w14:textId="77777777" w:rsidTr="00412801">
        <w:trPr>
          <w:trHeight w:val="414"/>
        </w:trPr>
        <w:tc>
          <w:tcPr>
            <w:tcW w:w="1111" w:type="dxa"/>
            <w:tcBorders>
              <w:bottom w:val="single" w:sz="4" w:space="0" w:color="000000"/>
            </w:tcBorders>
            <w:shd w:val="clear" w:color="auto" w:fill="auto"/>
            <w:vAlign w:val="center"/>
          </w:tcPr>
          <w:p w14:paraId="773D946D" w14:textId="77777777" w:rsidR="006D1356" w:rsidRPr="00D47C37" w:rsidRDefault="006D1356" w:rsidP="00512826">
            <w:pPr>
              <w:snapToGrid w:val="0"/>
              <w:rPr>
                <w:rFonts w:ascii="Arial" w:hAnsi="Arial" w:cs="Arial"/>
                <w:color w:val="000000" w:themeColor="text1"/>
                <w:sz w:val="20"/>
                <w:szCs w:val="20"/>
                <w:lang w:val="en-US"/>
              </w:rPr>
            </w:pPr>
            <w:r w:rsidRPr="00D47C37">
              <w:rPr>
                <w:rFonts w:ascii="Arial" w:hAnsi="Arial" w:cs="Arial"/>
                <w:color w:val="000000" w:themeColor="text1"/>
                <w:sz w:val="20"/>
                <w:szCs w:val="20"/>
                <w:lang w:val="en-US"/>
              </w:rPr>
              <w:t>TSC2</w:t>
            </w:r>
          </w:p>
        </w:tc>
        <w:tc>
          <w:tcPr>
            <w:tcW w:w="1695" w:type="dxa"/>
            <w:tcBorders>
              <w:bottom w:val="single" w:sz="4" w:space="0" w:color="000000"/>
            </w:tcBorders>
            <w:shd w:val="clear" w:color="auto" w:fill="auto"/>
            <w:vAlign w:val="center"/>
          </w:tcPr>
          <w:p w14:paraId="10740858" w14:textId="77777777" w:rsidR="006D1356" w:rsidRPr="00D47C37" w:rsidRDefault="006D1356" w:rsidP="00512826">
            <w:pPr>
              <w:snapToGrid w:val="0"/>
              <w:rPr>
                <w:rFonts w:ascii="Arial" w:hAnsi="Arial" w:cs="Arial"/>
                <w:color w:val="000000" w:themeColor="text1"/>
                <w:sz w:val="20"/>
                <w:szCs w:val="20"/>
                <w:highlight w:val="yellow"/>
                <w:lang w:val="en-US"/>
              </w:rPr>
            </w:pPr>
            <w:r w:rsidRPr="00D47C37">
              <w:rPr>
                <w:rFonts w:ascii="Arial" w:hAnsi="Arial" w:cs="Arial"/>
                <w:color w:val="000000" w:themeColor="text1"/>
                <w:sz w:val="20"/>
                <w:szCs w:val="20"/>
                <w:lang w:val="en-US"/>
              </w:rPr>
              <w:t>Abcam ab32554</w:t>
            </w:r>
          </w:p>
        </w:tc>
        <w:tc>
          <w:tcPr>
            <w:tcW w:w="0" w:type="auto"/>
            <w:tcBorders>
              <w:top w:val="nil"/>
              <w:left w:val="single" w:sz="4" w:space="0" w:color="auto"/>
              <w:bottom w:val="single" w:sz="4" w:space="0" w:color="000000"/>
              <w:right w:val="single" w:sz="4" w:space="0" w:color="auto"/>
            </w:tcBorders>
            <w:shd w:val="clear" w:color="auto" w:fill="auto"/>
            <w:vAlign w:val="center"/>
          </w:tcPr>
          <w:p w14:paraId="4E70DD47" w14:textId="77777777" w:rsidR="006D1356" w:rsidRPr="00D47C37" w:rsidRDefault="006D1356" w:rsidP="00512826">
            <w:pPr>
              <w:snapToGrid w:val="0"/>
              <w:rPr>
                <w:rFonts w:ascii="Arial" w:hAnsi="Arial" w:cs="Arial"/>
                <w:sz w:val="20"/>
                <w:szCs w:val="20"/>
                <w:highlight w:val="yellow"/>
                <w:lang w:val="en-US"/>
              </w:rPr>
            </w:pPr>
            <w:r w:rsidRPr="00D47C37">
              <w:rPr>
                <w:rFonts w:ascii="Arial" w:hAnsi="Arial" w:cs="Arial"/>
                <w:sz w:val="20"/>
                <w:szCs w:val="20"/>
                <w:lang w:val="en-US"/>
              </w:rPr>
              <w:t>1:400</w:t>
            </w:r>
          </w:p>
        </w:tc>
        <w:tc>
          <w:tcPr>
            <w:tcW w:w="0" w:type="auto"/>
            <w:tcBorders>
              <w:top w:val="nil"/>
              <w:left w:val="single" w:sz="4" w:space="0" w:color="auto"/>
              <w:bottom w:val="single" w:sz="4" w:space="0" w:color="000000"/>
              <w:right w:val="single" w:sz="4" w:space="0" w:color="auto"/>
            </w:tcBorders>
            <w:shd w:val="clear" w:color="auto" w:fill="auto"/>
            <w:vAlign w:val="center"/>
          </w:tcPr>
          <w:p w14:paraId="5AE5C74E"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Clone Y320</w:t>
            </w:r>
          </w:p>
        </w:tc>
        <w:tc>
          <w:tcPr>
            <w:tcW w:w="0" w:type="auto"/>
            <w:tcBorders>
              <w:bottom w:val="single" w:sz="4" w:space="0" w:color="000000"/>
            </w:tcBorders>
            <w:vAlign w:val="center"/>
          </w:tcPr>
          <w:p w14:paraId="3C1BE55C" w14:textId="77777777" w:rsidR="006D1356" w:rsidRPr="00D47C37" w:rsidRDefault="006D1356" w:rsidP="00512826">
            <w:pPr>
              <w:snapToGrid w:val="0"/>
              <w:rPr>
                <w:rFonts w:ascii="Arial" w:hAnsi="Arial" w:cs="Arial"/>
                <w:sz w:val="20"/>
                <w:szCs w:val="20"/>
                <w:highlight w:val="yellow"/>
                <w:lang w:val="en-US"/>
              </w:rPr>
            </w:pPr>
            <w:r w:rsidRPr="00D47C37">
              <w:rPr>
                <w:rFonts w:ascii="Arial" w:hAnsi="Arial" w:cs="Arial"/>
                <w:color w:val="000000"/>
                <w:sz w:val="20"/>
                <w:szCs w:val="20"/>
                <w:lang w:val="en-US"/>
              </w:rPr>
              <w:t>Autoclave citrate</w:t>
            </w:r>
          </w:p>
        </w:tc>
        <w:tc>
          <w:tcPr>
            <w:tcW w:w="0" w:type="auto"/>
            <w:tcBorders>
              <w:bottom w:val="single" w:sz="4" w:space="0" w:color="000000"/>
            </w:tcBorders>
            <w:shd w:val="clear" w:color="auto" w:fill="auto"/>
            <w:vAlign w:val="center"/>
          </w:tcPr>
          <w:p w14:paraId="153AD517" w14:textId="77777777" w:rsidR="006D1356" w:rsidRPr="00D47C37" w:rsidRDefault="006D1356" w:rsidP="00512826">
            <w:pPr>
              <w:snapToGrid w:val="0"/>
              <w:rPr>
                <w:rFonts w:ascii="Arial" w:hAnsi="Arial" w:cs="Arial"/>
                <w:color w:val="000000" w:themeColor="text1"/>
                <w:sz w:val="20"/>
                <w:szCs w:val="20"/>
                <w:lang w:val="en-US"/>
              </w:rPr>
            </w:pPr>
            <w:r w:rsidRPr="00D47C37">
              <w:rPr>
                <w:rFonts w:ascii="Arial" w:hAnsi="Arial" w:cs="Arial"/>
                <w:color w:val="000000" w:themeColor="text1"/>
                <w:sz w:val="20"/>
                <w:szCs w:val="20"/>
                <w:lang w:val="en-US"/>
              </w:rPr>
              <w:t>RT 1h</w:t>
            </w:r>
          </w:p>
        </w:tc>
        <w:tc>
          <w:tcPr>
            <w:tcW w:w="1245" w:type="dxa"/>
            <w:tcBorders>
              <w:top w:val="nil"/>
              <w:left w:val="single" w:sz="4" w:space="0" w:color="auto"/>
              <w:bottom w:val="single" w:sz="4" w:space="0" w:color="000000"/>
              <w:right w:val="single" w:sz="4" w:space="0" w:color="auto"/>
            </w:tcBorders>
            <w:shd w:val="clear" w:color="auto" w:fill="auto"/>
            <w:vAlign w:val="center"/>
          </w:tcPr>
          <w:p w14:paraId="0D0D7E98"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Cerebellum</w:t>
            </w:r>
          </w:p>
        </w:tc>
      </w:tr>
      <w:tr w:rsidR="006D1356" w:rsidRPr="00D47C37" w14:paraId="73833046" w14:textId="77777777" w:rsidTr="00412801">
        <w:trPr>
          <w:trHeight w:val="414"/>
        </w:trPr>
        <w:tc>
          <w:tcPr>
            <w:tcW w:w="1111" w:type="dxa"/>
            <w:tcBorders>
              <w:top w:val="single" w:sz="4" w:space="0" w:color="000000"/>
            </w:tcBorders>
            <w:shd w:val="clear" w:color="auto" w:fill="auto"/>
            <w:vAlign w:val="center"/>
          </w:tcPr>
          <w:p w14:paraId="71A82B23" w14:textId="77777777" w:rsidR="006D1356" w:rsidRPr="00D47C37" w:rsidRDefault="006D1356" w:rsidP="00512826">
            <w:pPr>
              <w:snapToGrid w:val="0"/>
              <w:rPr>
                <w:rFonts w:ascii="Arial" w:hAnsi="Arial" w:cs="Arial"/>
                <w:color w:val="000000" w:themeColor="text1"/>
                <w:sz w:val="20"/>
                <w:szCs w:val="20"/>
                <w:lang w:val="en-US"/>
              </w:rPr>
            </w:pPr>
            <w:r w:rsidRPr="00D47C37">
              <w:rPr>
                <w:rFonts w:ascii="Arial" w:hAnsi="Arial" w:cs="Arial"/>
                <w:color w:val="000000" w:themeColor="text1"/>
                <w:sz w:val="20"/>
                <w:szCs w:val="20"/>
                <w:lang w:val="en-US"/>
              </w:rPr>
              <w:t>mTOR</w:t>
            </w:r>
          </w:p>
        </w:tc>
        <w:tc>
          <w:tcPr>
            <w:tcW w:w="1695" w:type="dxa"/>
            <w:tcBorders>
              <w:top w:val="single" w:sz="4" w:space="0" w:color="000000"/>
            </w:tcBorders>
            <w:shd w:val="clear" w:color="auto" w:fill="auto"/>
            <w:vAlign w:val="center"/>
          </w:tcPr>
          <w:p w14:paraId="5B8BCF74" w14:textId="77777777" w:rsidR="006D1356" w:rsidRPr="00D47C37" w:rsidRDefault="006D1356" w:rsidP="00512826">
            <w:pPr>
              <w:snapToGrid w:val="0"/>
              <w:rPr>
                <w:rFonts w:ascii="Arial" w:hAnsi="Arial" w:cs="Arial"/>
                <w:color w:val="000000" w:themeColor="text1"/>
                <w:sz w:val="20"/>
                <w:szCs w:val="20"/>
                <w:highlight w:val="yellow"/>
                <w:lang w:val="en-US"/>
              </w:rPr>
            </w:pPr>
            <w:r w:rsidRPr="00D47C37">
              <w:rPr>
                <w:rFonts w:ascii="Arial" w:hAnsi="Arial" w:cs="Arial"/>
                <w:color w:val="000000" w:themeColor="text1"/>
                <w:sz w:val="20"/>
                <w:szCs w:val="20"/>
                <w:lang w:val="en-US"/>
              </w:rPr>
              <w:t>Cell signaling 2983</w:t>
            </w:r>
          </w:p>
        </w:tc>
        <w:tc>
          <w:tcPr>
            <w:tcW w:w="0" w:type="auto"/>
            <w:tcBorders>
              <w:top w:val="single" w:sz="4" w:space="0" w:color="000000"/>
              <w:left w:val="single" w:sz="4" w:space="0" w:color="auto"/>
              <w:bottom w:val="nil"/>
              <w:right w:val="single" w:sz="4" w:space="0" w:color="auto"/>
            </w:tcBorders>
            <w:shd w:val="clear" w:color="auto" w:fill="auto"/>
            <w:vAlign w:val="center"/>
          </w:tcPr>
          <w:p w14:paraId="1DA28B01" w14:textId="77777777" w:rsidR="006D1356" w:rsidRPr="00D47C37" w:rsidRDefault="006D1356" w:rsidP="00512826">
            <w:pPr>
              <w:snapToGrid w:val="0"/>
              <w:rPr>
                <w:rFonts w:ascii="Arial" w:hAnsi="Arial" w:cs="Arial"/>
                <w:sz w:val="20"/>
                <w:szCs w:val="20"/>
                <w:highlight w:val="yellow"/>
                <w:lang w:val="en-US"/>
              </w:rPr>
            </w:pPr>
            <w:r w:rsidRPr="00D47C37">
              <w:rPr>
                <w:rFonts w:ascii="Arial" w:hAnsi="Arial" w:cs="Arial"/>
                <w:sz w:val="20"/>
                <w:szCs w:val="20"/>
                <w:lang w:val="en-US"/>
              </w:rPr>
              <w:t>1:250</w:t>
            </w:r>
          </w:p>
        </w:tc>
        <w:tc>
          <w:tcPr>
            <w:tcW w:w="0" w:type="auto"/>
            <w:tcBorders>
              <w:top w:val="single" w:sz="4" w:space="0" w:color="000000"/>
              <w:left w:val="single" w:sz="4" w:space="0" w:color="auto"/>
              <w:bottom w:val="nil"/>
              <w:right w:val="single" w:sz="4" w:space="0" w:color="auto"/>
            </w:tcBorders>
            <w:shd w:val="clear" w:color="auto" w:fill="auto"/>
            <w:vAlign w:val="center"/>
          </w:tcPr>
          <w:p w14:paraId="7FBB747C"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Clone 7C10</w:t>
            </w:r>
          </w:p>
        </w:tc>
        <w:tc>
          <w:tcPr>
            <w:tcW w:w="0" w:type="auto"/>
            <w:tcBorders>
              <w:top w:val="single" w:sz="4" w:space="0" w:color="000000"/>
            </w:tcBorders>
            <w:vAlign w:val="center"/>
          </w:tcPr>
          <w:p w14:paraId="5570B20E" w14:textId="77777777" w:rsidR="006D1356" w:rsidRPr="00D47C37" w:rsidRDefault="006D1356" w:rsidP="00512826">
            <w:pPr>
              <w:snapToGrid w:val="0"/>
              <w:rPr>
                <w:rFonts w:ascii="Arial" w:hAnsi="Arial" w:cs="Arial"/>
                <w:sz w:val="20"/>
                <w:szCs w:val="20"/>
                <w:highlight w:val="yellow"/>
                <w:lang w:val="en-US"/>
              </w:rPr>
            </w:pPr>
            <w:r w:rsidRPr="00D47C37">
              <w:rPr>
                <w:rFonts w:ascii="Arial" w:hAnsi="Arial" w:cs="Arial"/>
                <w:color w:val="000000"/>
                <w:sz w:val="20"/>
                <w:szCs w:val="20"/>
                <w:lang w:val="en-US"/>
              </w:rPr>
              <w:t>Autoclave citrate</w:t>
            </w:r>
          </w:p>
        </w:tc>
        <w:tc>
          <w:tcPr>
            <w:tcW w:w="0" w:type="auto"/>
            <w:tcBorders>
              <w:top w:val="single" w:sz="4" w:space="0" w:color="000000"/>
            </w:tcBorders>
            <w:shd w:val="clear" w:color="auto" w:fill="auto"/>
          </w:tcPr>
          <w:p w14:paraId="5F6BAA69" w14:textId="77777777" w:rsidR="006D1356" w:rsidRPr="00D47C37" w:rsidRDefault="006D1356" w:rsidP="00512826">
            <w:pPr>
              <w:snapToGrid w:val="0"/>
              <w:rPr>
                <w:rFonts w:ascii="Arial" w:hAnsi="Arial" w:cs="Arial"/>
                <w:color w:val="000000" w:themeColor="text1"/>
                <w:sz w:val="20"/>
                <w:szCs w:val="20"/>
                <w:lang w:val="en-US"/>
              </w:rPr>
            </w:pPr>
            <w:r w:rsidRPr="00D47C37">
              <w:rPr>
                <w:rFonts w:ascii="Arial" w:hAnsi="Arial" w:cs="Arial"/>
                <w:color w:val="000000" w:themeColor="text1"/>
                <w:sz w:val="20"/>
                <w:szCs w:val="20"/>
                <w:lang w:val="en-US"/>
              </w:rPr>
              <w:t>RT 1h</w:t>
            </w:r>
          </w:p>
        </w:tc>
        <w:tc>
          <w:tcPr>
            <w:tcW w:w="1245" w:type="dxa"/>
            <w:tcBorders>
              <w:top w:val="single" w:sz="4" w:space="0" w:color="000000"/>
              <w:left w:val="single" w:sz="4" w:space="0" w:color="auto"/>
              <w:bottom w:val="nil"/>
              <w:right w:val="single" w:sz="4" w:space="0" w:color="auto"/>
            </w:tcBorders>
            <w:shd w:val="clear" w:color="auto" w:fill="auto"/>
            <w:vAlign w:val="center"/>
          </w:tcPr>
          <w:p w14:paraId="40756A7E"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Liver</w:t>
            </w:r>
          </w:p>
        </w:tc>
      </w:tr>
      <w:tr w:rsidR="006D1356" w:rsidRPr="00D47C37" w14:paraId="50DA845A" w14:textId="77777777" w:rsidTr="00412801">
        <w:trPr>
          <w:trHeight w:val="414"/>
        </w:trPr>
        <w:tc>
          <w:tcPr>
            <w:tcW w:w="1111" w:type="dxa"/>
            <w:shd w:val="clear" w:color="auto" w:fill="auto"/>
            <w:vAlign w:val="center"/>
          </w:tcPr>
          <w:p w14:paraId="0ADFD8BB" w14:textId="77777777" w:rsidR="006D1356" w:rsidRPr="00D47C37" w:rsidRDefault="006D1356" w:rsidP="00512826">
            <w:pPr>
              <w:snapToGrid w:val="0"/>
              <w:rPr>
                <w:rFonts w:ascii="Arial" w:hAnsi="Arial" w:cs="Arial"/>
                <w:color w:val="000000" w:themeColor="text1"/>
                <w:sz w:val="20"/>
                <w:szCs w:val="20"/>
                <w:lang w:val="en-US"/>
              </w:rPr>
            </w:pPr>
            <w:proofErr w:type="spellStart"/>
            <w:r w:rsidRPr="00D47C37">
              <w:rPr>
                <w:rFonts w:ascii="Arial" w:hAnsi="Arial" w:cs="Arial"/>
                <w:color w:val="000000" w:themeColor="text1"/>
                <w:sz w:val="20"/>
                <w:szCs w:val="20"/>
                <w:lang w:val="en-US"/>
              </w:rPr>
              <w:t>pmTOR</w:t>
            </w:r>
            <w:proofErr w:type="spellEnd"/>
          </w:p>
        </w:tc>
        <w:tc>
          <w:tcPr>
            <w:tcW w:w="1695" w:type="dxa"/>
            <w:shd w:val="clear" w:color="auto" w:fill="auto"/>
            <w:vAlign w:val="center"/>
          </w:tcPr>
          <w:p w14:paraId="488A359B" w14:textId="77777777" w:rsidR="006D1356" w:rsidRPr="00D47C37" w:rsidRDefault="006D1356" w:rsidP="00512826">
            <w:pPr>
              <w:snapToGrid w:val="0"/>
              <w:rPr>
                <w:rFonts w:ascii="Arial" w:hAnsi="Arial" w:cs="Arial"/>
                <w:color w:val="000000" w:themeColor="text1"/>
                <w:sz w:val="20"/>
                <w:szCs w:val="20"/>
                <w:highlight w:val="yellow"/>
                <w:lang w:val="en-US"/>
              </w:rPr>
            </w:pPr>
            <w:r w:rsidRPr="00D47C37">
              <w:rPr>
                <w:rFonts w:ascii="Arial" w:hAnsi="Arial" w:cs="Arial"/>
                <w:color w:val="000000" w:themeColor="text1"/>
                <w:sz w:val="20"/>
                <w:szCs w:val="20"/>
                <w:lang w:val="en-US"/>
              </w:rPr>
              <w:t>Cell signaling 2976</w:t>
            </w:r>
          </w:p>
        </w:tc>
        <w:tc>
          <w:tcPr>
            <w:tcW w:w="0" w:type="auto"/>
            <w:tcBorders>
              <w:top w:val="single" w:sz="4" w:space="0" w:color="000000"/>
              <w:left w:val="single" w:sz="4" w:space="0" w:color="auto"/>
              <w:bottom w:val="single" w:sz="4" w:space="0" w:color="000000"/>
              <w:right w:val="single" w:sz="4" w:space="0" w:color="auto"/>
            </w:tcBorders>
            <w:shd w:val="clear" w:color="auto" w:fill="auto"/>
            <w:vAlign w:val="center"/>
          </w:tcPr>
          <w:p w14:paraId="79375392" w14:textId="77777777" w:rsidR="006D1356" w:rsidRPr="00D47C37" w:rsidRDefault="006D1356" w:rsidP="00512826">
            <w:pPr>
              <w:snapToGrid w:val="0"/>
              <w:rPr>
                <w:rFonts w:ascii="Arial" w:hAnsi="Arial" w:cs="Arial"/>
                <w:sz w:val="20"/>
                <w:szCs w:val="20"/>
                <w:highlight w:val="yellow"/>
                <w:lang w:val="en-US"/>
              </w:rPr>
            </w:pPr>
            <w:r w:rsidRPr="00D47C37">
              <w:rPr>
                <w:rFonts w:ascii="Arial" w:hAnsi="Arial" w:cs="Arial"/>
                <w:color w:val="000000"/>
                <w:sz w:val="20"/>
                <w:szCs w:val="20"/>
                <w:lang w:val="en-US"/>
              </w:rPr>
              <w:t>1:100</w:t>
            </w:r>
          </w:p>
        </w:tc>
        <w:tc>
          <w:tcPr>
            <w:tcW w:w="0" w:type="auto"/>
            <w:tcBorders>
              <w:top w:val="single" w:sz="4" w:space="0" w:color="000000"/>
              <w:left w:val="single" w:sz="4" w:space="0" w:color="auto"/>
              <w:bottom w:val="single" w:sz="4" w:space="0" w:color="000000"/>
              <w:right w:val="single" w:sz="4" w:space="0" w:color="auto"/>
            </w:tcBorders>
            <w:shd w:val="clear" w:color="auto" w:fill="auto"/>
            <w:vAlign w:val="center"/>
          </w:tcPr>
          <w:p w14:paraId="5A8E0731"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Clone 49F9</w:t>
            </w:r>
          </w:p>
        </w:tc>
        <w:tc>
          <w:tcPr>
            <w:tcW w:w="0" w:type="auto"/>
            <w:tcBorders>
              <w:top w:val="single" w:sz="4" w:space="0" w:color="000000"/>
            </w:tcBorders>
            <w:vAlign w:val="center"/>
          </w:tcPr>
          <w:p w14:paraId="15B6C615" w14:textId="77777777" w:rsidR="006D1356" w:rsidRPr="00D47C37" w:rsidRDefault="006D1356" w:rsidP="00512826">
            <w:pPr>
              <w:snapToGrid w:val="0"/>
              <w:rPr>
                <w:rFonts w:ascii="Arial" w:hAnsi="Arial" w:cs="Arial"/>
                <w:sz w:val="20"/>
                <w:szCs w:val="20"/>
                <w:highlight w:val="yellow"/>
                <w:lang w:val="en-US"/>
              </w:rPr>
            </w:pPr>
            <w:r w:rsidRPr="00D47C37">
              <w:rPr>
                <w:rFonts w:ascii="Arial" w:hAnsi="Arial" w:cs="Arial"/>
                <w:color w:val="000000"/>
                <w:sz w:val="20"/>
                <w:szCs w:val="20"/>
                <w:lang w:val="en-US"/>
              </w:rPr>
              <w:t>Autoclave citrate</w:t>
            </w:r>
          </w:p>
        </w:tc>
        <w:tc>
          <w:tcPr>
            <w:tcW w:w="0" w:type="auto"/>
            <w:shd w:val="clear" w:color="auto" w:fill="auto"/>
          </w:tcPr>
          <w:p w14:paraId="1FD9E0F5" w14:textId="77777777" w:rsidR="006D1356" w:rsidRPr="00D47C37" w:rsidRDefault="006D1356" w:rsidP="00512826">
            <w:pPr>
              <w:snapToGrid w:val="0"/>
              <w:rPr>
                <w:rFonts w:ascii="Arial" w:hAnsi="Arial" w:cs="Arial"/>
                <w:color w:val="000000" w:themeColor="text1"/>
                <w:sz w:val="20"/>
                <w:szCs w:val="20"/>
                <w:lang w:val="en-US"/>
              </w:rPr>
            </w:pPr>
            <w:r w:rsidRPr="00D47C37">
              <w:rPr>
                <w:rFonts w:ascii="Arial" w:hAnsi="Arial" w:cs="Arial"/>
                <w:color w:val="000000" w:themeColor="text1"/>
                <w:sz w:val="20"/>
                <w:szCs w:val="20"/>
                <w:lang w:val="en-US"/>
              </w:rPr>
              <w:t>RT 1h</w:t>
            </w:r>
          </w:p>
        </w:tc>
        <w:tc>
          <w:tcPr>
            <w:tcW w:w="1245" w:type="dxa"/>
            <w:tcBorders>
              <w:top w:val="single" w:sz="4" w:space="0" w:color="000000"/>
              <w:left w:val="single" w:sz="4" w:space="0" w:color="auto"/>
              <w:bottom w:val="single" w:sz="4" w:space="0" w:color="000000"/>
              <w:right w:val="single" w:sz="4" w:space="0" w:color="auto"/>
            </w:tcBorders>
            <w:shd w:val="clear" w:color="auto" w:fill="auto"/>
            <w:vAlign w:val="center"/>
          </w:tcPr>
          <w:p w14:paraId="0497DBDE"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Breast carcinoma</w:t>
            </w:r>
          </w:p>
        </w:tc>
      </w:tr>
      <w:tr w:rsidR="006D1356" w:rsidRPr="00D47C37" w14:paraId="7E2F8907" w14:textId="77777777" w:rsidTr="00412801">
        <w:trPr>
          <w:trHeight w:val="414"/>
        </w:trPr>
        <w:tc>
          <w:tcPr>
            <w:tcW w:w="1111" w:type="dxa"/>
            <w:shd w:val="clear" w:color="auto" w:fill="auto"/>
            <w:vAlign w:val="center"/>
          </w:tcPr>
          <w:p w14:paraId="6A144D14" w14:textId="77777777" w:rsidR="006D1356" w:rsidRPr="00D47C37" w:rsidRDefault="00412801" w:rsidP="00512826">
            <w:pPr>
              <w:snapToGrid w:val="0"/>
              <w:rPr>
                <w:rFonts w:ascii="Arial" w:hAnsi="Arial" w:cs="Arial"/>
                <w:color w:val="000000" w:themeColor="text1"/>
                <w:sz w:val="20"/>
                <w:szCs w:val="20"/>
                <w:lang w:val="en-US"/>
              </w:rPr>
            </w:pPr>
            <w:r>
              <w:rPr>
                <w:rFonts w:ascii="Arial" w:hAnsi="Arial" w:cs="Arial"/>
                <w:color w:val="000000" w:themeColor="text1"/>
                <w:sz w:val="20"/>
                <w:szCs w:val="20"/>
                <w:lang w:val="en-US"/>
              </w:rPr>
              <w:t>p70</w:t>
            </w:r>
            <w:r w:rsidR="006D1356" w:rsidRPr="00D47C37">
              <w:rPr>
                <w:rFonts w:ascii="Arial" w:hAnsi="Arial" w:cs="Arial"/>
                <w:color w:val="000000" w:themeColor="text1"/>
                <w:sz w:val="20"/>
                <w:szCs w:val="20"/>
                <w:lang w:val="en-US"/>
              </w:rPr>
              <w:t>S6K</w:t>
            </w:r>
          </w:p>
        </w:tc>
        <w:tc>
          <w:tcPr>
            <w:tcW w:w="1695" w:type="dxa"/>
            <w:shd w:val="clear" w:color="auto" w:fill="auto"/>
            <w:vAlign w:val="center"/>
          </w:tcPr>
          <w:p w14:paraId="27DDF70C" w14:textId="77777777" w:rsidR="006D1356" w:rsidRPr="00D47C37" w:rsidRDefault="006D1356" w:rsidP="00512826">
            <w:pPr>
              <w:snapToGrid w:val="0"/>
              <w:rPr>
                <w:rFonts w:ascii="Arial" w:hAnsi="Arial" w:cs="Arial"/>
                <w:color w:val="000000" w:themeColor="text1"/>
                <w:sz w:val="20"/>
                <w:szCs w:val="20"/>
                <w:highlight w:val="yellow"/>
                <w:lang w:val="en-US"/>
              </w:rPr>
            </w:pPr>
            <w:r w:rsidRPr="00D47C37">
              <w:rPr>
                <w:rFonts w:ascii="Arial" w:hAnsi="Arial" w:cs="Arial"/>
                <w:color w:val="000000" w:themeColor="text1"/>
                <w:sz w:val="20"/>
                <w:szCs w:val="20"/>
                <w:lang w:val="en-US"/>
              </w:rPr>
              <w:t>Cell signaling 2708</w:t>
            </w:r>
          </w:p>
        </w:tc>
        <w:tc>
          <w:tcPr>
            <w:tcW w:w="0" w:type="auto"/>
            <w:tcBorders>
              <w:top w:val="single" w:sz="4" w:space="0" w:color="000000"/>
              <w:left w:val="single" w:sz="4" w:space="0" w:color="auto"/>
              <w:bottom w:val="single" w:sz="4" w:space="0" w:color="000000"/>
              <w:right w:val="single" w:sz="4" w:space="0" w:color="auto"/>
            </w:tcBorders>
            <w:shd w:val="clear" w:color="auto" w:fill="auto"/>
            <w:vAlign w:val="center"/>
          </w:tcPr>
          <w:p w14:paraId="095B47BA" w14:textId="77777777" w:rsidR="006D1356" w:rsidRPr="00D47C37" w:rsidRDefault="006D1356" w:rsidP="00512826">
            <w:pPr>
              <w:snapToGrid w:val="0"/>
              <w:rPr>
                <w:rFonts w:ascii="Arial" w:hAnsi="Arial" w:cs="Arial"/>
                <w:sz w:val="20"/>
                <w:szCs w:val="20"/>
                <w:highlight w:val="yellow"/>
                <w:lang w:val="en-US"/>
              </w:rPr>
            </w:pPr>
            <w:r w:rsidRPr="00D47C37">
              <w:rPr>
                <w:rFonts w:ascii="Arial" w:hAnsi="Arial" w:cs="Arial"/>
                <w:color w:val="000000"/>
                <w:sz w:val="20"/>
                <w:szCs w:val="20"/>
                <w:lang w:val="en-US"/>
              </w:rPr>
              <w:t>1:100</w:t>
            </w:r>
          </w:p>
        </w:tc>
        <w:tc>
          <w:tcPr>
            <w:tcW w:w="0" w:type="auto"/>
            <w:tcBorders>
              <w:top w:val="single" w:sz="4" w:space="0" w:color="000000"/>
              <w:left w:val="single" w:sz="4" w:space="0" w:color="auto"/>
              <w:bottom w:val="single" w:sz="4" w:space="0" w:color="000000"/>
              <w:right w:val="single" w:sz="4" w:space="0" w:color="auto"/>
            </w:tcBorders>
            <w:shd w:val="clear" w:color="auto" w:fill="auto"/>
            <w:vAlign w:val="center"/>
          </w:tcPr>
          <w:p w14:paraId="0DDB5F2C"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Clone 49D7</w:t>
            </w:r>
          </w:p>
        </w:tc>
        <w:tc>
          <w:tcPr>
            <w:tcW w:w="0" w:type="auto"/>
            <w:vAlign w:val="center"/>
          </w:tcPr>
          <w:p w14:paraId="33DEE218" w14:textId="77777777" w:rsidR="006D1356" w:rsidRPr="00D47C37" w:rsidRDefault="006D1356" w:rsidP="00512826">
            <w:pPr>
              <w:snapToGrid w:val="0"/>
              <w:rPr>
                <w:rFonts w:ascii="Arial" w:hAnsi="Arial" w:cs="Arial"/>
                <w:sz w:val="20"/>
                <w:szCs w:val="20"/>
                <w:highlight w:val="yellow"/>
                <w:lang w:val="en-US"/>
              </w:rPr>
            </w:pPr>
            <w:r w:rsidRPr="00D47C37">
              <w:rPr>
                <w:rFonts w:ascii="Arial" w:hAnsi="Arial" w:cs="Arial"/>
                <w:color w:val="000000"/>
                <w:sz w:val="20"/>
                <w:szCs w:val="20"/>
                <w:lang w:val="en-US"/>
              </w:rPr>
              <w:t>Autoclave tris EDTA</w:t>
            </w:r>
          </w:p>
        </w:tc>
        <w:tc>
          <w:tcPr>
            <w:tcW w:w="0" w:type="auto"/>
            <w:shd w:val="clear" w:color="auto" w:fill="auto"/>
          </w:tcPr>
          <w:p w14:paraId="089474A9" w14:textId="77777777" w:rsidR="006D1356" w:rsidRPr="00D47C37" w:rsidRDefault="006D1356" w:rsidP="00512826">
            <w:pPr>
              <w:snapToGrid w:val="0"/>
              <w:rPr>
                <w:rFonts w:ascii="Arial" w:hAnsi="Arial" w:cs="Arial"/>
                <w:color w:val="000000" w:themeColor="text1"/>
                <w:sz w:val="20"/>
                <w:szCs w:val="20"/>
                <w:lang w:val="en-US"/>
              </w:rPr>
            </w:pPr>
            <w:r w:rsidRPr="00D47C37">
              <w:rPr>
                <w:rFonts w:ascii="Arial" w:hAnsi="Arial" w:cs="Arial"/>
                <w:color w:val="000000" w:themeColor="text1"/>
                <w:sz w:val="20"/>
                <w:szCs w:val="20"/>
                <w:lang w:val="en-US"/>
              </w:rPr>
              <w:t>RT 1h</w:t>
            </w:r>
          </w:p>
        </w:tc>
        <w:tc>
          <w:tcPr>
            <w:tcW w:w="1245" w:type="dxa"/>
            <w:tcBorders>
              <w:top w:val="single" w:sz="4" w:space="0" w:color="000000"/>
              <w:left w:val="single" w:sz="4" w:space="0" w:color="auto"/>
              <w:bottom w:val="single" w:sz="4" w:space="0" w:color="000000"/>
              <w:right w:val="single" w:sz="4" w:space="0" w:color="auto"/>
            </w:tcBorders>
            <w:shd w:val="clear" w:color="auto" w:fill="auto"/>
            <w:vAlign w:val="center"/>
          </w:tcPr>
          <w:p w14:paraId="424C24E0"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Breast carcinoma</w:t>
            </w:r>
          </w:p>
        </w:tc>
      </w:tr>
      <w:tr w:rsidR="006D1356" w:rsidRPr="00D47C37" w14:paraId="291E3D38" w14:textId="77777777" w:rsidTr="00412801">
        <w:trPr>
          <w:trHeight w:val="414"/>
        </w:trPr>
        <w:tc>
          <w:tcPr>
            <w:tcW w:w="1111" w:type="dxa"/>
            <w:shd w:val="clear" w:color="auto" w:fill="auto"/>
            <w:vAlign w:val="center"/>
          </w:tcPr>
          <w:p w14:paraId="00A8C1B7" w14:textId="77777777" w:rsidR="006D1356" w:rsidRPr="00D47C37" w:rsidRDefault="006D1356" w:rsidP="00512826">
            <w:pPr>
              <w:snapToGrid w:val="0"/>
              <w:rPr>
                <w:rFonts w:ascii="Arial" w:hAnsi="Arial" w:cs="Arial"/>
                <w:color w:val="000000" w:themeColor="text1"/>
                <w:sz w:val="20"/>
                <w:szCs w:val="20"/>
                <w:lang w:val="en-US"/>
              </w:rPr>
            </w:pPr>
            <w:r w:rsidRPr="00D47C37">
              <w:rPr>
                <w:rFonts w:ascii="Arial" w:hAnsi="Arial" w:cs="Arial"/>
                <w:color w:val="000000" w:themeColor="text1"/>
                <w:sz w:val="20"/>
                <w:szCs w:val="20"/>
                <w:lang w:val="en-US"/>
              </w:rPr>
              <w:t>p</w:t>
            </w:r>
            <w:r w:rsidR="00412801">
              <w:rPr>
                <w:rFonts w:ascii="Arial" w:hAnsi="Arial" w:cs="Arial"/>
                <w:color w:val="000000" w:themeColor="text1"/>
                <w:sz w:val="20"/>
                <w:szCs w:val="20"/>
                <w:lang w:val="en-US"/>
              </w:rPr>
              <w:t>-p70</w:t>
            </w:r>
            <w:r w:rsidRPr="00D47C37">
              <w:rPr>
                <w:rFonts w:ascii="Arial" w:hAnsi="Arial" w:cs="Arial"/>
                <w:color w:val="000000" w:themeColor="text1"/>
                <w:sz w:val="20"/>
                <w:szCs w:val="20"/>
                <w:lang w:val="en-US"/>
              </w:rPr>
              <w:t>S6K</w:t>
            </w:r>
          </w:p>
        </w:tc>
        <w:tc>
          <w:tcPr>
            <w:tcW w:w="1695" w:type="dxa"/>
            <w:shd w:val="clear" w:color="auto" w:fill="auto"/>
            <w:vAlign w:val="center"/>
          </w:tcPr>
          <w:p w14:paraId="651C39CF" w14:textId="77777777" w:rsidR="006D1356" w:rsidRPr="00D47C37" w:rsidRDefault="006D1356" w:rsidP="00512826">
            <w:pPr>
              <w:snapToGrid w:val="0"/>
              <w:rPr>
                <w:rFonts w:ascii="Arial" w:hAnsi="Arial" w:cs="Arial"/>
                <w:color w:val="000000" w:themeColor="text1"/>
                <w:sz w:val="20"/>
                <w:szCs w:val="20"/>
                <w:highlight w:val="yellow"/>
                <w:lang w:val="en-US"/>
              </w:rPr>
            </w:pPr>
            <w:r w:rsidRPr="00D47C37">
              <w:rPr>
                <w:rFonts w:ascii="Arial" w:hAnsi="Arial" w:cs="Arial"/>
                <w:color w:val="000000" w:themeColor="text1"/>
                <w:sz w:val="20"/>
                <w:szCs w:val="20"/>
                <w:lang w:val="en-US"/>
              </w:rPr>
              <w:t>Invitrogen PA5-38307</w:t>
            </w:r>
          </w:p>
        </w:tc>
        <w:tc>
          <w:tcPr>
            <w:tcW w:w="0" w:type="auto"/>
            <w:tcBorders>
              <w:top w:val="single" w:sz="4" w:space="0" w:color="000000"/>
              <w:left w:val="single" w:sz="4" w:space="0" w:color="auto"/>
              <w:bottom w:val="single" w:sz="4" w:space="0" w:color="auto"/>
              <w:right w:val="single" w:sz="4" w:space="0" w:color="auto"/>
            </w:tcBorders>
            <w:shd w:val="clear" w:color="auto" w:fill="auto"/>
            <w:vAlign w:val="center"/>
          </w:tcPr>
          <w:p w14:paraId="06E29A1D" w14:textId="77777777" w:rsidR="006D1356" w:rsidRPr="00D47C37" w:rsidRDefault="006D1356" w:rsidP="00512826">
            <w:pPr>
              <w:snapToGrid w:val="0"/>
              <w:rPr>
                <w:rFonts w:ascii="Arial" w:hAnsi="Arial" w:cs="Arial"/>
                <w:sz w:val="20"/>
                <w:szCs w:val="20"/>
                <w:highlight w:val="yellow"/>
                <w:lang w:val="en-US"/>
              </w:rPr>
            </w:pPr>
            <w:r w:rsidRPr="00D47C37">
              <w:rPr>
                <w:rFonts w:ascii="Arial" w:hAnsi="Arial" w:cs="Arial"/>
                <w:color w:val="000000"/>
                <w:sz w:val="20"/>
                <w:szCs w:val="20"/>
                <w:lang w:val="en-US"/>
              </w:rPr>
              <w:t>1:200</w:t>
            </w:r>
          </w:p>
        </w:tc>
        <w:tc>
          <w:tcPr>
            <w:tcW w:w="0" w:type="auto"/>
            <w:tcBorders>
              <w:top w:val="single" w:sz="4" w:space="0" w:color="000000"/>
              <w:left w:val="single" w:sz="4" w:space="0" w:color="auto"/>
              <w:bottom w:val="single" w:sz="4" w:space="0" w:color="auto"/>
              <w:right w:val="single" w:sz="4" w:space="0" w:color="auto"/>
            </w:tcBorders>
            <w:shd w:val="clear" w:color="auto" w:fill="auto"/>
            <w:vAlign w:val="center"/>
          </w:tcPr>
          <w:p w14:paraId="3E3EF64B"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 Polyclonal</w:t>
            </w:r>
          </w:p>
        </w:tc>
        <w:tc>
          <w:tcPr>
            <w:tcW w:w="0" w:type="auto"/>
            <w:vAlign w:val="center"/>
          </w:tcPr>
          <w:p w14:paraId="107B7816" w14:textId="77777777" w:rsidR="006D1356" w:rsidRPr="00D47C37" w:rsidRDefault="006D1356" w:rsidP="00512826">
            <w:pPr>
              <w:snapToGrid w:val="0"/>
              <w:rPr>
                <w:rFonts w:ascii="Arial" w:hAnsi="Arial" w:cs="Arial"/>
                <w:sz w:val="20"/>
                <w:szCs w:val="20"/>
                <w:highlight w:val="yellow"/>
                <w:lang w:val="en-US"/>
              </w:rPr>
            </w:pPr>
            <w:r w:rsidRPr="00D47C37">
              <w:rPr>
                <w:rFonts w:ascii="Arial" w:hAnsi="Arial" w:cs="Arial"/>
                <w:color w:val="000000"/>
                <w:sz w:val="20"/>
                <w:szCs w:val="20"/>
                <w:lang w:val="en-US"/>
              </w:rPr>
              <w:t>Autoclave citrate</w:t>
            </w:r>
          </w:p>
        </w:tc>
        <w:tc>
          <w:tcPr>
            <w:tcW w:w="0" w:type="auto"/>
            <w:shd w:val="clear" w:color="auto" w:fill="auto"/>
          </w:tcPr>
          <w:p w14:paraId="6BBA997D" w14:textId="77777777" w:rsidR="006D1356" w:rsidRPr="00D47C37" w:rsidRDefault="006D1356" w:rsidP="00512826">
            <w:pPr>
              <w:snapToGrid w:val="0"/>
              <w:rPr>
                <w:rFonts w:ascii="Arial" w:hAnsi="Arial" w:cs="Arial"/>
                <w:color w:val="000000" w:themeColor="text1"/>
                <w:sz w:val="20"/>
                <w:szCs w:val="20"/>
                <w:lang w:val="en-US"/>
              </w:rPr>
            </w:pPr>
            <w:r w:rsidRPr="00D47C37">
              <w:rPr>
                <w:rFonts w:ascii="Arial" w:hAnsi="Arial" w:cs="Arial"/>
                <w:color w:val="000000" w:themeColor="text1"/>
                <w:sz w:val="20"/>
                <w:szCs w:val="20"/>
                <w:lang w:val="en-US"/>
              </w:rPr>
              <w:t>RT 1h</w:t>
            </w:r>
          </w:p>
        </w:tc>
        <w:tc>
          <w:tcPr>
            <w:tcW w:w="1245" w:type="dxa"/>
            <w:tcBorders>
              <w:top w:val="single" w:sz="4" w:space="0" w:color="000000"/>
              <w:left w:val="single" w:sz="4" w:space="0" w:color="auto"/>
              <w:bottom w:val="single" w:sz="4" w:space="0" w:color="auto"/>
              <w:right w:val="single" w:sz="4" w:space="0" w:color="auto"/>
            </w:tcBorders>
            <w:shd w:val="clear" w:color="auto" w:fill="auto"/>
            <w:vAlign w:val="center"/>
          </w:tcPr>
          <w:p w14:paraId="709F44C5"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Breast carcinoma</w:t>
            </w:r>
          </w:p>
        </w:tc>
      </w:tr>
    </w:tbl>
    <w:p w14:paraId="081F465E" w14:textId="77777777" w:rsidR="00D47C37" w:rsidRPr="00D47C37" w:rsidRDefault="00484609" w:rsidP="00D47C37">
      <w:pPr>
        <w:pStyle w:val="Descripcin"/>
        <w:keepNext/>
        <w:spacing w:before="240" w:after="0" w:line="360" w:lineRule="auto"/>
        <w:rPr>
          <w:rFonts w:ascii="Arial" w:hAnsi="Arial" w:cs="Arial"/>
          <w:b/>
          <w:bCs/>
          <w:i w:val="0"/>
          <w:iCs w:val="0"/>
          <w:color w:val="auto"/>
          <w:sz w:val="24"/>
          <w:szCs w:val="24"/>
          <w:lang w:val="en-US"/>
        </w:rPr>
      </w:pPr>
      <w:r>
        <w:rPr>
          <w:rFonts w:ascii="Arial" w:hAnsi="Arial" w:cs="Arial"/>
          <w:b/>
          <w:bCs/>
          <w:i w:val="0"/>
          <w:iCs w:val="0"/>
          <w:color w:val="auto"/>
          <w:sz w:val="24"/>
          <w:szCs w:val="24"/>
          <w:lang w:val="en-US"/>
        </w:rPr>
        <w:t>Supplementary</w:t>
      </w:r>
      <w:r w:rsidRPr="00D47C37">
        <w:rPr>
          <w:rFonts w:ascii="Arial" w:hAnsi="Arial" w:cs="Arial"/>
          <w:b/>
          <w:bCs/>
          <w:i w:val="0"/>
          <w:iCs w:val="0"/>
          <w:color w:val="auto"/>
          <w:sz w:val="24"/>
          <w:szCs w:val="24"/>
          <w:lang w:val="en-US"/>
        </w:rPr>
        <w:t xml:space="preserve"> </w:t>
      </w:r>
      <w:r w:rsidR="00D47C37" w:rsidRPr="00D47C37">
        <w:rPr>
          <w:rFonts w:ascii="Arial" w:hAnsi="Arial" w:cs="Arial"/>
          <w:b/>
          <w:bCs/>
          <w:i w:val="0"/>
          <w:iCs w:val="0"/>
          <w:color w:val="auto"/>
          <w:sz w:val="24"/>
          <w:szCs w:val="24"/>
          <w:lang w:val="en-US"/>
        </w:rPr>
        <w:t xml:space="preserve">Table </w:t>
      </w:r>
      <w:r w:rsidR="00D47C37" w:rsidRPr="00D47C37">
        <w:rPr>
          <w:rFonts w:ascii="Arial" w:hAnsi="Arial" w:cs="Arial"/>
          <w:b/>
          <w:bCs/>
          <w:i w:val="0"/>
          <w:iCs w:val="0"/>
          <w:color w:val="auto"/>
          <w:sz w:val="24"/>
          <w:szCs w:val="24"/>
          <w:lang w:val="en-US"/>
        </w:rPr>
        <w:fldChar w:fldCharType="begin"/>
      </w:r>
      <w:r w:rsidR="00D47C37" w:rsidRPr="00D47C37">
        <w:rPr>
          <w:rFonts w:ascii="Arial" w:hAnsi="Arial" w:cs="Arial"/>
          <w:b/>
          <w:bCs/>
          <w:i w:val="0"/>
          <w:iCs w:val="0"/>
          <w:color w:val="auto"/>
          <w:sz w:val="24"/>
          <w:szCs w:val="24"/>
          <w:lang w:val="en-US"/>
        </w:rPr>
        <w:instrText xml:space="preserve"> SEQ Extended_data_Table \* ARABIC </w:instrText>
      </w:r>
      <w:r w:rsidR="00D47C37" w:rsidRPr="00D47C37">
        <w:rPr>
          <w:rFonts w:ascii="Arial" w:hAnsi="Arial" w:cs="Arial"/>
          <w:b/>
          <w:bCs/>
          <w:i w:val="0"/>
          <w:iCs w:val="0"/>
          <w:color w:val="auto"/>
          <w:sz w:val="24"/>
          <w:szCs w:val="24"/>
          <w:lang w:val="en-US"/>
        </w:rPr>
        <w:fldChar w:fldCharType="separate"/>
      </w:r>
      <w:r w:rsidR="00060E2D">
        <w:rPr>
          <w:rFonts w:ascii="Arial" w:hAnsi="Arial" w:cs="Arial"/>
          <w:b/>
          <w:bCs/>
          <w:i w:val="0"/>
          <w:iCs w:val="0"/>
          <w:noProof/>
          <w:color w:val="auto"/>
          <w:sz w:val="24"/>
          <w:szCs w:val="24"/>
          <w:lang w:val="en-US"/>
        </w:rPr>
        <w:t>3</w:t>
      </w:r>
      <w:r w:rsidR="00D47C37" w:rsidRPr="00D47C37">
        <w:rPr>
          <w:rFonts w:ascii="Arial" w:hAnsi="Arial" w:cs="Arial"/>
          <w:b/>
          <w:bCs/>
          <w:i w:val="0"/>
          <w:iCs w:val="0"/>
          <w:color w:val="auto"/>
          <w:sz w:val="24"/>
          <w:szCs w:val="24"/>
          <w:lang w:val="en-US"/>
        </w:rPr>
        <w:fldChar w:fldCharType="end"/>
      </w:r>
      <w:r w:rsidR="00D47C37" w:rsidRPr="00D47C37">
        <w:rPr>
          <w:rFonts w:ascii="Arial" w:hAnsi="Arial" w:cs="Arial"/>
          <w:b/>
          <w:bCs/>
          <w:i w:val="0"/>
          <w:iCs w:val="0"/>
          <w:color w:val="auto"/>
          <w:sz w:val="24"/>
          <w:szCs w:val="24"/>
          <w:lang w:val="en-US"/>
        </w:rPr>
        <w:t xml:space="preserve"> </w:t>
      </w:r>
      <w:r w:rsidR="00D47C37" w:rsidRPr="00D47C37">
        <w:rPr>
          <w:rFonts w:ascii="Arial" w:hAnsi="Arial" w:cs="Arial"/>
          <w:i w:val="0"/>
          <w:iCs w:val="0"/>
          <w:color w:val="auto"/>
          <w:sz w:val="24"/>
          <w:szCs w:val="24"/>
          <w:lang w:val="en-US"/>
        </w:rPr>
        <w:t xml:space="preserve">Pixel counting </w:t>
      </w:r>
      <w:proofErr w:type="spellStart"/>
      <w:r w:rsidR="00D47C37" w:rsidRPr="00D47C37">
        <w:rPr>
          <w:rFonts w:ascii="Arial" w:hAnsi="Arial" w:cs="Arial"/>
          <w:i w:val="0"/>
          <w:iCs w:val="0"/>
          <w:color w:val="auto"/>
          <w:sz w:val="24"/>
          <w:szCs w:val="24"/>
          <w:lang w:val="en-US"/>
        </w:rPr>
        <w:t>Qupath</w:t>
      </w:r>
      <w:proofErr w:type="spellEnd"/>
      <w:r w:rsidR="00D47C37" w:rsidRPr="00D47C37">
        <w:rPr>
          <w:rFonts w:ascii="Arial" w:hAnsi="Arial" w:cs="Arial"/>
          <w:i w:val="0"/>
          <w:iCs w:val="0"/>
          <w:color w:val="auto"/>
          <w:sz w:val="24"/>
          <w:szCs w:val="24"/>
          <w:lang w:val="en-US"/>
        </w:rPr>
        <w:t xml:space="preserve"> algorithms</w:t>
      </w:r>
    </w:p>
    <w:tbl>
      <w:tblPr>
        <w:tblStyle w:val="Tablaconcuadrcula"/>
        <w:tblW w:w="0" w:type="auto"/>
        <w:tblInd w:w="-5" w:type="dxa"/>
        <w:tblLook w:val="04A0" w:firstRow="1" w:lastRow="0" w:firstColumn="1" w:lastColumn="0" w:noHBand="0" w:noVBand="1"/>
      </w:tblPr>
      <w:tblGrid>
        <w:gridCol w:w="828"/>
        <w:gridCol w:w="1621"/>
        <w:gridCol w:w="1368"/>
        <w:gridCol w:w="1406"/>
        <w:gridCol w:w="1173"/>
      </w:tblGrid>
      <w:tr w:rsidR="006D1356" w:rsidRPr="00D47C37" w14:paraId="74A4882E" w14:textId="77777777" w:rsidTr="006D1356">
        <w:tc>
          <w:tcPr>
            <w:tcW w:w="0" w:type="auto"/>
            <w:shd w:val="clear" w:color="auto" w:fill="D8D7C2"/>
            <w:vAlign w:val="center"/>
          </w:tcPr>
          <w:p w14:paraId="32DB4064" w14:textId="77777777" w:rsidR="006D1356" w:rsidRPr="00D47C37" w:rsidRDefault="006D1356" w:rsidP="00512826">
            <w:pPr>
              <w:snapToGrid w:val="0"/>
              <w:rPr>
                <w:rFonts w:ascii="Arial" w:hAnsi="Arial" w:cs="Arial"/>
                <w:b/>
                <w:bCs/>
                <w:color w:val="000000"/>
                <w:sz w:val="20"/>
                <w:szCs w:val="20"/>
                <w:lang w:val="en-US"/>
              </w:rPr>
            </w:pPr>
            <w:r w:rsidRPr="00D47C37">
              <w:rPr>
                <w:rFonts w:ascii="Arial" w:hAnsi="Arial" w:cs="Arial"/>
                <w:b/>
                <w:bCs/>
                <w:color w:val="000000"/>
                <w:sz w:val="20"/>
                <w:szCs w:val="20"/>
                <w:lang w:val="en-US"/>
              </w:rPr>
              <w:t>Target</w:t>
            </w:r>
          </w:p>
        </w:tc>
        <w:tc>
          <w:tcPr>
            <w:tcW w:w="1621" w:type="dxa"/>
            <w:shd w:val="clear" w:color="auto" w:fill="D8D7C2"/>
            <w:vAlign w:val="center"/>
          </w:tcPr>
          <w:p w14:paraId="204217AB" w14:textId="77777777" w:rsidR="006D1356" w:rsidRPr="00D47C37" w:rsidRDefault="006D1356" w:rsidP="00512826">
            <w:pPr>
              <w:snapToGrid w:val="0"/>
              <w:rPr>
                <w:rFonts w:ascii="Arial" w:hAnsi="Arial" w:cs="Arial"/>
                <w:b/>
                <w:bCs/>
                <w:color w:val="000000"/>
                <w:sz w:val="20"/>
                <w:szCs w:val="20"/>
                <w:lang w:val="en-US"/>
              </w:rPr>
            </w:pPr>
            <w:proofErr w:type="spellStart"/>
            <w:r w:rsidRPr="00D47C37">
              <w:rPr>
                <w:rFonts w:ascii="Arial" w:hAnsi="Arial" w:cs="Arial"/>
                <w:b/>
                <w:bCs/>
                <w:color w:val="000000"/>
                <w:sz w:val="20"/>
                <w:szCs w:val="20"/>
                <w:lang w:val="en-US"/>
              </w:rPr>
              <w:t>Downsample</w:t>
            </w:r>
            <w:proofErr w:type="spellEnd"/>
            <w:r w:rsidRPr="00D47C37">
              <w:rPr>
                <w:rFonts w:ascii="Arial" w:hAnsi="Arial" w:cs="Arial"/>
                <w:b/>
                <w:bCs/>
                <w:color w:val="000000"/>
                <w:sz w:val="20"/>
                <w:szCs w:val="20"/>
                <w:lang w:val="en-US"/>
              </w:rPr>
              <w:t xml:space="preserve"> factor</w:t>
            </w:r>
          </w:p>
        </w:tc>
        <w:tc>
          <w:tcPr>
            <w:tcW w:w="1368" w:type="dxa"/>
            <w:shd w:val="clear" w:color="auto" w:fill="D8D7C2"/>
            <w:vAlign w:val="center"/>
          </w:tcPr>
          <w:p w14:paraId="2292BEB5" w14:textId="77777777" w:rsidR="006D1356" w:rsidRPr="00D47C37" w:rsidRDefault="006D1356" w:rsidP="00512826">
            <w:pPr>
              <w:snapToGrid w:val="0"/>
              <w:rPr>
                <w:rFonts w:ascii="Arial" w:hAnsi="Arial" w:cs="Arial"/>
                <w:b/>
                <w:bCs/>
                <w:color w:val="000000"/>
                <w:sz w:val="20"/>
                <w:szCs w:val="20"/>
                <w:lang w:val="en-US"/>
              </w:rPr>
            </w:pPr>
            <w:r w:rsidRPr="00D47C37">
              <w:rPr>
                <w:rFonts w:ascii="Arial" w:hAnsi="Arial" w:cs="Arial"/>
                <w:b/>
                <w:bCs/>
                <w:color w:val="000000"/>
                <w:sz w:val="20"/>
                <w:szCs w:val="20"/>
                <w:lang w:val="en-US"/>
              </w:rPr>
              <w:t>Gaussian sigma (</w:t>
            </w:r>
            <w:r w:rsidRPr="00D47C37">
              <w:rPr>
                <w:rFonts w:ascii="Arial" w:hAnsi="Arial" w:cs="Arial"/>
                <w:b/>
                <w:bCs/>
                <w:color w:val="000000"/>
                <w:sz w:val="20"/>
                <w:szCs w:val="20"/>
                <w:lang w:val="en-US"/>
              </w:rPr>
              <w:sym w:font="Symbol" w:char="F06D"/>
            </w:r>
            <w:r w:rsidRPr="00D47C37">
              <w:rPr>
                <w:rFonts w:ascii="Arial" w:hAnsi="Arial" w:cs="Arial"/>
                <w:b/>
                <w:bCs/>
                <w:color w:val="000000"/>
                <w:sz w:val="20"/>
                <w:szCs w:val="20"/>
                <w:lang w:val="en-US"/>
              </w:rPr>
              <w:t>m)</w:t>
            </w:r>
          </w:p>
        </w:tc>
        <w:tc>
          <w:tcPr>
            <w:tcW w:w="1406" w:type="dxa"/>
            <w:shd w:val="clear" w:color="auto" w:fill="D8D7C2"/>
            <w:vAlign w:val="center"/>
          </w:tcPr>
          <w:p w14:paraId="72AAF972" w14:textId="77777777" w:rsidR="006D1356" w:rsidRPr="00D47C37" w:rsidRDefault="006D1356" w:rsidP="00512826">
            <w:pPr>
              <w:snapToGrid w:val="0"/>
              <w:rPr>
                <w:rFonts w:ascii="Arial" w:hAnsi="Arial" w:cs="Arial"/>
                <w:b/>
                <w:bCs/>
                <w:color w:val="000000"/>
                <w:sz w:val="20"/>
                <w:szCs w:val="20"/>
                <w:lang w:val="en-US"/>
              </w:rPr>
            </w:pPr>
            <w:r w:rsidRPr="00D47C37">
              <w:rPr>
                <w:rFonts w:ascii="Arial" w:hAnsi="Arial" w:cs="Arial"/>
                <w:b/>
                <w:bCs/>
                <w:color w:val="000000"/>
                <w:sz w:val="20"/>
                <w:szCs w:val="20"/>
                <w:lang w:val="en-US"/>
              </w:rPr>
              <w:t>Hematoxylin threshold (OD units)</w:t>
            </w:r>
          </w:p>
        </w:tc>
        <w:tc>
          <w:tcPr>
            <w:tcW w:w="1173" w:type="dxa"/>
            <w:shd w:val="clear" w:color="auto" w:fill="D8D7C2"/>
            <w:vAlign w:val="center"/>
          </w:tcPr>
          <w:p w14:paraId="2430867F" w14:textId="77777777" w:rsidR="006D1356" w:rsidRPr="00D47C37" w:rsidRDefault="006D1356" w:rsidP="00512826">
            <w:pPr>
              <w:snapToGrid w:val="0"/>
              <w:rPr>
                <w:rFonts w:ascii="Arial" w:hAnsi="Arial" w:cs="Arial"/>
                <w:b/>
                <w:bCs/>
                <w:color w:val="000000"/>
                <w:sz w:val="20"/>
                <w:szCs w:val="20"/>
                <w:lang w:val="en-US"/>
              </w:rPr>
            </w:pPr>
            <w:r w:rsidRPr="00D47C37">
              <w:rPr>
                <w:rFonts w:ascii="Arial" w:hAnsi="Arial" w:cs="Arial"/>
                <w:b/>
                <w:bCs/>
                <w:color w:val="000000"/>
                <w:sz w:val="20"/>
                <w:szCs w:val="20"/>
                <w:lang w:val="en-US"/>
              </w:rPr>
              <w:t>DAB threshold (OD units)</w:t>
            </w:r>
          </w:p>
        </w:tc>
      </w:tr>
      <w:tr w:rsidR="006D1356" w:rsidRPr="00D47C37" w14:paraId="49542799" w14:textId="77777777" w:rsidTr="006D1356">
        <w:trPr>
          <w:trHeight w:val="414"/>
        </w:trPr>
        <w:tc>
          <w:tcPr>
            <w:tcW w:w="0" w:type="auto"/>
            <w:shd w:val="clear" w:color="auto" w:fill="auto"/>
            <w:vAlign w:val="center"/>
          </w:tcPr>
          <w:p w14:paraId="670948F1" w14:textId="77777777" w:rsidR="006D1356" w:rsidRPr="00D47C37" w:rsidRDefault="006D1356" w:rsidP="00512826">
            <w:pPr>
              <w:snapToGrid w:val="0"/>
              <w:rPr>
                <w:rFonts w:ascii="Arial" w:hAnsi="Arial" w:cs="Arial"/>
                <w:color w:val="000000" w:themeColor="text1"/>
                <w:sz w:val="20"/>
                <w:szCs w:val="20"/>
                <w:lang w:val="en-US"/>
              </w:rPr>
            </w:pPr>
            <w:r w:rsidRPr="00D47C37">
              <w:rPr>
                <w:rFonts w:ascii="Arial" w:hAnsi="Arial" w:cs="Arial"/>
                <w:color w:val="000000" w:themeColor="text1"/>
                <w:sz w:val="20"/>
                <w:szCs w:val="20"/>
                <w:lang w:val="en-US"/>
              </w:rPr>
              <w:t>Iba1</w:t>
            </w:r>
          </w:p>
        </w:tc>
        <w:tc>
          <w:tcPr>
            <w:tcW w:w="1621" w:type="dxa"/>
            <w:shd w:val="clear" w:color="auto" w:fill="auto"/>
            <w:vAlign w:val="center"/>
          </w:tcPr>
          <w:p w14:paraId="6A402588"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1.0</w:t>
            </w:r>
          </w:p>
        </w:tc>
        <w:tc>
          <w:tcPr>
            <w:tcW w:w="1368" w:type="dxa"/>
            <w:tcBorders>
              <w:top w:val="single" w:sz="4" w:space="0" w:color="auto"/>
              <w:left w:val="single" w:sz="4" w:space="0" w:color="auto"/>
              <w:bottom w:val="single" w:sz="4" w:space="0" w:color="auto"/>
              <w:right w:val="single" w:sz="4" w:space="0" w:color="auto"/>
            </w:tcBorders>
            <w:shd w:val="clear" w:color="auto" w:fill="auto"/>
            <w:vAlign w:val="center"/>
          </w:tcPr>
          <w:p w14:paraId="39ECC665"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2</w:t>
            </w: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tcPr>
          <w:p w14:paraId="4B83F16C"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0.12</w:t>
            </w:r>
          </w:p>
        </w:tc>
        <w:tc>
          <w:tcPr>
            <w:tcW w:w="1173" w:type="dxa"/>
            <w:vAlign w:val="center"/>
          </w:tcPr>
          <w:p w14:paraId="1FD1A92F"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0.18</w:t>
            </w:r>
          </w:p>
        </w:tc>
      </w:tr>
      <w:tr w:rsidR="006D1356" w:rsidRPr="00D47C37" w14:paraId="7C8E995A" w14:textId="77777777" w:rsidTr="006D1356">
        <w:trPr>
          <w:trHeight w:val="414"/>
        </w:trPr>
        <w:tc>
          <w:tcPr>
            <w:tcW w:w="0" w:type="auto"/>
            <w:shd w:val="clear" w:color="auto" w:fill="auto"/>
            <w:vAlign w:val="center"/>
          </w:tcPr>
          <w:p w14:paraId="3C7FE2E9" w14:textId="77777777" w:rsidR="006D1356" w:rsidRPr="00D47C37" w:rsidRDefault="006D1356" w:rsidP="00512826">
            <w:pPr>
              <w:snapToGrid w:val="0"/>
              <w:rPr>
                <w:rFonts w:ascii="Arial" w:hAnsi="Arial" w:cs="Arial"/>
                <w:color w:val="000000" w:themeColor="text1"/>
                <w:sz w:val="20"/>
                <w:szCs w:val="20"/>
                <w:lang w:val="en-US"/>
              </w:rPr>
            </w:pPr>
            <w:r w:rsidRPr="00D47C37">
              <w:rPr>
                <w:rFonts w:ascii="Arial" w:hAnsi="Arial" w:cs="Arial"/>
                <w:color w:val="000000" w:themeColor="text1"/>
                <w:sz w:val="20"/>
                <w:szCs w:val="20"/>
                <w:lang w:val="en-US"/>
              </w:rPr>
              <w:t>GFAP</w:t>
            </w:r>
          </w:p>
        </w:tc>
        <w:tc>
          <w:tcPr>
            <w:tcW w:w="1621" w:type="dxa"/>
            <w:shd w:val="clear" w:color="auto" w:fill="auto"/>
            <w:vAlign w:val="center"/>
          </w:tcPr>
          <w:p w14:paraId="1130E5AE" w14:textId="77777777" w:rsidR="006D1356" w:rsidRPr="00D47C37" w:rsidRDefault="006D1356" w:rsidP="00512826">
            <w:pPr>
              <w:snapToGrid w:val="0"/>
              <w:rPr>
                <w:rFonts w:ascii="Arial" w:hAnsi="Arial" w:cs="Arial"/>
                <w:color w:val="000000" w:themeColor="text1"/>
                <w:sz w:val="20"/>
                <w:szCs w:val="20"/>
                <w:lang w:val="en-US"/>
              </w:rPr>
            </w:pPr>
            <w:r w:rsidRPr="00D47C37">
              <w:rPr>
                <w:rFonts w:ascii="Arial" w:hAnsi="Arial" w:cs="Arial"/>
                <w:color w:val="000000" w:themeColor="text1"/>
                <w:sz w:val="20"/>
                <w:szCs w:val="20"/>
                <w:lang w:val="en-US"/>
              </w:rPr>
              <w:t>1.0</w:t>
            </w:r>
          </w:p>
        </w:tc>
        <w:tc>
          <w:tcPr>
            <w:tcW w:w="1368" w:type="dxa"/>
            <w:tcBorders>
              <w:top w:val="nil"/>
              <w:left w:val="single" w:sz="4" w:space="0" w:color="auto"/>
              <w:bottom w:val="single" w:sz="4" w:space="0" w:color="auto"/>
              <w:right w:val="single" w:sz="4" w:space="0" w:color="auto"/>
            </w:tcBorders>
            <w:shd w:val="clear" w:color="auto" w:fill="auto"/>
            <w:vAlign w:val="center"/>
          </w:tcPr>
          <w:p w14:paraId="1BE8004E"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2</w:t>
            </w:r>
          </w:p>
        </w:tc>
        <w:tc>
          <w:tcPr>
            <w:tcW w:w="1406" w:type="dxa"/>
            <w:tcBorders>
              <w:top w:val="nil"/>
              <w:left w:val="single" w:sz="4" w:space="0" w:color="auto"/>
              <w:bottom w:val="single" w:sz="4" w:space="0" w:color="auto"/>
              <w:right w:val="single" w:sz="4" w:space="0" w:color="auto"/>
            </w:tcBorders>
            <w:shd w:val="clear" w:color="auto" w:fill="auto"/>
            <w:vAlign w:val="center"/>
          </w:tcPr>
          <w:p w14:paraId="2E607DBD"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0.15</w:t>
            </w:r>
          </w:p>
        </w:tc>
        <w:tc>
          <w:tcPr>
            <w:tcW w:w="1173" w:type="dxa"/>
            <w:vAlign w:val="center"/>
          </w:tcPr>
          <w:p w14:paraId="46C4877D"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0.2</w:t>
            </w:r>
          </w:p>
        </w:tc>
      </w:tr>
      <w:tr w:rsidR="006D1356" w:rsidRPr="00D47C37" w14:paraId="3DBFA049" w14:textId="77777777" w:rsidTr="006D1356">
        <w:trPr>
          <w:trHeight w:val="414"/>
        </w:trPr>
        <w:tc>
          <w:tcPr>
            <w:tcW w:w="0" w:type="auto"/>
            <w:shd w:val="clear" w:color="auto" w:fill="auto"/>
            <w:vAlign w:val="center"/>
          </w:tcPr>
          <w:p w14:paraId="059E14D3" w14:textId="77777777" w:rsidR="006D1356" w:rsidRPr="00D47C37" w:rsidRDefault="006D1356" w:rsidP="00512826">
            <w:pPr>
              <w:snapToGrid w:val="0"/>
              <w:rPr>
                <w:rFonts w:ascii="Arial" w:hAnsi="Arial" w:cs="Arial"/>
                <w:color w:val="000000" w:themeColor="text1"/>
                <w:sz w:val="20"/>
                <w:szCs w:val="20"/>
                <w:lang w:val="en-US"/>
              </w:rPr>
            </w:pPr>
            <w:r w:rsidRPr="00D47C37">
              <w:rPr>
                <w:rFonts w:ascii="Arial" w:hAnsi="Arial" w:cs="Arial"/>
                <w:color w:val="000000" w:themeColor="text1"/>
                <w:sz w:val="20"/>
                <w:szCs w:val="20"/>
                <w:lang w:val="en-US"/>
              </w:rPr>
              <w:t>CD68</w:t>
            </w:r>
          </w:p>
        </w:tc>
        <w:tc>
          <w:tcPr>
            <w:tcW w:w="1621" w:type="dxa"/>
            <w:shd w:val="clear" w:color="auto" w:fill="auto"/>
            <w:vAlign w:val="center"/>
          </w:tcPr>
          <w:p w14:paraId="1C91912F" w14:textId="77777777" w:rsidR="006D1356" w:rsidRPr="00D47C37" w:rsidRDefault="006D1356" w:rsidP="00512826">
            <w:pPr>
              <w:snapToGrid w:val="0"/>
              <w:rPr>
                <w:rFonts w:ascii="Arial" w:hAnsi="Arial" w:cs="Arial"/>
                <w:color w:val="000000" w:themeColor="text1"/>
                <w:sz w:val="20"/>
                <w:szCs w:val="20"/>
                <w:lang w:val="en-US"/>
              </w:rPr>
            </w:pPr>
            <w:r w:rsidRPr="00D47C37">
              <w:rPr>
                <w:rFonts w:ascii="Arial" w:hAnsi="Arial" w:cs="Arial"/>
                <w:color w:val="000000" w:themeColor="text1"/>
                <w:sz w:val="20"/>
                <w:szCs w:val="20"/>
                <w:lang w:val="en-US"/>
              </w:rPr>
              <w:t>1.0</w:t>
            </w:r>
          </w:p>
        </w:tc>
        <w:tc>
          <w:tcPr>
            <w:tcW w:w="1368" w:type="dxa"/>
            <w:tcBorders>
              <w:top w:val="nil"/>
              <w:left w:val="single" w:sz="4" w:space="0" w:color="auto"/>
              <w:bottom w:val="single" w:sz="4" w:space="0" w:color="auto"/>
              <w:right w:val="single" w:sz="4" w:space="0" w:color="auto"/>
            </w:tcBorders>
            <w:shd w:val="clear" w:color="auto" w:fill="auto"/>
            <w:vAlign w:val="center"/>
          </w:tcPr>
          <w:p w14:paraId="177B8A33"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2</w:t>
            </w:r>
          </w:p>
        </w:tc>
        <w:tc>
          <w:tcPr>
            <w:tcW w:w="1406" w:type="dxa"/>
            <w:tcBorders>
              <w:top w:val="nil"/>
              <w:left w:val="single" w:sz="4" w:space="0" w:color="auto"/>
              <w:bottom w:val="single" w:sz="4" w:space="0" w:color="auto"/>
              <w:right w:val="single" w:sz="4" w:space="0" w:color="auto"/>
            </w:tcBorders>
            <w:shd w:val="clear" w:color="auto" w:fill="auto"/>
            <w:vAlign w:val="center"/>
          </w:tcPr>
          <w:p w14:paraId="79717CFF"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0.17</w:t>
            </w:r>
          </w:p>
        </w:tc>
        <w:tc>
          <w:tcPr>
            <w:tcW w:w="1173" w:type="dxa"/>
            <w:vAlign w:val="center"/>
          </w:tcPr>
          <w:p w14:paraId="11D544DD" w14:textId="77777777" w:rsidR="006D1356" w:rsidRPr="00D47C37" w:rsidRDefault="006D1356" w:rsidP="00512826">
            <w:pPr>
              <w:snapToGrid w:val="0"/>
              <w:rPr>
                <w:rFonts w:ascii="Arial" w:hAnsi="Arial" w:cs="Arial"/>
                <w:sz w:val="20"/>
                <w:szCs w:val="20"/>
                <w:lang w:val="en-US"/>
              </w:rPr>
            </w:pPr>
            <w:r w:rsidRPr="00D47C37">
              <w:rPr>
                <w:rFonts w:ascii="Arial" w:hAnsi="Arial" w:cs="Arial"/>
                <w:sz w:val="20"/>
                <w:szCs w:val="20"/>
                <w:lang w:val="en-US"/>
              </w:rPr>
              <w:t>0.16</w:t>
            </w:r>
          </w:p>
        </w:tc>
      </w:tr>
    </w:tbl>
    <w:p w14:paraId="7B74EDBA" w14:textId="77777777" w:rsidR="00106649" w:rsidRDefault="00106649">
      <w:pPr>
        <w:rPr>
          <w:lang w:val="en-US"/>
        </w:rPr>
      </w:pPr>
    </w:p>
    <w:p w14:paraId="4FD0F746" w14:textId="77777777" w:rsidR="007055AD" w:rsidRPr="007055AD" w:rsidRDefault="007055AD" w:rsidP="007055AD">
      <w:pPr>
        <w:pStyle w:val="Descripcin"/>
        <w:keepNext/>
        <w:jc w:val="left"/>
        <w:rPr>
          <w:rFonts w:ascii="Arial" w:hAnsi="Arial" w:cs="Arial"/>
          <w:b/>
          <w:bCs/>
          <w:i w:val="0"/>
          <w:iCs w:val="0"/>
          <w:color w:val="auto"/>
          <w:sz w:val="24"/>
          <w:szCs w:val="24"/>
          <w:lang w:val="en-US"/>
        </w:rPr>
      </w:pPr>
      <w:r w:rsidRPr="007055AD">
        <w:rPr>
          <w:rFonts w:ascii="Arial" w:hAnsi="Arial" w:cs="Arial"/>
          <w:b/>
          <w:bCs/>
          <w:i w:val="0"/>
          <w:iCs w:val="0"/>
          <w:color w:val="auto"/>
          <w:sz w:val="24"/>
          <w:szCs w:val="24"/>
          <w:lang w:val="en-US"/>
        </w:rPr>
        <w:lastRenderedPageBreak/>
        <w:t xml:space="preserve">Supplementary Figure </w:t>
      </w:r>
      <w:r w:rsidRPr="007055AD">
        <w:rPr>
          <w:rFonts w:ascii="Arial" w:hAnsi="Arial" w:cs="Arial"/>
          <w:b/>
          <w:bCs/>
          <w:i w:val="0"/>
          <w:iCs w:val="0"/>
          <w:color w:val="auto"/>
          <w:sz w:val="24"/>
          <w:szCs w:val="24"/>
          <w:lang w:val="en-US"/>
        </w:rPr>
        <w:fldChar w:fldCharType="begin"/>
      </w:r>
      <w:r w:rsidRPr="007055AD">
        <w:rPr>
          <w:rFonts w:ascii="Arial" w:hAnsi="Arial" w:cs="Arial"/>
          <w:b/>
          <w:bCs/>
          <w:i w:val="0"/>
          <w:iCs w:val="0"/>
          <w:color w:val="auto"/>
          <w:sz w:val="24"/>
          <w:szCs w:val="24"/>
          <w:lang w:val="en-US"/>
        </w:rPr>
        <w:instrText xml:space="preserve"> SEQ Supplementary_Figure \* ARABIC </w:instrText>
      </w:r>
      <w:r w:rsidRPr="007055AD">
        <w:rPr>
          <w:rFonts w:ascii="Arial" w:hAnsi="Arial" w:cs="Arial"/>
          <w:b/>
          <w:bCs/>
          <w:i w:val="0"/>
          <w:iCs w:val="0"/>
          <w:color w:val="auto"/>
          <w:sz w:val="24"/>
          <w:szCs w:val="24"/>
          <w:lang w:val="en-US"/>
        </w:rPr>
        <w:fldChar w:fldCharType="separate"/>
      </w:r>
      <w:r w:rsidR="00060E2D">
        <w:rPr>
          <w:rFonts w:ascii="Arial" w:hAnsi="Arial" w:cs="Arial"/>
          <w:b/>
          <w:bCs/>
          <w:i w:val="0"/>
          <w:iCs w:val="0"/>
          <w:noProof/>
          <w:color w:val="auto"/>
          <w:sz w:val="24"/>
          <w:szCs w:val="24"/>
          <w:lang w:val="en-US"/>
        </w:rPr>
        <w:t>1</w:t>
      </w:r>
      <w:r w:rsidRPr="007055AD">
        <w:rPr>
          <w:rFonts w:ascii="Arial" w:hAnsi="Arial" w:cs="Arial"/>
          <w:b/>
          <w:bCs/>
          <w:i w:val="0"/>
          <w:iCs w:val="0"/>
          <w:color w:val="auto"/>
          <w:sz w:val="24"/>
          <w:szCs w:val="24"/>
          <w:lang w:val="en-US"/>
        </w:rPr>
        <w:fldChar w:fldCharType="end"/>
      </w:r>
      <w:r>
        <w:rPr>
          <w:rFonts w:ascii="Arial" w:hAnsi="Arial" w:cs="Arial"/>
          <w:b/>
          <w:bCs/>
          <w:i w:val="0"/>
          <w:iCs w:val="0"/>
          <w:color w:val="auto"/>
          <w:sz w:val="24"/>
          <w:szCs w:val="24"/>
          <w:lang w:val="en-US"/>
        </w:rPr>
        <w:t xml:space="preserve"> </w:t>
      </w:r>
      <w:r w:rsidRPr="007055AD">
        <w:rPr>
          <w:rFonts w:ascii="Arial" w:hAnsi="Arial" w:cs="Arial"/>
          <w:i w:val="0"/>
          <w:iCs w:val="0"/>
          <w:color w:val="auto"/>
          <w:sz w:val="24"/>
          <w:szCs w:val="24"/>
          <w:lang w:val="en-US"/>
        </w:rPr>
        <w:t>TSC1 semi</w:t>
      </w:r>
      <w:r>
        <w:rPr>
          <w:rFonts w:ascii="Arial" w:hAnsi="Arial" w:cs="Arial"/>
          <w:i w:val="0"/>
          <w:iCs w:val="0"/>
          <w:color w:val="auto"/>
          <w:sz w:val="24"/>
          <w:szCs w:val="24"/>
          <w:lang w:val="en-US"/>
        </w:rPr>
        <w:t>-</w:t>
      </w:r>
      <w:r w:rsidRPr="007055AD">
        <w:rPr>
          <w:rFonts w:ascii="Arial" w:hAnsi="Arial" w:cs="Arial"/>
          <w:i w:val="0"/>
          <w:iCs w:val="0"/>
          <w:color w:val="auto"/>
          <w:sz w:val="24"/>
          <w:szCs w:val="24"/>
          <w:lang w:val="en-US"/>
        </w:rPr>
        <w:t>quantitative scale per region of interest</w:t>
      </w:r>
    </w:p>
    <w:p w14:paraId="1EAB1844" w14:textId="77777777" w:rsidR="007055AD" w:rsidRDefault="007055AD">
      <w:pPr>
        <w:rPr>
          <w:lang w:val="en-US"/>
        </w:rPr>
      </w:pPr>
      <w:r w:rsidRPr="007055AD">
        <w:rPr>
          <w:noProof/>
          <w:lang w:val="en-US"/>
        </w:rPr>
        <w:drawing>
          <wp:inline distT="0" distB="0" distL="0" distR="0" wp14:anchorId="7AB0896C" wp14:editId="6194E167">
            <wp:extent cx="5396230" cy="6989445"/>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396230" cy="6989445"/>
                    </a:xfrm>
                    <a:prstGeom prst="rect">
                      <a:avLst/>
                    </a:prstGeom>
                  </pic:spPr>
                </pic:pic>
              </a:graphicData>
            </a:graphic>
          </wp:inline>
        </w:drawing>
      </w:r>
    </w:p>
    <w:p w14:paraId="24CEA865" w14:textId="77777777" w:rsidR="007055AD" w:rsidRDefault="007055AD">
      <w:pPr>
        <w:rPr>
          <w:lang w:val="en-US"/>
        </w:rPr>
      </w:pPr>
      <w:r>
        <w:rPr>
          <w:lang w:val="en-US"/>
        </w:rPr>
        <w:br w:type="page"/>
      </w:r>
    </w:p>
    <w:p w14:paraId="271EED4E" w14:textId="77777777" w:rsidR="007055AD" w:rsidRPr="007055AD" w:rsidRDefault="007055AD" w:rsidP="007055AD">
      <w:pPr>
        <w:pStyle w:val="Descripcin"/>
        <w:keepNext/>
        <w:jc w:val="left"/>
        <w:rPr>
          <w:rFonts w:ascii="Arial" w:hAnsi="Arial" w:cs="Arial"/>
          <w:b/>
          <w:bCs/>
          <w:i w:val="0"/>
          <w:iCs w:val="0"/>
          <w:color w:val="auto"/>
          <w:sz w:val="24"/>
          <w:szCs w:val="24"/>
          <w:lang w:val="en-US"/>
        </w:rPr>
      </w:pPr>
      <w:r w:rsidRPr="007055AD">
        <w:rPr>
          <w:rFonts w:ascii="Arial" w:hAnsi="Arial" w:cs="Arial"/>
          <w:b/>
          <w:bCs/>
          <w:i w:val="0"/>
          <w:iCs w:val="0"/>
          <w:color w:val="auto"/>
          <w:sz w:val="24"/>
          <w:szCs w:val="24"/>
          <w:lang w:val="en-US"/>
        </w:rPr>
        <w:lastRenderedPageBreak/>
        <w:t xml:space="preserve">Supplementary Figure </w:t>
      </w:r>
      <w:r w:rsidRPr="007055AD">
        <w:rPr>
          <w:rFonts w:ascii="Arial" w:hAnsi="Arial" w:cs="Arial"/>
          <w:b/>
          <w:bCs/>
          <w:i w:val="0"/>
          <w:iCs w:val="0"/>
          <w:color w:val="auto"/>
          <w:sz w:val="24"/>
          <w:szCs w:val="24"/>
        </w:rPr>
        <w:fldChar w:fldCharType="begin"/>
      </w:r>
      <w:r w:rsidRPr="007055AD">
        <w:rPr>
          <w:rFonts w:ascii="Arial" w:hAnsi="Arial" w:cs="Arial"/>
          <w:b/>
          <w:bCs/>
          <w:i w:val="0"/>
          <w:iCs w:val="0"/>
          <w:color w:val="auto"/>
          <w:sz w:val="24"/>
          <w:szCs w:val="24"/>
          <w:lang w:val="en-US"/>
        </w:rPr>
        <w:instrText xml:space="preserve"> SEQ Supplementary_Figure \* ARABIC </w:instrText>
      </w:r>
      <w:r w:rsidRPr="007055AD">
        <w:rPr>
          <w:rFonts w:ascii="Arial" w:hAnsi="Arial" w:cs="Arial"/>
          <w:b/>
          <w:bCs/>
          <w:i w:val="0"/>
          <w:iCs w:val="0"/>
          <w:color w:val="auto"/>
          <w:sz w:val="24"/>
          <w:szCs w:val="24"/>
        </w:rPr>
        <w:fldChar w:fldCharType="separate"/>
      </w:r>
      <w:r w:rsidR="00060E2D">
        <w:rPr>
          <w:rFonts w:ascii="Arial" w:hAnsi="Arial" w:cs="Arial"/>
          <w:b/>
          <w:bCs/>
          <w:i w:val="0"/>
          <w:iCs w:val="0"/>
          <w:noProof/>
          <w:color w:val="auto"/>
          <w:sz w:val="24"/>
          <w:szCs w:val="24"/>
          <w:lang w:val="en-US"/>
        </w:rPr>
        <w:t>2</w:t>
      </w:r>
      <w:r w:rsidRPr="007055AD">
        <w:rPr>
          <w:rFonts w:ascii="Arial" w:hAnsi="Arial" w:cs="Arial"/>
          <w:b/>
          <w:bCs/>
          <w:i w:val="0"/>
          <w:iCs w:val="0"/>
          <w:color w:val="auto"/>
          <w:sz w:val="24"/>
          <w:szCs w:val="24"/>
        </w:rPr>
        <w:fldChar w:fldCharType="end"/>
      </w:r>
      <w:r w:rsidRPr="007055AD">
        <w:rPr>
          <w:rFonts w:ascii="Arial" w:hAnsi="Arial" w:cs="Arial"/>
          <w:b/>
          <w:bCs/>
          <w:i w:val="0"/>
          <w:iCs w:val="0"/>
          <w:color w:val="auto"/>
          <w:sz w:val="24"/>
          <w:szCs w:val="24"/>
          <w:lang w:val="en-US"/>
        </w:rPr>
        <w:t xml:space="preserve"> </w:t>
      </w:r>
      <w:r w:rsidRPr="007055AD">
        <w:rPr>
          <w:rFonts w:ascii="Arial" w:hAnsi="Arial" w:cs="Arial"/>
          <w:i w:val="0"/>
          <w:iCs w:val="0"/>
          <w:color w:val="auto"/>
          <w:sz w:val="24"/>
          <w:szCs w:val="24"/>
          <w:lang w:val="en-US"/>
        </w:rPr>
        <w:t>TSC</w:t>
      </w:r>
      <w:r>
        <w:rPr>
          <w:rFonts w:ascii="Arial" w:hAnsi="Arial" w:cs="Arial"/>
          <w:i w:val="0"/>
          <w:iCs w:val="0"/>
          <w:color w:val="auto"/>
          <w:sz w:val="24"/>
          <w:szCs w:val="24"/>
          <w:lang w:val="en-US"/>
        </w:rPr>
        <w:t>2</w:t>
      </w:r>
      <w:r w:rsidRPr="007055AD">
        <w:rPr>
          <w:rFonts w:ascii="Arial" w:hAnsi="Arial" w:cs="Arial"/>
          <w:i w:val="0"/>
          <w:iCs w:val="0"/>
          <w:color w:val="auto"/>
          <w:sz w:val="24"/>
          <w:szCs w:val="24"/>
          <w:lang w:val="en-US"/>
        </w:rPr>
        <w:t xml:space="preserve"> semi</w:t>
      </w:r>
      <w:r>
        <w:rPr>
          <w:rFonts w:ascii="Arial" w:hAnsi="Arial" w:cs="Arial"/>
          <w:i w:val="0"/>
          <w:iCs w:val="0"/>
          <w:color w:val="auto"/>
          <w:sz w:val="24"/>
          <w:szCs w:val="24"/>
          <w:lang w:val="en-US"/>
        </w:rPr>
        <w:t>-</w:t>
      </w:r>
      <w:r w:rsidRPr="007055AD">
        <w:rPr>
          <w:rFonts w:ascii="Arial" w:hAnsi="Arial" w:cs="Arial"/>
          <w:i w:val="0"/>
          <w:iCs w:val="0"/>
          <w:color w:val="auto"/>
          <w:sz w:val="24"/>
          <w:szCs w:val="24"/>
          <w:lang w:val="en-US"/>
        </w:rPr>
        <w:t>quantitative scale per region of interest</w:t>
      </w:r>
    </w:p>
    <w:p w14:paraId="68828F2B" w14:textId="77777777" w:rsidR="007055AD" w:rsidRDefault="007055AD">
      <w:pPr>
        <w:rPr>
          <w:lang w:val="en-US"/>
        </w:rPr>
      </w:pPr>
      <w:r w:rsidRPr="007055AD">
        <w:rPr>
          <w:noProof/>
          <w:lang w:val="en-US"/>
        </w:rPr>
        <w:drawing>
          <wp:inline distT="0" distB="0" distL="0" distR="0" wp14:anchorId="27981F49" wp14:editId="11F4F875">
            <wp:extent cx="5396230" cy="6787515"/>
            <wp:effectExtent l="0" t="0" r="127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396230" cy="6787515"/>
                    </a:xfrm>
                    <a:prstGeom prst="rect">
                      <a:avLst/>
                    </a:prstGeom>
                  </pic:spPr>
                </pic:pic>
              </a:graphicData>
            </a:graphic>
          </wp:inline>
        </w:drawing>
      </w:r>
    </w:p>
    <w:p w14:paraId="73BB498C" w14:textId="77777777" w:rsidR="007055AD" w:rsidRDefault="007055AD">
      <w:pPr>
        <w:rPr>
          <w:lang w:val="en-US"/>
        </w:rPr>
      </w:pPr>
      <w:r>
        <w:rPr>
          <w:lang w:val="en-US"/>
        </w:rPr>
        <w:br w:type="page"/>
      </w:r>
    </w:p>
    <w:p w14:paraId="73017365" w14:textId="77777777" w:rsidR="007055AD" w:rsidRPr="007055AD" w:rsidRDefault="007055AD" w:rsidP="007055AD">
      <w:pPr>
        <w:pStyle w:val="Descripcin"/>
        <w:keepNext/>
        <w:jc w:val="left"/>
        <w:rPr>
          <w:rFonts w:ascii="Arial" w:hAnsi="Arial" w:cs="Arial"/>
          <w:b/>
          <w:bCs/>
          <w:i w:val="0"/>
          <w:iCs w:val="0"/>
          <w:color w:val="auto"/>
          <w:sz w:val="24"/>
          <w:szCs w:val="24"/>
          <w:lang w:val="en-US"/>
        </w:rPr>
      </w:pPr>
      <w:r w:rsidRPr="007055AD">
        <w:rPr>
          <w:rFonts w:ascii="Arial" w:hAnsi="Arial" w:cs="Arial"/>
          <w:b/>
          <w:bCs/>
          <w:i w:val="0"/>
          <w:iCs w:val="0"/>
          <w:color w:val="auto"/>
          <w:sz w:val="24"/>
          <w:szCs w:val="24"/>
          <w:lang w:val="en-US"/>
        </w:rPr>
        <w:lastRenderedPageBreak/>
        <w:t xml:space="preserve">Supplementary Figure </w:t>
      </w:r>
      <w:r w:rsidRPr="007055AD">
        <w:rPr>
          <w:rFonts w:ascii="Arial" w:hAnsi="Arial" w:cs="Arial"/>
          <w:b/>
          <w:bCs/>
          <w:i w:val="0"/>
          <w:iCs w:val="0"/>
          <w:color w:val="auto"/>
          <w:sz w:val="24"/>
          <w:szCs w:val="24"/>
          <w:lang w:val="en-US"/>
        </w:rPr>
        <w:fldChar w:fldCharType="begin"/>
      </w:r>
      <w:r w:rsidRPr="007055AD">
        <w:rPr>
          <w:rFonts w:ascii="Arial" w:hAnsi="Arial" w:cs="Arial"/>
          <w:b/>
          <w:bCs/>
          <w:i w:val="0"/>
          <w:iCs w:val="0"/>
          <w:color w:val="auto"/>
          <w:sz w:val="24"/>
          <w:szCs w:val="24"/>
          <w:lang w:val="en-US"/>
        </w:rPr>
        <w:instrText xml:space="preserve"> SEQ Supplementary_Figure \* ARABIC </w:instrText>
      </w:r>
      <w:r w:rsidRPr="007055AD">
        <w:rPr>
          <w:rFonts w:ascii="Arial" w:hAnsi="Arial" w:cs="Arial"/>
          <w:b/>
          <w:bCs/>
          <w:i w:val="0"/>
          <w:iCs w:val="0"/>
          <w:color w:val="auto"/>
          <w:sz w:val="24"/>
          <w:szCs w:val="24"/>
          <w:lang w:val="en-US"/>
        </w:rPr>
        <w:fldChar w:fldCharType="separate"/>
      </w:r>
      <w:r w:rsidR="00060E2D">
        <w:rPr>
          <w:rFonts w:ascii="Arial" w:hAnsi="Arial" w:cs="Arial"/>
          <w:b/>
          <w:bCs/>
          <w:i w:val="0"/>
          <w:iCs w:val="0"/>
          <w:noProof/>
          <w:color w:val="auto"/>
          <w:sz w:val="24"/>
          <w:szCs w:val="24"/>
          <w:lang w:val="en-US"/>
        </w:rPr>
        <w:t>3</w:t>
      </w:r>
      <w:r w:rsidRPr="007055AD">
        <w:rPr>
          <w:rFonts w:ascii="Arial" w:hAnsi="Arial" w:cs="Arial"/>
          <w:b/>
          <w:bCs/>
          <w:i w:val="0"/>
          <w:iCs w:val="0"/>
          <w:color w:val="auto"/>
          <w:sz w:val="24"/>
          <w:szCs w:val="24"/>
          <w:lang w:val="en-US"/>
        </w:rPr>
        <w:fldChar w:fldCharType="end"/>
      </w:r>
      <w:r>
        <w:rPr>
          <w:rFonts w:ascii="Arial" w:hAnsi="Arial" w:cs="Arial"/>
          <w:b/>
          <w:bCs/>
          <w:i w:val="0"/>
          <w:iCs w:val="0"/>
          <w:color w:val="auto"/>
          <w:sz w:val="24"/>
          <w:szCs w:val="24"/>
          <w:lang w:val="en-US"/>
        </w:rPr>
        <w:t xml:space="preserve"> </w:t>
      </w:r>
      <w:r>
        <w:rPr>
          <w:rFonts w:ascii="Arial" w:hAnsi="Arial" w:cs="Arial"/>
          <w:i w:val="0"/>
          <w:iCs w:val="0"/>
          <w:color w:val="auto"/>
          <w:sz w:val="24"/>
          <w:szCs w:val="24"/>
          <w:lang w:val="en-US"/>
        </w:rPr>
        <w:t>mTOR</w:t>
      </w:r>
      <w:r w:rsidRPr="007055AD">
        <w:rPr>
          <w:rFonts w:ascii="Arial" w:hAnsi="Arial" w:cs="Arial"/>
          <w:i w:val="0"/>
          <w:iCs w:val="0"/>
          <w:color w:val="auto"/>
          <w:sz w:val="24"/>
          <w:szCs w:val="24"/>
          <w:lang w:val="en-US"/>
        </w:rPr>
        <w:t xml:space="preserve"> semi</w:t>
      </w:r>
      <w:r>
        <w:rPr>
          <w:rFonts w:ascii="Arial" w:hAnsi="Arial" w:cs="Arial"/>
          <w:i w:val="0"/>
          <w:iCs w:val="0"/>
          <w:color w:val="auto"/>
          <w:sz w:val="24"/>
          <w:szCs w:val="24"/>
          <w:lang w:val="en-US"/>
        </w:rPr>
        <w:t>-</w:t>
      </w:r>
      <w:r w:rsidRPr="007055AD">
        <w:rPr>
          <w:rFonts w:ascii="Arial" w:hAnsi="Arial" w:cs="Arial"/>
          <w:i w:val="0"/>
          <w:iCs w:val="0"/>
          <w:color w:val="auto"/>
          <w:sz w:val="24"/>
          <w:szCs w:val="24"/>
          <w:lang w:val="en-US"/>
        </w:rPr>
        <w:t>quantitative scale per region of interest</w:t>
      </w:r>
    </w:p>
    <w:p w14:paraId="19B4ED58" w14:textId="77777777" w:rsidR="00171727" w:rsidRDefault="007055AD">
      <w:pPr>
        <w:rPr>
          <w:lang w:val="en-US"/>
        </w:rPr>
      </w:pPr>
      <w:r w:rsidRPr="007055AD">
        <w:rPr>
          <w:noProof/>
          <w:lang w:val="en-US"/>
        </w:rPr>
        <w:drawing>
          <wp:inline distT="0" distB="0" distL="0" distR="0" wp14:anchorId="7DEC582C" wp14:editId="6EFF8E9C">
            <wp:extent cx="5396230" cy="6876415"/>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396230" cy="6876415"/>
                    </a:xfrm>
                    <a:prstGeom prst="rect">
                      <a:avLst/>
                    </a:prstGeom>
                  </pic:spPr>
                </pic:pic>
              </a:graphicData>
            </a:graphic>
          </wp:inline>
        </w:drawing>
      </w:r>
    </w:p>
    <w:p w14:paraId="4D0201FD" w14:textId="77777777" w:rsidR="00171727" w:rsidRDefault="00171727">
      <w:pPr>
        <w:rPr>
          <w:lang w:val="en-US"/>
        </w:rPr>
      </w:pPr>
      <w:r>
        <w:rPr>
          <w:lang w:val="en-US"/>
        </w:rPr>
        <w:br w:type="page"/>
      </w:r>
    </w:p>
    <w:p w14:paraId="61132984" w14:textId="77777777" w:rsidR="00171727" w:rsidRPr="007055AD" w:rsidRDefault="00171727" w:rsidP="00171727">
      <w:pPr>
        <w:pStyle w:val="Descripcin"/>
        <w:keepNext/>
        <w:spacing w:after="0" w:line="240" w:lineRule="auto"/>
        <w:jc w:val="left"/>
        <w:rPr>
          <w:rFonts w:ascii="Arial" w:hAnsi="Arial" w:cs="Arial"/>
          <w:b/>
          <w:bCs/>
          <w:i w:val="0"/>
          <w:iCs w:val="0"/>
          <w:color w:val="auto"/>
          <w:sz w:val="24"/>
          <w:szCs w:val="24"/>
          <w:lang w:val="en-US"/>
        </w:rPr>
      </w:pPr>
      <w:r w:rsidRPr="00171727">
        <w:rPr>
          <w:rFonts w:ascii="Arial" w:hAnsi="Arial" w:cs="Arial"/>
          <w:b/>
          <w:bCs/>
          <w:i w:val="0"/>
          <w:iCs w:val="0"/>
          <w:color w:val="auto"/>
          <w:sz w:val="24"/>
          <w:szCs w:val="24"/>
          <w:lang w:val="en-US"/>
        </w:rPr>
        <w:lastRenderedPageBreak/>
        <w:t xml:space="preserve">Supplementary Figure </w:t>
      </w:r>
      <w:r w:rsidRPr="00171727">
        <w:rPr>
          <w:rFonts w:ascii="Arial" w:hAnsi="Arial" w:cs="Arial"/>
          <w:b/>
          <w:bCs/>
          <w:i w:val="0"/>
          <w:iCs w:val="0"/>
          <w:color w:val="auto"/>
          <w:sz w:val="24"/>
          <w:szCs w:val="24"/>
          <w:lang w:val="en-US"/>
        </w:rPr>
        <w:fldChar w:fldCharType="begin"/>
      </w:r>
      <w:r w:rsidRPr="00171727">
        <w:rPr>
          <w:rFonts w:ascii="Arial" w:hAnsi="Arial" w:cs="Arial"/>
          <w:b/>
          <w:bCs/>
          <w:i w:val="0"/>
          <w:iCs w:val="0"/>
          <w:color w:val="auto"/>
          <w:sz w:val="24"/>
          <w:szCs w:val="24"/>
          <w:lang w:val="en-US"/>
        </w:rPr>
        <w:instrText xml:space="preserve"> SEQ Supplementary_Figure \* ARABIC </w:instrText>
      </w:r>
      <w:r w:rsidRPr="00171727">
        <w:rPr>
          <w:rFonts w:ascii="Arial" w:hAnsi="Arial" w:cs="Arial"/>
          <w:b/>
          <w:bCs/>
          <w:i w:val="0"/>
          <w:iCs w:val="0"/>
          <w:color w:val="auto"/>
          <w:sz w:val="24"/>
          <w:szCs w:val="24"/>
          <w:lang w:val="en-US"/>
        </w:rPr>
        <w:fldChar w:fldCharType="separate"/>
      </w:r>
      <w:r w:rsidR="00060E2D">
        <w:rPr>
          <w:rFonts w:ascii="Arial" w:hAnsi="Arial" w:cs="Arial"/>
          <w:b/>
          <w:bCs/>
          <w:i w:val="0"/>
          <w:iCs w:val="0"/>
          <w:noProof/>
          <w:color w:val="auto"/>
          <w:sz w:val="24"/>
          <w:szCs w:val="24"/>
          <w:lang w:val="en-US"/>
        </w:rPr>
        <w:t>4</w:t>
      </w:r>
      <w:r w:rsidRPr="00171727">
        <w:rPr>
          <w:rFonts w:ascii="Arial" w:hAnsi="Arial" w:cs="Arial"/>
          <w:b/>
          <w:bCs/>
          <w:i w:val="0"/>
          <w:iCs w:val="0"/>
          <w:color w:val="auto"/>
          <w:sz w:val="24"/>
          <w:szCs w:val="24"/>
          <w:lang w:val="en-US"/>
        </w:rPr>
        <w:fldChar w:fldCharType="end"/>
      </w:r>
      <w:r>
        <w:rPr>
          <w:rFonts w:ascii="Arial" w:hAnsi="Arial" w:cs="Arial"/>
          <w:b/>
          <w:bCs/>
          <w:i w:val="0"/>
          <w:iCs w:val="0"/>
          <w:color w:val="auto"/>
          <w:sz w:val="24"/>
          <w:szCs w:val="24"/>
          <w:lang w:val="en-US"/>
        </w:rPr>
        <w:t xml:space="preserve"> </w:t>
      </w:r>
      <w:r w:rsidRPr="00171727">
        <w:rPr>
          <w:rFonts w:ascii="Arial" w:hAnsi="Arial" w:cs="Arial"/>
          <w:i w:val="0"/>
          <w:iCs w:val="0"/>
          <w:color w:val="auto"/>
          <w:sz w:val="24"/>
          <w:szCs w:val="24"/>
          <w:lang w:val="en-US"/>
        </w:rPr>
        <w:t>phospho-</w:t>
      </w:r>
      <w:r>
        <w:rPr>
          <w:rFonts w:ascii="Arial" w:hAnsi="Arial" w:cs="Arial"/>
          <w:i w:val="0"/>
          <w:iCs w:val="0"/>
          <w:color w:val="auto"/>
          <w:sz w:val="24"/>
          <w:szCs w:val="24"/>
          <w:lang w:val="en-US"/>
        </w:rPr>
        <w:t>mTOR</w:t>
      </w:r>
      <w:r w:rsidRPr="007055AD">
        <w:rPr>
          <w:rFonts w:ascii="Arial" w:hAnsi="Arial" w:cs="Arial"/>
          <w:i w:val="0"/>
          <w:iCs w:val="0"/>
          <w:color w:val="auto"/>
          <w:sz w:val="24"/>
          <w:szCs w:val="24"/>
          <w:lang w:val="en-US"/>
        </w:rPr>
        <w:t xml:space="preserve"> semi</w:t>
      </w:r>
      <w:r>
        <w:rPr>
          <w:rFonts w:ascii="Arial" w:hAnsi="Arial" w:cs="Arial"/>
          <w:i w:val="0"/>
          <w:iCs w:val="0"/>
          <w:color w:val="auto"/>
          <w:sz w:val="24"/>
          <w:szCs w:val="24"/>
          <w:lang w:val="en-US"/>
        </w:rPr>
        <w:t>-</w:t>
      </w:r>
      <w:r w:rsidRPr="007055AD">
        <w:rPr>
          <w:rFonts w:ascii="Arial" w:hAnsi="Arial" w:cs="Arial"/>
          <w:i w:val="0"/>
          <w:iCs w:val="0"/>
          <w:color w:val="auto"/>
          <w:sz w:val="24"/>
          <w:szCs w:val="24"/>
          <w:lang w:val="en-US"/>
        </w:rPr>
        <w:t>quantitative scale per region of interest</w:t>
      </w:r>
    </w:p>
    <w:p w14:paraId="372C884B" w14:textId="77777777" w:rsidR="00171727" w:rsidRPr="00171727" w:rsidRDefault="00171727" w:rsidP="00171727">
      <w:pPr>
        <w:pStyle w:val="Descripcin"/>
        <w:keepNext/>
        <w:jc w:val="left"/>
        <w:rPr>
          <w:rFonts w:ascii="Arial" w:hAnsi="Arial" w:cs="Arial"/>
          <w:b/>
          <w:bCs/>
          <w:i w:val="0"/>
          <w:iCs w:val="0"/>
          <w:color w:val="auto"/>
          <w:sz w:val="24"/>
          <w:szCs w:val="24"/>
          <w:lang w:val="en-US"/>
        </w:rPr>
      </w:pPr>
    </w:p>
    <w:p w14:paraId="427568D5" w14:textId="77777777" w:rsidR="00171727" w:rsidRDefault="00171727">
      <w:pPr>
        <w:rPr>
          <w:lang w:val="en-US"/>
        </w:rPr>
      </w:pPr>
      <w:r w:rsidRPr="00171727">
        <w:rPr>
          <w:noProof/>
          <w:lang w:val="en-US"/>
        </w:rPr>
        <w:drawing>
          <wp:inline distT="0" distB="0" distL="0" distR="0" wp14:anchorId="5D0EF5D3" wp14:editId="21F982EF">
            <wp:extent cx="5396230" cy="673227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396230" cy="6732270"/>
                    </a:xfrm>
                    <a:prstGeom prst="rect">
                      <a:avLst/>
                    </a:prstGeom>
                  </pic:spPr>
                </pic:pic>
              </a:graphicData>
            </a:graphic>
          </wp:inline>
        </w:drawing>
      </w:r>
    </w:p>
    <w:p w14:paraId="2D438713" w14:textId="77777777" w:rsidR="00171727" w:rsidRDefault="00171727">
      <w:pPr>
        <w:rPr>
          <w:lang w:val="en-US"/>
        </w:rPr>
      </w:pPr>
      <w:r>
        <w:rPr>
          <w:lang w:val="en-US"/>
        </w:rPr>
        <w:br w:type="page"/>
      </w:r>
    </w:p>
    <w:p w14:paraId="12A1B9A0" w14:textId="77777777" w:rsidR="00412801" w:rsidRPr="00412801" w:rsidRDefault="00412801" w:rsidP="00412801">
      <w:pPr>
        <w:pStyle w:val="Descripcin"/>
        <w:keepNext/>
        <w:spacing w:after="0" w:line="240" w:lineRule="auto"/>
        <w:jc w:val="left"/>
        <w:rPr>
          <w:rFonts w:ascii="Arial" w:hAnsi="Arial" w:cs="Arial"/>
          <w:b/>
          <w:bCs/>
          <w:i w:val="0"/>
          <w:iCs w:val="0"/>
          <w:color w:val="auto"/>
          <w:sz w:val="24"/>
          <w:szCs w:val="24"/>
          <w:lang w:val="en-US"/>
        </w:rPr>
      </w:pPr>
      <w:r w:rsidRPr="00412801">
        <w:rPr>
          <w:rFonts w:ascii="Arial" w:hAnsi="Arial" w:cs="Arial"/>
          <w:b/>
          <w:bCs/>
          <w:i w:val="0"/>
          <w:iCs w:val="0"/>
          <w:color w:val="auto"/>
          <w:sz w:val="24"/>
          <w:szCs w:val="24"/>
          <w:lang w:val="en-US"/>
        </w:rPr>
        <w:lastRenderedPageBreak/>
        <w:t xml:space="preserve">Supplementary Figure </w:t>
      </w:r>
      <w:r w:rsidRPr="00412801">
        <w:rPr>
          <w:rFonts w:ascii="Arial" w:hAnsi="Arial" w:cs="Arial"/>
          <w:b/>
          <w:bCs/>
          <w:i w:val="0"/>
          <w:iCs w:val="0"/>
          <w:color w:val="auto"/>
          <w:sz w:val="24"/>
          <w:szCs w:val="24"/>
          <w:lang w:val="en-US"/>
        </w:rPr>
        <w:fldChar w:fldCharType="begin"/>
      </w:r>
      <w:r w:rsidRPr="00412801">
        <w:rPr>
          <w:rFonts w:ascii="Arial" w:hAnsi="Arial" w:cs="Arial"/>
          <w:b/>
          <w:bCs/>
          <w:i w:val="0"/>
          <w:iCs w:val="0"/>
          <w:color w:val="auto"/>
          <w:sz w:val="24"/>
          <w:szCs w:val="24"/>
          <w:lang w:val="en-US"/>
        </w:rPr>
        <w:instrText xml:space="preserve"> SEQ Supplementary_Figure \* ARABIC </w:instrText>
      </w:r>
      <w:r w:rsidRPr="00412801">
        <w:rPr>
          <w:rFonts w:ascii="Arial" w:hAnsi="Arial" w:cs="Arial"/>
          <w:b/>
          <w:bCs/>
          <w:i w:val="0"/>
          <w:iCs w:val="0"/>
          <w:color w:val="auto"/>
          <w:sz w:val="24"/>
          <w:szCs w:val="24"/>
          <w:lang w:val="en-US"/>
        </w:rPr>
        <w:fldChar w:fldCharType="separate"/>
      </w:r>
      <w:r w:rsidR="00060E2D">
        <w:rPr>
          <w:rFonts w:ascii="Arial" w:hAnsi="Arial" w:cs="Arial"/>
          <w:b/>
          <w:bCs/>
          <w:i w:val="0"/>
          <w:iCs w:val="0"/>
          <w:noProof/>
          <w:color w:val="auto"/>
          <w:sz w:val="24"/>
          <w:szCs w:val="24"/>
          <w:lang w:val="en-US"/>
        </w:rPr>
        <w:t>5</w:t>
      </w:r>
      <w:r w:rsidRPr="00412801">
        <w:rPr>
          <w:rFonts w:ascii="Arial" w:hAnsi="Arial" w:cs="Arial"/>
          <w:b/>
          <w:bCs/>
          <w:i w:val="0"/>
          <w:iCs w:val="0"/>
          <w:color w:val="auto"/>
          <w:sz w:val="24"/>
          <w:szCs w:val="24"/>
          <w:lang w:val="en-US"/>
        </w:rPr>
        <w:fldChar w:fldCharType="end"/>
      </w:r>
      <w:r>
        <w:rPr>
          <w:rFonts w:ascii="Arial" w:hAnsi="Arial" w:cs="Arial"/>
          <w:b/>
          <w:bCs/>
          <w:i w:val="0"/>
          <w:iCs w:val="0"/>
          <w:color w:val="auto"/>
          <w:sz w:val="24"/>
          <w:szCs w:val="24"/>
          <w:lang w:val="en-US"/>
        </w:rPr>
        <w:t xml:space="preserve"> </w:t>
      </w:r>
      <w:r w:rsidRPr="00412801">
        <w:rPr>
          <w:rFonts w:ascii="Arial" w:hAnsi="Arial" w:cs="Arial"/>
          <w:i w:val="0"/>
          <w:iCs w:val="0"/>
          <w:color w:val="auto"/>
          <w:sz w:val="24"/>
          <w:szCs w:val="24"/>
          <w:lang w:val="en-US"/>
        </w:rPr>
        <w:t xml:space="preserve">p70S6K </w:t>
      </w:r>
      <w:r w:rsidRPr="007055AD">
        <w:rPr>
          <w:rFonts w:ascii="Arial" w:hAnsi="Arial" w:cs="Arial"/>
          <w:i w:val="0"/>
          <w:iCs w:val="0"/>
          <w:color w:val="auto"/>
          <w:sz w:val="24"/>
          <w:szCs w:val="24"/>
          <w:lang w:val="en-US"/>
        </w:rPr>
        <w:t>semi</w:t>
      </w:r>
      <w:r>
        <w:rPr>
          <w:rFonts w:ascii="Arial" w:hAnsi="Arial" w:cs="Arial"/>
          <w:i w:val="0"/>
          <w:iCs w:val="0"/>
          <w:color w:val="auto"/>
          <w:sz w:val="24"/>
          <w:szCs w:val="24"/>
          <w:lang w:val="en-US"/>
        </w:rPr>
        <w:t>-</w:t>
      </w:r>
      <w:r w:rsidRPr="007055AD">
        <w:rPr>
          <w:rFonts w:ascii="Arial" w:hAnsi="Arial" w:cs="Arial"/>
          <w:i w:val="0"/>
          <w:iCs w:val="0"/>
          <w:color w:val="auto"/>
          <w:sz w:val="24"/>
          <w:szCs w:val="24"/>
          <w:lang w:val="en-US"/>
        </w:rPr>
        <w:t>quantitative scale per region of interest</w:t>
      </w:r>
    </w:p>
    <w:p w14:paraId="615ADACE" w14:textId="77777777" w:rsidR="00412801" w:rsidRDefault="00412801">
      <w:pPr>
        <w:rPr>
          <w:lang w:val="en-US"/>
        </w:rPr>
      </w:pPr>
      <w:r w:rsidRPr="00412801">
        <w:rPr>
          <w:noProof/>
          <w:lang w:val="en-US"/>
        </w:rPr>
        <w:drawing>
          <wp:inline distT="0" distB="0" distL="0" distR="0" wp14:anchorId="7C20D826" wp14:editId="13111508">
            <wp:extent cx="5396230" cy="674243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396230" cy="6742430"/>
                    </a:xfrm>
                    <a:prstGeom prst="rect">
                      <a:avLst/>
                    </a:prstGeom>
                  </pic:spPr>
                </pic:pic>
              </a:graphicData>
            </a:graphic>
          </wp:inline>
        </w:drawing>
      </w:r>
    </w:p>
    <w:p w14:paraId="75890D10" w14:textId="77777777" w:rsidR="00412801" w:rsidRDefault="00412801">
      <w:pPr>
        <w:rPr>
          <w:lang w:val="en-US"/>
        </w:rPr>
      </w:pPr>
      <w:r>
        <w:rPr>
          <w:lang w:val="en-US"/>
        </w:rPr>
        <w:br w:type="page"/>
      </w:r>
    </w:p>
    <w:p w14:paraId="25C72529" w14:textId="77777777" w:rsidR="00412801" w:rsidRPr="00412801" w:rsidRDefault="00412801" w:rsidP="00412801">
      <w:pPr>
        <w:pStyle w:val="Descripcin"/>
        <w:keepNext/>
        <w:spacing w:after="0" w:line="240" w:lineRule="auto"/>
        <w:jc w:val="left"/>
        <w:rPr>
          <w:rFonts w:ascii="Arial" w:hAnsi="Arial" w:cs="Arial"/>
          <w:b/>
          <w:bCs/>
          <w:i w:val="0"/>
          <w:iCs w:val="0"/>
          <w:color w:val="auto"/>
          <w:sz w:val="24"/>
          <w:szCs w:val="24"/>
          <w:lang w:val="en-US"/>
        </w:rPr>
      </w:pPr>
      <w:r w:rsidRPr="00412801">
        <w:rPr>
          <w:rFonts w:ascii="Arial" w:hAnsi="Arial" w:cs="Arial"/>
          <w:b/>
          <w:bCs/>
          <w:i w:val="0"/>
          <w:iCs w:val="0"/>
          <w:color w:val="auto"/>
          <w:sz w:val="24"/>
          <w:szCs w:val="24"/>
          <w:lang w:val="en-US"/>
        </w:rPr>
        <w:lastRenderedPageBreak/>
        <w:t xml:space="preserve">Supplementary Figure </w:t>
      </w:r>
      <w:r w:rsidRPr="00412801">
        <w:rPr>
          <w:rFonts w:ascii="Arial" w:hAnsi="Arial" w:cs="Arial"/>
          <w:b/>
          <w:bCs/>
          <w:i w:val="0"/>
          <w:iCs w:val="0"/>
          <w:color w:val="auto"/>
          <w:sz w:val="24"/>
          <w:szCs w:val="24"/>
          <w:lang w:val="en-US"/>
        </w:rPr>
        <w:fldChar w:fldCharType="begin"/>
      </w:r>
      <w:r w:rsidRPr="00412801">
        <w:rPr>
          <w:rFonts w:ascii="Arial" w:hAnsi="Arial" w:cs="Arial"/>
          <w:b/>
          <w:bCs/>
          <w:i w:val="0"/>
          <w:iCs w:val="0"/>
          <w:color w:val="auto"/>
          <w:sz w:val="24"/>
          <w:szCs w:val="24"/>
          <w:lang w:val="en-US"/>
        </w:rPr>
        <w:instrText xml:space="preserve"> SEQ Supplementary_Figure \* ARABIC </w:instrText>
      </w:r>
      <w:r w:rsidRPr="00412801">
        <w:rPr>
          <w:rFonts w:ascii="Arial" w:hAnsi="Arial" w:cs="Arial"/>
          <w:b/>
          <w:bCs/>
          <w:i w:val="0"/>
          <w:iCs w:val="0"/>
          <w:color w:val="auto"/>
          <w:sz w:val="24"/>
          <w:szCs w:val="24"/>
          <w:lang w:val="en-US"/>
        </w:rPr>
        <w:fldChar w:fldCharType="separate"/>
      </w:r>
      <w:r w:rsidR="00060E2D">
        <w:rPr>
          <w:rFonts w:ascii="Arial" w:hAnsi="Arial" w:cs="Arial"/>
          <w:b/>
          <w:bCs/>
          <w:i w:val="0"/>
          <w:iCs w:val="0"/>
          <w:noProof/>
          <w:color w:val="auto"/>
          <w:sz w:val="24"/>
          <w:szCs w:val="24"/>
          <w:lang w:val="en-US"/>
        </w:rPr>
        <w:t>6</w:t>
      </w:r>
      <w:r w:rsidRPr="00412801">
        <w:rPr>
          <w:rFonts w:ascii="Arial" w:hAnsi="Arial" w:cs="Arial"/>
          <w:b/>
          <w:bCs/>
          <w:i w:val="0"/>
          <w:iCs w:val="0"/>
          <w:color w:val="auto"/>
          <w:sz w:val="24"/>
          <w:szCs w:val="24"/>
          <w:lang w:val="en-US"/>
        </w:rPr>
        <w:fldChar w:fldCharType="end"/>
      </w:r>
      <w:r>
        <w:rPr>
          <w:rFonts w:ascii="Arial" w:hAnsi="Arial" w:cs="Arial"/>
          <w:b/>
          <w:bCs/>
          <w:i w:val="0"/>
          <w:iCs w:val="0"/>
          <w:color w:val="auto"/>
          <w:sz w:val="24"/>
          <w:szCs w:val="24"/>
          <w:lang w:val="en-US"/>
        </w:rPr>
        <w:t xml:space="preserve"> </w:t>
      </w:r>
      <w:r w:rsidRPr="00B47DED">
        <w:rPr>
          <w:rFonts w:ascii="Arial" w:hAnsi="Arial" w:cs="Arial"/>
          <w:i w:val="0"/>
          <w:iCs w:val="0"/>
          <w:color w:val="auto"/>
          <w:sz w:val="24"/>
          <w:szCs w:val="24"/>
          <w:lang w:val="en-US"/>
        </w:rPr>
        <w:t>phosp</w:t>
      </w:r>
      <w:r w:rsidR="00B47DED" w:rsidRPr="00B47DED">
        <w:rPr>
          <w:rFonts w:ascii="Arial" w:hAnsi="Arial" w:cs="Arial"/>
          <w:i w:val="0"/>
          <w:iCs w:val="0"/>
          <w:color w:val="auto"/>
          <w:sz w:val="24"/>
          <w:szCs w:val="24"/>
          <w:lang w:val="en-US"/>
        </w:rPr>
        <w:t>ho-</w:t>
      </w:r>
      <w:r w:rsidRPr="00B47DED">
        <w:rPr>
          <w:rFonts w:ascii="Arial" w:hAnsi="Arial" w:cs="Arial"/>
          <w:i w:val="0"/>
          <w:iCs w:val="0"/>
          <w:color w:val="auto"/>
          <w:sz w:val="24"/>
          <w:szCs w:val="24"/>
          <w:lang w:val="en-US"/>
        </w:rPr>
        <w:t>p70S6K</w:t>
      </w:r>
      <w:r w:rsidRPr="00412801">
        <w:rPr>
          <w:rFonts w:ascii="Arial" w:hAnsi="Arial" w:cs="Arial"/>
          <w:i w:val="0"/>
          <w:iCs w:val="0"/>
          <w:color w:val="auto"/>
          <w:sz w:val="24"/>
          <w:szCs w:val="24"/>
          <w:lang w:val="en-US"/>
        </w:rPr>
        <w:t xml:space="preserve"> </w:t>
      </w:r>
      <w:r w:rsidRPr="007055AD">
        <w:rPr>
          <w:rFonts w:ascii="Arial" w:hAnsi="Arial" w:cs="Arial"/>
          <w:i w:val="0"/>
          <w:iCs w:val="0"/>
          <w:color w:val="auto"/>
          <w:sz w:val="24"/>
          <w:szCs w:val="24"/>
          <w:lang w:val="en-US"/>
        </w:rPr>
        <w:t>semi</w:t>
      </w:r>
      <w:r>
        <w:rPr>
          <w:rFonts w:ascii="Arial" w:hAnsi="Arial" w:cs="Arial"/>
          <w:i w:val="0"/>
          <w:iCs w:val="0"/>
          <w:color w:val="auto"/>
          <w:sz w:val="24"/>
          <w:szCs w:val="24"/>
          <w:lang w:val="en-US"/>
        </w:rPr>
        <w:t>-</w:t>
      </w:r>
      <w:r w:rsidRPr="007055AD">
        <w:rPr>
          <w:rFonts w:ascii="Arial" w:hAnsi="Arial" w:cs="Arial"/>
          <w:i w:val="0"/>
          <w:iCs w:val="0"/>
          <w:color w:val="auto"/>
          <w:sz w:val="24"/>
          <w:szCs w:val="24"/>
          <w:lang w:val="en-US"/>
        </w:rPr>
        <w:t>quantitative scale per region of interest</w:t>
      </w:r>
    </w:p>
    <w:p w14:paraId="63E96398" w14:textId="084A388C" w:rsidR="00800F21" w:rsidRDefault="00B47DED">
      <w:pPr>
        <w:rPr>
          <w:lang w:val="en-US"/>
        </w:rPr>
      </w:pPr>
      <w:r w:rsidRPr="00B47DED">
        <w:rPr>
          <w:noProof/>
          <w:lang w:val="en-US"/>
        </w:rPr>
        <w:drawing>
          <wp:inline distT="0" distB="0" distL="0" distR="0" wp14:anchorId="116084B0" wp14:editId="3ECF10EE">
            <wp:extent cx="5396230" cy="674243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396230" cy="6742430"/>
                    </a:xfrm>
                    <a:prstGeom prst="rect">
                      <a:avLst/>
                    </a:prstGeom>
                  </pic:spPr>
                </pic:pic>
              </a:graphicData>
            </a:graphic>
          </wp:inline>
        </w:drawing>
      </w:r>
    </w:p>
    <w:p w14:paraId="2267FB06" w14:textId="77777777" w:rsidR="00800F21" w:rsidRDefault="00800F21">
      <w:pPr>
        <w:rPr>
          <w:lang w:val="en-US"/>
        </w:rPr>
      </w:pPr>
      <w:r>
        <w:rPr>
          <w:lang w:val="en-US"/>
        </w:rPr>
        <w:br w:type="page"/>
      </w:r>
    </w:p>
    <w:p w14:paraId="21A0B81F" w14:textId="78E45EA7" w:rsidR="003E32C1" w:rsidRDefault="003E32C1" w:rsidP="003E32C1">
      <w:pPr>
        <w:rPr>
          <w:rFonts w:ascii="Arial" w:hAnsi="Arial" w:cs="Arial"/>
          <w:b/>
          <w:bCs/>
          <w:sz w:val="28"/>
          <w:szCs w:val="28"/>
          <w:lang w:val="en-US"/>
        </w:rPr>
      </w:pPr>
      <w:r w:rsidRPr="00484609">
        <w:rPr>
          <w:rFonts w:ascii="Arial" w:hAnsi="Arial" w:cs="Arial"/>
          <w:b/>
          <w:bCs/>
          <w:sz w:val="28"/>
          <w:szCs w:val="28"/>
          <w:lang w:val="en-US"/>
        </w:rPr>
        <w:lastRenderedPageBreak/>
        <w:t>Supplementary</w:t>
      </w:r>
      <w:r>
        <w:rPr>
          <w:rFonts w:ascii="Arial" w:hAnsi="Arial" w:cs="Arial"/>
          <w:b/>
          <w:bCs/>
          <w:sz w:val="28"/>
          <w:szCs w:val="28"/>
          <w:lang w:val="en-US"/>
        </w:rPr>
        <w:t xml:space="preserve"> </w:t>
      </w:r>
      <w:r>
        <w:rPr>
          <w:rFonts w:ascii="Arial" w:hAnsi="Arial" w:cs="Arial"/>
          <w:b/>
          <w:bCs/>
          <w:sz w:val="28"/>
          <w:szCs w:val="28"/>
          <w:lang w:val="en-US"/>
        </w:rPr>
        <w:t>References</w:t>
      </w:r>
    </w:p>
    <w:p w14:paraId="59CF7F0F" w14:textId="03E731D1" w:rsidR="001B235D" w:rsidRDefault="001B235D">
      <w:pPr>
        <w:rPr>
          <w:color w:val="000000"/>
          <w:lang w:val="en-US"/>
        </w:rPr>
      </w:pPr>
    </w:p>
    <w:p w14:paraId="7E00E50D" w14:textId="77777777" w:rsidR="00800F21" w:rsidRPr="003D69B6" w:rsidRDefault="00800F21" w:rsidP="00800F21">
      <w:pPr>
        <w:autoSpaceDE w:val="0"/>
        <w:autoSpaceDN w:val="0"/>
        <w:ind w:hanging="640"/>
        <w:rPr>
          <w:rFonts w:eastAsia="Times New Roman"/>
          <w:lang w:val="en-US"/>
        </w:rPr>
      </w:pPr>
      <w:r>
        <w:rPr>
          <w:rFonts w:eastAsia="Times New Roman"/>
          <w:lang w:val="en-US"/>
        </w:rPr>
        <w:t>S1</w:t>
      </w:r>
      <w:r w:rsidRPr="003D69B6">
        <w:rPr>
          <w:rFonts w:eastAsia="Times New Roman"/>
          <w:lang w:val="en-US"/>
        </w:rPr>
        <w:t>.</w:t>
      </w:r>
      <w:r w:rsidRPr="003D69B6">
        <w:rPr>
          <w:rFonts w:eastAsia="Times New Roman"/>
          <w:lang w:val="en-US"/>
        </w:rPr>
        <w:tab/>
      </w:r>
      <w:proofErr w:type="spellStart"/>
      <w:r w:rsidRPr="003D69B6">
        <w:rPr>
          <w:rFonts w:eastAsia="Times New Roman"/>
          <w:lang w:val="en-US"/>
        </w:rPr>
        <w:t>Baracos</w:t>
      </w:r>
      <w:proofErr w:type="spellEnd"/>
      <w:r w:rsidRPr="003D69B6">
        <w:rPr>
          <w:rFonts w:eastAsia="Times New Roman"/>
          <w:lang w:val="en-US"/>
        </w:rPr>
        <w:t xml:space="preserve">, V. E., </w:t>
      </w:r>
      <w:proofErr w:type="spellStart"/>
      <w:r w:rsidRPr="003D69B6">
        <w:rPr>
          <w:rFonts w:eastAsia="Times New Roman"/>
          <w:lang w:val="en-US"/>
        </w:rPr>
        <w:t>Mazurak</w:t>
      </w:r>
      <w:proofErr w:type="spellEnd"/>
      <w:r w:rsidRPr="003D69B6">
        <w:rPr>
          <w:rFonts w:eastAsia="Times New Roman"/>
          <w:lang w:val="en-US"/>
        </w:rPr>
        <w:t xml:space="preserve">, V. C. &amp; Bhullar, A. S. Cancer cachexia is defined by an ongoing loss of skeletal muscle mass. </w:t>
      </w:r>
      <w:r w:rsidRPr="003D69B6">
        <w:rPr>
          <w:rFonts w:eastAsia="Times New Roman"/>
          <w:i/>
          <w:iCs/>
          <w:lang w:val="en-US"/>
        </w:rPr>
        <w:t xml:space="preserve">Ann </w:t>
      </w:r>
      <w:proofErr w:type="spellStart"/>
      <w:r w:rsidRPr="003D69B6">
        <w:rPr>
          <w:rFonts w:eastAsia="Times New Roman"/>
          <w:i/>
          <w:iCs/>
          <w:lang w:val="en-US"/>
        </w:rPr>
        <w:t>Palliat</w:t>
      </w:r>
      <w:proofErr w:type="spellEnd"/>
      <w:r w:rsidRPr="003D69B6">
        <w:rPr>
          <w:rFonts w:eastAsia="Times New Roman"/>
          <w:i/>
          <w:iCs/>
          <w:lang w:val="en-US"/>
        </w:rPr>
        <w:t xml:space="preserve"> Med</w:t>
      </w:r>
      <w:r w:rsidRPr="003D69B6">
        <w:rPr>
          <w:rFonts w:eastAsia="Times New Roman"/>
          <w:lang w:val="en-US"/>
        </w:rPr>
        <w:t xml:space="preserve"> </w:t>
      </w:r>
      <w:r w:rsidRPr="003D69B6">
        <w:rPr>
          <w:rFonts w:eastAsia="Times New Roman"/>
          <w:b/>
          <w:bCs/>
          <w:lang w:val="en-US"/>
        </w:rPr>
        <w:t>8</w:t>
      </w:r>
      <w:r w:rsidRPr="003D69B6">
        <w:rPr>
          <w:rFonts w:eastAsia="Times New Roman"/>
          <w:lang w:val="en-US"/>
        </w:rPr>
        <w:t>, 3–12 (2019).</w:t>
      </w:r>
    </w:p>
    <w:p w14:paraId="036024AE" w14:textId="77777777" w:rsidR="00800F21" w:rsidRPr="003D69B6" w:rsidRDefault="00800F21" w:rsidP="00800F21">
      <w:pPr>
        <w:autoSpaceDE w:val="0"/>
        <w:autoSpaceDN w:val="0"/>
        <w:ind w:hanging="640"/>
        <w:rPr>
          <w:rFonts w:eastAsia="Times New Roman"/>
          <w:lang w:val="en-US"/>
        </w:rPr>
      </w:pPr>
      <w:r>
        <w:rPr>
          <w:rFonts w:eastAsia="Times New Roman"/>
          <w:lang w:val="en-US"/>
        </w:rPr>
        <w:t>S2</w:t>
      </w:r>
      <w:r w:rsidRPr="003D69B6">
        <w:rPr>
          <w:rFonts w:eastAsia="Times New Roman"/>
          <w:lang w:val="en-US"/>
        </w:rPr>
        <w:t>.</w:t>
      </w:r>
      <w:r w:rsidRPr="003D69B6">
        <w:rPr>
          <w:rFonts w:eastAsia="Times New Roman"/>
          <w:lang w:val="en-US"/>
        </w:rPr>
        <w:tab/>
        <w:t xml:space="preserve">Blum, D. </w:t>
      </w:r>
      <w:r w:rsidRPr="003D69B6">
        <w:rPr>
          <w:rFonts w:eastAsia="Times New Roman"/>
          <w:i/>
          <w:iCs/>
          <w:lang w:val="en-US"/>
        </w:rPr>
        <w:t>et al.</w:t>
      </w:r>
      <w:r w:rsidRPr="003D69B6">
        <w:rPr>
          <w:rFonts w:eastAsia="Times New Roman"/>
          <w:lang w:val="en-US"/>
        </w:rPr>
        <w:t xml:space="preserve"> Cancer cachexia: A systematic literature review of items and domains associated with involuntary weight loss in cancer. </w:t>
      </w:r>
      <w:r w:rsidRPr="003D69B6">
        <w:rPr>
          <w:rFonts w:eastAsia="Times New Roman"/>
          <w:i/>
          <w:iCs/>
          <w:lang w:val="en-US"/>
        </w:rPr>
        <w:t xml:space="preserve">Crit Rev Oncol </w:t>
      </w:r>
      <w:proofErr w:type="spellStart"/>
      <w:r w:rsidRPr="003D69B6">
        <w:rPr>
          <w:rFonts w:eastAsia="Times New Roman"/>
          <w:i/>
          <w:iCs/>
          <w:lang w:val="en-US"/>
        </w:rPr>
        <w:t>Hematol</w:t>
      </w:r>
      <w:proofErr w:type="spellEnd"/>
      <w:r w:rsidRPr="003D69B6">
        <w:rPr>
          <w:rFonts w:eastAsia="Times New Roman"/>
          <w:lang w:val="en-US"/>
        </w:rPr>
        <w:t xml:space="preserve"> </w:t>
      </w:r>
      <w:r w:rsidRPr="003D69B6">
        <w:rPr>
          <w:rFonts w:eastAsia="Times New Roman"/>
          <w:b/>
          <w:bCs/>
          <w:lang w:val="en-US"/>
        </w:rPr>
        <w:t>80</w:t>
      </w:r>
      <w:r w:rsidRPr="003D69B6">
        <w:rPr>
          <w:rFonts w:eastAsia="Times New Roman"/>
          <w:lang w:val="en-US"/>
        </w:rPr>
        <w:t>, 114–144 (2011).</w:t>
      </w:r>
    </w:p>
    <w:p w14:paraId="1A6BCB8E" w14:textId="77777777" w:rsidR="00800F21" w:rsidRPr="003D69B6" w:rsidRDefault="00800F21" w:rsidP="00800F21">
      <w:pPr>
        <w:autoSpaceDE w:val="0"/>
        <w:autoSpaceDN w:val="0"/>
        <w:ind w:hanging="640"/>
        <w:rPr>
          <w:rFonts w:eastAsia="Times New Roman"/>
          <w:lang w:val="en-US"/>
        </w:rPr>
      </w:pPr>
      <w:r>
        <w:rPr>
          <w:rFonts w:eastAsia="Times New Roman"/>
          <w:lang w:val="en-US"/>
        </w:rPr>
        <w:t>S3</w:t>
      </w:r>
      <w:r w:rsidRPr="003D69B6">
        <w:rPr>
          <w:rFonts w:eastAsia="Times New Roman"/>
          <w:lang w:val="en-US"/>
        </w:rPr>
        <w:t>.</w:t>
      </w:r>
      <w:r w:rsidRPr="003D69B6">
        <w:rPr>
          <w:rFonts w:eastAsia="Times New Roman"/>
          <w:lang w:val="en-US"/>
        </w:rPr>
        <w:tab/>
      </w:r>
      <w:proofErr w:type="spellStart"/>
      <w:r w:rsidRPr="003D69B6">
        <w:rPr>
          <w:rFonts w:eastAsia="Times New Roman"/>
          <w:lang w:val="en-US"/>
        </w:rPr>
        <w:t>Wyart</w:t>
      </w:r>
      <w:proofErr w:type="spellEnd"/>
      <w:r w:rsidRPr="003D69B6">
        <w:rPr>
          <w:rFonts w:eastAsia="Times New Roman"/>
          <w:lang w:val="en-US"/>
        </w:rPr>
        <w:t xml:space="preserve">, E. </w:t>
      </w:r>
      <w:r w:rsidRPr="003D69B6">
        <w:rPr>
          <w:rFonts w:eastAsia="Times New Roman"/>
          <w:i/>
          <w:iCs/>
          <w:lang w:val="en-US"/>
        </w:rPr>
        <w:t>et al.</w:t>
      </w:r>
      <w:r w:rsidRPr="003D69B6">
        <w:rPr>
          <w:rFonts w:eastAsia="Times New Roman"/>
          <w:lang w:val="en-US"/>
        </w:rPr>
        <w:t xml:space="preserve"> Cachexia, a systemic disease beyond muscle atrophy. </w:t>
      </w:r>
      <w:r w:rsidRPr="003D69B6">
        <w:rPr>
          <w:rFonts w:eastAsia="Times New Roman"/>
          <w:i/>
          <w:iCs/>
          <w:lang w:val="en-US"/>
        </w:rPr>
        <w:t>International Journal of Molecular Sciences</w:t>
      </w:r>
      <w:r w:rsidRPr="003D69B6">
        <w:rPr>
          <w:rFonts w:eastAsia="Times New Roman"/>
          <w:lang w:val="en-US"/>
        </w:rPr>
        <w:t xml:space="preserve"> vol. 21 1–18 Preprint at https://doi.org/10.3390/ijms21228592 (2020).</w:t>
      </w:r>
    </w:p>
    <w:p w14:paraId="346CBDBC" w14:textId="77777777" w:rsidR="00800F21" w:rsidRPr="003D69B6" w:rsidRDefault="00800F21" w:rsidP="00800F21">
      <w:pPr>
        <w:autoSpaceDE w:val="0"/>
        <w:autoSpaceDN w:val="0"/>
        <w:ind w:hanging="640"/>
        <w:rPr>
          <w:rFonts w:eastAsia="Times New Roman"/>
          <w:lang w:val="en-US"/>
        </w:rPr>
      </w:pPr>
      <w:r w:rsidRPr="003A3585">
        <w:rPr>
          <w:rFonts w:eastAsia="Times New Roman"/>
        </w:rPr>
        <w:t>S4.</w:t>
      </w:r>
      <w:r w:rsidRPr="003A3585">
        <w:rPr>
          <w:rFonts w:eastAsia="Times New Roman"/>
        </w:rPr>
        <w:tab/>
      </w:r>
      <w:proofErr w:type="spellStart"/>
      <w:r w:rsidRPr="003A3585">
        <w:rPr>
          <w:rFonts w:eastAsia="Times New Roman"/>
        </w:rPr>
        <w:t>Laviano</w:t>
      </w:r>
      <w:proofErr w:type="spellEnd"/>
      <w:r w:rsidRPr="003A3585">
        <w:rPr>
          <w:rFonts w:eastAsia="Times New Roman"/>
        </w:rPr>
        <w:t xml:space="preserve">, A. </w:t>
      </w:r>
      <w:r w:rsidRPr="003A3585">
        <w:rPr>
          <w:rFonts w:eastAsia="Times New Roman"/>
          <w:i/>
          <w:iCs/>
        </w:rPr>
        <w:t>et al.</w:t>
      </w:r>
      <w:r w:rsidRPr="003A3585">
        <w:rPr>
          <w:rFonts w:eastAsia="Times New Roman"/>
        </w:rPr>
        <w:t xml:space="preserve"> </w:t>
      </w:r>
      <w:r w:rsidRPr="003D69B6">
        <w:rPr>
          <w:rFonts w:eastAsia="Times New Roman"/>
          <w:lang w:val="en-US"/>
        </w:rPr>
        <w:t>Neural control of the anorexia-cachexia syndrome. 1000–1008 (2008) doi:10.1152/ajpendo.90252.2008.</w:t>
      </w:r>
    </w:p>
    <w:p w14:paraId="4AB7A326" w14:textId="77777777" w:rsidR="00800F21" w:rsidRPr="003D69B6" w:rsidRDefault="00800F21" w:rsidP="00800F21">
      <w:pPr>
        <w:autoSpaceDE w:val="0"/>
        <w:autoSpaceDN w:val="0"/>
        <w:ind w:hanging="640"/>
        <w:rPr>
          <w:rFonts w:eastAsia="Times New Roman"/>
          <w:lang w:val="en-US"/>
        </w:rPr>
      </w:pPr>
      <w:r>
        <w:rPr>
          <w:rFonts w:eastAsia="Times New Roman"/>
          <w:lang w:val="en-US"/>
        </w:rPr>
        <w:t>S5</w:t>
      </w:r>
      <w:r w:rsidRPr="003D69B6">
        <w:rPr>
          <w:rFonts w:eastAsia="Times New Roman"/>
          <w:lang w:val="en-US"/>
        </w:rPr>
        <w:t>.</w:t>
      </w:r>
      <w:r w:rsidRPr="003D69B6">
        <w:rPr>
          <w:rFonts w:eastAsia="Times New Roman"/>
          <w:lang w:val="en-US"/>
        </w:rPr>
        <w:tab/>
      </w:r>
      <w:proofErr w:type="spellStart"/>
      <w:r w:rsidRPr="003D69B6">
        <w:rPr>
          <w:rFonts w:eastAsia="Times New Roman"/>
          <w:lang w:val="en-US"/>
        </w:rPr>
        <w:t>Molfino</w:t>
      </w:r>
      <w:proofErr w:type="spellEnd"/>
      <w:r w:rsidRPr="003D69B6">
        <w:rPr>
          <w:rFonts w:eastAsia="Times New Roman"/>
          <w:lang w:val="en-US"/>
        </w:rPr>
        <w:t xml:space="preserve">, A., Gioia, G., Fanelli, F. R. &amp; </w:t>
      </w:r>
      <w:proofErr w:type="spellStart"/>
      <w:r w:rsidRPr="003D69B6">
        <w:rPr>
          <w:rFonts w:eastAsia="Times New Roman"/>
          <w:lang w:val="en-US"/>
        </w:rPr>
        <w:t>Laviano</w:t>
      </w:r>
      <w:proofErr w:type="spellEnd"/>
      <w:r w:rsidRPr="003D69B6">
        <w:rPr>
          <w:rFonts w:eastAsia="Times New Roman"/>
          <w:lang w:val="en-US"/>
        </w:rPr>
        <w:t xml:space="preserve">, A. Contribution of Neuroinflammation to the Pathogenesis of Cancer Cachexia. </w:t>
      </w:r>
      <w:r w:rsidRPr="003D69B6">
        <w:rPr>
          <w:rFonts w:eastAsia="Times New Roman"/>
          <w:i/>
          <w:iCs/>
          <w:lang w:val="en-US"/>
        </w:rPr>
        <w:t xml:space="preserve">Mediators </w:t>
      </w:r>
      <w:proofErr w:type="spellStart"/>
      <w:r w:rsidRPr="003D69B6">
        <w:rPr>
          <w:rFonts w:eastAsia="Times New Roman"/>
          <w:i/>
          <w:iCs/>
          <w:lang w:val="en-US"/>
        </w:rPr>
        <w:t>Inflamm</w:t>
      </w:r>
      <w:proofErr w:type="spellEnd"/>
      <w:r w:rsidRPr="003D69B6">
        <w:rPr>
          <w:rFonts w:eastAsia="Times New Roman"/>
          <w:lang w:val="en-US"/>
        </w:rPr>
        <w:t xml:space="preserve"> </w:t>
      </w:r>
      <w:r w:rsidRPr="003D69B6">
        <w:rPr>
          <w:rFonts w:eastAsia="Times New Roman"/>
          <w:b/>
          <w:bCs/>
          <w:lang w:val="en-US"/>
        </w:rPr>
        <w:t>2015</w:t>
      </w:r>
      <w:r w:rsidRPr="003D69B6">
        <w:rPr>
          <w:rFonts w:eastAsia="Times New Roman"/>
          <w:lang w:val="en-US"/>
        </w:rPr>
        <w:t>, (2015).</w:t>
      </w:r>
    </w:p>
    <w:p w14:paraId="01FAB815" w14:textId="77777777" w:rsidR="00800F21" w:rsidRPr="003D69B6" w:rsidRDefault="00800F21" w:rsidP="00800F21">
      <w:pPr>
        <w:autoSpaceDE w:val="0"/>
        <w:autoSpaceDN w:val="0"/>
        <w:ind w:hanging="640"/>
        <w:rPr>
          <w:rFonts w:eastAsia="Times New Roman"/>
          <w:lang w:val="en-US"/>
        </w:rPr>
      </w:pPr>
      <w:r>
        <w:rPr>
          <w:rFonts w:eastAsia="Times New Roman"/>
          <w:lang w:val="en-US"/>
        </w:rPr>
        <w:t>S6</w:t>
      </w:r>
      <w:r w:rsidRPr="003D69B6">
        <w:rPr>
          <w:rFonts w:eastAsia="Times New Roman"/>
          <w:lang w:val="en-US"/>
        </w:rPr>
        <w:t>.</w:t>
      </w:r>
      <w:r w:rsidRPr="003D69B6">
        <w:rPr>
          <w:rFonts w:eastAsia="Times New Roman"/>
          <w:lang w:val="en-US"/>
        </w:rPr>
        <w:tab/>
        <w:t xml:space="preserve">Suzuki, H., Asakawa, A., </w:t>
      </w:r>
      <w:proofErr w:type="spellStart"/>
      <w:r w:rsidRPr="003D69B6">
        <w:rPr>
          <w:rFonts w:eastAsia="Times New Roman"/>
          <w:lang w:val="en-US"/>
        </w:rPr>
        <w:t>Amitani</w:t>
      </w:r>
      <w:proofErr w:type="spellEnd"/>
      <w:r w:rsidRPr="003D69B6">
        <w:rPr>
          <w:rFonts w:eastAsia="Times New Roman"/>
          <w:lang w:val="en-US"/>
        </w:rPr>
        <w:t xml:space="preserve">, H., Nakamura, N. &amp; Inui, A. Cancer cachexia—pathophysiology and management. </w:t>
      </w:r>
      <w:r w:rsidRPr="003D69B6">
        <w:rPr>
          <w:rFonts w:eastAsia="Times New Roman"/>
          <w:i/>
          <w:iCs/>
          <w:lang w:val="en-US"/>
        </w:rPr>
        <w:t>J Gastroenterol</w:t>
      </w:r>
      <w:r w:rsidRPr="003D69B6">
        <w:rPr>
          <w:rFonts w:eastAsia="Times New Roman"/>
          <w:lang w:val="en-US"/>
        </w:rPr>
        <w:t xml:space="preserve"> </w:t>
      </w:r>
      <w:r w:rsidRPr="003D69B6">
        <w:rPr>
          <w:rFonts w:eastAsia="Times New Roman"/>
          <w:b/>
          <w:bCs/>
          <w:lang w:val="en-US"/>
        </w:rPr>
        <w:t>48</w:t>
      </w:r>
      <w:r w:rsidRPr="003D69B6">
        <w:rPr>
          <w:rFonts w:eastAsia="Times New Roman"/>
          <w:lang w:val="en-US"/>
        </w:rPr>
        <w:t>, 574–594 (2013).</w:t>
      </w:r>
    </w:p>
    <w:p w14:paraId="0A74B7DA" w14:textId="77777777" w:rsidR="00800F21" w:rsidRPr="003D69B6" w:rsidRDefault="00800F21" w:rsidP="00800F21">
      <w:pPr>
        <w:autoSpaceDE w:val="0"/>
        <w:autoSpaceDN w:val="0"/>
        <w:ind w:hanging="640"/>
        <w:rPr>
          <w:rFonts w:eastAsia="Times New Roman"/>
          <w:lang w:val="en-US"/>
        </w:rPr>
      </w:pPr>
      <w:r>
        <w:rPr>
          <w:rFonts w:eastAsia="Times New Roman"/>
          <w:lang w:val="en-US"/>
        </w:rPr>
        <w:t>S7</w:t>
      </w:r>
      <w:r w:rsidRPr="003D69B6">
        <w:rPr>
          <w:rFonts w:eastAsia="Times New Roman"/>
          <w:lang w:val="en-US"/>
        </w:rPr>
        <w:t>.</w:t>
      </w:r>
      <w:r w:rsidRPr="003D69B6">
        <w:rPr>
          <w:rFonts w:eastAsia="Times New Roman"/>
          <w:lang w:val="en-US"/>
        </w:rPr>
        <w:tab/>
      </w:r>
      <w:proofErr w:type="spellStart"/>
      <w:r w:rsidRPr="003D69B6">
        <w:rPr>
          <w:rFonts w:eastAsia="Times New Roman"/>
          <w:lang w:val="en-US"/>
        </w:rPr>
        <w:t>Ebadi</w:t>
      </w:r>
      <w:proofErr w:type="spellEnd"/>
      <w:r w:rsidRPr="003D69B6">
        <w:rPr>
          <w:rFonts w:eastAsia="Times New Roman"/>
          <w:lang w:val="en-US"/>
        </w:rPr>
        <w:t xml:space="preserve">, M. &amp; </w:t>
      </w:r>
      <w:proofErr w:type="spellStart"/>
      <w:r w:rsidRPr="003D69B6">
        <w:rPr>
          <w:rFonts w:eastAsia="Times New Roman"/>
          <w:lang w:val="en-US"/>
        </w:rPr>
        <w:t>Mazurak</w:t>
      </w:r>
      <w:proofErr w:type="spellEnd"/>
      <w:r w:rsidRPr="003D69B6">
        <w:rPr>
          <w:rFonts w:eastAsia="Times New Roman"/>
          <w:lang w:val="en-US"/>
        </w:rPr>
        <w:t xml:space="preserve">, V. C. Potential Biomarkers of Fat Loss as a Feature of Cancer Cachexia. </w:t>
      </w:r>
      <w:r w:rsidRPr="003D69B6">
        <w:rPr>
          <w:rFonts w:eastAsia="Times New Roman"/>
          <w:i/>
          <w:iCs/>
          <w:lang w:val="en-US"/>
        </w:rPr>
        <w:t xml:space="preserve">Mediators </w:t>
      </w:r>
      <w:proofErr w:type="spellStart"/>
      <w:r w:rsidRPr="003D69B6">
        <w:rPr>
          <w:rFonts w:eastAsia="Times New Roman"/>
          <w:i/>
          <w:iCs/>
          <w:lang w:val="en-US"/>
        </w:rPr>
        <w:t>Inflamm</w:t>
      </w:r>
      <w:proofErr w:type="spellEnd"/>
      <w:r w:rsidRPr="003D69B6">
        <w:rPr>
          <w:rFonts w:eastAsia="Times New Roman"/>
          <w:lang w:val="en-US"/>
        </w:rPr>
        <w:t xml:space="preserve"> </w:t>
      </w:r>
      <w:r w:rsidRPr="003D69B6">
        <w:rPr>
          <w:rFonts w:eastAsia="Times New Roman"/>
          <w:b/>
          <w:bCs/>
          <w:lang w:val="en-US"/>
        </w:rPr>
        <w:t>2015</w:t>
      </w:r>
      <w:r w:rsidRPr="003D69B6">
        <w:rPr>
          <w:rFonts w:eastAsia="Times New Roman"/>
          <w:lang w:val="en-US"/>
        </w:rPr>
        <w:t>, (2015).</w:t>
      </w:r>
    </w:p>
    <w:p w14:paraId="3ABDDED8" w14:textId="77777777" w:rsidR="00800F21" w:rsidRPr="003D69B6" w:rsidRDefault="00800F21" w:rsidP="00800F21">
      <w:pPr>
        <w:autoSpaceDE w:val="0"/>
        <w:autoSpaceDN w:val="0"/>
        <w:ind w:hanging="640"/>
        <w:rPr>
          <w:rFonts w:eastAsia="Times New Roman"/>
          <w:lang w:val="en-US"/>
        </w:rPr>
      </w:pPr>
      <w:r>
        <w:rPr>
          <w:rFonts w:eastAsia="Times New Roman"/>
          <w:lang w:val="en-US"/>
        </w:rPr>
        <w:t>S8</w:t>
      </w:r>
      <w:r w:rsidRPr="003D69B6">
        <w:rPr>
          <w:rFonts w:eastAsia="Times New Roman"/>
          <w:lang w:val="en-US"/>
        </w:rPr>
        <w:t>.</w:t>
      </w:r>
      <w:r w:rsidRPr="003D69B6">
        <w:rPr>
          <w:rFonts w:eastAsia="Times New Roman"/>
          <w:lang w:val="en-US"/>
        </w:rPr>
        <w:tab/>
        <w:t xml:space="preserve">Frank, M. G., </w:t>
      </w:r>
      <w:proofErr w:type="spellStart"/>
      <w:r w:rsidRPr="003D69B6">
        <w:rPr>
          <w:rFonts w:eastAsia="Times New Roman"/>
          <w:lang w:val="en-US"/>
        </w:rPr>
        <w:t>Baratta</w:t>
      </w:r>
      <w:proofErr w:type="spellEnd"/>
      <w:r w:rsidRPr="003D69B6">
        <w:rPr>
          <w:rFonts w:eastAsia="Times New Roman"/>
          <w:lang w:val="en-US"/>
        </w:rPr>
        <w:t xml:space="preserve">, M. V., </w:t>
      </w:r>
      <w:proofErr w:type="spellStart"/>
      <w:r w:rsidRPr="003D69B6">
        <w:rPr>
          <w:rFonts w:eastAsia="Times New Roman"/>
          <w:lang w:val="en-US"/>
        </w:rPr>
        <w:t>Sprunger</w:t>
      </w:r>
      <w:proofErr w:type="spellEnd"/>
      <w:r w:rsidRPr="003D69B6">
        <w:rPr>
          <w:rFonts w:eastAsia="Times New Roman"/>
          <w:lang w:val="en-US"/>
        </w:rPr>
        <w:t xml:space="preserve">, D. B., Watkins, L. R. &amp; Maier, S. F. Microglia serve as a neuroimmune substrate for stress-induced potentiation of CNS pro-inflammatory cytokine responses. </w:t>
      </w:r>
      <w:r w:rsidRPr="003D69B6">
        <w:rPr>
          <w:rFonts w:eastAsia="Times New Roman"/>
          <w:i/>
          <w:iCs/>
          <w:lang w:val="en-US"/>
        </w:rPr>
        <w:t xml:space="preserve">Brain </w:t>
      </w:r>
      <w:proofErr w:type="spellStart"/>
      <w:r w:rsidRPr="003D69B6">
        <w:rPr>
          <w:rFonts w:eastAsia="Times New Roman"/>
          <w:i/>
          <w:iCs/>
          <w:lang w:val="en-US"/>
        </w:rPr>
        <w:t>Behav</w:t>
      </w:r>
      <w:proofErr w:type="spellEnd"/>
      <w:r w:rsidRPr="003D69B6">
        <w:rPr>
          <w:rFonts w:eastAsia="Times New Roman"/>
          <w:i/>
          <w:iCs/>
          <w:lang w:val="en-US"/>
        </w:rPr>
        <w:t xml:space="preserve"> </w:t>
      </w:r>
      <w:proofErr w:type="spellStart"/>
      <w:r w:rsidRPr="003D69B6">
        <w:rPr>
          <w:rFonts w:eastAsia="Times New Roman"/>
          <w:i/>
          <w:iCs/>
          <w:lang w:val="en-US"/>
        </w:rPr>
        <w:t>Immun</w:t>
      </w:r>
      <w:proofErr w:type="spellEnd"/>
      <w:r w:rsidRPr="003D69B6">
        <w:rPr>
          <w:rFonts w:eastAsia="Times New Roman"/>
          <w:lang w:val="en-US"/>
        </w:rPr>
        <w:t xml:space="preserve"> </w:t>
      </w:r>
      <w:r w:rsidRPr="003D69B6">
        <w:rPr>
          <w:rFonts w:eastAsia="Times New Roman"/>
          <w:b/>
          <w:bCs/>
          <w:lang w:val="en-US"/>
        </w:rPr>
        <w:t>21</w:t>
      </w:r>
      <w:r w:rsidRPr="003D69B6">
        <w:rPr>
          <w:rFonts w:eastAsia="Times New Roman"/>
          <w:lang w:val="en-US"/>
        </w:rPr>
        <w:t>, 47–59 (2007).</w:t>
      </w:r>
    </w:p>
    <w:p w14:paraId="211ADB3B" w14:textId="77777777" w:rsidR="00800F21" w:rsidRPr="003D69B6" w:rsidRDefault="00800F21" w:rsidP="00800F21">
      <w:pPr>
        <w:autoSpaceDE w:val="0"/>
        <w:autoSpaceDN w:val="0"/>
        <w:ind w:hanging="640"/>
        <w:rPr>
          <w:rFonts w:eastAsia="Times New Roman"/>
          <w:lang w:val="en-US"/>
        </w:rPr>
      </w:pPr>
      <w:r>
        <w:rPr>
          <w:rFonts w:eastAsia="Times New Roman"/>
          <w:lang w:val="en-US"/>
        </w:rPr>
        <w:t>S9</w:t>
      </w:r>
      <w:r w:rsidRPr="003D69B6">
        <w:rPr>
          <w:rFonts w:eastAsia="Times New Roman"/>
          <w:lang w:val="en-US"/>
        </w:rPr>
        <w:t>.</w:t>
      </w:r>
      <w:r w:rsidRPr="003D69B6">
        <w:rPr>
          <w:rFonts w:eastAsia="Times New Roman"/>
          <w:lang w:val="en-US"/>
        </w:rPr>
        <w:tab/>
      </w:r>
      <w:proofErr w:type="spellStart"/>
      <w:r w:rsidRPr="003D69B6">
        <w:rPr>
          <w:rFonts w:eastAsia="Times New Roman"/>
          <w:lang w:val="en-US"/>
        </w:rPr>
        <w:t>DiSabato</w:t>
      </w:r>
      <w:proofErr w:type="spellEnd"/>
      <w:r w:rsidRPr="003D69B6">
        <w:rPr>
          <w:rFonts w:eastAsia="Times New Roman"/>
          <w:lang w:val="en-US"/>
        </w:rPr>
        <w:t xml:space="preserve">, D., Quan, N. &amp; Godbout, J. P. Neuroinflammation: The Devil is in the Details. </w:t>
      </w:r>
      <w:r w:rsidRPr="003D69B6">
        <w:rPr>
          <w:rFonts w:eastAsia="Times New Roman"/>
          <w:i/>
          <w:iCs/>
          <w:lang w:val="en-US"/>
        </w:rPr>
        <w:t xml:space="preserve">J </w:t>
      </w:r>
      <w:proofErr w:type="spellStart"/>
      <w:r w:rsidRPr="003D69B6">
        <w:rPr>
          <w:rFonts w:eastAsia="Times New Roman"/>
          <w:i/>
          <w:iCs/>
          <w:lang w:val="en-US"/>
        </w:rPr>
        <w:t>Neurochem</w:t>
      </w:r>
      <w:proofErr w:type="spellEnd"/>
      <w:r w:rsidRPr="003D69B6">
        <w:rPr>
          <w:rFonts w:eastAsia="Times New Roman"/>
          <w:lang w:val="en-US"/>
        </w:rPr>
        <w:t xml:space="preserve"> </w:t>
      </w:r>
      <w:r w:rsidRPr="003D69B6">
        <w:rPr>
          <w:rFonts w:eastAsia="Times New Roman"/>
          <w:b/>
          <w:bCs/>
          <w:lang w:val="en-US"/>
        </w:rPr>
        <w:t>139</w:t>
      </w:r>
      <w:r w:rsidRPr="003D69B6">
        <w:rPr>
          <w:rFonts w:eastAsia="Times New Roman"/>
          <w:lang w:val="en-US"/>
        </w:rPr>
        <w:t>, 136–153 (2016).</w:t>
      </w:r>
    </w:p>
    <w:p w14:paraId="1E5917AA" w14:textId="77777777" w:rsidR="00800F21" w:rsidRPr="003D69B6" w:rsidRDefault="00800F21" w:rsidP="00800F21">
      <w:pPr>
        <w:autoSpaceDE w:val="0"/>
        <w:autoSpaceDN w:val="0"/>
        <w:ind w:hanging="640"/>
        <w:rPr>
          <w:rFonts w:eastAsia="Times New Roman"/>
          <w:lang w:val="en-US"/>
        </w:rPr>
      </w:pPr>
      <w:r>
        <w:rPr>
          <w:rFonts w:eastAsia="Times New Roman"/>
          <w:lang w:val="en-US"/>
        </w:rPr>
        <w:t>S10</w:t>
      </w:r>
      <w:r w:rsidRPr="003D69B6">
        <w:rPr>
          <w:rFonts w:eastAsia="Times New Roman"/>
          <w:lang w:val="en-US"/>
        </w:rPr>
        <w:t>.</w:t>
      </w:r>
      <w:r w:rsidRPr="003D69B6">
        <w:rPr>
          <w:rFonts w:eastAsia="Times New Roman"/>
          <w:lang w:val="en-US"/>
        </w:rPr>
        <w:tab/>
      </w:r>
      <w:proofErr w:type="spellStart"/>
      <w:r w:rsidRPr="003D69B6">
        <w:rPr>
          <w:rFonts w:eastAsia="Times New Roman"/>
          <w:lang w:val="en-US"/>
        </w:rPr>
        <w:t>Laviano</w:t>
      </w:r>
      <w:proofErr w:type="spellEnd"/>
      <w:r w:rsidRPr="003D69B6">
        <w:rPr>
          <w:rFonts w:eastAsia="Times New Roman"/>
          <w:lang w:val="en-US"/>
        </w:rPr>
        <w:t xml:space="preserve">, A., </w:t>
      </w:r>
      <w:proofErr w:type="spellStart"/>
      <w:r w:rsidRPr="003D69B6">
        <w:rPr>
          <w:rFonts w:eastAsia="Times New Roman"/>
          <w:lang w:val="en-US"/>
        </w:rPr>
        <w:t>Seelaender</w:t>
      </w:r>
      <w:proofErr w:type="spellEnd"/>
      <w:r w:rsidRPr="003D69B6">
        <w:rPr>
          <w:rFonts w:eastAsia="Times New Roman"/>
          <w:lang w:val="en-US"/>
        </w:rPr>
        <w:t xml:space="preserve">, M., </w:t>
      </w:r>
      <w:proofErr w:type="spellStart"/>
      <w:r w:rsidRPr="003D69B6">
        <w:rPr>
          <w:rFonts w:eastAsia="Times New Roman"/>
          <w:lang w:val="en-US"/>
        </w:rPr>
        <w:t>Rianda</w:t>
      </w:r>
      <w:proofErr w:type="spellEnd"/>
      <w:r w:rsidRPr="003D69B6">
        <w:rPr>
          <w:rFonts w:eastAsia="Times New Roman"/>
          <w:lang w:val="en-US"/>
        </w:rPr>
        <w:t xml:space="preserve">, S., Silverio, R. &amp; Rossi Fanelli, F. Neuroinflammation: a contributing factor to the pathogenesis of cancer cachexia. </w:t>
      </w:r>
      <w:r w:rsidRPr="003D69B6">
        <w:rPr>
          <w:rFonts w:eastAsia="Times New Roman"/>
          <w:i/>
          <w:iCs/>
          <w:lang w:val="en-US"/>
        </w:rPr>
        <w:t xml:space="preserve">Crit Rev </w:t>
      </w:r>
      <w:proofErr w:type="spellStart"/>
      <w:r w:rsidRPr="003D69B6">
        <w:rPr>
          <w:rFonts w:eastAsia="Times New Roman"/>
          <w:i/>
          <w:iCs/>
          <w:lang w:val="en-US"/>
        </w:rPr>
        <w:t>Oncog</w:t>
      </w:r>
      <w:proofErr w:type="spellEnd"/>
      <w:r w:rsidRPr="003D69B6">
        <w:rPr>
          <w:rFonts w:eastAsia="Times New Roman"/>
          <w:lang w:val="en-US"/>
        </w:rPr>
        <w:t xml:space="preserve"> </w:t>
      </w:r>
      <w:r w:rsidRPr="003D69B6">
        <w:rPr>
          <w:rFonts w:eastAsia="Times New Roman"/>
          <w:b/>
          <w:bCs/>
          <w:lang w:val="en-US"/>
        </w:rPr>
        <w:t>17</w:t>
      </w:r>
      <w:r w:rsidRPr="003D69B6">
        <w:rPr>
          <w:rFonts w:eastAsia="Times New Roman"/>
          <w:lang w:val="en-US"/>
        </w:rPr>
        <w:t>, 247–51 (2012).</w:t>
      </w:r>
    </w:p>
    <w:p w14:paraId="5AED9532" w14:textId="77777777" w:rsidR="00800F21" w:rsidRPr="003D69B6" w:rsidRDefault="00800F21" w:rsidP="00800F21">
      <w:pPr>
        <w:autoSpaceDE w:val="0"/>
        <w:autoSpaceDN w:val="0"/>
        <w:ind w:hanging="640"/>
        <w:rPr>
          <w:rFonts w:eastAsia="Times New Roman"/>
          <w:lang w:val="en-US"/>
        </w:rPr>
      </w:pPr>
      <w:r>
        <w:rPr>
          <w:rFonts w:eastAsia="Times New Roman"/>
          <w:lang w:val="en-US"/>
        </w:rPr>
        <w:t>S11</w:t>
      </w:r>
      <w:r w:rsidRPr="003D69B6">
        <w:rPr>
          <w:rFonts w:eastAsia="Times New Roman"/>
          <w:lang w:val="en-US"/>
        </w:rPr>
        <w:t>.</w:t>
      </w:r>
      <w:r w:rsidRPr="003D69B6">
        <w:rPr>
          <w:rFonts w:eastAsia="Times New Roman"/>
          <w:lang w:val="en-US"/>
        </w:rPr>
        <w:tab/>
      </w:r>
      <w:proofErr w:type="spellStart"/>
      <w:r w:rsidRPr="003D69B6">
        <w:rPr>
          <w:rFonts w:eastAsia="Times New Roman"/>
          <w:lang w:val="en-US"/>
        </w:rPr>
        <w:t>Latacz</w:t>
      </w:r>
      <w:proofErr w:type="spellEnd"/>
      <w:r w:rsidRPr="003D69B6">
        <w:rPr>
          <w:rFonts w:eastAsia="Times New Roman"/>
          <w:lang w:val="en-US"/>
        </w:rPr>
        <w:t xml:space="preserve">, A., Russell, J. A., </w:t>
      </w:r>
      <w:proofErr w:type="spellStart"/>
      <w:r w:rsidRPr="003D69B6">
        <w:rPr>
          <w:rFonts w:eastAsia="Times New Roman"/>
          <w:lang w:val="en-US"/>
        </w:rPr>
        <w:t>Ocloń</w:t>
      </w:r>
      <w:proofErr w:type="spellEnd"/>
      <w:r w:rsidRPr="003D69B6">
        <w:rPr>
          <w:rFonts w:eastAsia="Times New Roman"/>
          <w:lang w:val="en-US"/>
        </w:rPr>
        <w:t xml:space="preserve">, E., </w:t>
      </w:r>
      <w:proofErr w:type="spellStart"/>
      <w:r w:rsidRPr="003D69B6">
        <w:rPr>
          <w:rFonts w:eastAsia="Times New Roman"/>
          <w:lang w:val="en-US"/>
        </w:rPr>
        <w:t>Zubel-Lojek</w:t>
      </w:r>
      <w:proofErr w:type="spellEnd"/>
      <w:r w:rsidRPr="003D69B6">
        <w:rPr>
          <w:rFonts w:eastAsia="Times New Roman"/>
          <w:lang w:val="en-US"/>
        </w:rPr>
        <w:t xml:space="preserve">, J. &amp; </w:t>
      </w:r>
      <w:proofErr w:type="spellStart"/>
      <w:r w:rsidRPr="003D69B6">
        <w:rPr>
          <w:rFonts w:eastAsia="Times New Roman"/>
          <w:lang w:val="en-US"/>
        </w:rPr>
        <w:t>Pierzchala-Koziec</w:t>
      </w:r>
      <w:proofErr w:type="spellEnd"/>
      <w:r w:rsidRPr="003D69B6">
        <w:rPr>
          <w:rFonts w:eastAsia="Times New Roman"/>
          <w:lang w:val="en-US"/>
        </w:rPr>
        <w:t xml:space="preserve">, K. mTOR Pathway - Novel Modulator of Astrocyte Activity. </w:t>
      </w:r>
      <w:r w:rsidRPr="003D69B6">
        <w:rPr>
          <w:rFonts w:eastAsia="Times New Roman"/>
          <w:i/>
          <w:iCs/>
          <w:lang w:val="en-US"/>
        </w:rPr>
        <w:t>Folia Biol (Praha)</w:t>
      </w:r>
      <w:r w:rsidRPr="003D69B6">
        <w:rPr>
          <w:rFonts w:eastAsia="Times New Roman"/>
          <w:lang w:val="en-US"/>
        </w:rPr>
        <w:t xml:space="preserve"> </w:t>
      </w:r>
      <w:r w:rsidRPr="003D69B6">
        <w:rPr>
          <w:rFonts w:eastAsia="Times New Roman"/>
          <w:b/>
          <w:bCs/>
          <w:lang w:val="en-US"/>
        </w:rPr>
        <w:t>63</w:t>
      </w:r>
      <w:r w:rsidRPr="003D69B6">
        <w:rPr>
          <w:rFonts w:eastAsia="Times New Roman"/>
          <w:lang w:val="en-US"/>
        </w:rPr>
        <w:t>, 95–105 (2015).</w:t>
      </w:r>
    </w:p>
    <w:p w14:paraId="67818118" w14:textId="77777777" w:rsidR="00800F21" w:rsidRDefault="00800F21" w:rsidP="00800F21">
      <w:pPr>
        <w:autoSpaceDE w:val="0"/>
        <w:autoSpaceDN w:val="0"/>
        <w:ind w:hanging="640"/>
        <w:rPr>
          <w:rFonts w:eastAsia="Times New Roman"/>
          <w:lang w:val="en-US"/>
        </w:rPr>
      </w:pPr>
      <w:r>
        <w:rPr>
          <w:rFonts w:eastAsia="Times New Roman"/>
          <w:lang w:val="en-US"/>
        </w:rPr>
        <w:t>S12</w:t>
      </w:r>
      <w:r w:rsidRPr="003D69B6">
        <w:rPr>
          <w:rFonts w:eastAsia="Times New Roman"/>
          <w:lang w:val="en-US"/>
        </w:rPr>
        <w:t>.</w:t>
      </w:r>
      <w:r w:rsidRPr="003D69B6">
        <w:rPr>
          <w:rFonts w:eastAsia="Times New Roman"/>
          <w:lang w:val="en-US"/>
        </w:rPr>
        <w:tab/>
        <w:t xml:space="preserve">Henry, B. Loss of Tsc1 / Tsc2 activates mTOR and disrupts PI3K-Akt signaling through downregulation of PDGFR. </w:t>
      </w:r>
      <w:r w:rsidRPr="003D69B6">
        <w:rPr>
          <w:rFonts w:eastAsia="Times New Roman"/>
          <w:b/>
          <w:bCs/>
          <w:lang w:val="en-US"/>
        </w:rPr>
        <w:t>112</w:t>
      </w:r>
      <w:r w:rsidRPr="003D69B6">
        <w:rPr>
          <w:rFonts w:eastAsia="Times New Roman"/>
          <w:lang w:val="en-US"/>
        </w:rPr>
        <w:t>, 1223–1233 (2003).</w:t>
      </w:r>
    </w:p>
    <w:p w14:paraId="6E425F11" w14:textId="77777777" w:rsidR="00800F21" w:rsidRPr="003D69B6" w:rsidRDefault="00800F21" w:rsidP="00800F21">
      <w:pPr>
        <w:autoSpaceDE w:val="0"/>
        <w:autoSpaceDN w:val="0"/>
        <w:ind w:hanging="640"/>
        <w:rPr>
          <w:rFonts w:eastAsia="Times New Roman"/>
          <w:lang w:val="en-US"/>
        </w:rPr>
      </w:pPr>
      <w:r>
        <w:rPr>
          <w:rFonts w:eastAsia="Times New Roman"/>
          <w:lang w:val="en-US"/>
        </w:rPr>
        <w:t>S13</w:t>
      </w:r>
      <w:r w:rsidRPr="003D69B6">
        <w:rPr>
          <w:rFonts w:eastAsia="Times New Roman"/>
          <w:lang w:val="en-US"/>
        </w:rPr>
        <w:t>.</w:t>
      </w:r>
      <w:r w:rsidRPr="003D69B6">
        <w:rPr>
          <w:rFonts w:eastAsia="Times New Roman"/>
          <w:lang w:val="en-US"/>
        </w:rPr>
        <w:tab/>
      </w:r>
      <w:proofErr w:type="spellStart"/>
      <w:r w:rsidRPr="003D69B6">
        <w:rPr>
          <w:rFonts w:eastAsia="Times New Roman"/>
          <w:lang w:val="en-US"/>
        </w:rPr>
        <w:t>Dello</w:t>
      </w:r>
      <w:proofErr w:type="spellEnd"/>
      <w:r w:rsidRPr="003D69B6">
        <w:rPr>
          <w:rFonts w:eastAsia="Times New Roman"/>
          <w:lang w:val="en-US"/>
        </w:rPr>
        <w:t xml:space="preserve"> Russo, C., </w:t>
      </w:r>
      <w:proofErr w:type="spellStart"/>
      <w:r w:rsidRPr="003D69B6">
        <w:rPr>
          <w:rFonts w:eastAsia="Times New Roman"/>
          <w:lang w:val="en-US"/>
        </w:rPr>
        <w:t>Lisi</w:t>
      </w:r>
      <w:proofErr w:type="spellEnd"/>
      <w:r w:rsidRPr="003D69B6">
        <w:rPr>
          <w:rFonts w:eastAsia="Times New Roman"/>
          <w:lang w:val="en-US"/>
        </w:rPr>
        <w:t xml:space="preserve">, L., </w:t>
      </w:r>
      <w:proofErr w:type="spellStart"/>
      <w:r w:rsidRPr="003D69B6">
        <w:rPr>
          <w:rFonts w:eastAsia="Times New Roman"/>
          <w:lang w:val="en-US"/>
        </w:rPr>
        <w:t>Tringali</w:t>
      </w:r>
      <w:proofErr w:type="spellEnd"/>
      <w:r w:rsidRPr="003D69B6">
        <w:rPr>
          <w:rFonts w:eastAsia="Times New Roman"/>
          <w:lang w:val="en-US"/>
        </w:rPr>
        <w:t xml:space="preserve">, G. &amp; Navarra, P. Involvement of mTOR kinase in cytokine-dependent microglial activation and cell proliferation. </w:t>
      </w:r>
      <w:proofErr w:type="spellStart"/>
      <w:r w:rsidRPr="003D69B6">
        <w:rPr>
          <w:rFonts w:eastAsia="Times New Roman"/>
          <w:i/>
          <w:iCs/>
          <w:lang w:val="en-US"/>
        </w:rPr>
        <w:t>Biochem</w:t>
      </w:r>
      <w:proofErr w:type="spellEnd"/>
      <w:r w:rsidRPr="003D69B6">
        <w:rPr>
          <w:rFonts w:eastAsia="Times New Roman"/>
          <w:i/>
          <w:iCs/>
          <w:lang w:val="en-US"/>
        </w:rPr>
        <w:t xml:space="preserve"> </w:t>
      </w:r>
      <w:proofErr w:type="spellStart"/>
      <w:r w:rsidRPr="003D69B6">
        <w:rPr>
          <w:rFonts w:eastAsia="Times New Roman"/>
          <w:i/>
          <w:iCs/>
          <w:lang w:val="en-US"/>
        </w:rPr>
        <w:t>Pharmacol</w:t>
      </w:r>
      <w:proofErr w:type="spellEnd"/>
      <w:r w:rsidRPr="003D69B6">
        <w:rPr>
          <w:rFonts w:eastAsia="Times New Roman"/>
          <w:lang w:val="en-US"/>
        </w:rPr>
        <w:t xml:space="preserve"> </w:t>
      </w:r>
      <w:r w:rsidRPr="003D69B6">
        <w:rPr>
          <w:rFonts w:eastAsia="Times New Roman"/>
          <w:b/>
          <w:bCs/>
          <w:lang w:val="en-US"/>
        </w:rPr>
        <w:t>78</w:t>
      </w:r>
      <w:r w:rsidRPr="003D69B6">
        <w:rPr>
          <w:rFonts w:eastAsia="Times New Roman"/>
          <w:lang w:val="en-US"/>
        </w:rPr>
        <w:t>, 1242–1251 (2009).</w:t>
      </w:r>
    </w:p>
    <w:p w14:paraId="0345F7DB" w14:textId="77777777" w:rsidR="00800F21" w:rsidRPr="003D69B6" w:rsidRDefault="00800F21" w:rsidP="00800F21">
      <w:pPr>
        <w:autoSpaceDE w:val="0"/>
        <w:autoSpaceDN w:val="0"/>
        <w:ind w:hanging="640"/>
        <w:rPr>
          <w:rFonts w:eastAsia="Times New Roman"/>
          <w:lang w:val="en-US"/>
        </w:rPr>
      </w:pPr>
      <w:r w:rsidRPr="00800F21">
        <w:rPr>
          <w:rFonts w:eastAsia="Times New Roman"/>
          <w:lang w:val="en-US"/>
        </w:rPr>
        <w:t>S14.</w:t>
      </w:r>
      <w:r w:rsidRPr="00800F21">
        <w:rPr>
          <w:rFonts w:eastAsia="Times New Roman"/>
          <w:lang w:val="en-US"/>
        </w:rPr>
        <w:tab/>
      </w:r>
      <w:proofErr w:type="spellStart"/>
      <w:r w:rsidRPr="00800F21">
        <w:rPr>
          <w:rFonts w:eastAsia="Times New Roman"/>
          <w:lang w:val="en-US"/>
        </w:rPr>
        <w:t>Kosillo</w:t>
      </w:r>
      <w:proofErr w:type="spellEnd"/>
      <w:r w:rsidRPr="00800F21">
        <w:rPr>
          <w:rFonts w:eastAsia="Times New Roman"/>
          <w:lang w:val="en-US"/>
        </w:rPr>
        <w:t xml:space="preserve">, P. </w:t>
      </w:r>
      <w:r w:rsidRPr="00800F21">
        <w:rPr>
          <w:rFonts w:eastAsia="Times New Roman"/>
          <w:i/>
          <w:iCs/>
          <w:lang w:val="en-US"/>
        </w:rPr>
        <w:t>et al.</w:t>
      </w:r>
      <w:r w:rsidRPr="00800F21">
        <w:rPr>
          <w:rFonts w:eastAsia="Times New Roman"/>
          <w:lang w:val="en-US"/>
        </w:rPr>
        <w:t xml:space="preserve"> </w:t>
      </w:r>
      <w:r w:rsidRPr="003D69B6">
        <w:rPr>
          <w:rFonts w:eastAsia="Times New Roman"/>
          <w:lang w:val="en-US"/>
        </w:rPr>
        <w:t xml:space="preserve">Tsc1-mTOR signaling controls the structure and function of midbrain dopamine neurons. </w:t>
      </w:r>
      <w:proofErr w:type="spellStart"/>
      <w:r w:rsidRPr="003D69B6">
        <w:rPr>
          <w:rFonts w:eastAsia="Times New Roman"/>
          <w:i/>
          <w:iCs/>
          <w:lang w:val="en-US"/>
        </w:rPr>
        <w:t>bioRxiv</w:t>
      </w:r>
      <w:proofErr w:type="spellEnd"/>
      <w:r w:rsidRPr="003D69B6">
        <w:rPr>
          <w:rFonts w:eastAsia="Times New Roman"/>
          <w:lang w:val="en-US"/>
        </w:rPr>
        <w:t xml:space="preserve"> 376814 (2018) doi:10.1101/376814.</w:t>
      </w:r>
    </w:p>
    <w:p w14:paraId="2E423698" w14:textId="77777777" w:rsidR="00800F21" w:rsidRPr="003D69B6" w:rsidRDefault="00800F21" w:rsidP="00800F21">
      <w:pPr>
        <w:autoSpaceDE w:val="0"/>
        <w:autoSpaceDN w:val="0"/>
        <w:ind w:hanging="640"/>
        <w:rPr>
          <w:rFonts w:eastAsia="Times New Roman"/>
          <w:lang w:val="en-US"/>
        </w:rPr>
      </w:pPr>
      <w:r>
        <w:rPr>
          <w:rFonts w:eastAsia="Times New Roman"/>
          <w:lang w:val="en-US"/>
        </w:rPr>
        <w:t>S15</w:t>
      </w:r>
      <w:r w:rsidRPr="003D69B6">
        <w:rPr>
          <w:rFonts w:eastAsia="Times New Roman"/>
          <w:lang w:val="en-US"/>
        </w:rPr>
        <w:t>.</w:t>
      </w:r>
      <w:r w:rsidRPr="003D69B6">
        <w:rPr>
          <w:rFonts w:eastAsia="Times New Roman"/>
          <w:lang w:val="en-US"/>
        </w:rPr>
        <w:tab/>
        <w:t xml:space="preserve">Andersson, J. L. R., Jenkinson, M. &amp; Smith, S. Non-linear </w:t>
      </w:r>
      <w:proofErr w:type="spellStart"/>
      <w:r w:rsidRPr="003D69B6">
        <w:rPr>
          <w:rFonts w:eastAsia="Times New Roman"/>
          <w:lang w:val="en-US"/>
        </w:rPr>
        <w:t>optimisation</w:t>
      </w:r>
      <w:proofErr w:type="spellEnd"/>
      <w:r w:rsidRPr="003D69B6">
        <w:rPr>
          <w:rFonts w:eastAsia="Times New Roman"/>
          <w:lang w:val="en-US"/>
        </w:rPr>
        <w:t xml:space="preserve"> FMRIB </w:t>
      </w:r>
      <w:proofErr w:type="spellStart"/>
      <w:r w:rsidRPr="003D69B6">
        <w:rPr>
          <w:rFonts w:eastAsia="Times New Roman"/>
          <w:lang w:val="en-US"/>
        </w:rPr>
        <w:t>Technial</w:t>
      </w:r>
      <w:proofErr w:type="spellEnd"/>
      <w:r w:rsidRPr="003D69B6">
        <w:rPr>
          <w:rFonts w:eastAsia="Times New Roman"/>
          <w:lang w:val="en-US"/>
        </w:rPr>
        <w:t xml:space="preserve"> Report TR07JA1. (2007).</w:t>
      </w:r>
    </w:p>
    <w:p w14:paraId="3D353B3D" w14:textId="77777777" w:rsidR="00800F21" w:rsidRPr="003D69B6" w:rsidRDefault="00800F21" w:rsidP="00800F21">
      <w:pPr>
        <w:autoSpaceDE w:val="0"/>
        <w:autoSpaceDN w:val="0"/>
        <w:ind w:hanging="640"/>
        <w:rPr>
          <w:rFonts w:eastAsia="Times New Roman"/>
          <w:lang w:val="en-US"/>
        </w:rPr>
      </w:pPr>
      <w:r>
        <w:rPr>
          <w:rFonts w:eastAsia="Times New Roman"/>
          <w:lang w:val="en-US"/>
        </w:rPr>
        <w:t>S16</w:t>
      </w:r>
      <w:r w:rsidRPr="003D69B6">
        <w:rPr>
          <w:rFonts w:eastAsia="Times New Roman"/>
          <w:lang w:val="en-US"/>
        </w:rPr>
        <w:t>.</w:t>
      </w:r>
      <w:r w:rsidRPr="003D69B6">
        <w:rPr>
          <w:rFonts w:eastAsia="Times New Roman"/>
          <w:lang w:val="en-US"/>
        </w:rPr>
        <w:tab/>
        <w:t>Whitfield-</w:t>
      </w:r>
      <w:proofErr w:type="spellStart"/>
      <w:r w:rsidRPr="003D69B6">
        <w:rPr>
          <w:rFonts w:eastAsia="Times New Roman"/>
          <w:lang w:val="en-US"/>
        </w:rPr>
        <w:t>Gabrieli</w:t>
      </w:r>
      <w:proofErr w:type="spellEnd"/>
      <w:r w:rsidRPr="003D69B6">
        <w:rPr>
          <w:rFonts w:eastAsia="Times New Roman"/>
          <w:lang w:val="en-US"/>
        </w:rPr>
        <w:t>, S. &amp; Nieto-</w:t>
      </w:r>
      <w:proofErr w:type="spellStart"/>
      <w:r w:rsidRPr="003D69B6">
        <w:rPr>
          <w:rFonts w:eastAsia="Times New Roman"/>
          <w:lang w:val="en-US"/>
        </w:rPr>
        <w:t>Castanon</w:t>
      </w:r>
      <w:proofErr w:type="spellEnd"/>
      <w:r w:rsidRPr="003D69B6">
        <w:rPr>
          <w:rFonts w:eastAsia="Times New Roman"/>
          <w:lang w:val="en-US"/>
        </w:rPr>
        <w:t xml:space="preserve">, A. Conn: a functional connectivity toolbox for correlated and anticorrelated brain networks. </w:t>
      </w:r>
      <w:r w:rsidRPr="003D69B6">
        <w:rPr>
          <w:rFonts w:eastAsia="Times New Roman"/>
          <w:i/>
          <w:iCs/>
          <w:lang w:val="en-US"/>
        </w:rPr>
        <w:t>Brain Connect</w:t>
      </w:r>
      <w:r w:rsidRPr="003D69B6">
        <w:rPr>
          <w:rFonts w:eastAsia="Times New Roman"/>
          <w:lang w:val="en-US"/>
        </w:rPr>
        <w:t xml:space="preserve"> </w:t>
      </w:r>
      <w:r w:rsidRPr="003D69B6">
        <w:rPr>
          <w:rFonts w:eastAsia="Times New Roman"/>
          <w:b/>
          <w:bCs/>
          <w:lang w:val="en-US"/>
        </w:rPr>
        <w:t>2</w:t>
      </w:r>
      <w:r w:rsidRPr="003D69B6">
        <w:rPr>
          <w:rFonts w:eastAsia="Times New Roman"/>
          <w:lang w:val="en-US"/>
        </w:rPr>
        <w:t>, 125–41 (2012).</w:t>
      </w:r>
    </w:p>
    <w:p w14:paraId="3E2E71B8" w14:textId="77777777" w:rsidR="00800F21" w:rsidRPr="003D69B6" w:rsidRDefault="00800F21" w:rsidP="00800F21">
      <w:pPr>
        <w:autoSpaceDE w:val="0"/>
        <w:autoSpaceDN w:val="0"/>
        <w:ind w:hanging="640"/>
        <w:rPr>
          <w:rFonts w:eastAsia="Times New Roman"/>
          <w:lang w:val="en-US"/>
        </w:rPr>
      </w:pPr>
      <w:r>
        <w:rPr>
          <w:rFonts w:eastAsia="Times New Roman"/>
          <w:lang w:val="en-US"/>
        </w:rPr>
        <w:t>S17</w:t>
      </w:r>
      <w:r w:rsidRPr="003D69B6">
        <w:rPr>
          <w:rFonts w:eastAsia="Times New Roman"/>
          <w:lang w:val="en-US"/>
        </w:rPr>
        <w:t>.</w:t>
      </w:r>
      <w:r w:rsidRPr="003D69B6">
        <w:rPr>
          <w:rFonts w:eastAsia="Times New Roman"/>
          <w:lang w:val="en-US"/>
        </w:rPr>
        <w:tab/>
        <w:t xml:space="preserve">Provencher, S. W. Automatic quantitation of localized in vivo 1H spectra with </w:t>
      </w:r>
      <w:proofErr w:type="spellStart"/>
      <w:r w:rsidRPr="003D69B6">
        <w:rPr>
          <w:rFonts w:eastAsia="Times New Roman"/>
          <w:lang w:val="en-US"/>
        </w:rPr>
        <w:t>LCModel</w:t>
      </w:r>
      <w:proofErr w:type="spellEnd"/>
      <w:r w:rsidRPr="003D69B6">
        <w:rPr>
          <w:rFonts w:eastAsia="Times New Roman"/>
          <w:lang w:val="en-US"/>
        </w:rPr>
        <w:t xml:space="preserve">. </w:t>
      </w:r>
      <w:r w:rsidRPr="003D69B6">
        <w:rPr>
          <w:rFonts w:eastAsia="Times New Roman"/>
          <w:i/>
          <w:iCs/>
          <w:lang w:val="en-US"/>
        </w:rPr>
        <w:t>NMR Biomed</w:t>
      </w:r>
      <w:r w:rsidRPr="003D69B6">
        <w:rPr>
          <w:rFonts w:eastAsia="Times New Roman"/>
          <w:lang w:val="en-US"/>
        </w:rPr>
        <w:t xml:space="preserve"> </w:t>
      </w:r>
      <w:r w:rsidRPr="003D69B6">
        <w:rPr>
          <w:rFonts w:eastAsia="Times New Roman"/>
          <w:b/>
          <w:bCs/>
          <w:lang w:val="en-US"/>
        </w:rPr>
        <w:t>14</w:t>
      </w:r>
      <w:r w:rsidRPr="003D69B6">
        <w:rPr>
          <w:rFonts w:eastAsia="Times New Roman"/>
          <w:lang w:val="en-US"/>
        </w:rPr>
        <w:t>, 260–4 (2001).</w:t>
      </w:r>
    </w:p>
    <w:p w14:paraId="16CD8287" w14:textId="77777777" w:rsidR="00800F21" w:rsidRPr="003D69B6" w:rsidRDefault="00800F21" w:rsidP="00800F21">
      <w:pPr>
        <w:autoSpaceDE w:val="0"/>
        <w:autoSpaceDN w:val="0"/>
        <w:ind w:hanging="640"/>
        <w:rPr>
          <w:rFonts w:eastAsia="Times New Roman"/>
          <w:lang w:val="en-US"/>
        </w:rPr>
      </w:pPr>
      <w:r>
        <w:rPr>
          <w:rFonts w:eastAsia="Times New Roman"/>
          <w:lang w:val="en-US"/>
        </w:rPr>
        <w:t>S18</w:t>
      </w:r>
      <w:r w:rsidRPr="003D69B6">
        <w:rPr>
          <w:rFonts w:eastAsia="Times New Roman"/>
          <w:lang w:val="en-US"/>
        </w:rPr>
        <w:t>.</w:t>
      </w:r>
      <w:r w:rsidRPr="003D69B6">
        <w:rPr>
          <w:rFonts w:eastAsia="Times New Roman"/>
          <w:lang w:val="en-US"/>
        </w:rPr>
        <w:tab/>
        <w:t xml:space="preserve">Gill, S. K., Ishak, M. &amp; </w:t>
      </w:r>
      <w:proofErr w:type="spellStart"/>
      <w:r w:rsidRPr="003D69B6">
        <w:rPr>
          <w:rFonts w:eastAsia="Times New Roman"/>
          <w:lang w:val="en-US"/>
        </w:rPr>
        <w:t>Rylett</w:t>
      </w:r>
      <w:proofErr w:type="spellEnd"/>
      <w:r w:rsidRPr="003D69B6">
        <w:rPr>
          <w:rFonts w:eastAsia="Times New Roman"/>
          <w:lang w:val="en-US"/>
        </w:rPr>
        <w:t xml:space="preserve">, R. J. Exposure of nuclear antigens in formalin-fixed, paraffin-embedded necropsy human spinal cord tissue: Detection of </w:t>
      </w:r>
      <w:proofErr w:type="spellStart"/>
      <w:r w:rsidRPr="003D69B6">
        <w:rPr>
          <w:rFonts w:eastAsia="Times New Roman"/>
          <w:lang w:val="en-US"/>
        </w:rPr>
        <w:t>NeuN</w:t>
      </w:r>
      <w:proofErr w:type="spellEnd"/>
      <w:r w:rsidRPr="003D69B6">
        <w:rPr>
          <w:rFonts w:eastAsia="Times New Roman"/>
          <w:lang w:val="en-US"/>
        </w:rPr>
        <w:t xml:space="preserve">. </w:t>
      </w:r>
      <w:r w:rsidRPr="003D69B6">
        <w:rPr>
          <w:rFonts w:eastAsia="Times New Roman"/>
          <w:i/>
          <w:iCs/>
          <w:lang w:val="en-US"/>
        </w:rPr>
        <w:t xml:space="preserve">J </w:t>
      </w:r>
      <w:proofErr w:type="spellStart"/>
      <w:r w:rsidRPr="003D69B6">
        <w:rPr>
          <w:rFonts w:eastAsia="Times New Roman"/>
          <w:i/>
          <w:iCs/>
          <w:lang w:val="en-US"/>
        </w:rPr>
        <w:t>Neurosci</w:t>
      </w:r>
      <w:proofErr w:type="spellEnd"/>
      <w:r w:rsidRPr="003D69B6">
        <w:rPr>
          <w:rFonts w:eastAsia="Times New Roman"/>
          <w:i/>
          <w:iCs/>
          <w:lang w:val="en-US"/>
        </w:rPr>
        <w:t xml:space="preserve"> Methods</w:t>
      </w:r>
      <w:r w:rsidRPr="003D69B6">
        <w:rPr>
          <w:rFonts w:eastAsia="Times New Roman"/>
          <w:lang w:val="en-US"/>
        </w:rPr>
        <w:t xml:space="preserve"> </w:t>
      </w:r>
      <w:r w:rsidRPr="003D69B6">
        <w:rPr>
          <w:rFonts w:eastAsia="Times New Roman"/>
          <w:b/>
          <w:bCs/>
          <w:lang w:val="en-US"/>
        </w:rPr>
        <w:t>148</w:t>
      </w:r>
      <w:r w:rsidRPr="003D69B6">
        <w:rPr>
          <w:rFonts w:eastAsia="Times New Roman"/>
          <w:lang w:val="en-US"/>
        </w:rPr>
        <w:t>, 26–35 (2005).</w:t>
      </w:r>
    </w:p>
    <w:p w14:paraId="651530FC" w14:textId="77777777" w:rsidR="00800F21" w:rsidRPr="003D69B6" w:rsidRDefault="00800F21" w:rsidP="00800F21">
      <w:pPr>
        <w:autoSpaceDE w:val="0"/>
        <w:autoSpaceDN w:val="0"/>
        <w:ind w:hanging="640"/>
        <w:rPr>
          <w:rFonts w:eastAsia="Times New Roman"/>
          <w:lang w:val="en-US"/>
        </w:rPr>
      </w:pPr>
      <w:r>
        <w:rPr>
          <w:rFonts w:eastAsia="Times New Roman"/>
          <w:lang w:val="en-US"/>
        </w:rPr>
        <w:t>S19</w:t>
      </w:r>
      <w:r w:rsidRPr="003D69B6">
        <w:rPr>
          <w:rFonts w:eastAsia="Times New Roman"/>
          <w:lang w:val="en-US"/>
        </w:rPr>
        <w:t>.</w:t>
      </w:r>
      <w:r w:rsidRPr="003D69B6">
        <w:rPr>
          <w:rFonts w:eastAsia="Times New Roman"/>
          <w:lang w:val="en-US"/>
        </w:rPr>
        <w:tab/>
        <w:t xml:space="preserve">Bankhead, P. </w:t>
      </w:r>
      <w:r w:rsidRPr="003D69B6">
        <w:rPr>
          <w:rFonts w:eastAsia="Times New Roman"/>
          <w:i/>
          <w:iCs/>
          <w:lang w:val="en-US"/>
        </w:rPr>
        <w:t>et al.</w:t>
      </w:r>
      <w:r w:rsidRPr="003D69B6">
        <w:rPr>
          <w:rFonts w:eastAsia="Times New Roman"/>
          <w:lang w:val="en-US"/>
        </w:rPr>
        <w:t xml:space="preserve"> </w:t>
      </w:r>
      <w:proofErr w:type="spellStart"/>
      <w:r w:rsidRPr="003D69B6">
        <w:rPr>
          <w:rFonts w:eastAsia="Times New Roman"/>
          <w:lang w:val="en-US"/>
        </w:rPr>
        <w:t>QuPath</w:t>
      </w:r>
      <w:proofErr w:type="spellEnd"/>
      <w:r w:rsidRPr="003D69B6">
        <w:rPr>
          <w:rFonts w:eastAsia="Times New Roman"/>
          <w:lang w:val="en-US"/>
        </w:rPr>
        <w:t xml:space="preserve">: </w:t>
      </w:r>
      <w:proofErr w:type="gramStart"/>
      <w:r w:rsidRPr="003D69B6">
        <w:rPr>
          <w:rFonts w:eastAsia="Times New Roman"/>
          <w:lang w:val="en-US"/>
        </w:rPr>
        <w:t>Open source</w:t>
      </w:r>
      <w:proofErr w:type="gramEnd"/>
      <w:r w:rsidRPr="003D69B6">
        <w:rPr>
          <w:rFonts w:eastAsia="Times New Roman"/>
          <w:lang w:val="en-US"/>
        </w:rPr>
        <w:t xml:space="preserve"> software for digital pathology image analysis. </w:t>
      </w:r>
      <w:r w:rsidRPr="003D69B6">
        <w:rPr>
          <w:rFonts w:eastAsia="Times New Roman"/>
          <w:i/>
          <w:iCs/>
          <w:lang w:val="en-US"/>
        </w:rPr>
        <w:t>Sci Rep</w:t>
      </w:r>
      <w:r w:rsidRPr="003D69B6">
        <w:rPr>
          <w:rFonts w:eastAsia="Times New Roman"/>
          <w:lang w:val="en-US"/>
        </w:rPr>
        <w:t xml:space="preserve"> </w:t>
      </w:r>
      <w:r w:rsidRPr="003D69B6">
        <w:rPr>
          <w:rFonts w:eastAsia="Times New Roman"/>
          <w:b/>
          <w:bCs/>
          <w:lang w:val="en-US"/>
        </w:rPr>
        <w:t>7</w:t>
      </w:r>
      <w:r w:rsidRPr="003D69B6">
        <w:rPr>
          <w:rFonts w:eastAsia="Times New Roman"/>
          <w:lang w:val="en-US"/>
        </w:rPr>
        <w:t>, 16878 (2017).</w:t>
      </w:r>
    </w:p>
    <w:p w14:paraId="7905195F" w14:textId="77777777" w:rsidR="00800F21" w:rsidRPr="003D69B6" w:rsidRDefault="00800F21" w:rsidP="00800F21">
      <w:pPr>
        <w:autoSpaceDE w:val="0"/>
        <w:autoSpaceDN w:val="0"/>
        <w:ind w:hanging="640"/>
        <w:rPr>
          <w:rFonts w:eastAsia="Times New Roman"/>
          <w:lang w:val="en-US"/>
        </w:rPr>
      </w:pPr>
      <w:r>
        <w:rPr>
          <w:rFonts w:eastAsia="Times New Roman"/>
          <w:lang w:val="en-US"/>
        </w:rPr>
        <w:lastRenderedPageBreak/>
        <w:t>S20</w:t>
      </w:r>
      <w:r w:rsidRPr="003D69B6">
        <w:rPr>
          <w:rFonts w:eastAsia="Times New Roman"/>
          <w:lang w:val="en-US"/>
        </w:rPr>
        <w:t>.</w:t>
      </w:r>
      <w:r w:rsidRPr="003D69B6">
        <w:rPr>
          <w:rFonts w:eastAsia="Times New Roman"/>
          <w:lang w:val="en-US"/>
        </w:rPr>
        <w:tab/>
        <w:t xml:space="preserve">Takeuchi, H. </w:t>
      </w:r>
      <w:r w:rsidRPr="003D69B6">
        <w:rPr>
          <w:rFonts w:eastAsia="Times New Roman"/>
          <w:i/>
          <w:iCs/>
          <w:lang w:val="en-US"/>
        </w:rPr>
        <w:t>et al.</w:t>
      </w:r>
      <w:r w:rsidRPr="003D69B6">
        <w:rPr>
          <w:rFonts w:eastAsia="Times New Roman"/>
          <w:lang w:val="en-US"/>
        </w:rPr>
        <w:t xml:space="preserve"> The associations of BMI with mean diffusivity of basal ganglia among young adults with mild obesity and without obesity. </w:t>
      </w:r>
      <w:r w:rsidRPr="003D69B6">
        <w:rPr>
          <w:rFonts w:eastAsia="Times New Roman"/>
          <w:i/>
          <w:iCs/>
          <w:lang w:val="en-US"/>
        </w:rPr>
        <w:t>Sci Rep</w:t>
      </w:r>
      <w:r w:rsidRPr="003D69B6">
        <w:rPr>
          <w:rFonts w:eastAsia="Times New Roman"/>
          <w:lang w:val="en-US"/>
        </w:rPr>
        <w:t xml:space="preserve"> </w:t>
      </w:r>
      <w:r w:rsidRPr="003D69B6">
        <w:rPr>
          <w:rFonts w:eastAsia="Times New Roman"/>
          <w:b/>
          <w:bCs/>
          <w:lang w:val="en-US"/>
        </w:rPr>
        <w:t>10</w:t>
      </w:r>
      <w:r w:rsidRPr="003D69B6">
        <w:rPr>
          <w:rFonts w:eastAsia="Times New Roman"/>
          <w:lang w:val="en-US"/>
        </w:rPr>
        <w:t>, 12566 (2020).</w:t>
      </w:r>
    </w:p>
    <w:p w14:paraId="53AB4BF2" w14:textId="77777777" w:rsidR="00800F21" w:rsidRPr="003D69B6" w:rsidRDefault="00800F21" w:rsidP="00800F21">
      <w:pPr>
        <w:autoSpaceDE w:val="0"/>
        <w:autoSpaceDN w:val="0"/>
        <w:ind w:hanging="640"/>
        <w:rPr>
          <w:rFonts w:eastAsia="Times New Roman"/>
          <w:lang w:val="en-US"/>
        </w:rPr>
      </w:pPr>
      <w:r>
        <w:rPr>
          <w:rFonts w:eastAsia="Times New Roman"/>
          <w:lang w:val="en-US"/>
        </w:rPr>
        <w:t>S21</w:t>
      </w:r>
      <w:r w:rsidRPr="003D69B6">
        <w:rPr>
          <w:rFonts w:eastAsia="Times New Roman"/>
          <w:lang w:val="en-US"/>
        </w:rPr>
        <w:t>.</w:t>
      </w:r>
      <w:r w:rsidRPr="003D69B6">
        <w:rPr>
          <w:rFonts w:eastAsia="Times New Roman"/>
          <w:lang w:val="en-US"/>
        </w:rPr>
        <w:tab/>
        <w:t xml:space="preserve">Bach, P. </w:t>
      </w:r>
      <w:r w:rsidRPr="003D69B6">
        <w:rPr>
          <w:rFonts w:eastAsia="Times New Roman"/>
          <w:i/>
          <w:iCs/>
          <w:lang w:val="en-US"/>
        </w:rPr>
        <w:t>et al.</w:t>
      </w:r>
      <w:r w:rsidRPr="003D69B6">
        <w:rPr>
          <w:rFonts w:eastAsia="Times New Roman"/>
          <w:lang w:val="en-US"/>
        </w:rPr>
        <w:t xml:space="preserve"> Reliability of neural food cue-reactivity in participants with obesity undergoing bariatric surgery: a 26-week longitudinal fMRI study. </w:t>
      </w:r>
      <w:proofErr w:type="spellStart"/>
      <w:r w:rsidRPr="003D69B6">
        <w:rPr>
          <w:rFonts w:eastAsia="Times New Roman"/>
          <w:i/>
          <w:iCs/>
          <w:lang w:val="en-US"/>
        </w:rPr>
        <w:t>Eur</w:t>
      </w:r>
      <w:proofErr w:type="spellEnd"/>
      <w:r w:rsidRPr="003D69B6">
        <w:rPr>
          <w:rFonts w:eastAsia="Times New Roman"/>
          <w:i/>
          <w:iCs/>
          <w:lang w:val="en-US"/>
        </w:rPr>
        <w:t xml:space="preserve"> Arch Psychiatry Clin </w:t>
      </w:r>
      <w:proofErr w:type="spellStart"/>
      <w:r w:rsidRPr="003D69B6">
        <w:rPr>
          <w:rFonts w:eastAsia="Times New Roman"/>
          <w:i/>
          <w:iCs/>
          <w:lang w:val="en-US"/>
        </w:rPr>
        <w:t>Neurosci</w:t>
      </w:r>
      <w:proofErr w:type="spellEnd"/>
      <w:r w:rsidRPr="003D69B6">
        <w:rPr>
          <w:rFonts w:eastAsia="Times New Roman"/>
          <w:lang w:val="en-US"/>
        </w:rPr>
        <w:t xml:space="preserve"> </w:t>
      </w:r>
      <w:r w:rsidRPr="003D69B6">
        <w:rPr>
          <w:rFonts w:eastAsia="Times New Roman"/>
          <w:b/>
          <w:bCs/>
          <w:lang w:val="en-US"/>
        </w:rPr>
        <w:t>271</w:t>
      </w:r>
      <w:r w:rsidRPr="003D69B6">
        <w:rPr>
          <w:rFonts w:eastAsia="Times New Roman"/>
          <w:lang w:val="en-US"/>
        </w:rPr>
        <w:t>, 951–962 (2021).</w:t>
      </w:r>
    </w:p>
    <w:p w14:paraId="6D8D551C" w14:textId="77777777" w:rsidR="00800F21" w:rsidRPr="003D69B6" w:rsidRDefault="00800F21" w:rsidP="00800F21">
      <w:pPr>
        <w:autoSpaceDE w:val="0"/>
        <w:autoSpaceDN w:val="0"/>
        <w:ind w:hanging="640"/>
        <w:rPr>
          <w:rFonts w:eastAsia="Times New Roman"/>
          <w:lang w:val="en-US"/>
        </w:rPr>
      </w:pPr>
      <w:r>
        <w:rPr>
          <w:rFonts w:eastAsia="Times New Roman"/>
          <w:lang w:val="en-US"/>
        </w:rPr>
        <w:t>S22</w:t>
      </w:r>
      <w:r w:rsidRPr="003D69B6">
        <w:rPr>
          <w:rFonts w:eastAsia="Times New Roman"/>
          <w:lang w:val="en-US"/>
        </w:rPr>
        <w:t>.</w:t>
      </w:r>
      <w:r w:rsidRPr="003D69B6">
        <w:rPr>
          <w:rFonts w:eastAsia="Times New Roman"/>
          <w:lang w:val="en-US"/>
        </w:rPr>
        <w:tab/>
        <w:t xml:space="preserve">Steward, T., </w:t>
      </w:r>
      <w:proofErr w:type="spellStart"/>
      <w:r w:rsidRPr="003D69B6">
        <w:rPr>
          <w:rFonts w:eastAsia="Times New Roman"/>
          <w:lang w:val="en-US"/>
        </w:rPr>
        <w:t>Menchon</w:t>
      </w:r>
      <w:proofErr w:type="spellEnd"/>
      <w:r w:rsidRPr="003D69B6">
        <w:rPr>
          <w:rFonts w:eastAsia="Times New Roman"/>
          <w:lang w:val="en-US"/>
        </w:rPr>
        <w:t xml:space="preserve">, J. M., Jiménez-Murcia, S., Soriano-Mas, C. &amp; Fernandez-Aranda, F. Neural Network Alterations Across Eating Disorders: A Narrative Review of fMRI Studies. </w:t>
      </w:r>
      <w:r w:rsidRPr="003D69B6">
        <w:rPr>
          <w:rFonts w:eastAsia="Times New Roman"/>
          <w:i/>
          <w:iCs/>
          <w:lang w:val="en-US"/>
        </w:rPr>
        <w:t xml:space="preserve">Curr </w:t>
      </w:r>
      <w:proofErr w:type="spellStart"/>
      <w:r w:rsidRPr="003D69B6">
        <w:rPr>
          <w:rFonts w:eastAsia="Times New Roman"/>
          <w:i/>
          <w:iCs/>
          <w:lang w:val="en-US"/>
        </w:rPr>
        <w:t>Neuropharmacol</w:t>
      </w:r>
      <w:proofErr w:type="spellEnd"/>
      <w:r w:rsidRPr="003D69B6">
        <w:rPr>
          <w:rFonts w:eastAsia="Times New Roman"/>
          <w:lang w:val="en-US"/>
        </w:rPr>
        <w:t xml:space="preserve"> </w:t>
      </w:r>
      <w:r w:rsidRPr="003D69B6">
        <w:rPr>
          <w:rFonts w:eastAsia="Times New Roman"/>
          <w:b/>
          <w:bCs/>
          <w:lang w:val="en-US"/>
        </w:rPr>
        <w:t>16</w:t>
      </w:r>
      <w:r w:rsidRPr="003D69B6">
        <w:rPr>
          <w:rFonts w:eastAsia="Times New Roman"/>
          <w:lang w:val="en-US"/>
        </w:rPr>
        <w:t>, 1150–1163 (2017).</w:t>
      </w:r>
    </w:p>
    <w:p w14:paraId="6206F6F9" w14:textId="77777777" w:rsidR="00800F21" w:rsidRPr="003D69B6" w:rsidRDefault="00800F21" w:rsidP="00800F21">
      <w:pPr>
        <w:autoSpaceDE w:val="0"/>
        <w:autoSpaceDN w:val="0"/>
        <w:ind w:hanging="640"/>
        <w:rPr>
          <w:rFonts w:eastAsia="Times New Roman"/>
          <w:lang w:val="en-US"/>
        </w:rPr>
      </w:pPr>
      <w:r>
        <w:rPr>
          <w:rFonts w:eastAsia="Times New Roman"/>
          <w:lang w:val="en-US"/>
        </w:rPr>
        <w:t>S23</w:t>
      </w:r>
      <w:r w:rsidRPr="003D69B6">
        <w:rPr>
          <w:rFonts w:eastAsia="Times New Roman"/>
          <w:lang w:val="en-US"/>
        </w:rPr>
        <w:t>.</w:t>
      </w:r>
      <w:r w:rsidRPr="003D69B6">
        <w:rPr>
          <w:rFonts w:eastAsia="Times New Roman"/>
          <w:lang w:val="en-US"/>
        </w:rPr>
        <w:tab/>
        <w:t xml:space="preserve">Azevedo, E. P., Ivan, V. J., Friedman, J. M. &amp; Stern, S. A. Top-down control of appetite. </w:t>
      </w:r>
      <w:r w:rsidRPr="003D69B6">
        <w:rPr>
          <w:rFonts w:eastAsia="Times New Roman"/>
          <w:i/>
          <w:iCs/>
          <w:lang w:val="en-US"/>
        </w:rPr>
        <w:t>Biol Psychiatry</w:t>
      </w:r>
      <w:r w:rsidRPr="003D69B6">
        <w:rPr>
          <w:rFonts w:eastAsia="Times New Roman"/>
          <w:lang w:val="en-US"/>
        </w:rPr>
        <w:t xml:space="preserve"> </w:t>
      </w:r>
      <w:r w:rsidRPr="003D69B6">
        <w:rPr>
          <w:rFonts w:eastAsia="Times New Roman"/>
          <w:b/>
          <w:bCs/>
          <w:lang w:val="en-US"/>
        </w:rPr>
        <w:t>91</w:t>
      </w:r>
      <w:r w:rsidRPr="003D69B6">
        <w:rPr>
          <w:rFonts w:eastAsia="Times New Roman"/>
          <w:lang w:val="en-US"/>
        </w:rPr>
        <w:t>, 869 (2022).</w:t>
      </w:r>
    </w:p>
    <w:p w14:paraId="403DAC90" w14:textId="77777777" w:rsidR="00800F21" w:rsidRPr="003D69B6" w:rsidRDefault="00800F21" w:rsidP="00800F21">
      <w:pPr>
        <w:autoSpaceDE w:val="0"/>
        <w:autoSpaceDN w:val="0"/>
        <w:ind w:hanging="640"/>
        <w:rPr>
          <w:rFonts w:eastAsia="Times New Roman"/>
          <w:lang w:val="en-US"/>
        </w:rPr>
      </w:pPr>
      <w:r>
        <w:rPr>
          <w:rFonts w:eastAsia="Times New Roman"/>
          <w:lang w:val="en-US"/>
        </w:rPr>
        <w:t>S24</w:t>
      </w:r>
      <w:r w:rsidRPr="003D69B6">
        <w:rPr>
          <w:rFonts w:eastAsia="Times New Roman"/>
          <w:lang w:val="en-US"/>
        </w:rPr>
        <w:t>.</w:t>
      </w:r>
      <w:r w:rsidRPr="003D69B6">
        <w:rPr>
          <w:rFonts w:eastAsia="Times New Roman"/>
          <w:lang w:val="en-US"/>
        </w:rPr>
        <w:tab/>
        <w:t xml:space="preserve">Coppin, G. The anterior medial temporal lobes: Their role in food intake and body weight regulation. </w:t>
      </w:r>
      <w:proofErr w:type="spellStart"/>
      <w:r w:rsidRPr="003D69B6">
        <w:rPr>
          <w:rFonts w:eastAsia="Times New Roman"/>
          <w:i/>
          <w:iCs/>
          <w:lang w:val="en-US"/>
        </w:rPr>
        <w:t>Physiol</w:t>
      </w:r>
      <w:proofErr w:type="spellEnd"/>
      <w:r w:rsidRPr="003D69B6">
        <w:rPr>
          <w:rFonts w:eastAsia="Times New Roman"/>
          <w:i/>
          <w:iCs/>
          <w:lang w:val="en-US"/>
        </w:rPr>
        <w:t xml:space="preserve"> </w:t>
      </w:r>
      <w:proofErr w:type="spellStart"/>
      <w:r w:rsidRPr="003D69B6">
        <w:rPr>
          <w:rFonts w:eastAsia="Times New Roman"/>
          <w:i/>
          <w:iCs/>
          <w:lang w:val="en-US"/>
        </w:rPr>
        <w:t>Behav</w:t>
      </w:r>
      <w:proofErr w:type="spellEnd"/>
      <w:r w:rsidRPr="003D69B6">
        <w:rPr>
          <w:rFonts w:eastAsia="Times New Roman"/>
          <w:lang w:val="en-US"/>
        </w:rPr>
        <w:t xml:space="preserve"> </w:t>
      </w:r>
      <w:r w:rsidRPr="003D69B6">
        <w:rPr>
          <w:rFonts w:eastAsia="Times New Roman"/>
          <w:b/>
          <w:bCs/>
          <w:lang w:val="en-US"/>
        </w:rPr>
        <w:t>167</w:t>
      </w:r>
      <w:r w:rsidRPr="003D69B6">
        <w:rPr>
          <w:rFonts w:eastAsia="Times New Roman"/>
          <w:lang w:val="en-US"/>
        </w:rPr>
        <w:t>, 60–70 (2016).</w:t>
      </w:r>
    </w:p>
    <w:p w14:paraId="1911DEB1" w14:textId="77777777" w:rsidR="00800F21" w:rsidRPr="003D69B6" w:rsidRDefault="00800F21" w:rsidP="00800F21">
      <w:pPr>
        <w:autoSpaceDE w:val="0"/>
        <w:autoSpaceDN w:val="0"/>
        <w:ind w:hanging="640"/>
        <w:rPr>
          <w:rFonts w:eastAsia="Times New Roman"/>
          <w:lang w:val="en-US"/>
        </w:rPr>
      </w:pPr>
      <w:r>
        <w:rPr>
          <w:rFonts w:eastAsia="Times New Roman"/>
          <w:lang w:val="en-US"/>
        </w:rPr>
        <w:t>S25</w:t>
      </w:r>
      <w:r w:rsidRPr="003D69B6">
        <w:rPr>
          <w:rFonts w:eastAsia="Times New Roman"/>
          <w:lang w:val="en-US"/>
        </w:rPr>
        <w:t>.</w:t>
      </w:r>
      <w:r w:rsidRPr="003D69B6">
        <w:rPr>
          <w:rFonts w:eastAsia="Times New Roman"/>
          <w:lang w:val="en-US"/>
        </w:rPr>
        <w:tab/>
        <w:t xml:space="preserve">Giuliani, N. R., Merchant, J. S., </w:t>
      </w:r>
      <w:proofErr w:type="spellStart"/>
      <w:r w:rsidRPr="003D69B6">
        <w:rPr>
          <w:rFonts w:eastAsia="Times New Roman"/>
          <w:lang w:val="en-US"/>
        </w:rPr>
        <w:t>Cosme</w:t>
      </w:r>
      <w:proofErr w:type="spellEnd"/>
      <w:r w:rsidRPr="003D69B6">
        <w:rPr>
          <w:rFonts w:eastAsia="Times New Roman"/>
          <w:lang w:val="en-US"/>
        </w:rPr>
        <w:t xml:space="preserve">, D. &amp; Berkman, E. T. Neural predictors of eating behavior and dietary change. </w:t>
      </w:r>
      <w:r w:rsidRPr="003D69B6">
        <w:rPr>
          <w:rFonts w:eastAsia="Times New Roman"/>
          <w:i/>
          <w:iCs/>
          <w:lang w:val="en-US"/>
        </w:rPr>
        <w:t xml:space="preserve">Ann N Y </w:t>
      </w:r>
      <w:proofErr w:type="spellStart"/>
      <w:r w:rsidRPr="003D69B6">
        <w:rPr>
          <w:rFonts w:eastAsia="Times New Roman"/>
          <w:i/>
          <w:iCs/>
          <w:lang w:val="en-US"/>
        </w:rPr>
        <w:t>Acad</w:t>
      </w:r>
      <w:proofErr w:type="spellEnd"/>
      <w:r w:rsidRPr="003D69B6">
        <w:rPr>
          <w:rFonts w:eastAsia="Times New Roman"/>
          <w:i/>
          <w:iCs/>
          <w:lang w:val="en-US"/>
        </w:rPr>
        <w:t xml:space="preserve"> Sci</w:t>
      </w:r>
      <w:r w:rsidRPr="003D69B6">
        <w:rPr>
          <w:rFonts w:eastAsia="Times New Roman"/>
          <w:lang w:val="en-US"/>
        </w:rPr>
        <w:t xml:space="preserve"> </w:t>
      </w:r>
      <w:r w:rsidRPr="003D69B6">
        <w:rPr>
          <w:rFonts w:eastAsia="Times New Roman"/>
          <w:b/>
          <w:bCs/>
          <w:lang w:val="en-US"/>
        </w:rPr>
        <w:t>1428</w:t>
      </w:r>
      <w:r w:rsidRPr="003D69B6">
        <w:rPr>
          <w:rFonts w:eastAsia="Times New Roman"/>
          <w:lang w:val="en-US"/>
        </w:rPr>
        <w:t>, 208–220 (2018).</w:t>
      </w:r>
    </w:p>
    <w:p w14:paraId="5D98DFA0" w14:textId="77777777" w:rsidR="00800F21" w:rsidRPr="003D69B6" w:rsidRDefault="00800F21" w:rsidP="00800F21">
      <w:pPr>
        <w:autoSpaceDE w:val="0"/>
        <w:autoSpaceDN w:val="0"/>
        <w:ind w:hanging="640"/>
        <w:rPr>
          <w:rFonts w:eastAsia="Times New Roman"/>
          <w:lang w:val="en-US"/>
        </w:rPr>
      </w:pPr>
      <w:r w:rsidRPr="00800F21">
        <w:rPr>
          <w:rFonts w:eastAsia="Times New Roman"/>
          <w:lang w:val="en-US"/>
        </w:rPr>
        <w:t>S26.</w:t>
      </w:r>
      <w:r w:rsidRPr="00800F21">
        <w:rPr>
          <w:rFonts w:eastAsia="Times New Roman"/>
          <w:lang w:val="en-US"/>
        </w:rPr>
        <w:tab/>
      </w:r>
      <w:proofErr w:type="spellStart"/>
      <w:r w:rsidRPr="00800F21">
        <w:rPr>
          <w:rFonts w:eastAsia="Times New Roman"/>
          <w:lang w:val="en-US"/>
        </w:rPr>
        <w:t>Kullmann</w:t>
      </w:r>
      <w:proofErr w:type="spellEnd"/>
      <w:r w:rsidRPr="00800F21">
        <w:rPr>
          <w:rFonts w:eastAsia="Times New Roman"/>
          <w:lang w:val="en-US"/>
        </w:rPr>
        <w:t xml:space="preserve">, S. </w:t>
      </w:r>
      <w:r w:rsidRPr="00800F21">
        <w:rPr>
          <w:rFonts w:eastAsia="Times New Roman"/>
          <w:i/>
          <w:iCs/>
          <w:lang w:val="en-US"/>
        </w:rPr>
        <w:t>et al.</w:t>
      </w:r>
      <w:r w:rsidRPr="00800F21">
        <w:rPr>
          <w:rFonts w:eastAsia="Times New Roman"/>
          <w:lang w:val="en-US"/>
        </w:rPr>
        <w:t xml:space="preserve"> </w:t>
      </w:r>
      <w:r w:rsidRPr="003D69B6">
        <w:rPr>
          <w:rFonts w:eastAsia="Times New Roman"/>
          <w:lang w:val="en-US"/>
        </w:rPr>
        <w:t xml:space="preserve">Functional network connectivity underlying food processing: disturbed salience and visual processing in overweight and obese adults. </w:t>
      </w:r>
      <w:proofErr w:type="spellStart"/>
      <w:r w:rsidRPr="003D69B6">
        <w:rPr>
          <w:rFonts w:eastAsia="Times New Roman"/>
          <w:i/>
          <w:iCs/>
          <w:lang w:val="en-US"/>
        </w:rPr>
        <w:t>Cereb</w:t>
      </w:r>
      <w:proofErr w:type="spellEnd"/>
      <w:r w:rsidRPr="003D69B6">
        <w:rPr>
          <w:rFonts w:eastAsia="Times New Roman"/>
          <w:i/>
          <w:iCs/>
          <w:lang w:val="en-US"/>
        </w:rPr>
        <w:t xml:space="preserve"> Cortex</w:t>
      </w:r>
      <w:r w:rsidRPr="003D69B6">
        <w:rPr>
          <w:rFonts w:eastAsia="Times New Roman"/>
          <w:lang w:val="en-US"/>
        </w:rPr>
        <w:t xml:space="preserve"> </w:t>
      </w:r>
      <w:r w:rsidRPr="003D69B6">
        <w:rPr>
          <w:rFonts w:eastAsia="Times New Roman"/>
          <w:b/>
          <w:bCs/>
          <w:lang w:val="en-US"/>
        </w:rPr>
        <w:t>23</w:t>
      </w:r>
      <w:r w:rsidRPr="003D69B6">
        <w:rPr>
          <w:rFonts w:eastAsia="Times New Roman"/>
          <w:lang w:val="en-US"/>
        </w:rPr>
        <w:t>, 1247–1256 (2013).</w:t>
      </w:r>
    </w:p>
    <w:p w14:paraId="4CC7E739" w14:textId="77777777" w:rsidR="00800F21" w:rsidRPr="003D69B6" w:rsidRDefault="00800F21" w:rsidP="00800F21">
      <w:pPr>
        <w:autoSpaceDE w:val="0"/>
        <w:autoSpaceDN w:val="0"/>
        <w:ind w:hanging="640"/>
        <w:rPr>
          <w:rFonts w:eastAsia="Times New Roman"/>
          <w:lang w:val="en-US"/>
        </w:rPr>
      </w:pPr>
      <w:r>
        <w:rPr>
          <w:rFonts w:eastAsia="Times New Roman"/>
          <w:lang w:val="en-US"/>
        </w:rPr>
        <w:t>S27</w:t>
      </w:r>
      <w:r w:rsidRPr="003D69B6">
        <w:rPr>
          <w:rFonts w:eastAsia="Times New Roman"/>
          <w:lang w:val="en-US"/>
        </w:rPr>
        <w:t>.</w:t>
      </w:r>
      <w:r w:rsidRPr="003D69B6">
        <w:rPr>
          <w:rFonts w:eastAsia="Times New Roman"/>
          <w:lang w:val="en-US"/>
        </w:rPr>
        <w:tab/>
        <w:t xml:space="preserve">Rolls, E. T. The functions of the orbitofrontal cortex. </w:t>
      </w:r>
      <w:r w:rsidRPr="003D69B6">
        <w:rPr>
          <w:rFonts w:eastAsia="Times New Roman"/>
          <w:i/>
          <w:iCs/>
          <w:lang w:val="en-US"/>
        </w:rPr>
        <w:t xml:space="preserve">Brain </w:t>
      </w:r>
      <w:proofErr w:type="spellStart"/>
      <w:r w:rsidRPr="003D69B6">
        <w:rPr>
          <w:rFonts w:eastAsia="Times New Roman"/>
          <w:i/>
          <w:iCs/>
          <w:lang w:val="en-US"/>
        </w:rPr>
        <w:t>Cogn</w:t>
      </w:r>
      <w:proofErr w:type="spellEnd"/>
      <w:r w:rsidRPr="003D69B6">
        <w:rPr>
          <w:rFonts w:eastAsia="Times New Roman"/>
          <w:lang w:val="en-US"/>
        </w:rPr>
        <w:t xml:space="preserve"> </w:t>
      </w:r>
      <w:r w:rsidRPr="003D69B6">
        <w:rPr>
          <w:rFonts w:eastAsia="Times New Roman"/>
          <w:b/>
          <w:bCs/>
          <w:lang w:val="en-US"/>
        </w:rPr>
        <w:t>55</w:t>
      </w:r>
      <w:r w:rsidRPr="003D69B6">
        <w:rPr>
          <w:rFonts w:eastAsia="Times New Roman"/>
          <w:lang w:val="en-US"/>
        </w:rPr>
        <w:t>, 11–29 (2004).</w:t>
      </w:r>
    </w:p>
    <w:p w14:paraId="2BFE5757" w14:textId="77777777" w:rsidR="00800F21" w:rsidRPr="003D69B6" w:rsidRDefault="00800F21" w:rsidP="00800F21">
      <w:pPr>
        <w:autoSpaceDE w:val="0"/>
        <w:autoSpaceDN w:val="0"/>
        <w:ind w:hanging="640"/>
        <w:rPr>
          <w:rFonts w:eastAsia="Times New Roman"/>
          <w:lang w:val="en-US"/>
        </w:rPr>
      </w:pPr>
      <w:r w:rsidRPr="00800F21">
        <w:rPr>
          <w:rFonts w:eastAsia="Times New Roman"/>
          <w:lang w:val="en-US"/>
        </w:rPr>
        <w:t>S28.</w:t>
      </w:r>
      <w:r w:rsidRPr="00800F21">
        <w:rPr>
          <w:rFonts w:eastAsia="Times New Roman"/>
          <w:lang w:val="en-US"/>
        </w:rPr>
        <w:tab/>
        <w:t xml:space="preserve">Florio, T. M. </w:t>
      </w:r>
      <w:r w:rsidRPr="00800F21">
        <w:rPr>
          <w:rFonts w:eastAsia="Times New Roman"/>
          <w:i/>
          <w:iCs/>
          <w:lang w:val="en-US"/>
        </w:rPr>
        <w:t>et al.</w:t>
      </w:r>
      <w:r w:rsidRPr="00800F21">
        <w:rPr>
          <w:rFonts w:eastAsia="Times New Roman"/>
          <w:lang w:val="en-US"/>
        </w:rPr>
        <w:t xml:space="preserve"> </w:t>
      </w:r>
      <w:r w:rsidRPr="003D69B6">
        <w:rPr>
          <w:rFonts w:eastAsia="Times New Roman"/>
          <w:lang w:val="en-US"/>
        </w:rPr>
        <w:t xml:space="preserve">The Basal Ganglia: More than just a switching device. </w:t>
      </w:r>
      <w:r w:rsidRPr="003D69B6">
        <w:rPr>
          <w:rFonts w:eastAsia="Times New Roman"/>
          <w:i/>
          <w:iCs/>
          <w:lang w:val="en-US"/>
        </w:rPr>
        <w:t>CNS Neuroscience and Therapeutics</w:t>
      </w:r>
      <w:r w:rsidRPr="003D69B6">
        <w:rPr>
          <w:rFonts w:eastAsia="Times New Roman"/>
          <w:lang w:val="en-US"/>
        </w:rPr>
        <w:t xml:space="preserve"> vol. 24 677–684 Preprint at https://doi.org/10.1111/cns.12987 (2018).</w:t>
      </w:r>
    </w:p>
    <w:p w14:paraId="57697215" w14:textId="77777777" w:rsidR="00800F21" w:rsidRPr="003D69B6" w:rsidRDefault="00800F21" w:rsidP="00800F21">
      <w:pPr>
        <w:autoSpaceDE w:val="0"/>
        <w:autoSpaceDN w:val="0"/>
        <w:ind w:hanging="640"/>
        <w:rPr>
          <w:rFonts w:eastAsia="Times New Roman"/>
          <w:lang w:val="en-US"/>
        </w:rPr>
      </w:pPr>
      <w:r w:rsidRPr="00BE6A64">
        <w:rPr>
          <w:rFonts w:eastAsia="Times New Roman"/>
          <w:lang w:val="de-DE"/>
        </w:rPr>
        <w:t>S29.</w:t>
      </w:r>
      <w:r w:rsidRPr="00BE6A64">
        <w:rPr>
          <w:rFonts w:eastAsia="Times New Roman"/>
          <w:lang w:val="de-DE"/>
        </w:rPr>
        <w:tab/>
      </w:r>
      <w:proofErr w:type="spellStart"/>
      <w:r w:rsidRPr="00BE6A64">
        <w:rPr>
          <w:rFonts w:eastAsia="Times New Roman"/>
          <w:lang w:val="de-DE"/>
        </w:rPr>
        <w:t>Drummen</w:t>
      </w:r>
      <w:proofErr w:type="spellEnd"/>
      <w:r w:rsidRPr="00BE6A64">
        <w:rPr>
          <w:rFonts w:eastAsia="Times New Roman"/>
          <w:lang w:val="de-DE"/>
        </w:rPr>
        <w:t xml:space="preserve">, M. </w:t>
      </w:r>
      <w:r w:rsidRPr="00BE6A64">
        <w:rPr>
          <w:rFonts w:eastAsia="Times New Roman"/>
          <w:i/>
          <w:iCs/>
          <w:lang w:val="de-DE"/>
        </w:rPr>
        <w:t>et al.</w:t>
      </w:r>
      <w:r w:rsidRPr="00BE6A64">
        <w:rPr>
          <w:rFonts w:eastAsia="Times New Roman"/>
          <w:lang w:val="de-DE"/>
        </w:rPr>
        <w:t xml:space="preserve"> </w:t>
      </w:r>
      <w:r w:rsidRPr="003D69B6">
        <w:rPr>
          <w:rFonts w:eastAsia="Times New Roman"/>
          <w:lang w:val="en-US"/>
        </w:rPr>
        <w:t xml:space="preserve">Associations of Brain Reactivity to Food Cues with Weight Loss, Protein Intake and Dietary Restraint during the PREVIEW Intervention. </w:t>
      </w:r>
      <w:r w:rsidRPr="003D69B6">
        <w:rPr>
          <w:rFonts w:eastAsia="Times New Roman"/>
          <w:i/>
          <w:iCs/>
          <w:lang w:val="en-US"/>
        </w:rPr>
        <w:t>Nutrients</w:t>
      </w:r>
      <w:r w:rsidRPr="003D69B6">
        <w:rPr>
          <w:rFonts w:eastAsia="Times New Roman"/>
          <w:lang w:val="en-US"/>
        </w:rPr>
        <w:t xml:space="preserve"> </w:t>
      </w:r>
      <w:r w:rsidRPr="003D69B6">
        <w:rPr>
          <w:rFonts w:eastAsia="Times New Roman"/>
          <w:b/>
          <w:bCs/>
          <w:lang w:val="en-US"/>
        </w:rPr>
        <w:t>10</w:t>
      </w:r>
      <w:r w:rsidRPr="003D69B6">
        <w:rPr>
          <w:rFonts w:eastAsia="Times New Roman"/>
          <w:lang w:val="en-US"/>
        </w:rPr>
        <w:t>, (2018).</w:t>
      </w:r>
    </w:p>
    <w:p w14:paraId="034A626E" w14:textId="77777777" w:rsidR="00800F21" w:rsidRPr="003D69B6" w:rsidRDefault="00800F21" w:rsidP="00800F21">
      <w:pPr>
        <w:autoSpaceDE w:val="0"/>
        <w:autoSpaceDN w:val="0"/>
        <w:ind w:hanging="640"/>
        <w:rPr>
          <w:rFonts w:eastAsia="Times New Roman"/>
          <w:lang w:val="en-US"/>
        </w:rPr>
      </w:pPr>
      <w:r>
        <w:rPr>
          <w:rFonts w:eastAsia="Times New Roman"/>
          <w:lang w:val="en-US"/>
        </w:rPr>
        <w:t>S30</w:t>
      </w:r>
      <w:r w:rsidRPr="003D69B6">
        <w:rPr>
          <w:rFonts w:eastAsia="Times New Roman"/>
          <w:lang w:val="en-US"/>
        </w:rPr>
        <w:t>.</w:t>
      </w:r>
      <w:r w:rsidRPr="003D69B6">
        <w:rPr>
          <w:rFonts w:eastAsia="Times New Roman"/>
          <w:lang w:val="en-US"/>
        </w:rPr>
        <w:tab/>
        <w:t xml:space="preserve">Rolls, E. T. Taste, olfactory, and food reward value processing in the brain. </w:t>
      </w:r>
      <w:r w:rsidRPr="003D69B6">
        <w:rPr>
          <w:rFonts w:eastAsia="Times New Roman"/>
          <w:i/>
          <w:iCs/>
          <w:lang w:val="en-US"/>
        </w:rPr>
        <w:t xml:space="preserve">Prog </w:t>
      </w:r>
      <w:proofErr w:type="spellStart"/>
      <w:r w:rsidRPr="003D69B6">
        <w:rPr>
          <w:rFonts w:eastAsia="Times New Roman"/>
          <w:i/>
          <w:iCs/>
          <w:lang w:val="en-US"/>
        </w:rPr>
        <w:t>Neurobiol</w:t>
      </w:r>
      <w:proofErr w:type="spellEnd"/>
      <w:r w:rsidRPr="003D69B6">
        <w:rPr>
          <w:rFonts w:eastAsia="Times New Roman"/>
          <w:lang w:val="en-US"/>
        </w:rPr>
        <w:t xml:space="preserve"> </w:t>
      </w:r>
      <w:r w:rsidRPr="003D69B6">
        <w:rPr>
          <w:rFonts w:eastAsia="Times New Roman"/>
          <w:b/>
          <w:bCs/>
          <w:lang w:val="en-US"/>
        </w:rPr>
        <w:t>127–128</w:t>
      </w:r>
      <w:r w:rsidRPr="003D69B6">
        <w:rPr>
          <w:rFonts w:eastAsia="Times New Roman"/>
          <w:lang w:val="en-US"/>
        </w:rPr>
        <w:t>, 64–90 (2015).</w:t>
      </w:r>
    </w:p>
    <w:p w14:paraId="57AEBE6C" w14:textId="77777777" w:rsidR="00800F21" w:rsidRPr="003D69B6" w:rsidRDefault="00800F21" w:rsidP="00800F21">
      <w:pPr>
        <w:autoSpaceDE w:val="0"/>
        <w:autoSpaceDN w:val="0"/>
        <w:ind w:hanging="640"/>
        <w:rPr>
          <w:rFonts w:eastAsia="Times New Roman"/>
          <w:lang w:val="en-US"/>
        </w:rPr>
      </w:pPr>
      <w:r w:rsidRPr="00800F21">
        <w:rPr>
          <w:rFonts w:eastAsia="Times New Roman"/>
          <w:lang w:val="en-US"/>
        </w:rPr>
        <w:t>S31.</w:t>
      </w:r>
      <w:r w:rsidRPr="00800F21">
        <w:rPr>
          <w:rFonts w:eastAsia="Times New Roman"/>
          <w:lang w:val="en-US"/>
        </w:rPr>
        <w:tab/>
        <w:t xml:space="preserve">Lira, F. S. </w:t>
      </w:r>
      <w:r w:rsidRPr="00800F21">
        <w:rPr>
          <w:rFonts w:eastAsia="Times New Roman"/>
          <w:i/>
          <w:iCs/>
          <w:lang w:val="en-US"/>
        </w:rPr>
        <w:t>et al.</w:t>
      </w:r>
      <w:r w:rsidRPr="00800F21">
        <w:rPr>
          <w:rFonts w:eastAsia="Times New Roman"/>
          <w:lang w:val="en-US"/>
        </w:rPr>
        <w:t xml:space="preserve"> </w:t>
      </w:r>
      <w:r w:rsidRPr="003D69B6">
        <w:rPr>
          <w:rFonts w:eastAsia="Times New Roman"/>
          <w:lang w:val="en-US"/>
        </w:rPr>
        <w:t xml:space="preserve">Hypothalamic inflammation is reversed by endurance training in anorectic-cachectic rats. </w:t>
      </w:r>
      <w:proofErr w:type="spellStart"/>
      <w:r w:rsidRPr="003D69B6">
        <w:rPr>
          <w:rFonts w:eastAsia="Times New Roman"/>
          <w:i/>
          <w:iCs/>
          <w:lang w:val="en-US"/>
        </w:rPr>
        <w:t>Nutr</w:t>
      </w:r>
      <w:proofErr w:type="spellEnd"/>
      <w:r w:rsidRPr="003D69B6">
        <w:rPr>
          <w:rFonts w:eastAsia="Times New Roman"/>
          <w:i/>
          <w:iCs/>
          <w:lang w:val="en-US"/>
        </w:rPr>
        <w:t xml:space="preserve"> </w:t>
      </w:r>
      <w:proofErr w:type="spellStart"/>
      <w:r w:rsidRPr="003D69B6">
        <w:rPr>
          <w:rFonts w:eastAsia="Times New Roman"/>
          <w:i/>
          <w:iCs/>
          <w:lang w:val="en-US"/>
        </w:rPr>
        <w:t>Metab</w:t>
      </w:r>
      <w:proofErr w:type="spellEnd"/>
      <w:r w:rsidRPr="003D69B6">
        <w:rPr>
          <w:rFonts w:eastAsia="Times New Roman"/>
          <w:i/>
          <w:iCs/>
          <w:lang w:val="en-US"/>
        </w:rPr>
        <w:t xml:space="preserve"> (Lond)</w:t>
      </w:r>
      <w:r w:rsidRPr="003D69B6">
        <w:rPr>
          <w:rFonts w:eastAsia="Times New Roman"/>
          <w:lang w:val="en-US"/>
        </w:rPr>
        <w:t xml:space="preserve"> </w:t>
      </w:r>
      <w:r w:rsidRPr="003D69B6">
        <w:rPr>
          <w:rFonts w:eastAsia="Times New Roman"/>
          <w:b/>
          <w:bCs/>
          <w:lang w:val="en-US"/>
        </w:rPr>
        <w:t>8</w:t>
      </w:r>
      <w:r w:rsidRPr="003D69B6">
        <w:rPr>
          <w:rFonts w:eastAsia="Times New Roman"/>
          <w:lang w:val="en-US"/>
        </w:rPr>
        <w:t>, (2011).</w:t>
      </w:r>
    </w:p>
    <w:p w14:paraId="65CC125F" w14:textId="77777777" w:rsidR="00800F21" w:rsidRPr="003D69B6" w:rsidRDefault="00800F21" w:rsidP="00800F21">
      <w:pPr>
        <w:autoSpaceDE w:val="0"/>
        <w:autoSpaceDN w:val="0"/>
        <w:ind w:hanging="640"/>
        <w:rPr>
          <w:rFonts w:eastAsia="Times New Roman"/>
          <w:lang w:val="en-US"/>
        </w:rPr>
      </w:pPr>
      <w:r>
        <w:rPr>
          <w:rFonts w:eastAsia="Times New Roman"/>
          <w:lang w:val="en-US"/>
        </w:rPr>
        <w:t>S32</w:t>
      </w:r>
      <w:r w:rsidRPr="003D69B6">
        <w:rPr>
          <w:rFonts w:eastAsia="Times New Roman"/>
          <w:lang w:val="en-US"/>
        </w:rPr>
        <w:t>.</w:t>
      </w:r>
      <w:r w:rsidRPr="003D69B6">
        <w:rPr>
          <w:rFonts w:eastAsia="Times New Roman"/>
          <w:lang w:val="en-US"/>
        </w:rPr>
        <w:tab/>
      </w:r>
      <w:proofErr w:type="spellStart"/>
      <w:r w:rsidRPr="003D69B6">
        <w:rPr>
          <w:rFonts w:eastAsia="Times New Roman"/>
          <w:lang w:val="en-US"/>
        </w:rPr>
        <w:t>Lv</w:t>
      </w:r>
      <w:proofErr w:type="spellEnd"/>
      <w:r w:rsidRPr="003D69B6">
        <w:rPr>
          <w:rFonts w:eastAsia="Times New Roman"/>
          <w:lang w:val="en-US"/>
        </w:rPr>
        <w:t xml:space="preserve">, R. </w:t>
      </w:r>
      <w:r w:rsidRPr="003D69B6">
        <w:rPr>
          <w:rFonts w:eastAsia="Times New Roman"/>
          <w:i/>
          <w:iCs/>
          <w:lang w:val="en-US"/>
        </w:rPr>
        <w:t>et al.</w:t>
      </w:r>
      <w:r w:rsidRPr="003D69B6">
        <w:rPr>
          <w:rFonts w:eastAsia="Times New Roman"/>
          <w:lang w:val="en-US"/>
        </w:rPr>
        <w:t xml:space="preserve"> Pathophysiological mechanisms and therapeutic approaches in obstructive sleep apnea syndrome. </w:t>
      </w:r>
      <w:r w:rsidRPr="003D69B6">
        <w:rPr>
          <w:rFonts w:eastAsia="Times New Roman"/>
          <w:i/>
          <w:iCs/>
          <w:lang w:val="en-US"/>
        </w:rPr>
        <w:t xml:space="preserve">Signal </w:t>
      </w:r>
      <w:proofErr w:type="spellStart"/>
      <w:r w:rsidRPr="003D69B6">
        <w:rPr>
          <w:rFonts w:eastAsia="Times New Roman"/>
          <w:i/>
          <w:iCs/>
          <w:lang w:val="en-US"/>
        </w:rPr>
        <w:t>Transduct</w:t>
      </w:r>
      <w:proofErr w:type="spellEnd"/>
      <w:r w:rsidRPr="003D69B6">
        <w:rPr>
          <w:rFonts w:eastAsia="Times New Roman"/>
          <w:i/>
          <w:iCs/>
          <w:lang w:val="en-US"/>
        </w:rPr>
        <w:t xml:space="preserve"> Target </w:t>
      </w:r>
      <w:proofErr w:type="spellStart"/>
      <w:r w:rsidRPr="003D69B6">
        <w:rPr>
          <w:rFonts w:eastAsia="Times New Roman"/>
          <w:i/>
          <w:iCs/>
          <w:lang w:val="en-US"/>
        </w:rPr>
        <w:t>Ther</w:t>
      </w:r>
      <w:proofErr w:type="spellEnd"/>
      <w:r w:rsidRPr="003D69B6">
        <w:rPr>
          <w:rFonts w:eastAsia="Times New Roman"/>
          <w:lang w:val="en-US"/>
        </w:rPr>
        <w:t xml:space="preserve"> </w:t>
      </w:r>
      <w:r w:rsidRPr="003D69B6">
        <w:rPr>
          <w:rFonts w:eastAsia="Times New Roman"/>
          <w:b/>
          <w:bCs/>
          <w:lang w:val="en-US"/>
        </w:rPr>
        <w:t>8</w:t>
      </w:r>
      <w:r w:rsidRPr="003D69B6">
        <w:rPr>
          <w:rFonts w:eastAsia="Times New Roman"/>
          <w:lang w:val="en-US"/>
        </w:rPr>
        <w:t>, (2023).</w:t>
      </w:r>
    </w:p>
    <w:p w14:paraId="60E9AEE3" w14:textId="77777777" w:rsidR="00800F21" w:rsidRPr="003D69B6" w:rsidRDefault="00800F21" w:rsidP="00800F21">
      <w:pPr>
        <w:autoSpaceDE w:val="0"/>
        <w:autoSpaceDN w:val="0"/>
        <w:ind w:hanging="640"/>
        <w:rPr>
          <w:rFonts w:eastAsia="Times New Roman"/>
          <w:lang w:val="en-US"/>
        </w:rPr>
      </w:pPr>
      <w:r>
        <w:rPr>
          <w:rFonts w:eastAsia="Times New Roman"/>
          <w:lang w:val="en-US"/>
        </w:rPr>
        <w:t>S33</w:t>
      </w:r>
      <w:r w:rsidRPr="003D69B6">
        <w:rPr>
          <w:rFonts w:eastAsia="Times New Roman"/>
          <w:lang w:val="en-US"/>
        </w:rPr>
        <w:t>.</w:t>
      </w:r>
      <w:r w:rsidRPr="003D69B6">
        <w:rPr>
          <w:rFonts w:eastAsia="Times New Roman"/>
          <w:lang w:val="en-US"/>
        </w:rPr>
        <w:tab/>
        <w:t xml:space="preserve">Liu, K. </w:t>
      </w:r>
      <w:r w:rsidRPr="003D69B6">
        <w:rPr>
          <w:rFonts w:eastAsia="Times New Roman"/>
          <w:i/>
          <w:iCs/>
          <w:lang w:val="en-US"/>
        </w:rPr>
        <w:t>et al.</w:t>
      </w:r>
      <w:r w:rsidRPr="003D69B6">
        <w:rPr>
          <w:rFonts w:eastAsia="Times New Roman"/>
          <w:lang w:val="en-US"/>
        </w:rPr>
        <w:t xml:space="preserve"> Altered gray matter volume in children with newly diagnosed type 1 diabetes mellitus. </w:t>
      </w:r>
      <w:r w:rsidRPr="003D69B6">
        <w:rPr>
          <w:rFonts w:eastAsia="Times New Roman"/>
          <w:i/>
          <w:iCs/>
          <w:lang w:val="en-US"/>
        </w:rPr>
        <w:t>Pediatric Research 2022 93:5</w:t>
      </w:r>
      <w:r w:rsidRPr="003D69B6">
        <w:rPr>
          <w:rFonts w:eastAsia="Times New Roman"/>
          <w:lang w:val="en-US"/>
        </w:rPr>
        <w:t xml:space="preserve"> </w:t>
      </w:r>
      <w:r w:rsidRPr="003D69B6">
        <w:rPr>
          <w:rFonts w:eastAsia="Times New Roman"/>
          <w:b/>
          <w:bCs/>
          <w:lang w:val="en-US"/>
        </w:rPr>
        <w:t>93</w:t>
      </w:r>
      <w:r w:rsidRPr="003D69B6">
        <w:rPr>
          <w:rFonts w:eastAsia="Times New Roman"/>
          <w:lang w:val="en-US"/>
        </w:rPr>
        <w:t>, 1342–1347 (2022).</w:t>
      </w:r>
    </w:p>
    <w:p w14:paraId="7FE71546" w14:textId="77777777" w:rsidR="00800F21" w:rsidRPr="003D69B6" w:rsidRDefault="00800F21" w:rsidP="00800F21">
      <w:pPr>
        <w:autoSpaceDE w:val="0"/>
        <w:autoSpaceDN w:val="0"/>
        <w:ind w:hanging="640"/>
        <w:rPr>
          <w:rFonts w:eastAsia="Times New Roman"/>
          <w:lang w:val="en-US"/>
        </w:rPr>
      </w:pPr>
      <w:r>
        <w:rPr>
          <w:rFonts w:eastAsia="Times New Roman"/>
          <w:lang w:val="en-US"/>
        </w:rPr>
        <w:t>S34</w:t>
      </w:r>
      <w:r w:rsidRPr="003D69B6">
        <w:rPr>
          <w:rFonts w:eastAsia="Times New Roman"/>
          <w:lang w:val="en-US"/>
        </w:rPr>
        <w:t>.</w:t>
      </w:r>
      <w:r w:rsidRPr="003D69B6">
        <w:rPr>
          <w:rFonts w:eastAsia="Times New Roman"/>
          <w:lang w:val="en-US"/>
        </w:rPr>
        <w:tab/>
        <w:t xml:space="preserve">Kandel, E. R., Schwartz, J. </w:t>
      </w:r>
      <w:proofErr w:type="gramStart"/>
      <w:r w:rsidRPr="003D69B6">
        <w:rPr>
          <w:rFonts w:eastAsia="Times New Roman"/>
          <w:lang w:val="en-US"/>
        </w:rPr>
        <w:t>H. ;</w:t>
      </w:r>
      <w:proofErr w:type="gramEnd"/>
      <w:r w:rsidRPr="003D69B6">
        <w:rPr>
          <w:rFonts w:eastAsia="Times New Roman"/>
          <w:lang w:val="en-US"/>
        </w:rPr>
        <w:t xml:space="preserve"> &amp; </w:t>
      </w:r>
      <w:proofErr w:type="spellStart"/>
      <w:r w:rsidRPr="003D69B6">
        <w:rPr>
          <w:rFonts w:eastAsia="Times New Roman"/>
          <w:lang w:val="en-US"/>
        </w:rPr>
        <w:t>Jessell</w:t>
      </w:r>
      <w:proofErr w:type="spellEnd"/>
      <w:r w:rsidRPr="003D69B6">
        <w:rPr>
          <w:rFonts w:eastAsia="Times New Roman"/>
          <w:lang w:val="en-US"/>
        </w:rPr>
        <w:t xml:space="preserve">, T. M. </w:t>
      </w:r>
      <w:r w:rsidRPr="003D69B6">
        <w:rPr>
          <w:rFonts w:eastAsia="Times New Roman"/>
          <w:i/>
          <w:iCs/>
          <w:lang w:val="en-US"/>
        </w:rPr>
        <w:t xml:space="preserve">Principles of Neural Science </w:t>
      </w:r>
      <w:r w:rsidRPr="003D69B6">
        <w:rPr>
          <w:rFonts w:eastAsia="Times New Roman"/>
          <w:lang w:val="en-US"/>
        </w:rPr>
        <w:t>. (McGraw-Hill, New York, 2013).</w:t>
      </w:r>
    </w:p>
    <w:p w14:paraId="5F282453" w14:textId="77777777" w:rsidR="00800F21" w:rsidRPr="003D69B6" w:rsidRDefault="00800F21" w:rsidP="00800F21">
      <w:pPr>
        <w:autoSpaceDE w:val="0"/>
        <w:autoSpaceDN w:val="0"/>
        <w:ind w:hanging="640"/>
        <w:rPr>
          <w:rFonts w:eastAsia="Times New Roman"/>
          <w:lang w:val="en-US"/>
        </w:rPr>
      </w:pPr>
      <w:r>
        <w:rPr>
          <w:rFonts w:eastAsia="Times New Roman"/>
          <w:lang w:val="en-US"/>
        </w:rPr>
        <w:t>S35</w:t>
      </w:r>
      <w:r w:rsidRPr="003D69B6">
        <w:rPr>
          <w:rFonts w:eastAsia="Times New Roman"/>
          <w:lang w:val="en-US"/>
        </w:rPr>
        <w:t>.</w:t>
      </w:r>
      <w:r w:rsidRPr="003D69B6">
        <w:rPr>
          <w:rFonts w:eastAsia="Times New Roman"/>
          <w:lang w:val="en-US"/>
        </w:rPr>
        <w:tab/>
      </w:r>
      <w:proofErr w:type="spellStart"/>
      <w:r w:rsidRPr="003D69B6">
        <w:rPr>
          <w:rFonts w:eastAsia="Times New Roman"/>
          <w:lang w:val="en-US"/>
        </w:rPr>
        <w:t>Molfino</w:t>
      </w:r>
      <w:proofErr w:type="spellEnd"/>
      <w:r w:rsidRPr="003D69B6">
        <w:rPr>
          <w:rFonts w:eastAsia="Times New Roman"/>
          <w:lang w:val="en-US"/>
        </w:rPr>
        <w:t xml:space="preserve">, A., Gioia, G., Fanelli, F. R. &amp; </w:t>
      </w:r>
      <w:proofErr w:type="spellStart"/>
      <w:r w:rsidRPr="003D69B6">
        <w:rPr>
          <w:rFonts w:eastAsia="Times New Roman"/>
          <w:lang w:val="en-US"/>
        </w:rPr>
        <w:t>Laviano</w:t>
      </w:r>
      <w:proofErr w:type="spellEnd"/>
      <w:r w:rsidRPr="003D69B6">
        <w:rPr>
          <w:rFonts w:eastAsia="Times New Roman"/>
          <w:lang w:val="en-US"/>
        </w:rPr>
        <w:t xml:space="preserve">, A. Contribution of Neuroinflammation to the Pathogenesis of Cancer Cachexia. </w:t>
      </w:r>
      <w:r w:rsidRPr="003D69B6">
        <w:rPr>
          <w:rFonts w:eastAsia="Times New Roman"/>
          <w:i/>
          <w:iCs/>
          <w:lang w:val="en-US"/>
        </w:rPr>
        <w:t xml:space="preserve">Mediators </w:t>
      </w:r>
      <w:proofErr w:type="spellStart"/>
      <w:r w:rsidRPr="003D69B6">
        <w:rPr>
          <w:rFonts w:eastAsia="Times New Roman"/>
          <w:i/>
          <w:iCs/>
          <w:lang w:val="en-US"/>
        </w:rPr>
        <w:t>Inflamm</w:t>
      </w:r>
      <w:proofErr w:type="spellEnd"/>
      <w:r w:rsidRPr="003D69B6">
        <w:rPr>
          <w:rFonts w:eastAsia="Times New Roman"/>
          <w:lang w:val="en-US"/>
        </w:rPr>
        <w:t xml:space="preserve"> </w:t>
      </w:r>
      <w:r w:rsidRPr="003D69B6">
        <w:rPr>
          <w:rFonts w:eastAsia="Times New Roman"/>
          <w:b/>
          <w:bCs/>
          <w:lang w:val="en-US"/>
        </w:rPr>
        <w:t>2015</w:t>
      </w:r>
      <w:r w:rsidRPr="003D69B6">
        <w:rPr>
          <w:rFonts w:eastAsia="Times New Roman"/>
          <w:lang w:val="en-US"/>
        </w:rPr>
        <w:t>, 1–7 (2015).</w:t>
      </w:r>
    </w:p>
    <w:p w14:paraId="220674C6" w14:textId="77777777" w:rsidR="00800F21" w:rsidRPr="003D69B6" w:rsidRDefault="00800F21" w:rsidP="00800F21">
      <w:pPr>
        <w:autoSpaceDE w:val="0"/>
        <w:autoSpaceDN w:val="0"/>
        <w:ind w:hanging="640"/>
        <w:rPr>
          <w:rFonts w:eastAsia="Times New Roman"/>
          <w:lang w:val="en-US"/>
        </w:rPr>
      </w:pPr>
      <w:r>
        <w:rPr>
          <w:rFonts w:eastAsia="Times New Roman"/>
          <w:lang w:val="en-US"/>
        </w:rPr>
        <w:t>S36</w:t>
      </w:r>
      <w:r w:rsidRPr="003D69B6">
        <w:rPr>
          <w:rFonts w:eastAsia="Times New Roman"/>
          <w:lang w:val="en-US"/>
        </w:rPr>
        <w:t>.</w:t>
      </w:r>
      <w:r w:rsidRPr="003D69B6">
        <w:rPr>
          <w:rFonts w:eastAsia="Times New Roman"/>
          <w:lang w:val="en-US"/>
        </w:rPr>
        <w:tab/>
        <w:t xml:space="preserve">Yule, M. S., Brown, L. R., </w:t>
      </w:r>
      <w:proofErr w:type="spellStart"/>
      <w:r w:rsidRPr="003D69B6">
        <w:rPr>
          <w:rFonts w:eastAsia="Times New Roman"/>
          <w:lang w:val="en-US"/>
        </w:rPr>
        <w:t>Skipworth</w:t>
      </w:r>
      <w:proofErr w:type="spellEnd"/>
      <w:r w:rsidRPr="003D69B6">
        <w:rPr>
          <w:rFonts w:eastAsia="Times New Roman"/>
          <w:lang w:val="en-US"/>
        </w:rPr>
        <w:t xml:space="preserve">, R. J. E. &amp; Laird, B. J. A. Central neural mechanisms of cancer cachexia. </w:t>
      </w:r>
      <w:r w:rsidRPr="003D69B6">
        <w:rPr>
          <w:rFonts w:eastAsia="Times New Roman"/>
          <w:i/>
          <w:iCs/>
          <w:lang w:val="en-US"/>
        </w:rPr>
        <w:t xml:space="preserve">Curr </w:t>
      </w:r>
      <w:proofErr w:type="spellStart"/>
      <w:r w:rsidRPr="003D69B6">
        <w:rPr>
          <w:rFonts w:eastAsia="Times New Roman"/>
          <w:i/>
          <w:iCs/>
          <w:lang w:val="en-US"/>
        </w:rPr>
        <w:t>Opin</w:t>
      </w:r>
      <w:proofErr w:type="spellEnd"/>
      <w:r w:rsidRPr="003D69B6">
        <w:rPr>
          <w:rFonts w:eastAsia="Times New Roman"/>
          <w:i/>
          <w:iCs/>
          <w:lang w:val="en-US"/>
        </w:rPr>
        <w:t xml:space="preserve"> Support </w:t>
      </w:r>
      <w:proofErr w:type="spellStart"/>
      <w:r w:rsidRPr="003D69B6">
        <w:rPr>
          <w:rFonts w:eastAsia="Times New Roman"/>
          <w:i/>
          <w:iCs/>
          <w:lang w:val="en-US"/>
        </w:rPr>
        <w:t>Palliat</w:t>
      </w:r>
      <w:proofErr w:type="spellEnd"/>
      <w:r w:rsidRPr="003D69B6">
        <w:rPr>
          <w:rFonts w:eastAsia="Times New Roman"/>
          <w:i/>
          <w:iCs/>
          <w:lang w:val="en-US"/>
        </w:rPr>
        <w:t xml:space="preserve"> Care</w:t>
      </w:r>
      <w:r w:rsidRPr="003D69B6">
        <w:rPr>
          <w:rFonts w:eastAsia="Times New Roman"/>
          <w:lang w:val="en-US"/>
        </w:rPr>
        <w:t xml:space="preserve"> (2024) doi:10.1097/SPC.0000000000000707.</w:t>
      </w:r>
    </w:p>
    <w:p w14:paraId="6CBA83A1" w14:textId="77777777" w:rsidR="00800F21" w:rsidRPr="003D69B6" w:rsidRDefault="00800F21" w:rsidP="00800F21">
      <w:pPr>
        <w:autoSpaceDE w:val="0"/>
        <w:autoSpaceDN w:val="0"/>
        <w:ind w:hanging="640"/>
        <w:rPr>
          <w:rFonts w:eastAsia="Times New Roman"/>
          <w:lang w:val="en-US"/>
        </w:rPr>
      </w:pPr>
      <w:r>
        <w:rPr>
          <w:rFonts w:eastAsia="Times New Roman"/>
          <w:lang w:val="en-US"/>
        </w:rPr>
        <w:t>S37</w:t>
      </w:r>
      <w:r w:rsidRPr="003D69B6">
        <w:rPr>
          <w:rFonts w:eastAsia="Times New Roman"/>
          <w:lang w:val="en-US"/>
        </w:rPr>
        <w:t>.</w:t>
      </w:r>
      <w:r w:rsidRPr="003D69B6">
        <w:rPr>
          <w:rFonts w:eastAsia="Times New Roman"/>
          <w:lang w:val="en-US"/>
        </w:rPr>
        <w:tab/>
        <w:t xml:space="preserve">Liu, Y. J. </w:t>
      </w:r>
      <w:r w:rsidRPr="003D69B6">
        <w:rPr>
          <w:rFonts w:eastAsia="Times New Roman"/>
          <w:i/>
          <w:iCs/>
          <w:lang w:val="en-US"/>
        </w:rPr>
        <w:t>et al.</w:t>
      </w:r>
      <w:r w:rsidRPr="003D69B6">
        <w:rPr>
          <w:rFonts w:eastAsia="Times New Roman"/>
          <w:lang w:val="en-US"/>
        </w:rPr>
        <w:t xml:space="preserve"> Peripheral T cells derived from Alzheimer’s disease patients overexpress CXCR2 contributing to its </w:t>
      </w:r>
      <w:proofErr w:type="spellStart"/>
      <w:r w:rsidRPr="003D69B6">
        <w:rPr>
          <w:rFonts w:eastAsia="Times New Roman"/>
          <w:lang w:val="en-US"/>
        </w:rPr>
        <w:t>transendothelial</w:t>
      </w:r>
      <w:proofErr w:type="spellEnd"/>
      <w:r w:rsidRPr="003D69B6">
        <w:rPr>
          <w:rFonts w:eastAsia="Times New Roman"/>
          <w:lang w:val="en-US"/>
        </w:rPr>
        <w:t xml:space="preserve"> migration, which is microglial TNF-</w:t>
      </w:r>
      <w:r>
        <w:rPr>
          <w:rFonts w:eastAsia="Times New Roman"/>
        </w:rPr>
        <w:t>α</w:t>
      </w:r>
      <w:r w:rsidRPr="003D69B6">
        <w:rPr>
          <w:rFonts w:eastAsia="Times New Roman"/>
          <w:lang w:val="en-US"/>
        </w:rPr>
        <w:t xml:space="preserve">-dependent. </w:t>
      </w:r>
      <w:proofErr w:type="spellStart"/>
      <w:r w:rsidRPr="003D69B6">
        <w:rPr>
          <w:rFonts w:eastAsia="Times New Roman"/>
          <w:i/>
          <w:iCs/>
          <w:lang w:val="en-US"/>
        </w:rPr>
        <w:t>Neurobiol</w:t>
      </w:r>
      <w:proofErr w:type="spellEnd"/>
      <w:r w:rsidRPr="003D69B6">
        <w:rPr>
          <w:rFonts w:eastAsia="Times New Roman"/>
          <w:i/>
          <w:iCs/>
          <w:lang w:val="en-US"/>
        </w:rPr>
        <w:t xml:space="preserve"> Aging</w:t>
      </w:r>
      <w:r w:rsidRPr="003D69B6">
        <w:rPr>
          <w:rFonts w:eastAsia="Times New Roman"/>
          <w:lang w:val="en-US"/>
        </w:rPr>
        <w:t xml:space="preserve"> </w:t>
      </w:r>
      <w:r w:rsidRPr="003D69B6">
        <w:rPr>
          <w:rFonts w:eastAsia="Times New Roman"/>
          <w:b/>
          <w:bCs/>
          <w:lang w:val="en-US"/>
        </w:rPr>
        <w:t>31</w:t>
      </w:r>
      <w:r w:rsidRPr="003D69B6">
        <w:rPr>
          <w:rFonts w:eastAsia="Times New Roman"/>
          <w:lang w:val="en-US"/>
        </w:rPr>
        <w:t>, 175–188 (2010).</w:t>
      </w:r>
    </w:p>
    <w:p w14:paraId="4A589E11" w14:textId="77777777" w:rsidR="00800F21" w:rsidRPr="003D69B6" w:rsidRDefault="00800F21" w:rsidP="00800F21">
      <w:pPr>
        <w:autoSpaceDE w:val="0"/>
        <w:autoSpaceDN w:val="0"/>
        <w:ind w:hanging="640"/>
        <w:rPr>
          <w:rFonts w:eastAsia="Times New Roman"/>
          <w:lang w:val="en-US"/>
        </w:rPr>
      </w:pPr>
      <w:r>
        <w:rPr>
          <w:rFonts w:eastAsia="Times New Roman"/>
          <w:lang w:val="en-US"/>
        </w:rPr>
        <w:t>S38</w:t>
      </w:r>
      <w:r w:rsidRPr="003D69B6">
        <w:rPr>
          <w:rFonts w:eastAsia="Times New Roman"/>
          <w:lang w:val="en-US"/>
        </w:rPr>
        <w:t>.</w:t>
      </w:r>
      <w:r w:rsidRPr="003D69B6">
        <w:rPr>
          <w:rFonts w:eastAsia="Times New Roman"/>
          <w:lang w:val="en-US"/>
        </w:rPr>
        <w:tab/>
        <w:t xml:space="preserve">Lai, J. </w:t>
      </w:r>
      <w:r w:rsidRPr="003D69B6">
        <w:rPr>
          <w:rFonts w:eastAsia="Times New Roman"/>
          <w:i/>
          <w:iCs/>
          <w:lang w:val="en-US"/>
        </w:rPr>
        <w:t>et al.</w:t>
      </w:r>
      <w:r w:rsidRPr="003D69B6">
        <w:rPr>
          <w:rFonts w:eastAsia="Times New Roman"/>
          <w:lang w:val="en-US"/>
        </w:rPr>
        <w:t xml:space="preserve"> Fractional amplitude of low frequency fluctuation in drug-naïve first-episode patients with anorexia nervosa: A resting-state fMRI study. </w:t>
      </w:r>
      <w:r w:rsidRPr="003D69B6">
        <w:rPr>
          <w:rFonts w:eastAsia="Times New Roman"/>
          <w:i/>
          <w:iCs/>
          <w:lang w:val="en-US"/>
        </w:rPr>
        <w:t>Medicine (United States)</w:t>
      </w:r>
      <w:r w:rsidRPr="003D69B6">
        <w:rPr>
          <w:rFonts w:eastAsia="Times New Roman"/>
          <w:lang w:val="en-US"/>
        </w:rPr>
        <w:t xml:space="preserve"> </w:t>
      </w:r>
      <w:r w:rsidRPr="003D69B6">
        <w:rPr>
          <w:rFonts w:eastAsia="Times New Roman"/>
          <w:b/>
          <w:bCs/>
          <w:lang w:val="en-US"/>
        </w:rPr>
        <w:t>99</w:t>
      </w:r>
      <w:r w:rsidRPr="003D69B6">
        <w:rPr>
          <w:rFonts w:eastAsia="Times New Roman"/>
          <w:lang w:val="en-US"/>
        </w:rPr>
        <w:t>, (2020).</w:t>
      </w:r>
    </w:p>
    <w:p w14:paraId="44B4BF47" w14:textId="77777777" w:rsidR="00800F21" w:rsidRPr="003D69B6" w:rsidRDefault="00800F21" w:rsidP="00800F21">
      <w:pPr>
        <w:autoSpaceDE w:val="0"/>
        <w:autoSpaceDN w:val="0"/>
        <w:ind w:hanging="640"/>
        <w:rPr>
          <w:rFonts w:eastAsia="Times New Roman"/>
          <w:lang w:val="en-US"/>
        </w:rPr>
      </w:pPr>
      <w:r>
        <w:rPr>
          <w:rFonts w:eastAsia="Times New Roman"/>
          <w:lang w:val="en-US"/>
        </w:rPr>
        <w:t>S3</w:t>
      </w:r>
      <w:r w:rsidRPr="003D69B6">
        <w:rPr>
          <w:rFonts w:eastAsia="Times New Roman"/>
          <w:lang w:val="en-US"/>
        </w:rPr>
        <w:t>9.</w:t>
      </w:r>
      <w:r w:rsidRPr="003D69B6">
        <w:rPr>
          <w:rFonts w:eastAsia="Times New Roman"/>
          <w:lang w:val="en-US"/>
        </w:rPr>
        <w:tab/>
      </w:r>
      <w:proofErr w:type="spellStart"/>
      <w:r w:rsidRPr="003D69B6">
        <w:rPr>
          <w:rFonts w:eastAsia="Times New Roman"/>
          <w:lang w:val="en-US"/>
        </w:rPr>
        <w:t>Ransohoff</w:t>
      </w:r>
      <w:proofErr w:type="spellEnd"/>
      <w:r w:rsidRPr="003D69B6">
        <w:rPr>
          <w:rFonts w:eastAsia="Times New Roman"/>
          <w:lang w:val="en-US"/>
        </w:rPr>
        <w:t xml:space="preserve">, R. M. How neuroinflammation contributes to neurodegeneration. </w:t>
      </w:r>
      <w:r w:rsidRPr="003D69B6">
        <w:rPr>
          <w:rFonts w:eastAsia="Times New Roman"/>
          <w:i/>
          <w:iCs/>
          <w:lang w:val="en-US"/>
        </w:rPr>
        <w:t>Science</w:t>
      </w:r>
      <w:r w:rsidRPr="003D69B6">
        <w:rPr>
          <w:rFonts w:eastAsia="Times New Roman"/>
          <w:lang w:val="en-US"/>
        </w:rPr>
        <w:t xml:space="preserve"> vol. 353 777–783 Preprint at https://doi.org/10.1126/science.aag2590 (2016).</w:t>
      </w:r>
    </w:p>
    <w:p w14:paraId="651ADD1C" w14:textId="77777777" w:rsidR="00800F21" w:rsidRPr="003D69B6" w:rsidRDefault="00800F21" w:rsidP="00800F21">
      <w:pPr>
        <w:autoSpaceDE w:val="0"/>
        <w:autoSpaceDN w:val="0"/>
        <w:ind w:hanging="640"/>
        <w:rPr>
          <w:rFonts w:eastAsia="Times New Roman"/>
          <w:lang w:val="en-US"/>
        </w:rPr>
      </w:pPr>
      <w:r>
        <w:rPr>
          <w:rFonts w:eastAsia="Times New Roman"/>
          <w:lang w:val="en-US"/>
        </w:rPr>
        <w:lastRenderedPageBreak/>
        <w:t>S40</w:t>
      </w:r>
      <w:r w:rsidRPr="003D69B6">
        <w:rPr>
          <w:rFonts w:eastAsia="Times New Roman"/>
          <w:lang w:val="en-US"/>
        </w:rPr>
        <w:t>.</w:t>
      </w:r>
      <w:r w:rsidRPr="003D69B6">
        <w:rPr>
          <w:rFonts w:eastAsia="Times New Roman"/>
          <w:lang w:val="en-US"/>
        </w:rPr>
        <w:tab/>
      </w:r>
      <w:proofErr w:type="spellStart"/>
      <w:r w:rsidRPr="003D69B6">
        <w:rPr>
          <w:rFonts w:eastAsia="Times New Roman"/>
          <w:lang w:val="en-US"/>
        </w:rPr>
        <w:t>Ebadi</w:t>
      </w:r>
      <w:proofErr w:type="spellEnd"/>
      <w:r w:rsidRPr="003D69B6">
        <w:rPr>
          <w:rFonts w:eastAsia="Times New Roman"/>
          <w:lang w:val="en-US"/>
        </w:rPr>
        <w:t xml:space="preserve">, M. &amp; </w:t>
      </w:r>
      <w:proofErr w:type="spellStart"/>
      <w:r w:rsidRPr="003D69B6">
        <w:rPr>
          <w:rFonts w:eastAsia="Times New Roman"/>
          <w:lang w:val="en-US"/>
        </w:rPr>
        <w:t>Mazurak</w:t>
      </w:r>
      <w:proofErr w:type="spellEnd"/>
      <w:r w:rsidRPr="003D69B6">
        <w:rPr>
          <w:rFonts w:eastAsia="Times New Roman"/>
          <w:lang w:val="en-US"/>
        </w:rPr>
        <w:t xml:space="preserve">, V. C. Potential Biomarkers of Fat Loss as a Feature of Cancer Cachexia. </w:t>
      </w:r>
      <w:r w:rsidRPr="003D69B6">
        <w:rPr>
          <w:rFonts w:eastAsia="Times New Roman"/>
          <w:i/>
          <w:iCs/>
          <w:lang w:val="en-US"/>
        </w:rPr>
        <w:t xml:space="preserve">Mediators </w:t>
      </w:r>
      <w:proofErr w:type="spellStart"/>
      <w:r w:rsidRPr="003D69B6">
        <w:rPr>
          <w:rFonts w:eastAsia="Times New Roman"/>
          <w:i/>
          <w:iCs/>
          <w:lang w:val="en-US"/>
        </w:rPr>
        <w:t>Inflamm</w:t>
      </w:r>
      <w:proofErr w:type="spellEnd"/>
      <w:r w:rsidRPr="003D69B6">
        <w:rPr>
          <w:rFonts w:eastAsia="Times New Roman"/>
          <w:lang w:val="en-US"/>
        </w:rPr>
        <w:t xml:space="preserve"> </w:t>
      </w:r>
      <w:r w:rsidRPr="003D69B6">
        <w:rPr>
          <w:rFonts w:eastAsia="Times New Roman"/>
          <w:b/>
          <w:bCs/>
          <w:lang w:val="en-US"/>
        </w:rPr>
        <w:t>2015</w:t>
      </w:r>
      <w:r w:rsidRPr="003D69B6">
        <w:rPr>
          <w:rFonts w:eastAsia="Times New Roman"/>
          <w:lang w:val="en-US"/>
        </w:rPr>
        <w:t>, 1–8 (2015).</w:t>
      </w:r>
    </w:p>
    <w:p w14:paraId="52A15E9A" w14:textId="77777777" w:rsidR="00800F21" w:rsidRPr="003D69B6" w:rsidRDefault="00800F21" w:rsidP="00800F21">
      <w:pPr>
        <w:autoSpaceDE w:val="0"/>
        <w:autoSpaceDN w:val="0"/>
        <w:ind w:hanging="640"/>
        <w:rPr>
          <w:rFonts w:eastAsia="Times New Roman"/>
          <w:lang w:val="en-US"/>
        </w:rPr>
      </w:pPr>
      <w:r>
        <w:rPr>
          <w:rFonts w:eastAsia="Times New Roman"/>
          <w:lang w:val="en-US"/>
        </w:rPr>
        <w:t>S41</w:t>
      </w:r>
      <w:r w:rsidRPr="003D69B6">
        <w:rPr>
          <w:rFonts w:eastAsia="Times New Roman"/>
          <w:lang w:val="en-US"/>
        </w:rPr>
        <w:t>.</w:t>
      </w:r>
      <w:r w:rsidRPr="003D69B6">
        <w:rPr>
          <w:rFonts w:eastAsia="Times New Roman"/>
          <w:lang w:val="en-US"/>
        </w:rPr>
        <w:tab/>
      </w:r>
      <w:proofErr w:type="spellStart"/>
      <w:r w:rsidRPr="003D69B6">
        <w:rPr>
          <w:rFonts w:eastAsia="Times New Roman"/>
          <w:lang w:val="en-US"/>
        </w:rPr>
        <w:t>Bachiller</w:t>
      </w:r>
      <w:proofErr w:type="spellEnd"/>
      <w:r w:rsidRPr="003D69B6">
        <w:rPr>
          <w:rFonts w:eastAsia="Times New Roman"/>
          <w:lang w:val="en-US"/>
        </w:rPr>
        <w:t xml:space="preserve">, S. </w:t>
      </w:r>
      <w:r w:rsidRPr="003D69B6">
        <w:rPr>
          <w:rFonts w:eastAsia="Times New Roman"/>
          <w:i/>
          <w:iCs/>
          <w:lang w:val="en-US"/>
        </w:rPr>
        <w:t>et al.</w:t>
      </w:r>
      <w:r w:rsidRPr="003D69B6">
        <w:rPr>
          <w:rFonts w:eastAsia="Times New Roman"/>
          <w:lang w:val="en-US"/>
        </w:rPr>
        <w:t xml:space="preserve"> Microglia in Neurological Diseases: A Road Map to Brain-Disease Dependent-Inflammatory Response. </w:t>
      </w:r>
      <w:r w:rsidRPr="003D69B6">
        <w:rPr>
          <w:rFonts w:eastAsia="Times New Roman"/>
          <w:i/>
          <w:iCs/>
          <w:lang w:val="en-US"/>
        </w:rPr>
        <w:t xml:space="preserve">Front Cell </w:t>
      </w:r>
      <w:proofErr w:type="spellStart"/>
      <w:r w:rsidRPr="003D69B6">
        <w:rPr>
          <w:rFonts w:eastAsia="Times New Roman"/>
          <w:i/>
          <w:iCs/>
          <w:lang w:val="en-US"/>
        </w:rPr>
        <w:t>Neurosci</w:t>
      </w:r>
      <w:proofErr w:type="spellEnd"/>
      <w:r w:rsidRPr="003D69B6">
        <w:rPr>
          <w:rFonts w:eastAsia="Times New Roman"/>
          <w:lang w:val="en-US"/>
        </w:rPr>
        <w:t xml:space="preserve"> </w:t>
      </w:r>
      <w:r w:rsidRPr="003D69B6">
        <w:rPr>
          <w:rFonts w:eastAsia="Times New Roman"/>
          <w:b/>
          <w:bCs/>
          <w:lang w:val="en-US"/>
        </w:rPr>
        <w:t>12</w:t>
      </w:r>
      <w:r w:rsidRPr="003D69B6">
        <w:rPr>
          <w:rFonts w:eastAsia="Times New Roman"/>
          <w:lang w:val="en-US"/>
        </w:rPr>
        <w:t>, 488 (2018).</w:t>
      </w:r>
    </w:p>
    <w:p w14:paraId="13B71536" w14:textId="77777777" w:rsidR="00800F21" w:rsidRPr="003D69B6" w:rsidRDefault="00800F21" w:rsidP="00800F21">
      <w:pPr>
        <w:autoSpaceDE w:val="0"/>
        <w:autoSpaceDN w:val="0"/>
        <w:ind w:hanging="640"/>
        <w:rPr>
          <w:rFonts w:eastAsia="Times New Roman"/>
          <w:lang w:val="en-US"/>
        </w:rPr>
      </w:pPr>
      <w:r>
        <w:rPr>
          <w:rFonts w:eastAsia="Times New Roman"/>
          <w:lang w:val="en-US"/>
        </w:rPr>
        <w:t>S42</w:t>
      </w:r>
      <w:r w:rsidRPr="003D69B6">
        <w:rPr>
          <w:rFonts w:eastAsia="Times New Roman"/>
          <w:lang w:val="en-US"/>
        </w:rPr>
        <w:t>.</w:t>
      </w:r>
      <w:r w:rsidRPr="003D69B6">
        <w:rPr>
          <w:rFonts w:eastAsia="Times New Roman"/>
          <w:lang w:val="en-US"/>
        </w:rPr>
        <w:tab/>
      </w:r>
      <w:proofErr w:type="spellStart"/>
      <w:r w:rsidRPr="003D69B6">
        <w:rPr>
          <w:rFonts w:eastAsia="Times New Roman"/>
          <w:lang w:val="en-US"/>
        </w:rPr>
        <w:t>DiSabato</w:t>
      </w:r>
      <w:proofErr w:type="spellEnd"/>
      <w:r w:rsidRPr="003D69B6">
        <w:rPr>
          <w:rFonts w:eastAsia="Times New Roman"/>
          <w:lang w:val="en-US"/>
        </w:rPr>
        <w:t xml:space="preserve">, D., Quan, N. &amp; Godbout, J. P. Neuroinflammation: The Devil is in the Details. </w:t>
      </w:r>
      <w:r w:rsidRPr="003D69B6">
        <w:rPr>
          <w:rFonts w:eastAsia="Times New Roman"/>
          <w:i/>
          <w:iCs/>
          <w:lang w:val="en-US"/>
        </w:rPr>
        <w:t xml:space="preserve">J </w:t>
      </w:r>
      <w:proofErr w:type="spellStart"/>
      <w:r w:rsidRPr="003D69B6">
        <w:rPr>
          <w:rFonts w:eastAsia="Times New Roman"/>
          <w:i/>
          <w:iCs/>
          <w:lang w:val="en-US"/>
        </w:rPr>
        <w:t>Neurochem</w:t>
      </w:r>
      <w:proofErr w:type="spellEnd"/>
      <w:r w:rsidRPr="003D69B6">
        <w:rPr>
          <w:rFonts w:eastAsia="Times New Roman"/>
          <w:lang w:val="en-US"/>
        </w:rPr>
        <w:t xml:space="preserve"> </w:t>
      </w:r>
      <w:r w:rsidRPr="003D69B6">
        <w:rPr>
          <w:rFonts w:eastAsia="Times New Roman"/>
          <w:b/>
          <w:bCs/>
          <w:lang w:val="en-US"/>
        </w:rPr>
        <w:t>139</w:t>
      </w:r>
      <w:r w:rsidRPr="003D69B6">
        <w:rPr>
          <w:rFonts w:eastAsia="Times New Roman"/>
          <w:lang w:val="en-US"/>
        </w:rPr>
        <w:t>, 136–153 (2016).</w:t>
      </w:r>
    </w:p>
    <w:p w14:paraId="71B5753B" w14:textId="77777777" w:rsidR="00800F21" w:rsidRPr="003D69B6" w:rsidRDefault="00800F21" w:rsidP="00800F21">
      <w:pPr>
        <w:autoSpaceDE w:val="0"/>
        <w:autoSpaceDN w:val="0"/>
        <w:ind w:hanging="640"/>
        <w:rPr>
          <w:rFonts w:eastAsia="Times New Roman"/>
          <w:lang w:val="en-US"/>
        </w:rPr>
      </w:pPr>
      <w:r>
        <w:rPr>
          <w:rFonts w:eastAsia="Times New Roman"/>
          <w:lang w:val="en-US"/>
        </w:rPr>
        <w:t>S43</w:t>
      </w:r>
      <w:r w:rsidRPr="003D69B6">
        <w:rPr>
          <w:rFonts w:eastAsia="Times New Roman"/>
          <w:lang w:val="en-US"/>
        </w:rPr>
        <w:t>.</w:t>
      </w:r>
      <w:r w:rsidRPr="003D69B6">
        <w:rPr>
          <w:rFonts w:eastAsia="Times New Roman"/>
          <w:lang w:val="en-US"/>
        </w:rPr>
        <w:tab/>
      </w:r>
      <w:proofErr w:type="spellStart"/>
      <w:r w:rsidRPr="003D69B6">
        <w:rPr>
          <w:rFonts w:eastAsia="Times New Roman"/>
          <w:lang w:val="en-US"/>
        </w:rPr>
        <w:t>Molofsky</w:t>
      </w:r>
      <w:proofErr w:type="spellEnd"/>
      <w:r w:rsidRPr="003D69B6">
        <w:rPr>
          <w:rFonts w:eastAsia="Times New Roman"/>
          <w:lang w:val="en-US"/>
        </w:rPr>
        <w:t xml:space="preserve">, A. V </w:t>
      </w:r>
      <w:r w:rsidRPr="003D69B6">
        <w:rPr>
          <w:rFonts w:eastAsia="Times New Roman"/>
          <w:i/>
          <w:iCs/>
          <w:lang w:val="en-US"/>
        </w:rPr>
        <w:t>et al.</w:t>
      </w:r>
      <w:r w:rsidRPr="003D69B6">
        <w:rPr>
          <w:rFonts w:eastAsia="Times New Roman"/>
          <w:lang w:val="en-US"/>
        </w:rPr>
        <w:t xml:space="preserve"> Astrocytes and disease: a neurodevelopmental perspective. </w:t>
      </w:r>
      <w:r w:rsidRPr="003D69B6">
        <w:rPr>
          <w:rFonts w:eastAsia="Times New Roman"/>
          <w:i/>
          <w:iCs/>
          <w:lang w:val="en-US"/>
        </w:rPr>
        <w:t>Genes Dev</w:t>
      </w:r>
      <w:r w:rsidRPr="003D69B6">
        <w:rPr>
          <w:rFonts w:eastAsia="Times New Roman"/>
          <w:lang w:val="en-US"/>
        </w:rPr>
        <w:t xml:space="preserve"> </w:t>
      </w:r>
      <w:r w:rsidRPr="003D69B6">
        <w:rPr>
          <w:rFonts w:eastAsia="Times New Roman"/>
          <w:b/>
          <w:bCs/>
          <w:lang w:val="en-US"/>
        </w:rPr>
        <w:t>26</w:t>
      </w:r>
      <w:r w:rsidRPr="003D69B6">
        <w:rPr>
          <w:rFonts w:eastAsia="Times New Roman"/>
          <w:lang w:val="en-US"/>
        </w:rPr>
        <w:t>, 891–907 (2012).</w:t>
      </w:r>
    </w:p>
    <w:p w14:paraId="5275E4AC" w14:textId="77777777" w:rsidR="00800F21" w:rsidRPr="00800F21" w:rsidRDefault="00800F21" w:rsidP="00800F21">
      <w:pPr>
        <w:autoSpaceDE w:val="0"/>
        <w:autoSpaceDN w:val="0"/>
        <w:ind w:hanging="640"/>
        <w:rPr>
          <w:rFonts w:eastAsia="Times New Roman"/>
          <w:color w:val="000000"/>
          <w:lang w:val="en-US"/>
        </w:rPr>
      </w:pPr>
      <w:r>
        <w:rPr>
          <w:rFonts w:eastAsia="Times New Roman"/>
          <w:color w:val="000000"/>
          <w:lang w:val="en-US"/>
        </w:rPr>
        <w:t>S44</w:t>
      </w:r>
      <w:r w:rsidRPr="00800F21">
        <w:rPr>
          <w:rFonts w:eastAsia="Times New Roman"/>
          <w:color w:val="000000"/>
          <w:lang w:val="en-US"/>
        </w:rPr>
        <w:t>.</w:t>
      </w:r>
      <w:r w:rsidRPr="00800F21">
        <w:rPr>
          <w:rFonts w:eastAsia="Times New Roman"/>
          <w:color w:val="000000"/>
          <w:lang w:val="en-US"/>
        </w:rPr>
        <w:tab/>
        <w:t xml:space="preserve">Ashburner, J. &amp; Friston, K. J. Unified segmentation. </w:t>
      </w:r>
      <w:r w:rsidRPr="00800F21">
        <w:rPr>
          <w:rFonts w:eastAsia="Times New Roman"/>
          <w:iCs/>
          <w:color w:val="000000"/>
          <w:lang w:val="en-US"/>
        </w:rPr>
        <w:t>Neuroimage</w:t>
      </w:r>
      <w:r w:rsidRPr="00800F21">
        <w:rPr>
          <w:rFonts w:eastAsia="Times New Roman"/>
          <w:color w:val="000000"/>
          <w:lang w:val="en-US"/>
        </w:rPr>
        <w:t xml:space="preserve"> </w:t>
      </w:r>
      <w:r w:rsidRPr="00800F21">
        <w:rPr>
          <w:rFonts w:eastAsia="Times New Roman"/>
          <w:bCs/>
          <w:color w:val="000000"/>
          <w:lang w:val="en-US"/>
        </w:rPr>
        <w:t>26</w:t>
      </w:r>
      <w:r w:rsidRPr="00800F21">
        <w:rPr>
          <w:rFonts w:eastAsia="Times New Roman"/>
          <w:color w:val="000000"/>
          <w:lang w:val="en-US"/>
        </w:rPr>
        <w:t>, 839–851 (2005).</w:t>
      </w:r>
    </w:p>
    <w:p w14:paraId="0FD28988" w14:textId="77777777" w:rsidR="00800F21" w:rsidRPr="00800F21" w:rsidRDefault="00800F21" w:rsidP="00800F21">
      <w:pPr>
        <w:autoSpaceDE w:val="0"/>
        <w:autoSpaceDN w:val="0"/>
        <w:ind w:hanging="640"/>
        <w:rPr>
          <w:rFonts w:eastAsia="Times New Roman"/>
          <w:color w:val="000000"/>
          <w:lang w:val="en-US"/>
        </w:rPr>
      </w:pPr>
      <w:r>
        <w:rPr>
          <w:rFonts w:eastAsia="Times New Roman"/>
          <w:color w:val="000000"/>
          <w:lang w:val="en-US"/>
        </w:rPr>
        <w:t>S45</w:t>
      </w:r>
      <w:r w:rsidRPr="00800F21">
        <w:rPr>
          <w:rFonts w:eastAsia="Times New Roman"/>
          <w:color w:val="000000"/>
          <w:lang w:val="en-US"/>
        </w:rPr>
        <w:t>.</w:t>
      </w:r>
      <w:r w:rsidRPr="00800F21">
        <w:rPr>
          <w:rFonts w:eastAsia="Times New Roman"/>
          <w:color w:val="000000"/>
          <w:lang w:val="en-US"/>
        </w:rPr>
        <w:tab/>
        <w:t xml:space="preserve">Ashburner, J. A fast diffeomorphic image registration algorithm. </w:t>
      </w:r>
      <w:r w:rsidRPr="00800F21">
        <w:rPr>
          <w:rFonts w:eastAsia="Times New Roman"/>
          <w:iCs/>
          <w:color w:val="000000"/>
          <w:lang w:val="en-US"/>
        </w:rPr>
        <w:t>Neuroimage</w:t>
      </w:r>
      <w:r w:rsidRPr="00800F21">
        <w:rPr>
          <w:rFonts w:eastAsia="Times New Roman"/>
          <w:color w:val="000000"/>
          <w:lang w:val="en-US"/>
        </w:rPr>
        <w:t xml:space="preserve"> </w:t>
      </w:r>
      <w:r w:rsidRPr="00800F21">
        <w:rPr>
          <w:rFonts w:eastAsia="Times New Roman"/>
          <w:bCs/>
          <w:color w:val="000000"/>
          <w:lang w:val="en-US"/>
        </w:rPr>
        <w:t>38</w:t>
      </w:r>
      <w:r w:rsidRPr="00800F21">
        <w:rPr>
          <w:rFonts w:eastAsia="Times New Roman"/>
          <w:color w:val="000000"/>
          <w:lang w:val="en-US"/>
        </w:rPr>
        <w:t>, 95–113 (2007).</w:t>
      </w:r>
    </w:p>
    <w:p w14:paraId="1AF2E13A" w14:textId="77777777" w:rsidR="00800F21" w:rsidRPr="00800F21" w:rsidRDefault="00800F21" w:rsidP="00800F21">
      <w:pPr>
        <w:autoSpaceDE w:val="0"/>
        <w:autoSpaceDN w:val="0"/>
        <w:ind w:hanging="640"/>
        <w:rPr>
          <w:rFonts w:eastAsia="Times New Roman"/>
          <w:color w:val="000000"/>
          <w:lang w:val="en-US"/>
        </w:rPr>
      </w:pPr>
      <w:r>
        <w:rPr>
          <w:rFonts w:eastAsia="Times New Roman"/>
          <w:color w:val="000000"/>
          <w:lang w:val="en-US"/>
        </w:rPr>
        <w:t>S46</w:t>
      </w:r>
      <w:r w:rsidRPr="00800F21">
        <w:rPr>
          <w:rFonts w:eastAsia="Times New Roman"/>
          <w:color w:val="000000"/>
          <w:lang w:val="en-US"/>
        </w:rPr>
        <w:t>.</w:t>
      </w:r>
      <w:r w:rsidRPr="00800F21">
        <w:rPr>
          <w:rFonts w:eastAsia="Times New Roman"/>
          <w:color w:val="000000"/>
          <w:lang w:val="en-US"/>
        </w:rPr>
        <w:tab/>
      </w:r>
      <w:proofErr w:type="spellStart"/>
      <w:r w:rsidRPr="00800F21">
        <w:rPr>
          <w:rFonts w:eastAsia="Times New Roman"/>
          <w:color w:val="000000"/>
          <w:lang w:val="en-US"/>
        </w:rPr>
        <w:t>Rueckert</w:t>
      </w:r>
      <w:proofErr w:type="spellEnd"/>
      <w:r w:rsidRPr="00800F21">
        <w:rPr>
          <w:rFonts w:eastAsia="Times New Roman"/>
          <w:color w:val="000000"/>
          <w:lang w:val="en-US"/>
        </w:rPr>
        <w:t xml:space="preserve">, D. Nonrigid registration using free-form deformations: Application to breast </w:t>
      </w:r>
      <w:proofErr w:type="spellStart"/>
      <w:r w:rsidRPr="00800F21">
        <w:rPr>
          <w:rFonts w:eastAsia="Times New Roman"/>
          <w:color w:val="000000"/>
          <w:lang w:val="en-US"/>
        </w:rPr>
        <w:t>mr</w:t>
      </w:r>
      <w:proofErr w:type="spellEnd"/>
      <w:r w:rsidRPr="00800F21">
        <w:rPr>
          <w:rFonts w:eastAsia="Times New Roman"/>
          <w:color w:val="000000"/>
          <w:lang w:val="en-US"/>
        </w:rPr>
        <w:t xml:space="preserve"> images. </w:t>
      </w:r>
      <w:r w:rsidRPr="00800F21">
        <w:rPr>
          <w:rFonts w:eastAsia="Times New Roman"/>
          <w:iCs/>
          <w:color w:val="000000"/>
          <w:lang w:val="en-US"/>
        </w:rPr>
        <w:t>IEEE Trans Med Imaging</w:t>
      </w:r>
      <w:r w:rsidRPr="00800F21">
        <w:rPr>
          <w:rFonts w:eastAsia="Times New Roman"/>
          <w:color w:val="000000"/>
          <w:lang w:val="en-US"/>
        </w:rPr>
        <w:t xml:space="preserve"> </w:t>
      </w:r>
      <w:r w:rsidRPr="00800F21">
        <w:rPr>
          <w:rFonts w:eastAsia="Times New Roman"/>
          <w:bCs/>
          <w:color w:val="000000"/>
          <w:lang w:val="en-US"/>
        </w:rPr>
        <w:t>18</w:t>
      </w:r>
      <w:r w:rsidRPr="00800F21">
        <w:rPr>
          <w:rFonts w:eastAsia="Times New Roman"/>
          <w:color w:val="000000"/>
          <w:lang w:val="en-US"/>
        </w:rPr>
        <w:t>, 712–721 (1999).</w:t>
      </w:r>
    </w:p>
    <w:p w14:paraId="72B73819" w14:textId="77777777" w:rsidR="00800F21" w:rsidRPr="00800F21" w:rsidRDefault="00800F21" w:rsidP="00800F21">
      <w:pPr>
        <w:autoSpaceDE w:val="0"/>
        <w:autoSpaceDN w:val="0"/>
        <w:ind w:hanging="640"/>
        <w:rPr>
          <w:rFonts w:eastAsia="Times New Roman"/>
          <w:color w:val="000000"/>
          <w:lang w:val="en-US"/>
        </w:rPr>
      </w:pPr>
      <w:r>
        <w:rPr>
          <w:rFonts w:eastAsia="Times New Roman"/>
          <w:color w:val="000000"/>
          <w:lang w:val="en-US"/>
        </w:rPr>
        <w:t>S</w:t>
      </w:r>
      <w:r w:rsidRPr="00800F21">
        <w:rPr>
          <w:rFonts w:eastAsia="Times New Roman"/>
          <w:color w:val="000000"/>
          <w:lang w:val="en-US"/>
        </w:rPr>
        <w:t>4</w:t>
      </w:r>
      <w:r>
        <w:rPr>
          <w:rFonts w:eastAsia="Times New Roman"/>
          <w:color w:val="000000"/>
          <w:lang w:val="en-US"/>
        </w:rPr>
        <w:t>7</w:t>
      </w:r>
      <w:r w:rsidRPr="00800F21">
        <w:rPr>
          <w:rFonts w:eastAsia="Times New Roman"/>
          <w:color w:val="000000"/>
          <w:lang w:val="en-US"/>
        </w:rPr>
        <w:t>.</w:t>
      </w:r>
      <w:r w:rsidRPr="00800F21">
        <w:rPr>
          <w:rFonts w:eastAsia="Times New Roman"/>
          <w:color w:val="000000"/>
          <w:lang w:val="en-US"/>
        </w:rPr>
        <w:tab/>
      </w:r>
      <w:proofErr w:type="spellStart"/>
      <w:r w:rsidRPr="00800F21">
        <w:rPr>
          <w:rFonts w:eastAsia="Times New Roman"/>
          <w:color w:val="000000"/>
          <w:lang w:val="en-US"/>
        </w:rPr>
        <w:t>Behzadi</w:t>
      </w:r>
      <w:proofErr w:type="spellEnd"/>
      <w:r w:rsidRPr="00800F21">
        <w:rPr>
          <w:rFonts w:eastAsia="Times New Roman"/>
          <w:color w:val="000000"/>
          <w:lang w:val="en-US"/>
        </w:rPr>
        <w:t xml:space="preserve">, Y., </w:t>
      </w:r>
      <w:proofErr w:type="spellStart"/>
      <w:r w:rsidRPr="00800F21">
        <w:rPr>
          <w:rFonts w:eastAsia="Times New Roman"/>
          <w:color w:val="000000"/>
          <w:lang w:val="en-US"/>
        </w:rPr>
        <w:t>Restom</w:t>
      </w:r>
      <w:proofErr w:type="spellEnd"/>
      <w:r w:rsidRPr="00800F21">
        <w:rPr>
          <w:rFonts w:eastAsia="Times New Roman"/>
          <w:color w:val="000000"/>
          <w:lang w:val="en-US"/>
        </w:rPr>
        <w:t xml:space="preserve">, K., </w:t>
      </w:r>
      <w:proofErr w:type="spellStart"/>
      <w:r w:rsidRPr="00800F21">
        <w:rPr>
          <w:rFonts w:eastAsia="Times New Roman"/>
          <w:color w:val="000000"/>
          <w:lang w:val="en-US"/>
        </w:rPr>
        <w:t>Liau</w:t>
      </w:r>
      <w:proofErr w:type="spellEnd"/>
      <w:r w:rsidRPr="00800F21">
        <w:rPr>
          <w:rFonts w:eastAsia="Times New Roman"/>
          <w:color w:val="000000"/>
          <w:lang w:val="en-US"/>
        </w:rPr>
        <w:t xml:space="preserve">, J. &amp; Liu, T. T. A </w:t>
      </w:r>
      <w:proofErr w:type="gramStart"/>
      <w:r w:rsidRPr="00800F21">
        <w:rPr>
          <w:rFonts w:eastAsia="Times New Roman"/>
          <w:color w:val="000000"/>
          <w:lang w:val="en-US"/>
        </w:rPr>
        <w:t>component based</w:t>
      </w:r>
      <w:proofErr w:type="gramEnd"/>
      <w:r w:rsidRPr="00800F21">
        <w:rPr>
          <w:rFonts w:eastAsia="Times New Roman"/>
          <w:color w:val="000000"/>
          <w:lang w:val="en-US"/>
        </w:rPr>
        <w:t xml:space="preserve"> noise correction method (</w:t>
      </w:r>
      <w:proofErr w:type="spellStart"/>
      <w:r w:rsidRPr="00800F21">
        <w:rPr>
          <w:rFonts w:eastAsia="Times New Roman"/>
          <w:color w:val="000000"/>
          <w:lang w:val="en-US"/>
        </w:rPr>
        <w:t>CompCor</w:t>
      </w:r>
      <w:proofErr w:type="spellEnd"/>
      <w:r w:rsidRPr="00800F21">
        <w:rPr>
          <w:rFonts w:eastAsia="Times New Roman"/>
          <w:color w:val="000000"/>
          <w:lang w:val="en-US"/>
        </w:rPr>
        <w:t xml:space="preserve">) for BOLD and perfusion based fMRI. </w:t>
      </w:r>
      <w:r w:rsidRPr="00800F21">
        <w:rPr>
          <w:rFonts w:eastAsia="Times New Roman"/>
          <w:iCs/>
          <w:color w:val="000000"/>
          <w:lang w:val="en-US"/>
        </w:rPr>
        <w:t>Neuroimage</w:t>
      </w:r>
      <w:r w:rsidRPr="00800F21">
        <w:rPr>
          <w:rFonts w:eastAsia="Times New Roman"/>
          <w:color w:val="000000"/>
          <w:lang w:val="en-US"/>
        </w:rPr>
        <w:t xml:space="preserve"> </w:t>
      </w:r>
      <w:r w:rsidRPr="00800F21">
        <w:rPr>
          <w:rFonts w:eastAsia="Times New Roman"/>
          <w:bCs/>
          <w:color w:val="000000"/>
          <w:lang w:val="en-US"/>
        </w:rPr>
        <w:t>37</w:t>
      </w:r>
      <w:r w:rsidRPr="00800F21">
        <w:rPr>
          <w:rFonts w:eastAsia="Times New Roman"/>
          <w:color w:val="000000"/>
          <w:lang w:val="en-US"/>
        </w:rPr>
        <w:t>, 90–101 (2007).</w:t>
      </w:r>
    </w:p>
    <w:p w14:paraId="79F0029A" w14:textId="77777777" w:rsidR="00800F21" w:rsidRPr="00800F21" w:rsidRDefault="00800F21" w:rsidP="00800F21">
      <w:pPr>
        <w:autoSpaceDE w:val="0"/>
        <w:autoSpaceDN w:val="0"/>
        <w:ind w:hanging="640"/>
        <w:rPr>
          <w:rFonts w:eastAsia="Times New Roman"/>
          <w:color w:val="000000"/>
          <w:lang w:val="en-US"/>
        </w:rPr>
      </w:pPr>
      <w:r>
        <w:rPr>
          <w:rFonts w:eastAsia="Times New Roman"/>
          <w:color w:val="000000"/>
          <w:lang w:val="en-US"/>
        </w:rPr>
        <w:t>S48</w:t>
      </w:r>
      <w:r w:rsidRPr="00800F21">
        <w:rPr>
          <w:rFonts w:eastAsia="Times New Roman"/>
          <w:color w:val="000000"/>
          <w:lang w:val="en-US"/>
        </w:rPr>
        <w:t>.</w:t>
      </w:r>
      <w:r w:rsidRPr="00800F21">
        <w:rPr>
          <w:rFonts w:eastAsia="Times New Roman"/>
          <w:color w:val="000000"/>
          <w:lang w:val="en-US"/>
        </w:rPr>
        <w:tab/>
      </w:r>
      <w:proofErr w:type="spellStart"/>
      <w:r w:rsidRPr="00800F21">
        <w:rPr>
          <w:rFonts w:eastAsia="Times New Roman"/>
          <w:color w:val="000000"/>
          <w:lang w:val="en-US"/>
        </w:rPr>
        <w:t>Hallquist</w:t>
      </w:r>
      <w:proofErr w:type="spellEnd"/>
      <w:r w:rsidRPr="00800F21">
        <w:rPr>
          <w:rFonts w:eastAsia="Times New Roman"/>
          <w:color w:val="000000"/>
          <w:lang w:val="en-US"/>
        </w:rPr>
        <w:t xml:space="preserve">, M. N., Hwang, K. &amp; Luna, B. The nuisance of nuisance regression: spectral misspecification in a common approach to resting-state fMRI preprocessing reintroduces noise and obscures functional connectivity. </w:t>
      </w:r>
      <w:r w:rsidRPr="00800F21">
        <w:rPr>
          <w:rFonts w:eastAsia="Times New Roman"/>
          <w:iCs/>
          <w:color w:val="000000"/>
          <w:lang w:val="en-US"/>
        </w:rPr>
        <w:t>Neuroimage</w:t>
      </w:r>
      <w:r w:rsidRPr="00800F21">
        <w:rPr>
          <w:rFonts w:eastAsia="Times New Roman"/>
          <w:color w:val="000000"/>
          <w:lang w:val="en-US"/>
        </w:rPr>
        <w:t xml:space="preserve"> </w:t>
      </w:r>
      <w:r w:rsidRPr="00800F21">
        <w:rPr>
          <w:rFonts w:eastAsia="Times New Roman"/>
          <w:bCs/>
          <w:color w:val="000000"/>
          <w:lang w:val="en-US"/>
        </w:rPr>
        <w:t>82</w:t>
      </w:r>
      <w:r w:rsidRPr="00800F21">
        <w:rPr>
          <w:rFonts w:eastAsia="Times New Roman"/>
          <w:color w:val="000000"/>
          <w:lang w:val="en-US"/>
        </w:rPr>
        <w:t>, 208–25 (2013).</w:t>
      </w:r>
    </w:p>
    <w:p w14:paraId="07A0C0F7" w14:textId="77777777" w:rsidR="00800F21" w:rsidRPr="00800F21" w:rsidRDefault="00800F21" w:rsidP="00800F21">
      <w:pPr>
        <w:autoSpaceDE w:val="0"/>
        <w:autoSpaceDN w:val="0"/>
        <w:ind w:hanging="640"/>
        <w:rPr>
          <w:rFonts w:eastAsia="Times New Roman"/>
          <w:color w:val="000000"/>
          <w:lang w:val="en-US"/>
        </w:rPr>
      </w:pPr>
      <w:r>
        <w:rPr>
          <w:rFonts w:eastAsia="Times New Roman"/>
          <w:color w:val="000000"/>
          <w:lang w:val="en-US"/>
        </w:rPr>
        <w:t>S49</w:t>
      </w:r>
      <w:r w:rsidRPr="00800F21">
        <w:rPr>
          <w:rFonts w:eastAsia="Times New Roman"/>
          <w:color w:val="000000"/>
          <w:lang w:val="en-US"/>
        </w:rPr>
        <w:t>.</w:t>
      </w:r>
      <w:r w:rsidRPr="00800F21">
        <w:rPr>
          <w:rFonts w:eastAsia="Times New Roman"/>
          <w:color w:val="000000"/>
          <w:lang w:val="en-US"/>
        </w:rPr>
        <w:tab/>
        <w:t xml:space="preserve">Kreis, R. Issues of spectral quality in clinical 1H-magnetic resonance spectroscopy and a gallery of artifacts. </w:t>
      </w:r>
      <w:r w:rsidRPr="00800F21">
        <w:rPr>
          <w:rFonts w:eastAsia="Times New Roman"/>
          <w:iCs/>
          <w:color w:val="000000"/>
          <w:lang w:val="en-US"/>
        </w:rPr>
        <w:t>NMR Biomed</w:t>
      </w:r>
      <w:r w:rsidRPr="00800F21">
        <w:rPr>
          <w:rFonts w:eastAsia="Times New Roman"/>
          <w:color w:val="000000"/>
          <w:lang w:val="en-US"/>
        </w:rPr>
        <w:t xml:space="preserve"> </w:t>
      </w:r>
      <w:r w:rsidRPr="00800F21">
        <w:rPr>
          <w:rFonts w:eastAsia="Times New Roman"/>
          <w:bCs/>
          <w:color w:val="000000"/>
          <w:lang w:val="en-US"/>
        </w:rPr>
        <w:t>17</w:t>
      </w:r>
      <w:r w:rsidRPr="00800F21">
        <w:rPr>
          <w:rFonts w:eastAsia="Times New Roman"/>
          <w:color w:val="000000"/>
          <w:lang w:val="en-US"/>
        </w:rPr>
        <w:t>, 361–81 (2004).</w:t>
      </w:r>
    </w:p>
    <w:p w14:paraId="3D177050" w14:textId="77777777" w:rsidR="00800F21" w:rsidRPr="00800F21" w:rsidRDefault="00800F21" w:rsidP="00800F21">
      <w:pPr>
        <w:autoSpaceDE w:val="0"/>
        <w:autoSpaceDN w:val="0"/>
        <w:ind w:hanging="640"/>
        <w:rPr>
          <w:rFonts w:eastAsia="Times New Roman"/>
          <w:color w:val="000000"/>
          <w:lang w:val="en-US"/>
        </w:rPr>
      </w:pPr>
      <w:r>
        <w:rPr>
          <w:rFonts w:eastAsia="Times New Roman"/>
          <w:color w:val="000000"/>
          <w:lang w:val="en-US"/>
        </w:rPr>
        <w:t>S50</w:t>
      </w:r>
      <w:r w:rsidRPr="00800F21">
        <w:rPr>
          <w:rFonts w:eastAsia="Times New Roman"/>
          <w:color w:val="000000"/>
          <w:lang w:val="en-US"/>
        </w:rPr>
        <w:t>.</w:t>
      </w:r>
      <w:r w:rsidRPr="00800F21">
        <w:rPr>
          <w:rFonts w:eastAsia="Times New Roman"/>
          <w:color w:val="000000"/>
          <w:lang w:val="en-US"/>
        </w:rPr>
        <w:tab/>
        <w:t xml:space="preserve">Jenkins, D. R., </w:t>
      </w:r>
      <w:proofErr w:type="spellStart"/>
      <w:r w:rsidRPr="00800F21">
        <w:rPr>
          <w:rFonts w:eastAsia="Times New Roman"/>
          <w:color w:val="000000"/>
          <w:lang w:val="en-US"/>
        </w:rPr>
        <w:t>Craner</w:t>
      </w:r>
      <w:proofErr w:type="spellEnd"/>
      <w:r w:rsidRPr="00800F21">
        <w:rPr>
          <w:rFonts w:eastAsia="Times New Roman"/>
          <w:color w:val="000000"/>
          <w:lang w:val="en-US"/>
        </w:rPr>
        <w:t xml:space="preserve">, M. J., Esiri, M. M. &amp; DeLuca, G. C. Contribution of Fibrinogen to Inflammation and Neuronal Density in Human Traumatic Brain Injury. </w:t>
      </w:r>
      <w:r w:rsidRPr="00800F21">
        <w:rPr>
          <w:rFonts w:eastAsia="Times New Roman"/>
          <w:iCs/>
          <w:color w:val="000000"/>
          <w:lang w:val="en-US"/>
        </w:rPr>
        <w:t>J Neurotrauma</w:t>
      </w:r>
      <w:r w:rsidRPr="00800F21">
        <w:rPr>
          <w:rFonts w:eastAsia="Times New Roman"/>
          <w:color w:val="000000"/>
          <w:lang w:val="en-US"/>
        </w:rPr>
        <w:t xml:space="preserve"> </w:t>
      </w:r>
      <w:r w:rsidRPr="00800F21">
        <w:rPr>
          <w:rFonts w:eastAsia="Times New Roman"/>
          <w:bCs/>
          <w:color w:val="000000"/>
          <w:lang w:val="en-US"/>
        </w:rPr>
        <w:t>35</w:t>
      </w:r>
      <w:r w:rsidRPr="00800F21">
        <w:rPr>
          <w:rFonts w:eastAsia="Times New Roman"/>
          <w:color w:val="000000"/>
          <w:lang w:val="en-US"/>
        </w:rPr>
        <w:t>, 2259–2271 (2018).</w:t>
      </w:r>
    </w:p>
    <w:p w14:paraId="473C89D3" w14:textId="77777777" w:rsidR="00800F21" w:rsidRPr="00800F21" w:rsidRDefault="00800F21" w:rsidP="00800F21">
      <w:pPr>
        <w:autoSpaceDE w:val="0"/>
        <w:autoSpaceDN w:val="0"/>
        <w:ind w:hanging="640"/>
        <w:rPr>
          <w:rFonts w:eastAsia="Times New Roman"/>
          <w:color w:val="000000"/>
          <w:lang w:val="en-US"/>
        </w:rPr>
      </w:pPr>
      <w:r>
        <w:rPr>
          <w:rFonts w:eastAsia="Times New Roman"/>
          <w:color w:val="000000"/>
          <w:lang w:val="en-US"/>
        </w:rPr>
        <w:t>S51</w:t>
      </w:r>
      <w:r w:rsidRPr="00800F21">
        <w:rPr>
          <w:rFonts w:eastAsia="Times New Roman"/>
          <w:color w:val="000000"/>
          <w:lang w:val="en-US"/>
        </w:rPr>
        <w:tab/>
        <w:t xml:space="preserve">Friston, K. J. </w:t>
      </w:r>
      <w:r w:rsidRPr="00800F21">
        <w:rPr>
          <w:rFonts w:eastAsia="Times New Roman"/>
          <w:iCs/>
          <w:color w:val="000000"/>
          <w:lang w:val="en-US"/>
        </w:rPr>
        <w:t>et al.</w:t>
      </w:r>
      <w:r w:rsidRPr="00800F21">
        <w:rPr>
          <w:rFonts w:eastAsia="Times New Roman"/>
          <w:color w:val="000000"/>
          <w:lang w:val="en-US"/>
        </w:rPr>
        <w:t xml:space="preserve"> Spatial registration and normalization of images. </w:t>
      </w:r>
      <w:r w:rsidRPr="00800F21">
        <w:rPr>
          <w:rFonts w:eastAsia="Times New Roman"/>
          <w:iCs/>
          <w:color w:val="000000"/>
          <w:lang w:val="en-US"/>
        </w:rPr>
        <w:t>Hum Brain Mapp</w:t>
      </w:r>
      <w:r w:rsidRPr="00800F21">
        <w:rPr>
          <w:rFonts w:eastAsia="Times New Roman"/>
          <w:color w:val="000000"/>
          <w:lang w:val="en-US"/>
        </w:rPr>
        <w:t xml:space="preserve"> </w:t>
      </w:r>
      <w:r w:rsidRPr="00800F21">
        <w:rPr>
          <w:rFonts w:eastAsia="Times New Roman"/>
          <w:bCs/>
          <w:color w:val="000000"/>
          <w:lang w:val="en-US"/>
        </w:rPr>
        <w:t>3</w:t>
      </w:r>
      <w:r w:rsidRPr="00800F21">
        <w:rPr>
          <w:rFonts w:eastAsia="Times New Roman"/>
          <w:color w:val="000000"/>
          <w:lang w:val="en-US"/>
        </w:rPr>
        <w:t>, 165–189 (1995).</w:t>
      </w:r>
    </w:p>
    <w:p w14:paraId="7880388B" w14:textId="77777777" w:rsidR="00800F21" w:rsidRPr="00800F21" w:rsidRDefault="00800F21" w:rsidP="00800F21">
      <w:pPr>
        <w:autoSpaceDE w:val="0"/>
        <w:autoSpaceDN w:val="0"/>
        <w:ind w:hanging="640"/>
        <w:rPr>
          <w:rFonts w:eastAsia="Times New Roman"/>
          <w:color w:val="000000"/>
          <w:lang w:val="en-US"/>
        </w:rPr>
      </w:pPr>
      <w:r>
        <w:rPr>
          <w:rFonts w:eastAsia="Times New Roman"/>
          <w:color w:val="000000"/>
          <w:lang w:val="en-US"/>
        </w:rPr>
        <w:t>S52</w:t>
      </w:r>
      <w:r w:rsidRPr="00800F21">
        <w:rPr>
          <w:rFonts w:eastAsia="Times New Roman"/>
          <w:color w:val="000000"/>
          <w:lang w:val="en-US"/>
        </w:rPr>
        <w:t>.</w:t>
      </w:r>
      <w:r w:rsidRPr="00800F21">
        <w:rPr>
          <w:rFonts w:eastAsia="Times New Roman"/>
          <w:color w:val="000000"/>
          <w:lang w:val="en-US"/>
        </w:rPr>
        <w:tab/>
        <w:t xml:space="preserve">Hua, K. </w:t>
      </w:r>
      <w:r w:rsidRPr="00800F21">
        <w:rPr>
          <w:rFonts w:eastAsia="Times New Roman"/>
          <w:iCs/>
          <w:color w:val="000000"/>
          <w:lang w:val="en-US"/>
        </w:rPr>
        <w:t>et al.</w:t>
      </w:r>
      <w:r w:rsidRPr="00800F21">
        <w:rPr>
          <w:rFonts w:eastAsia="Times New Roman"/>
          <w:color w:val="000000"/>
          <w:lang w:val="en-US"/>
        </w:rPr>
        <w:t xml:space="preserve"> Tract probability maps in stereotaxic spaces: analyses of white matter anatomy and tract-specific quantification. </w:t>
      </w:r>
      <w:r w:rsidRPr="00800F21">
        <w:rPr>
          <w:rFonts w:eastAsia="Times New Roman"/>
          <w:iCs/>
          <w:color w:val="000000"/>
          <w:lang w:val="en-US"/>
        </w:rPr>
        <w:t>Neuroimage</w:t>
      </w:r>
      <w:r w:rsidRPr="00800F21">
        <w:rPr>
          <w:rFonts w:eastAsia="Times New Roman"/>
          <w:color w:val="000000"/>
          <w:lang w:val="en-US"/>
        </w:rPr>
        <w:t xml:space="preserve"> </w:t>
      </w:r>
      <w:r w:rsidRPr="00800F21">
        <w:rPr>
          <w:rFonts w:eastAsia="Times New Roman"/>
          <w:bCs/>
          <w:color w:val="000000"/>
          <w:lang w:val="en-US"/>
        </w:rPr>
        <w:t>39</w:t>
      </w:r>
      <w:r w:rsidRPr="00800F21">
        <w:rPr>
          <w:rFonts w:eastAsia="Times New Roman"/>
          <w:color w:val="000000"/>
          <w:lang w:val="en-US"/>
        </w:rPr>
        <w:t>, 336–47 (2008).</w:t>
      </w:r>
    </w:p>
    <w:p w14:paraId="6A0624FB" w14:textId="77777777" w:rsidR="00800F21" w:rsidRPr="00800F21" w:rsidRDefault="00800F21" w:rsidP="00800F21">
      <w:pPr>
        <w:autoSpaceDE w:val="0"/>
        <w:autoSpaceDN w:val="0"/>
        <w:ind w:hanging="640"/>
        <w:rPr>
          <w:rFonts w:eastAsia="Times New Roman"/>
          <w:color w:val="000000"/>
          <w:lang w:val="en-US"/>
        </w:rPr>
      </w:pPr>
      <w:r>
        <w:rPr>
          <w:rFonts w:eastAsia="Times New Roman"/>
          <w:color w:val="000000"/>
          <w:lang w:val="en-US"/>
        </w:rPr>
        <w:t>S53</w:t>
      </w:r>
      <w:r w:rsidRPr="00800F21">
        <w:rPr>
          <w:rFonts w:eastAsia="Times New Roman"/>
          <w:color w:val="000000"/>
          <w:lang w:val="en-US"/>
        </w:rPr>
        <w:t>.</w:t>
      </w:r>
      <w:r w:rsidRPr="00800F21">
        <w:rPr>
          <w:rFonts w:eastAsia="Times New Roman"/>
          <w:color w:val="000000"/>
          <w:lang w:val="en-US"/>
        </w:rPr>
        <w:tab/>
        <w:t xml:space="preserve">MRI Atlas of Human White Matter. </w:t>
      </w:r>
      <w:r w:rsidRPr="00800F21">
        <w:rPr>
          <w:rFonts w:eastAsia="Times New Roman"/>
          <w:iCs/>
          <w:color w:val="000000"/>
          <w:lang w:val="en-US"/>
        </w:rPr>
        <w:t xml:space="preserve">AJNR Am J </w:t>
      </w:r>
      <w:proofErr w:type="spellStart"/>
      <w:r w:rsidRPr="00800F21">
        <w:rPr>
          <w:rFonts w:eastAsia="Times New Roman"/>
          <w:iCs/>
          <w:color w:val="000000"/>
          <w:lang w:val="en-US"/>
        </w:rPr>
        <w:t>Neuroradiol</w:t>
      </w:r>
      <w:proofErr w:type="spellEnd"/>
      <w:r w:rsidRPr="00800F21">
        <w:rPr>
          <w:rFonts w:eastAsia="Times New Roman"/>
          <w:color w:val="000000"/>
          <w:lang w:val="en-US"/>
        </w:rPr>
        <w:t xml:space="preserve"> </w:t>
      </w:r>
      <w:r w:rsidRPr="00800F21">
        <w:rPr>
          <w:rFonts w:eastAsia="Times New Roman"/>
          <w:bCs/>
          <w:color w:val="000000"/>
          <w:lang w:val="en-US"/>
        </w:rPr>
        <w:t>27</w:t>
      </w:r>
      <w:r w:rsidRPr="00800F21">
        <w:rPr>
          <w:rFonts w:eastAsia="Times New Roman"/>
          <w:color w:val="000000"/>
          <w:lang w:val="en-US"/>
        </w:rPr>
        <w:t>, 1384 (2006).</w:t>
      </w:r>
    </w:p>
    <w:p w14:paraId="08C58E06" w14:textId="77777777" w:rsidR="00800F21" w:rsidRPr="00800F21" w:rsidRDefault="00800F21" w:rsidP="00800F21">
      <w:pPr>
        <w:autoSpaceDE w:val="0"/>
        <w:autoSpaceDN w:val="0"/>
        <w:ind w:hanging="640"/>
        <w:rPr>
          <w:rFonts w:eastAsia="Times New Roman"/>
          <w:color w:val="000000"/>
          <w:lang w:val="en-US"/>
        </w:rPr>
      </w:pPr>
      <w:r>
        <w:rPr>
          <w:rFonts w:eastAsia="Times New Roman"/>
          <w:color w:val="000000"/>
          <w:lang w:val="en-US"/>
        </w:rPr>
        <w:t>S54</w:t>
      </w:r>
      <w:r w:rsidRPr="00800F21">
        <w:rPr>
          <w:rFonts w:eastAsia="Times New Roman"/>
          <w:color w:val="000000"/>
          <w:lang w:val="en-US"/>
        </w:rPr>
        <w:t>.</w:t>
      </w:r>
      <w:r w:rsidRPr="00800F21">
        <w:rPr>
          <w:rFonts w:eastAsia="Times New Roman"/>
          <w:color w:val="000000"/>
          <w:lang w:val="en-US"/>
        </w:rPr>
        <w:tab/>
        <w:t xml:space="preserve">Wakana, S. </w:t>
      </w:r>
      <w:r w:rsidRPr="00800F21">
        <w:rPr>
          <w:rFonts w:eastAsia="Times New Roman"/>
          <w:iCs/>
          <w:color w:val="000000"/>
          <w:lang w:val="en-US"/>
        </w:rPr>
        <w:t>et al.</w:t>
      </w:r>
      <w:r w:rsidRPr="00800F21">
        <w:rPr>
          <w:rFonts w:eastAsia="Times New Roman"/>
          <w:color w:val="000000"/>
          <w:lang w:val="en-US"/>
        </w:rPr>
        <w:t xml:space="preserve"> Reproducibility of quantitative tractography methods applied to cerebral white matter. </w:t>
      </w:r>
      <w:r w:rsidRPr="00800F21">
        <w:rPr>
          <w:rFonts w:eastAsia="Times New Roman"/>
          <w:iCs/>
          <w:color w:val="000000"/>
          <w:lang w:val="en-US"/>
        </w:rPr>
        <w:t>Neuroimage</w:t>
      </w:r>
      <w:r w:rsidRPr="00800F21">
        <w:rPr>
          <w:rFonts w:eastAsia="Times New Roman"/>
          <w:color w:val="000000"/>
          <w:lang w:val="en-US"/>
        </w:rPr>
        <w:t xml:space="preserve"> </w:t>
      </w:r>
      <w:r w:rsidRPr="00800F21">
        <w:rPr>
          <w:rFonts w:eastAsia="Times New Roman"/>
          <w:bCs/>
          <w:color w:val="000000"/>
          <w:lang w:val="en-US"/>
        </w:rPr>
        <w:t>36</w:t>
      </w:r>
      <w:r w:rsidRPr="00800F21">
        <w:rPr>
          <w:rFonts w:eastAsia="Times New Roman"/>
          <w:color w:val="000000"/>
          <w:lang w:val="en-US"/>
        </w:rPr>
        <w:t>, 630–44 (2007).</w:t>
      </w:r>
    </w:p>
    <w:p w14:paraId="352BC861" w14:textId="77777777" w:rsidR="00800F21" w:rsidRPr="00D47C37" w:rsidRDefault="00800F21">
      <w:pPr>
        <w:rPr>
          <w:lang w:val="en-US"/>
        </w:rPr>
      </w:pPr>
    </w:p>
    <w:sectPr w:rsidR="00800F21" w:rsidRPr="00D47C37" w:rsidSect="00F45002">
      <w:pgSz w:w="11900" w:h="16840"/>
      <w:pgMar w:top="1418" w:right="1701" w:bottom="1418"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0002AFF" w:usb1="C000ACF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ymbol">
    <w:panose1 w:val="05050102010706020507"/>
    <w:charset w:val="02"/>
    <w:family w:val="decorative"/>
    <w:pitch w:val="variable"/>
    <w:sig w:usb0="00000000" w:usb1="10000000" w:usb2="00000000" w:usb3="00000000" w:csb0="8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21F9"/>
    <w:rsid w:val="00060E2D"/>
    <w:rsid w:val="00106649"/>
    <w:rsid w:val="00171727"/>
    <w:rsid w:val="001B235D"/>
    <w:rsid w:val="00360432"/>
    <w:rsid w:val="003D2C85"/>
    <w:rsid w:val="003E32C1"/>
    <w:rsid w:val="00412801"/>
    <w:rsid w:val="00484609"/>
    <w:rsid w:val="00552D90"/>
    <w:rsid w:val="00585A14"/>
    <w:rsid w:val="005863C5"/>
    <w:rsid w:val="00671243"/>
    <w:rsid w:val="006D1356"/>
    <w:rsid w:val="007055AD"/>
    <w:rsid w:val="007308A0"/>
    <w:rsid w:val="00800F21"/>
    <w:rsid w:val="008474B2"/>
    <w:rsid w:val="008E61C1"/>
    <w:rsid w:val="009429B4"/>
    <w:rsid w:val="00A53431"/>
    <w:rsid w:val="00AA64E2"/>
    <w:rsid w:val="00AB07DA"/>
    <w:rsid w:val="00AB4CD2"/>
    <w:rsid w:val="00B47DED"/>
    <w:rsid w:val="00BB7925"/>
    <w:rsid w:val="00D321F9"/>
    <w:rsid w:val="00D37AE3"/>
    <w:rsid w:val="00D47C37"/>
    <w:rsid w:val="00DC4A85"/>
    <w:rsid w:val="00EB121D"/>
    <w:rsid w:val="00F45002"/>
    <w:rsid w:val="00FC622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3CFA6D"/>
  <w15:chartTrackingRefBased/>
  <w15:docId w15:val="{2C89FF08-E693-054D-A6FB-0C5112AFEC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Descripcin">
    <w:name w:val="caption"/>
    <w:basedOn w:val="Normal"/>
    <w:next w:val="Normal"/>
    <w:uiPriority w:val="35"/>
    <w:unhideWhenUsed/>
    <w:qFormat/>
    <w:rsid w:val="00D321F9"/>
    <w:pPr>
      <w:spacing w:after="200" w:line="480" w:lineRule="auto"/>
      <w:jc w:val="both"/>
    </w:pPr>
    <w:rPr>
      <w:i/>
      <w:iCs/>
      <w:color w:val="44546A" w:themeColor="text2"/>
      <w:sz w:val="18"/>
      <w:szCs w:val="18"/>
    </w:rPr>
  </w:style>
  <w:style w:type="paragraph" w:styleId="Sinespaciado">
    <w:name w:val="No Spacing"/>
    <w:uiPriority w:val="1"/>
    <w:qFormat/>
    <w:rsid w:val="00D321F9"/>
    <w:pPr>
      <w:spacing w:after="480"/>
      <w:jc w:val="both"/>
    </w:pPr>
    <w:rPr>
      <w:rFonts w:ascii="Calibri Light" w:eastAsia="Times New Roman" w:hAnsi="Calibri Light" w:cs="Times New Roman"/>
      <w:sz w:val="18"/>
      <w:lang w:eastAsia="es-ES_tradnl"/>
    </w:rPr>
  </w:style>
  <w:style w:type="table" w:styleId="Tablaconcuadrcula">
    <w:name w:val="Table Grid"/>
    <w:basedOn w:val="Tablanormal"/>
    <w:uiPriority w:val="39"/>
    <w:rsid w:val="006D13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800F21"/>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0148819">
      <w:bodyDiv w:val="1"/>
      <w:marLeft w:val="0"/>
      <w:marRight w:val="0"/>
      <w:marTop w:val="0"/>
      <w:marBottom w:val="0"/>
      <w:divBdr>
        <w:top w:val="none" w:sz="0" w:space="0" w:color="auto"/>
        <w:left w:val="none" w:sz="0" w:space="0" w:color="auto"/>
        <w:bottom w:val="none" w:sz="0" w:space="0" w:color="auto"/>
        <w:right w:val="none" w:sz="0" w:space="0" w:color="auto"/>
      </w:divBdr>
      <w:divsChild>
        <w:div w:id="1041783249">
          <w:marLeft w:val="640"/>
          <w:marRight w:val="0"/>
          <w:marTop w:val="0"/>
          <w:marBottom w:val="0"/>
          <w:divBdr>
            <w:top w:val="none" w:sz="0" w:space="0" w:color="auto"/>
            <w:left w:val="none" w:sz="0" w:space="0" w:color="auto"/>
            <w:bottom w:val="none" w:sz="0" w:space="0" w:color="auto"/>
            <w:right w:val="none" w:sz="0" w:space="0" w:color="auto"/>
          </w:divBdr>
        </w:div>
        <w:div w:id="1177575376">
          <w:marLeft w:val="640"/>
          <w:marRight w:val="0"/>
          <w:marTop w:val="0"/>
          <w:marBottom w:val="0"/>
          <w:divBdr>
            <w:top w:val="none" w:sz="0" w:space="0" w:color="auto"/>
            <w:left w:val="none" w:sz="0" w:space="0" w:color="auto"/>
            <w:bottom w:val="none" w:sz="0" w:space="0" w:color="auto"/>
            <w:right w:val="none" w:sz="0" w:space="0" w:color="auto"/>
          </w:divBdr>
        </w:div>
        <w:div w:id="888027492">
          <w:marLeft w:val="640"/>
          <w:marRight w:val="0"/>
          <w:marTop w:val="0"/>
          <w:marBottom w:val="0"/>
          <w:divBdr>
            <w:top w:val="none" w:sz="0" w:space="0" w:color="auto"/>
            <w:left w:val="none" w:sz="0" w:space="0" w:color="auto"/>
            <w:bottom w:val="none" w:sz="0" w:space="0" w:color="auto"/>
            <w:right w:val="none" w:sz="0" w:space="0" w:color="auto"/>
          </w:divBdr>
        </w:div>
        <w:div w:id="605356045">
          <w:marLeft w:val="640"/>
          <w:marRight w:val="0"/>
          <w:marTop w:val="0"/>
          <w:marBottom w:val="0"/>
          <w:divBdr>
            <w:top w:val="none" w:sz="0" w:space="0" w:color="auto"/>
            <w:left w:val="none" w:sz="0" w:space="0" w:color="auto"/>
            <w:bottom w:val="none" w:sz="0" w:space="0" w:color="auto"/>
            <w:right w:val="none" w:sz="0" w:space="0" w:color="auto"/>
          </w:divBdr>
        </w:div>
        <w:div w:id="99879919">
          <w:marLeft w:val="640"/>
          <w:marRight w:val="0"/>
          <w:marTop w:val="0"/>
          <w:marBottom w:val="0"/>
          <w:divBdr>
            <w:top w:val="none" w:sz="0" w:space="0" w:color="auto"/>
            <w:left w:val="none" w:sz="0" w:space="0" w:color="auto"/>
            <w:bottom w:val="none" w:sz="0" w:space="0" w:color="auto"/>
            <w:right w:val="none" w:sz="0" w:space="0" w:color="auto"/>
          </w:divBdr>
        </w:div>
        <w:div w:id="589892072">
          <w:marLeft w:val="640"/>
          <w:marRight w:val="0"/>
          <w:marTop w:val="0"/>
          <w:marBottom w:val="0"/>
          <w:divBdr>
            <w:top w:val="none" w:sz="0" w:space="0" w:color="auto"/>
            <w:left w:val="none" w:sz="0" w:space="0" w:color="auto"/>
            <w:bottom w:val="none" w:sz="0" w:space="0" w:color="auto"/>
            <w:right w:val="none" w:sz="0" w:space="0" w:color="auto"/>
          </w:divBdr>
        </w:div>
        <w:div w:id="1963221786">
          <w:marLeft w:val="640"/>
          <w:marRight w:val="0"/>
          <w:marTop w:val="0"/>
          <w:marBottom w:val="0"/>
          <w:divBdr>
            <w:top w:val="none" w:sz="0" w:space="0" w:color="auto"/>
            <w:left w:val="none" w:sz="0" w:space="0" w:color="auto"/>
            <w:bottom w:val="none" w:sz="0" w:space="0" w:color="auto"/>
            <w:right w:val="none" w:sz="0" w:space="0" w:color="auto"/>
          </w:divBdr>
        </w:div>
      </w:divsChild>
    </w:div>
    <w:div w:id="235364542">
      <w:bodyDiv w:val="1"/>
      <w:marLeft w:val="0"/>
      <w:marRight w:val="0"/>
      <w:marTop w:val="0"/>
      <w:marBottom w:val="0"/>
      <w:divBdr>
        <w:top w:val="none" w:sz="0" w:space="0" w:color="auto"/>
        <w:left w:val="none" w:sz="0" w:space="0" w:color="auto"/>
        <w:bottom w:val="none" w:sz="0" w:space="0" w:color="auto"/>
        <w:right w:val="none" w:sz="0" w:space="0" w:color="auto"/>
      </w:divBdr>
      <w:divsChild>
        <w:div w:id="1842618709">
          <w:marLeft w:val="640"/>
          <w:marRight w:val="0"/>
          <w:marTop w:val="0"/>
          <w:marBottom w:val="0"/>
          <w:divBdr>
            <w:top w:val="none" w:sz="0" w:space="0" w:color="auto"/>
            <w:left w:val="none" w:sz="0" w:space="0" w:color="auto"/>
            <w:bottom w:val="none" w:sz="0" w:space="0" w:color="auto"/>
            <w:right w:val="none" w:sz="0" w:space="0" w:color="auto"/>
          </w:divBdr>
        </w:div>
        <w:div w:id="2082674469">
          <w:marLeft w:val="640"/>
          <w:marRight w:val="0"/>
          <w:marTop w:val="0"/>
          <w:marBottom w:val="0"/>
          <w:divBdr>
            <w:top w:val="none" w:sz="0" w:space="0" w:color="auto"/>
            <w:left w:val="none" w:sz="0" w:space="0" w:color="auto"/>
            <w:bottom w:val="none" w:sz="0" w:space="0" w:color="auto"/>
            <w:right w:val="none" w:sz="0" w:space="0" w:color="auto"/>
          </w:divBdr>
        </w:div>
        <w:div w:id="991104353">
          <w:marLeft w:val="640"/>
          <w:marRight w:val="0"/>
          <w:marTop w:val="0"/>
          <w:marBottom w:val="0"/>
          <w:divBdr>
            <w:top w:val="none" w:sz="0" w:space="0" w:color="auto"/>
            <w:left w:val="none" w:sz="0" w:space="0" w:color="auto"/>
            <w:bottom w:val="none" w:sz="0" w:space="0" w:color="auto"/>
            <w:right w:val="none" w:sz="0" w:space="0" w:color="auto"/>
          </w:divBdr>
        </w:div>
        <w:div w:id="2015766897">
          <w:marLeft w:val="640"/>
          <w:marRight w:val="0"/>
          <w:marTop w:val="0"/>
          <w:marBottom w:val="0"/>
          <w:divBdr>
            <w:top w:val="none" w:sz="0" w:space="0" w:color="auto"/>
            <w:left w:val="none" w:sz="0" w:space="0" w:color="auto"/>
            <w:bottom w:val="none" w:sz="0" w:space="0" w:color="auto"/>
            <w:right w:val="none" w:sz="0" w:space="0" w:color="auto"/>
          </w:divBdr>
        </w:div>
      </w:divsChild>
    </w:div>
    <w:div w:id="292056450">
      <w:bodyDiv w:val="1"/>
      <w:marLeft w:val="0"/>
      <w:marRight w:val="0"/>
      <w:marTop w:val="0"/>
      <w:marBottom w:val="0"/>
      <w:divBdr>
        <w:top w:val="none" w:sz="0" w:space="0" w:color="auto"/>
        <w:left w:val="none" w:sz="0" w:space="0" w:color="auto"/>
        <w:bottom w:val="none" w:sz="0" w:space="0" w:color="auto"/>
        <w:right w:val="none" w:sz="0" w:space="0" w:color="auto"/>
      </w:divBdr>
      <w:divsChild>
        <w:div w:id="693313063">
          <w:marLeft w:val="640"/>
          <w:marRight w:val="0"/>
          <w:marTop w:val="0"/>
          <w:marBottom w:val="0"/>
          <w:divBdr>
            <w:top w:val="none" w:sz="0" w:space="0" w:color="auto"/>
            <w:left w:val="none" w:sz="0" w:space="0" w:color="auto"/>
            <w:bottom w:val="none" w:sz="0" w:space="0" w:color="auto"/>
            <w:right w:val="none" w:sz="0" w:space="0" w:color="auto"/>
          </w:divBdr>
        </w:div>
        <w:div w:id="460152878">
          <w:marLeft w:val="640"/>
          <w:marRight w:val="0"/>
          <w:marTop w:val="0"/>
          <w:marBottom w:val="0"/>
          <w:divBdr>
            <w:top w:val="none" w:sz="0" w:space="0" w:color="auto"/>
            <w:left w:val="none" w:sz="0" w:space="0" w:color="auto"/>
            <w:bottom w:val="none" w:sz="0" w:space="0" w:color="auto"/>
            <w:right w:val="none" w:sz="0" w:space="0" w:color="auto"/>
          </w:divBdr>
        </w:div>
        <w:div w:id="262029560">
          <w:marLeft w:val="640"/>
          <w:marRight w:val="0"/>
          <w:marTop w:val="0"/>
          <w:marBottom w:val="0"/>
          <w:divBdr>
            <w:top w:val="none" w:sz="0" w:space="0" w:color="auto"/>
            <w:left w:val="none" w:sz="0" w:space="0" w:color="auto"/>
            <w:bottom w:val="none" w:sz="0" w:space="0" w:color="auto"/>
            <w:right w:val="none" w:sz="0" w:space="0" w:color="auto"/>
          </w:divBdr>
        </w:div>
        <w:div w:id="65810395">
          <w:marLeft w:val="640"/>
          <w:marRight w:val="0"/>
          <w:marTop w:val="0"/>
          <w:marBottom w:val="0"/>
          <w:divBdr>
            <w:top w:val="none" w:sz="0" w:space="0" w:color="auto"/>
            <w:left w:val="none" w:sz="0" w:space="0" w:color="auto"/>
            <w:bottom w:val="none" w:sz="0" w:space="0" w:color="auto"/>
            <w:right w:val="none" w:sz="0" w:space="0" w:color="auto"/>
          </w:divBdr>
        </w:div>
        <w:div w:id="1564946540">
          <w:marLeft w:val="640"/>
          <w:marRight w:val="0"/>
          <w:marTop w:val="0"/>
          <w:marBottom w:val="0"/>
          <w:divBdr>
            <w:top w:val="none" w:sz="0" w:space="0" w:color="auto"/>
            <w:left w:val="none" w:sz="0" w:space="0" w:color="auto"/>
            <w:bottom w:val="none" w:sz="0" w:space="0" w:color="auto"/>
            <w:right w:val="none" w:sz="0" w:space="0" w:color="auto"/>
          </w:divBdr>
        </w:div>
        <w:div w:id="980427509">
          <w:marLeft w:val="640"/>
          <w:marRight w:val="0"/>
          <w:marTop w:val="0"/>
          <w:marBottom w:val="0"/>
          <w:divBdr>
            <w:top w:val="none" w:sz="0" w:space="0" w:color="auto"/>
            <w:left w:val="none" w:sz="0" w:space="0" w:color="auto"/>
            <w:bottom w:val="none" w:sz="0" w:space="0" w:color="auto"/>
            <w:right w:val="none" w:sz="0" w:space="0" w:color="auto"/>
          </w:divBdr>
        </w:div>
        <w:div w:id="1573157014">
          <w:marLeft w:val="640"/>
          <w:marRight w:val="0"/>
          <w:marTop w:val="0"/>
          <w:marBottom w:val="0"/>
          <w:divBdr>
            <w:top w:val="none" w:sz="0" w:space="0" w:color="auto"/>
            <w:left w:val="none" w:sz="0" w:space="0" w:color="auto"/>
            <w:bottom w:val="none" w:sz="0" w:space="0" w:color="auto"/>
            <w:right w:val="none" w:sz="0" w:space="0" w:color="auto"/>
          </w:divBdr>
        </w:div>
        <w:div w:id="1275404324">
          <w:marLeft w:val="640"/>
          <w:marRight w:val="0"/>
          <w:marTop w:val="0"/>
          <w:marBottom w:val="0"/>
          <w:divBdr>
            <w:top w:val="none" w:sz="0" w:space="0" w:color="auto"/>
            <w:left w:val="none" w:sz="0" w:space="0" w:color="auto"/>
            <w:bottom w:val="none" w:sz="0" w:space="0" w:color="auto"/>
            <w:right w:val="none" w:sz="0" w:space="0" w:color="auto"/>
          </w:divBdr>
        </w:div>
        <w:div w:id="1204638661">
          <w:marLeft w:val="640"/>
          <w:marRight w:val="0"/>
          <w:marTop w:val="0"/>
          <w:marBottom w:val="0"/>
          <w:divBdr>
            <w:top w:val="none" w:sz="0" w:space="0" w:color="auto"/>
            <w:left w:val="none" w:sz="0" w:space="0" w:color="auto"/>
            <w:bottom w:val="none" w:sz="0" w:space="0" w:color="auto"/>
            <w:right w:val="none" w:sz="0" w:space="0" w:color="auto"/>
          </w:divBdr>
        </w:div>
        <w:div w:id="47152615">
          <w:marLeft w:val="640"/>
          <w:marRight w:val="0"/>
          <w:marTop w:val="0"/>
          <w:marBottom w:val="0"/>
          <w:divBdr>
            <w:top w:val="none" w:sz="0" w:space="0" w:color="auto"/>
            <w:left w:val="none" w:sz="0" w:space="0" w:color="auto"/>
            <w:bottom w:val="none" w:sz="0" w:space="0" w:color="auto"/>
            <w:right w:val="none" w:sz="0" w:space="0" w:color="auto"/>
          </w:divBdr>
        </w:div>
      </w:divsChild>
    </w:div>
    <w:div w:id="359207124">
      <w:bodyDiv w:val="1"/>
      <w:marLeft w:val="0"/>
      <w:marRight w:val="0"/>
      <w:marTop w:val="0"/>
      <w:marBottom w:val="0"/>
      <w:divBdr>
        <w:top w:val="none" w:sz="0" w:space="0" w:color="auto"/>
        <w:left w:val="none" w:sz="0" w:space="0" w:color="auto"/>
        <w:bottom w:val="none" w:sz="0" w:space="0" w:color="auto"/>
        <w:right w:val="none" w:sz="0" w:space="0" w:color="auto"/>
      </w:divBdr>
      <w:divsChild>
        <w:div w:id="1711875772">
          <w:marLeft w:val="640"/>
          <w:marRight w:val="0"/>
          <w:marTop w:val="0"/>
          <w:marBottom w:val="0"/>
          <w:divBdr>
            <w:top w:val="none" w:sz="0" w:space="0" w:color="auto"/>
            <w:left w:val="none" w:sz="0" w:space="0" w:color="auto"/>
            <w:bottom w:val="none" w:sz="0" w:space="0" w:color="auto"/>
            <w:right w:val="none" w:sz="0" w:space="0" w:color="auto"/>
          </w:divBdr>
        </w:div>
        <w:div w:id="75060651">
          <w:marLeft w:val="640"/>
          <w:marRight w:val="0"/>
          <w:marTop w:val="0"/>
          <w:marBottom w:val="0"/>
          <w:divBdr>
            <w:top w:val="none" w:sz="0" w:space="0" w:color="auto"/>
            <w:left w:val="none" w:sz="0" w:space="0" w:color="auto"/>
            <w:bottom w:val="none" w:sz="0" w:space="0" w:color="auto"/>
            <w:right w:val="none" w:sz="0" w:space="0" w:color="auto"/>
          </w:divBdr>
        </w:div>
        <w:div w:id="1383864123">
          <w:marLeft w:val="640"/>
          <w:marRight w:val="0"/>
          <w:marTop w:val="0"/>
          <w:marBottom w:val="0"/>
          <w:divBdr>
            <w:top w:val="none" w:sz="0" w:space="0" w:color="auto"/>
            <w:left w:val="none" w:sz="0" w:space="0" w:color="auto"/>
            <w:bottom w:val="none" w:sz="0" w:space="0" w:color="auto"/>
            <w:right w:val="none" w:sz="0" w:space="0" w:color="auto"/>
          </w:divBdr>
        </w:div>
        <w:div w:id="325715025">
          <w:marLeft w:val="640"/>
          <w:marRight w:val="0"/>
          <w:marTop w:val="0"/>
          <w:marBottom w:val="0"/>
          <w:divBdr>
            <w:top w:val="none" w:sz="0" w:space="0" w:color="auto"/>
            <w:left w:val="none" w:sz="0" w:space="0" w:color="auto"/>
            <w:bottom w:val="none" w:sz="0" w:space="0" w:color="auto"/>
            <w:right w:val="none" w:sz="0" w:space="0" w:color="auto"/>
          </w:divBdr>
        </w:div>
        <w:div w:id="1578056815">
          <w:marLeft w:val="640"/>
          <w:marRight w:val="0"/>
          <w:marTop w:val="0"/>
          <w:marBottom w:val="0"/>
          <w:divBdr>
            <w:top w:val="none" w:sz="0" w:space="0" w:color="auto"/>
            <w:left w:val="none" w:sz="0" w:space="0" w:color="auto"/>
            <w:bottom w:val="none" w:sz="0" w:space="0" w:color="auto"/>
            <w:right w:val="none" w:sz="0" w:space="0" w:color="auto"/>
          </w:divBdr>
        </w:div>
        <w:div w:id="94323188">
          <w:marLeft w:val="640"/>
          <w:marRight w:val="0"/>
          <w:marTop w:val="0"/>
          <w:marBottom w:val="0"/>
          <w:divBdr>
            <w:top w:val="none" w:sz="0" w:space="0" w:color="auto"/>
            <w:left w:val="none" w:sz="0" w:space="0" w:color="auto"/>
            <w:bottom w:val="none" w:sz="0" w:space="0" w:color="auto"/>
            <w:right w:val="none" w:sz="0" w:space="0" w:color="auto"/>
          </w:divBdr>
        </w:div>
        <w:div w:id="164899333">
          <w:marLeft w:val="640"/>
          <w:marRight w:val="0"/>
          <w:marTop w:val="0"/>
          <w:marBottom w:val="0"/>
          <w:divBdr>
            <w:top w:val="none" w:sz="0" w:space="0" w:color="auto"/>
            <w:left w:val="none" w:sz="0" w:space="0" w:color="auto"/>
            <w:bottom w:val="none" w:sz="0" w:space="0" w:color="auto"/>
            <w:right w:val="none" w:sz="0" w:space="0" w:color="auto"/>
          </w:divBdr>
        </w:div>
        <w:div w:id="1947737249">
          <w:marLeft w:val="640"/>
          <w:marRight w:val="0"/>
          <w:marTop w:val="0"/>
          <w:marBottom w:val="0"/>
          <w:divBdr>
            <w:top w:val="none" w:sz="0" w:space="0" w:color="auto"/>
            <w:left w:val="none" w:sz="0" w:space="0" w:color="auto"/>
            <w:bottom w:val="none" w:sz="0" w:space="0" w:color="auto"/>
            <w:right w:val="none" w:sz="0" w:space="0" w:color="auto"/>
          </w:divBdr>
        </w:div>
      </w:divsChild>
    </w:div>
    <w:div w:id="372774510">
      <w:bodyDiv w:val="1"/>
      <w:marLeft w:val="0"/>
      <w:marRight w:val="0"/>
      <w:marTop w:val="0"/>
      <w:marBottom w:val="0"/>
      <w:divBdr>
        <w:top w:val="none" w:sz="0" w:space="0" w:color="auto"/>
        <w:left w:val="none" w:sz="0" w:space="0" w:color="auto"/>
        <w:bottom w:val="none" w:sz="0" w:space="0" w:color="auto"/>
        <w:right w:val="none" w:sz="0" w:space="0" w:color="auto"/>
      </w:divBdr>
    </w:div>
    <w:div w:id="542209852">
      <w:bodyDiv w:val="1"/>
      <w:marLeft w:val="0"/>
      <w:marRight w:val="0"/>
      <w:marTop w:val="0"/>
      <w:marBottom w:val="0"/>
      <w:divBdr>
        <w:top w:val="none" w:sz="0" w:space="0" w:color="auto"/>
        <w:left w:val="none" w:sz="0" w:space="0" w:color="auto"/>
        <w:bottom w:val="none" w:sz="0" w:space="0" w:color="auto"/>
        <w:right w:val="none" w:sz="0" w:space="0" w:color="auto"/>
      </w:divBdr>
    </w:div>
    <w:div w:id="816920092">
      <w:bodyDiv w:val="1"/>
      <w:marLeft w:val="0"/>
      <w:marRight w:val="0"/>
      <w:marTop w:val="0"/>
      <w:marBottom w:val="0"/>
      <w:divBdr>
        <w:top w:val="none" w:sz="0" w:space="0" w:color="auto"/>
        <w:left w:val="none" w:sz="0" w:space="0" w:color="auto"/>
        <w:bottom w:val="none" w:sz="0" w:space="0" w:color="auto"/>
        <w:right w:val="none" w:sz="0" w:space="0" w:color="auto"/>
      </w:divBdr>
    </w:div>
    <w:div w:id="841507862">
      <w:bodyDiv w:val="1"/>
      <w:marLeft w:val="0"/>
      <w:marRight w:val="0"/>
      <w:marTop w:val="0"/>
      <w:marBottom w:val="0"/>
      <w:divBdr>
        <w:top w:val="none" w:sz="0" w:space="0" w:color="auto"/>
        <w:left w:val="none" w:sz="0" w:space="0" w:color="auto"/>
        <w:bottom w:val="none" w:sz="0" w:space="0" w:color="auto"/>
        <w:right w:val="none" w:sz="0" w:space="0" w:color="auto"/>
      </w:divBdr>
      <w:divsChild>
        <w:div w:id="1619215716">
          <w:marLeft w:val="640"/>
          <w:marRight w:val="0"/>
          <w:marTop w:val="0"/>
          <w:marBottom w:val="0"/>
          <w:divBdr>
            <w:top w:val="none" w:sz="0" w:space="0" w:color="auto"/>
            <w:left w:val="none" w:sz="0" w:space="0" w:color="auto"/>
            <w:bottom w:val="none" w:sz="0" w:space="0" w:color="auto"/>
            <w:right w:val="none" w:sz="0" w:space="0" w:color="auto"/>
          </w:divBdr>
        </w:div>
        <w:div w:id="1010832117">
          <w:marLeft w:val="640"/>
          <w:marRight w:val="0"/>
          <w:marTop w:val="0"/>
          <w:marBottom w:val="0"/>
          <w:divBdr>
            <w:top w:val="none" w:sz="0" w:space="0" w:color="auto"/>
            <w:left w:val="none" w:sz="0" w:space="0" w:color="auto"/>
            <w:bottom w:val="none" w:sz="0" w:space="0" w:color="auto"/>
            <w:right w:val="none" w:sz="0" w:space="0" w:color="auto"/>
          </w:divBdr>
        </w:div>
        <w:div w:id="1801721886">
          <w:marLeft w:val="640"/>
          <w:marRight w:val="0"/>
          <w:marTop w:val="0"/>
          <w:marBottom w:val="0"/>
          <w:divBdr>
            <w:top w:val="none" w:sz="0" w:space="0" w:color="auto"/>
            <w:left w:val="none" w:sz="0" w:space="0" w:color="auto"/>
            <w:bottom w:val="none" w:sz="0" w:space="0" w:color="auto"/>
            <w:right w:val="none" w:sz="0" w:space="0" w:color="auto"/>
          </w:divBdr>
        </w:div>
        <w:div w:id="220754900">
          <w:marLeft w:val="640"/>
          <w:marRight w:val="0"/>
          <w:marTop w:val="0"/>
          <w:marBottom w:val="0"/>
          <w:divBdr>
            <w:top w:val="none" w:sz="0" w:space="0" w:color="auto"/>
            <w:left w:val="none" w:sz="0" w:space="0" w:color="auto"/>
            <w:bottom w:val="none" w:sz="0" w:space="0" w:color="auto"/>
            <w:right w:val="none" w:sz="0" w:space="0" w:color="auto"/>
          </w:divBdr>
        </w:div>
        <w:div w:id="1104417444">
          <w:marLeft w:val="640"/>
          <w:marRight w:val="0"/>
          <w:marTop w:val="0"/>
          <w:marBottom w:val="0"/>
          <w:divBdr>
            <w:top w:val="none" w:sz="0" w:space="0" w:color="auto"/>
            <w:left w:val="none" w:sz="0" w:space="0" w:color="auto"/>
            <w:bottom w:val="none" w:sz="0" w:space="0" w:color="auto"/>
            <w:right w:val="none" w:sz="0" w:space="0" w:color="auto"/>
          </w:divBdr>
        </w:div>
      </w:divsChild>
    </w:div>
    <w:div w:id="1143738179">
      <w:bodyDiv w:val="1"/>
      <w:marLeft w:val="0"/>
      <w:marRight w:val="0"/>
      <w:marTop w:val="0"/>
      <w:marBottom w:val="0"/>
      <w:divBdr>
        <w:top w:val="none" w:sz="0" w:space="0" w:color="auto"/>
        <w:left w:val="none" w:sz="0" w:space="0" w:color="auto"/>
        <w:bottom w:val="none" w:sz="0" w:space="0" w:color="auto"/>
        <w:right w:val="none" w:sz="0" w:space="0" w:color="auto"/>
      </w:divBdr>
      <w:divsChild>
        <w:div w:id="666009517">
          <w:marLeft w:val="640"/>
          <w:marRight w:val="0"/>
          <w:marTop w:val="0"/>
          <w:marBottom w:val="0"/>
          <w:divBdr>
            <w:top w:val="none" w:sz="0" w:space="0" w:color="auto"/>
            <w:left w:val="none" w:sz="0" w:space="0" w:color="auto"/>
            <w:bottom w:val="none" w:sz="0" w:space="0" w:color="auto"/>
            <w:right w:val="none" w:sz="0" w:space="0" w:color="auto"/>
          </w:divBdr>
        </w:div>
        <w:div w:id="406653814">
          <w:marLeft w:val="640"/>
          <w:marRight w:val="0"/>
          <w:marTop w:val="0"/>
          <w:marBottom w:val="0"/>
          <w:divBdr>
            <w:top w:val="none" w:sz="0" w:space="0" w:color="auto"/>
            <w:left w:val="none" w:sz="0" w:space="0" w:color="auto"/>
            <w:bottom w:val="none" w:sz="0" w:space="0" w:color="auto"/>
            <w:right w:val="none" w:sz="0" w:space="0" w:color="auto"/>
          </w:divBdr>
        </w:div>
        <w:div w:id="730272192">
          <w:marLeft w:val="640"/>
          <w:marRight w:val="0"/>
          <w:marTop w:val="0"/>
          <w:marBottom w:val="0"/>
          <w:divBdr>
            <w:top w:val="none" w:sz="0" w:space="0" w:color="auto"/>
            <w:left w:val="none" w:sz="0" w:space="0" w:color="auto"/>
            <w:bottom w:val="none" w:sz="0" w:space="0" w:color="auto"/>
            <w:right w:val="none" w:sz="0" w:space="0" w:color="auto"/>
          </w:divBdr>
        </w:div>
        <w:div w:id="2063482709">
          <w:marLeft w:val="640"/>
          <w:marRight w:val="0"/>
          <w:marTop w:val="0"/>
          <w:marBottom w:val="0"/>
          <w:divBdr>
            <w:top w:val="none" w:sz="0" w:space="0" w:color="auto"/>
            <w:left w:val="none" w:sz="0" w:space="0" w:color="auto"/>
            <w:bottom w:val="none" w:sz="0" w:space="0" w:color="auto"/>
            <w:right w:val="none" w:sz="0" w:space="0" w:color="auto"/>
          </w:divBdr>
        </w:div>
        <w:div w:id="928731550">
          <w:marLeft w:val="640"/>
          <w:marRight w:val="0"/>
          <w:marTop w:val="0"/>
          <w:marBottom w:val="0"/>
          <w:divBdr>
            <w:top w:val="none" w:sz="0" w:space="0" w:color="auto"/>
            <w:left w:val="none" w:sz="0" w:space="0" w:color="auto"/>
            <w:bottom w:val="none" w:sz="0" w:space="0" w:color="auto"/>
            <w:right w:val="none" w:sz="0" w:space="0" w:color="auto"/>
          </w:divBdr>
        </w:div>
        <w:div w:id="1046686842">
          <w:marLeft w:val="640"/>
          <w:marRight w:val="0"/>
          <w:marTop w:val="0"/>
          <w:marBottom w:val="0"/>
          <w:divBdr>
            <w:top w:val="none" w:sz="0" w:space="0" w:color="auto"/>
            <w:left w:val="none" w:sz="0" w:space="0" w:color="auto"/>
            <w:bottom w:val="none" w:sz="0" w:space="0" w:color="auto"/>
            <w:right w:val="none" w:sz="0" w:space="0" w:color="auto"/>
          </w:divBdr>
        </w:div>
        <w:div w:id="118648177">
          <w:marLeft w:val="640"/>
          <w:marRight w:val="0"/>
          <w:marTop w:val="0"/>
          <w:marBottom w:val="0"/>
          <w:divBdr>
            <w:top w:val="none" w:sz="0" w:space="0" w:color="auto"/>
            <w:left w:val="none" w:sz="0" w:space="0" w:color="auto"/>
            <w:bottom w:val="none" w:sz="0" w:space="0" w:color="auto"/>
            <w:right w:val="none" w:sz="0" w:space="0" w:color="auto"/>
          </w:divBdr>
        </w:div>
        <w:div w:id="2973783">
          <w:marLeft w:val="640"/>
          <w:marRight w:val="0"/>
          <w:marTop w:val="0"/>
          <w:marBottom w:val="0"/>
          <w:divBdr>
            <w:top w:val="none" w:sz="0" w:space="0" w:color="auto"/>
            <w:left w:val="none" w:sz="0" w:space="0" w:color="auto"/>
            <w:bottom w:val="none" w:sz="0" w:space="0" w:color="auto"/>
            <w:right w:val="none" w:sz="0" w:space="0" w:color="auto"/>
          </w:divBdr>
        </w:div>
        <w:div w:id="989478408">
          <w:marLeft w:val="640"/>
          <w:marRight w:val="0"/>
          <w:marTop w:val="0"/>
          <w:marBottom w:val="0"/>
          <w:divBdr>
            <w:top w:val="none" w:sz="0" w:space="0" w:color="auto"/>
            <w:left w:val="none" w:sz="0" w:space="0" w:color="auto"/>
            <w:bottom w:val="none" w:sz="0" w:space="0" w:color="auto"/>
            <w:right w:val="none" w:sz="0" w:space="0" w:color="auto"/>
          </w:divBdr>
        </w:div>
      </w:divsChild>
    </w:div>
    <w:div w:id="1198545353">
      <w:bodyDiv w:val="1"/>
      <w:marLeft w:val="0"/>
      <w:marRight w:val="0"/>
      <w:marTop w:val="0"/>
      <w:marBottom w:val="0"/>
      <w:divBdr>
        <w:top w:val="none" w:sz="0" w:space="0" w:color="auto"/>
        <w:left w:val="none" w:sz="0" w:space="0" w:color="auto"/>
        <w:bottom w:val="none" w:sz="0" w:space="0" w:color="auto"/>
        <w:right w:val="none" w:sz="0" w:space="0" w:color="auto"/>
      </w:divBdr>
      <w:divsChild>
        <w:div w:id="1077554897">
          <w:marLeft w:val="640"/>
          <w:marRight w:val="0"/>
          <w:marTop w:val="0"/>
          <w:marBottom w:val="0"/>
          <w:divBdr>
            <w:top w:val="none" w:sz="0" w:space="0" w:color="auto"/>
            <w:left w:val="none" w:sz="0" w:space="0" w:color="auto"/>
            <w:bottom w:val="none" w:sz="0" w:space="0" w:color="auto"/>
            <w:right w:val="none" w:sz="0" w:space="0" w:color="auto"/>
          </w:divBdr>
        </w:div>
        <w:div w:id="1236428794">
          <w:marLeft w:val="640"/>
          <w:marRight w:val="0"/>
          <w:marTop w:val="0"/>
          <w:marBottom w:val="0"/>
          <w:divBdr>
            <w:top w:val="none" w:sz="0" w:space="0" w:color="auto"/>
            <w:left w:val="none" w:sz="0" w:space="0" w:color="auto"/>
            <w:bottom w:val="none" w:sz="0" w:space="0" w:color="auto"/>
            <w:right w:val="none" w:sz="0" w:space="0" w:color="auto"/>
          </w:divBdr>
        </w:div>
        <w:div w:id="412238380">
          <w:marLeft w:val="640"/>
          <w:marRight w:val="0"/>
          <w:marTop w:val="0"/>
          <w:marBottom w:val="0"/>
          <w:divBdr>
            <w:top w:val="none" w:sz="0" w:space="0" w:color="auto"/>
            <w:left w:val="none" w:sz="0" w:space="0" w:color="auto"/>
            <w:bottom w:val="none" w:sz="0" w:space="0" w:color="auto"/>
            <w:right w:val="none" w:sz="0" w:space="0" w:color="auto"/>
          </w:divBdr>
        </w:div>
        <w:div w:id="129057096">
          <w:marLeft w:val="640"/>
          <w:marRight w:val="0"/>
          <w:marTop w:val="0"/>
          <w:marBottom w:val="0"/>
          <w:divBdr>
            <w:top w:val="none" w:sz="0" w:space="0" w:color="auto"/>
            <w:left w:val="none" w:sz="0" w:space="0" w:color="auto"/>
            <w:bottom w:val="none" w:sz="0" w:space="0" w:color="auto"/>
            <w:right w:val="none" w:sz="0" w:space="0" w:color="auto"/>
          </w:divBdr>
        </w:div>
        <w:div w:id="2081979302">
          <w:marLeft w:val="640"/>
          <w:marRight w:val="0"/>
          <w:marTop w:val="0"/>
          <w:marBottom w:val="0"/>
          <w:divBdr>
            <w:top w:val="none" w:sz="0" w:space="0" w:color="auto"/>
            <w:left w:val="none" w:sz="0" w:space="0" w:color="auto"/>
            <w:bottom w:val="none" w:sz="0" w:space="0" w:color="auto"/>
            <w:right w:val="none" w:sz="0" w:space="0" w:color="auto"/>
          </w:divBdr>
        </w:div>
        <w:div w:id="178203729">
          <w:marLeft w:val="640"/>
          <w:marRight w:val="0"/>
          <w:marTop w:val="0"/>
          <w:marBottom w:val="0"/>
          <w:divBdr>
            <w:top w:val="none" w:sz="0" w:space="0" w:color="auto"/>
            <w:left w:val="none" w:sz="0" w:space="0" w:color="auto"/>
            <w:bottom w:val="none" w:sz="0" w:space="0" w:color="auto"/>
            <w:right w:val="none" w:sz="0" w:space="0" w:color="auto"/>
          </w:divBdr>
        </w:div>
      </w:divsChild>
    </w:div>
    <w:div w:id="1239245658">
      <w:bodyDiv w:val="1"/>
      <w:marLeft w:val="0"/>
      <w:marRight w:val="0"/>
      <w:marTop w:val="0"/>
      <w:marBottom w:val="0"/>
      <w:divBdr>
        <w:top w:val="none" w:sz="0" w:space="0" w:color="auto"/>
        <w:left w:val="none" w:sz="0" w:space="0" w:color="auto"/>
        <w:bottom w:val="none" w:sz="0" w:space="0" w:color="auto"/>
        <w:right w:val="none" w:sz="0" w:space="0" w:color="auto"/>
      </w:divBdr>
      <w:divsChild>
        <w:div w:id="1235360074">
          <w:marLeft w:val="640"/>
          <w:marRight w:val="0"/>
          <w:marTop w:val="0"/>
          <w:marBottom w:val="0"/>
          <w:divBdr>
            <w:top w:val="none" w:sz="0" w:space="0" w:color="auto"/>
            <w:left w:val="none" w:sz="0" w:space="0" w:color="auto"/>
            <w:bottom w:val="none" w:sz="0" w:space="0" w:color="auto"/>
            <w:right w:val="none" w:sz="0" w:space="0" w:color="auto"/>
          </w:divBdr>
        </w:div>
        <w:div w:id="103044656">
          <w:marLeft w:val="640"/>
          <w:marRight w:val="0"/>
          <w:marTop w:val="0"/>
          <w:marBottom w:val="0"/>
          <w:divBdr>
            <w:top w:val="none" w:sz="0" w:space="0" w:color="auto"/>
            <w:left w:val="none" w:sz="0" w:space="0" w:color="auto"/>
            <w:bottom w:val="none" w:sz="0" w:space="0" w:color="auto"/>
            <w:right w:val="none" w:sz="0" w:space="0" w:color="auto"/>
          </w:divBdr>
        </w:div>
        <w:div w:id="1827555119">
          <w:marLeft w:val="640"/>
          <w:marRight w:val="0"/>
          <w:marTop w:val="0"/>
          <w:marBottom w:val="0"/>
          <w:divBdr>
            <w:top w:val="none" w:sz="0" w:space="0" w:color="auto"/>
            <w:left w:val="none" w:sz="0" w:space="0" w:color="auto"/>
            <w:bottom w:val="none" w:sz="0" w:space="0" w:color="auto"/>
            <w:right w:val="none" w:sz="0" w:space="0" w:color="auto"/>
          </w:divBdr>
        </w:div>
        <w:div w:id="1858346368">
          <w:marLeft w:val="640"/>
          <w:marRight w:val="0"/>
          <w:marTop w:val="0"/>
          <w:marBottom w:val="0"/>
          <w:divBdr>
            <w:top w:val="none" w:sz="0" w:space="0" w:color="auto"/>
            <w:left w:val="none" w:sz="0" w:space="0" w:color="auto"/>
            <w:bottom w:val="none" w:sz="0" w:space="0" w:color="auto"/>
            <w:right w:val="none" w:sz="0" w:space="0" w:color="auto"/>
          </w:divBdr>
        </w:div>
        <w:div w:id="889417910">
          <w:marLeft w:val="640"/>
          <w:marRight w:val="0"/>
          <w:marTop w:val="0"/>
          <w:marBottom w:val="0"/>
          <w:divBdr>
            <w:top w:val="none" w:sz="0" w:space="0" w:color="auto"/>
            <w:left w:val="none" w:sz="0" w:space="0" w:color="auto"/>
            <w:bottom w:val="none" w:sz="0" w:space="0" w:color="auto"/>
            <w:right w:val="none" w:sz="0" w:space="0" w:color="auto"/>
          </w:divBdr>
        </w:div>
        <w:div w:id="947661744">
          <w:marLeft w:val="640"/>
          <w:marRight w:val="0"/>
          <w:marTop w:val="0"/>
          <w:marBottom w:val="0"/>
          <w:divBdr>
            <w:top w:val="none" w:sz="0" w:space="0" w:color="auto"/>
            <w:left w:val="none" w:sz="0" w:space="0" w:color="auto"/>
            <w:bottom w:val="none" w:sz="0" w:space="0" w:color="auto"/>
            <w:right w:val="none" w:sz="0" w:space="0" w:color="auto"/>
          </w:divBdr>
        </w:div>
        <w:div w:id="1115562115">
          <w:marLeft w:val="640"/>
          <w:marRight w:val="0"/>
          <w:marTop w:val="0"/>
          <w:marBottom w:val="0"/>
          <w:divBdr>
            <w:top w:val="none" w:sz="0" w:space="0" w:color="auto"/>
            <w:left w:val="none" w:sz="0" w:space="0" w:color="auto"/>
            <w:bottom w:val="none" w:sz="0" w:space="0" w:color="auto"/>
            <w:right w:val="none" w:sz="0" w:space="0" w:color="auto"/>
          </w:divBdr>
        </w:div>
        <w:div w:id="1854682141">
          <w:marLeft w:val="640"/>
          <w:marRight w:val="0"/>
          <w:marTop w:val="0"/>
          <w:marBottom w:val="0"/>
          <w:divBdr>
            <w:top w:val="none" w:sz="0" w:space="0" w:color="auto"/>
            <w:left w:val="none" w:sz="0" w:space="0" w:color="auto"/>
            <w:bottom w:val="none" w:sz="0" w:space="0" w:color="auto"/>
            <w:right w:val="none" w:sz="0" w:space="0" w:color="auto"/>
          </w:divBdr>
        </w:div>
        <w:div w:id="986933578">
          <w:marLeft w:val="640"/>
          <w:marRight w:val="0"/>
          <w:marTop w:val="0"/>
          <w:marBottom w:val="0"/>
          <w:divBdr>
            <w:top w:val="none" w:sz="0" w:space="0" w:color="auto"/>
            <w:left w:val="none" w:sz="0" w:space="0" w:color="auto"/>
            <w:bottom w:val="none" w:sz="0" w:space="0" w:color="auto"/>
            <w:right w:val="none" w:sz="0" w:space="0" w:color="auto"/>
          </w:divBdr>
        </w:div>
        <w:div w:id="1858494638">
          <w:marLeft w:val="640"/>
          <w:marRight w:val="0"/>
          <w:marTop w:val="0"/>
          <w:marBottom w:val="0"/>
          <w:divBdr>
            <w:top w:val="none" w:sz="0" w:space="0" w:color="auto"/>
            <w:left w:val="none" w:sz="0" w:space="0" w:color="auto"/>
            <w:bottom w:val="none" w:sz="0" w:space="0" w:color="auto"/>
            <w:right w:val="none" w:sz="0" w:space="0" w:color="auto"/>
          </w:divBdr>
        </w:div>
        <w:div w:id="1364282911">
          <w:marLeft w:val="640"/>
          <w:marRight w:val="0"/>
          <w:marTop w:val="0"/>
          <w:marBottom w:val="0"/>
          <w:divBdr>
            <w:top w:val="none" w:sz="0" w:space="0" w:color="auto"/>
            <w:left w:val="none" w:sz="0" w:space="0" w:color="auto"/>
            <w:bottom w:val="none" w:sz="0" w:space="0" w:color="auto"/>
            <w:right w:val="none" w:sz="0" w:space="0" w:color="auto"/>
          </w:divBdr>
        </w:div>
      </w:divsChild>
    </w:div>
    <w:div w:id="1248541198">
      <w:bodyDiv w:val="1"/>
      <w:marLeft w:val="0"/>
      <w:marRight w:val="0"/>
      <w:marTop w:val="0"/>
      <w:marBottom w:val="0"/>
      <w:divBdr>
        <w:top w:val="none" w:sz="0" w:space="0" w:color="auto"/>
        <w:left w:val="none" w:sz="0" w:space="0" w:color="auto"/>
        <w:bottom w:val="none" w:sz="0" w:space="0" w:color="auto"/>
        <w:right w:val="none" w:sz="0" w:space="0" w:color="auto"/>
      </w:divBdr>
      <w:divsChild>
        <w:div w:id="243993861">
          <w:marLeft w:val="640"/>
          <w:marRight w:val="0"/>
          <w:marTop w:val="0"/>
          <w:marBottom w:val="0"/>
          <w:divBdr>
            <w:top w:val="none" w:sz="0" w:space="0" w:color="auto"/>
            <w:left w:val="none" w:sz="0" w:space="0" w:color="auto"/>
            <w:bottom w:val="none" w:sz="0" w:space="0" w:color="auto"/>
            <w:right w:val="none" w:sz="0" w:space="0" w:color="auto"/>
          </w:divBdr>
        </w:div>
        <w:div w:id="563568216">
          <w:marLeft w:val="640"/>
          <w:marRight w:val="0"/>
          <w:marTop w:val="0"/>
          <w:marBottom w:val="0"/>
          <w:divBdr>
            <w:top w:val="none" w:sz="0" w:space="0" w:color="auto"/>
            <w:left w:val="none" w:sz="0" w:space="0" w:color="auto"/>
            <w:bottom w:val="none" w:sz="0" w:space="0" w:color="auto"/>
            <w:right w:val="none" w:sz="0" w:space="0" w:color="auto"/>
          </w:divBdr>
        </w:div>
        <w:div w:id="1881357639">
          <w:marLeft w:val="640"/>
          <w:marRight w:val="0"/>
          <w:marTop w:val="0"/>
          <w:marBottom w:val="0"/>
          <w:divBdr>
            <w:top w:val="none" w:sz="0" w:space="0" w:color="auto"/>
            <w:left w:val="none" w:sz="0" w:space="0" w:color="auto"/>
            <w:bottom w:val="none" w:sz="0" w:space="0" w:color="auto"/>
            <w:right w:val="none" w:sz="0" w:space="0" w:color="auto"/>
          </w:divBdr>
        </w:div>
        <w:div w:id="1956936608">
          <w:marLeft w:val="640"/>
          <w:marRight w:val="0"/>
          <w:marTop w:val="0"/>
          <w:marBottom w:val="0"/>
          <w:divBdr>
            <w:top w:val="none" w:sz="0" w:space="0" w:color="auto"/>
            <w:left w:val="none" w:sz="0" w:space="0" w:color="auto"/>
            <w:bottom w:val="none" w:sz="0" w:space="0" w:color="auto"/>
            <w:right w:val="none" w:sz="0" w:space="0" w:color="auto"/>
          </w:divBdr>
        </w:div>
      </w:divsChild>
    </w:div>
    <w:div w:id="1372343402">
      <w:bodyDiv w:val="1"/>
      <w:marLeft w:val="0"/>
      <w:marRight w:val="0"/>
      <w:marTop w:val="0"/>
      <w:marBottom w:val="0"/>
      <w:divBdr>
        <w:top w:val="none" w:sz="0" w:space="0" w:color="auto"/>
        <w:left w:val="none" w:sz="0" w:space="0" w:color="auto"/>
        <w:bottom w:val="none" w:sz="0" w:space="0" w:color="auto"/>
        <w:right w:val="none" w:sz="0" w:space="0" w:color="auto"/>
      </w:divBdr>
    </w:div>
    <w:div w:id="1541939877">
      <w:bodyDiv w:val="1"/>
      <w:marLeft w:val="0"/>
      <w:marRight w:val="0"/>
      <w:marTop w:val="0"/>
      <w:marBottom w:val="0"/>
      <w:divBdr>
        <w:top w:val="none" w:sz="0" w:space="0" w:color="auto"/>
        <w:left w:val="none" w:sz="0" w:space="0" w:color="auto"/>
        <w:bottom w:val="none" w:sz="0" w:space="0" w:color="auto"/>
        <w:right w:val="none" w:sz="0" w:space="0" w:color="auto"/>
      </w:divBdr>
    </w:div>
    <w:div w:id="1650938450">
      <w:bodyDiv w:val="1"/>
      <w:marLeft w:val="0"/>
      <w:marRight w:val="0"/>
      <w:marTop w:val="0"/>
      <w:marBottom w:val="0"/>
      <w:divBdr>
        <w:top w:val="none" w:sz="0" w:space="0" w:color="auto"/>
        <w:left w:val="none" w:sz="0" w:space="0" w:color="auto"/>
        <w:bottom w:val="none" w:sz="0" w:space="0" w:color="auto"/>
        <w:right w:val="none" w:sz="0" w:space="0" w:color="auto"/>
      </w:divBdr>
    </w:div>
    <w:div w:id="1653177266">
      <w:bodyDiv w:val="1"/>
      <w:marLeft w:val="0"/>
      <w:marRight w:val="0"/>
      <w:marTop w:val="0"/>
      <w:marBottom w:val="0"/>
      <w:divBdr>
        <w:top w:val="none" w:sz="0" w:space="0" w:color="auto"/>
        <w:left w:val="none" w:sz="0" w:space="0" w:color="auto"/>
        <w:bottom w:val="none" w:sz="0" w:space="0" w:color="auto"/>
        <w:right w:val="none" w:sz="0" w:space="0" w:color="auto"/>
      </w:divBdr>
    </w:div>
    <w:div w:id="1745909736">
      <w:bodyDiv w:val="1"/>
      <w:marLeft w:val="0"/>
      <w:marRight w:val="0"/>
      <w:marTop w:val="0"/>
      <w:marBottom w:val="0"/>
      <w:divBdr>
        <w:top w:val="none" w:sz="0" w:space="0" w:color="auto"/>
        <w:left w:val="none" w:sz="0" w:space="0" w:color="auto"/>
        <w:bottom w:val="none" w:sz="0" w:space="0" w:color="auto"/>
        <w:right w:val="none" w:sz="0" w:space="0" w:color="auto"/>
      </w:divBdr>
      <w:divsChild>
        <w:div w:id="424306539">
          <w:marLeft w:val="640"/>
          <w:marRight w:val="0"/>
          <w:marTop w:val="0"/>
          <w:marBottom w:val="0"/>
          <w:divBdr>
            <w:top w:val="none" w:sz="0" w:space="0" w:color="auto"/>
            <w:left w:val="none" w:sz="0" w:space="0" w:color="auto"/>
            <w:bottom w:val="none" w:sz="0" w:space="0" w:color="auto"/>
            <w:right w:val="none" w:sz="0" w:space="0" w:color="auto"/>
          </w:divBdr>
        </w:div>
        <w:div w:id="980965791">
          <w:marLeft w:val="640"/>
          <w:marRight w:val="0"/>
          <w:marTop w:val="0"/>
          <w:marBottom w:val="0"/>
          <w:divBdr>
            <w:top w:val="none" w:sz="0" w:space="0" w:color="auto"/>
            <w:left w:val="none" w:sz="0" w:space="0" w:color="auto"/>
            <w:bottom w:val="none" w:sz="0" w:space="0" w:color="auto"/>
            <w:right w:val="none" w:sz="0" w:space="0" w:color="auto"/>
          </w:divBdr>
        </w:div>
        <w:div w:id="1794860591">
          <w:marLeft w:val="640"/>
          <w:marRight w:val="0"/>
          <w:marTop w:val="0"/>
          <w:marBottom w:val="0"/>
          <w:divBdr>
            <w:top w:val="none" w:sz="0" w:space="0" w:color="auto"/>
            <w:left w:val="none" w:sz="0" w:space="0" w:color="auto"/>
            <w:bottom w:val="none" w:sz="0" w:space="0" w:color="auto"/>
            <w:right w:val="none" w:sz="0" w:space="0" w:color="auto"/>
          </w:divBdr>
        </w:div>
      </w:divsChild>
    </w:div>
    <w:div w:id="1799258049">
      <w:bodyDiv w:val="1"/>
      <w:marLeft w:val="0"/>
      <w:marRight w:val="0"/>
      <w:marTop w:val="0"/>
      <w:marBottom w:val="0"/>
      <w:divBdr>
        <w:top w:val="none" w:sz="0" w:space="0" w:color="auto"/>
        <w:left w:val="none" w:sz="0" w:space="0" w:color="auto"/>
        <w:bottom w:val="none" w:sz="0" w:space="0" w:color="auto"/>
        <w:right w:val="none" w:sz="0" w:space="0" w:color="auto"/>
      </w:divBdr>
    </w:div>
    <w:div w:id="1820346906">
      <w:bodyDiv w:val="1"/>
      <w:marLeft w:val="0"/>
      <w:marRight w:val="0"/>
      <w:marTop w:val="0"/>
      <w:marBottom w:val="0"/>
      <w:divBdr>
        <w:top w:val="none" w:sz="0" w:space="0" w:color="auto"/>
        <w:left w:val="none" w:sz="0" w:space="0" w:color="auto"/>
        <w:bottom w:val="none" w:sz="0" w:space="0" w:color="auto"/>
        <w:right w:val="none" w:sz="0" w:space="0" w:color="auto"/>
      </w:divBdr>
      <w:divsChild>
        <w:div w:id="295254881">
          <w:marLeft w:val="640"/>
          <w:marRight w:val="0"/>
          <w:marTop w:val="0"/>
          <w:marBottom w:val="0"/>
          <w:divBdr>
            <w:top w:val="none" w:sz="0" w:space="0" w:color="auto"/>
            <w:left w:val="none" w:sz="0" w:space="0" w:color="auto"/>
            <w:bottom w:val="none" w:sz="0" w:space="0" w:color="auto"/>
            <w:right w:val="none" w:sz="0" w:space="0" w:color="auto"/>
          </w:divBdr>
        </w:div>
        <w:div w:id="1697805808">
          <w:marLeft w:val="640"/>
          <w:marRight w:val="0"/>
          <w:marTop w:val="0"/>
          <w:marBottom w:val="0"/>
          <w:divBdr>
            <w:top w:val="none" w:sz="0" w:space="0" w:color="auto"/>
            <w:left w:val="none" w:sz="0" w:space="0" w:color="auto"/>
            <w:bottom w:val="none" w:sz="0" w:space="0" w:color="auto"/>
            <w:right w:val="none" w:sz="0" w:space="0" w:color="auto"/>
          </w:divBdr>
        </w:div>
        <w:div w:id="1186945544">
          <w:marLeft w:val="640"/>
          <w:marRight w:val="0"/>
          <w:marTop w:val="0"/>
          <w:marBottom w:val="0"/>
          <w:divBdr>
            <w:top w:val="none" w:sz="0" w:space="0" w:color="auto"/>
            <w:left w:val="none" w:sz="0" w:space="0" w:color="auto"/>
            <w:bottom w:val="none" w:sz="0" w:space="0" w:color="auto"/>
            <w:right w:val="none" w:sz="0" w:space="0" w:color="auto"/>
          </w:divBdr>
        </w:div>
        <w:div w:id="836849744">
          <w:marLeft w:val="640"/>
          <w:marRight w:val="0"/>
          <w:marTop w:val="0"/>
          <w:marBottom w:val="0"/>
          <w:divBdr>
            <w:top w:val="none" w:sz="0" w:space="0" w:color="auto"/>
            <w:left w:val="none" w:sz="0" w:space="0" w:color="auto"/>
            <w:bottom w:val="none" w:sz="0" w:space="0" w:color="auto"/>
            <w:right w:val="none" w:sz="0" w:space="0" w:color="auto"/>
          </w:divBdr>
        </w:div>
      </w:divsChild>
    </w:div>
    <w:div w:id="1888832930">
      <w:bodyDiv w:val="1"/>
      <w:marLeft w:val="0"/>
      <w:marRight w:val="0"/>
      <w:marTop w:val="0"/>
      <w:marBottom w:val="0"/>
      <w:divBdr>
        <w:top w:val="none" w:sz="0" w:space="0" w:color="auto"/>
        <w:left w:val="none" w:sz="0" w:space="0" w:color="auto"/>
        <w:bottom w:val="none" w:sz="0" w:space="0" w:color="auto"/>
        <w:right w:val="none" w:sz="0" w:space="0" w:color="auto"/>
      </w:divBdr>
      <w:divsChild>
        <w:div w:id="1462074928">
          <w:marLeft w:val="640"/>
          <w:marRight w:val="0"/>
          <w:marTop w:val="0"/>
          <w:marBottom w:val="0"/>
          <w:divBdr>
            <w:top w:val="none" w:sz="0" w:space="0" w:color="auto"/>
            <w:left w:val="none" w:sz="0" w:space="0" w:color="auto"/>
            <w:bottom w:val="none" w:sz="0" w:space="0" w:color="auto"/>
            <w:right w:val="none" w:sz="0" w:space="0" w:color="auto"/>
          </w:divBdr>
        </w:div>
        <w:div w:id="1024600978">
          <w:marLeft w:val="640"/>
          <w:marRight w:val="0"/>
          <w:marTop w:val="0"/>
          <w:marBottom w:val="0"/>
          <w:divBdr>
            <w:top w:val="none" w:sz="0" w:space="0" w:color="auto"/>
            <w:left w:val="none" w:sz="0" w:space="0" w:color="auto"/>
            <w:bottom w:val="none" w:sz="0" w:space="0" w:color="auto"/>
            <w:right w:val="none" w:sz="0" w:space="0" w:color="auto"/>
          </w:divBdr>
        </w:div>
        <w:div w:id="998457721">
          <w:marLeft w:val="640"/>
          <w:marRight w:val="0"/>
          <w:marTop w:val="0"/>
          <w:marBottom w:val="0"/>
          <w:divBdr>
            <w:top w:val="none" w:sz="0" w:space="0" w:color="auto"/>
            <w:left w:val="none" w:sz="0" w:space="0" w:color="auto"/>
            <w:bottom w:val="none" w:sz="0" w:space="0" w:color="auto"/>
            <w:right w:val="none" w:sz="0" w:space="0" w:color="auto"/>
          </w:divBdr>
        </w:div>
        <w:div w:id="1386485276">
          <w:marLeft w:val="640"/>
          <w:marRight w:val="0"/>
          <w:marTop w:val="0"/>
          <w:marBottom w:val="0"/>
          <w:divBdr>
            <w:top w:val="none" w:sz="0" w:space="0" w:color="auto"/>
            <w:left w:val="none" w:sz="0" w:space="0" w:color="auto"/>
            <w:bottom w:val="none" w:sz="0" w:space="0" w:color="auto"/>
            <w:right w:val="none" w:sz="0" w:space="0" w:color="auto"/>
          </w:divBdr>
        </w:div>
        <w:div w:id="1621959225">
          <w:marLeft w:val="640"/>
          <w:marRight w:val="0"/>
          <w:marTop w:val="0"/>
          <w:marBottom w:val="0"/>
          <w:divBdr>
            <w:top w:val="none" w:sz="0" w:space="0" w:color="auto"/>
            <w:left w:val="none" w:sz="0" w:space="0" w:color="auto"/>
            <w:bottom w:val="none" w:sz="0" w:space="0" w:color="auto"/>
            <w:right w:val="none" w:sz="0" w:space="0" w:color="auto"/>
          </w:divBdr>
        </w:div>
        <w:div w:id="723912329">
          <w:marLeft w:val="640"/>
          <w:marRight w:val="0"/>
          <w:marTop w:val="0"/>
          <w:marBottom w:val="0"/>
          <w:divBdr>
            <w:top w:val="none" w:sz="0" w:space="0" w:color="auto"/>
            <w:left w:val="none" w:sz="0" w:space="0" w:color="auto"/>
            <w:bottom w:val="none" w:sz="0" w:space="0" w:color="auto"/>
            <w:right w:val="none" w:sz="0" w:space="0" w:color="auto"/>
          </w:divBdr>
        </w:div>
      </w:divsChild>
    </w:div>
    <w:div w:id="1941910481">
      <w:bodyDiv w:val="1"/>
      <w:marLeft w:val="0"/>
      <w:marRight w:val="0"/>
      <w:marTop w:val="0"/>
      <w:marBottom w:val="0"/>
      <w:divBdr>
        <w:top w:val="none" w:sz="0" w:space="0" w:color="auto"/>
        <w:left w:val="none" w:sz="0" w:space="0" w:color="auto"/>
        <w:bottom w:val="none" w:sz="0" w:space="0" w:color="auto"/>
        <w:right w:val="none" w:sz="0" w:space="0" w:color="auto"/>
      </w:divBdr>
      <w:divsChild>
        <w:div w:id="488400095">
          <w:marLeft w:val="640"/>
          <w:marRight w:val="0"/>
          <w:marTop w:val="0"/>
          <w:marBottom w:val="0"/>
          <w:divBdr>
            <w:top w:val="none" w:sz="0" w:space="0" w:color="auto"/>
            <w:left w:val="none" w:sz="0" w:space="0" w:color="auto"/>
            <w:bottom w:val="none" w:sz="0" w:space="0" w:color="auto"/>
            <w:right w:val="none" w:sz="0" w:space="0" w:color="auto"/>
          </w:divBdr>
        </w:div>
        <w:div w:id="2109233254">
          <w:marLeft w:val="640"/>
          <w:marRight w:val="0"/>
          <w:marTop w:val="0"/>
          <w:marBottom w:val="0"/>
          <w:divBdr>
            <w:top w:val="none" w:sz="0" w:space="0" w:color="auto"/>
            <w:left w:val="none" w:sz="0" w:space="0" w:color="auto"/>
            <w:bottom w:val="none" w:sz="0" w:space="0" w:color="auto"/>
            <w:right w:val="none" w:sz="0" w:space="0" w:color="auto"/>
          </w:divBdr>
        </w:div>
        <w:div w:id="1819689967">
          <w:marLeft w:val="640"/>
          <w:marRight w:val="0"/>
          <w:marTop w:val="0"/>
          <w:marBottom w:val="0"/>
          <w:divBdr>
            <w:top w:val="none" w:sz="0" w:space="0" w:color="auto"/>
            <w:left w:val="none" w:sz="0" w:space="0" w:color="auto"/>
            <w:bottom w:val="none" w:sz="0" w:space="0" w:color="auto"/>
            <w:right w:val="none" w:sz="0" w:space="0" w:color="auto"/>
          </w:divBdr>
        </w:div>
        <w:div w:id="1466003246">
          <w:marLeft w:val="640"/>
          <w:marRight w:val="0"/>
          <w:marTop w:val="0"/>
          <w:marBottom w:val="0"/>
          <w:divBdr>
            <w:top w:val="none" w:sz="0" w:space="0" w:color="auto"/>
            <w:left w:val="none" w:sz="0" w:space="0" w:color="auto"/>
            <w:bottom w:val="none" w:sz="0" w:space="0" w:color="auto"/>
            <w:right w:val="none" w:sz="0" w:space="0" w:color="auto"/>
          </w:divBdr>
        </w:div>
        <w:div w:id="1861816626">
          <w:marLeft w:val="640"/>
          <w:marRight w:val="0"/>
          <w:marTop w:val="0"/>
          <w:marBottom w:val="0"/>
          <w:divBdr>
            <w:top w:val="none" w:sz="0" w:space="0" w:color="auto"/>
            <w:left w:val="none" w:sz="0" w:space="0" w:color="auto"/>
            <w:bottom w:val="none" w:sz="0" w:space="0" w:color="auto"/>
            <w:right w:val="none" w:sz="0" w:space="0" w:color="auto"/>
          </w:divBdr>
        </w:div>
        <w:div w:id="1371566140">
          <w:marLeft w:val="640"/>
          <w:marRight w:val="0"/>
          <w:marTop w:val="0"/>
          <w:marBottom w:val="0"/>
          <w:divBdr>
            <w:top w:val="none" w:sz="0" w:space="0" w:color="auto"/>
            <w:left w:val="none" w:sz="0" w:space="0" w:color="auto"/>
            <w:bottom w:val="none" w:sz="0" w:space="0" w:color="auto"/>
            <w:right w:val="none" w:sz="0" w:space="0" w:color="auto"/>
          </w:divBdr>
        </w:div>
      </w:divsChild>
    </w:div>
    <w:div w:id="1942882365">
      <w:bodyDiv w:val="1"/>
      <w:marLeft w:val="0"/>
      <w:marRight w:val="0"/>
      <w:marTop w:val="0"/>
      <w:marBottom w:val="0"/>
      <w:divBdr>
        <w:top w:val="none" w:sz="0" w:space="0" w:color="auto"/>
        <w:left w:val="none" w:sz="0" w:space="0" w:color="auto"/>
        <w:bottom w:val="none" w:sz="0" w:space="0" w:color="auto"/>
        <w:right w:val="none" w:sz="0" w:space="0" w:color="auto"/>
      </w:divBdr>
      <w:divsChild>
        <w:div w:id="1203205834">
          <w:marLeft w:val="640"/>
          <w:marRight w:val="0"/>
          <w:marTop w:val="0"/>
          <w:marBottom w:val="0"/>
          <w:divBdr>
            <w:top w:val="none" w:sz="0" w:space="0" w:color="auto"/>
            <w:left w:val="none" w:sz="0" w:space="0" w:color="auto"/>
            <w:bottom w:val="none" w:sz="0" w:space="0" w:color="auto"/>
            <w:right w:val="none" w:sz="0" w:space="0" w:color="auto"/>
          </w:divBdr>
        </w:div>
        <w:div w:id="135613819">
          <w:marLeft w:val="640"/>
          <w:marRight w:val="0"/>
          <w:marTop w:val="0"/>
          <w:marBottom w:val="0"/>
          <w:divBdr>
            <w:top w:val="none" w:sz="0" w:space="0" w:color="auto"/>
            <w:left w:val="none" w:sz="0" w:space="0" w:color="auto"/>
            <w:bottom w:val="none" w:sz="0" w:space="0" w:color="auto"/>
            <w:right w:val="none" w:sz="0" w:space="0" w:color="auto"/>
          </w:divBdr>
        </w:div>
        <w:div w:id="1027758355">
          <w:marLeft w:val="640"/>
          <w:marRight w:val="0"/>
          <w:marTop w:val="0"/>
          <w:marBottom w:val="0"/>
          <w:divBdr>
            <w:top w:val="none" w:sz="0" w:space="0" w:color="auto"/>
            <w:left w:val="none" w:sz="0" w:space="0" w:color="auto"/>
            <w:bottom w:val="none" w:sz="0" w:space="0" w:color="auto"/>
            <w:right w:val="none" w:sz="0" w:space="0" w:color="auto"/>
          </w:divBdr>
        </w:div>
        <w:div w:id="135608583">
          <w:marLeft w:val="640"/>
          <w:marRight w:val="0"/>
          <w:marTop w:val="0"/>
          <w:marBottom w:val="0"/>
          <w:divBdr>
            <w:top w:val="none" w:sz="0" w:space="0" w:color="auto"/>
            <w:left w:val="none" w:sz="0" w:space="0" w:color="auto"/>
            <w:bottom w:val="none" w:sz="0" w:space="0" w:color="auto"/>
            <w:right w:val="none" w:sz="0" w:space="0" w:color="auto"/>
          </w:divBdr>
        </w:div>
        <w:div w:id="1806048764">
          <w:marLeft w:val="640"/>
          <w:marRight w:val="0"/>
          <w:marTop w:val="0"/>
          <w:marBottom w:val="0"/>
          <w:divBdr>
            <w:top w:val="none" w:sz="0" w:space="0" w:color="auto"/>
            <w:left w:val="none" w:sz="0" w:space="0" w:color="auto"/>
            <w:bottom w:val="none" w:sz="0" w:space="0" w:color="auto"/>
            <w:right w:val="none" w:sz="0" w:space="0" w:color="auto"/>
          </w:divBdr>
        </w:div>
        <w:div w:id="1634942082">
          <w:marLeft w:val="640"/>
          <w:marRight w:val="0"/>
          <w:marTop w:val="0"/>
          <w:marBottom w:val="0"/>
          <w:divBdr>
            <w:top w:val="none" w:sz="0" w:space="0" w:color="auto"/>
            <w:left w:val="none" w:sz="0" w:space="0" w:color="auto"/>
            <w:bottom w:val="none" w:sz="0" w:space="0" w:color="auto"/>
            <w:right w:val="none" w:sz="0" w:space="0" w:color="auto"/>
          </w:divBdr>
        </w:div>
        <w:div w:id="505830096">
          <w:marLeft w:val="640"/>
          <w:marRight w:val="0"/>
          <w:marTop w:val="0"/>
          <w:marBottom w:val="0"/>
          <w:divBdr>
            <w:top w:val="none" w:sz="0" w:space="0" w:color="auto"/>
            <w:left w:val="none" w:sz="0" w:space="0" w:color="auto"/>
            <w:bottom w:val="none" w:sz="0" w:space="0" w:color="auto"/>
            <w:right w:val="none" w:sz="0" w:space="0" w:color="auto"/>
          </w:divBdr>
        </w:div>
        <w:div w:id="789974336">
          <w:marLeft w:val="640"/>
          <w:marRight w:val="0"/>
          <w:marTop w:val="0"/>
          <w:marBottom w:val="0"/>
          <w:divBdr>
            <w:top w:val="none" w:sz="0" w:space="0" w:color="auto"/>
            <w:left w:val="none" w:sz="0" w:space="0" w:color="auto"/>
            <w:bottom w:val="none" w:sz="0" w:space="0" w:color="auto"/>
            <w:right w:val="none" w:sz="0" w:space="0" w:color="auto"/>
          </w:divBdr>
        </w:div>
        <w:div w:id="1830051901">
          <w:marLeft w:val="640"/>
          <w:marRight w:val="0"/>
          <w:marTop w:val="0"/>
          <w:marBottom w:val="0"/>
          <w:divBdr>
            <w:top w:val="none" w:sz="0" w:space="0" w:color="auto"/>
            <w:left w:val="none" w:sz="0" w:space="0" w:color="auto"/>
            <w:bottom w:val="none" w:sz="0" w:space="0" w:color="auto"/>
            <w:right w:val="none" w:sz="0" w:space="0" w:color="auto"/>
          </w:divBdr>
        </w:div>
      </w:divsChild>
    </w:div>
    <w:div w:id="2010519250">
      <w:bodyDiv w:val="1"/>
      <w:marLeft w:val="0"/>
      <w:marRight w:val="0"/>
      <w:marTop w:val="0"/>
      <w:marBottom w:val="0"/>
      <w:divBdr>
        <w:top w:val="none" w:sz="0" w:space="0" w:color="auto"/>
        <w:left w:val="none" w:sz="0" w:space="0" w:color="auto"/>
        <w:bottom w:val="none" w:sz="0" w:space="0" w:color="auto"/>
        <w:right w:val="none" w:sz="0" w:space="0" w:color="auto"/>
      </w:divBdr>
      <w:divsChild>
        <w:div w:id="1428190084">
          <w:marLeft w:val="640"/>
          <w:marRight w:val="0"/>
          <w:marTop w:val="0"/>
          <w:marBottom w:val="0"/>
          <w:divBdr>
            <w:top w:val="none" w:sz="0" w:space="0" w:color="auto"/>
            <w:left w:val="none" w:sz="0" w:space="0" w:color="auto"/>
            <w:bottom w:val="none" w:sz="0" w:space="0" w:color="auto"/>
            <w:right w:val="none" w:sz="0" w:space="0" w:color="auto"/>
          </w:divBdr>
        </w:div>
        <w:div w:id="1479300800">
          <w:marLeft w:val="640"/>
          <w:marRight w:val="0"/>
          <w:marTop w:val="0"/>
          <w:marBottom w:val="0"/>
          <w:divBdr>
            <w:top w:val="none" w:sz="0" w:space="0" w:color="auto"/>
            <w:left w:val="none" w:sz="0" w:space="0" w:color="auto"/>
            <w:bottom w:val="none" w:sz="0" w:space="0" w:color="auto"/>
            <w:right w:val="none" w:sz="0" w:space="0" w:color="auto"/>
          </w:divBdr>
        </w:div>
        <w:div w:id="1249460245">
          <w:marLeft w:val="640"/>
          <w:marRight w:val="0"/>
          <w:marTop w:val="0"/>
          <w:marBottom w:val="0"/>
          <w:divBdr>
            <w:top w:val="none" w:sz="0" w:space="0" w:color="auto"/>
            <w:left w:val="none" w:sz="0" w:space="0" w:color="auto"/>
            <w:bottom w:val="none" w:sz="0" w:space="0" w:color="auto"/>
            <w:right w:val="none" w:sz="0" w:space="0" w:color="auto"/>
          </w:divBdr>
        </w:div>
        <w:div w:id="223956557">
          <w:marLeft w:val="640"/>
          <w:marRight w:val="0"/>
          <w:marTop w:val="0"/>
          <w:marBottom w:val="0"/>
          <w:divBdr>
            <w:top w:val="none" w:sz="0" w:space="0" w:color="auto"/>
            <w:left w:val="none" w:sz="0" w:space="0" w:color="auto"/>
            <w:bottom w:val="none" w:sz="0" w:space="0" w:color="auto"/>
            <w:right w:val="none" w:sz="0" w:space="0" w:color="auto"/>
          </w:divBdr>
        </w:div>
        <w:div w:id="1435707321">
          <w:marLeft w:val="640"/>
          <w:marRight w:val="0"/>
          <w:marTop w:val="0"/>
          <w:marBottom w:val="0"/>
          <w:divBdr>
            <w:top w:val="none" w:sz="0" w:space="0" w:color="auto"/>
            <w:left w:val="none" w:sz="0" w:space="0" w:color="auto"/>
            <w:bottom w:val="none" w:sz="0" w:space="0" w:color="auto"/>
            <w:right w:val="none" w:sz="0" w:space="0" w:color="auto"/>
          </w:divBdr>
        </w:div>
        <w:div w:id="460879335">
          <w:marLeft w:val="640"/>
          <w:marRight w:val="0"/>
          <w:marTop w:val="0"/>
          <w:marBottom w:val="0"/>
          <w:divBdr>
            <w:top w:val="none" w:sz="0" w:space="0" w:color="auto"/>
            <w:left w:val="none" w:sz="0" w:space="0" w:color="auto"/>
            <w:bottom w:val="none" w:sz="0" w:space="0" w:color="auto"/>
            <w:right w:val="none" w:sz="0" w:space="0" w:color="auto"/>
          </w:divBdr>
        </w:div>
        <w:div w:id="1711301629">
          <w:marLeft w:val="640"/>
          <w:marRight w:val="0"/>
          <w:marTop w:val="0"/>
          <w:marBottom w:val="0"/>
          <w:divBdr>
            <w:top w:val="none" w:sz="0" w:space="0" w:color="auto"/>
            <w:left w:val="none" w:sz="0" w:space="0" w:color="auto"/>
            <w:bottom w:val="none" w:sz="0" w:space="0" w:color="auto"/>
            <w:right w:val="none" w:sz="0" w:space="0" w:color="auto"/>
          </w:divBdr>
        </w:div>
        <w:div w:id="407843765">
          <w:marLeft w:val="640"/>
          <w:marRight w:val="0"/>
          <w:marTop w:val="0"/>
          <w:marBottom w:val="0"/>
          <w:divBdr>
            <w:top w:val="none" w:sz="0" w:space="0" w:color="auto"/>
            <w:left w:val="none" w:sz="0" w:space="0" w:color="auto"/>
            <w:bottom w:val="none" w:sz="0" w:space="0" w:color="auto"/>
            <w:right w:val="none" w:sz="0" w:space="0" w:color="auto"/>
          </w:divBdr>
        </w:div>
        <w:div w:id="1614314937">
          <w:marLeft w:val="640"/>
          <w:marRight w:val="0"/>
          <w:marTop w:val="0"/>
          <w:marBottom w:val="0"/>
          <w:divBdr>
            <w:top w:val="none" w:sz="0" w:space="0" w:color="auto"/>
            <w:left w:val="none" w:sz="0" w:space="0" w:color="auto"/>
            <w:bottom w:val="none" w:sz="0" w:space="0" w:color="auto"/>
            <w:right w:val="none" w:sz="0" w:space="0" w:color="auto"/>
          </w:divBdr>
        </w:div>
        <w:div w:id="864096340">
          <w:marLeft w:val="64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emf"/><Relationship Id="rId11" Type="http://schemas.openxmlformats.org/officeDocument/2006/relationships/image" Target="media/image7.emf"/><Relationship Id="rId5" Type="http://schemas.openxmlformats.org/officeDocument/2006/relationships/image" Target="media/image1.emf"/><Relationship Id="rId15" Type="http://schemas.openxmlformats.org/officeDocument/2006/relationships/customXml" Target="../customXml/item3.xml"/><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customXml" Target="../customXml/item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E2FEE6C-CB93-8149-B3E2-37AA11F86D2E}">
  <we:reference id="f78a3046-9e99-4300-aa2b-5814002b01a2" version="1.55.1.0" store="EXCatalog" storeType="EXCatalog"/>
  <we:alternateReferences>
    <we:reference id="WA104382081" version="1.55.1.0" store="de-DE" storeType="OMEX"/>
  </we:alternateReferences>
  <we:properties>
    <we:property name="MENDELEY_CITATIONS" value="[]"/>
    <we:property name="MENDELEY_CITATIONS_LOCALE_CODE" value="&quot;en-GB&quot;"/>
    <we:property name="MENDELEY_CITATIONS_STYLE" value="{&quot;id&quot;:&quot;https://www.zotero.org/styles/nature-neuroscience&quot;,&quot;title&quot;:&quot;Nature Neuroscience&quot;,&quot;format&quot;:&quot;numeric&quot;,&quot;defaultLocale&quot;:&quot;en-GB&quot;,&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5D7E0F840D949D45B709F7D30E336661" ma:contentTypeVersion="15" ma:contentTypeDescription="Crear nuevo documento." ma:contentTypeScope="" ma:versionID="4dbe85d1cc07fc2d04e0bc1561d33711">
  <xsd:schema xmlns:xsd="http://www.w3.org/2001/XMLSchema" xmlns:xs="http://www.w3.org/2001/XMLSchema" xmlns:p="http://schemas.microsoft.com/office/2006/metadata/properties" xmlns:ns2="12a0f46a-4d15-465f-804b-5c78e5b6f377" xmlns:ns3="6116f632-82c4-4cfe-b7bd-9e94d61b5ddd" targetNamespace="http://schemas.microsoft.com/office/2006/metadata/properties" ma:root="true" ma:fieldsID="bc44be760e84715a4db2ad379814e21f" ns2:_="" ns3:_="">
    <xsd:import namespace="12a0f46a-4d15-465f-804b-5c78e5b6f377"/>
    <xsd:import namespace="6116f632-82c4-4cfe-b7bd-9e94d61b5dd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LengthInSecond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a0f46a-4d15-465f-804b-5c78e5b6f377"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4" nillable="true" ma:displayName="Taxonomy Catch All Column" ma:hidden="true" ma:list="{6aac3aa3-97cb-43f5-88f2-a5e7d7bfe588}" ma:internalName="TaxCatchAll" ma:showField="CatchAllData" ma:web="12a0f46a-4d15-465f-804b-5c78e5b6f37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116f632-82c4-4cfe-b7bd-9e94d61b5dd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35d33079-0ec2-4629-b015-13445a9c6f6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BFCB33A-C474-2E41-9ADA-1522A7D04F2A}">
  <ds:schemaRefs>
    <ds:schemaRef ds:uri="http://schemas.openxmlformats.org/officeDocument/2006/bibliography"/>
  </ds:schemaRefs>
</ds:datastoreItem>
</file>

<file path=customXml/itemProps2.xml><?xml version="1.0" encoding="utf-8"?>
<ds:datastoreItem xmlns:ds="http://schemas.openxmlformats.org/officeDocument/2006/customXml" ds:itemID="{21156016-DAD7-42E9-A763-68BA2464CF73}"/>
</file>

<file path=customXml/itemProps3.xml><?xml version="1.0" encoding="utf-8"?>
<ds:datastoreItem xmlns:ds="http://schemas.openxmlformats.org/officeDocument/2006/customXml" ds:itemID="{11A5835B-280F-4678-94A2-08CBAC464DA4}"/>
</file>

<file path=docProps/app.xml><?xml version="1.0" encoding="utf-8"?>
<Properties xmlns="http://schemas.openxmlformats.org/officeDocument/2006/extended-properties" xmlns:vt="http://schemas.openxmlformats.org/officeDocument/2006/docPropsVTypes">
  <Template>Normal.dotm</Template>
  <TotalTime>71</TotalTime>
  <Pages>18</Pages>
  <Words>3851</Words>
  <Characters>21181</Characters>
  <Application>Microsoft Office Word</Application>
  <DocSecurity>0</DocSecurity>
  <Lines>176</Lines>
  <Paragraphs>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Estefania Simoes Fernandez</dc:creator>
  <cp:keywords/>
  <dc:description/>
  <cp:lastModifiedBy>Estefania Simoes Fernandez</cp:lastModifiedBy>
  <cp:revision>9</cp:revision>
  <dcterms:created xsi:type="dcterms:W3CDTF">2023-08-17T10:48:00Z</dcterms:created>
  <dcterms:modified xsi:type="dcterms:W3CDTF">2024-08-20T08:28:00Z</dcterms:modified>
</cp:coreProperties>
</file>