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01ED8B" w14:textId="49D8205F" w:rsidR="00AB5C95" w:rsidRDefault="00AB5C95" w:rsidP="00AB5C95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035EB861" wp14:editId="173C1B24">
            <wp:extent cx="5274310" cy="4070985"/>
            <wp:effectExtent l="0" t="0" r="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70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40551" w14:textId="5D1FAB77" w:rsidR="00AB5C95" w:rsidRPr="0072479A" w:rsidRDefault="00AB5C95" w:rsidP="00AB5C95">
      <w:pPr>
        <w:rPr>
          <w:rFonts w:ascii="Times New Roman" w:hAnsi="Times New Roman" w:cs="Times New Roman"/>
          <w:sz w:val="24"/>
          <w:szCs w:val="24"/>
        </w:rPr>
      </w:pPr>
      <w:r w:rsidRPr="0072479A">
        <w:rPr>
          <w:rFonts w:ascii="Times New Roman" w:hAnsi="Times New Roman" w:cs="Times New Roman"/>
          <w:b/>
          <w:bCs/>
          <w:sz w:val="24"/>
          <w:szCs w:val="24"/>
        </w:rPr>
        <w:t xml:space="preserve">Fig.S1. </w:t>
      </w:r>
      <w:r w:rsidRPr="0072479A">
        <w:rPr>
          <w:rFonts w:ascii="Times New Roman" w:hAnsi="Times New Roman" w:cs="Times New Roman"/>
          <w:sz w:val="24"/>
          <w:szCs w:val="24"/>
        </w:rPr>
        <w:t>Kaplan-Meier curves show the probability of overall survival based on Gene expression.</w:t>
      </w:r>
    </w:p>
    <w:p w14:paraId="36ECB624" w14:textId="77E9ECCC" w:rsidR="00AB5C95" w:rsidRDefault="00AB5C95" w:rsidP="00AB5C9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42E3B34" w14:textId="1E13CFFB" w:rsidR="00AB5C95" w:rsidRPr="0072479A" w:rsidRDefault="00DE3E15" w:rsidP="00AB5C95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tab/>
      </w:r>
      <w:r w:rsidR="00564BA7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791E9317" wp14:editId="404418AF">
            <wp:extent cx="5247005" cy="8863330"/>
            <wp:effectExtent l="0" t="0" r="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44205" w14:textId="77777777" w:rsidR="00AB5C95" w:rsidRPr="0072479A" w:rsidRDefault="00AB5C95" w:rsidP="00AB5C95">
      <w:pPr>
        <w:rPr>
          <w:rFonts w:ascii="Times New Roman" w:hAnsi="Times New Roman" w:cs="Times New Roman"/>
          <w:sz w:val="24"/>
          <w:szCs w:val="24"/>
        </w:rPr>
      </w:pPr>
      <w:r w:rsidRPr="0072479A">
        <w:rPr>
          <w:rFonts w:ascii="Times New Roman" w:hAnsi="Times New Roman" w:cs="Times New Roman"/>
          <w:b/>
          <w:bCs/>
          <w:sz w:val="24"/>
          <w:szCs w:val="24"/>
        </w:rPr>
        <w:lastRenderedPageBreak/>
        <w:t>Fig.S2.</w:t>
      </w:r>
      <w:r w:rsidRPr="0072479A">
        <w:rPr>
          <w:rFonts w:ascii="Times New Roman" w:hAnsi="Times New Roman" w:cs="Times New Roman"/>
          <w:sz w:val="24"/>
          <w:szCs w:val="24"/>
        </w:rPr>
        <w:t xml:space="preserve"> The matrix of tumor cell line mRNA expression was obtained from the CCLE dataset (</w:t>
      </w:r>
      <w:hyperlink r:id="rId6" w:history="1">
        <w:r w:rsidRPr="0072479A">
          <w:rPr>
            <w:rStyle w:val="a3"/>
            <w:rFonts w:ascii="Times New Roman" w:hAnsi="Times New Roman" w:cs="Times New Roman"/>
            <w:sz w:val="24"/>
            <w:szCs w:val="24"/>
          </w:rPr>
          <w:t>https://portals.broadinstitute.org/ccle</w:t>
        </w:r>
      </w:hyperlink>
      <w:r w:rsidRPr="0072479A">
        <w:rPr>
          <w:rFonts w:ascii="Times New Roman" w:hAnsi="Times New Roman" w:cs="Times New Roman"/>
          <w:sz w:val="24"/>
          <w:szCs w:val="24"/>
        </w:rPr>
        <w:t>). The analysis was generated by the R v4.0.3 software package ggplot2 (v3.3.3).</w:t>
      </w:r>
    </w:p>
    <w:p w14:paraId="4E358378" w14:textId="48B96482" w:rsidR="00AB5C95" w:rsidRDefault="00AB5C95" w:rsidP="00AB5C95">
      <w:pPr>
        <w:rPr>
          <w:rFonts w:ascii="Times New Roman" w:hAnsi="Times New Roman" w:cs="Times New Roman"/>
          <w:b/>
          <w:bCs/>
        </w:rPr>
      </w:pPr>
    </w:p>
    <w:p w14:paraId="0B51B116" w14:textId="58035502" w:rsidR="00AB5C95" w:rsidRDefault="00AB5C95" w:rsidP="00AB5C95">
      <w:pPr>
        <w:rPr>
          <w:rFonts w:ascii="Times New Roman" w:hAnsi="Times New Roman" w:cs="Times New Roman"/>
          <w:b/>
          <w:bCs/>
        </w:rPr>
      </w:pPr>
    </w:p>
    <w:p w14:paraId="12E11A87" w14:textId="77777777" w:rsidR="00AB5C95" w:rsidRDefault="00AB5C95" w:rsidP="00AB5C95">
      <w:pPr>
        <w:rPr>
          <w:rFonts w:ascii="Times New Roman" w:hAnsi="Times New Roman" w:cs="Times New Roman"/>
          <w:b/>
          <w:bCs/>
        </w:rPr>
      </w:pPr>
    </w:p>
    <w:p w14:paraId="40DF310F" w14:textId="5E716381" w:rsidR="00AB5C95" w:rsidRDefault="00AB5C95" w:rsidP="00AB5C95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3F0342B3" wp14:editId="066AD697">
            <wp:extent cx="5274310" cy="746379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ABAB6E" w14:textId="77777777" w:rsidR="00AB5C95" w:rsidRDefault="00AB5C95" w:rsidP="00AB5C9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60181A2" w14:textId="4D69ECBB" w:rsidR="00AB5C95" w:rsidRDefault="00AB5C95" w:rsidP="00AB5C9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72479A">
        <w:rPr>
          <w:rFonts w:ascii="Times New Roman" w:hAnsi="Times New Roman" w:cs="Times New Roman"/>
          <w:b/>
          <w:bCs/>
          <w:sz w:val="24"/>
          <w:szCs w:val="24"/>
        </w:rPr>
        <w:t>Fig.S3.</w:t>
      </w:r>
      <w:r w:rsidRPr="0072479A">
        <w:rPr>
          <w:sz w:val="24"/>
          <w:szCs w:val="24"/>
        </w:rPr>
        <w:t xml:space="preserve"> </w:t>
      </w:r>
      <w:r w:rsidRPr="0072479A">
        <w:rPr>
          <w:rFonts w:ascii="Times New Roman" w:hAnsi="Times New Roman" w:cs="Times New Roman"/>
          <w:b/>
          <w:bCs/>
          <w:sz w:val="24"/>
          <w:szCs w:val="24"/>
        </w:rPr>
        <w:t>Marker gene expression in each tumor like cells cluster.</w:t>
      </w:r>
    </w:p>
    <w:p w14:paraId="32D72B66" w14:textId="4BB71687" w:rsidR="00AB5C95" w:rsidRDefault="00AB5C95" w:rsidP="00AB5C9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9E8114F" w14:textId="66ECDC7D" w:rsidR="00AB5C95" w:rsidRDefault="00AB5C95" w:rsidP="00AB5C9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7D38A9E" w14:textId="797995C1" w:rsidR="00AB5C95" w:rsidRDefault="00AB5C95" w:rsidP="00AB5C9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872FC75" w14:textId="7E4BEB58" w:rsidR="00AB5C95" w:rsidRDefault="00AB5C95" w:rsidP="00AB5C9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1907CD0" w14:textId="2BE6734D" w:rsidR="00AB5C95" w:rsidRPr="0072479A" w:rsidRDefault="00E352A5" w:rsidP="00AB5C95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42E218D4" wp14:editId="47EF6113">
            <wp:extent cx="5274310" cy="746379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8B22A" w14:textId="77777777" w:rsidR="00AB5C95" w:rsidRDefault="00AB5C95" w:rsidP="00AB5C95">
      <w:pPr>
        <w:pStyle w:val="1"/>
        <w:spacing w:line="360" w:lineRule="auto"/>
        <w:rPr>
          <w:lang w:val="en-US"/>
        </w:rPr>
      </w:pPr>
      <w:r w:rsidRPr="0072479A">
        <w:rPr>
          <w:b/>
          <w:bCs/>
          <w:lang w:val="en-US"/>
        </w:rPr>
        <w:lastRenderedPageBreak/>
        <w:t xml:space="preserve">Fig.S4. </w:t>
      </w:r>
      <w:r w:rsidRPr="0072479A">
        <w:rPr>
          <w:rFonts w:hint="eastAsia"/>
          <w:b/>
          <w:bCs/>
          <w:lang w:val="en-US"/>
        </w:rPr>
        <w:t>Fun</w:t>
      </w:r>
      <w:r w:rsidRPr="0072479A">
        <w:rPr>
          <w:b/>
          <w:bCs/>
          <w:lang w:val="en-US"/>
        </w:rPr>
        <w:t>ctional enrichment of differential genes in FAM13A high and low expression groups. (</w:t>
      </w:r>
      <w:r w:rsidRPr="0072479A">
        <w:rPr>
          <w:rFonts w:hint="eastAsia"/>
          <w:b/>
          <w:bCs/>
          <w:lang w:val="en-US"/>
        </w:rPr>
        <w:t>A</w:t>
      </w:r>
      <w:r w:rsidRPr="0072479A">
        <w:rPr>
          <w:b/>
          <w:bCs/>
          <w:lang w:val="en-US"/>
        </w:rPr>
        <w:t>-</w:t>
      </w:r>
      <w:r w:rsidRPr="0072479A">
        <w:rPr>
          <w:rFonts w:hint="eastAsia"/>
          <w:b/>
          <w:bCs/>
          <w:lang w:val="en-US"/>
        </w:rPr>
        <w:t>B</w:t>
      </w:r>
      <w:r w:rsidRPr="0072479A">
        <w:rPr>
          <w:b/>
          <w:bCs/>
          <w:lang w:val="en-US"/>
        </w:rPr>
        <w:t>)</w:t>
      </w:r>
      <w:r w:rsidRPr="0072479A">
        <w:rPr>
          <w:lang w:val="en-US"/>
        </w:rPr>
        <w:t xml:space="preserve"> </w:t>
      </w:r>
      <w:r w:rsidRPr="0072479A">
        <w:rPr>
          <w:rFonts w:hint="eastAsia"/>
          <w:lang w:val="en-US"/>
        </w:rPr>
        <w:t>Gene</w:t>
      </w:r>
      <w:r w:rsidRPr="0072479A">
        <w:rPr>
          <w:lang w:val="en-US"/>
        </w:rPr>
        <w:t xml:space="preserve"> </w:t>
      </w:r>
      <w:r w:rsidRPr="0072479A">
        <w:rPr>
          <w:rFonts w:hint="eastAsia"/>
          <w:lang w:val="en-US"/>
        </w:rPr>
        <w:t>ontology</w:t>
      </w:r>
      <w:r w:rsidRPr="0072479A">
        <w:rPr>
          <w:lang w:val="en-US"/>
        </w:rPr>
        <w:t xml:space="preserve"> (GO) analysis of potential </w:t>
      </w:r>
      <w:r w:rsidRPr="0072479A">
        <w:rPr>
          <w:rFonts w:hint="eastAsia"/>
          <w:lang w:val="en-US"/>
        </w:rPr>
        <w:t>targets</w:t>
      </w:r>
      <w:r w:rsidRPr="0072479A">
        <w:rPr>
          <w:lang w:val="en-US"/>
        </w:rPr>
        <w:t xml:space="preserve"> </w:t>
      </w:r>
      <w:r w:rsidRPr="0072479A">
        <w:rPr>
          <w:rFonts w:hint="eastAsia"/>
          <w:lang w:val="en-US"/>
        </w:rPr>
        <w:t>of</w:t>
      </w:r>
      <w:r w:rsidRPr="0072479A">
        <w:rPr>
          <w:lang w:val="en-US"/>
        </w:rPr>
        <w:t xml:space="preserve"> </w:t>
      </w:r>
      <w:r w:rsidRPr="0072479A">
        <w:rPr>
          <w:rFonts w:hint="eastAsia"/>
          <w:lang w:val="en-US"/>
        </w:rPr>
        <w:t>mRNAs</w:t>
      </w:r>
      <w:r w:rsidRPr="0072479A">
        <w:rPr>
          <w:lang w:val="en-US"/>
        </w:rPr>
        <w:t xml:space="preserve">. The biological process (BP), cellular component (CC), and molecular function (MF) of potential targets were clustered based on </w:t>
      </w:r>
      <w:proofErr w:type="spellStart"/>
      <w:r w:rsidRPr="0072479A">
        <w:rPr>
          <w:lang w:val="en-US"/>
        </w:rPr>
        <w:t>ClusterProfiler</w:t>
      </w:r>
      <w:proofErr w:type="spellEnd"/>
      <w:r w:rsidRPr="0072479A">
        <w:rPr>
          <w:lang w:val="en-US"/>
        </w:rPr>
        <w:t xml:space="preserve"> package in R software (version: 3.18.0).</w:t>
      </w:r>
    </w:p>
    <w:p w14:paraId="3920D2BD" w14:textId="77777777" w:rsidR="00AB5C95" w:rsidRDefault="00AB5C95" w:rsidP="00AB5C95">
      <w:pPr>
        <w:pStyle w:val="1"/>
        <w:spacing w:line="360" w:lineRule="auto"/>
        <w:rPr>
          <w:b/>
          <w:bCs/>
          <w:lang w:val="en-US"/>
        </w:rPr>
      </w:pPr>
    </w:p>
    <w:p w14:paraId="581B8D4D" w14:textId="002F476F" w:rsidR="00AB5C95" w:rsidRDefault="00564BA7" w:rsidP="00AB5C95">
      <w:pPr>
        <w:pStyle w:val="1"/>
        <w:spacing w:line="360" w:lineRule="auto"/>
        <w:rPr>
          <w:b/>
          <w:bCs/>
          <w:lang w:val="en-US"/>
        </w:rPr>
      </w:pPr>
      <w:r>
        <w:rPr>
          <w:b/>
          <w:bCs/>
          <w:noProof/>
          <w:lang w:val="en-US"/>
        </w:rPr>
        <w:lastRenderedPageBreak/>
        <w:drawing>
          <wp:inline distT="0" distB="0" distL="0" distR="0" wp14:anchorId="30D41410" wp14:editId="5CD5F756">
            <wp:extent cx="5274310" cy="7428865"/>
            <wp:effectExtent l="0" t="0" r="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2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79B05" w14:textId="43720EE8" w:rsidR="00AB5C95" w:rsidRDefault="00AB5C95" w:rsidP="00AB5C95">
      <w:pPr>
        <w:pStyle w:val="1"/>
        <w:spacing w:line="360" w:lineRule="auto"/>
        <w:rPr>
          <w:lang w:val="en-US"/>
        </w:rPr>
      </w:pPr>
      <w:r w:rsidRPr="0072479A">
        <w:rPr>
          <w:b/>
          <w:bCs/>
          <w:lang w:val="en-US"/>
        </w:rPr>
        <w:t>Fig.S5. CIBERSORT estimated TIICs component values in the NB microenvironment.</w:t>
      </w:r>
      <w:r w:rsidRPr="0072479A">
        <w:rPr>
          <w:lang w:val="en-US"/>
        </w:rPr>
        <w:t xml:space="preserve"> </w:t>
      </w:r>
      <w:r w:rsidRPr="0072479A">
        <w:rPr>
          <w:b/>
          <w:bCs/>
          <w:lang w:val="en-US"/>
        </w:rPr>
        <w:t>(A)</w:t>
      </w:r>
      <w:r w:rsidRPr="0072479A">
        <w:rPr>
          <w:lang w:val="en-US"/>
        </w:rPr>
        <w:t xml:space="preserve"> Stacked bar graph representing the composition of TIIC in NB samples. </w:t>
      </w:r>
      <w:r w:rsidRPr="0072479A">
        <w:rPr>
          <w:b/>
          <w:bCs/>
          <w:lang w:val="en-US"/>
        </w:rPr>
        <w:t>(B)</w:t>
      </w:r>
      <w:r w:rsidRPr="0072479A">
        <w:rPr>
          <w:lang w:val="en-US"/>
        </w:rPr>
        <w:t xml:space="preserve"> Correlation matrix for different TIIC ratios in NB samples.</w:t>
      </w:r>
    </w:p>
    <w:p w14:paraId="09B2BB2B" w14:textId="28C30EC7" w:rsidR="00AB5C95" w:rsidRDefault="00AB5C95" w:rsidP="00AB5C95">
      <w:pPr>
        <w:pStyle w:val="1"/>
        <w:spacing w:line="360" w:lineRule="auto"/>
        <w:rPr>
          <w:lang w:val="en-US"/>
        </w:rPr>
      </w:pPr>
    </w:p>
    <w:p w14:paraId="5E1ABDEF" w14:textId="77777777" w:rsidR="00AB5C95" w:rsidRDefault="00AB5C95" w:rsidP="00AB5C95">
      <w:pPr>
        <w:pStyle w:val="1"/>
        <w:spacing w:line="360" w:lineRule="auto"/>
        <w:rPr>
          <w:lang w:val="en-US"/>
        </w:rPr>
      </w:pPr>
    </w:p>
    <w:p w14:paraId="4B6319AD" w14:textId="6F85E438" w:rsidR="00AB5C95" w:rsidRDefault="00564BA7" w:rsidP="00AB5C95">
      <w:pPr>
        <w:pStyle w:val="1"/>
        <w:spacing w:line="360" w:lineRule="auto"/>
        <w:rPr>
          <w:b/>
          <w:bCs/>
          <w:lang w:val="en-US"/>
        </w:rPr>
      </w:pPr>
      <w:r>
        <w:rPr>
          <w:b/>
          <w:bCs/>
          <w:noProof/>
          <w:lang w:val="en-US"/>
        </w:rPr>
        <w:drawing>
          <wp:inline distT="0" distB="0" distL="0" distR="0" wp14:anchorId="7E9131A6" wp14:editId="69E92123">
            <wp:extent cx="5274310" cy="6662420"/>
            <wp:effectExtent l="0" t="0" r="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6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2FDA2" w14:textId="2DC721A9" w:rsidR="00AB5C95" w:rsidRDefault="00AB5C95" w:rsidP="00AB5C95">
      <w:pPr>
        <w:pStyle w:val="1"/>
        <w:spacing w:line="360" w:lineRule="auto"/>
        <w:rPr>
          <w:lang w:val="en-US"/>
        </w:rPr>
      </w:pPr>
      <w:r w:rsidRPr="0072479A">
        <w:rPr>
          <w:b/>
          <w:bCs/>
          <w:lang w:val="en-US"/>
        </w:rPr>
        <w:t xml:space="preserve">Fig.S6. </w:t>
      </w:r>
      <w:r w:rsidRPr="0072479A">
        <w:rPr>
          <w:rFonts w:hint="eastAsia"/>
          <w:b/>
          <w:bCs/>
          <w:lang w:val="en-US"/>
        </w:rPr>
        <w:t>The</w:t>
      </w:r>
      <w:r w:rsidRPr="0072479A">
        <w:rPr>
          <w:b/>
          <w:bCs/>
          <w:lang w:val="en-US"/>
        </w:rPr>
        <w:t xml:space="preserve"> correlation between marker genes of immune cell infiltration in FAM13A low and high expression group. (A) </w:t>
      </w:r>
      <w:r w:rsidRPr="0072479A">
        <w:rPr>
          <w:lang w:val="en-US"/>
        </w:rPr>
        <w:t>The correlation between immune cell identity markers and FAM13A based on TARGET-NB database.</w:t>
      </w:r>
      <w:r w:rsidRPr="0072479A">
        <w:rPr>
          <w:b/>
          <w:bCs/>
          <w:lang w:val="en-US"/>
        </w:rPr>
        <w:t xml:space="preserve"> (B) </w:t>
      </w:r>
      <w:r w:rsidRPr="0072479A">
        <w:rPr>
          <w:lang w:val="en-US"/>
        </w:rPr>
        <w:t xml:space="preserve">Correlation </w:t>
      </w:r>
      <w:r w:rsidRPr="0072479A">
        <w:rPr>
          <w:lang w:val="en-US"/>
        </w:rPr>
        <w:lastRenderedPageBreak/>
        <w:t>matrix for MYCN, FAM13A and MHC-II based on TARGET-NB database.</w:t>
      </w:r>
      <w:r w:rsidRPr="0072479A">
        <w:rPr>
          <w:rFonts w:hint="eastAsia"/>
          <w:b/>
          <w:bCs/>
          <w:lang w:val="en-US"/>
        </w:rPr>
        <w:t xml:space="preserve"> </w:t>
      </w:r>
      <w:r w:rsidRPr="0072479A">
        <w:rPr>
          <w:b/>
          <w:bCs/>
          <w:lang w:val="en-US"/>
        </w:rPr>
        <w:t xml:space="preserve">(C-D) </w:t>
      </w:r>
      <w:r w:rsidRPr="0072479A">
        <w:rPr>
          <w:lang w:val="en-US"/>
        </w:rPr>
        <w:t>The correlation between HLA-DQ and FAM13A based on TARGET and GEO database.</w:t>
      </w:r>
      <w:r w:rsidRPr="0072479A">
        <w:rPr>
          <w:b/>
          <w:bCs/>
          <w:lang w:val="en-US"/>
        </w:rPr>
        <w:t xml:space="preserve"> </w:t>
      </w:r>
      <w:r w:rsidRPr="0072479A">
        <w:rPr>
          <w:b/>
          <w:bCs/>
          <w:szCs w:val="21"/>
          <w:lang w:val="en-US"/>
        </w:rPr>
        <w:t>(</w:t>
      </w:r>
      <w:r w:rsidRPr="0072479A">
        <w:rPr>
          <w:rFonts w:hint="eastAsia"/>
          <w:b/>
          <w:bCs/>
          <w:szCs w:val="21"/>
          <w:lang w:val="en-US"/>
        </w:rPr>
        <w:t>E</w:t>
      </w:r>
      <w:r w:rsidRPr="0072479A">
        <w:rPr>
          <w:b/>
          <w:bCs/>
          <w:szCs w:val="21"/>
          <w:lang w:val="en-US"/>
        </w:rPr>
        <w:t>)</w:t>
      </w:r>
      <w:r w:rsidRPr="0072479A">
        <w:rPr>
          <w:rFonts w:hint="eastAsia"/>
          <w:b/>
          <w:bCs/>
          <w:szCs w:val="21"/>
          <w:lang w:val="en-US"/>
        </w:rPr>
        <w:t xml:space="preserve"> </w:t>
      </w:r>
      <w:r w:rsidRPr="0072479A">
        <w:rPr>
          <w:szCs w:val="21"/>
          <w:lang w:val="en-US"/>
        </w:rPr>
        <w:t>Table and score distribution of immune response samples in FAM13A low and high expression groups in prediction findings.</w:t>
      </w:r>
      <w:r w:rsidRPr="0072479A">
        <w:rPr>
          <w:b/>
          <w:bCs/>
          <w:lang w:val="en-US"/>
        </w:rPr>
        <w:t xml:space="preserve"> (</w:t>
      </w:r>
      <w:r w:rsidRPr="0072479A">
        <w:rPr>
          <w:rFonts w:hint="eastAsia"/>
          <w:b/>
          <w:bCs/>
          <w:lang w:val="en-US"/>
        </w:rPr>
        <w:t>F</w:t>
      </w:r>
      <w:r w:rsidRPr="0072479A">
        <w:rPr>
          <w:b/>
          <w:bCs/>
          <w:lang w:val="en-US"/>
        </w:rPr>
        <w:t>)</w:t>
      </w:r>
      <w:r w:rsidRPr="0072479A">
        <w:rPr>
          <w:lang w:val="en-US"/>
        </w:rPr>
        <w:t xml:space="preserve"> Immune checkpoint markers expression in Low and High FAM13A expression group based on TARGET-NB database.</w:t>
      </w:r>
    </w:p>
    <w:p w14:paraId="214E74CA" w14:textId="77777777" w:rsidR="00B14A58" w:rsidRDefault="00B14A58" w:rsidP="00AB5C95">
      <w:pPr>
        <w:pStyle w:val="1"/>
        <w:spacing w:line="360" w:lineRule="auto"/>
        <w:rPr>
          <w:b/>
          <w:bCs/>
          <w:lang w:val="en-US"/>
        </w:rPr>
      </w:pPr>
    </w:p>
    <w:p w14:paraId="7B779754" w14:textId="7316CEAC" w:rsidR="00B14A58" w:rsidRDefault="00B14A58" w:rsidP="00AB5C95">
      <w:pPr>
        <w:pStyle w:val="1"/>
        <w:spacing w:line="360" w:lineRule="auto"/>
        <w:rPr>
          <w:b/>
          <w:bCs/>
          <w:lang w:val="en-US"/>
        </w:rPr>
      </w:pPr>
      <w:r>
        <w:rPr>
          <w:b/>
          <w:bCs/>
          <w:noProof/>
          <w:lang w:val="en-US"/>
        </w:rPr>
        <w:lastRenderedPageBreak/>
        <w:drawing>
          <wp:inline distT="0" distB="0" distL="0" distR="0" wp14:anchorId="4D038E13" wp14:editId="0B97B380">
            <wp:extent cx="5274310" cy="746379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92292" w14:textId="59E32E64" w:rsidR="00AB5C95" w:rsidRDefault="00AB5C95" w:rsidP="00AB5C95">
      <w:pPr>
        <w:pStyle w:val="1"/>
        <w:spacing w:line="360" w:lineRule="auto"/>
        <w:rPr>
          <w:lang w:val="en-US"/>
        </w:rPr>
      </w:pPr>
      <w:r w:rsidRPr="0072479A">
        <w:rPr>
          <w:b/>
          <w:bCs/>
          <w:lang w:val="en-US"/>
        </w:rPr>
        <w:t xml:space="preserve">Fig.S7. </w:t>
      </w:r>
      <w:r w:rsidRPr="0072479A">
        <w:rPr>
          <w:rFonts w:hint="eastAsia"/>
          <w:b/>
          <w:bCs/>
          <w:lang w:val="en-US"/>
        </w:rPr>
        <w:t>Predict</w:t>
      </w:r>
      <w:r w:rsidRPr="0072479A">
        <w:rPr>
          <w:b/>
          <w:bCs/>
          <w:lang w:val="en-US"/>
        </w:rPr>
        <w:t xml:space="preserve"> the binding site sequence of MYCN in the FAM13A promoter region. (A) </w:t>
      </w:r>
      <w:r w:rsidRPr="0072479A">
        <w:rPr>
          <w:lang w:val="en-US"/>
        </w:rPr>
        <w:t xml:space="preserve">Schematic of the FAM13A promoter in MYCN-amplified neuroblastoma cells detailing MYCN binding motifs. </w:t>
      </w:r>
      <w:r w:rsidRPr="0072479A">
        <w:rPr>
          <w:b/>
          <w:bCs/>
          <w:lang w:val="en-US"/>
        </w:rPr>
        <w:t xml:space="preserve">(B) </w:t>
      </w:r>
      <w:r w:rsidRPr="0072479A">
        <w:rPr>
          <w:lang w:val="en-US"/>
        </w:rPr>
        <w:t xml:space="preserve">The binding site of the transcription factor MYCN and FAM13A predicted by the JASPAR website. </w:t>
      </w:r>
      <w:r w:rsidRPr="0072479A">
        <w:rPr>
          <w:b/>
          <w:bCs/>
          <w:lang w:val="en-US"/>
        </w:rPr>
        <w:t xml:space="preserve">(C) </w:t>
      </w:r>
      <w:r w:rsidRPr="0072479A">
        <w:rPr>
          <w:lang w:val="en-US"/>
        </w:rPr>
        <w:t xml:space="preserve">Schematic of the </w:t>
      </w:r>
      <w:r w:rsidRPr="0072479A">
        <w:rPr>
          <w:lang w:val="en-US"/>
        </w:rPr>
        <w:lastRenderedPageBreak/>
        <w:t>FAM13A (Promoter) and negative control (Control) target sequences used for CUT&amp;RUN qPCR, detailing the MYCN peak summit and its distance from the transcription start site (TSS). (D) CUT&amp;RUN qPCR assays (n=3 per group) for the negative control region (Control, -2000bp downstream of TSS) or the FAM13A promoter containing the MYCN peak summit (Promoter, near the TSS). Differences in expression levels were compared to the negative control (Control).</w:t>
      </w:r>
    </w:p>
    <w:p w14:paraId="5A804D2F" w14:textId="77777777" w:rsidR="00B14A58" w:rsidRDefault="00B14A58" w:rsidP="00AB5C9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3A59FD7" w14:textId="2A55385B" w:rsidR="00B14A58" w:rsidRDefault="00E352A5" w:rsidP="00AB5C95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225FC8B0" wp14:editId="085B030C">
            <wp:extent cx="5274310" cy="746379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40FE7" w14:textId="53480571" w:rsidR="006056BF" w:rsidRDefault="00AB5C95" w:rsidP="00B14A58">
      <w:pPr>
        <w:spacing w:line="360" w:lineRule="auto"/>
      </w:pPr>
      <w:r w:rsidRPr="0072479A">
        <w:rPr>
          <w:rFonts w:ascii="Times New Roman" w:hAnsi="Times New Roman" w:cs="Times New Roman"/>
          <w:b/>
          <w:bCs/>
          <w:sz w:val="24"/>
          <w:szCs w:val="24"/>
        </w:rPr>
        <w:t>Fig.S8. FAM13A forms a protein complex with N</w:t>
      </w:r>
      <w:r w:rsidR="00E352A5">
        <w:rPr>
          <w:rFonts w:ascii="Times New Roman" w:hAnsi="Times New Roman" w:cs="Times New Roman"/>
          <w:b/>
          <w:bCs/>
          <w:sz w:val="24"/>
          <w:szCs w:val="24"/>
        </w:rPr>
        <w:t>-Myc</w:t>
      </w:r>
      <w:r w:rsidRPr="0072479A">
        <w:rPr>
          <w:rFonts w:ascii="Times New Roman" w:hAnsi="Times New Roman" w:cs="Times New Roman"/>
          <w:b/>
          <w:bCs/>
          <w:sz w:val="24"/>
          <w:szCs w:val="24"/>
        </w:rPr>
        <w:t xml:space="preserve">. (A) </w:t>
      </w:r>
      <w:r w:rsidRPr="0072479A">
        <w:rPr>
          <w:rFonts w:ascii="Times New Roman" w:hAnsi="Times New Roman" w:cs="Times New Roman"/>
          <w:sz w:val="24"/>
          <w:szCs w:val="24"/>
        </w:rPr>
        <w:t>Representative western blot analysis for the overexpressed Flag-MYCN and HA-FAM13A from HEK293T cells after immunoprecipitation of HA-FAM13A. 5% of the cell lysate was loaded for input. “-” indicates HEK293T cells that were transfected with empty vectors.</w:t>
      </w:r>
    </w:p>
    <w:sectPr w:rsidR="006056B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(西文正文)">
    <w:altName w:val="宋体"/>
    <w:panose1 w:val="020B0604020202020204"/>
    <w:charset w:val="86"/>
    <w:family w:val="roman"/>
    <w:pitch w:val="default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12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5C95"/>
    <w:rsid w:val="000137E5"/>
    <w:rsid w:val="000300A2"/>
    <w:rsid w:val="0004641C"/>
    <w:rsid w:val="0007090E"/>
    <w:rsid w:val="000B5DB6"/>
    <w:rsid w:val="000C4403"/>
    <w:rsid w:val="000D14DD"/>
    <w:rsid w:val="000D226D"/>
    <w:rsid w:val="00106673"/>
    <w:rsid w:val="001211BF"/>
    <w:rsid w:val="00123127"/>
    <w:rsid w:val="00165A4C"/>
    <w:rsid w:val="00171C3C"/>
    <w:rsid w:val="00211773"/>
    <w:rsid w:val="0022624E"/>
    <w:rsid w:val="002816AA"/>
    <w:rsid w:val="002D42A6"/>
    <w:rsid w:val="002D6DEB"/>
    <w:rsid w:val="003D1F2D"/>
    <w:rsid w:val="003F3AF4"/>
    <w:rsid w:val="004C54CF"/>
    <w:rsid w:val="004E593D"/>
    <w:rsid w:val="00507E5B"/>
    <w:rsid w:val="00507EC2"/>
    <w:rsid w:val="005245B4"/>
    <w:rsid w:val="00564BA7"/>
    <w:rsid w:val="005A50C9"/>
    <w:rsid w:val="006056BF"/>
    <w:rsid w:val="006102B5"/>
    <w:rsid w:val="006825FA"/>
    <w:rsid w:val="00684B06"/>
    <w:rsid w:val="006B4C5B"/>
    <w:rsid w:val="006E645A"/>
    <w:rsid w:val="007A2CB0"/>
    <w:rsid w:val="007B0FC6"/>
    <w:rsid w:val="007E3EE8"/>
    <w:rsid w:val="00876D59"/>
    <w:rsid w:val="00881E65"/>
    <w:rsid w:val="00887F4B"/>
    <w:rsid w:val="008F1BE3"/>
    <w:rsid w:val="00904D02"/>
    <w:rsid w:val="00945778"/>
    <w:rsid w:val="00983E28"/>
    <w:rsid w:val="009B0153"/>
    <w:rsid w:val="00A1512B"/>
    <w:rsid w:val="00A754A5"/>
    <w:rsid w:val="00AB5C95"/>
    <w:rsid w:val="00AB6BF7"/>
    <w:rsid w:val="00B14A58"/>
    <w:rsid w:val="00B74A2A"/>
    <w:rsid w:val="00BC4420"/>
    <w:rsid w:val="00C10449"/>
    <w:rsid w:val="00C767E9"/>
    <w:rsid w:val="00C9269C"/>
    <w:rsid w:val="00CC2E98"/>
    <w:rsid w:val="00D015D3"/>
    <w:rsid w:val="00D32C36"/>
    <w:rsid w:val="00D46EB5"/>
    <w:rsid w:val="00D61C90"/>
    <w:rsid w:val="00D738E9"/>
    <w:rsid w:val="00D96323"/>
    <w:rsid w:val="00DA7D46"/>
    <w:rsid w:val="00DE3E15"/>
    <w:rsid w:val="00E11B05"/>
    <w:rsid w:val="00E352A5"/>
    <w:rsid w:val="00E662CE"/>
    <w:rsid w:val="00EB0B01"/>
    <w:rsid w:val="00EB13D4"/>
    <w:rsid w:val="00EC286D"/>
    <w:rsid w:val="00F746BC"/>
    <w:rsid w:val="00F8108A"/>
    <w:rsid w:val="00FB4D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8CB647B"/>
  <w15:chartTrackingRefBased/>
  <w15:docId w15:val="{0CDDB0FE-C979-A242-A425-179319E4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B5C95"/>
    <w:pPr>
      <w:widowControl w:val="0"/>
      <w:jc w:val="both"/>
    </w:pPr>
    <w:rPr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1">
    <w:name w:val="toc 1"/>
    <w:basedOn w:val="a"/>
    <w:next w:val="a"/>
    <w:autoRedefine/>
    <w:uiPriority w:val="39"/>
    <w:rsid w:val="003D1F2D"/>
    <w:pPr>
      <w:widowControl/>
      <w:spacing w:before="120" w:after="120"/>
      <w:jc w:val="left"/>
    </w:pPr>
    <w:rPr>
      <w:rFonts w:asciiTheme="majorHAnsi" w:eastAsia="Times New Roman" w:hAnsiTheme="majorHAnsi" w:cs="Calibri (西文正文)"/>
      <w:b/>
      <w:bCs/>
      <w:caps/>
      <w:kern w:val="0"/>
      <w:sz w:val="24"/>
      <w:szCs w:val="20"/>
    </w:rPr>
  </w:style>
  <w:style w:type="paragraph" w:styleId="TOC3">
    <w:name w:val="toc 3"/>
    <w:basedOn w:val="a"/>
    <w:next w:val="a"/>
    <w:autoRedefine/>
    <w:uiPriority w:val="39"/>
    <w:rsid w:val="003D1F2D"/>
    <w:pPr>
      <w:widowControl/>
      <w:ind w:left="400"/>
      <w:jc w:val="left"/>
    </w:pPr>
    <w:rPr>
      <w:rFonts w:asciiTheme="majorHAnsi" w:eastAsia="Times New Roman" w:hAnsiTheme="majorHAnsi" w:cs="Calibri (西文正文)"/>
      <w:iCs/>
      <w:kern w:val="0"/>
      <w:sz w:val="22"/>
      <w:szCs w:val="20"/>
    </w:rPr>
  </w:style>
  <w:style w:type="paragraph" w:styleId="TOC2">
    <w:name w:val="toc 2"/>
    <w:basedOn w:val="a"/>
    <w:next w:val="a"/>
    <w:autoRedefine/>
    <w:uiPriority w:val="39"/>
    <w:rsid w:val="003D1F2D"/>
    <w:pPr>
      <w:widowControl/>
      <w:ind w:left="200"/>
      <w:jc w:val="left"/>
    </w:pPr>
    <w:rPr>
      <w:rFonts w:asciiTheme="majorHAnsi" w:eastAsia="Times New Roman" w:hAnsiTheme="majorHAnsi" w:cs="Calibri (西文正文)"/>
      <w:kern w:val="0"/>
      <w:sz w:val="22"/>
      <w:szCs w:val="20"/>
    </w:rPr>
  </w:style>
  <w:style w:type="paragraph" w:styleId="TOC4">
    <w:name w:val="toc 4"/>
    <w:basedOn w:val="a"/>
    <w:next w:val="a"/>
    <w:autoRedefine/>
    <w:uiPriority w:val="39"/>
    <w:unhideWhenUsed/>
    <w:rsid w:val="003D1F2D"/>
    <w:pPr>
      <w:widowControl/>
      <w:ind w:left="600"/>
      <w:jc w:val="left"/>
    </w:pPr>
    <w:rPr>
      <w:rFonts w:ascii="Times New Roman" w:eastAsia="宋体" w:hAnsi="Times New Roman" w:cs="Calibri (西文正文)"/>
      <w:kern w:val="0"/>
      <w:sz w:val="22"/>
      <w:szCs w:val="18"/>
    </w:rPr>
  </w:style>
  <w:style w:type="paragraph" w:customStyle="1" w:styleId="1">
    <w:name w:val="书目1"/>
    <w:basedOn w:val="a"/>
    <w:link w:val="Bibliography"/>
    <w:rsid w:val="00AB5C95"/>
    <w:pPr>
      <w:spacing w:after="240"/>
    </w:pPr>
    <w:rPr>
      <w:rFonts w:ascii="Times New Roman" w:eastAsia="宋体" w:hAnsi="Times New Roman" w:cs="Times New Roman"/>
      <w:kern w:val="0"/>
      <w:sz w:val="24"/>
      <w:szCs w:val="24"/>
      <w:lang w:val="de-DE"/>
    </w:rPr>
  </w:style>
  <w:style w:type="character" w:customStyle="1" w:styleId="Bibliography">
    <w:name w:val="Bibliography 字符"/>
    <w:basedOn w:val="a0"/>
    <w:link w:val="1"/>
    <w:rsid w:val="00AB5C95"/>
    <w:rPr>
      <w:rFonts w:ascii="Times New Roman" w:eastAsia="宋体" w:hAnsi="Times New Roman" w:cs="Times New Roman"/>
      <w:kern w:val="0"/>
      <w:sz w:val="24"/>
      <w:lang w:val="de-DE"/>
    </w:rPr>
  </w:style>
  <w:style w:type="character" w:styleId="a3">
    <w:name w:val="Hyperlink"/>
    <w:basedOn w:val="a0"/>
    <w:uiPriority w:val="99"/>
    <w:unhideWhenUsed/>
    <w:rsid w:val="00AB5C95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portals.broadinstitute.org/ccle" TargetMode="External"/><Relationship Id="rId11" Type="http://schemas.openxmlformats.org/officeDocument/2006/relationships/image" Target="media/image7.emf"/><Relationship Id="rId5" Type="http://schemas.openxmlformats.org/officeDocument/2006/relationships/image" Target="media/image2.png"/><Relationship Id="rId10" Type="http://schemas.openxmlformats.org/officeDocument/2006/relationships/image" Target="media/image6.pn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11</Pages>
  <Words>401</Words>
  <Characters>2290</Characters>
  <Application>Microsoft Office Word</Application>
  <DocSecurity>0</DocSecurity>
  <Lines>19</Lines>
  <Paragraphs>5</Paragraphs>
  <ScaleCrop>false</ScaleCrop>
  <Company/>
  <LinksUpToDate>false</LinksUpToDate>
  <CharactersWithSpaces>2686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nrh</dc:creator>
  <cp:keywords/>
  <dc:description/>
  <cp:lastModifiedBy>nrh</cp:lastModifiedBy>
  <cp:revision>4</cp:revision>
  <dcterms:created xsi:type="dcterms:W3CDTF">2024-11-28T06:41:00Z</dcterms:created>
  <dcterms:modified xsi:type="dcterms:W3CDTF">2025-01-23T07:47:00Z</dcterms:modified>
</cp:coreProperties>
</file>