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Figure S1: </w:t>
      </w:r>
      <w:r>
        <w:rPr>
          <w:rFonts w:ascii="Arial" w:hAnsi="Arial" w:cs="Arial"/>
          <w:b/>
          <w:sz w:val="22"/>
          <w:szCs w:val="22"/>
          <w:lang w:val="en-US"/>
        </w:rPr>
        <w:t>ACSL4</w:t>
      </w:r>
      <w:r>
        <w:rPr>
          <w:rFonts w:ascii="Arial" w:hAnsi="Arial" w:cs="Arial"/>
          <w:b/>
          <w:sz w:val="22"/>
          <w:szCs w:val="22"/>
          <w:vertAlign w:val="superscript"/>
          <w:lang w:val="en-US"/>
        </w:rPr>
        <w:t>LPC-KO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induces distinct changes in hepatic lipid profile</w:t>
      </w:r>
    </w:p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(a) </w:t>
      </w:r>
      <w:r>
        <w:rPr>
          <w:rFonts w:ascii="Arial" w:hAnsi="Arial" w:cs="Arial"/>
          <w:sz w:val="22"/>
          <w:szCs w:val="22"/>
          <w:lang w:val="en-US"/>
        </w:rPr>
        <w:t>ACSL4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LPC-KO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lead to an accumulation of 16:0 LPC both on SD and WD. No difference was observed in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LPCh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18:0,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LPCh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18:1 or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LPCh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18:2. (b) </w:t>
      </w:r>
      <w:r>
        <w:rPr>
          <w:rFonts w:ascii="Arial" w:hAnsi="Arial" w:cs="Arial"/>
          <w:sz w:val="22"/>
          <w:szCs w:val="22"/>
          <w:lang w:val="en-US"/>
        </w:rPr>
        <w:t>ACSL4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 xml:space="preserve">LPC-KO </w:t>
      </w:r>
      <w:r>
        <w:rPr>
          <w:rFonts w:ascii="Arial" w:hAnsi="Arial" w:cs="Arial"/>
          <w:sz w:val="22"/>
          <w:szCs w:val="22"/>
          <w:lang w:val="en-US"/>
        </w:rPr>
        <w:t xml:space="preserve">mice show an accumulation of LPE 16:0, LPE 18:0 and LPE 20:4 both on SD and WD. </w:t>
      </w:r>
    </w:p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sz w:val="22"/>
          <w:szCs w:val="22"/>
          <w:lang w:val="en-US"/>
        </w:rPr>
      </w:pPr>
      <w:r w:rsidRPr="00BB7C41">
        <w:rPr>
          <w:rFonts w:ascii="Arial" w:hAnsi="Arial" w:cs="Arial"/>
          <w:sz w:val="22"/>
          <w:szCs w:val="22"/>
          <w:lang w:val="en-US"/>
        </w:rPr>
        <w:drawing>
          <wp:inline distT="0" distB="0" distL="0" distR="0" wp14:anchorId="1038D5FC" wp14:editId="7536D8EA">
            <wp:extent cx="4124232" cy="5800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7441" cy="580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sz w:val="22"/>
          <w:szCs w:val="22"/>
          <w:lang w:val="en-US"/>
        </w:rPr>
      </w:pPr>
    </w:p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sz w:val="22"/>
          <w:szCs w:val="22"/>
          <w:lang w:val="en-US"/>
        </w:rPr>
      </w:pPr>
    </w:p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sz w:val="22"/>
          <w:szCs w:val="22"/>
          <w:lang w:val="en-US"/>
        </w:rPr>
      </w:pPr>
    </w:p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sz w:val="22"/>
          <w:szCs w:val="22"/>
          <w:lang w:val="en-US"/>
        </w:rPr>
      </w:pPr>
    </w:p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sz w:val="22"/>
          <w:szCs w:val="22"/>
          <w:lang w:val="en-US"/>
        </w:rPr>
      </w:pPr>
    </w:p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Figure S2: Extended immunogenic profiling did not reveal any changes in immune cell populations in </w:t>
      </w:r>
      <w:r>
        <w:rPr>
          <w:rFonts w:ascii="Arial" w:hAnsi="Arial" w:cs="Arial"/>
          <w:b/>
          <w:sz w:val="22"/>
          <w:szCs w:val="22"/>
          <w:lang w:val="en-US"/>
        </w:rPr>
        <w:t>ACSL4</w:t>
      </w:r>
      <w:r>
        <w:rPr>
          <w:rFonts w:ascii="Arial" w:hAnsi="Arial" w:cs="Arial"/>
          <w:b/>
          <w:sz w:val="22"/>
          <w:szCs w:val="22"/>
          <w:vertAlign w:val="superscript"/>
          <w:lang w:val="en-US"/>
        </w:rPr>
        <w:t xml:space="preserve">LPC-KO </w:t>
      </w:r>
      <w:r>
        <w:rPr>
          <w:rFonts w:ascii="Arial" w:hAnsi="Arial" w:cs="Arial"/>
          <w:b/>
          <w:sz w:val="22"/>
          <w:szCs w:val="22"/>
          <w:lang w:val="en-US"/>
        </w:rPr>
        <w:t>mice</w:t>
      </w:r>
    </w:p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GB"/>
        </w:rPr>
        <w:t xml:space="preserve">(a-b) </w:t>
      </w:r>
      <w:r>
        <w:rPr>
          <w:rFonts w:ascii="Arial" w:hAnsi="Arial" w:cs="Arial"/>
          <w:sz w:val="22"/>
          <w:szCs w:val="22"/>
          <w:lang w:val="en-US"/>
        </w:rPr>
        <w:t>ACSL4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LPC-KO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>mice and WT mice did not show differences in the presence of CD8+or CD4+ T-cells</w:t>
      </w:r>
    </w:p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BB7C41">
        <w:rPr>
          <w:rFonts w:ascii="Arial" w:hAnsi="Arial" w:cs="Arial"/>
          <w:bCs/>
          <w:sz w:val="22"/>
          <w:szCs w:val="22"/>
          <w:lang w:val="en-US"/>
        </w:rPr>
        <w:drawing>
          <wp:inline distT="0" distB="0" distL="0" distR="0" wp14:anchorId="57F77660" wp14:editId="187B2755">
            <wp:extent cx="4000500" cy="56063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3970" cy="561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Figure S3: Primer sequences</w:t>
      </w:r>
    </w:p>
    <w:p w:rsidR="00BB7C41" w:rsidRDefault="00BB7C41" w:rsidP="00BB7C41">
      <w:pPr>
        <w:spacing w:line="360" w:lineRule="auto"/>
        <w:ind w:firstLine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US"/>
        </w:rPr>
        <w:t>The primer sequences used for qPCR in whole liver tissue are presented as sense and antisense primers.</w:t>
      </w:r>
    </w:p>
    <w:p w:rsidR="00BB7C41" w:rsidRDefault="00BB7C41" w:rsidP="00BB7C41">
      <w:pPr>
        <w:ind w:firstLine="0"/>
      </w:pPr>
      <w:r w:rsidRPr="00BB7C41">
        <w:drawing>
          <wp:inline distT="0" distB="0" distL="0" distR="0" wp14:anchorId="589930C4" wp14:editId="375553E0">
            <wp:extent cx="3886200" cy="55069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9610" cy="551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7C41" w:rsidRDefault="00BB7C41" w:rsidP="00BB7C41">
      <w:pPr>
        <w:ind w:firstLine="0"/>
      </w:pPr>
    </w:p>
    <w:p w:rsidR="00BB7C41" w:rsidRDefault="00BB7C41" w:rsidP="00BB7C41">
      <w:pPr>
        <w:ind w:firstLine="0"/>
      </w:pPr>
    </w:p>
    <w:p w:rsidR="00BB7C41" w:rsidRDefault="00BB7C41" w:rsidP="00BB7C41">
      <w:pPr>
        <w:ind w:firstLine="0"/>
      </w:pPr>
    </w:p>
    <w:p w:rsidR="00BB7C41" w:rsidRDefault="00BB7C41" w:rsidP="00BB7C41">
      <w:pPr>
        <w:ind w:firstLine="0"/>
      </w:pPr>
    </w:p>
    <w:p w:rsidR="00BB7C41" w:rsidRDefault="00BB7C41" w:rsidP="00BB7C41">
      <w:pPr>
        <w:ind w:firstLine="0"/>
      </w:pPr>
    </w:p>
    <w:p w:rsidR="00BB7C41" w:rsidRDefault="00BB7C41" w:rsidP="00BB7C41">
      <w:pPr>
        <w:ind w:firstLine="0"/>
      </w:pPr>
    </w:p>
    <w:sectPr w:rsidR="00BB7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41"/>
    <w:rsid w:val="005867E4"/>
    <w:rsid w:val="0071384C"/>
    <w:rsid w:val="00B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F7A52"/>
  <w15:chartTrackingRefBased/>
  <w15:docId w15:val="{42D0D88D-130F-454A-BFEA-109E26C3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C41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Mall</dc:creator>
  <cp:keywords/>
  <dc:description/>
  <cp:lastModifiedBy>Abhinav Mall</cp:lastModifiedBy>
  <cp:revision>1</cp:revision>
  <dcterms:created xsi:type="dcterms:W3CDTF">2025-03-07T05:01:00Z</dcterms:created>
  <dcterms:modified xsi:type="dcterms:W3CDTF">2025-03-07T05:04:00Z</dcterms:modified>
</cp:coreProperties>
</file>