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85D7D" w14:textId="77777777" w:rsidR="00516C73" w:rsidRPr="003345D3" w:rsidRDefault="00516C73" w:rsidP="00516C73">
      <w:pPr>
        <w:pStyle w:val="Heading3"/>
        <w:spacing w:line="480" w:lineRule="auto"/>
        <w:rPr>
          <w:rFonts w:asciiTheme="minorHAnsi" w:eastAsia="Times New Roman" w:hAnsiTheme="minorHAnsi" w:cstheme="minorHAnsi"/>
          <w:b/>
          <w:bCs/>
          <w:color w:val="auto"/>
          <w:lang w:val="en-GB"/>
        </w:rPr>
      </w:pPr>
      <w:r w:rsidRPr="003345D3">
        <w:rPr>
          <w:rFonts w:asciiTheme="minorHAnsi" w:eastAsia="Times New Roman" w:hAnsiTheme="minorHAnsi" w:cstheme="minorHAnsi"/>
          <w:b/>
          <w:bCs/>
          <w:color w:val="auto"/>
          <w:lang w:val="en-GB"/>
        </w:rPr>
        <w:t>Text S2. Explanation of the z-test for effect Modification</w:t>
      </w:r>
    </w:p>
    <w:p w14:paraId="10173DBC" w14:textId="77777777" w:rsidR="00516C73" w:rsidRPr="003345D3" w:rsidRDefault="00516C73" w:rsidP="00516C73">
      <w:pPr>
        <w:spacing w:line="480" w:lineRule="auto"/>
        <w:jc w:val="both"/>
        <w:rPr>
          <w:rFonts w:cstheme="minorHAnsi"/>
          <w:sz w:val="24"/>
          <w:szCs w:val="24"/>
          <w:shd w:val="clear" w:color="auto" w:fill="FFFFFF"/>
        </w:rPr>
      </w:pPr>
      <w:r w:rsidRPr="003345D3">
        <w:rPr>
          <w:rFonts w:cstheme="minorHAnsi"/>
          <w:sz w:val="24"/>
          <w:szCs w:val="24"/>
        </w:rPr>
        <w:t xml:space="preserve">The z-test was employed to evaluate whether </w:t>
      </w:r>
      <w:bookmarkStart w:id="0" w:name="_Hlk187266904"/>
      <w:r w:rsidRPr="003345D3">
        <w:rPr>
          <w:rFonts w:cstheme="minorHAnsi"/>
          <w:sz w:val="24"/>
          <w:szCs w:val="24"/>
        </w:rPr>
        <w:t>the effect of temperature variability on MI hospitalizations differed significantly between subgroups</w:t>
      </w:r>
      <w:bookmarkEnd w:id="0"/>
      <w:r w:rsidRPr="003345D3">
        <w:rPr>
          <w:rFonts w:cstheme="minorHAnsi"/>
          <w:sz w:val="24"/>
          <w:szCs w:val="24"/>
        </w:rPr>
        <w:t>. The test statistic </w:t>
      </w:r>
      <w:r w:rsidRPr="003345D3">
        <w:rPr>
          <w:rStyle w:val="katex-mathml"/>
          <w:rFonts w:cstheme="minorHAnsi"/>
          <w:sz w:val="24"/>
          <w:szCs w:val="24"/>
          <w:bdr w:val="none" w:sz="0" w:space="0" w:color="auto" w:frame="1"/>
        </w:rPr>
        <w:t>z</w:t>
      </w:r>
      <w:r w:rsidRPr="003345D3">
        <w:rPr>
          <w:rFonts w:cstheme="minorHAnsi"/>
          <w:sz w:val="24"/>
          <w:szCs w:val="24"/>
        </w:rPr>
        <w:t> quantifies the difference in effect sizes (log-odds ratios) between the two subgroups, standardized by the combined uncertainty (standard errors) of the estimates. A significant z-score (</w:t>
      </w:r>
      <w:r w:rsidRPr="003345D3">
        <w:rPr>
          <w:rStyle w:val="katex-mathml"/>
          <w:rFonts w:ascii="Cambria Math" w:hAnsi="Cambria Math" w:cs="Cambria Math"/>
          <w:sz w:val="24"/>
          <w:szCs w:val="24"/>
          <w:bdr w:val="none" w:sz="0" w:space="0" w:color="auto" w:frame="1"/>
        </w:rPr>
        <w:t>∣</w:t>
      </w:r>
      <w:r w:rsidRPr="003345D3">
        <w:rPr>
          <w:rStyle w:val="katex-mathml"/>
          <w:rFonts w:cstheme="minorHAnsi"/>
          <w:sz w:val="24"/>
          <w:szCs w:val="24"/>
          <w:bdr w:val="none" w:sz="0" w:space="0" w:color="auto" w:frame="1"/>
        </w:rPr>
        <w:t>z</w:t>
      </w:r>
      <w:r w:rsidRPr="003345D3">
        <w:rPr>
          <w:rStyle w:val="katex-mathml"/>
          <w:rFonts w:ascii="Cambria Math" w:hAnsi="Cambria Math" w:cs="Cambria Math"/>
          <w:sz w:val="24"/>
          <w:szCs w:val="24"/>
          <w:bdr w:val="none" w:sz="0" w:space="0" w:color="auto" w:frame="1"/>
        </w:rPr>
        <w:t>∣</w:t>
      </w:r>
      <w:r w:rsidRPr="003345D3">
        <w:rPr>
          <w:rStyle w:val="katex-mathml"/>
          <w:rFonts w:cstheme="minorHAnsi"/>
          <w:sz w:val="24"/>
          <w:szCs w:val="24"/>
          <w:bdr w:val="none" w:sz="0" w:space="0" w:color="auto" w:frame="1"/>
        </w:rPr>
        <w:t xml:space="preserve">&gt;1.96 </w:t>
      </w:r>
      <w:r w:rsidRPr="003345D3">
        <w:rPr>
          <w:rFonts w:cstheme="minorHAnsi"/>
          <w:sz w:val="24"/>
          <w:szCs w:val="24"/>
        </w:rPr>
        <w:t>for </w:t>
      </w:r>
      <w:r w:rsidRPr="003345D3">
        <w:rPr>
          <w:rStyle w:val="katex-mathml"/>
          <w:rFonts w:cstheme="minorHAnsi"/>
          <w:sz w:val="24"/>
          <w:szCs w:val="24"/>
          <w:bdr w:val="none" w:sz="0" w:space="0" w:color="auto" w:frame="1"/>
        </w:rPr>
        <w:t>α=0.05</w:t>
      </w:r>
      <w:r w:rsidRPr="003345D3">
        <w:rPr>
          <w:rFonts w:cstheme="minorHAnsi"/>
          <w:sz w:val="24"/>
          <w:szCs w:val="24"/>
        </w:rPr>
        <w:t xml:space="preserve">) indicates a statistically significant difference in the effect of temperature variability between the subgroups. </w:t>
      </w:r>
      <w:r w:rsidRPr="003345D3">
        <w:rPr>
          <w:rFonts w:cstheme="minorHAnsi"/>
          <w:sz w:val="24"/>
          <w:szCs w:val="24"/>
          <w:shd w:val="clear" w:color="auto" w:fill="FFFFFF"/>
        </w:rPr>
        <w:t>The test statistic z is calculated as follows:</w:t>
      </w:r>
    </w:p>
    <w:p w14:paraId="66A8070D" w14:textId="77777777" w:rsidR="00516C73" w:rsidRPr="003345D3" w:rsidRDefault="00516C73" w:rsidP="00516C73">
      <w:pPr>
        <w:spacing w:line="480" w:lineRule="auto"/>
        <w:jc w:val="both"/>
        <w:rPr>
          <w:rFonts w:cstheme="minorHAnsi"/>
          <w:sz w:val="24"/>
          <w:szCs w:val="24"/>
          <w:shd w:val="clear" w:color="auto" w:fill="FFFFFF"/>
        </w:rPr>
      </w:pPr>
      <w:r w:rsidRPr="003345D3">
        <w:rPr>
          <w:rFonts w:cstheme="minorHAnsi"/>
          <w:sz w:val="24"/>
          <w:szCs w:val="24"/>
          <w:shd w:val="clear" w:color="auto" w:fill="FFFFFF"/>
        </w:rPr>
        <w:br/>
      </w:r>
      <m:oMathPara>
        <m:oMath>
          <m:r>
            <m:rPr>
              <m:nor/>
            </m:rPr>
            <w:rPr>
              <w:rFonts w:cstheme="minorHAnsi"/>
              <w:sz w:val="24"/>
              <w:szCs w:val="24"/>
              <w:shd w:val="clear" w:color="auto" w:fill="FFFFFF"/>
            </w:rPr>
            <m:t>z =</m:t>
          </m:r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  <w:shd w:val="clear" w:color="auto" w:fill="FFFFFF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  <w:shd w:val="clear" w:color="auto" w:fill="FFFFFF"/>
                    </w:rPr>
                  </m:ctrlPr>
                </m:funcPr>
                <m:fName>
                  <m:r>
                    <m:rPr>
                      <m:nor/>
                    </m:rPr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 w:cstheme="minorHAnsi"/>
                          <w:i/>
                          <w:sz w:val="24"/>
                          <w:szCs w:val="24"/>
                          <w:shd w:val="clear" w:color="auto" w:fill="FFFFFF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kern w:val="0"/>
                              <w:sz w:val="24"/>
                              <w:szCs w:val="24"/>
                              <w:shd w:val="clear" w:color="auto" w:fill="FFFFFF"/>
                              <w14:ligatures w14:val="none"/>
                            </w:rPr>
                          </m:ctrlPr>
                        </m:sSubPr>
                        <m:e>
                          <m:r>
                            <m:rPr>
                              <m:nor/>
                            </m:rPr>
                            <w:rPr>
                              <w:rFonts w:cstheme="minorHAnsi"/>
                              <w:sz w:val="24"/>
                              <w:szCs w:val="24"/>
                              <w:shd w:val="clear" w:color="auto" w:fill="FFFFFF"/>
                            </w:rPr>
                            <m:t>OR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  <w:shd w:val="clear" w:color="auto" w:fill="FFFFFF"/>
                            </w:rPr>
                            <m:t>1</m:t>
                          </m:r>
                        </m:sub>
                      </m:sSub>
                    </m:e>
                  </m:d>
                  <m:r>
                    <m:rPr>
                      <m:nor/>
                    </m:rPr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 w:cstheme="minorHAnsi"/>
                          <w:i/>
                          <w:sz w:val="24"/>
                          <w:szCs w:val="24"/>
                          <w:shd w:val="clear" w:color="auto" w:fill="FFFFFF"/>
                        </w:rPr>
                      </m:ctrlPr>
                    </m:funcPr>
                    <m:fName>
                      <m:r>
                        <m:rPr>
                          <m:nor/>
                        </m:rPr>
                        <w:rPr>
                          <w:rFonts w:cstheme="minorHAnsi"/>
                          <w:sz w:val="24"/>
                          <w:szCs w:val="24"/>
                          <w:shd w:val="clear" w:color="auto" w:fill="FFFFFF"/>
                        </w:rPr>
                        <m:t>log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 w:cstheme="minorHAnsi"/>
                              <w:i/>
                              <w:sz w:val="24"/>
                              <w:szCs w:val="24"/>
                              <w:shd w:val="clear" w:color="auto" w:fill="FFFFFF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  <w:kern w:val="0"/>
                                  <w:sz w:val="24"/>
                                  <w:szCs w:val="24"/>
                                  <w:shd w:val="clear" w:color="auto" w:fill="FFFFFF"/>
                                  <w14:ligatures w14:val="none"/>
                                </w:rPr>
                              </m:ctrlPr>
                            </m:sSub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theme="minorHAnsi"/>
                                  <w:sz w:val="24"/>
                                  <w:szCs w:val="24"/>
                                  <w:shd w:val="clear" w:color="auto" w:fill="FFFFFF"/>
                                </w:rPr>
                                <m:t>OR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  <w:shd w:val="clear" w:color="auto" w:fill="FFFFFF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</m:func>
                </m:e>
              </m:func>
            </m:num>
            <m:den>
              <m:rad>
                <m:radPr>
                  <m:degHide m:val="1"/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  <w:shd w:val="clear" w:color="auto" w:fill="FFFFFF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theme="minorHAnsi"/>
                          <w:i/>
                          <w:sz w:val="24"/>
                          <w:szCs w:val="24"/>
                          <w:shd w:val="clear" w:color="auto" w:fill="FFFFFF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kern w:val="0"/>
                              <w:sz w:val="24"/>
                              <w:szCs w:val="24"/>
                              <w:shd w:val="clear" w:color="auto" w:fill="FFFFFF"/>
                              <w14:ligatures w14:val="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  <w:shd w:val="clear" w:color="auto" w:fill="FFFFFF"/>
                            </w:rPr>
                            <m:t>SE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  <w:shd w:val="clear" w:color="auto" w:fill="FFFFFF"/>
                            </w:rPr>
                            <m:t>1</m:t>
                          </m:r>
                        </m:sub>
                      </m:sSub>
                    </m:e>
                    <m:sup>
                      <m:r>
                        <m:rPr>
                          <m:nor/>
                        </m:rPr>
                        <w:rPr>
                          <w:rFonts w:cstheme="minorHAnsi"/>
                          <w:sz w:val="24"/>
                          <w:szCs w:val="24"/>
                          <w:shd w:val="clear" w:color="auto" w:fill="FFFFFF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  <m:t xml:space="preserve">+ 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  <w:i/>
                          <w:sz w:val="24"/>
                          <w:szCs w:val="24"/>
                          <w:shd w:val="clear" w:color="auto" w:fill="FFFFFF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kern w:val="0"/>
                              <w:sz w:val="24"/>
                              <w:szCs w:val="24"/>
                              <w:shd w:val="clear" w:color="auto" w:fill="FFFFFF"/>
                              <w14:ligatures w14:val="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  <w:shd w:val="clear" w:color="auto" w:fill="FFFFFF"/>
                            </w:rPr>
                            <m:t>SE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  <w:shd w:val="clear" w:color="auto" w:fill="FFFFFF"/>
                            </w:rPr>
                            <m:t>2</m:t>
                          </m:r>
                        </m:sub>
                      </m:sSub>
                    </m:e>
                    <m:sup>
                      <m:r>
                        <m:rPr>
                          <m:nor/>
                        </m:rPr>
                        <w:rPr>
                          <w:rFonts w:cstheme="minorHAnsi"/>
                          <w:sz w:val="24"/>
                          <w:szCs w:val="24"/>
                          <w:shd w:val="clear" w:color="auto" w:fill="FFFFFF"/>
                        </w:rPr>
                        <m:t>2</m:t>
                      </m:r>
                    </m:sup>
                  </m:sSup>
                </m:e>
              </m:rad>
            </m:den>
          </m:f>
        </m:oMath>
      </m:oMathPara>
    </w:p>
    <w:p w14:paraId="67758703" w14:textId="3200B5EC" w:rsidR="0048038D" w:rsidRDefault="00516C73" w:rsidP="00516C73">
      <w:pPr>
        <w:spacing w:line="480" w:lineRule="auto"/>
        <w:jc w:val="both"/>
      </w:pPr>
      <w:r w:rsidRPr="003345D3">
        <w:rPr>
          <w:rFonts w:cstheme="minorHAnsi"/>
          <w:sz w:val="24"/>
          <w:szCs w:val="24"/>
          <w:shd w:val="clear" w:color="auto" w:fill="FFFFFF"/>
        </w:rPr>
        <w:t>where log (OR</w:t>
      </w:r>
      <w:r w:rsidRPr="003345D3">
        <w:rPr>
          <w:rFonts w:cstheme="minorHAnsi"/>
          <w:sz w:val="24"/>
          <w:szCs w:val="24"/>
          <w:shd w:val="clear" w:color="auto" w:fill="FFFFFF"/>
          <w:vertAlign w:val="subscript"/>
        </w:rPr>
        <w:t>1</w:t>
      </w:r>
      <w:r w:rsidRPr="003345D3">
        <w:rPr>
          <w:rFonts w:cstheme="minorHAnsi"/>
          <w:sz w:val="24"/>
          <w:szCs w:val="24"/>
          <w:shd w:val="clear" w:color="auto" w:fill="FFFFFF"/>
        </w:rPr>
        <w:t>) and log (OR</w:t>
      </w:r>
      <w:r w:rsidRPr="003345D3">
        <w:rPr>
          <w:rFonts w:cstheme="minorHAnsi"/>
          <w:sz w:val="24"/>
          <w:szCs w:val="24"/>
          <w:shd w:val="clear" w:color="auto" w:fill="FFFFFF"/>
          <w:vertAlign w:val="subscript"/>
        </w:rPr>
        <w:t>2</w:t>
      </w:r>
      <w:r w:rsidRPr="003345D3">
        <w:rPr>
          <w:rFonts w:cstheme="minorHAnsi"/>
          <w:sz w:val="24"/>
          <w:szCs w:val="24"/>
          <w:shd w:val="clear" w:color="auto" w:fill="FFFFFF"/>
        </w:rPr>
        <w:t>) represent the natural logarithms of the odds ratios for the two subgroups under comparison. The terms SE</w:t>
      </w:r>
      <w:r w:rsidRPr="003345D3">
        <w:rPr>
          <w:rFonts w:cstheme="minorHAnsi"/>
          <w:sz w:val="24"/>
          <w:szCs w:val="24"/>
          <w:shd w:val="clear" w:color="auto" w:fill="FFFFFF"/>
          <w:vertAlign w:val="subscript"/>
        </w:rPr>
        <w:t>1</w:t>
      </w:r>
      <w:r w:rsidRPr="003345D3">
        <w:rPr>
          <w:rFonts w:cstheme="minorHAnsi"/>
          <w:sz w:val="24"/>
          <w:szCs w:val="24"/>
          <w:shd w:val="clear" w:color="auto" w:fill="FFFFFF"/>
        </w:rPr>
        <w:t xml:space="preserve"> and SE</w:t>
      </w:r>
      <w:r w:rsidRPr="003345D3">
        <w:rPr>
          <w:rFonts w:cstheme="minorHAnsi"/>
          <w:sz w:val="24"/>
          <w:szCs w:val="24"/>
          <w:shd w:val="clear" w:color="auto" w:fill="FFFFFF"/>
          <w:vertAlign w:val="subscript"/>
        </w:rPr>
        <w:t>2</w:t>
      </w:r>
      <w:r w:rsidRPr="003345D3">
        <w:rPr>
          <w:rFonts w:cstheme="minorHAnsi"/>
          <w:sz w:val="24"/>
          <w:szCs w:val="24"/>
          <w:shd w:val="clear" w:color="auto" w:fill="FFFFFF"/>
        </w:rPr>
        <w:t xml:space="preserve"> are the standard errors of the log-transformed odd ratios for each subgroup, derived from the respective confidence intervals of each subgroup.</w:t>
      </w:r>
    </w:p>
    <w:sectPr w:rsidR="004803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C73"/>
    <w:rsid w:val="002930B2"/>
    <w:rsid w:val="003469B9"/>
    <w:rsid w:val="0048038D"/>
    <w:rsid w:val="0051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C6707"/>
  <w15:chartTrackingRefBased/>
  <w15:docId w15:val="{2AFE0BBF-1D42-438F-A584-9F6984105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6C73"/>
    <w:rPr>
      <w:kern w:val="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6C73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16C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katex-mathml">
    <w:name w:val="katex-mathml"/>
    <w:basedOn w:val="DefaultParagraphFont"/>
    <w:rsid w:val="00516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808</Characters>
  <Application>Microsoft Office Word</Application>
  <DocSecurity>0</DocSecurity>
  <Lines>6</Lines>
  <Paragraphs>1</Paragraphs>
  <ScaleCrop>false</ScaleCrop>
  <Company>BILH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Ni, Wenli</dc:creator>
  <cp:keywords/>
  <dc:description/>
  <cp:lastModifiedBy>Ni, Wenli</cp:lastModifiedBy>
  <cp:revision>1</cp:revision>
  <dcterms:created xsi:type="dcterms:W3CDTF">2025-04-17T17:58:00Z</dcterms:created>
  <dcterms:modified xsi:type="dcterms:W3CDTF">2025-04-17T17:59:00Z</dcterms:modified>
</cp:coreProperties>
</file>