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1FA3E" w14:textId="77777777" w:rsidR="00900F3E" w:rsidRPr="003345D3" w:rsidRDefault="00900F3E" w:rsidP="00900F3E">
      <w:pPr>
        <w:spacing w:line="360" w:lineRule="auto"/>
        <w:jc w:val="both"/>
        <w:rPr>
          <w:rFonts w:cstheme="minorHAnsi"/>
          <w:noProof/>
          <w:sz w:val="24"/>
          <w:szCs w:val="24"/>
        </w:rPr>
      </w:pPr>
      <w:r w:rsidRPr="003345D3">
        <w:rPr>
          <w:rFonts w:cstheme="minorHAnsi"/>
          <w:noProof/>
          <w:sz w:val="24"/>
          <w:szCs w:val="24"/>
        </w:rPr>
        <w:drawing>
          <wp:inline distT="0" distB="0" distL="0" distR="0" wp14:anchorId="20402862" wp14:editId="5859E814">
            <wp:extent cx="8229600" cy="261493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2614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09F815" w14:textId="77777777" w:rsidR="00900F3E" w:rsidRPr="003345D3" w:rsidRDefault="00900F3E" w:rsidP="00900F3E">
      <w:pPr>
        <w:pStyle w:val="Heading3"/>
        <w:spacing w:line="480" w:lineRule="auto"/>
        <w:rPr>
          <w:rFonts w:asciiTheme="minorHAnsi" w:hAnsiTheme="minorHAnsi" w:cstheme="minorHAnsi"/>
          <w:b/>
          <w:bCs/>
          <w:color w:val="auto"/>
        </w:rPr>
      </w:pPr>
      <w:r w:rsidRPr="003345D3">
        <w:rPr>
          <w:rFonts w:asciiTheme="minorHAnsi" w:hAnsiTheme="minorHAnsi" w:cstheme="minorHAnsi"/>
          <w:b/>
          <w:bCs/>
          <w:color w:val="auto"/>
        </w:rPr>
        <w:t>Figure S3.  Exposure-response functions of temperature variability and total MI, STEMI, and NSTEMI</w:t>
      </w:r>
      <w:r>
        <w:rPr>
          <w:rFonts w:asciiTheme="minorHAnsi" w:hAnsiTheme="minorHAnsi" w:cstheme="minorHAnsi"/>
          <w:b/>
          <w:bCs/>
          <w:color w:val="auto"/>
        </w:rPr>
        <w:t xml:space="preserve"> </w:t>
      </w:r>
      <w:r w:rsidRPr="003345D3">
        <w:rPr>
          <w:rFonts w:asciiTheme="minorHAnsi" w:hAnsiTheme="minorHAnsi" w:cstheme="minorHAnsi"/>
          <w:b/>
          <w:bCs/>
          <w:color w:val="auto"/>
        </w:rPr>
        <w:t>hospital admissions</w:t>
      </w:r>
    </w:p>
    <w:p w14:paraId="14EFD8D4" w14:textId="23E757F4" w:rsidR="0048038D" w:rsidRDefault="00900F3E" w:rsidP="00900F3E">
      <w:pPr>
        <w:spacing w:line="276" w:lineRule="auto"/>
        <w:jc w:val="both"/>
      </w:pPr>
      <w:r w:rsidRPr="003345D3">
        <w:rPr>
          <w:rFonts w:cstheme="minorHAnsi"/>
          <w:bCs/>
          <w:sz w:val="24"/>
          <w:szCs w:val="24"/>
        </w:rPr>
        <w:t xml:space="preserve">Note: LR-test, likelihood ratio test (temperature variability was included as </w:t>
      </w:r>
      <w:r w:rsidRPr="003345D3">
        <w:rPr>
          <w:rFonts w:eastAsia="SimSun" w:cstheme="minorHAnsi"/>
          <w:sz w:val="24"/>
          <w:szCs w:val="24"/>
          <w:lang w:eastAsia="en-US"/>
        </w:rPr>
        <w:t>natural cubic spline with</w:t>
      </w:r>
      <w:r w:rsidRPr="003345D3">
        <w:rPr>
          <w:rFonts w:cstheme="minorHAnsi"/>
          <w:bCs/>
          <w:sz w:val="24"/>
          <w:szCs w:val="24"/>
        </w:rPr>
        <w:t xml:space="preserve"> 3dfs vs. temperature variability was included as </w:t>
      </w:r>
      <w:r w:rsidRPr="003345D3">
        <w:rPr>
          <w:rFonts w:eastAsia="SimSun" w:cstheme="minorHAnsi"/>
          <w:sz w:val="24"/>
          <w:szCs w:val="24"/>
          <w:lang w:eastAsia="en-US"/>
        </w:rPr>
        <w:t xml:space="preserve">linear). </w:t>
      </w:r>
      <w:r w:rsidRPr="003345D3">
        <w:rPr>
          <w:rFonts w:cstheme="minorHAnsi"/>
          <w:sz w:val="24"/>
          <w:szCs w:val="24"/>
        </w:rPr>
        <w:t xml:space="preserve">MI, myocardial infarction. STEMI, ST-segment elevation myocardial infarction. </w:t>
      </w:r>
      <w:r>
        <w:rPr>
          <w:rFonts w:cstheme="minorHAnsi"/>
          <w:sz w:val="24"/>
          <w:szCs w:val="24"/>
        </w:rPr>
        <w:t>NSTEMI, non-ST-segment elevation myocardial infarction</w:t>
      </w:r>
      <w:r w:rsidRPr="003345D3">
        <w:rPr>
          <w:rFonts w:cstheme="minorHAnsi"/>
          <w:sz w:val="24"/>
          <w:szCs w:val="24"/>
        </w:rPr>
        <w:t>. Total MI refers to all types of MI hospitalizations combined.</w:t>
      </w:r>
    </w:p>
    <w:sectPr w:rsidR="0048038D" w:rsidSect="00900F3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F3E"/>
    <w:rsid w:val="002930B2"/>
    <w:rsid w:val="003469B9"/>
    <w:rsid w:val="0048038D"/>
    <w:rsid w:val="0090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41738A"/>
  <w15:chartTrackingRefBased/>
  <w15:docId w15:val="{255C2A65-6DA8-445E-AD2E-3D712BE5A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F3E"/>
    <w:rPr>
      <w:kern w:val="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00F3E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900F3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408</Characters>
  <Application>Microsoft Office Word</Application>
  <DocSecurity>0</DocSecurity>
  <Lines>3</Lines>
  <Paragraphs>1</Paragraphs>
  <ScaleCrop>false</ScaleCrop>
  <Company>BILH</Company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Ni, Wenli</dc:creator>
  <cp:keywords/>
  <dc:description/>
  <cp:lastModifiedBy>Ni, Wenli</cp:lastModifiedBy>
  <cp:revision>1</cp:revision>
  <dcterms:created xsi:type="dcterms:W3CDTF">2025-04-17T18:02:00Z</dcterms:created>
  <dcterms:modified xsi:type="dcterms:W3CDTF">2025-04-17T18:02:00Z</dcterms:modified>
</cp:coreProperties>
</file>