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832C4" w14:textId="77777777" w:rsidR="00362754" w:rsidRPr="003345D3" w:rsidRDefault="00362754" w:rsidP="00362754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324D4A5C" wp14:editId="00061FFA">
            <wp:extent cx="4738189" cy="6656705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278" cy="6675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0771F" w14:textId="77777777" w:rsidR="00362754" w:rsidRPr="003345D3" w:rsidRDefault="00362754" w:rsidP="00362754">
      <w:pPr>
        <w:pStyle w:val="Heading3"/>
        <w:spacing w:line="276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S7.  Effect modifications of upward temperature shift on MI hospital admissions by history of medications at lag 0 day. </w:t>
      </w:r>
    </w:p>
    <w:p w14:paraId="138984E3" w14:textId="6D49AB92" w:rsidR="0048038D" w:rsidRDefault="00362754" w:rsidP="00362754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 xml:space="preserve">Total MI refers to all types of MI hospitalizations combined. </w:t>
      </w:r>
      <w:r w:rsidRPr="003345D3">
        <w:rPr>
          <w:rFonts w:cstheme="minorHAnsi"/>
          <w:sz w:val="24"/>
          <w:szCs w:val="24"/>
        </w:rPr>
        <w:t>ACE inhibitors, angiotensin-converting enzyme inhibitors. A2 blockers, angiotensin II receptor blockers.</w:t>
      </w:r>
      <w:bookmarkStart w:id="0" w:name="_Hlk192768339"/>
      <w:r w:rsidRPr="003345D3">
        <w:rPr>
          <w:rFonts w:eastAsia="Times New Roman" w:cstheme="minorHAnsi"/>
          <w:sz w:val="24"/>
          <w:szCs w:val="24"/>
        </w:rPr>
        <w:t xml:space="preserve"> DOAC, including apixaban, dabigatran </w:t>
      </w:r>
      <w:proofErr w:type="spellStart"/>
      <w:r w:rsidRPr="003345D3">
        <w:rPr>
          <w:rFonts w:eastAsia="Times New Roman" w:cstheme="minorHAnsi"/>
          <w:sz w:val="24"/>
          <w:szCs w:val="24"/>
        </w:rPr>
        <w:t>etexilate</w:t>
      </w:r>
      <w:proofErr w:type="spellEnd"/>
      <w:r w:rsidRPr="003345D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345D3">
        <w:rPr>
          <w:rFonts w:eastAsia="Times New Roman" w:cstheme="minorHAnsi"/>
          <w:sz w:val="24"/>
          <w:szCs w:val="24"/>
        </w:rPr>
        <w:t>edoxaban</w:t>
      </w:r>
      <w:proofErr w:type="spellEnd"/>
      <w:r w:rsidRPr="003345D3">
        <w:rPr>
          <w:rFonts w:eastAsia="Times New Roman" w:cstheme="minorHAnsi"/>
          <w:sz w:val="24"/>
          <w:szCs w:val="24"/>
        </w:rPr>
        <w:t>, and rivaroxaban</w:t>
      </w:r>
      <w:bookmarkEnd w:id="0"/>
      <w:r w:rsidRPr="003345D3">
        <w:rPr>
          <w:rFonts w:eastAsia="Times New Roman" w:cstheme="minorHAnsi"/>
          <w:sz w:val="24"/>
          <w:szCs w:val="24"/>
        </w:rPr>
        <w:t>.</w:t>
      </w:r>
      <w:r w:rsidRPr="003345D3">
        <w:rPr>
          <w:rFonts w:cstheme="minorHAns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54"/>
    <w:rsid w:val="0015756E"/>
    <w:rsid w:val="002930B2"/>
    <w:rsid w:val="003469B9"/>
    <w:rsid w:val="00362754"/>
    <w:rsid w:val="004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6293C"/>
  <w15:chartTrackingRefBased/>
  <w15:docId w15:val="{8602BEC0-BB1B-4F8F-B876-CBD3C99B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754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275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275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>BILH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2</cp:revision>
  <dcterms:created xsi:type="dcterms:W3CDTF">2025-04-17T18:03:00Z</dcterms:created>
  <dcterms:modified xsi:type="dcterms:W3CDTF">2025-04-17T19:10:00Z</dcterms:modified>
</cp:coreProperties>
</file>