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B08DE1" w14:textId="77777777" w:rsidR="00570562" w:rsidRPr="003345D3" w:rsidRDefault="00570562" w:rsidP="00570562">
      <w:pPr>
        <w:jc w:val="center"/>
        <w:rPr>
          <w:rFonts w:cstheme="minorHAnsi"/>
          <w:sz w:val="24"/>
          <w:szCs w:val="24"/>
        </w:rPr>
      </w:pPr>
      <w:r w:rsidRPr="003345D3">
        <w:rPr>
          <w:rFonts w:cstheme="minorHAnsi"/>
          <w:noProof/>
          <w:sz w:val="24"/>
          <w:szCs w:val="24"/>
        </w:rPr>
        <w:drawing>
          <wp:inline distT="0" distB="0" distL="0" distR="0" wp14:anchorId="6BAC046E" wp14:editId="4132ED9E">
            <wp:extent cx="6386195" cy="6415430"/>
            <wp:effectExtent l="0" t="0" r="0" b="4445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7727" cy="64169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3FA603" w14:textId="77777777" w:rsidR="00570562" w:rsidRPr="003345D3" w:rsidRDefault="00570562" w:rsidP="00570562">
      <w:pPr>
        <w:pStyle w:val="Heading3"/>
        <w:spacing w:line="276" w:lineRule="auto"/>
        <w:jc w:val="both"/>
        <w:rPr>
          <w:rFonts w:asciiTheme="minorHAnsi" w:hAnsiTheme="minorHAnsi" w:cstheme="minorHAnsi"/>
          <w:b/>
          <w:bCs/>
          <w:color w:val="auto"/>
        </w:rPr>
      </w:pPr>
      <w:r w:rsidRPr="003345D3">
        <w:rPr>
          <w:rFonts w:asciiTheme="minorHAnsi" w:hAnsiTheme="minorHAnsi" w:cstheme="minorHAnsi"/>
          <w:b/>
          <w:bCs/>
          <w:color w:val="auto"/>
        </w:rPr>
        <w:t xml:space="preserve">Figure S11. Effect modifications of downward temperature shift on MI hospital admissions by history of medications at lag 2 day. </w:t>
      </w:r>
    </w:p>
    <w:p w14:paraId="2A9DE55C" w14:textId="0D0A8DE0" w:rsidR="0048038D" w:rsidRDefault="00570562" w:rsidP="00570562">
      <w:pPr>
        <w:spacing w:line="276" w:lineRule="auto"/>
        <w:jc w:val="both"/>
      </w:pPr>
      <w:r w:rsidRPr="003345D3">
        <w:rPr>
          <w:rFonts w:cstheme="minorHAnsi"/>
          <w:sz w:val="24"/>
          <w:szCs w:val="24"/>
        </w:rPr>
        <w:t xml:space="preserve">Note: Red error bars represent </w:t>
      </w:r>
      <w:r w:rsidRPr="003345D3">
        <w:rPr>
          <w:rFonts w:cstheme="minorHAnsi"/>
          <w:i/>
          <w:iCs/>
          <w:sz w:val="24"/>
          <w:szCs w:val="24"/>
        </w:rPr>
        <w:t>p</w:t>
      </w:r>
      <w:r w:rsidRPr="003345D3">
        <w:rPr>
          <w:rFonts w:cstheme="minorHAnsi"/>
          <w:sz w:val="24"/>
          <w:szCs w:val="24"/>
        </w:rPr>
        <w:t xml:space="preserve">-value for the interaction term &lt; 0.05. MI, myocardial infarction. STEMI, ST-segment elevation myocardial infarction. </w:t>
      </w:r>
      <w:r>
        <w:rPr>
          <w:rFonts w:cstheme="minorHAnsi"/>
          <w:sz w:val="24"/>
          <w:szCs w:val="24"/>
        </w:rPr>
        <w:t>NSTEMI, non-ST-segment elevation myocardial infarction</w:t>
      </w:r>
      <w:r w:rsidRPr="003345D3">
        <w:rPr>
          <w:rFonts w:cstheme="minorHAnsi"/>
          <w:sz w:val="24"/>
          <w:szCs w:val="24"/>
        </w:rPr>
        <w:t xml:space="preserve">. </w:t>
      </w:r>
      <w:r w:rsidRPr="00143B9C">
        <w:rPr>
          <w:rFonts w:cstheme="minorHAnsi"/>
          <w:sz w:val="24"/>
          <w:szCs w:val="24"/>
        </w:rPr>
        <w:t>Total MI refers to all types of MI hospitalizations combined.</w:t>
      </w:r>
      <w:r>
        <w:rPr>
          <w:rFonts w:cstheme="minorHAnsi"/>
          <w:sz w:val="24"/>
          <w:szCs w:val="24"/>
        </w:rPr>
        <w:t xml:space="preserve"> </w:t>
      </w:r>
      <w:r w:rsidRPr="003345D3">
        <w:rPr>
          <w:rFonts w:cstheme="minorHAnsi"/>
          <w:sz w:val="24"/>
          <w:szCs w:val="24"/>
        </w:rPr>
        <w:t>ACE inhibitors, angiotensin-converting enzyme inhibitors. A2 blockers, angiotensin II receptor blockers.</w:t>
      </w:r>
      <w:r w:rsidRPr="003345D3">
        <w:rPr>
          <w:rFonts w:eastAsia="Times New Roman" w:cstheme="minorHAnsi"/>
          <w:sz w:val="24"/>
          <w:szCs w:val="24"/>
        </w:rPr>
        <w:t xml:space="preserve"> DOAC, including apixaban, dabigatran </w:t>
      </w:r>
      <w:proofErr w:type="spellStart"/>
      <w:r w:rsidRPr="003345D3">
        <w:rPr>
          <w:rFonts w:eastAsia="Times New Roman" w:cstheme="minorHAnsi"/>
          <w:sz w:val="24"/>
          <w:szCs w:val="24"/>
        </w:rPr>
        <w:t>etexilate</w:t>
      </w:r>
      <w:proofErr w:type="spellEnd"/>
      <w:r w:rsidRPr="003345D3">
        <w:rPr>
          <w:rFonts w:eastAsia="Times New Roman" w:cstheme="minorHAnsi"/>
          <w:sz w:val="24"/>
          <w:szCs w:val="24"/>
        </w:rPr>
        <w:t xml:space="preserve">, </w:t>
      </w:r>
      <w:proofErr w:type="spellStart"/>
      <w:r w:rsidRPr="003345D3">
        <w:rPr>
          <w:rFonts w:eastAsia="Times New Roman" w:cstheme="minorHAnsi"/>
          <w:sz w:val="24"/>
          <w:szCs w:val="24"/>
        </w:rPr>
        <w:t>edoxaban</w:t>
      </w:r>
      <w:proofErr w:type="spellEnd"/>
      <w:r w:rsidRPr="003345D3">
        <w:rPr>
          <w:rFonts w:eastAsia="Times New Roman" w:cstheme="minorHAnsi"/>
          <w:sz w:val="24"/>
          <w:szCs w:val="24"/>
        </w:rPr>
        <w:t>, and rivaroxaban.</w:t>
      </w:r>
      <w:r w:rsidRPr="003345D3">
        <w:rPr>
          <w:rFonts w:cstheme="minorHAnsi"/>
          <w:sz w:val="24"/>
          <w:szCs w:val="24"/>
        </w:rPr>
        <w:t xml:space="preserve"> </w:t>
      </w:r>
      <w:r w:rsidRPr="008E25BE">
        <w:rPr>
          <w:rFonts w:ascii="Calibri" w:hAnsi="Calibri" w:cs="Calibri"/>
          <w:sz w:val="24"/>
          <w:szCs w:val="24"/>
        </w:rPr>
        <w:t>OR, odds ratio</w:t>
      </w:r>
      <w:r>
        <w:rPr>
          <w:rFonts w:ascii="Calibri" w:hAnsi="Calibri" w:cs="Calibri"/>
          <w:sz w:val="24"/>
          <w:szCs w:val="24"/>
        </w:rPr>
        <w:t>.</w:t>
      </w:r>
      <w:r w:rsidRPr="008E25BE">
        <w:rPr>
          <w:rFonts w:ascii="Calibri" w:hAnsi="Calibri" w:cs="Calibri"/>
          <w:sz w:val="24"/>
          <w:szCs w:val="24"/>
        </w:rPr>
        <w:t xml:space="preserve"> CI, confidence interval.</w:t>
      </w:r>
    </w:p>
    <w:sectPr w:rsidR="0048038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0562"/>
    <w:rsid w:val="002930B2"/>
    <w:rsid w:val="003469B9"/>
    <w:rsid w:val="0048038D"/>
    <w:rsid w:val="005705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5F954B"/>
  <w15:chartTrackingRefBased/>
  <w15:docId w15:val="{92C9098F-71A4-469B-A40A-2DE5A4CB9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0562"/>
    <w:rPr>
      <w:kern w:val="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70562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570562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92</Words>
  <Characters>529</Characters>
  <Application>Microsoft Office Word</Application>
  <DocSecurity>0</DocSecurity>
  <Lines>4</Lines>
  <Paragraphs>1</Paragraphs>
  <ScaleCrop>false</ScaleCrop>
  <Company>BILH</Company>
  <LinksUpToDate>false</LinksUpToDate>
  <CharactersWithSpaces>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Ni, Wenli</dc:creator>
  <cp:keywords/>
  <dc:description/>
  <cp:lastModifiedBy>Ni, Wenli</cp:lastModifiedBy>
  <cp:revision>1</cp:revision>
  <dcterms:created xsi:type="dcterms:W3CDTF">2025-04-17T18:04:00Z</dcterms:created>
  <dcterms:modified xsi:type="dcterms:W3CDTF">2025-04-17T18:04:00Z</dcterms:modified>
</cp:coreProperties>
</file>