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D746F" w14:textId="77777777" w:rsidR="003112C9" w:rsidRPr="003345D3" w:rsidRDefault="003112C9" w:rsidP="003112C9">
      <w:pPr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161EB2D9" wp14:editId="7AD6FA4F">
            <wp:extent cx="4427708" cy="6647290"/>
            <wp:effectExtent l="0" t="0" r="0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525" cy="6680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89CCA" w14:textId="77777777" w:rsidR="003112C9" w:rsidRPr="003345D3" w:rsidRDefault="003112C9" w:rsidP="003112C9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b/>
          <w:bCs/>
          <w:sz w:val="24"/>
          <w:szCs w:val="24"/>
        </w:rPr>
        <w:t xml:space="preserve">Figure S13. Sensitivity analyses: </w:t>
      </w:r>
      <w:bookmarkStart w:id="0" w:name="_Hlk192619907"/>
      <w:r w:rsidRPr="003345D3">
        <w:rPr>
          <w:rFonts w:eastAsiaTheme="majorEastAsia" w:cstheme="minorHAnsi"/>
          <w:b/>
          <w:bCs/>
          <w:kern w:val="0"/>
          <w:sz w:val="24"/>
          <w:szCs w:val="24"/>
          <w14:ligatures w14:val="none"/>
        </w:rPr>
        <w:t xml:space="preserve">Associations </w:t>
      </w:r>
      <w:r w:rsidRPr="003345D3">
        <w:rPr>
          <w:rFonts w:cstheme="minorHAnsi"/>
          <w:b/>
          <w:bCs/>
          <w:sz w:val="24"/>
          <w:szCs w:val="24"/>
        </w:rPr>
        <w:t xml:space="preserve">of upward temperature shifts (temperature variability) at lag 0 day with (A) total MI, (B) STEMI, and (C) NSTEMI hospital admissions. </w:t>
      </w:r>
      <w:bookmarkEnd w:id="0"/>
    </w:p>
    <w:p w14:paraId="784993F7" w14:textId="36A7CFD8" w:rsidR="0048038D" w:rsidRDefault="003112C9" w:rsidP="003112C9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>Total MI refers to all types of MI hospitalizations combined.</w:t>
      </w:r>
      <w:r>
        <w:rPr>
          <w:rFonts w:cstheme="minorHAnsi"/>
          <w:sz w:val="24"/>
          <w:szCs w:val="24"/>
        </w:rPr>
        <w:t xml:space="preserve"> </w:t>
      </w:r>
      <w:r w:rsidRPr="003345D3">
        <w:rPr>
          <w:rFonts w:eastAsia="Times New Roman" w:cstheme="minorHAnsi"/>
          <w:sz w:val="24"/>
          <w:szCs w:val="24"/>
        </w:rPr>
        <w:t>PM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2.5, </w:t>
      </w:r>
      <w:r w:rsidRPr="003345D3">
        <w:rPr>
          <w:rFonts w:eastAsia="Times New Roman" w:cstheme="minorHAnsi"/>
          <w:sz w:val="24"/>
          <w:szCs w:val="24"/>
        </w:rPr>
        <w:t>particulate matter with diameter ≤2.5 micrometers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.  </w:t>
      </w:r>
      <w:r w:rsidRPr="003345D3">
        <w:rPr>
          <w:rFonts w:eastAsia="Times New Roman" w:cstheme="minorHAnsi"/>
          <w:sz w:val="24"/>
          <w:szCs w:val="24"/>
        </w:rPr>
        <w:t>NO</w:t>
      </w:r>
      <w:r w:rsidRPr="003345D3">
        <w:rPr>
          <w:rFonts w:eastAsia="Times New Roman" w:cstheme="minorHAnsi"/>
          <w:sz w:val="24"/>
          <w:szCs w:val="24"/>
          <w:vertAlign w:val="subscript"/>
        </w:rPr>
        <w:t>2,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nitrogen dioxide. </w:t>
      </w:r>
      <w:r w:rsidRPr="003345D3">
        <w:rPr>
          <w:rFonts w:eastAsia="Times New Roman" w:cstheme="minorHAnsi"/>
          <w:sz w:val="24"/>
          <w:szCs w:val="24"/>
        </w:rPr>
        <w:t>O</w:t>
      </w:r>
      <w:r w:rsidRPr="003345D3">
        <w:rPr>
          <w:rFonts w:eastAsia="Times New Roman" w:cstheme="minorHAnsi"/>
          <w:sz w:val="24"/>
          <w:szCs w:val="24"/>
          <w:vertAlign w:val="subscript"/>
        </w:rPr>
        <w:t>3,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>ozone.</w:t>
      </w:r>
      <w:r w:rsidRPr="003345D3">
        <w:rPr>
          <w:rFonts w:cstheme="minorHAns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2C9"/>
    <w:rsid w:val="002930B2"/>
    <w:rsid w:val="002D6822"/>
    <w:rsid w:val="003112C9"/>
    <w:rsid w:val="003469B9"/>
    <w:rsid w:val="004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BD8EE"/>
  <w15:chartTrackingRefBased/>
  <w15:docId w15:val="{85B95A04-9A3D-4D75-9852-8C0CDD53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2C9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>BILH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2</cp:revision>
  <dcterms:created xsi:type="dcterms:W3CDTF">2025-04-17T18:05:00Z</dcterms:created>
  <dcterms:modified xsi:type="dcterms:W3CDTF">2025-04-17T19:12:00Z</dcterms:modified>
</cp:coreProperties>
</file>