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8962" w14:textId="77777777" w:rsidR="00033050" w:rsidRPr="003345D3" w:rsidRDefault="00033050" w:rsidP="00033050">
      <w:pPr>
        <w:spacing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57108566" wp14:editId="1DA434C6">
            <wp:extent cx="8228965" cy="2305878"/>
            <wp:effectExtent l="0" t="0" r="63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4708" cy="231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36943" w14:textId="77777777" w:rsidR="00033050" w:rsidRPr="003345D3" w:rsidRDefault="00033050" w:rsidP="00033050">
      <w:pPr>
        <w:pStyle w:val="Heading3"/>
        <w:spacing w:line="480" w:lineRule="auto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S15. </w:t>
      </w:r>
      <w:bookmarkStart w:id="0" w:name="_Hlk192619926"/>
      <w:r w:rsidRPr="003345D3">
        <w:rPr>
          <w:rFonts w:asciiTheme="minorHAnsi" w:hAnsiTheme="minorHAnsi" w:cstheme="minorHAnsi"/>
          <w:b/>
          <w:bCs/>
          <w:color w:val="auto"/>
        </w:rPr>
        <w:t>Associations of downward temperature shifts at lag 0 day with total MI, STEMI, and NSTEMI hospital admissions in central, southern, and northern regions of Sweden</w:t>
      </w:r>
      <w:bookmarkEnd w:id="0"/>
    </w:p>
    <w:p w14:paraId="090762DA" w14:textId="25AC5D12" w:rsidR="0048038D" w:rsidRDefault="00033050" w:rsidP="00033050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>. Total MI refers to all types of MI hospitalizations combined.</w:t>
      </w:r>
      <w:r w:rsidRPr="009B28B4">
        <w:rPr>
          <w:rFonts w:ascii="Calibri" w:hAnsi="Calibri" w:cs="Calibr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 w:rsidSect="000330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50"/>
    <w:rsid w:val="00033050"/>
    <w:rsid w:val="002930B2"/>
    <w:rsid w:val="003469B9"/>
    <w:rsid w:val="00474D39"/>
    <w:rsid w:val="0048038D"/>
    <w:rsid w:val="0065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11F07"/>
  <w15:chartTrackingRefBased/>
  <w15:docId w15:val="{B3376CF4-5BFF-4F66-AC50-9BC597D8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050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305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330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BILH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2</cp:revision>
  <dcterms:created xsi:type="dcterms:W3CDTF">2025-04-17T18:05:00Z</dcterms:created>
  <dcterms:modified xsi:type="dcterms:W3CDTF">2025-04-17T20:29:00Z</dcterms:modified>
</cp:coreProperties>
</file>