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419E67" w14:textId="3E47E0B2" w:rsidR="000F2D24" w:rsidRDefault="00050DAE" w:rsidP="000F2D24">
      <w:pPr>
        <w:jc w:val="both"/>
        <w:rPr>
          <w:rFonts w:cstheme="minorHAnsi"/>
          <w:b/>
          <w:sz w:val="28"/>
          <w:szCs w:val="28"/>
          <w:lang w:val="en-GB"/>
        </w:rPr>
      </w:pPr>
      <w:r w:rsidRPr="00050DAE">
        <w:rPr>
          <w:rFonts w:cstheme="minorHAnsi"/>
          <w:b/>
          <w:sz w:val="28"/>
          <w:szCs w:val="28"/>
          <w:lang w:val="en-GB"/>
        </w:rPr>
        <w:t>Polyunsaturated fatty acid-induced metabolic exhaustion and ferroptosis impair the anti-tumour function of MAIT cells in MASLD</w:t>
      </w:r>
    </w:p>
    <w:p w14:paraId="6A09D8BE" w14:textId="77777777" w:rsidR="00050DAE" w:rsidRPr="00730DFD" w:rsidRDefault="00050DAE" w:rsidP="000F2D24">
      <w:pPr>
        <w:jc w:val="both"/>
        <w:rPr>
          <w:rFonts w:cstheme="minorHAnsi"/>
          <w:b/>
          <w:lang w:val="en-GB"/>
        </w:rPr>
      </w:pPr>
    </w:p>
    <w:p w14:paraId="3E6699C1" w14:textId="77777777" w:rsidR="000F2D24" w:rsidRPr="00F82302" w:rsidRDefault="000F2D24" w:rsidP="000F2D24">
      <w:pPr>
        <w:jc w:val="both"/>
        <w:rPr>
          <w:rFonts w:cstheme="minorHAnsi"/>
          <w:bCs/>
          <w:vertAlign w:val="superscript"/>
          <w:lang w:val="en-GB"/>
        </w:rPr>
      </w:pPr>
      <w:r w:rsidRPr="00F82302">
        <w:rPr>
          <w:rFonts w:cstheme="minorHAnsi"/>
          <w:bCs/>
          <w:lang w:val="en-GB"/>
        </w:rPr>
        <w:t>Sebastian Deschler</w:t>
      </w:r>
      <w:r w:rsidRPr="00F82302">
        <w:rPr>
          <w:rFonts w:cstheme="minorHAnsi"/>
          <w:bCs/>
          <w:vertAlign w:val="superscript"/>
          <w:lang w:val="en-GB"/>
        </w:rPr>
        <w:t>1</w:t>
      </w:r>
      <w:r w:rsidRPr="00F82302">
        <w:rPr>
          <w:rFonts w:cstheme="minorHAnsi"/>
          <w:bCs/>
          <w:lang w:val="en-GB"/>
        </w:rPr>
        <w:t>, Junika Pohl-Topcu</w:t>
      </w:r>
      <w:r w:rsidRPr="00F82302">
        <w:rPr>
          <w:rFonts w:cstheme="minorHAnsi"/>
          <w:bCs/>
          <w:vertAlign w:val="superscript"/>
          <w:lang w:val="en-GB"/>
        </w:rPr>
        <w:t>1</w:t>
      </w:r>
      <w:r w:rsidRPr="00F82302">
        <w:rPr>
          <w:rFonts w:cstheme="minorHAnsi"/>
          <w:bCs/>
          <w:lang w:val="en-GB"/>
        </w:rPr>
        <w:t>,</w:t>
      </w:r>
      <w:r w:rsidRPr="00F82302">
        <w:rPr>
          <w:rFonts w:cstheme="minorHAnsi"/>
          <w:bCs/>
          <w:vertAlign w:val="superscript"/>
          <w:lang w:val="en-GB"/>
        </w:rPr>
        <w:t xml:space="preserve"> </w:t>
      </w:r>
      <w:r w:rsidRPr="00F82302">
        <w:rPr>
          <w:rFonts w:cstheme="minorHAnsi"/>
          <w:bCs/>
          <w:lang w:val="en-GB"/>
        </w:rPr>
        <w:t>Lukas Ramsauer</w:t>
      </w:r>
      <w:r w:rsidRPr="00F82302">
        <w:rPr>
          <w:rFonts w:cstheme="minorHAnsi"/>
          <w:bCs/>
          <w:vertAlign w:val="superscript"/>
          <w:lang w:val="en-GB"/>
        </w:rPr>
        <w:t>2</w:t>
      </w:r>
      <w:r>
        <w:rPr>
          <w:rFonts w:cstheme="minorHAnsi"/>
          <w:bCs/>
          <w:vertAlign w:val="superscript"/>
          <w:lang w:val="en-GB"/>
        </w:rPr>
        <w:t>,3,4</w:t>
      </w:r>
      <w:r w:rsidRPr="00F82302">
        <w:rPr>
          <w:rFonts w:cstheme="minorHAnsi"/>
          <w:bCs/>
          <w:lang w:val="en-GB"/>
        </w:rPr>
        <w:t>, Philippa Meiser</w:t>
      </w:r>
      <w:r w:rsidRPr="00B85CA3">
        <w:rPr>
          <w:rFonts w:cstheme="minorHAnsi"/>
          <w:bCs/>
          <w:vertAlign w:val="superscript"/>
          <w:lang w:val="en-GB"/>
        </w:rPr>
        <w:t>4</w:t>
      </w:r>
      <w:r w:rsidRPr="00F82302">
        <w:rPr>
          <w:rFonts w:cstheme="minorHAnsi"/>
          <w:bCs/>
          <w:lang w:val="en-GB"/>
        </w:rPr>
        <w:t>, Sophia Erlacher</w:t>
      </w:r>
      <w:r w:rsidRPr="00F82302">
        <w:rPr>
          <w:rFonts w:cstheme="minorHAnsi"/>
          <w:bCs/>
          <w:vertAlign w:val="superscript"/>
          <w:lang w:val="en-GB"/>
        </w:rPr>
        <w:t>1</w:t>
      </w:r>
      <w:r w:rsidRPr="00F82302">
        <w:rPr>
          <w:rFonts w:cstheme="minorHAnsi"/>
          <w:bCs/>
          <w:lang w:val="en-GB"/>
        </w:rPr>
        <w:t>, Robin P. Schenk</w:t>
      </w:r>
      <w:r w:rsidRPr="00F82302">
        <w:rPr>
          <w:rFonts w:cstheme="minorHAnsi"/>
          <w:bCs/>
          <w:vertAlign w:val="superscript"/>
          <w:lang w:val="en-GB"/>
        </w:rPr>
        <w:t>1</w:t>
      </w:r>
      <w:r w:rsidRPr="00F82302">
        <w:rPr>
          <w:rFonts w:cstheme="minorHAnsi"/>
          <w:bCs/>
          <w:lang w:val="en-GB"/>
        </w:rPr>
        <w:t>, H. Carlo Maurer</w:t>
      </w:r>
      <w:r w:rsidRPr="00F82302">
        <w:rPr>
          <w:rFonts w:cstheme="minorHAnsi"/>
          <w:bCs/>
          <w:vertAlign w:val="superscript"/>
          <w:lang w:val="en-GB"/>
        </w:rPr>
        <w:t>1</w:t>
      </w:r>
      <w:r w:rsidRPr="00F82302">
        <w:rPr>
          <w:rFonts w:cstheme="minorHAnsi"/>
          <w:bCs/>
          <w:lang w:val="en-GB"/>
        </w:rPr>
        <w:t>,</w:t>
      </w:r>
      <w:r>
        <w:rPr>
          <w:rFonts w:cstheme="minorHAnsi"/>
          <w:bCs/>
          <w:lang w:val="en-GB"/>
        </w:rPr>
        <w:t xml:space="preserve"> Peng Shen</w:t>
      </w:r>
      <w:r>
        <w:rPr>
          <w:rFonts w:cstheme="minorHAnsi"/>
          <w:bCs/>
          <w:vertAlign w:val="superscript"/>
          <w:lang w:val="en-GB"/>
        </w:rPr>
        <w:t>5</w:t>
      </w:r>
      <w:r>
        <w:rPr>
          <w:rFonts w:cstheme="minorHAnsi"/>
          <w:bCs/>
          <w:lang w:val="en-GB"/>
        </w:rPr>
        <w:t>,</w:t>
      </w:r>
      <w:r w:rsidRPr="00F82302">
        <w:rPr>
          <w:rFonts w:cstheme="minorHAnsi"/>
          <w:bCs/>
          <w:lang w:val="en-GB"/>
        </w:rPr>
        <w:t xml:space="preserve"> Juliane Kager</w:t>
      </w:r>
      <w:r w:rsidRPr="00F82302">
        <w:rPr>
          <w:rFonts w:cstheme="minorHAnsi"/>
          <w:bCs/>
          <w:vertAlign w:val="superscript"/>
          <w:lang w:val="en-GB"/>
        </w:rPr>
        <w:t>1</w:t>
      </w:r>
      <w:r w:rsidRPr="00F82302">
        <w:rPr>
          <w:rFonts w:cstheme="minorHAnsi"/>
          <w:bCs/>
          <w:lang w:val="en-GB"/>
        </w:rPr>
        <w:t>, Joseph Zink</w:t>
      </w:r>
      <w:r w:rsidRPr="00F82302">
        <w:rPr>
          <w:rFonts w:cstheme="minorHAnsi"/>
          <w:bCs/>
          <w:vertAlign w:val="superscript"/>
          <w:lang w:val="en-GB"/>
        </w:rPr>
        <w:t>1</w:t>
      </w:r>
      <w:r w:rsidRPr="00F82302">
        <w:rPr>
          <w:rFonts w:cstheme="minorHAnsi"/>
          <w:bCs/>
          <w:lang w:val="en-GB"/>
        </w:rPr>
        <w:t>, Karyna Pistrenko</w:t>
      </w:r>
      <w:r w:rsidRPr="00F82302">
        <w:rPr>
          <w:rFonts w:cstheme="minorHAnsi"/>
          <w:bCs/>
          <w:vertAlign w:val="superscript"/>
          <w:lang w:val="en-GB"/>
        </w:rPr>
        <w:t>1</w:t>
      </w:r>
      <w:r w:rsidRPr="00F82302">
        <w:rPr>
          <w:rFonts w:cstheme="minorHAnsi"/>
          <w:bCs/>
          <w:lang w:val="en-GB"/>
        </w:rPr>
        <w:t>, Enric Redondo Monte</w:t>
      </w:r>
      <w:r w:rsidRPr="00F82302">
        <w:rPr>
          <w:rFonts w:cstheme="minorHAnsi"/>
          <w:bCs/>
          <w:vertAlign w:val="superscript"/>
          <w:lang w:val="en-GB"/>
        </w:rPr>
        <w:t>1</w:t>
      </w:r>
      <w:r w:rsidRPr="00F82302">
        <w:rPr>
          <w:rFonts w:cstheme="minorHAnsi"/>
          <w:bCs/>
          <w:lang w:val="en-GB"/>
        </w:rPr>
        <w:t>,</w:t>
      </w:r>
      <w:r w:rsidRPr="00F82302">
        <w:rPr>
          <w:rFonts w:cstheme="minorHAnsi"/>
          <w:bCs/>
          <w:vertAlign w:val="superscript"/>
          <w:lang w:val="en-GB"/>
        </w:rPr>
        <w:t xml:space="preserve"> </w:t>
      </w:r>
      <w:r w:rsidRPr="00F82302">
        <w:rPr>
          <w:rFonts w:cstheme="minorHAnsi"/>
          <w:bCs/>
          <w:lang w:val="en-GB"/>
        </w:rPr>
        <w:t>Julius Weber</w:t>
      </w:r>
      <w:r w:rsidRPr="00F82302">
        <w:rPr>
          <w:rFonts w:cstheme="minorHAnsi"/>
          <w:bCs/>
          <w:vertAlign w:val="superscript"/>
          <w:lang w:val="en-GB"/>
        </w:rPr>
        <w:t>1</w:t>
      </w:r>
      <w:r w:rsidRPr="00F82302">
        <w:rPr>
          <w:rFonts w:cstheme="minorHAnsi"/>
          <w:bCs/>
          <w:lang w:val="en-GB"/>
        </w:rPr>
        <w:t xml:space="preserve">, </w:t>
      </w:r>
      <w:r>
        <w:rPr>
          <w:rFonts w:cstheme="minorHAnsi"/>
          <w:bCs/>
          <w:lang w:val="en-GB"/>
        </w:rPr>
        <w:t>Lena Wasmaier</w:t>
      </w:r>
      <w:r>
        <w:rPr>
          <w:rFonts w:cstheme="minorHAnsi"/>
          <w:bCs/>
          <w:vertAlign w:val="superscript"/>
          <w:lang w:val="en-GB"/>
        </w:rPr>
        <w:t>6</w:t>
      </w:r>
      <w:r>
        <w:rPr>
          <w:rFonts w:cstheme="minorHAnsi"/>
          <w:bCs/>
          <w:lang w:val="en-GB"/>
        </w:rPr>
        <w:t>, Melanie Laschinger</w:t>
      </w:r>
      <w:r>
        <w:rPr>
          <w:rFonts w:cstheme="minorHAnsi"/>
          <w:bCs/>
          <w:vertAlign w:val="superscript"/>
          <w:lang w:val="en-GB"/>
        </w:rPr>
        <w:t>6</w:t>
      </w:r>
      <w:r>
        <w:rPr>
          <w:rFonts w:cstheme="minorHAnsi"/>
          <w:bCs/>
          <w:lang w:val="en-GB"/>
        </w:rPr>
        <w:t>, Norbert Hüser</w:t>
      </w:r>
      <w:r>
        <w:rPr>
          <w:rFonts w:cstheme="minorHAnsi"/>
          <w:bCs/>
          <w:vertAlign w:val="superscript"/>
          <w:lang w:val="en-GB"/>
        </w:rPr>
        <w:t>6</w:t>
      </w:r>
      <w:r>
        <w:rPr>
          <w:rFonts w:cstheme="minorHAnsi"/>
          <w:bCs/>
          <w:lang w:val="en-GB"/>
        </w:rPr>
        <w:t xml:space="preserve">, </w:t>
      </w:r>
      <w:r w:rsidRPr="00F82302">
        <w:rPr>
          <w:rFonts w:cstheme="minorHAnsi"/>
          <w:bCs/>
          <w:lang w:val="en-GB"/>
        </w:rPr>
        <w:t>Fabian Geisler</w:t>
      </w:r>
      <w:r w:rsidRPr="00F82302">
        <w:rPr>
          <w:rFonts w:cstheme="minorHAnsi"/>
          <w:bCs/>
          <w:vertAlign w:val="superscript"/>
          <w:lang w:val="en-GB"/>
        </w:rPr>
        <w:t>1</w:t>
      </w:r>
      <w:r w:rsidRPr="00F82302">
        <w:rPr>
          <w:rFonts w:cstheme="minorHAnsi"/>
          <w:bCs/>
          <w:lang w:val="en-GB"/>
        </w:rPr>
        <w:t>, Douglas Thorburn</w:t>
      </w:r>
      <w:r>
        <w:rPr>
          <w:rFonts w:cstheme="minorHAnsi"/>
          <w:bCs/>
          <w:vertAlign w:val="superscript"/>
          <w:lang w:val="en-GB"/>
        </w:rPr>
        <w:t>7,8</w:t>
      </w:r>
      <w:r w:rsidRPr="00F82302">
        <w:rPr>
          <w:rFonts w:cstheme="minorHAnsi"/>
          <w:bCs/>
          <w:lang w:val="en-GB"/>
        </w:rPr>
        <w:t xml:space="preserve">, </w:t>
      </w:r>
      <w:r>
        <w:rPr>
          <w:rFonts w:cstheme="minorHAnsi"/>
          <w:bCs/>
          <w:lang w:val="en-GB"/>
        </w:rPr>
        <w:t>Hanno Nieß</w:t>
      </w:r>
      <w:r>
        <w:rPr>
          <w:rFonts w:cstheme="minorHAnsi"/>
          <w:bCs/>
          <w:vertAlign w:val="superscript"/>
          <w:lang w:val="en-GB"/>
        </w:rPr>
        <w:t>9</w:t>
      </w:r>
      <w:r>
        <w:rPr>
          <w:rFonts w:cstheme="minorHAnsi"/>
          <w:bCs/>
          <w:lang w:val="en-GB"/>
        </w:rPr>
        <w:t xml:space="preserve">, </w:t>
      </w:r>
      <w:r w:rsidRPr="00F82302">
        <w:rPr>
          <w:rFonts w:cstheme="minorHAnsi"/>
          <w:bCs/>
          <w:lang w:val="en-GB"/>
        </w:rPr>
        <w:t>Gabriela M. Wiedemann</w:t>
      </w:r>
      <w:r w:rsidRPr="00F82302">
        <w:rPr>
          <w:rFonts w:cstheme="minorHAnsi"/>
          <w:bCs/>
          <w:vertAlign w:val="superscript"/>
          <w:lang w:val="en-GB"/>
        </w:rPr>
        <w:t>1</w:t>
      </w:r>
      <w:r w:rsidRPr="00F82302">
        <w:rPr>
          <w:rFonts w:cstheme="minorHAnsi"/>
          <w:bCs/>
          <w:lang w:val="en-GB"/>
        </w:rPr>
        <w:t>, Hans Zischka</w:t>
      </w:r>
      <w:r>
        <w:rPr>
          <w:rFonts w:cstheme="minorHAnsi"/>
          <w:bCs/>
          <w:vertAlign w:val="superscript"/>
          <w:lang w:val="en-GB"/>
        </w:rPr>
        <w:t>10,11</w:t>
      </w:r>
      <w:r w:rsidRPr="00F82302">
        <w:rPr>
          <w:rFonts w:cstheme="minorHAnsi"/>
          <w:bCs/>
          <w:lang w:val="en-GB"/>
        </w:rPr>
        <w:t xml:space="preserve">, </w:t>
      </w:r>
      <w:r>
        <w:rPr>
          <w:rFonts w:cstheme="minorHAnsi"/>
          <w:bCs/>
          <w:lang w:val="en-GB"/>
        </w:rPr>
        <w:t>Mathias Heikenwälder</w:t>
      </w:r>
      <w:r w:rsidRPr="00B85CA3">
        <w:rPr>
          <w:rFonts w:cstheme="minorHAnsi"/>
          <w:bCs/>
          <w:vertAlign w:val="superscript"/>
          <w:lang w:val="en-GB"/>
        </w:rPr>
        <w:t>5</w:t>
      </w:r>
      <w:r>
        <w:rPr>
          <w:rFonts w:cstheme="minorHAnsi"/>
          <w:bCs/>
          <w:vertAlign w:val="superscript"/>
          <w:lang w:val="en-GB"/>
        </w:rPr>
        <w:t>,3</w:t>
      </w:r>
      <w:r>
        <w:rPr>
          <w:rFonts w:cstheme="minorHAnsi"/>
          <w:bCs/>
          <w:lang w:val="en-GB"/>
        </w:rPr>
        <w:t xml:space="preserve">, </w:t>
      </w:r>
      <w:r w:rsidRPr="00F82302">
        <w:rPr>
          <w:rFonts w:cstheme="minorHAnsi"/>
          <w:bCs/>
          <w:lang w:val="en-GB"/>
        </w:rPr>
        <w:t>Karin Kleigrewe</w:t>
      </w:r>
      <w:r>
        <w:rPr>
          <w:rFonts w:cstheme="minorHAnsi"/>
          <w:bCs/>
          <w:vertAlign w:val="superscript"/>
          <w:lang w:val="en-GB"/>
        </w:rPr>
        <w:t>12</w:t>
      </w:r>
      <w:r w:rsidRPr="00F82302">
        <w:rPr>
          <w:rFonts w:cstheme="minorHAnsi"/>
          <w:bCs/>
          <w:lang w:val="en-GB"/>
        </w:rPr>
        <w:t>, Carolin Mogler</w:t>
      </w:r>
      <w:r>
        <w:rPr>
          <w:rFonts w:cstheme="minorHAnsi"/>
          <w:bCs/>
          <w:vertAlign w:val="superscript"/>
          <w:lang w:val="en-GB"/>
        </w:rPr>
        <w:t>13</w:t>
      </w:r>
      <w:r w:rsidRPr="00F82302">
        <w:rPr>
          <w:rFonts w:cstheme="minorHAnsi"/>
          <w:bCs/>
          <w:lang w:val="en-GB"/>
        </w:rPr>
        <w:t>, Jan P. Böttcher</w:t>
      </w:r>
      <w:r w:rsidRPr="00F82302">
        <w:rPr>
          <w:rFonts w:cstheme="minorHAnsi"/>
          <w:bCs/>
          <w:vertAlign w:val="superscript"/>
          <w:lang w:val="en-GB"/>
        </w:rPr>
        <w:t>2</w:t>
      </w:r>
      <w:r>
        <w:rPr>
          <w:rFonts w:cstheme="minorHAnsi"/>
          <w:bCs/>
          <w:vertAlign w:val="superscript"/>
          <w:lang w:val="en-GB"/>
        </w:rPr>
        <w:t>,3,4</w:t>
      </w:r>
      <w:r w:rsidRPr="00F82302">
        <w:rPr>
          <w:rFonts w:cstheme="minorHAnsi"/>
          <w:bCs/>
          <w:lang w:val="en-GB"/>
        </w:rPr>
        <w:t>, Percy A. Knolle</w:t>
      </w:r>
      <w:r>
        <w:rPr>
          <w:rFonts w:cstheme="minorHAnsi"/>
          <w:bCs/>
          <w:vertAlign w:val="superscript"/>
          <w:lang w:val="en-GB"/>
        </w:rPr>
        <w:t>4</w:t>
      </w:r>
      <w:r w:rsidRPr="00F82302">
        <w:rPr>
          <w:rFonts w:cstheme="minorHAnsi"/>
          <w:bCs/>
          <w:lang w:val="en-GB"/>
        </w:rPr>
        <w:t>, Roland M. Schmid</w:t>
      </w:r>
      <w:r w:rsidRPr="00F82302">
        <w:rPr>
          <w:rFonts w:cstheme="minorHAnsi"/>
          <w:bCs/>
          <w:vertAlign w:val="superscript"/>
          <w:lang w:val="en-GB"/>
        </w:rPr>
        <w:t xml:space="preserve">1 </w:t>
      </w:r>
      <w:r w:rsidRPr="00F82302">
        <w:rPr>
          <w:rFonts w:cstheme="minorHAnsi"/>
          <w:bCs/>
          <w:lang w:val="en-GB"/>
        </w:rPr>
        <w:t>and Katrin Böttcher</w:t>
      </w:r>
      <w:r w:rsidRPr="00F82302">
        <w:rPr>
          <w:rFonts w:cstheme="minorHAnsi"/>
          <w:bCs/>
          <w:vertAlign w:val="superscript"/>
          <w:lang w:val="en-GB"/>
        </w:rPr>
        <w:t>1,</w:t>
      </w:r>
      <w:r>
        <w:rPr>
          <w:rFonts w:cstheme="minorHAnsi"/>
          <w:bCs/>
          <w:vertAlign w:val="superscript"/>
          <w:lang w:val="en-GB"/>
        </w:rPr>
        <w:t xml:space="preserve"> 3,14</w:t>
      </w:r>
      <w:r w:rsidRPr="00F82302">
        <w:rPr>
          <w:rFonts w:cstheme="minorHAnsi"/>
          <w:bCs/>
          <w:vertAlign w:val="superscript"/>
          <w:lang w:val="en-GB"/>
        </w:rPr>
        <w:t>*</w:t>
      </w:r>
    </w:p>
    <w:p w14:paraId="513A47F6" w14:textId="77777777" w:rsidR="000F2D24" w:rsidRPr="000F2D24" w:rsidRDefault="000F2D24" w:rsidP="000A1CB8">
      <w:pPr>
        <w:spacing w:line="480" w:lineRule="auto"/>
        <w:rPr>
          <w:rFonts w:ascii="Calibri" w:hAnsi="Calibri" w:cs="Calibri"/>
          <w:b/>
          <w:bCs/>
          <w:sz w:val="22"/>
          <w:szCs w:val="22"/>
          <w:lang w:val="en-GB"/>
        </w:rPr>
      </w:pPr>
    </w:p>
    <w:p w14:paraId="2726F2A3" w14:textId="77777777" w:rsidR="000F2D24" w:rsidRDefault="000F2D24" w:rsidP="000A1CB8">
      <w:pPr>
        <w:spacing w:line="480" w:lineRule="auto"/>
        <w:rPr>
          <w:rFonts w:ascii="Calibri" w:hAnsi="Calibri" w:cs="Calibri"/>
          <w:b/>
          <w:bCs/>
          <w:sz w:val="22"/>
          <w:szCs w:val="22"/>
          <w:lang w:val="en-US"/>
        </w:rPr>
      </w:pPr>
    </w:p>
    <w:p w14:paraId="7ED1EBC3" w14:textId="41A7E988" w:rsidR="00E04619" w:rsidRPr="00CC2EBA" w:rsidRDefault="000F2D24" w:rsidP="000A1CB8">
      <w:pPr>
        <w:spacing w:line="480" w:lineRule="auto"/>
        <w:rPr>
          <w:rFonts w:ascii="Calibri" w:hAnsi="Calibri" w:cs="Calibri"/>
          <w:b/>
          <w:bCs/>
          <w:sz w:val="22"/>
          <w:szCs w:val="22"/>
          <w:lang w:val="en-US"/>
        </w:rPr>
      </w:pPr>
      <w:r>
        <w:rPr>
          <w:rFonts w:ascii="Calibri" w:hAnsi="Calibri" w:cs="Calibri"/>
          <w:b/>
          <w:bCs/>
          <w:sz w:val="22"/>
          <w:szCs w:val="22"/>
          <w:lang w:val="en-US"/>
        </w:rPr>
        <w:t>Table of contents:</w:t>
      </w:r>
    </w:p>
    <w:p w14:paraId="3DA93ADF" w14:textId="62BCB5D1" w:rsidR="000F2D24" w:rsidRPr="00CC2EBA" w:rsidRDefault="00E04619" w:rsidP="000A1CB8">
      <w:pPr>
        <w:spacing w:line="480" w:lineRule="auto"/>
        <w:rPr>
          <w:rFonts w:ascii="Calibri" w:hAnsi="Calibri" w:cs="Calibri"/>
          <w:sz w:val="22"/>
          <w:szCs w:val="22"/>
          <w:lang w:val="en-US"/>
        </w:rPr>
      </w:pPr>
      <w:r w:rsidRPr="00CC2EBA">
        <w:rPr>
          <w:rFonts w:ascii="Calibri" w:hAnsi="Calibri" w:cs="Calibri"/>
          <w:sz w:val="22"/>
          <w:szCs w:val="22"/>
          <w:lang w:val="en-US"/>
        </w:rPr>
        <w:t>Supplementary methods</w:t>
      </w:r>
    </w:p>
    <w:p w14:paraId="1FC43467" w14:textId="77777777" w:rsidR="00E04619" w:rsidRPr="00DB2B29" w:rsidRDefault="00E04619" w:rsidP="00DB2B29">
      <w:pPr>
        <w:spacing w:line="480" w:lineRule="auto"/>
        <w:rPr>
          <w:rFonts w:ascii="Calibri" w:hAnsi="Calibri" w:cs="Calibri"/>
          <w:sz w:val="22"/>
          <w:szCs w:val="22"/>
          <w:lang w:val="en-US"/>
        </w:rPr>
      </w:pPr>
      <w:r w:rsidRPr="00DB2B29">
        <w:rPr>
          <w:rFonts w:ascii="Calibri" w:hAnsi="Calibri" w:cs="Calibri"/>
          <w:sz w:val="22"/>
          <w:szCs w:val="22"/>
          <w:lang w:val="en-US"/>
        </w:rPr>
        <w:t xml:space="preserve">Supplementary Fig. S1: </w:t>
      </w:r>
      <w:r w:rsidRPr="00DB2B29">
        <w:rPr>
          <w:rFonts w:ascii="Calibri" w:hAnsi="Calibri" w:cs="Calibri"/>
          <w:sz w:val="22"/>
          <w:szCs w:val="22"/>
          <w:lang w:val="en-GB"/>
        </w:rPr>
        <w:t>Functional characteristics of MAIT cells in MASLD patients and controls</w:t>
      </w:r>
    </w:p>
    <w:p w14:paraId="451B0851" w14:textId="77777777" w:rsidR="00E04619" w:rsidRDefault="00E04619" w:rsidP="00DB2B29">
      <w:pPr>
        <w:spacing w:line="480" w:lineRule="auto"/>
        <w:rPr>
          <w:rFonts w:ascii="Calibri" w:hAnsi="Calibri" w:cs="Calibri"/>
          <w:iCs/>
          <w:color w:val="000000" w:themeColor="text1"/>
          <w:sz w:val="22"/>
          <w:szCs w:val="22"/>
          <w:lang w:val="en-GB"/>
        </w:rPr>
      </w:pPr>
      <w:r w:rsidRPr="00DB2B29">
        <w:rPr>
          <w:rFonts w:ascii="Calibri" w:hAnsi="Calibri" w:cs="Calibri"/>
          <w:sz w:val="22"/>
          <w:szCs w:val="22"/>
          <w:lang w:val="en-US"/>
        </w:rPr>
        <w:t xml:space="preserve">Supplementary Fig. S2: </w:t>
      </w:r>
      <w:r w:rsidRPr="00DB2B29">
        <w:rPr>
          <w:rFonts w:ascii="Calibri" w:hAnsi="Calibri" w:cs="Calibri"/>
          <w:iCs/>
          <w:color w:val="000000" w:themeColor="text1"/>
          <w:sz w:val="22"/>
          <w:szCs w:val="22"/>
          <w:lang w:val="en-GB"/>
        </w:rPr>
        <w:t>Cytokine expression of MAIT cells in presence of fatty acids</w:t>
      </w:r>
    </w:p>
    <w:p w14:paraId="391AEE68" w14:textId="77777777" w:rsidR="00E04619" w:rsidRPr="00DB2B29" w:rsidRDefault="00E04619" w:rsidP="00DB2B29">
      <w:pPr>
        <w:spacing w:line="480" w:lineRule="auto"/>
        <w:rPr>
          <w:rFonts w:ascii="Calibri" w:hAnsi="Calibri" w:cs="Calibri"/>
          <w:sz w:val="22"/>
          <w:szCs w:val="22"/>
          <w:lang w:val="en-GB"/>
        </w:rPr>
      </w:pPr>
      <w:r w:rsidRPr="006F3248">
        <w:rPr>
          <w:rFonts w:ascii="Calibri" w:hAnsi="Calibri" w:cs="Calibri"/>
          <w:sz w:val="22"/>
          <w:szCs w:val="22"/>
          <w:lang w:val="en-GB"/>
        </w:rPr>
        <w:t>Supplementary Fig. S3: Killing capacity of MAIT cells in presence of different blocking antibodies</w:t>
      </w:r>
    </w:p>
    <w:p w14:paraId="5938E399" w14:textId="77777777" w:rsidR="00E04619" w:rsidRPr="00DB2B29" w:rsidRDefault="00E04619" w:rsidP="00DB2B29">
      <w:pPr>
        <w:adjustRightInd w:val="0"/>
        <w:snapToGrid w:val="0"/>
        <w:spacing w:line="480" w:lineRule="auto"/>
        <w:contextualSpacing/>
        <w:jc w:val="both"/>
        <w:rPr>
          <w:rFonts w:ascii="Calibri" w:hAnsi="Calibri" w:cs="Calibri"/>
          <w:iCs/>
          <w:color w:val="000000" w:themeColor="text1"/>
          <w:sz w:val="22"/>
          <w:szCs w:val="22"/>
          <w:lang w:val="en-GB"/>
        </w:rPr>
      </w:pPr>
      <w:r w:rsidRPr="00DB2B29">
        <w:rPr>
          <w:rFonts w:ascii="Calibri" w:hAnsi="Calibri" w:cs="Calibri"/>
          <w:sz w:val="22"/>
          <w:szCs w:val="22"/>
          <w:lang w:val="en-US"/>
        </w:rPr>
        <w:t>Supplementary Fig. S</w:t>
      </w:r>
      <w:r>
        <w:rPr>
          <w:rFonts w:ascii="Calibri" w:hAnsi="Calibri" w:cs="Calibri"/>
          <w:sz w:val="22"/>
          <w:szCs w:val="22"/>
          <w:lang w:val="en-US"/>
        </w:rPr>
        <w:t>4</w:t>
      </w:r>
      <w:r w:rsidRPr="00DB2B29">
        <w:rPr>
          <w:rFonts w:ascii="Calibri" w:hAnsi="Calibri" w:cs="Calibri"/>
          <w:sz w:val="22"/>
          <w:szCs w:val="22"/>
          <w:lang w:val="en-US"/>
        </w:rPr>
        <w:t xml:space="preserve">: </w:t>
      </w:r>
      <w:r w:rsidRPr="00DB2B29">
        <w:rPr>
          <w:rFonts w:ascii="Calibri" w:hAnsi="Calibri" w:cs="Calibri"/>
          <w:iCs/>
          <w:color w:val="000000" w:themeColor="text1"/>
          <w:sz w:val="22"/>
          <w:szCs w:val="22"/>
          <w:lang w:val="en-GB"/>
        </w:rPr>
        <w:t xml:space="preserve">Transcriptional changes induced by PUFAs in MAIT cells </w:t>
      </w:r>
    </w:p>
    <w:p w14:paraId="768039EC" w14:textId="77777777" w:rsidR="00E04619" w:rsidRDefault="00E04619" w:rsidP="00DB2B29">
      <w:pPr>
        <w:spacing w:line="480" w:lineRule="auto"/>
        <w:jc w:val="both"/>
        <w:rPr>
          <w:rFonts w:ascii="Calibri" w:hAnsi="Calibri" w:cs="Calibri"/>
          <w:sz w:val="22"/>
          <w:szCs w:val="22"/>
          <w:lang w:val="en-GB"/>
        </w:rPr>
      </w:pPr>
      <w:r w:rsidRPr="00DB2B29">
        <w:rPr>
          <w:rFonts w:ascii="Calibri" w:hAnsi="Calibri" w:cs="Calibri"/>
          <w:sz w:val="22"/>
          <w:szCs w:val="22"/>
          <w:lang w:val="en-US"/>
        </w:rPr>
        <w:t>Supplementary Fig. S</w:t>
      </w:r>
      <w:r>
        <w:rPr>
          <w:rFonts w:ascii="Calibri" w:hAnsi="Calibri" w:cs="Calibri"/>
          <w:sz w:val="22"/>
          <w:szCs w:val="22"/>
          <w:lang w:val="en-US"/>
        </w:rPr>
        <w:t>5</w:t>
      </w:r>
      <w:r w:rsidRPr="00DB2B29">
        <w:rPr>
          <w:rFonts w:ascii="Calibri" w:hAnsi="Calibri" w:cs="Calibri"/>
          <w:sz w:val="22"/>
          <w:szCs w:val="22"/>
          <w:lang w:val="en-US"/>
        </w:rPr>
        <w:t xml:space="preserve">: </w:t>
      </w:r>
      <w:r w:rsidRPr="00DB2B29">
        <w:rPr>
          <w:rFonts w:ascii="Calibri" w:hAnsi="Calibri" w:cs="Calibri"/>
          <w:sz w:val="22"/>
          <w:szCs w:val="22"/>
          <w:lang w:val="en-GB"/>
        </w:rPr>
        <w:t>Metabolic changes in MAIT cells following PUFA treatment</w:t>
      </w:r>
    </w:p>
    <w:p w14:paraId="303B0EAB" w14:textId="77777777" w:rsidR="00E04619" w:rsidRDefault="00E04619" w:rsidP="00DB2B29">
      <w:pPr>
        <w:spacing w:line="480" w:lineRule="auto"/>
        <w:jc w:val="both"/>
        <w:rPr>
          <w:rFonts w:ascii="Calibri" w:hAnsi="Calibri" w:cs="Calibri"/>
          <w:sz w:val="22"/>
          <w:szCs w:val="22"/>
          <w:lang w:val="en-GB"/>
        </w:rPr>
      </w:pPr>
      <w:r>
        <w:rPr>
          <w:rFonts w:ascii="Calibri" w:hAnsi="Calibri" w:cs="Calibri"/>
          <w:sz w:val="22"/>
          <w:szCs w:val="22"/>
          <w:lang w:val="en-GB"/>
        </w:rPr>
        <w:t>Supplementary Fig. S6: Viability of MAIT cells exposed to FFAs</w:t>
      </w:r>
    </w:p>
    <w:p w14:paraId="64AE7A3B" w14:textId="77777777" w:rsidR="00E04619" w:rsidRPr="009A5B78" w:rsidRDefault="00E04619" w:rsidP="004F3A6B">
      <w:pPr>
        <w:spacing w:line="360" w:lineRule="auto"/>
        <w:jc w:val="both"/>
        <w:rPr>
          <w:rFonts w:ascii="Calibri" w:hAnsi="Calibri" w:cs="Calibri"/>
          <w:b/>
          <w:sz w:val="22"/>
          <w:szCs w:val="22"/>
          <w:lang w:val="en-GB"/>
        </w:rPr>
      </w:pPr>
      <w:r>
        <w:rPr>
          <w:rFonts w:ascii="Calibri" w:hAnsi="Calibri" w:cs="Calibri"/>
          <w:sz w:val="22"/>
          <w:szCs w:val="22"/>
          <w:lang w:val="en-GB"/>
        </w:rPr>
        <w:t xml:space="preserve">Supplementary Fig. S7: </w:t>
      </w:r>
      <w:r w:rsidRPr="0051656B">
        <w:rPr>
          <w:rFonts w:ascii="Calibri" w:hAnsi="Calibri" w:cs="Calibri"/>
          <w:bCs/>
          <w:sz w:val="22"/>
          <w:szCs w:val="22"/>
          <w:lang w:val="en-GB"/>
        </w:rPr>
        <w:t>Long-term survival of patients with HCC and chronic viral infection</w:t>
      </w:r>
    </w:p>
    <w:p w14:paraId="1494078C" w14:textId="77777777" w:rsidR="00E04619" w:rsidRDefault="00E04619" w:rsidP="00DB2B29">
      <w:pPr>
        <w:spacing w:line="480" w:lineRule="auto"/>
        <w:jc w:val="both"/>
        <w:rPr>
          <w:rFonts w:ascii="Calibri" w:hAnsi="Calibri" w:cs="Calibri"/>
          <w:sz w:val="22"/>
          <w:szCs w:val="22"/>
          <w:lang w:val="en-GB"/>
        </w:rPr>
      </w:pPr>
    </w:p>
    <w:p w14:paraId="0DF23EBC" w14:textId="77777777" w:rsidR="00E04619" w:rsidRPr="0051656B" w:rsidRDefault="00E04619" w:rsidP="00DB2B29">
      <w:pPr>
        <w:spacing w:line="480" w:lineRule="auto"/>
        <w:jc w:val="both"/>
        <w:rPr>
          <w:rFonts w:ascii="Calibri" w:hAnsi="Calibri" w:cs="Calibri"/>
          <w:color w:val="000000" w:themeColor="text1"/>
          <w:sz w:val="22"/>
          <w:szCs w:val="22"/>
          <w:lang w:val="en-GB"/>
        </w:rPr>
      </w:pPr>
      <w:r w:rsidRPr="0051656B">
        <w:rPr>
          <w:rFonts w:ascii="Calibri" w:hAnsi="Calibri" w:cs="Calibri"/>
          <w:color w:val="000000" w:themeColor="text1"/>
          <w:sz w:val="22"/>
          <w:szCs w:val="22"/>
          <w:lang w:val="en-GB"/>
        </w:rPr>
        <w:t>Supplementary table S1: Detailed information on origin of liver tissue and its use for analyses</w:t>
      </w:r>
    </w:p>
    <w:p w14:paraId="215D609B" w14:textId="77777777" w:rsidR="00E04619" w:rsidRPr="0051656B" w:rsidRDefault="00E04619" w:rsidP="00DB2B29">
      <w:pPr>
        <w:spacing w:line="480" w:lineRule="auto"/>
        <w:jc w:val="both"/>
        <w:rPr>
          <w:rFonts w:ascii="Calibri" w:hAnsi="Calibri" w:cs="Calibri"/>
          <w:color w:val="000000" w:themeColor="text1"/>
          <w:sz w:val="22"/>
          <w:szCs w:val="22"/>
          <w:lang w:val="en-GB"/>
        </w:rPr>
      </w:pPr>
      <w:r w:rsidRPr="0051656B">
        <w:rPr>
          <w:rFonts w:ascii="Calibri" w:hAnsi="Calibri" w:cs="Calibri"/>
          <w:color w:val="000000" w:themeColor="text1"/>
          <w:sz w:val="22"/>
          <w:szCs w:val="22"/>
          <w:lang w:val="en-GB"/>
        </w:rPr>
        <w:t>Supplementary table S2: List of differentially expressed genes in FFA-exposed MAIT cells</w:t>
      </w:r>
    </w:p>
    <w:p w14:paraId="164FD787" w14:textId="77777777" w:rsidR="00E04619" w:rsidRPr="0051656B" w:rsidRDefault="00E04619" w:rsidP="00DB2B29">
      <w:pPr>
        <w:spacing w:line="480" w:lineRule="auto"/>
        <w:jc w:val="both"/>
        <w:rPr>
          <w:rFonts w:ascii="Calibri" w:hAnsi="Calibri" w:cs="Calibri"/>
          <w:color w:val="000000" w:themeColor="text1"/>
          <w:sz w:val="22"/>
          <w:szCs w:val="22"/>
          <w:lang w:val="en-GB"/>
        </w:rPr>
      </w:pPr>
      <w:r w:rsidRPr="0051656B">
        <w:rPr>
          <w:rFonts w:ascii="Calibri" w:hAnsi="Calibri" w:cs="Calibri"/>
          <w:color w:val="000000" w:themeColor="text1"/>
          <w:sz w:val="22"/>
          <w:szCs w:val="22"/>
          <w:lang w:val="en-GB"/>
        </w:rPr>
        <w:t xml:space="preserve">Supplementary table S3: List of all pathways derived from WikiPathways regulated by FFAs determined by GSEA </w:t>
      </w:r>
    </w:p>
    <w:p w14:paraId="100C18E2" w14:textId="77777777" w:rsidR="00E04619" w:rsidRPr="00DB2B29" w:rsidRDefault="00E04619" w:rsidP="000A1CB8">
      <w:pPr>
        <w:spacing w:line="480" w:lineRule="auto"/>
        <w:rPr>
          <w:rFonts w:ascii="Calibri" w:hAnsi="Calibri" w:cs="Calibri"/>
          <w:b/>
          <w:bCs/>
          <w:sz w:val="22"/>
          <w:szCs w:val="22"/>
          <w:lang w:val="en-GB"/>
        </w:rPr>
      </w:pPr>
    </w:p>
    <w:p w14:paraId="6EA7673D" w14:textId="77777777" w:rsidR="000F2D24" w:rsidRDefault="000F2D24">
      <w:pPr>
        <w:spacing w:line="480" w:lineRule="auto"/>
        <w:jc w:val="both"/>
        <w:rPr>
          <w:rFonts w:ascii="Calibri" w:hAnsi="Calibri" w:cs="Calibri"/>
          <w:b/>
          <w:bCs/>
          <w:sz w:val="22"/>
          <w:szCs w:val="22"/>
          <w:lang w:val="en-US"/>
        </w:rPr>
      </w:pPr>
    </w:p>
    <w:p w14:paraId="0B6C0662" w14:textId="77777777" w:rsidR="000F2D24" w:rsidRDefault="000F2D24">
      <w:pPr>
        <w:spacing w:line="480" w:lineRule="auto"/>
        <w:jc w:val="both"/>
        <w:rPr>
          <w:rFonts w:ascii="Calibri" w:hAnsi="Calibri" w:cs="Calibri"/>
          <w:b/>
          <w:bCs/>
          <w:sz w:val="22"/>
          <w:szCs w:val="22"/>
          <w:lang w:val="en-US"/>
        </w:rPr>
      </w:pPr>
    </w:p>
    <w:p w14:paraId="36EADE54" w14:textId="77777777" w:rsidR="000F2D24" w:rsidRDefault="000F2D24">
      <w:pPr>
        <w:spacing w:line="480" w:lineRule="auto"/>
        <w:jc w:val="both"/>
        <w:rPr>
          <w:rFonts w:ascii="Calibri" w:hAnsi="Calibri" w:cs="Calibri"/>
          <w:b/>
          <w:bCs/>
          <w:sz w:val="22"/>
          <w:szCs w:val="22"/>
          <w:lang w:val="en-US"/>
        </w:rPr>
      </w:pPr>
    </w:p>
    <w:p w14:paraId="5C4FC062" w14:textId="77777777" w:rsidR="000F2D24" w:rsidRDefault="000F2D24">
      <w:pPr>
        <w:spacing w:line="480" w:lineRule="auto"/>
        <w:jc w:val="both"/>
        <w:rPr>
          <w:rFonts w:ascii="Calibri" w:hAnsi="Calibri" w:cs="Calibri"/>
          <w:b/>
          <w:bCs/>
          <w:sz w:val="22"/>
          <w:szCs w:val="22"/>
          <w:lang w:val="en-US"/>
        </w:rPr>
      </w:pPr>
    </w:p>
    <w:p w14:paraId="3B234A7A" w14:textId="6B5FFBE7" w:rsidR="00E04619" w:rsidRDefault="00E04619">
      <w:pPr>
        <w:spacing w:line="480" w:lineRule="auto"/>
        <w:jc w:val="both"/>
        <w:rPr>
          <w:rFonts w:ascii="Calibri" w:hAnsi="Calibri" w:cs="Calibri"/>
          <w:b/>
          <w:bCs/>
          <w:sz w:val="22"/>
          <w:szCs w:val="22"/>
          <w:lang w:val="en-US"/>
        </w:rPr>
      </w:pPr>
      <w:r w:rsidRPr="00CC2EBA">
        <w:rPr>
          <w:rFonts w:ascii="Calibri" w:hAnsi="Calibri" w:cs="Calibri"/>
          <w:b/>
          <w:bCs/>
          <w:sz w:val="22"/>
          <w:szCs w:val="22"/>
          <w:lang w:val="en-US"/>
        </w:rPr>
        <w:lastRenderedPageBreak/>
        <w:t>Supplementary methods</w:t>
      </w:r>
    </w:p>
    <w:p w14:paraId="53ED02E2" w14:textId="77777777" w:rsidR="00E04619" w:rsidRPr="00182559" w:rsidRDefault="00E04619" w:rsidP="00182559">
      <w:pPr>
        <w:spacing w:line="480" w:lineRule="auto"/>
        <w:rPr>
          <w:rFonts w:ascii="Calibri" w:hAnsi="Calibri" w:cs="Calibri"/>
          <w:b/>
          <w:sz w:val="22"/>
          <w:szCs w:val="22"/>
          <w:lang w:val="en-GB"/>
        </w:rPr>
      </w:pPr>
      <w:r w:rsidRPr="00182559">
        <w:rPr>
          <w:rFonts w:ascii="Calibri" w:hAnsi="Calibri" w:cs="Calibri"/>
          <w:b/>
          <w:sz w:val="22"/>
          <w:szCs w:val="22"/>
          <w:lang w:val="en-GB"/>
        </w:rPr>
        <w:t>Human samples and ethical approval</w:t>
      </w:r>
    </w:p>
    <w:p w14:paraId="46948CC4" w14:textId="05EE143C" w:rsidR="00E04619" w:rsidRPr="00182559" w:rsidRDefault="00E04619" w:rsidP="00182559">
      <w:pPr>
        <w:spacing w:line="480" w:lineRule="auto"/>
        <w:jc w:val="both"/>
        <w:rPr>
          <w:rFonts w:ascii="Calibri" w:hAnsi="Calibri" w:cs="Calibri"/>
          <w:sz w:val="22"/>
          <w:szCs w:val="22"/>
          <w:lang w:val="en-GB" w:eastAsia="de-DE"/>
        </w:rPr>
      </w:pPr>
      <w:r w:rsidRPr="00182559">
        <w:rPr>
          <w:rFonts w:ascii="Calibri" w:hAnsi="Calibri" w:cs="Calibri"/>
          <w:sz w:val="22"/>
          <w:szCs w:val="22"/>
          <w:lang w:val="en-GB" w:eastAsia="de-DE"/>
        </w:rPr>
        <w:t xml:space="preserve">This study was fully approved by the ethical boards of the </w:t>
      </w:r>
      <w:r>
        <w:rPr>
          <w:rFonts w:ascii="Calibri" w:hAnsi="Calibri" w:cs="Calibri"/>
          <w:sz w:val="22"/>
          <w:szCs w:val="22"/>
          <w:lang w:val="en-GB" w:eastAsia="de-DE"/>
        </w:rPr>
        <w:t xml:space="preserve">TUM </w:t>
      </w:r>
      <w:r w:rsidRPr="00182559">
        <w:rPr>
          <w:rFonts w:ascii="Calibri" w:hAnsi="Calibri" w:cs="Calibri"/>
          <w:sz w:val="22"/>
          <w:szCs w:val="22"/>
          <w:lang w:val="en-GB" w:eastAsia="de-DE"/>
        </w:rPr>
        <w:t>University</w:t>
      </w:r>
      <w:r>
        <w:rPr>
          <w:rFonts w:ascii="Calibri" w:hAnsi="Calibri" w:cs="Calibri"/>
          <w:sz w:val="22"/>
          <w:szCs w:val="22"/>
          <w:lang w:val="en-GB" w:eastAsia="de-DE"/>
        </w:rPr>
        <w:t xml:space="preserve"> </w:t>
      </w:r>
      <w:r w:rsidRPr="00182559">
        <w:rPr>
          <w:rFonts w:ascii="Calibri" w:hAnsi="Calibri" w:cs="Calibri"/>
          <w:sz w:val="22"/>
          <w:szCs w:val="22"/>
          <w:lang w:val="en-GB" w:eastAsia="de-DE"/>
        </w:rPr>
        <w:t xml:space="preserve">Hospital, Munich (Approval numbers 232/19 S-SR and </w:t>
      </w:r>
      <w:r w:rsidRPr="00182559">
        <w:rPr>
          <w:rFonts w:ascii="Calibri" w:hAnsi="Calibri" w:cs="Calibri"/>
          <w:color w:val="000000"/>
          <w:sz w:val="22"/>
          <w:szCs w:val="22"/>
          <w:lang w:val="en-GB"/>
        </w:rPr>
        <w:t>518/19 S) or the Royal Free Hospital, London, UK</w:t>
      </w:r>
      <w:r w:rsidRPr="00182559">
        <w:rPr>
          <w:rFonts w:ascii="Calibri" w:hAnsi="Calibri" w:cs="Calibri"/>
          <w:sz w:val="22"/>
          <w:szCs w:val="22"/>
          <w:lang w:val="en-GB" w:eastAsia="de-DE"/>
        </w:rPr>
        <w:t xml:space="preserve">. All participants have given informed consent before sample collection according to the declaration of Helsinki. Peripheral blood mononuclear cells (PBMCs) were isolated from healthy donors and MASLD patients at the </w:t>
      </w:r>
      <w:r>
        <w:rPr>
          <w:rFonts w:ascii="Calibri" w:hAnsi="Calibri" w:cs="Calibri"/>
          <w:sz w:val="22"/>
          <w:szCs w:val="22"/>
          <w:lang w:val="en-GB" w:eastAsia="de-DE"/>
        </w:rPr>
        <w:t xml:space="preserve">TUM </w:t>
      </w:r>
      <w:r w:rsidRPr="00182559">
        <w:rPr>
          <w:rFonts w:ascii="Calibri" w:hAnsi="Calibri" w:cs="Calibri"/>
          <w:sz w:val="22"/>
          <w:szCs w:val="22"/>
          <w:lang w:val="en-GB" w:eastAsia="de-DE"/>
        </w:rPr>
        <w:t xml:space="preserve">University Hospital. </w:t>
      </w:r>
      <w:r w:rsidR="00E65393">
        <w:rPr>
          <w:rFonts w:ascii="Calibri" w:hAnsi="Calibri" w:cs="Calibri"/>
          <w:sz w:val="22"/>
          <w:szCs w:val="22"/>
          <w:lang w:val="en-GB" w:eastAsia="de-DE"/>
        </w:rPr>
        <w:t xml:space="preserve">Patients with other chronic liver diseases (i.a. alcohol-associated liver disease, MASLD and increased alcohol intake, autoimmune hepatitis, primary sclerosing cholangitis, primary biliary cholangitis, chronic viral hepatitis), as well as patients under relevant immunosuppression were excluded from the study. </w:t>
      </w:r>
      <w:r w:rsidRPr="00182559">
        <w:rPr>
          <w:rFonts w:ascii="Calibri" w:hAnsi="Calibri" w:cs="Calibri"/>
          <w:sz w:val="22"/>
          <w:szCs w:val="22"/>
          <w:lang w:val="en-GB" w:eastAsia="de-DE"/>
        </w:rPr>
        <w:t>Liver tissue was derived from wedge sections of patients undergoing liver surgery at the TUM University Hospital Munich, Germany, or the Royal Free Hospital London, UK, or from healthy liver explants considered unsuitable for transplantation (enabled by NHSBT), see tables S1 and S2 for patient information. Primary human hepatocytes were provided by the Biobank of the Department of General, Visceral and Transplant Surgery in Ludwig-Maximilians-University (LMU). This Biobank operates under the administration of the Human Tissue and Cell Research (HTCR) Foundation. The framework of HTCR Foundation, which includes obtaining written informed consent from all donors, has been approved by the ethics commission of the Faculty of Medicine at the LMU (approval number 025-12) as well as the Bavarian State Medical Association (approval number 11142) in Germany.</w:t>
      </w:r>
    </w:p>
    <w:p w14:paraId="4BE90DEC" w14:textId="77777777" w:rsidR="00E04619" w:rsidRDefault="00E04619" w:rsidP="00182559">
      <w:pPr>
        <w:spacing w:line="480" w:lineRule="auto"/>
        <w:jc w:val="both"/>
        <w:rPr>
          <w:rFonts w:ascii="Calibri" w:hAnsi="Calibri" w:cs="Calibri"/>
          <w:b/>
          <w:bCs/>
          <w:sz w:val="22"/>
          <w:szCs w:val="22"/>
          <w:lang w:val="en-US"/>
        </w:rPr>
      </w:pPr>
    </w:p>
    <w:p w14:paraId="46C804F4" w14:textId="77777777" w:rsidR="00E04619" w:rsidRPr="0051656B" w:rsidRDefault="00E04619" w:rsidP="0051656B">
      <w:pPr>
        <w:spacing w:line="480" w:lineRule="auto"/>
        <w:rPr>
          <w:rFonts w:ascii="Calibri" w:eastAsia="Times New Roman" w:hAnsi="Calibri" w:cs="Calibri"/>
          <w:b/>
          <w:sz w:val="22"/>
          <w:szCs w:val="22"/>
          <w:lang w:val="en-US" w:eastAsia="de-DE"/>
        </w:rPr>
      </w:pPr>
      <w:r w:rsidRPr="0051656B">
        <w:rPr>
          <w:rFonts w:ascii="Calibri" w:hAnsi="Calibri" w:cs="Calibri"/>
          <w:b/>
          <w:sz w:val="22"/>
          <w:szCs w:val="22"/>
          <w:lang w:val="en-US" w:eastAsia="de-DE"/>
        </w:rPr>
        <w:t>Mice and diets</w:t>
      </w:r>
    </w:p>
    <w:p w14:paraId="0272E5E7" w14:textId="77777777" w:rsidR="00E04619" w:rsidRPr="0051656B" w:rsidRDefault="00E04619" w:rsidP="004305B5">
      <w:pPr>
        <w:spacing w:line="480" w:lineRule="auto"/>
        <w:jc w:val="both"/>
        <w:rPr>
          <w:rFonts w:ascii="Calibri" w:hAnsi="Calibri" w:cs="Calibri"/>
          <w:sz w:val="22"/>
          <w:szCs w:val="22"/>
          <w:lang w:val="en-US" w:eastAsia="de-DE"/>
        </w:rPr>
      </w:pPr>
      <w:r w:rsidRPr="0051656B">
        <w:rPr>
          <w:rFonts w:ascii="Calibri" w:hAnsi="Calibri" w:cs="Calibri"/>
          <w:sz w:val="22"/>
          <w:szCs w:val="22"/>
          <w:lang w:val="en-US" w:eastAsia="de-DE"/>
        </w:rPr>
        <w:t>C57BL/6J</w:t>
      </w:r>
      <w:r>
        <w:rPr>
          <w:rFonts w:ascii="Calibri" w:hAnsi="Calibri" w:cs="Calibri"/>
          <w:sz w:val="22"/>
          <w:szCs w:val="22"/>
          <w:lang w:val="en-US" w:eastAsia="de-DE"/>
        </w:rPr>
        <w:t xml:space="preserve"> m</w:t>
      </w:r>
      <w:r w:rsidRPr="0051656B">
        <w:rPr>
          <w:rFonts w:ascii="Calibri" w:hAnsi="Calibri" w:cs="Calibri"/>
          <w:sz w:val="22"/>
          <w:szCs w:val="22"/>
          <w:lang w:val="en-US" w:eastAsia="de-DE"/>
        </w:rPr>
        <w:t xml:space="preserve">ice were kept on a 12-hour light/dark cycle and between 21-23 °C room temperature under specific pathogen free barrier conditions within individually ventilated cages with </w:t>
      </w:r>
      <w:r w:rsidRPr="0051656B">
        <w:rPr>
          <w:rFonts w:ascii="Calibri" w:hAnsi="Calibri" w:cs="Calibri"/>
          <w:i/>
          <w:sz w:val="22"/>
          <w:szCs w:val="22"/>
          <w:lang w:val="en-US" w:eastAsia="de-DE"/>
        </w:rPr>
        <w:t>ad libitum</w:t>
      </w:r>
      <w:r w:rsidRPr="0051656B">
        <w:rPr>
          <w:rFonts w:ascii="Calibri" w:hAnsi="Calibri" w:cs="Calibri"/>
          <w:sz w:val="22"/>
          <w:szCs w:val="22"/>
          <w:lang w:val="en-US" w:eastAsia="de-DE"/>
        </w:rPr>
        <w:t xml:space="preserve"> access to food and water.</w:t>
      </w:r>
      <w:r w:rsidRPr="0051656B">
        <w:rPr>
          <w:rFonts w:ascii="Calibri" w:hAnsi="Calibri" w:cs="Calibri"/>
          <w:sz w:val="22"/>
          <w:szCs w:val="22"/>
          <w:lang w:val="en-US"/>
        </w:rPr>
        <w:t xml:space="preserve"> </w:t>
      </w:r>
      <w:r w:rsidRPr="0051656B">
        <w:rPr>
          <w:rFonts w:ascii="Calibri" w:hAnsi="Calibri" w:cs="Calibri"/>
          <w:sz w:val="22"/>
          <w:szCs w:val="22"/>
          <w:lang w:val="en-US" w:eastAsia="de-DE"/>
        </w:rPr>
        <w:t xml:space="preserve">The experiments were performed in accordance with German Law and with the approval of Regierungspräsidium Karlsruhe (DKFZ332, G213/20, G97/24). Eight to twelve-week-old male </w:t>
      </w:r>
      <w:r>
        <w:rPr>
          <w:rFonts w:ascii="Calibri" w:hAnsi="Calibri" w:cs="Calibri"/>
          <w:sz w:val="22"/>
          <w:szCs w:val="22"/>
          <w:lang w:val="en-US" w:eastAsia="de-DE"/>
        </w:rPr>
        <w:t xml:space="preserve">C57BL/6 </w:t>
      </w:r>
      <w:r w:rsidRPr="0051656B">
        <w:rPr>
          <w:rFonts w:ascii="Calibri" w:hAnsi="Calibri" w:cs="Calibri"/>
          <w:sz w:val="22"/>
          <w:szCs w:val="22"/>
          <w:lang w:val="en-US" w:eastAsia="de-DE"/>
        </w:rPr>
        <w:t xml:space="preserve">mice were fed a standard chow diet (KLIBA NAFAG, Switzerland) or Western-Diet (WD, </w:t>
      </w:r>
      <w:r w:rsidRPr="0051656B">
        <w:rPr>
          <w:rFonts w:ascii="Calibri" w:hAnsi="Calibri" w:cs="Calibri"/>
          <w:sz w:val="22"/>
          <w:szCs w:val="22"/>
          <w:lang w:val="en-US" w:eastAsia="de-DE"/>
        </w:rPr>
        <w:lastRenderedPageBreak/>
        <w:t xml:space="preserve">Research Diets; D16022301i: 40 % kcal fat, 20 % kcal fructose 2 % cholesterol) to assess MASLD development. For an early timepoint mice were fed for 2 months and for a late timepoint mice were fed for 15 months. </w:t>
      </w:r>
    </w:p>
    <w:p w14:paraId="0CEA798E" w14:textId="77777777" w:rsidR="00E04619" w:rsidRDefault="00E04619" w:rsidP="00182559">
      <w:pPr>
        <w:spacing w:line="480" w:lineRule="auto"/>
        <w:jc w:val="both"/>
        <w:rPr>
          <w:rFonts w:ascii="Calibri" w:hAnsi="Calibri" w:cs="Calibri"/>
          <w:b/>
          <w:bCs/>
          <w:sz w:val="22"/>
          <w:szCs w:val="22"/>
          <w:lang w:val="en-US"/>
        </w:rPr>
      </w:pPr>
    </w:p>
    <w:p w14:paraId="1A45FDA1" w14:textId="77777777" w:rsidR="00E04619" w:rsidRPr="00FF31AD" w:rsidRDefault="00E04619" w:rsidP="00C4131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t>Immune cell isolation and cell culture</w:t>
      </w:r>
    </w:p>
    <w:p w14:paraId="0A1FC713" w14:textId="77777777" w:rsidR="00E04619"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PBMCs were isolated using density-gradient centrifugation (Pancoll, Pan Biotech, no. P04-601000). Liver-associated lymphocytes were isolated from wedge sections of patients undergoing liver surgery (for patient characteristics see table</w:t>
      </w:r>
      <w:r w:rsidRPr="00246150">
        <w:rPr>
          <w:rFonts w:ascii="Calibri" w:hAnsi="Calibri" w:cs="Calibri"/>
          <w:sz w:val="22"/>
          <w:szCs w:val="22"/>
          <w:lang w:val="en-GB"/>
        </w:rPr>
        <w:t xml:space="preserve">s 1-2 and supplementary table </w:t>
      </w:r>
      <w:r w:rsidRPr="0051656B">
        <w:rPr>
          <w:rFonts w:ascii="Calibri" w:hAnsi="Calibri" w:cs="Calibri"/>
          <w:color w:val="000000" w:themeColor="text1"/>
          <w:sz w:val="22"/>
          <w:szCs w:val="22"/>
          <w:lang w:val="en-GB"/>
        </w:rPr>
        <w:t xml:space="preserve">S1). Briefly, tissue was minced, passed </w:t>
      </w:r>
      <w:r w:rsidRPr="0051656B">
        <w:rPr>
          <w:rFonts w:ascii="Calibri" w:hAnsi="Calibri" w:cs="Calibri"/>
          <w:sz w:val="22"/>
          <w:szCs w:val="22"/>
          <w:lang w:val="en-GB"/>
        </w:rPr>
        <w:t xml:space="preserve">through a metal mesh and digested using collagenase type IV (CellSystems, no. LS004188, 500 </w:t>
      </w:r>
      <w:r w:rsidRPr="0051656B">
        <w:rPr>
          <w:rFonts w:ascii="Symbol" w:hAnsi="Symbol" w:cs="Calibri"/>
          <w:sz w:val="22"/>
          <w:szCs w:val="22"/>
          <w:lang w:val="en-GB"/>
        </w:rPr>
        <w:t>m</w:t>
      </w:r>
      <w:r w:rsidRPr="0051656B">
        <w:rPr>
          <w:rFonts w:ascii="Calibri" w:hAnsi="Calibri" w:cs="Calibri"/>
          <w:sz w:val="22"/>
          <w:szCs w:val="22"/>
          <w:lang w:val="en-GB"/>
        </w:rPr>
        <w:t xml:space="preserve">g/mL) and DNAse I (Sigma, no. 4536282001, 10 </w:t>
      </w:r>
      <w:r w:rsidRPr="0051656B">
        <w:rPr>
          <w:rFonts w:ascii="Symbol" w:hAnsi="Symbol" w:cs="Calibri"/>
          <w:sz w:val="22"/>
          <w:szCs w:val="22"/>
          <w:lang w:val="en-GB"/>
        </w:rPr>
        <w:t>m</w:t>
      </w:r>
      <w:r w:rsidRPr="0051656B">
        <w:rPr>
          <w:rFonts w:ascii="Calibri" w:hAnsi="Calibri" w:cs="Calibri"/>
          <w:sz w:val="22"/>
          <w:szCs w:val="22"/>
          <w:lang w:val="en-GB"/>
        </w:rPr>
        <w:t>g/mL) for 10 min at 37°C. Hepatocytes were separated by centrifugation (30 g, 2 min) and lymphocytes were enriched by 33% Percoll (Cytiva, no. 17544502) gradient centrifugation. Red blood cells were removed by 5 min red blood cell lysis with RBC lysis buffer (eBioscience, no. 00-4333-57)</w:t>
      </w:r>
      <w:r>
        <w:rPr>
          <w:rFonts w:ascii="Calibri" w:hAnsi="Calibri" w:cs="Calibri"/>
          <w:sz w:val="22"/>
          <w:szCs w:val="22"/>
          <w:lang w:val="en-GB"/>
        </w:rPr>
        <w:t>.</w:t>
      </w:r>
      <w:r w:rsidRPr="0051656B">
        <w:rPr>
          <w:rFonts w:ascii="Calibri" w:hAnsi="Calibri" w:cs="Calibri"/>
          <w:sz w:val="22"/>
          <w:szCs w:val="22"/>
          <w:lang w:val="en-GB"/>
        </w:rPr>
        <w:t xml:space="preserve"> </w:t>
      </w:r>
      <w:r>
        <w:rPr>
          <w:rFonts w:ascii="Calibri" w:hAnsi="Calibri" w:cs="Calibri"/>
          <w:sz w:val="22"/>
          <w:szCs w:val="22"/>
          <w:lang w:val="en-GB"/>
        </w:rPr>
        <w:t xml:space="preserve">For isolation of liver-associated lymphocytes from mice, </w:t>
      </w:r>
      <w:r w:rsidRPr="0051656B">
        <w:rPr>
          <w:rFonts w:ascii="Calibri" w:hAnsi="Calibri" w:cs="Calibri"/>
          <w:sz w:val="22"/>
          <w:szCs w:val="22"/>
          <w:lang w:val="en-US" w:eastAsia="de-DE"/>
        </w:rPr>
        <w:t>livers were perfused with PBS, minced and digested with RPMI 1640</w:t>
      </w:r>
      <w:r w:rsidRPr="00860817">
        <w:rPr>
          <w:rFonts w:ascii="Calibri" w:hAnsi="Calibri" w:cs="Calibri"/>
          <w:sz w:val="22"/>
          <w:szCs w:val="22"/>
          <w:lang w:val="en-US" w:eastAsia="de-DE"/>
        </w:rPr>
        <w:t xml:space="preserve"> containing 60 U/mL collagenase type </w:t>
      </w:r>
      <w:r w:rsidRPr="0051656B">
        <w:rPr>
          <w:rFonts w:ascii="Calibri" w:hAnsi="Calibri" w:cs="Calibri"/>
          <w:sz w:val="22"/>
          <w:szCs w:val="22"/>
          <w:lang w:val="en-US" w:eastAsia="de-DE"/>
        </w:rPr>
        <w:t>IV (Sigma, no. C5138) and 25 </w:t>
      </w:r>
      <w:r w:rsidRPr="0051656B">
        <w:rPr>
          <w:rFonts w:ascii="Symbol" w:hAnsi="Symbol" w:cs="Calibri"/>
          <w:sz w:val="22"/>
          <w:szCs w:val="22"/>
          <w:lang w:val="en-US" w:eastAsia="de-DE"/>
        </w:rPr>
        <w:t>m</w:t>
      </w:r>
      <w:r w:rsidRPr="0051656B">
        <w:rPr>
          <w:rFonts w:ascii="Calibri" w:hAnsi="Calibri" w:cs="Calibri"/>
          <w:sz w:val="22"/>
          <w:szCs w:val="22"/>
          <w:lang w:val="en-US" w:eastAsia="de-DE"/>
        </w:rPr>
        <w:t>g/mL DNAse</w:t>
      </w:r>
      <w:r>
        <w:rPr>
          <w:rFonts w:ascii="Calibri" w:hAnsi="Calibri" w:cs="Calibri"/>
          <w:sz w:val="22"/>
          <w:szCs w:val="22"/>
          <w:lang w:val="en-US" w:eastAsia="de-DE"/>
        </w:rPr>
        <w:t xml:space="preserve"> </w:t>
      </w:r>
      <w:r w:rsidRPr="0051656B">
        <w:rPr>
          <w:rFonts w:ascii="Calibri" w:hAnsi="Calibri" w:cs="Calibri"/>
          <w:sz w:val="22"/>
          <w:szCs w:val="22"/>
          <w:lang w:val="en-US" w:eastAsia="de-DE"/>
        </w:rPr>
        <w:t>I (Sigma, no. D5025) for 30 min at 37 °C while shaking (130 rpm). Cells were put through a 100 </w:t>
      </w:r>
      <w:r w:rsidRPr="0051656B">
        <w:rPr>
          <w:rFonts w:ascii="Symbol" w:hAnsi="Symbol" w:cs="Calibri"/>
          <w:sz w:val="22"/>
          <w:szCs w:val="22"/>
          <w:lang w:val="en-US" w:eastAsia="de-DE"/>
        </w:rPr>
        <w:t>m</w:t>
      </w:r>
      <w:r w:rsidRPr="0051656B">
        <w:rPr>
          <w:rFonts w:ascii="Calibri" w:hAnsi="Calibri" w:cs="Calibri"/>
          <w:sz w:val="22"/>
          <w:szCs w:val="22"/>
          <w:lang w:val="en-US" w:eastAsia="de-DE"/>
        </w:rPr>
        <w:t>m cell strainer and hepatocytes were removed by centrifugation (300 rpm, 5 min). Red blood cells were removed by red blood cell lysis for 5 min at room temperature. After extensive washing, cells were put through a 40 </w:t>
      </w:r>
      <w:r w:rsidRPr="0051656B">
        <w:rPr>
          <w:rFonts w:ascii="Symbol" w:hAnsi="Symbol" w:cs="Calibri"/>
          <w:sz w:val="22"/>
          <w:szCs w:val="22"/>
          <w:lang w:val="en-US" w:eastAsia="de-DE"/>
        </w:rPr>
        <w:t>m</w:t>
      </w:r>
      <w:r w:rsidRPr="0051656B">
        <w:rPr>
          <w:rFonts w:ascii="Calibri" w:hAnsi="Calibri" w:cs="Calibri"/>
          <w:sz w:val="22"/>
          <w:szCs w:val="22"/>
          <w:lang w:val="en-US" w:eastAsia="de-DE"/>
        </w:rPr>
        <w:t>m cell strainer and immediately used for staining or stimulation.</w:t>
      </w:r>
      <w:r>
        <w:rPr>
          <w:rFonts w:ascii="Calibri" w:hAnsi="Calibri" w:cs="Calibri"/>
          <w:sz w:val="22"/>
          <w:szCs w:val="22"/>
          <w:lang w:val="en-US" w:eastAsia="de-DE"/>
        </w:rPr>
        <w:t xml:space="preserve"> Human </w:t>
      </w:r>
      <w:r w:rsidRPr="0051656B">
        <w:rPr>
          <w:rFonts w:ascii="Calibri" w:hAnsi="Calibri" w:cs="Calibri"/>
          <w:sz w:val="22"/>
          <w:szCs w:val="22"/>
          <w:lang w:val="en-GB"/>
        </w:rPr>
        <w:t>MAIT cells were purified by magnetic bead separation using a human PE-labelled MR1-5-OP-RU tetramer</w:t>
      </w:r>
      <w:r w:rsidRPr="003811D6">
        <w:rPr>
          <w:rFonts w:ascii="Calibri" w:hAnsi="Calibri" w:cs="Calibri"/>
          <w:noProof/>
          <w:sz w:val="22"/>
          <w:szCs w:val="22"/>
          <w:vertAlign w:val="superscript"/>
          <w:lang w:val="en-GB"/>
        </w:rPr>
        <w:t>1</w:t>
      </w:r>
      <w:r w:rsidRPr="0051656B">
        <w:rPr>
          <w:rFonts w:ascii="Calibri" w:hAnsi="Calibri" w:cs="Calibri"/>
          <w:sz w:val="22"/>
          <w:szCs w:val="22"/>
          <w:lang w:val="en-GB"/>
        </w:rPr>
        <w:t xml:space="preserve"> and anti-PE microbeads (Miltenyi Biotec, no. 130-048-801). The MR1 tetramer technology was developed jointly by Dr. James McCluskey, Dr. Jamie Rossjohn, and Dr. David Fairlie, and the material was produced by the NIH Tetramer Core Facility as permitted to be distributed by the University of Melbourne. Purified MAIT cells were expanded and rested unless stated otherwise by culture in medium containing T Cell TransAct human (Miltenyi Biotec, no. 130-111-160, 0.2% v/v) and IL-2 (Miltenyi Biotec, no. 130-097-746, 50 U/mL) in 6-well plates for 7-10 days depending on cell density. Expanded MAIT cells were washed with PBS, rested in complete RPMI </w:t>
      </w:r>
      <w:r w:rsidRPr="0051656B">
        <w:rPr>
          <w:rFonts w:ascii="Calibri" w:hAnsi="Calibri" w:cs="Calibri"/>
          <w:sz w:val="22"/>
          <w:szCs w:val="22"/>
          <w:lang w:val="en-GB"/>
        </w:rPr>
        <w:lastRenderedPageBreak/>
        <w:t>medium for 24 hours and directly used for experiments or frozen for future use.</w:t>
      </w:r>
      <w:r>
        <w:rPr>
          <w:rFonts w:ascii="Calibri" w:hAnsi="Calibri" w:cs="Calibri"/>
          <w:sz w:val="22"/>
          <w:szCs w:val="22"/>
          <w:lang w:val="en-GB"/>
        </w:rPr>
        <w:t xml:space="preserve"> </w:t>
      </w:r>
      <w:r w:rsidRPr="0051656B">
        <w:rPr>
          <w:rFonts w:ascii="Calibri" w:hAnsi="Calibri" w:cs="Calibri"/>
          <w:sz w:val="22"/>
          <w:szCs w:val="22"/>
          <w:lang w:val="en-GB"/>
        </w:rPr>
        <w:t>PBMCs and MAIT cells were cultured in RPMI 1640 medium (Thermofisher, no.21875-034) containing 10% FCS (Thermofisher, no. 10437-028), 2 mM L-glutamine (Thermofisher, no. 35050-061) and 100 U/mL Penicillin Streptomycin (Thermofisher, no. 15140-122) unless otherwise specified. HepG2 and PLC/PRF5 cells were cultured in MEM (Thermofisher, no. 41090-028)), SNU398 and Huh7 cells in DMEM medium (Thermofisher, no. 31966-021) containing the same supplements.</w:t>
      </w:r>
    </w:p>
    <w:p w14:paraId="0024D3F9" w14:textId="77777777" w:rsidR="00E04619" w:rsidRPr="0051656B" w:rsidRDefault="00E04619" w:rsidP="0051656B">
      <w:pPr>
        <w:spacing w:line="480" w:lineRule="auto"/>
        <w:jc w:val="both"/>
        <w:rPr>
          <w:rFonts w:ascii="Calibri" w:hAnsi="Calibri" w:cs="Calibri"/>
          <w:sz w:val="22"/>
          <w:szCs w:val="22"/>
          <w:lang w:val="en-GB"/>
        </w:rPr>
      </w:pPr>
    </w:p>
    <w:p w14:paraId="1FE4ABCC"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t>Hepatocyte isolation</w:t>
      </w:r>
    </w:p>
    <w:p w14:paraId="229F7303" w14:textId="77777777" w:rsidR="00E04619" w:rsidRPr="0051656B" w:rsidRDefault="00E04619" w:rsidP="00246150">
      <w:pPr>
        <w:spacing w:line="480" w:lineRule="auto"/>
        <w:jc w:val="both"/>
        <w:rPr>
          <w:rFonts w:ascii="Calibri" w:hAnsi="Calibri" w:cs="Calibri"/>
          <w:sz w:val="22"/>
          <w:szCs w:val="22"/>
          <w:lang w:val="en-GB"/>
        </w:rPr>
      </w:pPr>
      <w:r w:rsidRPr="0051656B">
        <w:rPr>
          <w:rFonts w:ascii="Calibri" w:hAnsi="Calibri" w:cs="Calibri"/>
          <w:sz w:val="22"/>
          <w:szCs w:val="22"/>
          <w:lang w:val="en-GB"/>
        </w:rPr>
        <w:t>Primary human hepatocytes were isolated using a two-step collagenase perfusion technique</w:t>
      </w:r>
      <w:r w:rsidRPr="003811D6">
        <w:rPr>
          <w:rFonts w:ascii="Calibri" w:hAnsi="Calibri" w:cs="Calibri"/>
          <w:noProof/>
          <w:sz w:val="22"/>
          <w:szCs w:val="22"/>
          <w:vertAlign w:val="superscript"/>
          <w:lang w:val="en-GB"/>
        </w:rPr>
        <w:t>2,3</w:t>
      </w:r>
      <w:r w:rsidRPr="0051656B">
        <w:rPr>
          <w:rFonts w:ascii="Calibri" w:hAnsi="Calibri" w:cs="Calibri"/>
          <w:sz w:val="22"/>
          <w:szCs w:val="22"/>
          <w:lang w:val="en-GB"/>
        </w:rPr>
        <w:t xml:space="preserve"> modified as previously described</w:t>
      </w:r>
      <w:r w:rsidRPr="003811D6">
        <w:rPr>
          <w:rFonts w:ascii="Calibri" w:hAnsi="Calibri" w:cs="Calibri"/>
          <w:noProof/>
          <w:sz w:val="22"/>
          <w:szCs w:val="22"/>
          <w:vertAlign w:val="superscript"/>
          <w:lang w:val="en-GB"/>
        </w:rPr>
        <w:t>4</w:t>
      </w:r>
      <w:r w:rsidRPr="0051656B">
        <w:rPr>
          <w:rFonts w:ascii="Calibri" w:hAnsi="Calibri" w:cs="Calibri"/>
          <w:sz w:val="22"/>
          <w:szCs w:val="22"/>
          <w:lang w:val="en-GB"/>
        </w:rPr>
        <w:t>. Briefly, large blood vessels were flushed with perfusion buffer (PB) (154 mM sodium chloride, 20 mM HEPES, 5.6 mM potassium chloride, 5 mM glucose and 25 mM sodium hydrogen carbonate) with 1 mM EGTA for 10 min. Thereafter, PB with 5 mM calcium chloride was used to remove EGTA. Finally, tissue was perfused with PB with 250-400 U/ml collagenase (Nordmark Biochemicals) and DNAse I (Roche) until the extracellular liver structures were sufficiently digested. Liver cells were released by gently shaking in cold washing buffer (120 mM sodium chloride, 10 mM HEPES, 6.2 mM potassium chloride, 0.9 mM calcium chloride dihydrate and 0.1% w/v albumin), followed by a two-step nylon mesh filtration (210 µm and 70 µm), centrifugation (72g, 5 min, 4 °C) and 3 x washing. Hepatocytes were cultured on 96 well xCelligence plates (ACEA Biosciences) coated for 1h at room temperature with 50</w:t>
      </w:r>
      <w:r>
        <w:rPr>
          <w:rFonts w:ascii="Symbol" w:hAnsi="Symbol" w:cs="Calibri"/>
          <w:sz w:val="22"/>
          <w:szCs w:val="22"/>
          <w:lang w:val="en-GB"/>
        </w:rPr>
        <w:t></w:t>
      </w:r>
      <w:r w:rsidRPr="0051656B">
        <w:rPr>
          <w:rFonts w:ascii="Calibri" w:hAnsi="Calibri" w:cs="Calibri"/>
          <w:sz w:val="22"/>
          <w:szCs w:val="22"/>
          <w:lang w:val="en-GB"/>
        </w:rPr>
        <w:t xml:space="preserve">g/mL collagen type I (CellSystems, no. 5056). Seeding was performed in DMEM medium (Thermofisher, no. 31966-021) containing 10% FCS (Thermofisher, no. 10437-028), </w:t>
      </w:r>
      <w:r w:rsidRPr="0051656B">
        <w:rPr>
          <w:rFonts w:ascii="Calibri" w:hAnsi="Calibri" w:cs="Calibri"/>
          <w:color w:val="000000" w:themeColor="text1"/>
          <w:sz w:val="22"/>
          <w:szCs w:val="22"/>
          <w:lang w:val="en-GB"/>
        </w:rPr>
        <w:t>800 </w:t>
      </w:r>
      <w:r w:rsidRPr="0051656B">
        <w:rPr>
          <w:rFonts w:ascii="Symbol" w:hAnsi="Symbol" w:cs="Calibri"/>
          <w:color w:val="000000" w:themeColor="text1"/>
          <w:sz w:val="22"/>
          <w:szCs w:val="22"/>
          <w:lang w:val="en-GB"/>
        </w:rPr>
        <w:t>m</w:t>
      </w:r>
      <w:r w:rsidRPr="0051656B">
        <w:rPr>
          <w:rFonts w:ascii="Calibri" w:hAnsi="Calibri" w:cs="Calibri"/>
          <w:color w:val="000000" w:themeColor="text1"/>
          <w:sz w:val="22"/>
          <w:szCs w:val="22"/>
          <w:lang w:val="en-GB"/>
        </w:rPr>
        <w:t xml:space="preserve">g/L </w:t>
      </w:r>
      <w:r w:rsidRPr="0051656B">
        <w:rPr>
          <w:rFonts w:ascii="Calibri" w:hAnsi="Calibri" w:cs="Calibri"/>
          <w:sz w:val="22"/>
          <w:szCs w:val="22"/>
          <w:lang w:val="en-GB"/>
        </w:rPr>
        <w:t xml:space="preserve">hydrocortisone (Sigma-Aldrich, </w:t>
      </w:r>
      <w:r w:rsidRPr="004D04E8">
        <w:rPr>
          <w:rFonts w:ascii="Calibri" w:hAnsi="Calibri" w:cs="Calibri"/>
          <w:sz w:val="22"/>
          <w:szCs w:val="22"/>
          <w:lang w:val="en-GB"/>
        </w:rPr>
        <w:t>no. H0888), 125U/L insulin (Sigma-Aldrich, no. I9278), 100 U/mL Penicillin/Streptomycin (Thermofisher, no. 15140-122), 2 mM L-glutamine (Thermofisher, no. 35050-061), and 7.4</w:t>
      </w:r>
      <w:r w:rsidRPr="0051656B">
        <w:rPr>
          <w:rFonts w:ascii="Symbol" w:hAnsi="Symbol" w:cs="Calibri"/>
          <w:sz w:val="22"/>
          <w:szCs w:val="22"/>
          <w:lang w:val="en-GB"/>
        </w:rPr>
        <w:t>m</w:t>
      </w:r>
      <w:r w:rsidRPr="0051656B">
        <w:rPr>
          <w:rFonts w:ascii="Calibri" w:hAnsi="Calibri" w:cs="Calibri"/>
          <w:sz w:val="22"/>
          <w:szCs w:val="22"/>
          <w:lang w:val="en-GB"/>
        </w:rPr>
        <w:t>g/L glucagon (Sigma-Aldrich, no. G2044). After 24h, hepatocytes were cultured in FCS-free DMEM medium containing the same supplements.</w:t>
      </w:r>
    </w:p>
    <w:p w14:paraId="5A0C05A7" w14:textId="77777777" w:rsidR="00E04619" w:rsidRPr="00FF31AD" w:rsidRDefault="00E04619" w:rsidP="0051656B">
      <w:pPr>
        <w:spacing w:line="480" w:lineRule="auto"/>
        <w:jc w:val="both"/>
        <w:rPr>
          <w:rFonts w:ascii="Calibri" w:hAnsi="Calibri" w:cs="Calibri"/>
          <w:b/>
          <w:bCs/>
          <w:sz w:val="22"/>
          <w:szCs w:val="22"/>
          <w:lang w:val="en-GB"/>
        </w:rPr>
      </w:pPr>
    </w:p>
    <w:p w14:paraId="4C8FDC94" w14:textId="77777777" w:rsidR="00972F14" w:rsidRDefault="00972F14" w:rsidP="0051656B">
      <w:pPr>
        <w:spacing w:line="480" w:lineRule="auto"/>
        <w:jc w:val="both"/>
        <w:rPr>
          <w:rFonts w:ascii="Calibri" w:hAnsi="Calibri" w:cs="Calibri"/>
          <w:b/>
          <w:bCs/>
          <w:sz w:val="22"/>
          <w:szCs w:val="22"/>
          <w:lang w:val="en-GB"/>
        </w:rPr>
      </w:pPr>
    </w:p>
    <w:p w14:paraId="1A41CBC6" w14:textId="69C52E58"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lastRenderedPageBreak/>
        <w:t>Stimulation of PBMCs and MAIT cells in vitro</w:t>
      </w:r>
    </w:p>
    <w:p w14:paraId="69331C9B" w14:textId="77777777" w:rsidR="00E04619" w:rsidRDefault="00E04619" w:rsidP="0051656B">
      <w:pPr>
        <w:spacing w:line="480" w:lineRule="auto"/>
        <w:jc w:val="both"/>
        <w:rPr>
          <w:rFonts w:ascii="Calibri" w:hAnsi="Calibri" w:cs="Calibri"/>
          <w:sz w:val="22"/>
          <w:szCs w:val="22"/>
          <w:lang w:val="en-US"/>
        </w:rPr>
      </w:pPr>
      <w:r w:rsidRPr="0051656B">
        <w:rPr>
          <w:rFonts w:ascii="Calibri" w:hAnsi="Calibri" w:cs="Calibri"/>
          <w:sz w:val="22"/>
          <w:szCs w:val="22"/>
          <w:lang w:val="en-GB"/>
        </w:rPr>
        <w:t>2 x 10</w:t>
      </w:r>
      <w:r w:rsidRPr="0051656B">
        <w:rPr>
          <w:rFonts w:ascii="Calibri" w:hAnsi="Calibri" w:cs="Calibri"/>
          <w:sz w:val="22"/>
          <w:szCs w:val="22"/>
          <w:vertAlign w:val="superscript"/>
          <w:lang w:val="en-GB"/>
        </w:rPr>
        <w:t>6</w:t>
      </w:r>
      <w:r w:rsidRPr="0051656B">
        <w:rPr>
          <w:rFonts w:ascii="Calibri" w:hAnsi="Calibri" w:cs="Calibri"/>
          <w:sz w:val="22"/>
          <w:szCs w:val="22"/>
          <w:lang w:val="en-GB"/>
        </w:rPr>
        <w:t xml:space="preserve"> PBMCs, 2 x 10</w:t>
      </w:r>
      <w:r w:rsidRPr="0051656B">
        <w:rPr>
          <w:rFonts w:ascii="Calibri" w:hAnsi="Calibri" w:cs="Calibri"/>
          <w:sz w:val="22"/>
          <w:szCs w:val="22"/>
          <w:vertAlign w:val="superscript"/>
          <w:lang w:val="en-GB"/>
        </w:rPr>
        <w:t>5</w:t>
      </w:r>
      <w:r w:rsidRPr="0051656B">
        <w:rPr>
          <w:rFonts w:ascii="Calibri" w:hAnsi="Calibri" w:cs="Calibri"/>
          <w:sz w:val="22"/>
          <w:szCs w:val="22"/>
          <w:lang w:val="en-GB"/>
        </w:rPr>
        <w:t xml:space="preserve"> liver lymphocytes or 2 x 10</w:t>
      </w:r>
      <w:r w:rsidRPr="0051656B">
        <w:rPr>
          <w:rFonts w:ascii="Calibri" w:hAnsi="Calibri" w:cs="Calibri"/>
          <w:sz w:val="22"/>
          <w:szCs w:val="22"/>
          <w:vertAlign w:val="superscript"/>
          <w:lang w:val="en-GB"/>
        </w:rPr>
        <w:t>5</w:t>
      </w:r>
      <w:r w:rsidRPr="0051656B">
        <w:rPr>
          <w:rFonts w:ascii="Calibri" w:hAnsi="Calibri" w:cs="Calibri"/>
          <w:sz w:val="22"/>
          <w:szCs w:val="22"/>
          <w:lang w:val="en-GB"/>
        </w:rPr>
        <w:t xml:space="preserve"> expanded MAIT cells were stimulated in 96-well U-bottom plates with aCD3/CD28 and/or IL-12 + IL-18, and different free fatty acids (FFAs), antioxidants or chemical compounds were added as indicated. The following reagents were used: Palmitic acid (Sigma, no. P0500), Stearic acid (Sigma, no. S4751), Oleic acid (Sigma, no. O1383), Linoleic acid (Sigma, no. L1012), Arachidonic acid (Sigma, no. A3611), Docosahexaenoic acid (Sigma, D2534), Dynabeads human T-Activator CD3/CD28 (Thermofisher, no. 11131D), T Cell TransAct human (Miltenyi Biotec, no. 130-111-160, 0.2% v/v), IL-12 (Miltenyi Biotec, no. 130-096-705, 50 ng/mL), IL-18 (R&amp;D Systems, no. 9124-IL, 50 ng/mL), PFA fixed E. coli (DH5α , 10 bacteria per cell, Thermofisher, no. 18265017), mitoTEMPO (Sigma, SML0737), Liproxstatin-1 (Sigma, SML1414, 5 µM), N-Acetyl-L-Cystein (Sigma, no. A9165, 500 µM), α-Tocopherol (Sigma, no. T3251, 500 µM), 2,2’-Bipyridyl (Merck, no. D216305, 100 </w:t>
      </w:r>
      <w:r w:rsidRPr="0051656B">
        <w:rPr>
          <w:rFonts w:ascii="Symbol" w:hAnsi="Symbol" w:cs="Calibri"/>
          <w:sz w:val="22"/>
          <w:szCs w:val="22"/>
          <w:lang w:val="en-GB"/>
        </w:rPr>
        <w:t>m</w:t>
      </w:r>
      <w:r w:rsidRPr="0051656B">
        <w:rPr>
          <w:rFonts w:ascii="Calibri" w:hAnsi="Calibri" w:cs="Calibri"/>
          <w:sz w:val="22"/>
          <w:szCs w:val="22"/>
          <w:lang w:val="en-GB"/>
        </w:rPr>
        <w:t xml:space="preserve">M), Deferoxamine (Biomol, no. Cay14595-500, 100 </w:t>
      </w:r>
      <w:r w:rsidRPr="0051656B">
        <w:rPr>
          <w:rFonts w:ascii="Symbol" w:hAnsi="Symbol" w:cs="Calibri"/>
          <w:sz w:val="22"/>
          <w:szCs w:val="22"/>
          <w:lang w:val="en-GB"/>
        </w:rPr>
        <w:t>m</w:t>
      </w:r>
      <w:r w:rsidRPr="0051656B">
        <w:rPr>
          <w:rFonts w:ascii="Calibri" w:hAnsi="Calibri" w:cs="Calibri"/>
          <w:sz w:val="22"/>
          <w:szCs w:val="22"/>
          <w:lang w:val="en-GB"/>
        </w:rPr>
        <w:t>M),Oligomycin (Sigma, no. 75351, 2 µM) and Cumene hydroperoxide (Sigma, no. 247502). Unless indicated differently, FFAs were used at a concentration of 100 µM. Cells were stimulated for 24 h unless indicated otherwise in the respective figures or figure legends. For analysis of cytokine production, Brefeldin A (Thermofisher, no. 00-4506-51) and Monensin (Thermofisher, no. 00-4505-51) were added for 4 hours.</w:t>
      </w:r>
      <w:r w:rsidRPr="00246150">
        <w:rPr>
          <w:rFonts w:ascii="Calibri" w:hAnsi="Calibri" w:cs="Calibri"/>
          <w:sz w:val="22"/>
          <w:szCs w:val="22"/>
          <w:lang w:val="en-US" w:eastAsia="de-DE"/>
        </w:rPr>
        <w:t xml:space="preserve"> </w:t>
      </w:r>
      <w:r>
        <w:rPr>
          <w:rFonts w:ascii="Calibri" w:hAnsi="Calibri" w:cs="Calibri"/>
          <w:sz w:val="22"/>
          <w:szCs w:val="22"/>
          <w:lang w:val="en-US" w:eastAsia="de-DE"/>
        </w:rPr>
        <w:t xml:space="preserve"> Lymphocytes isolated</w:t>
      </w:r>
      <w:r w:rsidRPr="0051656B">
        <w:rPr>
          <w:rFonts w:ascii="Calibri" w:hAnsi="Calibri" w:cs="Calibri"/>
          <w:sz w:val="22"/>
          <w:szCs w:val="22"/>
          <w:lang w:val="en-US" w:eastAsia="de-DE"/>
        </w:rPr>
        <w:t xml:space="preserve"> from mouse liver</w:t>
      </w:r>
      <w:r>
        <w:rPr>
          <w:rFonts w:ascii="Calibri" w:hAnsi="Calibri" w:cs="Calibri"/>
          <w:sz w:val="22"/>
          <w:szCs w:val="22"/>
          <w:lang w:val="en-US" w:eastAsia="de-DE"/>
        </w:rPr>
        <w:t>s</w:t>
      </w:r>
      <w:r w:rsidRPr="0051656B">
        <w:rPr>
          <w:rFonts w:ascii="Calibri" w:hAnsi="Calibri" w:cs="Calibri"/>
          <w:sz w:val="22"/>
          <w:szCs w:val="22"/>
          <w:lang w:val="en-US" w:eastAsia="de-DE"/>
        </w:rPr>
        <w:t xml:space="preserve"> were stimulated with 50 ng/mL </w:t>
      </w:r>
      <w:r w:rsidRPr="0051656B">
        <w:rPr>
          <w:rFonts w:ascii="Calibri" w:hAnsi="Calibri" w:cs="Calibri"/>
          <w:sz w:val="22"/>
          <w:szCs w:val="22"/>
          <w:lang w:val="en-US"/>
        </w:rPr>
        <w:t>PMA (Sigma, no. P1585) and 1 </w:t>
      </w:r>
      <w:r w:rsidRPr="0051656B">
        <w:rPr>
          <w:rFonts w:ascii="Symbol" w:hAnsi="Symbol" w:cs="Calibri"/>
          <w:sz w:val="22"/>
          <w:szCs w:val="22"/>
          <w:lang w:val="en-US"/>
        </w:rPr>
        <w:t>m</w:t>
      </w:r>
      <w:r w:rsidRPr="0051656B">
        <w:rPr>
          <w:rFonts w:ascii="Calibri" w:hAnsi="Calibri" w:cs="Calibri"/>
          <w:sz w:val="22"/>
          <w:szCs w:val="22"/>
          <w:lang w:val="en-US"/>
        </w:rPr>
        <w:t>M ionomycin (Sigma, no. I3909) for 3 h.</w:t>
      </w:r>
    </w:p>
    <w:p w14:paraId="37C93266" w14:textId="77777777" w:rsidR="007F7E76" w:rsidRPr="00FF31AD" w:rsidRDefault="007F7E76" w:rsidP="0051656B">
      <w:pPr>
        <w:spacing w:line="480" w:lineRule="auto"/>
        <w:jc w:val="both"/>
        <w:rPr>
          <w:rFonts w:ascii="Calibri" w:hAnsi="Calibri" w:cs="Calibri"/>
          <w:b/>
          <w:bCs/>
          <w:sz w:val="22"/>
          <w:szCs w:val="22"/>
          <w:lang w:val="en-GB"/>
        </w:rPr>
      </w:pPr>
    </w:p>
    <w:p w14:paraId="68DD508E"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t>In vitro assessment of immune cell metabolism</w:t>
      </w:r>
    </w:p>
    <w:p w14:paraId="0D684728"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To quantify neutral lipid content, MAIT cells were fixed with 4% PFA for 15 min, washed with PBS and stained with 0.1% v/v HCS LipidTOX Green Neutral Lipid stain (Thermofisher, no. H34475). To probe mitochondrial membrane potential, mitochondrial ROS production or lipid peroxide formation, TMRE (Thermofisher, no. T669, 10 nM), MitoSOX (Thermofisher, no. M36008, 1 µM) or BODIPY 581/591 C11 (Thermofisher, D3861, 2 µM) were added to stimulated MAIT cells for 30 min.</w:t>
      </w:r>
    </w:p>
    <w:p w14:paraId="747E8EC3" w14:textId="77777777" w:rsidR="00E04619" w:rsidRPr="00FF31AD" w:rsidRDefault="00E04619" w:rsidP="0051656B">
      <w:pPr>
        <w:spacing w:line="480" w:lineRule="auto"/>
        <w:jc w:val="both"/>
        <w:rPr>
          <w:rFonts w:ascii="Calibri" w:hAnsi="Calibri" w:cs="Calibri"/>
          <w:b/>
          <w:bCs/>
          <w:sz w:val="22"/>
          <w:szCs w:val="22"/>
          <w:lang w:val="en-GB"/>
        </w:rPr>
      </w:pPr>
    </w:p>
    <w:p w14:paraId="3637C8C0"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lastRenderedPageBreak/>
        <w:t>Extracellular flux analysis</w:t>
      </w:r>
    </w:p>
    <w:p w14:paraId="151D359C"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Extracellular acidification rate (ECAR) and oxygen consumption rate (OCR) of 2 x 10</w:t>
      </w:r>
      <w:r w:rsidRPr="0051656B">
        <w:rPr>
          <w:rFonts w:ascii="Calibri" w:hAnsi="Calibri" w:cs="Calibri"/>
          <w:sz w:val="22"/>
          <w:szCs w:val="22"/>
          <w:vertAlign w:val="superscript"/>
          <w:lang w:val="en-GB"/>
        </w:rPr>
        <w:t>5</w:t>
      </w:r>
      <w:r w:rsidRPr="0051656B">
        <w:rPr>
          <w:rFonts w:ascii="Calibri" w:hAnsi="Calibri" w:cs="Calibri"/>
          <w:sz w:val="22"/>
          <w:szCs w:val="22"/>
          <w:lang w:val="en-GB"/>
        </w:rPr>
        <w:t xml:space="preserve"> freshly expanded, rested MAIT cells were measured in XF RPMI Medium pH 7.4 (Agilent, no. 103576-100, containing 2 mM L-glutamine and 11.1 mM glucose) using a 96-well XF Extracellular Flux Analyzer with Analyzer Software v.1.4.2 (Agilent). FFAs were injected during the experiment and OCR and ECAR were measured consequentially. Unless indicated differently, FFAs were used at a concentration of 100 µM. α-tocopherol and iron chelators were added 1 h prior to the start of the experiment. </w:t>
      </w:r>
    </w:p>
    <w:p w14:paraId="1C9E5C91" w14:textId="77777777" w:rsidR="00E04619" w:rsidRPr="00FF31AD" w:rsidRDefault="00E04619" w:rsidP="0051656B">
      <w:pPr>
        <w:spacing w:line="480" w:lineRule="auto"/>
        <w:jc w:val="both"/>
        <w:rPr>
          <w:rFonts w:ascii="Calibri" w:hAnsi="Calibri" w:cs="Calibri"/>
          <w:b/>
          <w:bCs/>
          <w:sz w:val="22"/>
          <w:szCs w:val="22"/>
          <w:lang w:val="en-GB"/>
        </w:rPr>
      </w:pPr>
    </w:p>
    <w:p w14:paraId="0251F7AD"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t>Flow cytometry</w:t>
      </w:r>
    </w:p>
    <w:p w14:paraId="1D9768E3" w14:textId="77777777" w:rsidR="00E04619" w:rsidRDefault="00E04619" w:rsidP="00246150">
      <w:pPr>
        <w:spacing w:line="480" w:lineRule="auto"/>
        <w:jc w:val="both"/>
        <w:rPr>
          <w:rFonts w:ascii="Calibri" w:hAnsi="Calibri" w:cs="Calibri"/>
          <w:sz w:val="22"/>
          <w:szCs w:val="22"/>
          <w:lang w:val="en-GB"/>
        </w:rPr>
      </w:pPr>
      <w:r w:rsidRPr="0051656B">
        <w:rPr>
          <w:rFonts w:ascii="Calibri" w:hAnsi="Calibri" w:cs="Calibri"/>
          <w:sz w:val="22"/>
          <w:szCs w:val="22"/>
          <w:lang w:val="en-GB"/>
        </w:rPr>
        <w:t>Cells were stained for surface and intracellular markers (see supplementary material), dead cells were excluded using LIVE/DEAD Fixable Aqua Dead Cell Stain Kit (Thermofisher, no. L34957). For staining of surface markers, cells were labelled with antibodies or tetramer for 30 min at room temperature in PBS. Intracellular staining of cytokines was performed using eBioscience Intracellular Fixation &amp; Permeabilization Buffer Set (Thermo Fisher, no. 88-8824-00) according to the manufacturer’s instruction. After gating on live, single cells, MAIT cells were identified as CD3+ MR1-5-OP-RU+ cells</w:t>
      </w:r>
      <w:r w:rsidRPr="0051656B">
        <w:rPr>
          <w:rFonts w:ascii="Calibri" w:hAnsi="Calibri" w:cs="Calibri"/>
          <w:sz w:val="22"/>
          <w:szCs w:val="22"/>
          <w:lang w:val="en-US" w:eastAsia="de-DE"/>
        </w:rPr>
        <w:t xml:space="preserve"> in human and as F4/80- B220- TCR</w:t>
      </w:r>
      <w:r w:rsidRPr="0051656B">
        <w:rPr>
          <w:rFonts w:ascii="Symbol" w:hAnsi="Symbol" w:cs="Calibri"/>
          <w:sz w:val="22"/>
          <w:szCs w:val="22"/>
          <w:lang w:val="en-US" w:eastAsia="de-DE"/>
        </w:rPr>
        <w:t>b</w:t>
      </w:r>
      <w:r w:rsidRPr="0051656B">
        <w:rPr>
          <w:rFonts w:ascii="Calibri" w:hAnsi="Calibri" w:cs="Calibri"/>
          <w:sz w:val="22"/>
          <w:szCs w:val="22"/>
          <w:lang w:val="en-US" w:eastAsia="de-DE"/>
        </w:rPr>
        <w:t>+ MR1-5-OP-RU+ cells in mouse</w:t>
      </w:r>
      <w:r w:rsidRPr="0051656B">
        <w:rPr>
          <w:rFonts w:ascii="Calibri" w:hAnsi="Calibri" w:cs="Calibri"/>
          <w:sz w:val="22"/>
          <w:szCs w:val="22"/>
          <w:lang w:val="en-GB"/>
        </w:rPr>
        <w:t xml:space="preserve">. </w:t>
      </w:r>
      <w:r>
        <w:rPr>
          <w:rFonts w:ascii="Calibri" w:hAnsi="Calibri" w:cs="Calibri"/>
          <w:sz w:val="22"/>
          <w:szCs w:val="22"/>
          <w:lang w:val="en-GB"/>
        </w:rPr>
        <w:t>Human s</w:t>
      </w:r>
      <w:r w:rsidRPr="0051656B">
        <w:rPr>
          <w:rFonts w:ascii="Calibri" w:hAnsi="Calibri" w:cs="Calibri"/>
          <w:sz w:val="22"/>
          <w:szCs w:val="22"/>
          <w:lang w:val="en-GB"/>
        </w:rPr>
        <w:t>amples were analysed with SP6800 (SONY Biotechnology) or Aurora (Cytek Biosciences) spectral flow cytometers</w:t>
      </w:r>
      <w:r>
        <w:rPr>
          <w:rFonts w:ascii="Calibri" w:hAnsi="Calibri" w:cs="Calibri"/>
          <w:sz w:val="22"/>
          <w:szCs w:val="22"/>
          <w:lang w:val="en-GB"/>
        </w:rPr>
        <w:t xml:space="preserve"> </w:t>
      </w:r>
      <w:r w:rsidRPr="0051656B">
        <w:rPr>
          <w:rFonts w:ascii="Calibri" w:hAnsi="Calibri" w:cs="Calibri"/>
          <w:sz w:val="22"/>
          <w:szCs w:val="22"/>
          <w:lang w:val="en-US" w:eastAsia="de-DE"/>
        </w:rPr>
        <w:t>and murine samples with LSRFortessa (BD Biosciences)</w:t>
      </w:r>
      <w:r w:rsidRPr="0051656B">
        <w:rPr>
          <w:rFonts w:ascii="Calibri" w:hAnsi="Calibri" w:cs="Calibri"/>
          <w:sz w:val="22"/>
          <w:szCs w:val="22"/>
          <w:lang w:val="en-GB"/>
        </w:rPr>
        <w:t xml:space="preserve">. Data were analysed using FlowJo v10.9.0 (BD Biosciences). </w:t>
      </w:r>
    </w:p>
    <w:p w14:paraId="549F996B" w14:textId="77777777" w:rsidR="00E04619" w:rsidRDefault="00E04619" w:rsidP="008F06D8">
      <w:pPr>
        <w:spacing w:line="480" w:lineRule="auto"/>
        <w:jc w:val="both"/>
        <w:rPr>
          <w:rFonts w:ascii="Calibri" w:hAnsi="Calibri" w:cs="Calibri"/>
          <w:sz w:val="22"/>
          <w:szCs w:val="22"/>
          <w:lang w:val="en-GB"/>
        </w:rPr>
      </w:pPr>
    </w:p>
    <w:p w14:paraId="09CD7D42" w14:textId="77777777" w:rsidR="00E04619" w:rsidRPr="00DB2B29" w:rsidRDefault="00E04619" w:rsidP="008F06D8">
      <w:pPr>
        <w:spacing w:line="480" w:lineRule="auto"/>
        <w:rPr>
          <w:rFonts w:ascii="Calibri" w:hAnsi="Calibri" w:cs="Calibri"/>
          <w:b/>
          <w:sz w:val="22"/>
          <w:szCs w:val="22"/>
          <w:lang w:val="en-GB"/>
        </w:rPr>
      </w:pPr>
      <w:r w:rsidRPr="00DB2B29">
        <w:rPr>
          <w:rFonts w:ascii="Calibri" w:hAnsi="Calibri" w:cs="Calibri"/>
          <w:b/>
          <w:sz w:val="22"/>
          <w:szCs w:val="22"/>
          <w:lang w:val="en-GB"/>
        </w:rPr>
        <w:t xml:space="preserve">Antibodies and tetramers for flow cytometry </w:t>
      </w:r>
    </w:p>
    <w:p w14:paraId="78AD84AE" w14:textId="7BB8000F" w:rsidR="00E04619" w:rsidRPr="00DB2B29" w:rsidRDefault="00E04619" w:rsidP="008F06D8">
      <w:pPr>
        <w:spacing w:line="480" w:lineRule="auto"/>
        <w:jc w:val="both"/>
        <w:rPr>
          <w:rFonts w:ascii="Calibri" w:hAnsi="Calibri" w:cs="Calibri"/>
          <w:sz w:val="22"/>
          <w:szCs w:val="22"/>
          <w:lang w:val="en-GB"/>
        </w:rPr>
      </w:pPr>
      <w:r w:rsidRPr="00DB2B29">
        <w:rPr>
          <w:rFonts w:ascii="Calibri" w:hAnsi="Calibri" w:cs="Calibri"/>
          <w:sz w:val="22"/>
          <w:szCs w:val="22"/>
          <w:lang w:val="en-GB"/>
        </w:rPr>
        <w:t xml:space="preserve">The following anti-human antibodies were purchased from BioLegend: anti-CD3 (OKT3, HIT3a), anti-CD4 (SK3), anti-CD8 (SK1), anti-CD16 (3G8), anti-CD19 (HIB19), anti-CD38 (HIT2), anti-CD39 (A1), anti-CD56 (5.1H11), anti-CD279 (PD-1) (EH12.2H7), anti-IFN-γ (4S.B3), anti-IL-17 (BL168), anti-TCR Vδ2 (B6). The following anti-human antibodies were purchased from BD Biosciences: anti-CD4 (RPA-T4), anti-Granzyme B (GB11), anti-HLA-DR (G46-6), anti-Invariant NK (6B11), anti-Perforin (δG9), anti-TNF alpha (Mab11). The following antibodies were purchased from Miltenyi: anti-IFN-γ (45-15). </w:t>
      </w:r>
      <w:r w:rsidRPr="0051656B">
        <w:rPr>
          <w:rFonts w:ascii="Calibri" w:hAnsi="Calibri" w:cs="Calibri"/>
          <w:sz w:val="22"/>
          <w:szCs w:val="22"/>
          <w:lang w:val="en-GB"/>
        </w:rPr>
        <w:t xml:space="preserve">The following </w:t>
      </w:r>
      <w:r w:rsidRPr="0051656B">
        <w:rPr>
          <w:rFonts w:ascii="Calibri" w:hAnsi="Calibri" w:cs="Calibri"/>
          <w:sz w:val="22"/>
          <w:szCs w:val="22"/>
          <w:lang w:val="en-GB"/>
        </w:rPr>
        <w:lastRenderedPageBreak/>
        <w:t>anti-mouse antibodies were purchased from BioLegend: anti-CD45R/B220 (RA3-6B2), anti-F4/80 (BM8), anti-mouse TCR</w:t>
      </w:r>
      <w:r w:rsidRPr="0051656B">
        <w:rPr>
          <w:rFonts w:ascii="Symbol" w:hAnsi="Symbol" w:cs="Calibri"/>
          <w:sz w:val="22"/>
          <w:szCs w:val="22"/>
          <w:lang w:val="en-GB"/>
        </w:rPr>
        <w:t>b</w:t>
      </w:r>
      <w:r w:rsidRPr="0051656B">
        <w:rPr>
          <w:rFonts w:ascii="Calibri" w:hAnsi="Calibri" w:cs="Calibri"/>
          <w:sz w:val="22"/>
          <w:szCs w:val="22"/>
          <w:lang w:val="en-GB"/>
        </w:rPr>
        <w:t xml:space="preserve"> chain (QA18A18), anti-CD38 (90), anti-I-A/I-E (M5/114.15.2), anti-PD-1 (29F.1.A12), anti-Granzyme B (GB11), anti-TNF-</w:t>
      </w:r>
      <w:r w:rsidRPr="0051656B">
        <w:rPr>
          <w:rFonts w:ascii="Symbol" w:hAnsi="Symbol" w:cs="Calibri"/>
          <w:sz w:val="22"/>
          <w:szCs w:val="22"/>
          <w:lang w:val="en-GB"/>
        </w:rPr>
        <w:t>a</w:t>
      </w:r>
      <w:r w:rsidRPr="0051656B">
        <w:rPr>
          <w:rFonts w:ascii="Calibri" w:hAnsi="Calibri" w:cs="Calibri"/>
          <w:sz w:val="22"/>
          <w:szCs w:val="22"/>
          <w:lang w:val="en-GB"/>
        </w:rPr>
        <w:t xml:space="preserve"> (MP6-XT22).</w:t>
      </w:r>
      <w:r>
        <w:rPr>
          <w:rFonts w:ascii="Calibri" w:hAnsi="Calibri" w:cs="Calibri"/>
          <w:sz w:val="22"/>
          <w:szCs w:val="22"/>
          <w:lang w:val="en-GB"/>
        </w:rPr>
        <w:t xml:space="preserve"> </w:t>
      </w:r>
      <w:r w:rsidRPr="00DB2B29">
        <w:rPr>
          <w:rFonts w:ascii="Calibri" w:hAnsi="Calibri" w:cs="Calibri"/>
          <w:sz w:val="22"/>
          <w:szCs w:val="22"/>
          <w:lang w:val="en-GB"/>
        </w:rPr>
        <w:t xml:space="preserve">Anti-human </w:t>
      </w:r>
      <w:r>
        <w:rPr>
          <w:rFonts w:ascii="Calibri" w:hAnsi="Calibri" w:cs="Calibri"/>
          <w:sz w:val="22"/>
          <w:szCs w:val="22"/>
          <w:lang w:val="en-GB"/>
        </w:rPr>
        <w:t xml:space="preserve">and anti-murine </w:t>
      </w:r>
      <w:r w:rsidRPr="00DB2B29">
        <w:rPr>
          <w:rFonts w:ascii="Calibri" w:hAnsi="Calibri" w:cs="Calibri"/>
          <w:sz w:val="22"/>
          <w:szCs w:val="22"/>
          <w:lang w:val="en-GB"/>
        </w:rPr>
        <w:t xml:space="preserve">MR1-5-OP-RU tetramer (fluorescently-labelled with BV421 and PE) was provided by </w:t>
      </w:r>
      <w:bookmarkStart w:id="0" w:name="citation"/>
      <w:r w:rsidRPr="00DB2B29">
        <w:rPr>
          <w:rFonts w:ascii="Calibri" w:hAnsi="Calibri" w:cs="Calibri"/>
          <w:sz w:val="22"/>
          <w:szCs w:val="22"/>
          <w:lang w:val="en-GB"/>
        </w:rPr>
        <w:t>NIH Tetramer Core Facility</w:t>
      </w:r>
      <w:bookmarkEnd w:id="0"/>
      <w:r w:rsidRPr="00DB2B29">
        <w:rPr>
          <w:rFonts w:ascii="Calibri" w:hAnsi="Calibri" w:cs="Calibri"/>
          <w:sz w:val="22"/>
          <w:szCs w:val="22"/>
          <w:lang w:val="en-GB"/>
        </w:rPr>
        <w:t>.</w:t>
      </w:r>
    </w:p>
    <w:p w14:paraId="33C7F129" w14:textId="77777777" w:rsidR="00E04619" w:rsidRDefault="00E04619" w:rsidP="008F06D8">
      <w:pPr>
        <w:spacing w:line="480" w:lineRule="auto"/>
        <w:rPr>
          <w:rFonts w:ascii="Calibri" w:hAnsi="Calibri" w:cs="Calibri"/>
          <w:sz w:val="22"/>
          <w:szCs w:val="22"/>
          <w:lang w:val="en-US"/>
        </w:rPr>
      </w:pPr>
    </w:p>
    <w:p w14:paraId="187B8598" w14:textId="77777777" w:rsidR="00E04619" w:rsidRPr="008F06D8" w:rsidRDefault="00E04619" w:rsidP="008F06D8">
      <w:pPr>
        <w:spacing w:line="480" w:lineRule="auto"/>
        <w:rPr>
          <w:rFonts w:ascii="Calibri" w:hAnsi="Calibri" w:cs="Calibri"/>
          <w:b/>
          <w:bCs/>
          <w:sz w:val="22"/>
          <w:szCs w:val="22"/>
          <w:lang w:val="en-US"/>
        </w:rPr>
      </w:pPr>
      <w:r w:rsidRPr="008F06D8">
        <w:rPr>
          <w:rFonts w:ascii="Calibri" w:hAnsi="Calibri" w:cs="Calibri"/>
          <w:b/>
          <w:bCs/>
          <w:sz w:val="22"/>
          <w:szCs w:val="22"/>
          <w:lang w:val="en-US"/>
        </w:rPr>
        <w:t>Gating strategy for immune cell populations displayed in Fig. 6K</w:t>
      </w:r>
    </w:p>
    <w:p w14:paraId="55C0C793" w14:textId="77777777" w:rsidR="00E04619" w:rsidRPr="00F34322" w:rsidRDefault="00E04619" w:rsidP="00C4131B">
      <w:pPr>
        <w:spacing w:line="480" w:lineRule="auto"/>
        <w:rPr>
          <w:rFonts w:ascii="Calibri" w:hAnsi="Calibri" w:cs="Calibri"/>
          <w:sz w:val="22"/>
          <w:szCs w:val="22"/>
          <w:lang w:val="en-US"/>
        </w:rPr>
      </w:pPr>
      <w:r w:rsidRPr="00246150">
        <w:rPr>
          <w:rFonts w:ascii="Symbol" w:hAnsi="Symbol" w:cs="Calibri"/>
          <w:sz w:val="22"/>
          <w:szCs w:val="22"/>
          <w:lang w:val="en-GB"/>
        </w:rPr>
        <w:t>gd</w:t>
      </w:r>
      <w:r w:rsidRPr="004305B5">
        <w:rPr>
          <w:rFonts w:ascii="Calibri" w:hAnsi="Calibri" w:cs="Calibri"/>
          <w:sz w:val="22"/>
          <w:szCs w:val="22"/>
          <w:lang w:val="en-GB"/>
        </w:rPr>
        <w:t xml:space="preserve"> </w:t>
      </w:r>
      <w:r w:rsidRPr="0051656B">
        <w:rPr>
          <w:rFonts w:ascii="Calibri" w:hAnsi="Calibri" w:cs="Calibri"/>
          <w:sz w:val="22"/>
          <w:szCs w:val="22"/>
          <w:lang w:val="en-GB"/>
        </w:rPr>
        <w:t>T cells: CD3</w:t>
      </w:r>
      <w:r w:rsidRPr="0051656B">
        <w:rPr>
          <w:rFonts w:ascii="Calibri" w:hAnsi="Calibri" w:cs="Calibri"/>
          <w:sz w:val="22"/>
          <w:szCs w:val="22"/>
          <w:vertAlign w:val="superscript"/>
          <w:lang w:val="en-GB"/>
        </w:rPr>
        <w:t>+</w:t>
      </w:r>
      <w:r w:rsidRPr="0051656B">
        <w:rPr>
          <w:rFonts w:ascii="Calibri" w:hAnsi="Calibri" w:cs="Calibri"/>
          <w:sz w:val="22"/>
          <w:szCs w:val="22"/>
          <w:lang w:val="en-GB"/>
        </w:rPr>
        <w:t>V</w:t>
      </w:r>
      <w:r w:rsidRPr="0051656B">
        <w:rPr>
          <w:rFonts w:ascii="Symbol" w:hAnsi="Symbol" w:cs="Calibri"/>
          <w:sz w:val="22"/>
          <w:szCs w:val="22"/>
          <w:lang w:val="en-GB"/>
        </w:rPr>
        <w:t>d</w:t>
      </w:r>
      <w:r w:rsidRPr="0051656B">
        <w:rPr>
          <w:rFonts w:ascii="Calibri" w:hAnsi="Calibri" w:cs="Calibri"/>
          <w:sz w:val="22"/>
          <w:szCs w:val="22"/>
          <w:lang w:val="en-GB"/>
        </w:rPr>
        <w:t>2</w:t>
      </w:r>
      <w:r w:rsidRPr="0051656B">
        <w:rPr>
          <w:rFonts w:ascii="Calibri" w:hAnsi="Calibri" w:cs="Calibri"/>
          <w:sz w:val="22"/>
          <w:szCs w:val="22"/>
          <w:vertAlign w:val="superscript"/>
          <w:lang w:val="en-GB"/>
        </w:rPr>
        <w:t>+</w:t>
      </w:r>
      <w:r w:rsidRPr="0051656B">
        <w:rPr>
          <w:rFonts w:ascii="Calibri" w:hAnsi="Calibri" w:cs="Calibri"/>
          <w:sz w:val="22"/>
          <w:szCs w:val="22"/>
          <w:lang w:val="en-GB"/>
        </w:rPr>
        <w:t>), iNKT cells: CD3</w:t>
      </w:r>
      <w:r w:rsidRPr="0051656B">
        <w:rPr>
          <w:rFonts w:ascii="Calibri" w:hAnsi="Calibri" w:cs="Calibri"/>
          <w:sz w:val="22"/>
          <w:szCs w:val="22"/>
          <w:vertAlign w:val="superscript"/>
          <w:lang w:val="en-GB"/>
        </w:rPr>
        <w:t>+</w:t>
      </w:r>
      <w:r w:rsidRPr="0051656B">
        <w:rPr>
          <w:rFonts w:ascii="Calibri" w:hAnsi="Calibri" w:cs="Calibri"/>
          <w:sz w:val="22"/>
          <w:szCs w:val="22"/>
          <w:lang w:val="en-GB"/>
        </w:rPr>
        <w:t>iNKT</w:t>
      </w:r>
      <w:r w:rsidRPr="0051656B">
        <w:rPr>
          <w:rFonts w:ascii="Calibri" w:hAnsi="Calibri" w:cs="Calibri"/>
          <w:sz w:val="22"/>
          <w:szCs w:val="22"/>
          <w:vertAlign w:val="superscript"/>
          <w:lang w:val="en-GB"/>
        </w:rPr>
        <w:t>+</w:t>
      </w:r>
      <w:r w:rsidRPr="0051656B">
        <w:rPr>
          <w:rFonts w:ascii="Calibri" w:hAnsi="Calibri" w:cs="Calibri"/>
          <w:sz w:val="22"/>
          <w:szCs w:val="22"/>
          <w:lang w:val="en-GB"/>
        </w:rPr>
        <w:t>,  NKT-like cells: CD3</w:t>
      </w:r>
      <w:r w:rsidRPr="0051656B">
        <w:rPr>
          <w:rFonts w:ascii="Calibri" w:hAnsi="Calibri" w:cs="Calibri"/>
          <w:sz w:val="22"/>
          <w:szCs w:val="22"/>
          <w:vertAlign w:val="superscript"/>
          <w:lang w:val="en-GB"/>
        </w:rPr>
        <w:t>+</w:t>
      </w:r>
      <w:r w:rsidRPr="0051656B">
        <w:rPr>
          <w:rFonts w:ascii="Calibri" w:hAnsi="Calibri" w:cs="Calibri"/>
          <w:sz w:val="22"/>
          <w:szCs w:val="22"/>
          <w:lang w:val="en-GB"/>
        </w:rPr>
        <w:t>CD56</w:t>
      </w:r>
      <w:r w:rsidRPr="0051656B">
        <w:rPr>
          <w:rFonts w:ascii="Calibri" w:hAnsi="Calibri" w:cs="Calibri"/>
          <w:sz w:val="22"/>
          <w:szCs w:val="22"/>
          <w:vertAlign w:val="superscript"/>
          <w:lang w:val="en-GB"/>
        </w:rPr>
        <w:t>+</w:t>
      </w:r>
      <w:r w:rsidRPr="0051656B">
        <w:rPr>
          <w:rFonts w:ascii="Calibri" w:hAnsi="Calibri" w:cs="Calibri"/>
          <w:sz w:val="22"/>
          <w:szCs w:val="22"/>
          <w:lang w:val="en-GB"/>
        </w:rPr>
        <w:t>, CD56</w:t>
      </w:r>
      <w:r w:rsidRPr="0051656B">
        <w:rPr>
          <w:rFonts w:ascii="Calibri" w:hAnsi="Calibri" w:cs="Calibri"/>
          <w:sz w:val="22"/>
          <w:szCs w:val="22"/>
          <w:vertAlign w:val="superscript"/>
          <w:lang w:val="en-GB"/>
        </w:rPr>
        <w:t>bright</w:t>
      </w:r>
      <w:r w:rsidRPr="0051656B">
        <w:rPr>
          <w:rFonts w:ascii="Calibri" w:hAnsi="Calibri" w:cs="Calibri"/>
          <w:sz w:val="22"/>
          <w:szCs w:val="22"/>
          <w:lang w:val="en-GB"/>
        </w:rPr>
        <w:t xml:space="preserve"> NK cells: CD3</w:t>
      </w:r>
      <w:r w:rsidRPr="0051656B">
        <w:rPr>
          <w:rFonts w:ascii="Calibri" w:hAnsi="Calibri" w:cs="Calibri"/>
          <w:sz w:val="22"/>
          <w:szCs w:val="22"/>
          <w:vertAlign w:val="superscript"/>
          <w:lang w:val="en-GB"/>
        </w:rPr>
        <w:t>-</w:t>
      </w:r>
      <w:r w:rsidRPr="0051656B">
        <w:rPr>
          <w:rFonts w:ascii="Calibri" w:hAnsi="Calibri" w:cs="Calibri"/>
          <w:sz w:val="22"/>
          <w:szCs w:val="22"/>
          <w:lang w:val="en-GB"/>
        </w:rPr>
        <w:t>CD56</w:t>
      </w:r>
      <w:r w:rsidRPr="0051656B">
        <w:rPr>
          <w:rFonts w:ascii="Calibri" w:hAnsi="Calibri" w:cs="Calibri"/>
          <w:sz w:val="22"/>
          <w:szCs w:val="22"/>
          <w:vertAlign w:val="superscript"/>
          <w:lang w:val="en-GB"/>
        </w:rPr>
        <w:t>++</w:t>
      </w:r>
      <w:r w:rsidRPr="0051656B">
        <w:rPr>
          <w:rFonts w:ascii="Calibri" w:hAnsi="Calibri" w:cs="Calibri"/>
          <w:sz w:val="22"/>
          <w:szCs w:val="22"/>
          <w:lang w:val="en-GB"/>
        </w:rPr>
        <w:t>CD16</w:t>
      </w:r>
      <w:r w:rsidRPr="0051656B">
        <w:rPr>
          <w:rFonts w:ascii="Calibri" w:hAnsi="Calibri" w:cs="Calibri"/>
          <w:sz w:val="22"/>
          <w:szCs w:val="22"/>
          <w:vertAlign w:val="superscript"/>
          <w:lang w:val="en-GB"/>
        </w:rPr>
        <w:t>-</w:t>
      </w:r>
      <w:r w:rsidRPr="0051656B">
        <w:rPr>
          <w:rFonts w:ascii="Calibri" w:hAnsi="Calibri" w:cs="Calibri"/>
          <w:sz w:val="22"/>
          <w:szCs w:val="22"/>
          <w:lang w:val="en-GB"/>
        </w:rPr>
        <w:t>, CD56</w:t>
      </w:r>
      <w:r w:rsidRPr="0051656B">
        <w:rPr>
          <w:rFonts w:ascii="Calibri" w:hAnsi="Calibri" w:cs="Calibri"/>
          <w:sz w:val="22"/>
          <w:szCs w:val="22"/>
          <w:vertAlign w:val="superscript"/>
          <w:lang w:val="en-GB"/>
        </w:rPr>
        <w:t>dim</w:t>
      </w:r>
      <w:r w:rsidRPr="0051656B">
        <w:rPr>
          <w:rFonts w:ascii="Calibri" w:hAnsi="Calibri" w:cs="Calibri"/>
          <w:sz w:val="22"/>
          <w:szCs w:val="22"/>
          <w:lang w:val="en-GB"/>
        </w:rPr>
        <w:t xml:space="preserve"> NK cells: CD3</w:t>
      </w:r>
      <w:r w:rsidRPr="0051656B">
        <w:rPr>
          <w:rFonts w:ascii="Calibri" w:hAnsi="Calibri" w:cs="Calibri"/>
          <w:sz w:val="22"/>
          <w:szCs w:val="22"/>
          <w:vertAlign w:val="superscript"/>
          <w:lang w:val="en-GB"/>
        </w:rPr>
        <w:t>-</w:t>
      </w:r>
      <w:r w:rsidRPr="0051656B">
        <w:rPr>
          <w:rFonts w:ascii="Calibri" w:hAnsi="Calibri" w:cs="Calibri"/>
          <w:sz w:val="22"/>
          <w:szCs w:val="22"/>
          <w:lang w:val="en-GB"/>
        </w:rPr>
        <w:t>CD56</w:t>
      </w:r>
      <w:r w:rsidRPr="0051656B">
        <w:rPr>
          <w:rFonts w:ascii="Calibri" w:hAnsi="Calibri" w:cs="Calibri"/>
          <w:sz w:val="22"/>
          <w:szCs w:val="22"/>
          <w:vertAlign w:val="superscript"/>
          <w:lang w:val="en-GB"/>
        </w:rPr>
        <w:t>+</w:t>
      </w:r>
      <w:r w:rsidRPr="0051656B">
        <w:rPr>
          <w:rFonts w:ascii="Calibri" w:hAnsi="Calibri" w:cs="Calibri"/>
          <w:sz w:val="22"/>
          <w:szCs w:val="22"/>
          <w:lang w:val="en-GB"/>
        </w:rPr>
        <w:t>CD16</w:t>
      </w:r>
      <w:r w:rsidRPr="0051656B">
        <w:rPr>
          <w:rFonts w:ascii="Calibri" w:hAnsi="Calibri" w:cs="Calibri"/>
          <w:sz w:val="22"/>
          <w:szCs w:val="22"/>
          <w:vertAlign w:val="superscript"/>
          <w:lang w:val="en-GB"/>
        </w:rPr>
        <w:t>+</w:t>
      </w:r>
      <w:r w:rsidRPr="0051656B">
        <w:rPr>
          <w:rFonts w:ascii="Calibri" w:hAnsi="Calibri" w:cs="Calibri"/>
          <w:sz w:val="22"/>
          <w:szCs w:val="22"/>
          <w:lang w:val="en-GB"/>
        </w:rPr>
        <w:t>, B cells: CD3</w:t>
      </w:r>
      <w:r w:rsidRPr="0051656B">
        <w:rPr>
          <w:rFonts w:ascii="Calibri" w:hAnsi="Calibri" w:cs="Calibri"/>
          <w:sz w:val="22"/>
          <w:szCs w:val="22"/>
          <w:vertAlign w:val="superscript"/>
          <w:lang w:val="en-GB"/>
        </w:rPr>
        <w:t>-</w:t>
      </w:r>
      <w:r w:rsidRPr="0051656B">
        <w:rPr>
          <w:rFonts w:ascii="Calibri" w:hAnsi="Calibri" w:cs="Calibri"/>
          <w:sz w:val="22"/>
          <w:szCs w:val="22"/>
          <w:lang w:val="en-GB"/>
        </w:rPr>
        <w:t>CD19</w:t>
      </w:r>
      <w:r w:rsidRPr="0051656B">
        <w:rPr>
          <w:rFonts w:ascii="Calibri" w:hAnsi="Calibri" w:cs="Calibri"/>
          <w:sz w:val="22"/>
          <w:szCs w:val="22"/>
          <w:vertAlign w:val="superscript"/>
          <w:lang w:val="en-GB"/>
        </w:rPr>
        <w:t>+</w:t>
      </w:r>
      <w:r w:rsidRPr="0051656B">
        <w:rPr>
          <w:rFonts w:ascii="Calibri" w:hAnsi="Calibri" w:cs="Calibri"/>
          <w:sz w:val="22"/>
          <w:szCs w:val="22"/>
          <w:lang w:val="en-GB"/>
        </w:rPr>
        <w:t>, CD4+ T cells: CD3</w:t>
      </w:r>
      <w:r w:rsidRPr="0051656B">
        <w:rPr>
          <w:rFonts w:ascii="Calibri" w:hAnsi="Calibri" w:cs="Calibri"/>
          <w:sz w:val="22"/>
          <w:szCs w:val="22"/>
          <w:vertAlign w:val="superscript"/>
          <w:lang w:val="en-GB"/>
        </w:rPr>
        <w:t>+</w:t>
      </w:r>
      <w:r w:rsidRPr="0051656B">
        <w:rPr>
          <w:rFonts w:ascii="Calibri" w:hAnsi="Calibri" w:cs="Calibri"/>
          <w:sz w:val="22"/>
          <w:szCs w:val="22"/>
          <w:lang w:val="en-GB"/>
        </w:rPr>
        <w:t>MR1 5-OP-RU CD4</w:t>
      </w:r>
      <w:r w:rsidRPr="0051656B">
        <w:rPr>
          <w:rFonts w:ascii="Calibri" w:hAnsi="Calibri" w:cs="Calibri"/>
          <w:sz w:val="22"/>
          <w:szCs w:val="22"/>
          <w:vertAlign w:val="superscript"/>
          <w:lang w:val="en-GB"/>
        </w:rPr>
        <w:t>+</w:t>
      </w:r>
      <w:r w:rsidRPr="0051656B">
        <w:rPr>
          <w:rFonts w:ascii="Calibri" w:hAnsi="Calibri" w:cs="Calibri"/>
          <w:sz w:val="22"/>
          <w:szCs w:val="22"/>
          <w:lang w:val="en-GB"/>
        </w:rPr>
        <w:t xml:space="preserve">, </w:t>
      </w:r>
      <w:r w:rsidRPr="0051656B">
        <w:rPr>
          <w:rFonts w:ascii="Calibri" w:hAnsi="Calibri" w:cs="Calibri"/>
          <w:sz w:val="22"/>
          <w:szCs w:val="22"/>
          <w:lang w:val="en-US"/>
        </w:rPr>
        <w:t>CD4+Tem cells: CD3</w:t>
      </w:r>
      <w:r w:rsidRPr="0051656B">
        <w:rPr>
          <w:rFonts w:ascii="Calibri" w:hAnsi="Calibri" w:cs="Calibri"/>
          <w:sz w:val="22"/>
          <w:szCs w:val="22"/>
          <w:vertAlign w:val="superscript"/>
          <w:lang w:val="en-US"/>
        </w:rPr>
        <w:t>+</w:t>
      </w:r>
      <w:r w:rsidRPr="0051656B">
        <w:rPr>
          <w:rFonts w:ascii="Calibri" w:hAnsi="Calibri" w:cs="Calibri"/>
          <w:sz w:val="22"/>
          <w:szCs w:val="22"/>
          <w:lang w:val="en-US"/>
        </w:rPr>
        <w:t xml:space="preserve"> CD4</w:t>
      </w:r>
      <w:r w:rsidRPr="0051656B">
        <w:rPr>
          <w:rFonts w:ascii="Calibri" w:hAnsi="Calibri" w:cs="Calibri"/>
          <w:sz w:val="22"/>
          <w:szCs w:val="22"/>
          <w:vertAlign w:val="superscript"/>
          <w:lang w:val="en-US"/>
        </w:rPr>
        <w:t>+</w:t>
      </w:r>
      <w:r w:rsidRPr="0051656B">
        <w:rPr>
          <w:rFonts w:ascii="Calibri" w:hAnsi="Calibri" w:cs="Calibri"/>
          <w:sz w:val="22"/>
          <w:szCs w:val="22"/>
          <w:lang w:val="en-US"/>
        </w:rPr>
        <w:t xml:space="preserve"> CD45RO</w:t>
      </w:r>
      <w:r w:rsidRPr="0051656B">
        <w:rPr>
          <w:rFonts w:ascii="Calibri" w:hAnsi="Calibri" w:cs="Calibri"/>
          <w:sz w:val="22"/>
          <w:szCs w:val="22"/>
          <w:vertAlign w:val="superscript"/>
          <w:lang w:val="en-US"/>
        </w:rPr>
        <w:t>+</w:t>
      </w:r>
      <w:r w:rsidRPr="0051656B">
        <w:rPr>
          <w:rFonts w:ascii="Calibri" w:hAnsi="Calibri" w:cs="Calibri"/>
          <w:sz w:val="22"/>
          <w:szCs w:val="22"/>
          <w:lang w:val="en-US"/>
        </w:rPr>
        <w:t xml:space="preserve"> CD62L</w:t>
      </w:r>
      <w:r w:rsidRPr="0051656B">
        <w:rPr>
          <w:rFonts w:ascii="Calibri" w:hAnsi="Calibri" w:cs="Calibri"/>
          <w:sz w:val="22"/>
          <w:szCs w:val="22"/>
          <w:vertAlign w:val="superscript"/>
          <w:lang w:val="en-US"/>
        </w:rPr>
        <w:t>-</w:t>
      </w:r>
      <w:r w:rsidRPr="0051656B">
        <w:rPr>
          <w:rFonts w:ascii="Calibri" w:hAnsi="Calibri" w:cs="Calibri"/>
          <w:sz w:val="22"/>
          <w:szCs w:val="22"/>
          <w:lang w:val="en-US"/>
        </w:rPr>
        <w:t xml:space="preserve">, </w:t>
      </w:r>
      <w:r w:rsidRPr="0051656B">
        <w:rPr>
          <w:rFonts w:ascii="Calibri" w:hAnsi="Calibri" w:cs="Calibri"/>
          <w:sz w:val="22"/>
          <w:szCs w:val="22"/>
          <w:lang w:val="en-GB"/>
        </w:rPr>
        <w:t>CD8+ T cells: CD3</w:t>
      </w:r>
      <w:r w:rsidRPr="0051656B">
        <w:rPr>
          <w:rFonts w:ascii="Calibri" w:hAnsi="Calibri" w:cs="Calibri"/>
          <w:sz w:val="22"/>
          <w:szCs w:val="22"/>
          <w:vertAlign w:val="superscript"/>
          <w:lang w:val="en-GB"/>
        </w:rPr>
        <w:t>+</w:t>
      </w:r>
      <w:r w:rsidRPr="0051656B">
        <w:rPr>
          <w:rFonts w:ascii="Calibri" w:hAnsi="Calibri" w:cs="Calibri"/>
          <w:sz w:val="22"/>
          <w:szCs w:val="22"/>
          <w:lang w:val="en-GB"/>
        </w:rPr>
        <w:t>MR1 5-OP-RU CD8</w:t>
      </w:r>
      <w:r w:rsidRPr="0051656B">
        <w:rPr>
          <w:rFonts w:ascii="Calibri" w:hAnsi="Calibri" w:cs="Calibri"/>
          <w:sz w:val="22"/>
          <w:szCs w:val="22"/>
          <w:vertAlign w:val="superscript"/>
          <w:lang w:val="en-GB"/>
        </w:rPr>
        <w:t>+</w:t>
      </w:r>
      <w:r w:rsidRPr="0051656B">
        <w:rPr>
          <w:rFonts w:ascii="Calibri" w:hAnsi="Calibri" w:cs="Calibri"/>
          <w:sz w:val="22"/>
          <w:szCs w:val="22"/>
          <w:lang w:val="en-GB"/>
        </w:rPr>
        <w:t xml:space="preserve"> </w:t>
      </w:r>
      <w:r w:rsidRPr="0051656B">
        <w:rPr>
          <w:rFonts w:ascii="Calibri" w:hAnsi="Calibri" w:cs="Calibri"/>
          <w:sz w:val="22"/>
          <w:szCs w:val="22"/>
          <w:lang w:val="en-US"/>
        </w:rPr>
        <w:t>and CD8+ Tem cells: CD3</w:t>
      </w:r>
      <w:r w:rsidRPr="0051656B">
        <w:rPr>
          <w:rFonts w:ascii="Calibri" w:hAnsi="Calibri" w:cs="Calibri"/>
          <w:sz w:val="22"/>
          <w:szCs w:val="22"/>
          <w:vertAlign w:val="superscript"/>
          <w:lang w:val="en-US"/>
        </w:rPr>
        <w:t>+</w:t>
      </w:r>
      <w:r w:rsidRPr="0051656B">
        <w:rPr>
          <w:rFonts w:ascii="Calibri" w:hAnsi="Calibri" w:cs="Calibri"/>
          <w:sz w:val="22"/>
          <w:szCs w:val="22"/>
          <w:lang w:val="en-US"/>
        </w:rPr>
        <w:t xml:space="preserve"> CD8</w:t>
      </w:r>
      <w:r w:rsidRPr="0051656B">
        <w:rPr>
          <w:rFonts w:ascii="Calibri" w:hAnsi="Calibri" w:cs="Calibri"/>
          <w:sz w:val="22"/>
          <w:szCs w:val="22"/>
          <w:vertAlign w:val="superscript"/>
          <w:lang w:val="en-US"/>
        </w:rPr>
        <w:t>+</w:t>
      </w:r>
      <w:r w:rsidRPr="0051656B">
        <w:rPr>
          <w:rFonts w:ascii="Calibri" w:hAnsi="Calibri" w:cs="Calibri"/>
          <w:sz w:val="22"/>
          <w:szCs w:val="22"/>
          <w:lang w:val="en-US"/>
        </w:rPr>
        <w:t xml:space="preserve"> CD45RO</w:t>
      </w:r>
      <w:r w:rsidRPr="0051656B">
        <w:rPr>
          <w:rFonts w:ascii="Calibri" w:hAnsi="Calibri" w:cs="Calibri"/>
          <w:sz w:val="22"/>
          <w:szCs w:val="22"/>
          <w:vertAlign w:val="superscript"/>
          <w:lang w:val="en-US"/>
        </w:rPr>
        <w:t>+</w:t>
      </w:r>
      <w:r w:rsidRPr="0051656B">
        <w:rPr>
          <w:rFonts w:ascii="Calibri" w:hAnsi="Calibri" w:cs="Calibri"/>
          <w:sz w:val="22"/>
          <w:szCs w:val="22"/>
          <w:lang w:val="en-US"/>
        </w:rPr>
        <w:t xml:space="preserve"> CD62L</w:t>
      </w:r>
      <w:r w:rsidRPr="0051656B">
        <w:rPr>
          <w:rFonts w:ascii="Calibri" w:hAnsi="Calibri" w:cs="Calibri"/>
          <w:sz w:val="22"/>
          <w:szCs w:val="22"/>
          <w:vertAlign w:val="superscript"/>
          <w:lang w:val="en-US"/>
        </w:rPr>
        <w:t>-</w:t>
      </w:r>
      <w:r w:rsidRPr="0051656B">
        <w:rPr>
          <w:rFonts w:ascii="Calibri" w:hAnsi="Calibri" w:cs="Calibri"/>
          <w:sz w:val="22"/>
          <w:szCs w:val="22"/>
          <w:lang w:val="en-US"/>
        </w:rPr>
        <w:t>.</w:t>
      </w:r>
    </w:p>
    <w:p w14:paraId="5FB52472" w14:textId="77777777" w:rsidR="00E04619" w:rsidRPr="00FF31AD" w:rsidRDefault="00E04619" w:rsidP="0051656B">
      <w:pPr>
        <w:spacing w:line="480" w:lineRule="auto"/>
        <w:jc w:val="both"/>
        <w:rPr>
          <w:rFonts w:ascii="Calibri" w:hAnsi="Calibri" w:cs="Calibri"/>
          <w:b/>
          <w:bCs/>
          <w:sz w:val="22"/>
          <w:szCs w:val="22"/>
          <w:lang w:val="en-GB"/>
        </w:rPr>
      </w:pPr>
    </w:p>
    <w:p w14:paraId="434425A5"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t>Time-resolved MAIT cell cytotoxicity assay</w:t>
      </w:r>
    </w:p>
    <w:p w14:paraId="28650AED"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MAIT cell cytotoxicity was analysed with an impedance-based technology using the xCelligence RTCA MP device (ACEA Biosciences). Briefly, 1 x 10</w:t>
      </w:r>
      <w:r w:rsidRPr="0051656B">
        <w:rPr>
          <w:rFonts w:ascii="Calibri" w:hAnsi="Calibri" w:cs="Calibri"/>
          <w:sz w:val="22"/>
          <w:szCs w:val="22"/>
          <w:vertAlign w:val="superscript"/>
          <w:lang w:val="en-GB"/>
        </w:rPr>
        <w:t>5</w:t>
      </w:r>
      <w:r w:rsidRPr="0051656B">
        <w:rPr>
          <w:rFonts w:ascii="Calibri" w:hAnsi="Calibri" w:cs="Calibri"/>
          <w:sz w:val="22"/>
          <w:szCs w:val="22"/>
          <w:lang w:val="en-GB"/>
        </w:rPr>
        <w:t xml:space="preserve"> HepG2, PLC/PRF/5, SNU398 or HuH-7 cells were seeded in 96 well xCelligence plates (ACEA Biosciences) and 2 x 10</w:t>
      </w:r>
      <w:r w:rsidRPr="0051656B">
        <w:rPr>
          <w:rFonts w:ascii="Calibri" w:hAnsi="Calibri" w:cs="Calibri"/>
          <w:sz w:val="22"/>
          <w:szCs w:val="22"/>
          <w:vertAlign w:val="superscript"/>
          <w:lang w:val="en-GB"/>
        </w:rPr>
        <w:t>5</w:t>
      </w:r>
      <w:r w:rsidRPr="0051656B">
        <w:rPr>
          <w:rFonts w:ascii="Calibri" w:hAnsi="Calibri" w:cs="Calibri"/>
          <w:sz w:val="22"/>
          <w:szCs w:val="22"/>
          <w:lang w:val="en-GB"/>
        </w:rPr>
        <w:t xml:space="preserve"> MAIT cells were added after 48 hours. As indicated in the figures, different FFAs, stimuli,</w:t>
      </w:r>
      <w:r>
        <w:rPr>
          <w:rFonts w:ascii="Calibri" w:hAnsi="Calibri" w:cs="Calibri"/>
          <w:sz w:val="22"/>
          <w:szCs w:val="22"/>
          <w:lang w:val="en-GB"/>
        </w:rPr>
        <w:t xml:space="preserve"> </w:t>
      </w:r>
      <w:r w:rsidRPr="0051656B">
        <w:rPr>
          <w:rFonts w:ascii="Calibri" w:hAnsi="Calibri" w:cs="Calibri"/>
          <w:sz w:val="22"/>
          <w:szCs w:val="22"/>
          <w:lang w:val="en-GB"/>
        </w:rPr>
        <w:t>antioxidants, or blocking antibodies were added. The following reagents were used: Palmitic acid (Sigma, no. P0500, 300 µM), Arachidonic acid (Sigma, no. A3611, 200 µM), Docosahexaenoic acid (Sigma, D2534, 200 µM), Dynabeads human T-Activator CD3/CD28 (Thermofisher, no. 11131D), N-Acetyl-L-Cystein (Sigma, no. A9165, 500 µM), α-Tocopherol (Sigma, no. T3251, 500 µM), anti-human FasL (clone NOK1, BioLegend, no. 306415, 20</w:t>
      </w:r>
      <w:r w:rsidRPr="00AF276D">
        <w:rPr>
          <w:rFonts w:ascii="Symbol" w:hAnsi="Symbol" w:cs="Calibri"/>
          <w:sz w:val="22"/>
          <w:szCs w:val="22"/>
          <w:lang w:val="en-GB"/>
        </w:rPr>
        <w:t></w:t>
      </w:r>
      <w:r w:rsidRPr="0051656B">
        <w:rPr>
          <w:rFonts w:ascii="Calibri" w:hAnsi="Calibri" w:cs="Calibri"/>
          <w:sz w:val="22"/>
          <w:szCs w:val="22"/>
          <w:lang w:val="en-GB"/>
        </w:rPr>
        <w:t>g/mL), anti-human TNF</w:t>
      </w:r>
      <w:r w:rsidRPr="00AF276D">
        <w:rPr>
          <w:rFonts w:ascii="Symbol" w:hAnsi="Symbol" w:cs="Calibri"/>
          <w:sz w:val="22"/>
          <w:szCs w:val="22"/>
          <w:lang w:val="en-GB"/>
        </w:rPr>
        <w:t></w:t>
      </w:r>
      <w:r w:rsidRPr="0051656B">
        <w:rPr>
          <w:rFonts w:ascii="Calibri" w:hAnsi="Calibri" w:cs="Calibri"/>
          <w:sz w:val="22"/>
          <w:szCs w:val="22"/>
          <w:lang w:val="en-GB"/>
        </w:rPr>
        <w:t xml:space="preserve"> (Invivogen, no. htnfa-mab4, 10</w:t>
      </w:r>
      <w:r w:rsidRPr="00AF276D">
        <w:rPr>
          <w:rFonts w:ascii="Symbol" w:hAnsi="Symbol" w:cs="Calibri"/>
          <w:sz w:val="22"/>
          <w:szCs w:val="22"/>
          <w:lang w:val="en-GB"/>
        </w:rPr>
        <w:t></w:t>
      </w:r>
      <w:r w:rsidRPr="0051656B">
        <w:rPr>
          <w:rFonts w:ascii="Calibri" w:hAnsi="Calibri" w:cs="Calibri"/>
          <w:sz w:val="22"/>
          <w:szCs w:val="22"/>
          <w:lang w:val="en-GB"/>
        </w:rPr>
        <w:t>g/mL) and anti-human IFN</w:t>
      </w:r>
      <w:r w:rsidRPr="00AF276D">
        <w:rPr>
          <w:rFonts w:ascii="Symbol" w:hAnsi="Symbol" w:cs="Calibri"/>
          <w:sz w:val="22"/>
          <w:szCs w:val="22"/>
          <w:lang w:val="en-GB"/>
        </w:rPr>
        <w:t></w:t>
      </w:r>
      <w:r w:rsidRPr="0051656B">
        <w:rPr>
          <w:rFonts w:ascii="Calibri" w:hAnsi="Calibri" w:cs="Calibri"/>
          <w:sz w:val="22"/>
          <w:szCs w:val="22"/>
          <w:lang w:val="en-GB"/>
        </w:rPr>
        <w:t xml:space="preserve"> (Invivogen, no. hifng-mab7, 10</w:t>
      </w:r>
      <w:r w:rsidRPr="00AF276D">
        <w:rPr>
          <w:rFonts w:ascii="Symbol" w:hAnsi="Symbol" w:cs="Calibri"/>
          <w:sz w:val="22"/>
          <w:szCs w:val="22"/>
          <w:lang w:val="en-GB"/>
        </w:rPr>
        <w:t></w:t>
      </w:r>
      <w:r w:rsidRPr="0051656B">
        <w:rPr>
          <w:rFonts w:ascii="Calibri" w:hAnsi="Calibri" w:cs="Calibri"/>
          <w:sz w:val="22"/>
          <w:szCs w:val="22"/>
          <w:lang w:val="en-GB"/>
        </w:rPr>
        <w:t>g/mL). Measured electrical impedance is shown as cell index and normalised to the time point of starting the co</w:t>
      </w:r>
      <w:r>
        <w:rPr>
          <w:rFonts w:ascii="Calibri" w:hAnsi="Calibri" w:cs="Calibri"/>
          <w:sz w:val="22"/>
          <w:szCs w:val="22"/>
          <w:lang w:val="en-GB"/>
        </w:rPr>
        <w:t>-</w:t>
      </w:r>
      <w:r w:rsidRPr="0051656B">
        <w:rPr>
          <w:rFonts w:ascii="Calibri" w:hAnsi="Calibri" w:cs="Calibri"/>
          <w:sz w:val="22"/>
          <w:szCs w:val="22"/>
          <w:lang w:val="en-GB"/>
        </w:rPr>
        <w:t>culture of MAIT cells with HCC cells or hepatocytes. The cell indices at 6 h and 24 h after the start of coculture were used to calculate the efficacy of HCC cell or hepatocyte killing. The percentage of killing was calculated by subtracting the cell index values from controls (HCC cells or hepatocytes +/-respective substances).</w:t>
      </w:r>
    </w:p>
    <w:p w14:paraId="2B15B091"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lastRenderedPageBreak/>
        <w:t>MAIT cell proliferation assay</w:t>
      </w:r>
    </w:p>
    <w:p w14:paraId="7A236C4F"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E. coli (DH5α, Thermofisher, no. 18265017) were fixed in 2% PFA for 15 min and washed three times with PBS. PBMCs were labelled with CellTrace Violet (Thermofisher, no. C34557) according to the manufacturer’s instructions and cultured with PFA-fixed E. coli (25 bacteria per cell) for 7 days.</w:t>
      </w:r>
    </w:p>
    <w:p w14:paraId="3BFF1766" w14:textId="77777777" w:rsidR="00E04619" w:rsidRPr="00FF31AD" w:rsidRDefault="00E04619" w:rsidP="0051656B">
      <w:pPr>
        <w:spacing w:line="480" w:lineRule="auto"/>
        <w:jc w:val="both"/>
        <w:rPr>
          <w:rFonts w:ascii="Calibri" w:hAnsi="Calibri" w:cs="Calibri"/>
          <w:b/>
          <w:bCs/>
          <w:sz w:val="22"/>
          <w:szCs w:val="22"/>
          <w:lang w:val="en-GB"/>
        </w:rPr>
      </w:pPr>
    </w:p>
    <w:p w14:paraId="443171E8"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t>Quantification of free fatty acids in human blood serum and liver tissue</w:t>
      </w:r>
    </w:p>
    <w:p w14:paraId="37EBA08E"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25 µL of human blood serum was extracted with 15 µL internal standard solution (containing 10 µM different fatty acid species) and 110 µL methanol. After shaking for 15 min (10°C, 1000 rpm), the samples were centrifuged (10 min, 10°C, 15000 rpm) and the clear supernatant was collected. Tissue samples were weighed into a 2 mL TeenPrep™ Lysing Matrix D tube (MP Biomedicals™), and 60 µL of the internal standard solution and 540 µL methanol were added. Samples were extracted using a bead beater (FastPrep-24™ 5G, MP Biomedicals) (3x 20s, with 30s breaks in between, 6 m/sec). After centrifugation (13000 rpm, 10°C), the supernatant was transferred into an LC-MS vial. The targeted method was performed with slight modifications as described before</w:t>
      </w:r>
      <w:r w:rsidRPr="003811D6">
        <w:rPr>
          <w:rFonts w:ascii="Calibri" w:hAnsi="Calibri" w:cs="Calibri"/>
          <w:noProof/>
          <w:sz w:val="22"/>
          <w:szCs w:val="22"/>
          <w:vertAlign w:val="superscript"/>
          <w:lang w:val="en-GB"/>
        </w:rPr>
        <w:t>5,6</w:t>
      </w:r>
      <w:r w:rsidRPr="0051656B">
        <w:rPr>
          <w:rFonts w:ascii="Calibri" w:hAnsi="Calibri" w:cs="Calibri"/>
          <w:sz w:val="22"/>
          <w:szCs w:val="22"/>
          <w:lang w:val="en-GB"/>
        </w:rPr>
        <w:t xml:space="preserve"> using a 5500 QTrap coupled to an ExionLC (both SCIEX). The chromatographic separation was performed using an Acquity UPLC Premier BEH C18 column connected to a VanGuard UPLC BEH C18 pre-column (both Waters Co). The mobile phase solvent A was: ACN:H2O (60:40, v/v) containing 5 mM ammonium acetate (pH 5) and solvent B: IPA:ACN:H2O (45:55:5, v/v) containing 5 mM ammonium acetate (pH 5). The gradient was as follows: 0 min 32% B; 1.5 min 32% B; 3.8 min 45% B; 5 min 45 % B; 10 min 65% B; 15 min 97% B; 17.5 min 97% B; 17.8 min 32% B; 22 min 32% B. The flow rate was 300 µL/min and the injection volume 2 µL. The column oven temperature was 40 °C. The multiple reaction monitoring (MRM) transitions were optimized using reference standards to quantify free fatty acids. The settings of the mass spectrometer were as follows: negative electrospray ionization with an ion spray voltage of -4500 V, Gas 1 55 psi, Gas 2 65 psi, curtain gas 35 psi, temperature 450°C. The instrument was controlled using Analyst (v1.7.2, SCIEX) and MulitQuant (v3.0.3, SCIEX) was used to analyze the data.Enzyme-linked immunosorbent assay (ELISA)</w:t>
      </w:r>
    </w:p>
    <w:p w14:paraId="657B482B"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lastRenderedPageBreak/>
        <w:t>1 x 10</w:t>
      </w:r>
      <w:r w:rsidRPr="0051656B">
        <w:rPr>
          <w:rFonts w:ascii="Calibri" w:hAnsi="Calibri" w:cs="Calibri"/>
          <w:sz w:val="22"/>
          <w:szCs w:val="22"/>
          <w:vertAlign w:val="superscript"/>
          <w:lang w:val="en-GB"/>
        </w:rPr>
        <w:t xml:space="preserve">5 </w:t>
      </w:r>
      <w:r w:rsidRPr="0051656B">
        <w:rPr>
          <w:rFonts w:ascii="Calibri" w:hAnsi="Calibri" w:cs="Calibri"/>
          <w:sz w:val="22"/>
          <w:szCs w:val="22"/>
          <w:lang w:val="en-GB"/>
        </w:rPr>
        <w:t>expanded MAIT cells were incubated for 24 h in the presence of 100 µM Palmitic acid (Sigma, no. P0500), Linoleic acid (Sigma, no. L1012), Arachidonic acid (Sigma, no. A3611) or Docosahexaenoic acid (Sigma, D2534) in a 96-well plate. PGE2 in the supernatant was detected by Prostaglandin E2 ELISA Kit (Cayman Chemical, no. 514010) on a FLUOstar Omega plate reader (BMG Labtech).</w:t>
      </w:r>
    </w:p>
    <w:p w14:paraId="458C78A1" w14:textId="77777777" w:rsidR="00E04619" w:rsidRPr="0051656B" w:rsidRDefault="00E04619" w:rsidP="0051656B">
      <w:pPr>
        <w:spacing w:line="480" w:lineRule="auto"/>
        <w:jc w:val="both"/>
        <w:rPr>
          <w:rFonts w:ascii="Calibri" w:hAnsi="Calibri" w:cs="Calibri"/>
          <w:sz w:val="22"/>
          <w:szCs w:val="22"/>
          <w:lang w:val="en-GB"/>
        </w:rPr>
      </w:pPr>
    </w:p>
    <w:p w14:paraId="38FC9E9E" w14:textId="77777777" w:rsidR="00E04619" w:rsidRPr="00C4131B" w:rsidRDefault="00E04619" w:rsidP="0051656B">
      <w:pPr>
        <w:spacing w:line="480" w:lineRule="auto"/>
        <w:jc w:val="both"/>
        <w:rPr>
          <w:rFonts w:ascii="Calibri" w:hAnsi="Calibri" w:cs="Calibri"/>
          <w:b/>
          <w:bCs/>
          <w:sz w:val="22"/>
          <w:szCs w:val="22"/>
          <w:lang w:val="en-GB"/>
        </w:rPr>
      </w:pPr>
      <w:r w:rsidRPr="00C4131B">
        <w:rPr>
          <w:rFonts w:ascii="Calibri" w:hAnsi="Calibri" w:cs="Calibri"/>
          <w:b/>
          <w:bCs/>
          <w:sz w:val="22"/>
          <w:szCs w:val="22"/>
          <w:lang w:val="en-GB"/>
        </w:rPr>
        <w:t>RNA Isolation and quantitative real-time PCR</w:t>
      </w:r>
    </w:p>
    <w:p w14:paraId="4E5DDCFA"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RNA was isolated from liver tissue using the RNeasy Plus Mini Kit (Qiagen, no. 74136) and cDNA was synthesized using the High-Capacity cDNA Reverse Transcription Kit (Thermofisher, no. 4368814). Quantitative real-time PCR (qRT-PCR) was performed using the TaqMan Universal Master Mix II (Thermofisher, no. 4440038) on a qTower3 G (Analytik Jena). Relative gene expression was calculated by the ΔΔCt method using β-actin as a reference gene</w:t>
      </w:r>
      <w:r w:rsidRPr="003811D6">
        <w:rPr>
          <w:rFonts w:ascii="Calibri" w:hAnsi="Calibri" w:cs="Calibri"/>
          <w:noProof/>
          <w:sz w:val="22"/>
          <w:szCs w:val="22"/>
          <w:vertAlign w:val="superscript"/>
          <w:lang w:val="en-GB"/>
        </w:rPr>
        <w:t>7</w:t>
      </w:r>
      <w:r w:rsidRPr="0051656B">
        <w:rPr>
          <w:rFonts w:ascii="Calibri" w:hAnsi="Calibri" w:cs="Calibri"/>
          <w:sz w:val="22"/>
          <w:szCs w:val="22"/>
          <w:lang w:val="en-GB"/>
        </w:rPr>
        <w:t>. The following TaqMan probes were purchased from Thermofisher: ACTB (Hs99999903_m1), CHAC1 (Hs00225520_m), NFE2L2 (Hs00975961_g1), KEAP1 (Hs00202227_m1), ALOX5 (Hs01095330_m1), ALOX12 (Hs00167524_m1) and ALOX15 (Hs00993765_g1).</w:t>
      </w:r>
    </w:p>
    <w:p w14:paraId="01F34AE6" w14:textId="77777777" w:rsidR="00E04619" w:rsidRPr="00FF31AD" w:rsidRDefault="00E04619" w:rsidP="0051656B">
      <w:pPr>
        <w:spacing w:line="480" w:lineRule="auto"/>
        <w:jc w:val="both"/>
        <w:rPr>
          <w:rFonts w:ascii="Calibri" w:hAnsi="Calibri" w:cs="Calibri"/>
          <w:b/>
          <w:bCs/>
          <w:sz w:val="22"/>
          <w:szCs w:val="22"/>
          <w:lang w:val="en-GB"/>
        </w:rPr>
      </w:pPr>
    </w:p>
    <w:p w14:paraId="6D8D187E"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t>RNA sequencing (RNA-Seq) analysis of human MAIT cells</w:t>
      </w:r>
    </w:p>
    <w:p w14:paraId="58F189CB"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1 x 10</w:t>
      </w:r>
      <w:r w:rsidRPr="0051656B">
        <w:rPr>
          <w:rFonts w:ascii="Calibri" w:hAnsi="Calibri" w:cs="Calibri"/>
          <w:sz w:val="22"/>
          <w:szCs w:val="22"/>
          <w:vertAlign w:val="superscript"/>
          <w:lang w:val="en-GB"/>
        </w:rPr>
        <w:t>6</w:t>
      </w:r>
      <w:r w:rsidRPr="0051656B">
        <w:rPr>
          <w:rFonts w:ascii="Calibri" w:hAnsi="Calibri" w:cs="Calibri"/>
          <w:sz w:val="22"/>
          <w:szCs w:val="22"/>
          <w:lang w:val="en-GB"/>
        </w:rPr>
        <w:t xml:space="preserve"> freshly expanded MAIT cells were treated for 12 h with 100 µM Palmitic acid (Sigma, no. P0500), Linoleic acid (Sigma, no. L1012), Arachidonic acid (Sigma, no. A3611) or Docosahexaenoic acid (Sigma, D2534) in presence or absence of stimulation (0.2% v/v TransAkt human + 50 ng/mL IL-12 and IL-18) and RNA was isolated using the RNeasy Plus Micro Kit (Qiagen, no. 74034). RNA-Seq was performed at Novogene, UK. In brief, mRNA samples were enriched using poly-T oligo-attached magnetic beads and then used to prepare strand-specific cDNA libraries. All samples were sequenced on the Illumina platform yielding roughly 50 million paired-end reads (2 x 150 bp) for each sample. All downstream analyses were performed in R version 4.3.1</w:t>
      </w:r>
      <w:r w:rsidRPr="003811D6">
        <w:rPr>
          <w:rFonts w:ascii="Calibri" w:hAnsi="Calibri" w:cs="Calibri"/>
          <w:noProof/>
          <w:sz w:val="22"/>
          <w:szCs w:val="22"/>
          <w:vertAlign w:val="superscript"/>
          <w:lang w:val="en-GB"/>
        </w:rPr>
        <w:t>8</w:t>
      </w:r>
      <w:r w:rsidRPr="0051656B">
        <w:rPr>
          <w:rFonts w:ascii="Calibri" w:hAnsi="Calibri" w:cs="Calibri"/>
          <w:sz w:val="22"/>
          <w:szCs w:val="22"/>
          <w:lang w:val="en-GB"/>
        </w:rPr>
        <w:t>. FASTQ quality control and pre-processing was done using the Rfastp R package (v1.12.0</w:t>
      </w:r>
      <w:r w:rsidRPr="003811D6">
        <w:rPr>
          <w:rFonts w:ascii="Calibri" w:hAnsi="Calibri" w:cs="Calibri"/>
          <w:noProof/>
          <w:sz w:val="22"/>
          <w:szCs w:val="22"/>
          <w:vertAlign w:val="superscript"/>
          <w:lang w:val="en-GB"/>
        </w:rPr>
        <w:t>9</w:t>
      </w:r>
      <w:r w:rsidRPr="0051656B">
        <w:rPr>
          <w:rFonts w:ascii="Calibri" w:hAnsi="Calibri" w:cs="Calibri"/>
          <w:sz w:val="22"/>
          <w:szCs w:val="22"/>
          <w:lang w:val="en-GB"/>
        </w:rPr>
        <w:t xml:space="preserve">). We used the human reference genome (GRCh38/hg38) for the alignment and ENTREZ gene IDs for annotating genes. Building of the reference genome index, </w:t>
      </w:r>
      <w:r w:rsidRPr="0051656B">
        <w:rPr>
          <w:rFonts w:ascii="Calibri" w:hAnsi="Calibri" w:cs="Calibri"/>
          <w:sz w:val="22"/>
          <w:szCs w:val="22"/>
          <w:lang w:val="en-GB"/>
        </w:rPr>
        <w:lastRenderedPageBreak/>
        <w:t>alignment and counting of the reads was performed using the Rsubread R package (v2.16.0</w:t>
      </w:r>
      <w:r w:rsidRPr="003811D6">
        <w:rPr>
          <w:rFonts w:ascii="Calibri" w:hAnsi="Calibri" w:cs="Calibri"/>
          <w:noProof/>
          <w:sz w:val="22"/>
          <w:szCs w:val="22"/>
          <w:vertAlign w:val="superscript"/>
          <w:lang w:val="en-GB"/>
        </w:rPr>
        <w:t>10</w:t>
      </w:r>
      <w:r w:rsidRPr="0051656B">
        <w:rPr>
          <w:rFonts w:ascii="Calibri" w:hAnsi="Calibri" w:cs="Calibri"/>
          <w:sz w:val="22"/>
          <w:szCs w:val="22"/>
          <w:lang w:val="en-GB"/>
        </w:rPr>
        <w:t>). The raw sequence data have been deposited to GEO with accession number GSE250131.</w:t>
      </w:r>
    </w:p>
    <w:p w14:paraId="4540106E" w14:textId="77777777" w:rsidR="00E04619" w:rsidRPr="00FF31AD" w:rsidRDefault="00E04619" w:rsidP="0051656B">
      <w:pPr>
        <w:spacing w:line="480" w:lineRule="auto"/>
        <w:jc w:val="both"/>
        <w:rPr>
          <w:rFonts w:ascii="Calibri" w:hAnsi="Calibri" w:cs="Calibri"/>
          <w:b/>
          <w:bCs/>
          <w:sz w:val="22"/>
          <w:szCs w:val="22"/>
          <w:lang w:val="en-GB"/>
        </w:rPr>
      </w:pPr>
    </w:p>
    <w:p w14:paraId="45C32414"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t>Bioinformatic analyses of bulk RNA-Seq data</w:t>
      </w:r>
    </w:p>
    <w:p w14:paraId="6A4BDE1E"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Genes with raw gene counts &lt; 50 were excluded from analysis. Differentially expressed genes (DEGs) were identified using DESeq2 v1.40.2</w:t>
      </w:r>
      <w:r w:rsidRPr="003811D6">
        <w:rPr>
          <w:rFonts w:ascii="Calibri" w:hAnsi="Calibri" w:cs="Calibri"/>
          <w:noProof/>
          <w:sz w:val="22"/>
          <w:szCs w:val="22"/>
          <w:vertAlign w:val="superscript"/>
          <w:lang w:val="en-GB"/>
        </w:rPr>
        <w:t>11</w:t>
      </w:r>
      <w:r w:rsidRPr="0051656B">
        <w:rPr>
          <w:rFonts w:ascii="Calibri" w:hAnsi="Calibri" w:cs="Calibri"/>
          <w:sz w:val="22"/>
          <w:szCs w:val="22"/>
          <w:lang w:val="en-GB"/>
        </w:rPr>
        <w:t xml:space="preserve"> with an absolute log2fold change of &gt; 1 and adjusted p-value &lt; 0.05. Principal component analysis (PCA) was performed using the prcomp function in R and visualized using ggplot2 (v3.4.3</w:t>
      </w:r>
      <w:r w:rsidRPr="003811D6">
        <w:rPr>
          <w:rFonts w:ascii="Calibri" w:hAnsi="Calibri" w:cs="Calibri"/>
          <w:noProof/>
          <w:sz w:val="22"/>
          <w:szCs w:val="22"/>
          <w:vertAlign w:val="superscript"/>
          <w:lang w:val="en-GB"/>
        </w:rPr>
        <w:t>12</w:t>
      </w:r>
      <w:r w:rsidRPr="0051656B">
        <w:rPr>
          <w:rFonts w:ascii="Calibri" w:hAnsi="Calibri" w:cs="Calibri"/>
          <w:sz w:val="22"/>
          <w:szCs w:val="22"/>
          <w:lang w:val="en-GB"/>
        </w:rPr>
        <w:t>). Heatmaps were plotted using the pheatmap (v1.0.12</w:t>
      </w:r>
      <w:r w:rsidRPr="003811D6">
        <w:rPr>
          <w:rFonts w:ascii="Calibri" w:hAnsi="Calibri" w:cs="Calibri"/>
          <w:noProof/>
          <w:sz w:val="22"/>
          <w:szCs w:val="22"/>
          <w:vertAlign w:val="superscript"/>
          <w:lang w:val="en-GB"/>
        </w:rPr>
        <w:t>13</w:t>
      </w:r>
      <w:r w:rsidRPr="0051656B">
        <w:rPr>
          <w:rFonts w:ascii="Calibri" w:hAnsi="Calibri" w:cs="Calibri"/>
          <w:sz w:val="22"/>
          <w:szCs w:val="22"/>
          <w:lang w:val="en-GB"/>
        </w:rPr>
        <w:t>) R package. Weighted gene set enrichment analysis (GSEA) was performed on all genes from comparisons between FFA treated, stimulated or non-stimulated MAIT cells and controls. Genes were ranked according to the stat column of DESeq2 output. GSEA was performed by using the GSEA function of the clusterProfiler R package (v4.8.3</w:t>
      </w:r>
      <w:r w:rsidRPr="003811D6">
        <w:rPr>
          <w:rFonts w:ascii="Calibri" w:hAnsi="Calibri" w:cs="Calibri"/>
          <w:noProof/>
          <w:sz w:val="22"/>
          <w:szCs w:val="22"/>
          <w:vertAlign w:val="superscript"/>
          <w:lang w:val="en-GB"/>
        </w:rPr>
        <w:t>14</w:t>
      </w:r>
      <w:r w:rsidRPr="0051656B">
        <w:rPr>
          <w:rFonts w:ascii="Calibri" w:hAnsi="Calibri" w:cs="Calibri"/>
          <w:sz w:val="22"/>
          <w:szCs w:val="22"/>
          <w:lang w:val="en-GB"/>
        </w:rPr>
        <w:t>) with gene sets aquired from WikiPathways, Reactome, KEGG and Gene Ontology (GO) databases as indicated in the figure legends. GSVA analysis was performed with the GSVA R package (v.3.20</w:t>
      </w:r>
      <w:r w:rsidRPr="003811D6">
        <w:rPr>
          <w:rFonts w:ascii="Calibri" w:hAnsi="Calibri" w:cs="Calibri"/>
          <w:noProof/>
          <w:sz w:val="22"/>
          <w:szCs w:val="22"/>
          <w:vertAlign w:val="superscript"/>
          <w:lang w:val="en-GB"/>
        </w:rPr>
        <w:t>15</w:t>
      </w:r>
      <w:r w:rsidRPr="0051656B">
        <w:rPr>
          <w:rFonts w:ascii="Calibri" w:hAnsi="Calibri" w:cs="Calibri"/>
          <w:sz w:val="22"/>
          <w:szCs w:val="22"/>
          <w:lang w:val="en-GB"/>
        </w:rPr>
        <w:t>). Results were visualized using ggplot2 and cnet plots were prepared with the enrichplot R package (v1.20.3</w:t>
      </w:r>
      <w:r w:rsidRPr="003811D6">
        <w:rPr>
          <w:rFonts w:ascii="Calibri" w:hAnsi="Calibri" w:cs="Calibri"/>
          <w:noProof/>
          <w:sz w:val="22"/>
          <w:szCs w:val="22"/>
          <w:vertAlign w:val="superscript"/>
          <w:lang w:val="en-GB"/>
        </w:rPr>
        <w:t>16</w:t>
      </w:r>
      <w:r w:rsidRPr="0051656B">
        <w:rPr>
          <w:rFonts w:ascii="Calibri" w:hAnsi="Calibri" w:cs="Calibri"/>
          <w:sz w:val="22"/>
          <w:szCs w:val="22"/>
          <w:lang w:val="en-GB"/>
        </w:rPr>
        <w:t>).</w:t>
      </w:r>
    </w:p>
    <w:p w14:paraId="7B951058" w14:textId="77777777" w:rsidR="00E04619" w:rsidRPr="00FF31AD" w:rsidRDefault="00E04619" w:rsidP="0051656B">
      <w:pPr>
        <w:spacing w:line="480" w:lineRule="auto"/>
        <w:jc w:val="both"/>
        <w:rPr>
          <w:rFonts w:ascii="Calibri" w:hAnsi="Calibri" w:cs="Calibri"/>
          <w:b/>
          <w:bCs/>
          <w:sz w:val="22"/>
          <w:szCs w:val="22"/>
          <w:lang w:val="en-GB"/>
        </w:rPr>
      </w:pPr>
    </w:p>
    <w:p w14:paraId="20A0EBF1"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t>Bioinformatic analyses of scRNA data</w:t>
      </w:r>
    </w:p>
    <w:p w14:paraId="58884CA6"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Single cell analysis of MASH patient data was performed with the publically available datasets GSE159977</w:t>
      </w:r>
      <w:r w:rsidRPr="003811D6">
        <w:rPr>
          <w:rFonts w:ascii="Calibri" w:hAnsi="Calibri" w:cs="Calibri"/>
          <w:noProof/>
          <w:sz w:val="22"/>
          <w:szCs w:val="22"/>
          <w:vertAlign w:val="superscript"/>
          <w:lang w:val="en-GB"/>
        </w:rPr>
        <w:t>17</w:t>
      </w:r>
      <w:r w:rsidRPr="0051656B">
        <w:rPr>
          <w:rFonts w:ascii="Calibri" w:hAnsi="Calibri" w:cs="Calibri"/>
          <w:sz w:val="22"/>
          <w:szCs w:val="22"/>
          <w:lang w:val="en-GB"/>
        </w:rPr>
        <w:t xml:space="preserve"> and GSE149614</w:t>
      </w:r>
      <w:r w:rsidRPr="003811D6">
        <w:rPr>
          <w:rFonts w:ascii="Calibri" w:hAnsi="Calibri" w:cs="Calibri"/>
          <w:noProof/>
          <w:sz w:val="22"/>
          <w:szCs w:val="22"/>
          <w:vertAlign w:val="superscript"/>
          <w:lang w:val="en-GB"/>
        </w:rPr>
        <w:t>18</w:t>
      </w:r>
      <w:r w:rsidRPr="0051656B">
        <w:rPr>
          <w:rFonts w:ascii="Calibri" w:hAnsi="Calibri" w:cs="Calibri"/>
          <w:sz w:val="22"/>
          <w:szCs w:val="22"/>
          <w:lang w:val="en-GB"/>
        </w:rPr>
        <w:t>. After downloading the integrated data from the GEO database, quality control and normalisation were executed using Seurat v4.3.0.1</w:t>
      </w:r>
      <w:r w:rsidRPr="003811D6">
        <w:rPr>
          <w:rFonts w:ascii="Calibri" w:hAnsi="Calibri" w:cs="Calibri"/>
          <w:noProof/>
          <w:sz w:val="22"/>
          <w:szCs w:val="22"/>
          <w:vertAlign w:val="superscript"/>
          <w:lang w:val="en-GB"/>
        </w:rPr>
        <w:t>19,20</w:t>
      </w:r>
      <w:r w:rsidRPr="0051656B">
        <w:rPr>
          <w:rFonts w:ascii="Calibri" w:hAnsi="Calibri" w:cs="Calibri"/>
          <w:sz w:val="22"/>
          <w:szCs w:val="22"/>
          <w:lang w:val="en-GB"/>
        </w:rPr>
        <w:t>. Cells with more than 10% mitochondrial genes, fewer than 200 genes per cell, or more than 6000 genes per cell were excluded. The dataset was scaled and principal components analysis (PCA) was executed using the RunPCA function of Seurat. The top 40 principal components (PCs) were selected to construct a shared nearest neighbor (SNN) network and an unsupervised graph-based clustering approach, the Leiden algorithm</w:t>
      </w:r>
      <w:r w:rsidRPr="003811D6">
        <w:rPr>
          <w:rFonts w:ascii="Calibri" w:hAnsi="Calibri" w:cs="Calibri"/>
          <w:noProof/>
          <w:sz w:val="22"/>
          <w:szCs w:val="22"/>
          <w:vertAlign w:val="superscript"/>
          <w:lang w:val="en-GB"/>
        </w:rPr>
        <w:t>21</w:t>
      </w:r>
      <w:r w:rsidRPr="0051656B">
        <w:rPr>
          <w:rFonts w:ascii="Calibri" w:hAnsi="Calibri" w:cs="Calibri"/>
          <w:sz w:val="22"/>
          <w:szCs w:val="22"/>
          <w:lang w:val="en-GB"/>
        </w:rPr>
        <w:t>, was applied to cluster cells. Uniform manifold approximation and projection (UMAP) was applied to visualize the clustering result in a two-dimensional space using the umap-learn algorithm</w:t>
      </w:r>
      <w:r w:rsidRPr="003811D6">
        <w:rPr>
          <w:rFonts w:ascii="Calibri" w:hAnsi="Calibri" w:cs="Calibri"/>
          <w:noProof/>
          <w:sz w:val="22"/>
          <w:szCs w:val="22"/>
          <w:vertAlign w:val="superscript"/>
          <w:lang w:val="en-GB"/>
        </w:rPr>
        <w:t>22</w:t>
      </w:r>
      <w:r w:rsidRPr="0051656B">
        <w:rPr>
          <w:rFonts w:ascii="Calibri" w:hAnsi="Calibri" w:cs="Calibri"/>
          <w:sz w:val="22"/>
          <w:szCs w:val="22"/>
          <w:lang w:val="en-GB"/>
        </w:rPr>
        <w:t xml:space="preserve">. </w:t>
      </w:r>
      <w:r w:rsidRPr="0051656B">
        <w:rPr>
          <w:rFonts w:ascii="Calibri" w:hAnsi="Calibri" w:cs="Calibri"/>
          <w:sz w:val="22"/>
          <w:szCs w:val="22"/>
          <w:lang w:val="en-GB"/>
        </w:rPr>
        <w:lastRenderedPageBreak/>
        <w:t>The MAIT cell cluster was located using the marker SLC4A10 (encoding solute carrier family 4 member 10) as described before</w:t>
      </w:r>
      <w:r w:rsidRPr="003811D6">
        <w:rPr>
          <w:rFonts w:ascii="Calibri" w:hAnsi="Calibri" w:cs="Calibri"/>
          <w:noProof/>
          <w:sz w:val="22"/>
          <w:szCs w:val="22"/>
          <w:vertAlign w:val="superscript"/>
          <w:lang w:val="en-GB"/>
        </w:rPr>
        <w:t>23</w:t>
      </w:r>
      <w:r w:rsidRPr="0051656B">
        <w:rPr>
          <w:rFonts w:ascii="Calibri" w:hAnsi="Calibri" w:cs="Calibri"/>
          <w:sz w:val="22"/>
          <w:szCs w:val="22"/>
          <w:lang w:val="en-GB"/>
        </w:rPr>
        <w:t xml:space="preserve"> and was extracted to another dataset to perform downstream analyses. Calculation of gene signature scores on MAIT cells was performed with the UCell R package (v2.4.0</w:t>
      </w:r>
      <w:r w:rsidRPr="003811D6">
        <w:rPr>
          <w:rFonts w:ascii="Calibri" w:hAnsi="Calibri" w:cs="Calibri"/>
          <w:noProof/>
          <w:sz w:val="22"/>
          <w:szCs w:val="22"/>
          <w:vertAlign w:val="superscript"/>
          <w:lang w:val="en-GB"/>
        </w:rPr>
        <w:t>24</w:t>
      </w:r>
      <w:r w:rsidRPr="0051656B">
        <w:rPr>
          <w:rFonts w:ascii="Calibri" w:hAnsi="Calibri" w:cs="Calibri"/>
          <w:sz w:val="22"/>
          <w:szCs w:val="22"/>
          <w:lang w:val="en-GB"/>
        </w:rPr>
        <w:t>).</w:t>
      </w:r>
    </w:p>
    <w:p w14:paraId="7FF15CCF" w14:textId="77777777" w:rsidR="00E04619" w:rsidRPr="00FF31AD" w:rsidRDefault="00E04619" w:rsidP="0051656B">
      <w:pPr>
        <w:spacing w:line="480" w:lineRule="auto"/>
        <w:jc w:val="both"/>
        <w:rPr>
          <w:rFonts w:ascii="Calibri" w:hAnsi="Calibri" w:cs="Calibri"/>
          <w:b/>
          <w:bCs/>
          <w:sz w:val="22"/>
          <w:szCs w:val="22"/>
          <w:lang w:val="en-GB"/>
        </w:rPr>
      </w:pPr>
    </w:p>
    <w:p w14:paraId="69826F9A"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t>CIBERSORTx analysis</w:t>
      </w:r>
    </w:p>
    <w:p w14:paraId="4C005145"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CIBERSORTx</w:t>
      </w:r>
      <w:r w:rsidRPr="003811D6">
        <w:rPr>
          <w:rFonts w:ascii="Calibri" w:hAnsi="Calibri" w:cs="Calibri"/>
          <w:noProof/>
          <w:sz w:val="22"/>
          <w:szCs w:val="22"/>
          <w:vertAlign w:val="superscript"/>
          <w:lang w:val="en-GB"/>
        </w:rPr>
        <w:t>25</w:t>
      </w:r>
      <w:r w:rsidRPr="0051656B">
        <w:rPr>
          <w:rFonts w:ascii="Calibri" w:hAnsi="Calibri" w:cs="Calibri"/>
          <w:sz w:val="22"/>
          <w:szCs w:val="22"/>
          <w:lang w:val="en-GB"/>
        </w:rPr>
        <w:t xml:space="preserve"> was used to estimate MAIT cell abundancy in HC and patient liver. For the preparation of a liver signature matrix the publicly available dataset GSE125188</w:t>
      </w:r>
      <w:r w:rsidRPr="003811D6">
        <w:rPr>
          <w:rFonts w:ascii="Calibri" w:hAnsi="Calibri" w:cs="Calibri"/>
          <w:noProof/>
          <w:sz w:val="22"/>
          <w:szCs w:val="22"/>
          <w:vertAlign w:val="superscript"/>
          <w:lang w:val="en-GB"/>
        </w:rPr>
        <w:t>26</w:t>
      </w:r>
      <w:r w:rsidRPr="0051656B">
        <w:rPr>
          <w:rFonts w:ascii="Calibri" w:hAnsi="Calibri" w:cs="Calibri"/>
          <w:sz w:val="22"/>
          <w:szCs w:val="22"/>
          <w:lang w:val="en-GB"/>
        </w:rPr>
        <w:t xml:space="preserve"> was reanalysed. After downloading the dataset, quality control and normalization were performed as described before and integration was performed by reciprocal PCA (RPCA) with Seurat. Unsupervised clustering was performed as described before using the top 50 PCs and major cell types were defined using highly variable features and indicative markers</w:t>
      </w:r>
      <w:r>
        <w:rPr>
          <w:rFonts w:ascii="Calibri" w:hAnsi="Calibri" w:cs="Calibri"/>
          <w:sz w:val="22"/>
          <w:szCs w:val="22"/>
          <w:lang w:val="en-GB"/>
        </w:rPr>
        <w:t>. Of note, deconvolution of MAIT cells was based on canonical MAIT cells markers that did not involve MAIT cell activation markers</w:t>
      </w:r>
      <w:r w:rsidRPr="0051656B">
        <w:rPr>
          <w:rFonts w:ascii="Calibri" w:hAnsi="Calibri" w:cs="Calibri"/>
          <w:sz w:val="22"/>
          <w:szCs w:val="22"/>
          <w:lang w:val="en-GB"/>
        </w:rPr>
        <w:t>.</w:t>
      </w:r>
      <w:r>
        <w:rPr>
          <w:rFonts w:ascii="Calibri" w:hAnsi="Calibri" w:cs="Calibri"/>
          <w:sz w:val="22"/>
          <w:szCs w:val="22"/>
          <w:lang w:val="en-GB"/>
        </w:rPr>
        <w:t xml:space="preserve"> </w:t>
      </w:r>
      <w:r w:rsidRPr="0051656B">
        <w:rPr>
          <w:rFonts w:ascii="Calibri" w:hAnsi="Calibri" w:cs="Calibri"/>
          <w:sz w:val="22"/>
          <w:szCs w:val="22"/>
          <w:lang w:val="en-GB"/>
        </w:rPr>
        <w:t>Cluster specific markers were identified by using the FindAllMarkers function of Seurat and the top 50 genes (ordered for log2fold change) of each cluster were chosen. A signature matrix was prepared by extracting raw gene expression values of the selected genes for 10 randomly chosen cells of each cluster. The publicly available datasets GSE135251</w:t>
      </w:r>
      <w:r w:rsidRPr="003811D6">
        <w:rPr>
          <w:rFonts w:ascii="Calibri" w:hAnsi="Calibri" w:cs="Calibri"/>
          <w:noProof/>
          <w:sz w:val="22"/>
          <w:szCs w:val="22"/>
          <w:vertAlign w:val="superscript"/>
          <w:lang w:val="en-GB"/>
        </w:rPr>
        <w:t>27</w:t>
      </w:r>
      <w:r w:rsidRPr="0051656B">
        <w:rPr>
          <w:rFonts w:ascii="Calibri" w:hAnsi="Calibri" w:cs="Calibri"/>
          <w:sz w:val="22"/>
          <w:szCs w:val="22"/>
          <w:lang w:val="en-GB"/>
        </w:rPr>
        <w:t xml:space="preserve"> and GSE126848</w:t>
      </w:r>
      <w:r w:rsidRPr="003811D6">
        <w:rPr>
          <w:rFonts w:ascii="Calibri" w:hAnsi="Calibri" w:cs="Calibri"/>
          <w:noProof/>
          <w:sz w:val="22"/>
          <w:szCs w:val="22"/>
          <w:vertAlign w:val="superscript"/>
          <w:lang w:val="en-GB"/>
        </w:rPr>
        <w:t>28</w:t>
      </w:r>
      <w:r w:rsidRPr="0051656B">
        <w:rPr>
          <w:rFonts w:ascii="Calibri" w:hAnsi="Calibri" w:cs="Calibri"/>
          <w:sz w:val="22"/>
          <w:szCs w:val="22"/>
          <w:lang w:val="en-GB"/>
        </w:rPr>
        <w:t xml:space="preserve"> were used to generate mixture files by extracting raw gene expression for the previously selected genes. CIBERSORTx was used to generate a signature matrix (Min expression = 0, Replicates = 10) and impute cell fractions (Batch correction S mode with source GEP, absolute mode, 100 permutations).</w:t>
      </w:r>
    </w:p>
    <w:p w14:paraId="3955CFA3" w14:textId="77777777" w:rsidR="00E04619" w:rsidRDefault="00E04619" w:rsidP="00047B51">
      <w:pPr>
        <w:spacing w:line="480" w:lineRule="auto"/>
        <w:jc w:val="both"/>
        <w:rPr>
          <w:rFonts w:ascii="Calibri" w:hAnsi="Calibri" w:cs="Calibri"/>
          <w:b/>
          <w:bCs/>
          <w:sz w:val="22"/>
          <w:szCs w:val="22"/>
          <w:lang w:val="en-GB"/>
        </w:rPr>
      </w:pPr>
    </w:p>
    <w:p w14:paraId="2C0B7423" w14:textId="77777777" w:rsidR="00E04619" w:rsidRPr="00FF31AD" w:rsidRDefault="00E04619" w:rsidP="0051656B">
      <w:pPr>
        <w:spacing w:line="480" w:lineRule="auto"/>
        <w:jc w:val="both"/>
        <w:rPr>
          <w:rFonts w:ascii="Calibri" w:hAnsi="Calibri" w:cs="Calibri"/>
          <w:b/>
          <w:bCs/>
          <w:sz w:val="22"/>
          <w:szCs w:val="22"/>
          <w:lang w:val="en-GB"/>
        </w:rPr>
      </w:pPr>
      <w:r w:rsidRPr="00FF31AD">
        <w:rPr>
          <w:rFonts w:ascii="Calibri" w:hAnsi="Calibri" w:cs="Calibri"/>
          <w:b/>
          <w:bCs/>
          <w:sz w:val="22"/>
          <w:szCs w:val="22"/>
          <w:lang w:val="en-GB"/>
        </w:rPr>
        <w:t>Statistical analysis</w:t>
      </w:r>
    </w:p>
    <w:p w14:paraId="4E7326F9" w14:textId="77777777" w:rsidR="00E04619" w:rsidRPr="0051656B" w:rsidRDefault="00E04619" w:rsidP="0051656B">
      <w:pPr>
        <w:spacing w:line="480" w:lineRule="auto"/>
        <w:jc w:val="both"/>
        <w:rPr>
          <w:rFonts w:ascii="Calibri" w:hAnsi="Calibri" w:cs="Calibri"/>
          <w:sz w:val="22"/>
          <w:szCs w:val="22"/>
          <w:lang w:val="en-GB"/>
        </w:rPr>
      </w:pPr>
      <w:r w:rsidRPr="0051656B">
        <w:rPr>
          <w:rFonts w:ascii="Calibri" w:hAnsi="Calibri" w:cs="Calibri"/>
          <w:sz w:val="22"/>
          <w:szCs w:val="22"/>
          <w:lang w:val="en-GB"/>
        </w:rPr>
        <w:t>Statistical analyses were performed using R version 4.3.1 or Graph Pad Prism version 9. Values are expressed as the mean +/- standard deviation (SD), mean +/- standard error of the mean (SEM), mean +/- min to max or median with IQR as indicated in the figures. Statistical significance was analysed with the appropriate test as indicated in the figure legends.</w:t>
      </w:r>
    </w:p>
    <w:p w14:paraId="235DCF6B" w14:textId="77777777" w:rsidR="00972F14" w:rsidRDefault="00972F14" w:rsidP="00C4131B">
      <w:pPr>
        <w:spacing w:line="480" w:lineRule="auto"/>
        <w:rPr>
          <w:rFonts w:ascii="Calibri" w:hAnsi="Calibri" w:cs="Calibri"/>
          <w:b/>
          <w:bCs/>
          <w:sz w:val="22"/>
          <w:szCs w:val="22"/>
          <w:lang w:val="en-US"/>
        </w:rPr>
      </w:pPr>
    </w:p>
    <w:p w14:paraId="40EC1FFA" w14:textId="460E0836" w:rsidR="00E04619" w:rsidRDefault="00E04619" w:rsidP="00C4131B">
      <w:pPr>
        <w:spacing w:line="480" w:lineRule="auto"/>
        <w:rPr>
          <w:rFonts w:ascii="Calibri" w:hAnsi="Calibri" w:cs="Calibri"/>
          <w:b/>
          <w:bCs/>
          <w:sz w:val="22"/>
          <w:szCs w:val="22"/>
          <w:lang w:val="en-US"/>
        </w:rPr>
      </w:pPr>
      <w:r w:rsidRPr="00C4131B">
        <w:rPr>
          <w:rFonts w:ascii="Calibri" w:hAnsi="Calibri" w:cs="Calibri"/>
          <w:b/>
          <w:bCs/>
          <w:sz w:val="22"/>
          <w:szCs w:val="22"/>
          <w:lang w:val="en-US"/>
        </w:rPr>
        <w:lastRenderedPageBreak/>
        <w:t>Supplementary Figure</w:t>
      </w:r>
      <w:r>
        <w:rPr>
          <w:rFonts w:ascii="Calibri" w:hAnsi="Calibri" w:cs="Calibri"/>
          <w:b/>
          <w:bCs/>
          <w:sz w:val="22"/>
          <w:szCs w:val="22"/>
          <w:lang w:val="en-US"/>
        </w:rPr>
        <w:t>s</w:t>
      </w:r>
    </w:p>
    <w:p w14:paraId="5FC67FFD" w14:textId="0E182FD1" w:rsidR="00E04619" w:rsidRDefault="00E04619" w:rsidP="00C4131B">
      <w:pPr>
        <w:spacing w:line="480" w:lineRule="auto"/>
        <w:rPr>
          <w:rFonts w:ascii="Calibri" w:hAnsi="Calibri" w:cs="Calibri"/>
          <w:b/>
          <w:bCs/>
          <w:sz w:val="22"/>
          <w:szCs w:val="22"/>
          <w:lang w:val="en-US"/>
        </w:rPr>
      </w:pPr>
      <w:r w:rsidRPr="00C0290F">
        <w:rPr>
          <w:rFonts w:ascii="Calibri" w:hAnsi="Calibri" w:cs="Calibri"/>
          <w:b/>
          <w:bCs/>
          <w:sz w:val="22"/>
          <w:szCs w:val="22"/>
          <w:lang w:val="en-US"/>
        </w:rPr>
        <w:t>Supplement</w:t>
      </w:r>
      <w:r>
        <w:rPr>
          <w:rFonts w:ascii="Calibri" w:hAnsi="Calibri" w:cs="Calibri"/>
          <w:b/>
          <w:bCs/>
          <w:sz w:val="22"/>
          <w:szCs w:val="22"/>
          <w:lang w:val="en-US"/>
        </w:rPr>
        <w:t>ary</w:t>
      </w:r>
      <w:r w:rsidRPr="00C0290F">
        <w:rPr>
          <w:rFonts w:ascii="Calibri" w:hAnsi="Calibri" w:cs="Calibri"/>
          <w:b/>
          <w:bCs/>
          <w:sz w:val="22"/>
          <w:szCs w:val="22"/>
          <w:lang w:val="en-US"/>
        </w:rPr>
        <w:t xml:space="preserve"> Figure </w:t>
      </w:r>
      <w:r>
        <w:rPr>
          <w:rFonts w:ascii="Calibri" w:hAnsi="Calibri" w:cs="Calibri"/>
          <w:b/>
          <w:bCs/>
          <w:sz w:val="22"/>
          <w:szCs w:val="22"/>
          <w:lang w:val="en-US"/>
        </w:rPr>
        <w:t>S</w:t>
      </w:r>
      <w:r w:rsidRPr="00C0290F">
        <w:rPr>
          <w:rFonts w:ascii="Calibri" w:hAnsi="Calibri" w:cs="Calibri"/>
          <w:b/>
          <w:bCs/>
          <w:sz w:val="22"/>
          <w:szCs w:val="22"/>
          <w:lang w:val="en-US"/>
        </w:rPr>
        <w:t>1</w:t>
      </w:r>
    </w:p>
    <w:p w14:paraId="5662E7B7" w14:textId="77777777" w:rsidR="00972F14" w:rsidRDefault="00950F75" w:rsidP="00972F14">
      <w:pPr>
        <w:spacing w:line="480" w:lineRule="auto"/>
        <w:rPr>
          <w:rFonts w:ascii="Calibri" w:hAnsi="Calibri" w:cs="Calibri"/>
          <w:b/>
          <w:bCs/>
          <w:sz w:val="22"/>
          <w:szCs w:val="22"/>
          <w:lang w:val="en-US"/>
        </w:rPr>
      </w:pPr>
      <w:r>
        <w:rPr>
          <w:rFonts w:ascii="Calibri" w:hAnsi="Calibri" w:cs="Calibri"/>
          <w:b/>
          <w:bCs/>
          <w:noProof/>
          <w:sz w:val="22"/>
          <w:szCs w:val="22"/>
          <w:lang w:val="en-US"/>
        </w:rPr>
        <w:drawing>
          <wp:inline distT="0" distB="0" distL="0" distR="0" wp14:anchorId="6C3CFAF0" wp14:editId="3E224DC4">
            <wp:extent cx="5727700" cy="8105140"/>
            <wp:effectExtent l="0" t="0" r="0" b="0"/>
            <wp:docPr id="10545905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90583" name="Picture 1054590583"/>
                    <pic:cNvPicPr/>
                  </pic:nvPicPr>
                  <pic:blipFill>
                    <a:blip r:embed="rId8"/>
                    <a:stretch>
                      <a:fillRect/>
                    </a:stretch>
                  </pic:blipFill>
                  <pic:spPr>
                    <a:xfrm>
                      <a:off x="0" y="0"/>
                      <a:ext cx="5727700" cy="8105140"/>
                    </a:xfrm>
                    <a:prstGeom prst="rect">
                      <a:avLst/>
                    </a:prstGeom>
                  </pic:spPr>
                </pic:pic>
              </a:graphicData>
            </a:graphic>
          </wp:inline>
        </w:drawing>
      </w:r>
    </w:p>
    <w:p w14:paraId="08FD5953" w14:textId="327F3D64" w:rsidR="00E04619" w:rsidRPr="00972F14" w:rsidRDefault="00E04619" w:rsidP="00972F14">
      <w:pPr>
        <w:spacing w:line="480" w:lineRule="auto"/>
        <w:rPr>
          <w:rFonts w:ascii="Calibri" w:hAnsi="Calibri" w:cs="Calibri"/>
          <w:b/>
          <w:bCs/>
          <w:sz w:val="22"/>
          <w:szCs w:val="22"/>
          <w:lang w:val="en-US"/>
        </w:rPr>
      </w:pPr>
      <w:r w:rsidRPr="000A1CB8">
        <w:rPr>
          <w:rFonts w:ascii="Calibri" w:hAnsi="Calibri" w:cs="Calibri"/>
          <w:b/>
          <w:sz w:val="22"/>
          <w:szCs w:val="22"/>
          <w:lang w:val="en-GB"/>
        </w:rPr>
        <w:lastRenderedPageBreak/>
        <w:t>Supplementary Fig. S1: Functional characteristics of MAIT cells in MASLD patients and controls</w:t>
      </w:r>
    </w:p>
    <w:p w14:paraId="7A588656" w14:textId="77777777" w:rsidR="00E04619" w:rsidRPr="004F3A6B" w:rsidRDefault="00E04619" w:rsidP="00C0290F">
      <w:pPr>
        <w:spacing w:line="360" w:lineRule="auto"/>
        <w:jc w:val="both"/>
        <w:rPr>
          <w:rFonts w:ascii="Calibri" w:hAnsi="Calibri" w:cs="Calibri"/>
          <w:sz w:val="22"/>
          <w:szCs w:val="22"/>
          <w:lang w:val="en-GB"/>
        </w:rPr>
      </w:pPr>
      <w:r w:rsidRPr="000A1CB8">
        <w:rPr>
          <w:rFonts w:ascii="Calibri" w:hAnsi="Calibri" w:cs="Calibri"/>
          <w:sz w:val="22"/>
          <w:szCs w:val="22"/>
          <w:lang w:val="en-GB"/>
        </w:rPr>
        <w:t>(</w:t>
      </w:r>
      <w:r w:rsidRPr="00122D34">
        <w:rPr>
          <w:rFonts w:ascii="Calibri" w:hAnsi="Calibri" w:cs="Calibri"/>
          <w:sz w:val="22"/>
          <w:szCs w:val="22"/>
          <w:lang w:val="en-GB"/>
        </w:rPr>
        <w:t xml:space="preserve">A) Gating strategy to identify MAIT cells in a PBMC pool. (B) </w:t>
      </w:r>
      <w:r w:rsidRPr="00122D34">
        <w:rPr>
          <w:rFonts w:ascii="Calibri" w:hAnsi="Calibri" w:cs="Calibri"/>
          <w:i/>
          <w:sz w:val="22"/>
          <w:szCs w:val="22"/>
          <w:lang w:val="en-GB"/>
        </w:rPr>
        <w:t>Ex vivo</w:t>
      </w:r>
      <w:r w:rsidRPr="00122D34">
        <w:rPr>
          <w:rFonts w:ascii="Calibri" w:hAnsi="Calibri" w:cs="Calibri"/>
          <w:sz w:val="22"/>
          <w:szCs w:val="22"/>
          <w:lang w:val="en-GB"/>
        </w:rPr>
        <w:t xml:space="preserve"> expression of CD38 and HLA-DR on MAIT cells from peripheral blood of MASLD patients and healthy controls (HC) analysed by flow cytometry. (C) Intracellular IL-17A expression in MAIT cells from MASLD patients and HC, following </w:t>
      </w:r>
      <w:r w:rsidRPr="00122D34">
        <w:rPr>
          <w:rFonts w:ascii="Calibri" w:hAnsi="Calibri" w:cs="Calibri"/>
          <w:i/>
          <w:iCs/>
          <w:sz w:val="22"/>
          <w:szCs w:val="22"/>
          <w:lang w:val="en-GB"/>
        </w:rPr>
        <w:t>ex vivo</w:t>
      </w:r>
      <w:r w:rsidRPr="00122D34">
        <w:rPr>
          <w:rFonts w:ascii="Calibri" w:hAnsi="Calibri" w:cs="Calibri"/>
          <w:sz w:val="22"/>
          <w:szCs w:val="22"/>
          <w:lang w:val="en-GB"/>
        </w:rPr>
        <w:t xml:space="preserve"> stimulation with IL-12 and IL-18 for 24 h. (D) Intracellular cytokine expression in MAIT cells from MASLD patients and HC, following </w:t>
      </w:r>
      <w:r w:rsidRPr="00122D34">
        <w:rPr>
          <w:rFonts w:ascii="Calibri" w:hAnsi="Calibri" w:cs="Calibri"/>
          <w:i/>
          <w:iCs/>
          <w:sz w:val="22"/>
          <w:szCs w:val="22"/>
          <w:lang w:val="en-GB"/>
        </w:rPr>
        <w:t>ex vivo</w:t>
      </w:r>
      <w:r w:rsidRPr="00122D34">
        <w:rPr>
          <w:rFonts w:ascii="Calibri" w:hAnsi="Calibri" w:cs="Calibri"/>
          <w:sz w:val="22"/>
          <w:szCs w:val="22"/>
          <w:lang w:val="en-GB"/>
        </w:rPr>
        <w:t xml:space="preserve"> stimulation with aCD3/CD28 for 24 h. (E) MAIT cell frequency in peripheral blood of age-matched MASLD patients and HC analysed by flow cytometry</w:t>
      </w:r>
      <w:r>
        <w:rPr>
          <w:rFonts w:ascii="Calibri" w:hAnsi="Calibri" w:cs="Calibri"/>
          <w:sz w:val="22"/>
          <w:szCs w:val="22"/>
          <w:lang w:val="en-GB"/>
        </w:rPr>
        <w:t xml:space="preserve">. </w:t>
      </w:r>
      <w:r w:rsidRPr="00122D34">
        <w:rPr>
          <w:rFonts w:ascii="Calibri" w:hAnsi="Calibri" w:cs="Calibri"/>
          <w:sz w:val="22"/>
          <w:szCs w:val="22"/>
          <w:lang w:val="en-GB"/>
        </w:rPr>
        <w:t>(F) UMAP of intrahepatic immune cells (GSE159977) showing expression of SLC4A10 or MAIT cell signature scores from Garner et al. 2023</w:t>
      </w:r>
      <w:r w:rsidRPr="00122D34">
        <w:rPr>
          <w:rFonts w:ascii="Calibri" w:hAnsi="Calibri" w:cs="Calibri"/>
          <w:noProof/>
          <w:sz w:val="22"/>
          <w:szCs w:val="22"/>
          <w:vertAlign w:val="superscript"/>
          <w:lang w:val="en-GB"/>
        </w:rPr>
        <w:t>29</w:t>
      </w:r>
      <w:r w:rsidRPr="00122D34">
        <w:rPr>
          <w:rFonts w:ascii="Calibri" w:hAnsi="Calibri" w:cs="Calibri"/>
          <w:sz w:val="22"/>
          <w:szCs w:val="22"/>
          <w:lang w:val="en-GB"/>
        </w:rPr>
        <w:t xml:space="preserve"> (167 genes) and Yao et al. 2020</w:t>
      </w:r>
      <w:r w:rsidRPr="00122D34">
        <w:rPr>
          <w:rFonts w:ascii="Calibri" w:hAnsi="Calibri" w:cs="Calibri"/>
          <w:noProof/>
          <w:sz w:val="22"/>
          <w:szCs w:val="22"/>
          <w:vertAlign w:val="superscript"/>
          <w:lang w:val="en-GB"/>
        </w:rPr>
        <w:t>23</w:t>
      </w:r>
      <w:r w:rsidRPr="00122D34">
        <w:rPr>
          <w:rFonts w:ascii="Calibri" w:hAnsi="Calibri" w:cs="Calibri"/>
          <w:sz w:val="22"/>
          <w:szCs w:val="22"/>
          <w:lang w:val="en-GB"/>
        </w:rPr>
        <w:t xml:space="preserve"> (11 genes).  (G) Gene expression of indicated genes in single cell transcriptomes derived from HC or MASH patients in MAIT cells derived from human liver (GSE159977). (B-E) MAIT cells in a PBMC pool from healthy controls or MASLD patients were analysed. </w:t>
      </w:r>
      <w:r w:rsidRPr="0051656B">
        <w:rPr>
          <w:rFonts w:ascii="Calibri" w:hAnsi="Calibri" w:cs="Calibri"/>
          <w:color w:val="000000" w:themeColor="text1"/>
          <w:sz w:val="22"/>
          <w:szCs w:val="22"/>
        </w:rPr>
        <w:t>(</w:t>
      </w:r>
      <w:r>
        <w:rPr>
          <w:rFonts w:ascii="Calibri" w:hAnsi="Calibri" w:cs="Calibri"/>
          <w:color w:val="000000" w:themeColor="text1"/>
          <w:sz w:val="22"/>
          <w:szCs w:val="22"/>
        </w:rPr>
        <w:t>H</w:t>
      </w:r>
      <w:r w:rsidRPr="0051656B">
        <w:rPr>
          <w:rFonts w:ascii="Calibri" w:hAnsi="Calibri" w:cs="Calibri"/>
          <w:color w:val="000000" w:themeColor="text1"/>
          <w:sz w:val="22"/>
          <w:szCs w:val="22"/>
        </w:rPr>
        <w:t xml:space="preserve">) </w:t>
      </w:r>
      <w:r w:rsidRPr="0051656B">
        <w:rPr>
          <w:rFonts w:ascii="Calibri" w:hAnsi="Calibri" w:cs="Calibri"/>
          <w:color w:val="000000" w:themeColor="text1"/>
          <w:sz w:val="22"/>
          <w:szCs w:val="22"/>
          <w:lang w:val="en-US"/>
        </w:rPr>
        <w:t xml:space="preserve">Representative </w:t>
      </w:r>
      <w:r w:rsidRPr="0051656B">
        <w:rPr>
          <w:rFonts w:ascii="Calibri" w:hAnsi="Calibri" w:cs="Calibri"/>
          <w:sz w:val="22"/>
          <w:szCs w:val="22"/>
          <w:lang w:val="en-US"/>
        </w:rPr>
        <w:t>images of livers (</w:t>
      </w:r>
      <w:r w:rsidRPr="0051656B">
        <w:rPr>
          <w:rFonts w:ascii="Calibri" w:hAnsi="Calibri" w:cs="Calibri"/>
          <w:color w:val="000000" w:themeColor="text1"/>
          <w:sz w:val="22"/>
          <w:szCs w:val="22"/>
          <w:lang w:val="en-US"/>
        </w:rPr>
        <w:t xml:space="preserve">arrows indicate HCC nodules) and </w:t>
      </w:r>
      <w:r w:rsidRPr="0051656B">
        <w:rPr>
          <w:rFonts w:ascii="Calibri" w:hAnsi="Calibri" w:cs="Calibri"/>
          <w:sz w:val="22"/>
          <w:szCs w:val="22"/>
          <w:lang w:val="en-US"/>
        </w:rPr>
        <w:t>(</w:t>
      </w:r>
      <w:r>
        <w:rPr>
          <w:rFonts w:ascii="Calibri" w:hAnsi="Calibri" w:cs="Calibri"/>
          <w:sz w:val="22"/>
          <w:szCs w:val="22"/>
          <w:lang w:val="en-US"/>
        </w:rPr>
        <w:t>I</w:t>
      </w:r>
      <w:r w:rsidRPr="0051656B">
        <w:rPr>
          <w:rFonts w:ascii="Calibri" w:hAnsi="Calibri" w:cs="Calibri"/>
          <w:sz w:val="22"/>
          <w:szCs w:val="22"/>
          <w:lang w:val="en-US"/>
        </w:rPr>
        <w:t xml:space="preserve">) </w:t>
      </w:r>
      <w:r w:rsidRPr="0051656B">
        <w:rPr>
          <w:rFonts w:ascii="Calibri" w:hAnsi="Calibri" w:cs="Calibri"/>
          <w:color w:val="000000" w:themeColor="text1"/>
          <w:sz w:val="22"/>
          <w:szCs w:val="22"/>
          <w:lang w:val="en-US"/>
        </w:rPr>
        <w:t>liver weight of C57BL/6 mice that were fed with western diet (WD) or normal chow (ND) for 2 or 15 months. (</w:t>
      </w:r>
      <w:r>
        <w:rPr>
          <w:rFonts w:ascii="Calibri" w:hAnsi="Calibri" w:cs="Calibri"/>
          <w:color w:val="000000" w:themeColor="text1"/>
          <w:sz w:val="22"/>
          <w:szCs w:val="22"/>
          <w:lang w:val="en-US"/>
        </w:rPr>
        <w:t>J</w:t>
      </w:r>
      <w:r w:rsidRPr="0051656B">
        <w:rPr>
          <w:rFonts w:ascii="Calibri" w:hAnsi="Calibri" w:cs="Calibri"/>
          <w:color w:val="000000" w:themeColor="text1"/>
          <w:sz w:val="22"/>
          <w:szCs w:val="22"/>
          <w:lang w:val="en-US"/>
        </w:rPr>
        <w:t>) Intrahepatic MAIT cell frequency, (</w:t>
      </w:r>
      <w:r>
        <w:rPr>
          <w:rFonts w:ascii="Calibri" w:hAnsi="Calibri" w:cs="Calibri"/>
          <w:color w:val="000000" w:themeColor="text1"/>
          <w:sz w:val="22"/>
          <w:szCs w:val="22"/>
          <w:lang w:val="en-US"/>
        </w:rPr>
        <w:t>K</w:t>
      </w:r>
      <w:r w:rsidRPr="0051656B">
        <w:rPr>
          <w:rFonts w:ascii="Calibri" w:hAnsi="Calibri" w:cs="Calibri"/>
          <w:color w:val="000000" w:themeColor="text1"/>
          <w:sz w:val="22"/>
          <w:szCs w:val="22"/>
          <w:lang w:val="en-US"/>
        </w:rPr>
        <w:t xml:space="preserve">) </w:t>
      </w:r>
      <w:r w:rsidRPr="0051656B">
        <w:rPr>
          <w:rFonts w:ascii="Calibri" w:hAnsi="Calibri" w:cs="Calibri"/>
          <w:i/>
          <w:iCs/>
          <w:color w:val="000000" w:themeColor="text1"/>
          <w:sz w:val="22"/>
          <w:szCs w:val="22"/>
          <w:lang w:val="en-US"/>
        </w:rPr>
        <w:t>ex vivo</w:t>
      </w:r>
      <w:r w:rsidRPr="0051656B">
        <w:rPr>
          <w:rFonts w:ascii="Calibri" w:hAnsi="Calibri" w:cs="Calibri"/>
          <w:color w:val="000000" w:themeColor="text1"/>
          <w:sz w:val="22"/>
          <w:szCs w:val="22"/>
          <w:lang w:val="en-US"/>
        </w:rPr>
        <w:t xml:space="preserve"> activation marker expression and (</w:t>
      </w:r>
      <w:r>
        <w:rPr>
          <w:rFonts w:ascii="Calibri" w:hAnsi="Calibri" w:cs="Calibri"/>
          <w:color w:val="000000" w:themeColor="text1"/>
          <w:sz w:val="22"/>
          <w:szCs w:val="22"/>
          <w:lang w:val="en-US"/>
        </w:rPr>
        <w:t>L</w:t>
      </w:r>
      <w:r w:rsidRPr="0051656B">
        <w:rPr>
          <w:rFonts w:ascii="Calibri" w:hAnsi="Calibri" w:cs="Calibri"/>
          <w:color w:val="000000" w:themeColor="text1"/>
          <w:sz w:val="22"/>
          <w:szCs w:val="22"/>
          <w:lang w:val="en-US"/>
        </w:rPr>
        <w:t>) intracellular GzmB and TNF</w:t>
      </w:r>
      <w:r w:rsidRPr="0051656B">
        <w:rPr>
          <w:rFonts w:ascii="Symbol" w:hAnsi="Symbol" w:cs="Calibri"/>
          <w:color w:val="000000" w:themeColor="text1"/>
          <w:sz w:val="22"/>
          <w:szCs w:val="22"/>
          <w:lang w:val="en-US"/>
        </w:rPr>
        <w:t>a</w:t>
      </w:r>
      <w:r>
        <w:rPr>
          <w:rFonts w:ascii="Calibri" w:hAnsi="Calibri" w:cs="Calibri"/>
          <w:color w:val="000000" w:themeColor="text1"/>
          <w:sz w:val="22"/>
          <w:szCs w:val="22"/>
          <w:lang w:val="en-US"/>
        </w:rPr>
        <w:t xml:space="preserve"> </w:t>
      </w:r>
      <w:r w:rsidRPr="0051656B">
        <w:rPr>
          <w:rFonts w:ascii="Calibri" w:hAnsi="Calibri" w:cs="Calibri"/>
          <w:color w:val="000000" w:themeColor="text1"/>
          <w:sz w:val="22"/>
          <w:szCs w:val="22"/>
          <w:lang w:val="en-US"/>
        </w:rPr>
        <w:t xml:space="preserve">expression by intrahepatic MAIT cells stimulated with phorbol </w:t>
      </w:r>
      <w:r>
        <w:rPr>
          <w:rFonts w:ascii="Calibri" w:hAnsi="Calibri" w:cs="Calibri"/>
          <w:color w:val="000000" w:themeColor="text1"/>
          <w:sz w:val="22"/>
          <w:szCs w:val="22"/>
          <w:lang w:val="en-US"/>
        </w:rPr>
        <w:t>12-</w:t>
      </w:r>
      <w:r w:rsidRPr="0051656B">
        <w:rPr>
          <w:rFonts w:ascii="Calibri" w:hAnsi="Calibri" w:cs="Calibri"/>
          <w:color w:val="000000" w:themeColor="text1"/>
          <w:sz w:val="22"/>
          <w:szCs w:val="22"/>
          <w:lang w:val="en-US"/>
        </w:rPr>
        <w:t xml:space="preserve">myristate </w:t>
      </w:r>
      <w:r>
        <w:rPr>
          <w:rFonts w:ascii="Calibri" w:hAnsi="Calibri" w:cs="Calibri"/>
          <w:color w:val="000000" w:themeColor="text1"/>
          <w:sz w:val="22"/>
          <w:szCs w:val="22"/>
          <w:lang w:val="en-US"/>
        </w:rPr>
        <w:t>13-</w:t>
      </w:r>
      <w:r w:rsidRPr="0051656B">
        <w:rPr>
          <w:rFonts w:ascii="Calibri" w:hAnsi="Calibri" w:cs="Calibri"/>
          <w:color w:val="000000" w:themeColor="text1"/>
          <w:sz w:val="22"/>
          <w:szCs w:val="22"/>
          <w:lang w:val="en-US"/>
        </w:rPr>
        <w:t xml:space="preserve">acetate (PMA) and ionomycine for 3 hours of mice fed with WD or ND for 2 or 15 months. </w:t>
      </w:r>
      <w:r>
        <w:rPr>
          <w:rFonts w:ascii="Calibri" w:hAnsi="Calibri" w:cs="Calibri"/>
          <w:color w:val="000000" w:themeColor="text1"/>
          <w:sz w:val="22"/>
          <w:szCs w:val="22"/>
          <w:lang w:val="en-US"/>
        </w:rPr>
        <w:t xml:space="preserve">Murine </w:t>
      </w:r>
      <w:r w:rsidRPr="0051656B">
        <w:rPr>
          <w:rFonts w:ascii="Calibri" w:hAnsi="Calibri" w:cs="Calibri"/>
          <w:color w:val="000000" w:themeColor="text1"/>
          <w:sz w:val="22"/>
          <w:szCs w:val="22"/>
          <w:lang w:val="en-US"/>
        </w:rPr>
        <w:t>MAIT cells were defined as live, F4/80</w:t>
      </w:r>
      <w:r w:rsidRPr="0051656B">
        <w:rPr>
          <w:rFonts w:ascii="Calibri" w:hAnsi="Calibri" w:cs="Calibri"/>
          <w:color w:val="000000" w:themeColor="text1"/>
          <w:sz w:val="22"/>
          <w:szCs w:val="22"/>
          <w:vertAlign w:val="superscript"/>
          <w:lang w:val="en-US"/>
        </w:rPr>
        <w:t xml:space="preserve">- </w:t>
      </w:r>
      <w:r w:rsidRPr="0051656B">
        <w:rPr>
          <w:rFonts w:ascii="Calibri" w:hAnsi="Calibri" w:cs="Calibri"/>
          <w:color w:val="000000" w:themeColor="text1"/>
          <w:sz w:val="22"/>
          <w:szCs w:val="22"/>
          <w:lang w:val="en-US"/>
        </w:rPr>
        <w:t>B220</w:t>
      </w:r>
      <w:r w:rsidRPr="0051656B">
        <w:rPr>
          <w:rFonts w:ascii="Calibri" w:hAnsi="Calibri" w:cs="Calibri"/>
          <w:color w:val="000000" w:themeColor="text1"/>
          <w:sz w:val="22"/>
          <w:szCs w:val="22"/>
          <w:vertAlign w:val="superscript"/>
          <w:lang w:val="en-US"/>
        </w:rPr>
        <w:t xml:space="preserve">- </w:t>
      </w:r>
      <w:r w:rsidRPr="0051656B">
        <w:rPr>
          <w:rFonts w:ascii="Calibri" w:hAnsi="Calibri" w:cs="Calibri"/>
          <w:color w:val="000000" w:themeColor="text1"/>
          <w:sz w:val="22"/>
          <w:szCs w:val="22"/>
          <w:lang w:val="en-US"/>
        </w:rPr>
        <w:t>TCR-</w:t>
      </w:r>
      <w:r w:rsidRPr="0051656B">
        <w:rPr>
          <w:rFonts w:ascii="Symbol" w:hAnsi="Symbol" w:cs="Calibri"/>
          <w:color w:val="000000" w:themeColor="text1"/>
          <w:sz w:val="22"/>
          <w:szCs w:val="22"/>
          <w:lang w:val="en-US"/>
        </w:rPr>
        <w:t>b</w:t>
      </w:r>
      <w:r w:rsidRPr="0051656B">
        <w:rPr>
          <w:rFonts w:ascii="Calibri" w:hAnsi="Calibri" w:cs="Calibri"/>
          <w:color w:val="000000" w:themeColor="text1"/>
          <w:sz w:val="22"/>
          <w:szCs w:val="22"/>
          <w:vertAlign w:val="superscript"/>
          <w:lang w:val="en-US"/>
        </w:rPr>
        <w:t>+</w:t>
      </w:r>
      <w:r w:rsidRPr="0051656B">
        <w:rPr>
          <w:rFonts w:ascii="Calibri" w:hAnsi="Calibri" w:cs="Calibri"/>
          <w:color w:val="000000" w:themeColor="text1"/>
          <w:sz w:val="22"/>
          <w:szCs w:val="22"/>
          <w:lang w:val="en-US"/>
        </w:rPr>
        <w:t xml:space="preserve"> MR1-5-OP-RU</w:t>
      </w:r>
      <w:r w:rsidRPr="0051656B">
        <w:rPr>
          <w:rFonts w:ascii="Calibri" w:hAnsi="Calibri" w:cs="Calibri"/>
          <w:color w:val="000000" w:themeColor="text1"/>
          <w:sz w:val="22"/>
          <w:szCs w:val="22"/>
          <w:vertAlign w:val="superscript"/>
          <w:lang w:val="en-US"/>
        </w:rPr>
        <w:t>+</w:t>
      </w:r>
      <w:r w:rsidRPr="0051656B">
        <w:rPr>
          <w:rFonts w:ascii="Calibri" w:hAnsi="Calibri" w:cs="Calibri"/>
          <w:color w:val="000000" w:themeColor="text1"/>
          <w:sz w:val="22"/>
          <w:szCs w:val="22"/>
          <w:lang w:val="en-US"/>
        </w:rPr>
        <w:t xml:space="preserve"> cells. </w:t>
      </w:r>
      <w:r w:rsidRPr="000A1CB8">
        <w:rPr>
          <w:rFonts w:ascii="Calibri" w:hAnsi="Calibri" w:cs="Calibri"/>
          <w:sz w:val="22"/>
          <w:szCs w:val="22"/>
          <w:lang w:val="en-GB"/>
        </w:rPr>
        <w:t>Data represent mean +/- SEM (B-</w:t>
      </w:r>
      <w:r>
        <w:rPr>
          <w:rFonts w:ascii="Calibri" w:hAnsi="Calibri" w:cs="Calibri"/>
          <w:sz w:val="22"/>
          <w:szCs w:val="22"/>
          <w:lang w:val="en-GB"/>
        </w:rPr>
        <w:t>E</w:t>
      </w:r>
      <w:r w:rsidRPr="000A1CB8">
        <w:rPr>
          <w:rFonts w:ascii="Calibri" w:hAnsi="Calibri" w:cs="Calibri"/>
          <w:sz w:val="22"/>
          <w:szCs w:val="22"/>
          <w:lang w:val="en-GB"/>
        </w:rPr>
        <w:t>)</w:t>
      </w:r>
      <w:r>
        <w:rPr>
          <w:rFonts w:ascii="Calibri" w:hAnsi="Calibri" w:cs="Calibri"/>
          <w:sz w:val="22"/>
          <w:szCs w:val="22"/>
          <w:lang w:val="en-GB"/>
        </w:rPr>
        <w:t xml:space="preserve">, </w:t>
      </w:r>
      <w:r w:rsidRPr="000A1CB8">
        <w:rPr>
          <w:rFonts w:ascii="Calibri" w:hAnsi="Calibri" w:cs="Calibri"/>
          <w:sz w:val="22"/>
          <w:szCs w:val="22"/>
          <w:lang w:val="en-GB"/>
        </w:rPr>
        <w:t>median with IQR</w:t>
      </w:r>
      <w:r>
        <w:rPr>
          <w:rFonts w:ascii="Calibri" w:hAnsi="Calibri" w:cs="Calibri"/>
          <w:sz w:val="22"/>
          <w:szCs w:val="22"/>
          <w:lang w:val="en-GB"/>
        </w:rPr>
        <w:t xml:space="preserve"> (G), or mean +/- SD (I-L)</w:t>
      </w:r>
      <w:r w:rsidRPr="000A1CB8">
        <w:rPr>
          <w:rFonts w:ascii="Calibri" w:hAnsi="Calibri" w:cs="Calibri"/>
          <w:sz w:val="22"/>
          <w:szCs w:val="22"/>
          <w:lang w:val="en-GB"/>
        </w:rPr>
        <w:t>, pooled data from at least 3 independent experiments. ***p&lt;0.001, **p&lt;0.01, *p &lt;0.05, ns = p&gt;0.05 assessed by Welch’s t-test (B-</w:t>
      </w:r>
      <w:r>
        <w:rPr>
          <w:rFonts w:ascii="Calibri" w:hAnsi="Calibri" w:cs="Calibri"/>
          <w:sz w:val="22"/>
          <w:szCs w:val="22"/>
          <w:lang w:val="en-GB"/>
        </w:rPr>
        <w:t>E, I-H</w:t>
      </w:r>
      <w:r w:rsidRPr="000A1CB8">
        <w:rPr>
          <w:rFonts w:ascii="Calibri" w:hAnsi="Calibri" w:cs="Calibri"/>
          <w:sz w:val="22"/>
          <w:szCs w:val="22"/>
          <w:lang w:val="en-GB"/>
        </w:rPr>
        <w:t>) or Wilcoxon-test (</w:t>
      </w:r>
      <w:r>
        <w:rPr>
          <w:rFonts w:ascii="Calibri" w:hAnsi="Calibri" w:cs="Calibri"/>
          <w:sz w:val="22"/>
          <w:szCs w:val="22"/>
          <w:lang w:val="en-GB"/>
        </w:rPr>
        <w:t>G</w:t>
      </w:r>
      <w:r w:rsidRPr="000A1CB8">
        <w:rPr>
          <w:rFonts w:ascii="Calibri" w:hAnsi="Calibri" w:cs="Calibri"/>
          <w:sz w:val="22"/>
          <w:szCs w:val="22"/>
          <w:lang w:val="en-GB"/>
        </w:rPr>
        <w:t>). Each dot represents one individual (B-</w:t>
      </w:r>
      <w:r>
        <w:rPr>
          <w:rFonts w:ascii="Calibri" w:hAnsi="Calibri" w:cs="Calibri"/>
          <w:sz w:val="22"/>
          <w:szCs w:val="22"/>
          <w:lang w:val="en-GB"/>
        </w:rPr>
        <w:t>E, I-L; non-stimulated controls in L were pooled from 3 mice</w:t>
      </w:r>
      <w:r w:rsidRPr="000A1CB8">
        <w:rPr>
          <w:rFonts w:ascii="Calibri" w:hAnsi="Calibri" w:cs="Calibri"/>
          <w:sz w:val="22"/>
          <w:szCs w:val="22"/>
          <w:lang w:val="en-GB"/>
        </w:rPr>
        <w:t>).</w:t>
      </w:r>
    </w:p>
    <w:p w14:paraId="3126927F" w14:textId="77777777" w:rsidR="00E04619" w:rsidRDefault="00E04619" w:rsidP="00C0290F">
      <w:pPr>
        <w:spacing w:line="360" w:lineRule="auto"/>
        <w:jc w:val="both"/>
        <w:rPr>
          <w:rFonts w:ascii="Calibri" w:hAnsi="Calibri" w:cs="Calibri"/>
          <w:sz w:val="22"/>
          <w:szCs w:val="22"/>
          <w:lang w:val="en-GB"/>
        </w:rPr>
      </w:pPr>
    </w:p>
    <w:p w14:paraId="2FCED25A" w14:textId="77777777" w:rsidR="00E04619" w:rsidRDefault="00E04619" w:rsidP="00C0290F">
      <w:pPr>
        <w:spacing w:line="360" w:lineRule="auto"/>
        <w:jc w:val="both"/>
        <w:rPr>
          <w:rFonts w:ascii="Calibri" w:hAnsi="Calibri" w:cs="Calibri"/>
          <w:b/>
          <w:bCs/>
          <w:sz w:val="22"/>
          <w:szCs w:val="22"/>
          <w:lang w:val="en-GB"/>
        </w:rPr>
      </w:pPr>
    </w:p>
    <w:p w14:paraId="2C6893B9" w14:textId="77777777" w:rsidR="00E04619" w:rsidRDefault="00E04619" w:rsidP="00C0290F">
      <w:pPr>
        <w:spacing w:line="360" w:lineRule="auto"/>
        <w:jc w:val="both"/>
        <w:rPr>
          <w:rFonts w:ascii="Calibri" w:hAnsi="Calibri" w:cs="Calibri"/>
          <w:b/>
          <w:bCs/>
          <w:sz w:val="22"/>
          <w:szCs w:val="22"/>
          <w:lang w:val="en-GB"/>
        </w:rPr>
      </w:pPr>
    </w:p>
    <w:p w14:paraId="42F7EF8E" w14:textId="77777777" w:rsidR="00E04619" w:rsidRDefault="00E04619" w:rsidP="00C0290F">
      <w:pPr>
        <w:spacing w:line="360" w:lineRule="auto"/>
        <w:jc w:val="both"/>
        <w:rPr>
          <w:rFonts w:ascii="Calibri" w:hAnsi="Calibri" w:cs="Calibri"/>
          <w:b/>
          <w:bCs/>
          <w:sz w:val="22"/>
          <w:szCs w:val="22"/>
          <w:lang w:val="en-GB"/>
        </w:rPr>
      </w:pPr>
    </w:p>
    <w:p w14:paraId="3CAE0223" w14:textId="77777777" w:rsidR="00E04619" w:rsidRDefault="00E04619" w:rsidP="00C0290F">
      <w:pPr>
        <w:spacing w:line="360" w:lineRule="auto"/>
        <w:jc w:val="both"/>
        <w:rPr>
          <w:rFonts w:ascii="Calibri" w:hAnsi="Calibri" w:cs="Calibri"/>
          <w:b/>
          <w:bCs/>
          <w:sz w:val="22"/>
          <w:szCs w:val="22"/>
          <w:lang w:val="en-GB"/>
        </w:rPr>
      </w:pPr>
    </w:p>
    <w:p w14:paraId="7A94D39A" w14:textId="77777777" w:rsidR="00E04619" w:rsidRDefault="00E04619" w:rsidP="00C0290F">
      <w:pPr>
        <w:spacing w:line="360" w:lineRule="auto"/>
        <w:jc w:val="both"/>
        <w:rPr>
          <w:rFonts w:ascii="Calibri" w:hAnsi="Calibri" w:cs="Calibri"/>
          <w:b/>
          <w:bCs/>
          <w:sz w:val="22"/>
          <w:szCs w:val="22"/>
          <w:lang w:val="en-GB"/>
        </w:rPr>
      </w:pPr>
    </w:p>
    <w:p w14:paraId="3A86A173" w14:textId="77777777" w:rsidR="00E04619" w:rsidRDefault="00E04619" w:rsidP="00C0290F">
      <w:pPr>
        <w:spacing w:line="360" w:lineRule="auto"/>
        <w:jc w:val="both"/>
        <w:rPr>
          <w:rFonts w:ascii="Calibri" w:hAnsi="Calibri" w:cs="Calibri"/>
          <w:b/>
          <w:bCs/>
          <w:sz w:val="22"/>
          <w:szCs w:val="22"/>
          <w:lang w:val="en-GB"/>
        </w:rPr>
      </w:pPr>
    </w:p>
    <w:p w14:paraId="59EC7ED6" w14:textId="77777777" w:rsidR="00E04619" w:rsidRDefault="00E04619" w:rsidP="00C0290F">
      <w:pPr>
        <w:spacing w:line="360" w:lineRule="auto"/>
        <w:jc w:val="both"/>
        <w:rPr>
          <w:rFonts w:ascii="Calibri" w:hAnsi="Calibri" w:cs="Calibri"/>
          <w:b/>
          <w:bCs/>
          <w:sz w:val="22"/>
          <w:szCs w:val="22"/>
          <w:lang w:val="en-GB"/>
        </w:rPr>
      </w:pPr>
    </w:p>
    <w:p w14:paraId="60CAAB36" w14:textId="77777777" w:rsidR="00E04619" w:rsidRDefault="00E04619" w:rsidP="00C0290F">
      <w:pPr>
        <w:spacing w:line="360" w:lineRule="auto"/>
        <w:jc w:val="both"/>
        <w:rPr>
          <w:rFonts w:ascii="Calibri" w:hAnsi="Calibri" w:cs="Calibri"/>
          <w:b/>
          <w:bCs/>
          <w:sz w:val="22"/>
          <w:szCs w:val="22"/>
          <w:lang w:val="en-GB"/>
        </w:rPr>
      </w:pPr>
    </w:p>
    <w:p w14:paraId="5A171DCB" w14:textId="77777777" w:rsidR="00E04619" w:rsidRDefault="00E04619" w:rsidP="00C0290F">
      <w:pPr>
        <w:spacing w:line="360" w:lineRule="auto"/>
        <w:jc w:val="both"/>
        <w:rPr>
          <w:rFonts w:ascii="Calibri" w:hAnsi="Calibri" w:cs="Calibri"/>
          <w:b/>
          <w:bCs/>
          <w:sz w:val="22"/>
          <w:szCs w:val="22"/>
          <w:lang w:val="en-GB"/>
        </w:rPr>
      </w:pPr>
    </w:p>
    <w:p w14:paraId="43DED328" w14:textId="77777777" w:rsidR="00E04619" w:rsidRDefault="00E04619" w:rsidP="00C0290F">
      <w:pPr>
        <w:spacing w:line="360" w:lineRule="auto"/>
        <w:jc w:val="both"/>
        <w:rPr>
          <w:rFonts w:ascii="Calibri" w:hAnsi="Calibri" w:cs="Calibri"/>
          <w:b/>
          <w:bCs/>
          <w:sz w:val="22"/>
          <w:szCs w:val="22"/>
          <w:lang w:val="en-GB"/>
        </w:rPr>
      </w:pPr>
    </w:p>
    <w:p w14:paraId="56577A46" w14:textId="77777777" w:rsidR="00E04619" w:rsidRDefault="00E04619" w:rsidP="00C0290F">
      <w:pPr>
        <w:spacing w:line="360" w:lineRule="auto"/>
        <w:jc w:val="both"/>
        <w:rPr>
          <w:rFonts w:ascii="Calibri" w:hAnsi="Calibri" w:cs="Calibri"/>
          <w:b/>
          <w:bCs/>
          <w:sz w:val="22"/>
          <w:szCs w:val="22"/>
          <w:lang w:val="en-GB"/>
        </w:rPr>
      </w:pPr>
    </w:p>
    <w:p w14:paraId="23EF2CDC" w14:textId="77777777" w:rsidR="00972F14" w:rsidRDefault="00972F14" w:rsidP="00C0290F">
      <w:pPr>
        <w:spacing w:line="360" w:lineRule="auto"/>
        <w:jc w:val="both"/>
        <w:rPr>
          <w:rFonts w:ascii="Calibri" w:hAnsi="Calibri" w:cs="Calibri"/>
          <w:b/>
          <w:bCs/>
          <w:sz w:val="22"/>
          <w:szCs w:val="22"/>
          <w:lang w:val="en-GB"/>
        </w:rPr>
      </w:pPr>
    </w:p>
    <w:p w14:paraId="64099B4E" w14:textId="77777777" w:rsidR="00972F14" w:rsidRDefault="00972F14" w:rsidP="00C0290F">
      <w:pPr>
        <w:spacing w:line="360" w:lineRule="auto"/>
        <w:jc w:val="both"/>
        <w:rPr>
          <w:rFonts w:ascii="Calibri" w:hAnsi="Calibri" w:cs="Calibri"/>
          <w:b/>
          <w:bCs/>
          <w:sz w:val="22"/>
          <w:szCs w:val="22"/>
          <w:lang w:val="en-GB"/>
        </w:rPr>
      </w:pPr>
    </w:p>
    <w:p w14:paraId="74FAB9FA" w14:textId="2998BFFA" w:rsidR="00E04619" w:rsidRDefault="00E04619" w:rsidP="00C0290F">
      <w:pPr>
        <w:spacing w:line="360" w:lineRule="auto"/>
        <w:jc w:val="both"/>
        <w:rPr>
          <w:rFonts w:ascii="Calibri" w:hAnsi="Calibri" w:cs="Calibri"/>
          <w:b/>
          <w:bCs/>
          <w:sz w:val="22"/>
          <w:szCs w:val="22"/>
          <w:lang w:val="en-GB"/>
        </w:rPr>
      </w:pPr>
      <w:r w:rsidRPr="00C0290F">
        <w:rPr>
          <w:rFonts w:ascii="Calibri" w:hAnsi="Calibri" w:cs="Calibri"/>
          <w:b/>
          <w:bCs/>
          <w:sz w:val="22"/>
          <w:szCs w:val="22"/>
          <w:lang w:val="en-GB"/>
        </w:rPr>
        <w:lastRenderedPageBreak/>
        <w:t>Supplementary Figure S2</w:t>
      </w:r>
    </w:p>
    <w:p w14:paraId="706CA2BD" w14:textId="7583F554" w:rsidR="00E04619" w:rsidRDefault="00972F14" w:rsidP="00C0290F">
      <w:pPr>
        <w:spacing w:line="360" w:lineRule="auto"/>
        <w:jc w:val="both"/>
        <w:rPr>
          <w:rFonts w:ascii="Calibri" w:hAnsi="Calibri" w:cs="Calibri"/>
          <w:sz w:val="22"/>
          <w:szCs w:val="22"/>
          <w:lang w:val="en-GB"/>
        </w:rPr>
      </w:pPr>
      <w:r>
        <w:rPr>
          <w:rFonts w:ascii="Calibri" w:hAnsi="Calibri" w:cs="Calibri"/>
          <w:noProof/>
          <w:sz w:val="22"/>
          <w:szCs w:val="22"/>
          <w:lang w:val="en-GB"/>
        </w:rPr>
        <w:drawing>
          <wp:inline distT="0" distB="0" distL="0" distR="0" wp14:anchorId="6267A08F" wp14:editId="50D65403">
            <wp:extent cx="5727700" cy="8105140"/>
            <wp:effectExtent l="0" t="0" r="0" b="0"/>
            <wp:docPr id="260800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00368" name="Picture 260800368"/>
                    <pic:cNvPicPr/>
                  </pic:nvPicPr>
                  <pic:blipFill>
                    <a:blip r:embed="rId9"/>
                    <a:stretch>
                      <a:fillRect/>
                    </a:stretch>
                  </pic:blipFill>
                  <pic:spPr>
                    <a:xfrm>
                      <a:off x="0" y="0"/>
                      <a:ext cx="5727700" cy="8105140"/>
                    </a:xfrm>
                    <a:prstGeom prst="rect">
                      <a:avLst/>
                    </a:prstGeom>
                  </pic:spPr>
                </pic:pic>
              </a:graphicData>
            </a:graphic>
          </wp:inline>
        </w:drawing>
      </w:r>
    </w:p>
    <w:p w14:paraId="362D0544" w14:textId="77777777" w:rsidR="000F2D24" w:rsidRDefault="000F2D24" w:rsidP="00C0290F">
      <w:pPr>
        <w:spacing w:line="360" w:lineRule="auto"/>
        <w:rPr>
          <w:rFonts w:ascii="Calibri" w:hAnsi="Calibri" w:cs="Calibri"/>
          <w:b/>
          <w:sz w:val="22"/>
          <w:szCs w:val="22"/>
          <w:lang w:val="en-GB"/>
        </w:rPr>
      </w:pPr>
    </w:p>
    <w:p w14:paraId="12AC2F0A" w14:textId="44095C76" w:rsidR="00E04619" w:rsidRPr="000A1CB8" w:rsidRDefault="00E04619" w:rsidP="00C0290F">
      <w:pPr>
        <w:spacing w:line="360" w:lineRule="auto"/>
        <w:rPr>
          <w:rFonts w:ascii="Calibri" w:hAnsi="Calibri" w:cs="Calibri"/>
          <w:b/>
          <w:sz w:val="22"/>
          <w:szCs w:val="22"/>
          <w:lang w:val="en-GB"/>
        </w:rPr>
      </w:pPr>
      <w:r w:rsidRPr="000A1CB8">
        <w:rPr>
          <w:rFonts w:ascii="Calibri" w:hAnsi="Calibri" w:cs="Calibri"/>
          <w:b/>
          <w:sz w:val="22"/>
          <w:szCs w:val="22"/>
          <w:lang w:val="en-GB"/>
        </w:rPr>
        <w:lastRenderedPageBreak/>
        <w:t xml:space="preserve">Supplementary Fig. S2: </w:t>
      </w:r>
      <w:r w:rsidRPr="000A1CB8">
        <w:rPr>
          <w:rFonts w:ascii="Calibri" w:hAnsi="Calibri" w:cs="Calibri"/>
          <w:b/>
          <w:bCs/>
          <w:iCs/>
          <w:color w:val="000000" w:themeColor="text1"/>
          <w:sz w:val="22"/>
          <w:szCs w:val="22"/>
          <w:lang w:val="en-GB"/>
        </w:rPr>
        <w:t>Cytokine expression of MAIT cells in presence of fatty acids</w:t>
      </w:r>
    </w:p>
    <w:p w14:paraId="72954834" w14:textId="77777777" w:rsidR="00E04619" w:rsidRPr="0051656B" w:rsidRDefault="00E04619" w:rsidP="0051656B">
      <w:pPr>
        <w:spacing w:line="360" w:lineRule="auto"/>
        <w:jc w:val="both"/>
        <w:rPr>
          <w:rFonts w:ascii="Calibri" w:hAnsi="Calibri" w:cs="Calibri"/>
          <w:sz w:val="22"/>
          <w:szCs w:val="22"/>
          <w:lang w:val="en-GB"/>
        </w:rPr>
      </w:pPr>
      <w:r>
        <w:rPr>
          <w:rFonts w:ascii="Calibri" w:hAnsi="Calibri" w:cs="Calibri"/>
          <w:sz w:val="22"/>
          <w:szCs w:val="22"/>
          <w:lang w:val="en-GB"/>
        </w:rPr>
        <w:t xml:space="preserve">(A) </w:t>
      </w:r>
      <w:r w:rsidRPr="0051656B">
        <w:rPr>
          <w:rFonts w:ascii="Calibri" w:hAnsi="Calibri" w:cs="Calibri"/>
          <w:sz w:val="22"/>
          <w:szCs w:val="22"/>
          <w:lang w:val="en-GB"/>
        </w:rPr>
        <w:t>FFA concentration in the blood serum of MASLD patients and healthy control. (B-C) Effect of FFA</w:t>
      </w:r>
    </w:p>
    <w:p w14:paraId="63FFEE39" w14:textId="77777777" w:rsidR="00E04619" w:rsidRPr="0051656B" w:rsidRDefault="00E04619" w:rsidP="00092B99">
      <w:pPr>
        <w:spacing w:line="360" w:lineRule="auto"/>
        <w:jc w:val="both"/>
        <w:rPr>
          <w:rFonts w:ascii="Calibri" w:hAnsi="Calibri" w:cs="Calibri"/>
          <w:sz w:val="22"/>
          <w:szCs w:val="22"/>
          <w:lang w:val="en-GB"/>
        </w:rPr>
      </w:pPr>
      <w:r>
        <w:rPr>
          <w:rFonts w:ascii="Calibri" w:hAnsi="Calibri" w:cs="Calibri"/>
          <w:sz w:val="22"/>
          <w:szCs w:val="22"/>
          <w:lang w:val="en-GB"/>
        </w:rPr>
        <w:t xml:space="preserve"> </w:t>
      </w:r>
      <w:r w:rsidRPr="0051656B">
        <w:rPr>
          <w:rFonts w:ascii="Calibri" w:hAnsi="Calibri" w:cs="Calibri"/>
          <w:sz w:val="22"/>
          <w:szCs w:val="22"/>
          <w:lang w:val="en-GB"/>
        </w:rPr>
        <w:t>exposure on cytokine expression by MAIT cells in a PBMC pool after 24 h stimulation with aCD3/CD28 (B) or IL-12/IL-18 (C). (D) Concentration dependent effect of FFA treatment on cytokine expression by purified MAIT cells after 24 h stimulation with aCD3/CD28 and IL-12/IL-18. (E) Intracellular neutral lipid content in different immune cell populations from healthy controls in a PBMC pool after exposure to different amounts of PUFAs for 5 h. (</w:t>
      </w:r>
      <w:r>
        <w:rPr>
          <w:rFonts w:ascii="Calibri" w:hAnsi="Calibri" w:cs="Calibri"/>
          <w:sz w:val="22"/>
          <w:szCs w:val="22"/>
          <w:lang w:val="en-GB"/>
        </w:rPr>
        <w:t>F</w:t>
      </w:r>
      <w:r w:rsidRPr="0051656B">
        <w:rPr>
          <w:rFonts w:ascii="Calibri" w:hAnsi="Calibri" w:cs="Calibri"/>
          <w:sz w:val="22"/>
          <w:szCs w:val="22"/>
          <w:lang w:val="en-GB"/>
        </w:rPr>
        <w:t>) Effect of PUFA exposure on cytokine production in different immune cell populations in a PBMC pool after 24 h of stimulation with aCD3/CD28 or IL-12/IL-18. Data represent mean +/- SEM (B-C, E-</w:t>
      </w:r>
      <w:r>
        <w:rPr>
          <w:rFonts w:ascii="Calibri" w:hAnsi="Calibri" w:cs="Calibri"/>
          <w:sz w:val="22"/>
          <w:szCs w:val="22"/>
          <w:lang w:val="en-GB"/>
        </w:rPr>
        <w:t>F</w:t>
      </w:r>
      <w:r w:rsidRPr="0051656B">
        <w:rPr>
          <w:rFonts w:ascii="Calibri" w:hAnsi="Calibri" w:cs="Calibri"/>
          <w:sz w:val="22"/>
          <w:szCs w:val="22"/>
          <w:lang w:val="en-GB"/>
        </w:rPr>
        <w:t xml:space="preserve">), pooled data from at least 3 independent experiments. (A, D) Data represent mean +/- SD, pooled data from at least 2 independent experiments. ***p&lt;0.001, **p&lt;0.01, *p&lt;0.05, ns = p&gt;0.05 assessed by </w:t>
      </w:r>
      <w:r>
        <w:rPr>
          <w:rFonts w:ascii="Calibri" w:hAnsi="Calibri" w:cs="Calibri"/>
          <w:sz w:val="22"/>
          <w:szCs w:val="22"/>
          <w:lang w:val="en-GB"/>
        </w:rPr>
        <w:t xml:space="preserve">Welch’s t-test (A), </w:t>
      </w:r>
      <w:r w:rsidRPr="0051656B">
        <w:rPr>
          <w:rFonts w:ascii="Calibri" w:hAnsi="Calibri" w:cs="Calibri"/>
          <w:sz w:val="22"/>
          <w:szCs w:val="22"/>
          <w:lang w:val="en-GB"/>
        </w:rPr>
        <w:t>Repeated measures ANOVA (B-</w:t>
      </w:r>
      <w:r>
        <w:rPr>
          <w:rFonts w:ascii="Calibri" w:hAnsi="Calibri" w:cs="Calibri"/>
          <w:sz w:val="22"/>
          <w:szCs w:val="22"/>
          <w:lang w:val="en-GB"/>
        </w:rPr>
        <w:t>F</w:t>
      </w:r>
      <w:r w:rsidRPr="0051656B">
        <w:rPr>
          <w:rFonts w:ascii="Calibri" w:hAnsi="Calibri" w:cs="Calibri"/>
          <w:sz w:val="22"/>
          <w:szCs w:val="22"/>
          <w:lang w:val="en-GB"/>
        </w:rPr>
        <w:t>)</w:t>
      </w:r>
      <w:r w:rsidRPr="0062154D">
        <w:t xml:space="preserve"> </w:t>
      </w:r>
      <w:r w:rsidRPr="0051656B">
        <w:rPr>
          <w:rFonts w:ascii="Calibri" w:hAnsi="Calibri" w:cs="Calibri"/>
          <w:sz w:val="22"/>
          <w:szCs w:val="22"/>
          <w:lang w:val="en-GB"/>
        </w:rPr>
        <w:t>or One-way ANOVA with Tukey’s multiple comparison test (</w:t>
      </w:r>
      <w:r>
        <w:rPr>
          <w:rFonts w:ascii="Calibri" w:hAnsi="Calibri" w:cs="Calibri"/>
          <w:sz w:val="22"/>
          <w:szCs w:val="22"/>
          <w:lang w:val="en-GB"/>
        </w:rPr>
        <w:t>E-F</w:t>
      </w:r>
      <w:r w:rsidRPr="0051656B">
        <w:rPr>
          <w:rFonts w:ascii="Calibri" w:hAnsi="Calibri" w:cs="Calibri"/>
          <w:sz w:val="22"/>
          <w:szCs w:val="22"/>
          <w:lang w:val="en-GB"/>
        </w:rPr>
        <w:t>). Each dot represents one individual (A-</w:t>
      </w:r>
      <w:r>
        <w:rPr>
          <w:rFonts w:ascii="Calibri" w:hAnsi="Calibri" w:cs="Calibri"/>
          <w:sz w:val="22"/>
          <w:szCs w:val="22"/>
          <w:lang w:val="en-GB"/>
        </w:rPr>
        <w:t>F</w:t>
      </w:r>
      <w:r w:rsidRPr="0051656B">
        <w:rPr>
          <w:rFonts w:ascii="Calibri" w:hAnsi="Calibri" w:cs="Calibri"/>
          <w:sz w:val="22"/>
          <w:szCs w:val="22"/>
          <w:lang w:val="en-GB"/>
        </w:rPr>
        <w:t>).</w:t>
      </w:r>
    </w:p>
    <w:p w14:paraId="6C62D9CB" w14:textId="77777777" w:rsidR="00E04619" w:rsidRDefault="00E04619" w:rsidP="00D66333">
      <w:pPr>
        <w:spacing w:line="360" w:lineRule="auto"/>
        <w:jc w:val="both"/>
        <w:rPr>
          <w:rFonts w:ascii="Calibri" w:hAnsi="Calibri" w:cs="Calibri"/>
          <w:sz w:val="22"/>
          <w:szCs w:val="22"/>
          <w:lang w:val="en-GB"/>
        </w:rPr>
      </w:pPr>
    </w:p>
    <w:p w14:paraId="274A3FD4" w14:textId="77777777" w:rsidR="00E04619" w:rsidRDefault="00E04619" w:rsidP="00D66333">
      <w:pPr>
        <w:spacing w:line="360" w:lineRule="auto"/>
        <w:jc w:val="both"/>
        <w:rPr>
          <w:rFonts w:ascii="Calibri" w:hAnsi="Calibri" w:cs="Calibri"/>
          <w:sz w:val="22"/>
          <w:szCs w:val="22"/>
          <w:lang w:val="en-GB"/>
        </w:rPr>
      </w:pPr>
    </w:p>
    <w:p w14:paraId="667F5DE3" w14:textId="77777777" w:rsidR="00E04619" w:rsidRDefault="00E04619" w:rsidP="004F3A6B">
      <w:pPr>
        <w:spacing w:line="360" w:lineRule="auto"/>
        <w:jc w:val="both"/>
        <w:rPr>
          <w:rFonts w:ascii="Calibri" w:hAnsi="Calibri" w:cs="Calibri"/>
          <w:b/>
          <w:bCs/>
          <w:sz w:val="22"/>
          <w:szCs w:val="22"/>
          <w:lang w:val="en-GB"/>
        </w:rPr>
      </w:pPr>
    </w:p>
    <w:p w14:paraId="3F41BE4F" w14:textId="77777777" w:rsidR="00E04619" w:rsidRDefault="00E04619" w:rsidP="004F3A6B">
      <w:pPr>
        <w:spacing w:line="360" w:lineRule="auto"/>
        <w:jc w:val="both"/>
        <w:rPr>
          <w:rFonts w:ascii="Calibri" w:hAnsi="Calibri" w:cs="Calibri"/>
          <w:b/>
          <w:bCs/>
          <w:sz w:val="22"/>
          <w:szCs w:val="22"/>
          <w:lang w:val="en-GB"/>
        </w:rPr>
      </w:pPr>
    </w:p>
    <w:p w14:paraId="582EA54E" w14:textId="77777777" w:rsidR="00E04619" w:rsidRDefault="00E04619" w:rsidP="004F3A6B">
      <w:pPr>
        <w:spacing w:line="360" w:lineRule="auto"/>
        <w:jc w:val="both"/>
        <w:rPr>
          <w:rFonts w:ascii="Calibri" w:hAnsi="Calibri" w:cs="Calibri"/>
          <w:b/>
          <w:bCs/>
          <w:sz w:val="22"/>
          <w:szCs w:val="22"/>
          <w:lang w:val="en-GB"/>
        </w:rPr>
      </w:pPr>
    </w:p>
    <w:p w14:paraId="10887B8E" w14:textId="77777777" w:rsidR="00E04619" w:rsidRDefault="00E04619" w:rsidP="004F3A6B">
      <w:pPr>
        <w:spacing w:line="360" w:lineRule="auto"/>
        <w:jc w:val="both"/>
        <w:rPr>
          <w:rFonts w:ascii="Calibri" w:hAnsi="Calibri" w:cs="Calibri"/>
          <w:b/>
          <w:bCs/>
          <w:sz w:val="22"/>
          <w:szCs w:val="22"/>
          <w:lang w:val="en-GB"/>
        </w:rPr>
      </w:pPr>
    </w:p>
    <w:p w14:paraId="5EF89E5F" w14:textId="77777777" w:rsidR="00E04619" w:rsidRDefault="00E04619" w:rsidP="004F3A6B">
      <w:pPr>
        <w:spacing w:line="360" w:lineRule="auto"/>
        <w:jc w:val="both"/>
        <w:rPr>
          <w:rFonts w:ascii="Calibri" w:hAnsi="Calibri" w:cs="Calibri"/>
          <w:b/>
          <w:bCs/>
          <w:sz w:val="22"/>
          <w:szCs w:val="22"/>
          <w:lang w:val="en-GB"/>
        </w:rPr>
      </w:pPr>
    </w:p>
    <w:p w14:paraId="02E08DAA" w14:textId="77777777" w:rsidR="00E04619" w:rsidRDefault="00E04619" w:rsidP="004F3A6B">
      <w:pPr>
        <w:spacing w:line="360" w:lineRule="auto"/>
        <w:jc w:val="both"/>
        <w:rPr>
          <w:rFonts w:ascii="Calibri" w:hAnsi="Calibri" w:cs="Calibri"/>
          <w:b/>
          <w:bCs/>
          <w:sz w:val="22"/>
          <w:szCs w:val="22"/>
          <w:lang w:val="en-GB"/>
        </w:rPr>
      </w:pPr>
    </w:p>
    <w:p w14:paraId="7BA75C7D" w14:textId="77777777" w:rsidR="00E04619" w:rsidRDefault="00E04619" w:rsidP="004F3A6B">
      <w:pPr>
        <w:spacing w:line="360" w:lineRule="auto"/>
        <w:jc w:val="both"/>
        <w:rPr>
          <w:rFonts w:ascii="Calibri" w:hAnsi="Calibri" w:cs="Calibri"/>
          <w:b/>
          <w:bCs/>
          <w:sz w:val="22"/>
          <w:szCs w:val="22"/>
          <w:lang w:val="en-GB"/>
        </w:rPr>
      </w:pPr>
    </w:p>
    <w:p w14:paraId="5E942E48" w14:textId="77777777" w:rsidR="00E04619" w:rsidRDefault="00E04619" w:rsidP="004F3A6B">
      <w:pPr>
        <w:spacing w:line="360" w:lineRule="auto"/>
        <w:jc w:val="both"/>
        <w:rPr>
          <w:rFonts w:ascii="Calibri" w:hAnsi="Calibri" w:cs="Calibri"/>
          <w:b/>
          <w:bCs/>
          <w:sz w:val="22"/>
          <w:szCs w:val="22"/>
          <w:lang w:val="en-GB"/>
        </w:rPr>
      </w:pPr>
    </w:p>
    <w:p w14:paraId="75C06F1F" w14:textId="77777777" w:rsidR="00E04619" w:rsidRDefault="00E04619" w:rsidP="004F3A6B">
      <w:pPr>
        <w:spacing w:line="360" w:lineRule="auto"/>
        <w:jc w:val="both"/>
        <w:rPr>
          <w:rFonts w:ascii="Calibri" w:hAnsi="Calibri" w:cs="Calibri"/>
          <w:b/>
          <w:bCs/>
          <w:sz w:val="22"/>
          <w:szCs w:val="22"/>
          <w:lang w:val="en-GB"/>
        </w:rPr>
      </w:pPr>
    </w:p>
    <w:p w14:paraId="7273F8D6" w14:textId="77777777" w:rsidR="00E04619" w:rsidRDefault="00E04619" w:rsidP="004F3A6B">
      <w:pPr>
        <w:spacing w:line="360" w:lineRule="auto"/>
        <w:jc w:val="both"/>
        <w:rPr>
          <w:rFonts w:ascii="Calibri" w:hAnsi="Calibri" w:cs="Calibri"/>
          <w:b/>
          <w:bCs/>
          <w:sz w:val="22"/>
          <w:szCs w:val="22"/>
          <w:lang w:val="en-GB"/>
        </w:rPr>
      </w:pPr>
    </w:p>
    <w:p w14:paraId="661E1E41" w14:textId="77777777" w:rsidR="00E04619" w:rsidRDefault="00E04619" w:rsidP="004F3A6B">
      <w:pPr>
        <w:spacing w:line="360" w:lineRule="auto"/>
        <w:jc w:val="both"/>
        <w:rPr>
          <w:rFonts w:ascii="Calibri" w:hAnsi="Calibri" w:cs="Calibri"/>
          <w:b/>
          <w:bCs/>
          <w:sz w:val="22"/>
          <w:szCs w:val="22"/>
          <w:lang w:val="en-GB"/>
        </w:rPr>
      </w:pPr>
    </w:p>
    <w:p w14:paraId="2C7B8ED6" w14:textId="77777777" w:rsidR="00E04619" w:rsidRDefault="00E04619" w:rsidP="004F3A6B">
      <w:pPr>
        <w:spacing w:line="360" w:lineRule="auto"/>
        <w:jc w:val="both"/>
        <w:rPr>
          <w:rFonts w:ascii="Calibri" w:hAnsi="Calibri" w:cs="Calibri"/>
          <w:b/>
          <w:bCs/>
          <w:sz w:val="22"/>
          <w:szCs w:val="22"/>
          <w:lang w:val="en-GB"/>
        </w:rPr>
      </w:pPr>
    </w:p>
    <w:p w14:paraId="1B237ED0" w14:textId="77777777" w:rsidR="00E04619" w:rsidRDefault="00E04619" w:rsidP="004F3A6B">
      <w:pPr>
        <w:spacing w:line="360" w:lineRule="auto"/>
        <w:jc w:val="both"/>
        <w:rPr>
          <w:rFonts w:ascii="Calibri" w:hAnsi="Calibri" w:cs="Calibri"/>
          <w:b/>
          <w:bCs/>
          <w:sz w:val="22"/>
          <w:szCs w:val="22"/>
          <w:lang w:val="en-GB"/>
        </w:rPr>
      </w:pPr>
    </w:p>
    <w:p w14:paraId="3BC4A796" w14:textId="77777777" w:rsidR="00E04619" w:rsidRDefault="00E04619" w:rsidP="004F3A6B">
      <w:pPr>
        <w:spacing w:line="360" w:lineRule="auto"/>
        <w:jc w:val="both"/>
        <w:rPr>
          <w:rFonts w:ascii="Calibri" w:hAnsi="Calibri" w:cs="Calibri"/>
          <w:b/>
          <w:bCs/>
          <w:sz w:val="22"/>
          <w:szCs w:val="22"/>
          <w:lang w:val="en-GB"/>
        </w:rPr>
      </w:pPr>
    </w:p>
    <w:p w14:paraId="025DFDE9" w14:textId="77777777" w:rsidR="00E04619" w:rsidRDefault="00E04619" w:rsidP="004F3A6B">
      <w:pPr>
        <w:spacing w:line="360" w:lineRule="auto"/>
        <w:jc w:val="both"/>
        <w:rPr>
          <w:rFonts w:ascii="Calibri" w:hAnsi="Calibri" w:cs="Calibri"/>
          <w:b/>
          <w:bCs/>
          <w:sz w:val="22"/>
          <w:szCs w:val="22"/>
          <w:lang w:val="en-GB"/>
        </w:rPr>
      </w:pPr>
    </w:p>
    <w:p w14:paraId="6AE29401" w14:textId="77777777" w:rsidR="00E04619" w:rsidRDefault="00E04619" w:rsidP="004F3A6B">
      <w:pPr>
        <w:spacing w:line="360" w:lineRule="auto"/>
        <w:jc w:val="both"/>
        <w:rPr>
          <w:rFonts w:ascii="Calibri" w:hAnsi="Calibri" w:cs="Calibri"/>
          <w:b/>
          <w:bCs/>
          <w:sz w:val="22"/>
          <w:szCs w:val="22"/>
          <w:lang w:val="en-GB"/>
        </w:rPr>
      </w:pPr>
    </w:p>
    <w:p w14:paraId="1154EBB2" w14:textId="77777777" w:rsidR="00E04619" w:rsidRDefault="00E04619" w:rsidP="004F3A6B">
      <w:pPr>
        <w:spacing w:line="360" w:lineRule="auto"/>
        <w:jc w:val="both"/>
        <w:rPr>
          <w:rFonts w:ascii="Calibri" w:hAnsi="Calibri" w:cs="Calibri"/>
          <w:b/>
          <w:bCs/>
          <w:sz w:val="22"/>
          <w:szCs w:val="22"/>
          <w:lang w:val="en-GB"/>
        </w:rPr>
      </w:pPr>
    </w:p>
    <w:p w14:paraId="01E2C357" w14:textId="77777777" w:rsidR="00E04619" w:rsidRDefault="00E04619" w:rsidP="004F3A6B">
      <w:pPr>
        <w:spacing w:line="360" w:lineRule="auto"/>
        <w:jc w:val="both"/>
        <w:rPr>
          <w:rFonts w:ascii="Calibri" w:hAnsi="Calibri" w:cs="Calibri"/>
          <w:b/>
          <w:bCs/>
          <w:sz w:val="22"/>
          <w:szCs w:val="22"/>
          <w:lang w:val="en-GB"/>
        </w:rPr>
      </w:pPr>
    </w:p>
    <w:p w14:paraId="2D666AC6" w14:textId="77777777" w:rsidR="003C68E1" w:rsidRDefault="003C68E1" w:rsidP="004F3A6B">
      <w:pPr>
        <w:spacing w:line="360" w:lineRule="auto"/>
        <w:jc w:val="both"/>
        <w:rPr>
          <w:rFonts w:ascii="Calibri" w:hAnsi="Calibri" w:cs="Calibri"/>
          <w:b/>
          <w:bCs/>
          <w:sz w:val="22"/>
          <w:szCs w:val="22"/>
          <w:lang w:val="en-GB"/>
        </w:rPr>
      </w:pPr>
    </w:p>
    <w:p w14:paraId="6E0355F8" w14:textId="77777777" w:rsidR="007F7E76" w:rsidRDefault="007F7E76" w:rsidP="004F3A6B">
      <w:pPr>
        <w:spacing w:line="360" w:lineRule="auto"/>
        <w:jc w:val="both"/>
        <w:rPr>
          <w:rFonts w:ascii="Calibri" w:hAnsi="Calibri" w:cs="Calibri"/>
          <w:b/>
          <w:bCs/>
          <w:sz w:val="22"/>
          <w:szCs w:val="22"/>
          <w:lang w:val="en-GB"/>
        </w:rPr>
      </w:pPr>
    </w:p>
    <w:p w14:paraId="736C9281" w14:textId="1DC37244" w:rsidR="00E04619" w:rsidRDefault="00E04619" w:rsidP="004F3A6B">
      <w:pPr>
        <w:spacing w:line="360" w:lineRule="auto"/>
        <w:jc w:val="both"/>
        <w:rPr>
          <w:rFonts w:ascii="Calibri" w:hAnsi="Calibri" w:cs="Calibri"/>
          <w:b/>
          <w:bCs/>
          <w:sz w:val="22"/>
          <w:szCs w:val="22"/>
          <w:lang w:val="en-GB"/>
        </w:rPr>
      </w:pPr>
      <w:r w:rsidRPr="0051656B">
        <w:rPr>
          <w:rFonts w:ascii="Calibri" w:hAnsi="Calibri" w:cs="Calibri"/>
          <w:b/>
          <w:bCs/>
          <w:sz w:val="22"/>
          <w:szCs w:val="22"/>
          <w:lang w:val="en-GB"/>
        </w:rPr>
        <w:lastRenderedPageBreak/>
        <w:t>Supplementary Figure S3</w:t>
      </w:r>
    </w:p>
    <w:p w14:paraId="273D5E05" w14:textId="0A4BA7F3" w:rsidR="00E04619" w:rsidRPr="0051656B" w:rsidRDefault="000F2D24" w:rsidP="004F3A6B">
      <w:pPr>
        <w:spacing w:line="360" w:lineRule="auto"/>
        <w:jc w:val="both"/>
        <w:rPr>
          <w:rFonts w:ascii="Calibri" w:hAnsi="Calibri" w:cs="Calibri"/>
          <w:b/>
          <w:bCs/>
          <w:sz w:val="22"/>
          <w:szCs w:val="22"/>
          <w:lang w:val="en-GB"/>
        </w:rPr>
      </w:pPr>
      <w:r>
        <w:rPr>
          <w:rFonts w:ascii="Calibri" w:hAnsi="Calibri" w:cs="Calibri"/>
          <w:b/>
          <w:bCs/>
          <w:noProof/>
          <w:sz w:val="22"/>
          <w:szCs w:val="22"/>
          <w:lang w:val="en-GB"/>
        </w:rPr>
        <w:drawing>
          <wp:inline distT="0" distB="0" distL="0" distR="0" wp14:anchorId="1376D605" wp14:editId="235FCD11">
            <wp:extent cx="5727700" cy="3098800"/>
            <wp:effectExtent l="0" t="0" r="0" b="0"/>
            <wp:docPr id="139221612" name="Picture 3"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21612" name="Picture 3" descr="A close-up of a graph&#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27700" cy="3098800"/>
                    </a:xfrm>
                    <a:prstGeom prst="rect">
                      <a:avLst/>
                    </a:prstGeom>
                  </pic:spPr>
                </pic:pic>
              </a:graphicData>
            </a:graphic>
          </wp:inline>
        </w:drawing>
      </w:r>
    </w:p>
    <w:p w14:paraId="784CB9A8" w14:textId="77777777" w:rsidR="00E04619" w:rsidRDefault="00E04619" w:rsidP="004F3A6B">
      <w:pPr>
        <w:spacing w:line="360" w:lineRule="auto"/>
        <w:jc w:val="both"/>
        <w:rPr>
          <w:rFonts w:ascii="Calibri" w:hAnsi="Calibri" w:cs="Calibri"/>
          <w:sz w:val="22"/>
          <w:szCs w:val="22"/>
          <w:lang w:val="en-GB"/>
        </w:rPr>
      </w:pPr>
    </w:p>
    <w:p w14:paraId="327B6C0D" w14:textId="77777777" w:rsidR="00E04619" w:rsidRDefault="00E04619" w:rsidP="004F3A6B">
      <w:pPr>
        <w:spacing w:line="360" w:lineRule="auto"/>
        <w:jc w:val="both"/>
        <w:rPr>
          <w:rFonts w:ascii="Calibri" w:hAnsi="Calibri" w:cs="Calibri"/>
          <w:b/>
          <w:bCs/>
          <w:sz w:val="22"/>
          <w:szCs w:val="22"/>
          <w:lang w:val="en-GB"/>
        </w:rPr>
      </w:pPr>
      <w:r w:rsidRPr="0051656B">
        <w:rPr>
          <w:rFonts w:ascii="Calibri" w:hAnsi="Calibri" w:cs="Calibri"/>
          <w:b/>
          <w:bCs/>
          <w:sz w:val="22"/>
          <w:szCs w:val="22"/>
          <w:lang w:val="en-GB"/>
        </w:rPr>
        <w:t>Supplementary Fig. S3: Killing capacity of MAIT cells in presence of different blocking antibodies</w:t>
      </w:r>
    </w:p>
    <w:p w14:paraId="43ECF887" w14:textId="77777777" w:rsidR="00E04619" w:rsidRDefault="00E04619" w:rsidP="0051656B">
      <w:pPr>
        <w:spacing w:line="360" w:lineRule="auto"/>
        <w:jc w:val="both"/>
        <w:rPr>
          <w:rFonts w:ascii="Calibri" w:hAnsi="Calibri" w:cs="Calibri"/>
          <w:sz w:val="22"/>
          <w:szCs w:val="22"/>
          <w:lang w:val="en-GB"/>
        </w:rPr>
      </w:pPr>
      <w:r w:rsidRPr="00886548">
        <w:rPr>
          <w:rFonts w:ascii="Calibri" w:hAnsi="Calibri" w:cs="Calibri"/>
          <w:sz w:val="22"/>
          <w:szCs w:val="22"/>
          <w:lang w:val="en-GB"/>
        </w:rPr>
        <w:t>(A</w:t>
      </w:r>
      <w:r>
        <w:rPr>
          <w:rFonts w:ascii="Calibri" w:hAnsi="Calibri" w:cs="Calibri"/>
          <w:sz w:val="22"/>
          <w:szCs w:val="22"/>
          <w:lang w:val="en-GB"/>
        </w:rPr>
        <w:t xml:space="preserve">) MAIT cell killing activity against HuH-7 cells. (B) </w:t>
      </w:r>
      <w:r w:rsidRPr="0051656B">
        <w:rPr>
          <w:rFonts w:ascii="Calibri" w:hAnsi="Calibri" w:cs="Calibri"/>
          <w:sz w:val="22"/>
          <w:szCs w:val="22"/>
          <w:lang w:val="en-GB"/>
        </w:rPr>
        <w:t>Representative</w:t>
      </w:r>
      <w:r>
        <w:rPr>
          <w:rFonts w:ascii="Calibri" w:hAnsi="Calibri" w:cs="Calibri"/>
          <w:sz w:val="22"/>
          <w:szCs w:val="22"/>
          <w:lang w:val="en-GB"/>
        </w:rPr>
        <w:t xml:space="preserve"> (left panel)</w:t>
      </w:r>
      <w:r w:rsidRPr="0051656B">
        <w:rPr>
          <w:rFonts w:ascii="Calibri" w:hAnsi="Calibri" w:cs="Calibri"/>
          <w:sz w:val="22"/>
          <w:szCs w:val="22"/>
          <w:lang w:val="en-GB"/>
        </w:rPr>
        <w:t xml:space="preserve"> and summary data</w:t>
      </w:r>
      <w:r>
        <w:rPr>
          <w:rFonts w:ascii="Calibri" w:hAnsi="Calibri" w:cs="Calibri"/>
          <w:sz w:val="22"/>
          <w:szCs w:val="22"/>
          <w:lang w:val="en-GB"/>
        </w:rPr>
        <w:t xml:space="preserve"> (right panel)</w:t>
      </w:r>
      <w:r w:rsidRPr="0051656B">
        <w:rPr>
          <w:rFonts w:ascii="Calibri" w:hAnsi="Calibri" w:cs="Calibri"/>
          <w:sz w:val="22"/>
          <w:szCs w:val="22"/>
          <w:lang w:val="en-GB"/>
        </w:rPr>
        <w:t xml:space="preserve"> of MAIT cell killing activity against HepG2 cell in the presence of</w:t>
      </w:r>
      <w:r>
        <w:rPr>
          <w:rFonts w:ascii="Calibri" w:hAnsi="Calibri" w:cs="Calibri"/>
          <w:sz w:val="22"/>
          <w:szCs w:val="22"/>
          <w:lang w:val="en-GB"/>
        </w:rPr>
        <w:t xml:space="preserve"> a blocking antibody against</w:t>
      </w:r>
      <w:r w:rsidRPr="0051656B">
        <w:rPr>
          <w:rFonts w:ascii="Calibri" w:hAnsi="Calibri" w:cs="Calibri"/>
          <w:sz w:val="22"/>
          <w:szCs w:val="22"/>
          <w:lang w:val="en-GB"/>
        </w:rPr>
        <w:t xml:space="preserve"> MR1. </w:t>
      </w:r>
      <w:r>
        <w:rPr>
          <w:rFonts w:ascii="Calibri" w:hAnsi="Calibri" w:cs="Calibri"/>
          <w:sz w:val="22"/>
          <w:szCs w:val="22"/>
          <w:lang w:val="en-GB"/>
        </w:rPr>
        <w:t xml:space="preserve">(C) </w:t>
      </w:r>
      <w:r w:rsidRPr="0051656B">
        <w:rPr>
          <w:rFonts w:ascii="Calibri" w:hAnsi="Calibri" w:cs="Calibri"/>
          <w:sz w:val="22"/>
          <w:szCs w:val="22"/>
          <w:lang w:val="en-GB"/>
        </w:rPr>
        <w:t>Summary data of MAIT cell killing activity in the presence of blocking antibod</w:t>
      </w:r>
      <w:r>
        <w:rPr>
          <w:rFonts w:ascii="Calibri" w:hAnsi="Calibri" w:cs="Calibri"/>
          <w:sz w:val="22"/>
          <w:szCs w:val="22"/>
          <w:lang w:val="en-GB"/>
        </w:rPr>
        <w:t>ies against FasL,</w:t>
      </w:r>
      <w:r w:rsidRPr="0051656B">
        <w:rPr>
          <w:rFonts w:ascii="Calibri" w:hAnsi="Calibri" w:cs="Calibri"/>
          <w:sz w:val="22"/>
          <w:szCs w:val="22"/>
          <w:lang w:val="en-GB"/>
        </w:rPr>
        <w:t xml:space="preserve"> TNF</w:t>
      </w:r>
      <w:r w:rsidRPr="004F3A6B">
        <w:rPr>
          <w:rFonts w:ascii="Symbol" w:hAnsi="Symbol"/>
          <w:lang w:val="en-GB"/>
        </w:rPr>
        <w:sym w:font="Symbol" w:char="F061"/>
      </w:r>
      <w:r w:rsidRPr="0051656B">
        <w:rPr>
          <w:rFonts w:ascii="Calibri" w:hAnsi="Calibri" w:cs="Calibri"/>
          <w:sz w:val="22"/>
          <w:szCs w:val="22"/>
          <w:lang w:val="en-GB"/>
        </w:rPr>
        <w:t xml:space="preserve"> and IFN</w:t>
      </w:r>
      <w:r w:rsidRPr="004F3A6B">
        <w:rPr>
          <w:rFonts w:ascii="Symbol" w:hAnsi="Symbol"/>
          <w:lang w:val="en-GB"/>
        </w:rPr>
        <w:sym w:font="Symbol" w:char="F067"/>
      </w:r>
      <w:r w:rsidRPr="0051656B">
        <w:rPr>
          <w:rFonts w:ascii="Calibri" w:hAnsi="Calibri" w:cs="Calibri"/>
          <w:sz w:val="22"/>
          <w:szCs w:val="22"/>
          <w:lang w:val="en-GB"/>
        </w:rPr>
        <w:t>.</w:t>
      </w:r>
      <w:r>
        <w:rPr>
          <w:rFonts w:ascii="Calibri" w:hAnsi="Calibri" w:cs="Calibri"/>
          <w:sz w:val="22"/>
          <w:szCs w:val="22"/>
          <w:lang w:val="en-GB"/>
        </w:rPr>
        <w:t xml:space="preserve"> (D) MAIT cell killing activity against HuH-7 cells in the presence of C20:4 or C22:6. (A) Data represent mean +/- SEM, pooled data from 3 independent experiments. (B-D)</w:t>
      </w:r>
      <w:r w:rsidRPr="0051656B">
        <w:rPr>
          <w:rFonts w:ascii="Calibri" w:hAnsi="Calibri" w:cs="Calibri"/>
          <w:sz w:val="22"/>
          <w:szCs w:val="22"/>
          <w:lang w:val="en-GB"/>
        </w:rPr>
        <w:t xml:space="preserve"> </w:t>
      </w:r>
      <w:r>
        <w:rPr>
          <w:rFonts w:ascii="Calibri" w:hAnsi="Calibri" w:cs="Calibri"/>
          <w:sz w:val="22"/>
          <w:szCs w:val="22"/>
          <w:lang w:val="en-GB"/>
        </w:rPr>
        <w:t>D</w:t>
      </w:r>
      <w:r w:rsidRPr="0051656B">
        <w:rPr>
          <w:rFonts w:ascii="Calibri" w:hAnsi="Calibri" w:cs="Calibri"/>
          <w:sz w:val="22"/>
          <w:szCs w:val="22"/>
          <w:lang w:val="en-US"/>
        </w:rPr>
        <w:t xml:space="preserve">ata represent mean +/- SD, pooled data from </w:t>
      </w:r>
      <w:r>
        <w:rPr>
          <w:rFonts w:ascii="Calibri" w:hAnsi="Calibri" w:cs="Calibri"/>
          <w:sz w:val="22"/>
          <w:szCs w:val="22"/>
          <w:lang w:val="en-US"/>
        </w:rPr>
        <w:t>2-5</w:t>
      </w:r>
      <w:r w:rsidRPr="0051656B">
        <w:rPr>
          <w:rFonts w:ascii="Calibri" w:hAnsi="Calibri" w:cs="Calibri"/>
          <w:sz w:val="22"/>
          <w:szCs w:val="22"/>
          <w:lang w:val="en-US"/>
        </w:rPr>
        <w:t xml:space="preserve"> independent experiments. ***p&lt;0.001, **p&lt;0.01, *p&lt;0.05, ns = p&gt;0.05 compared to untreated control or as indicated assessed by</w:t>
      </w:r>
      <w:r>
        <w:rPr>
          <w:rFonts w:ascii="Calibri" w:hAnsi="Calibri" w:cs="Calibri"/>
          <w:sz w:val="22"/>
          <w:szCs w:val="22"/>
          <w:lang w:val="en-US"/>
        </w:rPr>
        <w:t xml:space="preserve"> paired t-test (A),</w:t>
      </w:r>
      <w:r w:rsidRPr="0051656B">
        <w:rPr>
          <w:rFonts w:ascii="Calibri" w:hAnsi="Calibri" w:cs="Calibri"/>
          <w:sz w:val="22"/>
          <w:szCs w:val="22"/>
          <w:lang w:val="en-US"/>
        </w:rPr>
        <w:t xml:space="preserve"> One-way ANOVA</w:t>
      </w:r>
      <w:r>
        <w:rPr>
          <w:rFonts w:ascii="Calibri" w:hAnsi="Calibri" w:cs="Calibri"/>
          <w:sz w:val="22"/>
          <w:szCs w:val="22"/>
          <w:lang w:val="en-US"/>
        </w:rPr>
        <w:t xml:space="preserve"> with Tukey’s multiple comparisons test (B-C) or Repeated measures ANOVA (D)</w:t>
      </w:r>
      <w:r w:rsidRPr="0051656B">
        <w:rPr>
          <w:rFonts w:ascii="Calibri" w:hAnsi="Calibri" w:cs="Calibri"/>
          <w:sz w:val="22"/>
          <w:szCs w:val="22"/>
          <w:lang w:val="en-US"/>
        </w:rPr>
        <w:t>. Each dot represents one individual.</w:t>
      </w:r>
    </w:p>
    <w:p w14:paraId="750729A8" w14:textId="77777777" w:rsidR="00E04619" w:rsidRPr="00FF31AD" w:rsidRDefault="00E04619" w:rsidP="00FF31AD">
      <w:pPr>
        <w:spacing w:line="360" w:lineRule="auto"/>
        <w:jc w:val="both"/>
        <w:rPr>
          <w:rFonts w:ascii="Calibri" w:hAnsi="Calibri" w:cs="Calibri"/>
          <w:sz w:val="22"/>
          <w:szCs w:val="22"/>
          <w:lang w:val="en-GB"/>
        </w:rPr>
      </w:pPr>
    </w:p>
    <w:p w14:paraId="2ED61156" w14:textId="77777777" w:rsidR="00E04619" w:rsidRDefault="00E04619" w:rsidP="000A1CB8">
      <w:pPr>
        <w:spacing w:line="480" w:lineRule="auto"/>
        <w:rPr>
          <w:rFonts w:ascii="Calibri" w:hAnsi="Calibri" w:cs="Calibri"/>
          <w:b/>
          <w:color w:val="000000" w:themeColor="text1"/>
          <w:sz w:val="22"/>
          <w:szCs w:val="22"/>
          <w:lang w:val="en-GB"/>
        </w:rPr>
      </w:pPr>
    </w:p>
    <w:p w14:paraId="6563DB18" w14:textId="77777777" w:rsidR="00E04619" w:rsidRDefault="00E04619" w:rsidP="00FF31AD">
      <w:pPr>
        <w:spacing w:line="480" w:lineRule="auto"/>
        <w:rPr>
          <w:rFonts w:ascii="Calibri" w:hAnsi="Calibri" w:cs="Calibri"/>
          <w:b/>
          <w:color w:val="000000" w:themeColor="text1"/>
          <w:sz w:val="22"/>
          <w:szCs w:val="22"/>
          <w:lang w:val="en-GB"/>
        </w:rPr>
      </w:pPr>
    </w:p>
    <w:p w14:paraId="42D9132B" w14:textId="77777777" w:rsidR="00E04619" w:rsidRDefault="00E04619" w:rsidP="00FF31AD">
      <w:pPr>
        <w:spacing w:line="480" w:lineRule="auto"/>
        <w:rPr>
          <w:rFonts w:ascii="Calibri" w:hAnsi="Calibri" w:cs="Calibri"/>
          <w:b/>
          <w:color w:val="000000" w:themeColor="text1"/>
          <w:sz w:val="22"/>
          <w:szCs w:val="22"/>
          <w:lang w:val="en-GB"/>
        </w:rPr>
      </w:pPr>
    </w:p>
    <w:p w14:paraId="1CC11E3B" w14:textId="77777777" w:rsidR="00E04619" w:rsidRDefault="00E04619" w:rsidP="00FF31AD">
      <w:pPr>
        <w:spacing w:line="480" w:lineRule="auto"/>
        <w:rPr>
          <w:rFonts w:ascii="Calibri" w:hAnsi="Calibri" w:cs="Calibri"/>
          <w:b/>
          <w:color w:val="000000" w:themeColor="text1"/>
          <w:sz w:val="22"/>
          <w:szCs w:val="22"/>
          <w:lang w:val="en-GB"/>
        </w:rPr>
      </w:pPr>
    </w:p>
    <w:p w14:paraId="5A56C28B" w14:textId="77777777" w:rsidR="003C68E1" w:rsidRDefault="003C68E1" w:rsidP="00FF31AD">
      <w:pPr>
        <w:spacing w:line="480" w:lineRule="auto"/>
        <w:rPr>
          <w:rFonts w:ascii="Calibri" w:hAnsi="Calibri" w:cs="Calibri"/>
          <w:b/>
          <w:color w:val="000000" w:themeColor="text1"/>
          <w:sz w:val="22"/>
          <w:szCs w:val="22"/>
          <w:lang w:val="en-GB"/>
        </w:rPr>
      </w:pPr>
    </w:p>
    <w:p w14:paraId="30B2EF35" w14:textId="77777777" w:rsidR="003C68E1" w:rsidRDefault="003C68E1" w:rsidP="00FF31AD">
      <w:pPr>
        <w:spacing w:line="480" w:lineRule="auto"/>
        <w:rPr>
          <w:rFonts w:ascii="Calibri" w:hAnsi="Calibri" w:cs="Calibri"/>
          <w:b/>
          <w:color w:val="000000" w:themeColor="text1"/>
          <w:sz w:val="22"/>
          <w:szCs w:val="22"/>
          <w:lang w:val="en-GB"/>
        </w:rPr>
      </w:pPr>
    </w:p>
    <w:p w14:paraId="478238AD" w14:textId="77777777" w:rsidR="00972F14" w:rsidRDefault="00972F14" w:rsidP="00FF31AD">
      <w:pPr>
        <w:spacing w:line="480" w:lineRule="auto"/>
        <w:rPr>
          <w:rFonts w:ascii="Calibri" w:hAnsi="Calibri" w:cs="Calibri"/>
          <w:b/>
          <w:color w:val="000000" w:themeColor="text1"/>
          <w:sz w:val="22"/>
          <w:szCs w:val="22"/>
          <w:lang w:val="en-GB"/>
        </w:rPr>
      </w:pPr>
    </w:p>
    <w:p w14:paraId="37B18D75" w14:textId="4961C9A9" w:rsidR="00E04619" w:rsidRDefault="00E04619" w:rsidP="00FF31AD">
      <w:pPr>
        <w:spacing w:line="480" w:lineRule="auto"/>
        <w:rPr>
          <w:rFonts w:ascii="Calibri" w:hAnsi="Calibri" w:cs="Calibri"/>
          <w:b/>
          <w:color w:val="000000" w:themeColor="text1"/>
          <w:sz w:val="22"/>
          <w:szCs w:val="22"/>
          <w:lang w:val="en-GB"/>
        </w:rPr>
      </w:pPr>
      <w:r w:rsidRPr="000A1CB8">
        <w:rPr>
          <w:rFonts w:ascii="Calibri" w:hAnsi="Calibri" w:cs="Calibri"/>
          <w:b/>
          <w:color w:val="000000" w:themeColor="text1"/>
          <w:sz w:val="22"/>
          <w:szCs w:val="22"/>
          <w:lang w:val="en-GB"/>
        </w:rPr>
        <w:lastRenderedPageBreak/>
        <w:t>Supplementary Fig</w:t>
      </w:r>
      <w:r>
        <w:rPr>
          <w:rFonts w:ascii="Calibri" w:hAnsi="Calibri" w:cs="Calibri"/>
          <w:b/>
          <w:color w:val="000000" w:themeColor="text1"/>
          <w:sz w:val="22"/>
          <w:szCs w:val="22"/>
          <w:lang w:val="en-GB"/>
        </w:rPr>
        <w:t>ure</w:t>
      </w:r>
      <w:r w:rsidRPr="000A1CB8">
        <w:rPr>
          <w:rFonts w:ascii="Calibri" w:hAnsi="Calibri" w:cs="Calibri"/>
          <w:b/>
          <w:color w:val="000000" w:themeColor="text1"/>
          <w:sz w:val="22"/>
          <w:szCs w:val="22"/>
          <w:lang w:val="en-GB"/>
        </w:rPr>
        <w:t xml:space="preserve"> S</w:t>
      </w:r>
      <w:r>
        <w:rPr>
          <w:rFonts w:ascii="Calibri" w:hAnsi="Calibri" w:cs="Calibri"/>
          <w:b/>
          <w:color w:val="000000" w:themeColor="text1"/>
          <w:sz w:val="22"/>
          <w:szCs w:val="22"/>
          <w:lang w:val="en-GB"/>
        </w:rPr>
        <w:t>4</w:t>
      </w:r>
    </w:p>
    <w:p w14:paraId="060596EE" w14:textId="77777777" w:rsidR="000F2D24" w:rsidRDefault="000F2D24" w:rsidP="000F2D24">
      <w:pPr>
        <w:spacing w:line="480" w:lineRule="auto"/>
        <w:rPr>
          <w:rFonts w:ascii="Calibri" w:hAnsi="Calibri" w:cs="Calibri"/>
          <w:b/>
          <w:color w:val="000000" w:themeColor="text1"/>
          <w:sz w:val="22"/>
          <w:szCs w:val="22"/>
          <w:lang w:val="en-GB"/>
        </w:rPr>
      </w:pPr>
      <w:r>
        <w:rPr>
          <w:rFonts w:ascii="Calibri" w:hAnsi="Calibri" w:cs="Calibri"/>
          <w:b/>
          <w:noProof/>
          <w:color w:val="000000" w:themeColor="text1"/>
          <w:sz w:val="22"/>
          <w:szCs w:val="22"/>
          <w:lang w:val="en-GB"/>
        </w:rPr>
        <w:drawing>
          <wp:inline distT="0" distB="0" distL="0" distR="0" wp14:anchorId="39B03B91" wp14:editId="4BF2241A">
            <wp:extent cx="5727700" cy="8247380"/>
            <wp:effectExtent l="0" t="0" r="0" b="0"/>
            <wp:docPr id="574448930"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48930" name="Picture 4" descr="A screenshot of a graph&#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27700" cy="8247380"/>
                    </a:xfrm>
                    <a:prstGeom prst="rect">
                      <a:avLst/>
                    </a:prstGeom>
                  </pic:spPr>
                </pic:pic>
              </a:graphicData>
            </a:graphic>
          </wp:inline>
        </w:drawing>
      </w:r>
    </w:p>
    <w:p w14:paraId="7A24D128" w14:textId="3D9E8949" w:rsidR="00E04619" w:rsidRPr="000F2D24" w:rsidRDefault="00E04619" w:rsidP="000F2D24">
      <w:pPr>
        <w:spacing w:line="480" w:lineRule="auto"/>
        <w:rPr>
          <w:rFonts w:ascii="Calibri" w:hAnsi="Calibri" w:cs="Calibri"/>
          <w:b/>
          <w:color w:val="000000" w:themeColor="text1"/>
          <w:sz w:val="22"/>
          <w:szCs w:val="22"/>
          <w:lang w:val="en-GB"/>
        </w:rPr>
      </w:pPr>
      <w:r w:rsidRPr="000A1CB8">
        <w:rPr>
          <w:rFonts w:ascii="Calibri" w:hAnsi="Calibri" w:cs="Calibri"/>
          <w:b/>
          <w:color w:val="000000" w:themeColor="text1"/>
          <w:sz w:val="22"/>
          <w:szCs w:val="22"/>
          <w:lang w:val="en-GB"/>
        </w:rPr>
        <w:lastRenderedPageBreak/>
        <w:t>Supplementary Fig. S</w:t>
      </w:r>
      <w:r>
        <w:rPr>
          <w:rFonts w:ascii="Calibri" w:hAnsi="Calibri" w:cs="Calibri"/>
          <w:b/>
          <w:color w:val="000000" w:themeColor="text1"/>
          <w:sz w:val="22"/>
          <w:szCs w:val="22"/>
          <w:lang w:val="en-GB"/>
        </w:rPr>
        <w:t>4</w:t>
      </w:r>
      <w:r w:rsidRPr="000A1CB8">
        <w:rPr>
          <w:rFonts w:ascii="Calibri" w:hAnsi="Calibri" w:cs="Calibri"/>
          <w:b/>
          <w:color w:val="000000" w:themeColor="text1"/>
          <w:sz w:val="22"/>
          <w:szCs w:val="22"/>
          <w:lang w:val="en-GB"/>
        </w:rPr>
        <w:t xml:space="preserve">: </w:t>
      </w:r>
      <w:r w:rsidRPr="000A1CB8">
        <w:rPr>
          <w:rFonts w:ascii="Calibri" w:hAnsi="Calibri" w:cs="Calibri"/>
          <w:b/>
          <w:bCs/>
          <w:iCs/>
          <w:color w:val="000000" w:themeColor="text1"/>
          <w:sz w:val="22"/>
          <w:szCs w:val="22"/>
          <w:lang w:val="en-GB"/>
        </w:rPr>
        <w:t xml:space="preserve">Transcriptional changes induced by PUFAs in MAIT cells </w:t>
      </w:r>
    </w:p>
    <w:p w14:paraId="7178D567" w14:textId="77777777" w:rsidR="00E04619" w:rsidRDefault="00E04619" w:rsidP="00C0290F">
      <w:pPr>
        <w:spacing w:line="360" w:lineRule="auto"/>
        <w:jc w:val="both"/>
        <w:rPr>
          <w:rFonts w:ascii="Calibri" w:hAnsi="Calibri" w:cs="Calibri"/>
          <w:sz w:val="22"/>
          <w:szCs w:val="22"/>
          <w:lang w:val="en-GB"/>
        </w:rPr>
      </w:pPr>
      <w:r w:rsidRPr="000A1CB8">
        <w:rPr>
          <w:rFonts w:ascii="Calibri" w:hAnsi="Calibri" w:cs="Calibri"/>
          <w:sz w:val="22"/>
          <w:szCs w:val="22"/>
          <w:lang w:val="en-GB"/>
        </w:rPr>
        <w:t>(A)</w:t>
      </w:r>
      <w:r w:rsidRPr="000A1CB8">
        <w:rPr>
          <w:rFonts w:ascii="Calibri" w:hAnsi="Calibri" w:cs="Calibri"/>
          <w:sz w:val="22"/>
          <w:szCs w:val="22"/>
          <w:lang w:val="en-US"/>
        </w:rPr>
        <w:t xml:space="preserve"> Venn diagram of genes differentially up- or downregulated in </w:t>
      </w:r>
      <w:r w:rsidRPr="000A1CB8">
        <w:rPr>
          <w:rFonts w:ascii="Calibri" w:hAnsi="Calibri" w:cs="Calibri"/>
          <w:sz w:val="22"/>
          <w:szCs w:val="22"/>
          <w:lang w:val="en-GB"/>
        </w:rPr>
        <w:t>aCD3/CD28/IL-12/IL-18-stimulated MAIT cells treated with</w:t>
      </w:r>
      <w:r w:rsidRPr="000A1CB8">
        <w:rPr>
          <w:rFonts w:ascii="Calibri" w:hAnsi="Calibri" w:cs="Calibri"/>
          <w:sz w:val="22"/>
          <w:szCs w:val="22"/>
          <w:lang w:val="en-US"/>
        </w:rPr>
        <w:t xml:space="preserve"> PUFAs compared to non PUFA-treated cells. (B</w:t>
      </w:r>
      <w:r>
        <w:rPr>
          <w:rFonts w:ascii="Calibri" w:hAnsi="Calibri" w:cs="Calibri"/>
          <w:sz w:val="22"/>
          <w:szCs w:val="22"/>
          <w:lang w:val="en-US"/>
        </w:rPr>
        <w:t>-C</w:t>
      </w:r>
      <w:r w:rsidRPr="000A1CB8">
        <w:rPr>
          <w:rFonts w:ascii="Calibri" w:hAnsi="Calibri" w:cs="Calibri"/>
          <w:sz w:val="22"/>
          <w:szCs w:val="22"/>
          <w:lang w:val="en-US"/>
        </w:rPr>
        <w:t>)</w:t>
      </w:r>
      <w:r w:rsidRPr="000A1CB8">
        <w:rPr>
          <w:rFonts w:ascii="Calibri" w:hAnsi="Calibri" w:cs="Calibri"/>
          <w:sz w:val="22"/>
          <w:szCs w:val="22"/>
          <w:lang w:val="en-GB"/>
        </w:rPr>
        <w:t xml:space="preserve"> Gene Set Enrichment Analysis (GSEA) of </w:t>
      </w:r>
      <w:r>
        <w:rPr>
          <w:rFonts w:ascii="Calibri" w:hAnsi="Calibri" w:cs="Calibri"/>
          <w:sz w:val="22"/>
          <w:szCs w:val="22"/>
          <w:lang w:val="en-GB"/>
        </w:rPr>
        <w:t>FFA</w:t>
      </w:r>
      <w:r w:rsidRPr="000A1CB8">
        <w:rPr>
          <w:rFonts w:ascii="Calibri" w:hAnsi="Calibri" w:cs="Calibri"/>
          <w:sz w:val="22"/>
          <w:szCs w:val="22"/>
          <w:lang w:val="en-GB"/>
        </w:rPr>
        <w:t>-exposed, non-stimulated MAIT cells with gene sets derived from WikiPathways. (</w:t>
      </w:r>
      <w:r>
        <w:rPr>
          <w:rFonts w:ascii="Calibri" w:hAnsi="Calibri" w:cs="Calibri"/>
          <w:sz w:val="22"/>
          <w:szCs w:val="22"/>
          <w:lang w:val="en-GB"/>
        </w:rPr>
        <w:t>D</w:t>
      </w:r>
      <w:r w:rsidRPr="000A1CB8">
        <w:rPr>
          <w:rFonts w:ascii="Calibri" w:hAnsi="Calibri" w:cs="Calibri"/>
          <w:sz w:val="22"/>
          <w:szCs w:val="22"/>
          <w:lang w:val="en-GB"/>
        </w:rPr>
        <w:t>) Effect of mitoTEMPO on mitochondrial ROS production in PUFA treated MAIT cells after 2 h. (</w:t>
      </w:r>
      <w:r>
        <w:rPr>
          <w:rFonts w:ascii="Calibri" w:hAnsi="Calibri" w:cs="Calibri"/>
          <w:sz w:val="22"/>
          <w:szCs w:val="22"/>
          <w:lang w:val="en-GB"/>
        </w:rPr>
        <w:t>E</w:t>
      </w:r>
      <w:r w:rsidRPr="000A1CB8">
        <w:rPr>
          <w:rFonts w:ascii="Calibri" w:hAnsi="Calibri" w:cs="Calibri"/>
          <w:sz w:val="22"/>
          <w:szCs w:val="22"/>
          <w:lang w:val="en-GB"/>
        </w:rPr>
        <w:t>) Effect of mitoTEMPO on lipid peroxide formation in PUFA treated MAIT cells after 16h. (</w:t>
      </w:r>
      <w:r>
        <w:rPr>
          <w:rFonts w:ascii="Calibri" w:hAnsi="Calibri" w:cs="Calibri"/>
          <w:sz w:val="22"/>
          <w:szCs w:val="22"/>
          <w:lang w:val="en-GB"/>
        </w:rPr>
        <w:t>F</w:t>
      </w:r>
      <w:r w:rsidRPr="000A1CB8">
        <w:rPr>
          <w:rFonts w:ascii="Calibri" w:hAnsi="Calibri" w:cs="Calibri"/>
          <w:sz w:val="22"/>
          <w:szCs w:val="22"/>
          <w:lang w:val="en-GB"/>
        </w:rPr>
        <w:t>) Lipid peroxidation in MAIT cells after treatment with cumene hydroperoxide</w:t>
      </w:r>
      <w:r>
        <w:rPr>
          <w:rFonts w:ascii="Calibri" w:hAnsi="Calibri" w:cs="Calibri"/>
          <w:sz w:val="22"/>
          <w:szCs w:val="22"/>
          <w:lang w:val="en-GB"/>
        </w:rPr>
        <w:t xml:space="preserve"> (CuOOH)</w:t>
      </w:r>
      <w:r w:rsidRPr="000A1CB8">
        <w:rPr>
          <w:rFonts w:ascii="Calibri" w:hAnsi="Calibri" w:cs="Calibri"/>
          <w:sz w:val="22"/>
          <w:szCs w:val="22"/>
          <w:lang w:val="en-GB"/>
        </w:rPr>
        <w:t xml:space="preserve"> for 16 h. (</w:t>
      </w:r>
      <w:r>
        <w:rPr>
          <w:rFonts w:ascii="Calibri" w:hAnsi="Calibri" w:cs="Calibri"/>
          <w:sz w:val="22"/>
          <w:szCs w:val="22"/>
          <w:lang w:val="en-GB"/>
        </w:rPr>
        <w:t>G</w:t>
      </w:r>
      <w:r w:rsidRPr="000A1CB8">
        <w:rPr>
          <w:rFonts w:ascii="Calibri" w:hAnsi="Calibri" w:cs="Calibri"/>
          <w:sz w:val="22"/>
          <w:szCs w:val="22"/>
          <w:lang w:val="en-GB"/>
        </w:rPr>
        <w:t>) Cnetplot of enriched pathways following treatment with PUFAs (upper panel) and heatmap showing z-transformed gene expression values for indicated genes (lower panel). (</w:t>
      </w:r>
      <w:r>
        <w:rPr>
          <w:rFonts w:ascii="Calibri" w:hAnsi="Calibri" w:cs="Calibri"/>
          <w:sz w:val="22"/>
          <w:szCs w:val="22"/>
          <w:lang w:val="en-GB"/>
        </w:rPr>
        <w:t>H</w:t>
      </w:r>
      <w:r w:rsidRPr="000A1CB8">
        <w:rPr>
          <w:rFonts w:ascii="Calibri" w:hAnsi="Calibri" w:cs="Calibri"/>
          <w:sz w:val="22"/>
          <w:szCs w:val="22"/>
          <w:lang w:val="en-GB"/>
        </w:rPr>
        <w:t xml:space="preserve">) Gene expression in single cell transcriptomes of MAIT cells derived from livers of MASH patients or HC (GSE159977) for indicated genes. </w:t>
      </w:r>
      <w:r w:rsidRPr="006C1BAD">
        <w:rPr>
          <w:rFonts w:ascii="Calibri" w:hAnsi="Calibri" w:cs="Calibri"/>
          <w:sz w:val="22"/>
          <w:szCs w:val="22"/>
          <w:lang w:val="en-GB"/>
        </w:rPr>
        <w:t>(A-</w:t>
      </w:r>
      <w:r>
        <w:rPr>
          <w:rFonts w:ascii="Calibri" w:hAnsi="Calibri" w:cs="Calibri"/>
          <w:sz w:val="22"/>
          <w:szCs w:val="22"/>
          <w:lang w:val="en-GB"/>
        </w:rPr>
        <w:t>G</w:t>
      </w:r>
      <w:r w:rsidRPr="006C1BAD">
        <w:rPr>
          <w:rFonts w:ascii="Calibri" w:hAnsi="Calibri" w:cs="Calibri"/>
          <w:sz w:val="22"/>
          <w:szCs w:val="22"/>
          <w:lang w:val="en-GB"/>
        </w:rPr>
        <w:t xml:space="preserve">) </w:t>
      </w:r>
      <w:r>
        <w:rPr>
          <w:rFonts w:ascii="Calibri" w:hAnsi="Calibri" w:cs="Calibri"/>
          <w:sz w:val="22"/>
          <w:szCs w:val="22"/>
          <w:lang w:val="en-GB"/>
        </w:rPr>
        <w:t>P</w:t>
      </w:r>
      <w:r w:rsidRPr="006C1BAD">
        <w:rPr>
          <w:rFonts w:ascii="Calibri" w:hAnsi="Calibri" w:cs="Calibri"/>
          <w:sz w:val="22"/>
          <w:szCs w:val="22"/>
          <w:lang w:val="en-GB"/>
        </w:rPr>
        <w:t>urified</w:t>
      </w:r>
      <w:r>
        <w:rPr>
          <w:rFonts w:ascii="Calibri" w:hAnsi="Calibri" w:cs="Calibri"/>
          <w:sz w:val="22"/>
          <w:szCs w:val="22"/>
          <w:lang w:val="en-GB"/>
        </w:rPr>
        <w:t xml:space="preserve"> </w:t>
      </w:r>
      <w:r w:rsidRPr="006C1BAD">
        <w:rPr>
          <w:rFonts w:ascii="Calibri" w:hAnsi="Calibri" w:cs="Calibri"/>
          <w:sz w:val="22"/>
          <w:szCs w:val="22"/>
          <w:lang w:val="en-GB"/>
        </w:rPr>
        <w:t>MAIT cells from healthy controls</w:t>
      </w:r>
      <w:r>
        <w:rPr>
          <w:rFonts w:ascii="Calibri" w:hAnsi="Calibri" w:cs="Calibri"/>
          <w:sz w:val="22"/>
          <w:szCs w:val="22"/>
          <w:lang w:val="en-GB"/>
        </w:rPr>
        <w:t xml:space="preserve"> were analysed</w:t>
      </w:r>
      <w:r w:rsidRPr="006C1BAD">
        <w:rPr>
          <w:rFonts w:ascii="Calibri" w:hAnsi="Calibri" w:cs="Calibri"/>
          <w:sz w:val="22"/>
          <w:szCs w:val="22"/>
          <w:lang w:val="en-GB"/>
        </w:rPr>
        <w:t xml:space="preserve">. </w:t>
      </w:r>
      <w:r w:rsidRPr="000A1CB8">
        <w:rPr>
          <w:rFonts w:ascii="Calibri" w:hAnsi="Calibri" w:cs="Calibri"/>
          <w:sz w:val="22"/>
          <w:szCs w:val="22"/>
          <w:lang w:val="en-GB"/>
        </w:rPr>
        <w:t>Data represent mean +/- SEM (</w:t>
      </w:r>
      <w:r>
        <w:rPr>
          <w:rFonts w:ascii="Calibri" w:hAnsi="Calibri" w:cs="Calibri"/>
          <w:sz w:val="22"/>
          <w:szCs w:val="22"/>
          <w:lang w:val="en-GB"/>
        </w:rPr>
        <w:t>F</w:t>
      </w:r>
      <w:r w:rsidRPr="000A1CB8">
        <w:rPr>
          <w:rFonts w:ascii="Calibri" w:hAnsi="Calibri" w:cs="Calibri"/>
          <w:sz w:val="22"/>
          <w:szCs w:val="22"/>
          <w:lang w:val="en-GB"/>
        </w:rPr>
        <w:t>), pooled data from at least 3 independent experiments or mean +/- SD (</w:t>
      </w:r>
      <w:r>
        <w:rPr>
          <w:rFonts w:ascii="Calibri" w:hAnsi="Calibri" w:cs="Calibri"/>
          <w:sz w:val="22"/>
          <w:szCs w:val="22"/>
          <w:lang w:val="en-GB"/>
        </w:rPr>
        <w:t>D-E</w:t>
      </w:r>
      <w:r w:rsidRPr="000A1CB8">
        <w:rPr>
          <w:rFonts w:ascii="Calibri" w:hAnsi="Calibri" w:cs="Calibri"/>
          <w:sz w:val="22"/>
          <w:szCs w:val="22"/>
          <w:lang w:val="en-GB"/>
        </w:rPr>
        <w:t>), pooled data from at least 2 independent experiments. (</w:t>
      </w:r>
      <w:r>
        <w:rPr>
          <w:rFonts w:ascii="Calibri" w:hAnsi="Calibri" w:cs="Calibri"/>
          <w:sz w:val="22"/>
          <w:szCs w:val="22"/>
          <w:lang w:val="en-GB"/>
        </w:rPr>
        <w:t>H</w:t>
      </w:r>
      <w:r w:rsidRPr="000A1CB8">
        <w:rPr>
          <w:rFonts w:ascii="Calibri" w:hAnsi="Calibri" w:cs="Calibri"/>
          <w:sz w:val="22"/>
          <w:szCs w:val="22"/>
          <w:lang w:val="en-GB"/>
        </w:rPr>
        <w:t>) Data represent median +/- IQR. ***p&lt;0.001, **p&lt;0.01, *p&lt;0.05, ns = p&gt;0.05 assessed by Repeated measures ANOVA (</w:t>
      </w:r>
      <w:r>
        <w:rPr>
          <w:rFonts w:ascii="Calibri" w:hAnsi="Calibri" w:cs="Calibri"/>
          <w:sz w:val="22"/>
          <w:szCs w:val="22"/>
          <w:lang w:val="en-GB"/>
        </w:rPr>
        <w:t>D-E</w:t>
      </w:r>
      <w:r w:rsidRPr="000A1CB8">
        <w:rPr>
          <w:rFonts w:ascii="Calibri" w:hAnsi="Calibri" w:cs="Calibri"/>
          <w:sz w:val="22"/>
          <w:szCs w:val="22"/>
          <w:lang w:val="en-GB"/>
        </w:rPr>
        <w:t>), Paired samples t-test (</w:t>
      </w:r>
      <w:r>
        <w:rPr>
          <w:rFonts w:ascii="Calibri" w:hAnsi="Calibri" w:cs="Calibri"/>
          <w:sz w:val="22"/>
          <w:szCs w:val="22"/>
          <w:lang w:val="en-GB"/>
        </w:rPr>
        <w:t>F</w:t>
      </w:r>
      <w:r w:rsidRPr="000A1CB8">
        <w:rPr>
          <w:rFonts w:ascii="Calibri" w:hAnsi="Calibri" w:cs="Calibri"/>
          <w:sz w:val="22"/>
          <w:szCs w:val="22"/>
          <w:lang w:val="en-GB"/>
        </w:rPr>
        <w:t>) or Wilcoxon test (</w:t>
      </w:r>
      <w:r>
        <w:rPr>
          <w:rFonts w:ascii="Calibri" w:hAnsi="Calibri" w:cs="Calibri"/>
          <w:sz w:val="22"/>
          <w:szCs w:val="22"/>
          <w:lang w:val="en-GB"/>
        </w:rPr>
        <w:t>H</w:t>
      </w:r>
      <w:r w:rsidRPr="000A1CB8">
        <w:rPr>
          <w:rFonts w:ascii="Calibri" w:hAnsi="Calibri" w:cs="Calibri"/>
          <w:sz w:val="22"/>
          <w:szCs w:val="22"/>
          <w:lang w:val="en-GB"/>
        </w:rPr>
        <w:t>). Each dot represents one individual (</w:t>
      </w:r>
      <w:r>
        <w:rPr>
          <w:rFonts w:ascii="Calibri" w:hAnsi="Calibri" w:cs="Calibri"/>
          <w:sz w:val="22"/>
          <w:szCs w:val="22"/>
          <w:lang w:val="en-GB"/>
        </w:rPr>
        <w:t>D-F</w:t>
      </w:r>
      <w:r w:rsidRPr="000A1CB8">
        <w:rPr>
          <w:rFonts w:ascii="Calibri" w:hAnsi="Calibri" w:cs="Calibri"/>
          <w:sz w:val="22"/>
          <w:szCs w:val="22"/>
          <w:lang w:val="en-GB"/>
        </w:rPr>
        <w:t>).</w:t>
      </w:r>
    </w:p>
    <w:p w14:paraId="439FC395" w14:textId="77777777" w:rsidR="00E04619" w:rsidRDefault="00E04619" w:rsidP="00C0290F">
      <w:pPr>
        <w:spacing w:line="360" w:lineRule="auto"/>
        <w:jc w:val="both"/>
        <w:rPr>
          <w:rFonts w:ascii="Calibri" w:hAnsi="Calibri" w:cs="Calibri"/>
          <w:b/>
          <w:sz w:val="22"/>
          <w:szCs w:val="22"/>
          <w:lang w:val="en-GB"/>
        </w:rPr>
      </w:pPr>
    </w:p>
    <w:p w14:paraId="631F0C02" w14:textId="77777777" w:rsidR="00E04619" w:rsidRDefault="00E04619" w:rsidP="00C0290F">
      <w:pPr>
        <w:spacing w:line="360" w:lineRule="auto"/>
        <w:jc w:val="both"/>
        <w:rPr>
          <w:rFonts w:ascii="Calibri" w:hAnsi="Calibri" w:cs="Calibri"/>
          <w:b/>
          <w:sz w:val="22"/>
          <w:szCs w:val="22"/>
          <w:lang w:val="en-GB"/>
        </w:rPr>
      </w:pPr>
    </w:p>
    <w:p w14:paraId="391CA39C" w14:textId="77777777" w:rsidR="00E04619" w:rsidRDefault="00E04619" w:rsidP="00FF31AD">
      <w:pPr>
        <w:spacing w:line="360" w:lineRule="auto"/>
        <w:jc w:val="both"/>
        <w:rPr>
          <w:rFonts w:ascii="Calibri" w:hAnsi="Calibri" w:cs="Calibri"/>
          <w:b/>
          <w:sz w:val="22"/>
          <w:szCs w:val="22"/>
          <w:lang w:val="en-GB"/>
        </w:rPr>
      </w:pPr>
    </w:p>
    <w:p w14:paraId="1ABD6D51" w14:textId="77777777" w:rsidR="00E04619" w:rsidRDefault="00E04619" w:rsidP="00FF31AD">
      <w:pPr>
        <w:spacing w:line="360" w:lineRule="auto"/>
        <w:jc w:val="both"/>
        <w:rPr>
          <w:rFonts w:ascii="Calibri" w:hAnsi="Calibri" w:cs="Calibri"/>
          <w:b/>
          <w:sz w:val="22"/>
          <w:szCs w:val="22"/>
          <w:lang w:val="en-GB"/>
        </w:rPr>
      </w:pPr>
    </w:p>
    <w:p w14:paraId="70178780" w14:textId="77777777" w:rsidR="00E04619" w:rsidRDefault="00E04619" w:rsidP="00FF31AD">
      <w:pPr>
        <w:spacing w:line="360" w:lineRule="auto"/>
        <w:jc w:val="both"/>
        <w:rPr>
          <w:rFonts w:ascii="Calibri" w:hAnsi="Calibri" w:cs="Calibri"/>
          <w:b/>
          <w:sz w:val="22"/>
          <w:szCs w:val="22"/>
          <w:lang w:val="en-GB"/>
        </w:rPr>
      </w:pPr>
    </w:p>
    <w:p w14:paraId="51B639DA" w14:textId="77777777" w:rsidR="00E04619" w:rsidRDefault="00E04619" w:rsidP="00FF31AD">
      <w:pPr>
        <w:spacing w:line="360" w:lineRule="auto"/>
        <w:jc w:val="both"/>
        <w:rPr>
          <w:rFonts w:ascii="Calibri" w:hAnsi="Calibri" w:cs="Calibri"/>
          <w:b/>
          <w:sz w:val="22"/>
          <w:szCs w:val="22"/>
          <w:lang w:val="en-GB"/>
        </w:rPr>
      </w:pPr>
    </w:p>
    <w:p w14:paraId="56D63FE1" w14:textId="77777777" w:rsidR="00E04619" w:rsidRDefault="00E04619" w:rsidP="00FF31AD">
      <w:pPr>
        <w:spacing w:line="360" w:lineRule="auto"/>
        <w:jc w:val="both"/>
        <w:rPr>
          <w:rFonts w:ascii="Calibri" w:hAnsi="Calibri" w:cs="Calibri"/>
          <w:b/>
          <w:sz w:val="22"/>
          <w:szCs w:val="22"/>
          <w:lang w:val="en-GB"/>
        </w:rPr>
      </w:pPr>
    </w:p>
    <w:p w14:paraId="745D72DA" w14:textId="77777777" w:rsidR="00E04619" w:rsidRDefault="00E04619" w:rsidP="00FF31AD">
      <w:pPr>
        <w:spacing w:line="360" w:lineRule="auto"/>
        <w:jc w:val="both"/>
        <w:rPr>
          <w:rFonts w:ascii="Calibri" w:hAnsi="Calibri" w:cs="Calibri"/>
          <w:b/>
          <w:sz w:val="22"/>
          <w:szCs w:val="22"/>
          <w:lang w:val="en-GB"/>
        </w:rPr>
      </w:pPr>
    </w:p>
    <w:p w14:paraId="400C066A" w14:textId="77777777" w:rsidR="00E04619" w:rsidRDefault="00E04619" w:rsidP="00FF31AD">
      <w:pPr>
        <w:spacing w:line="360" w:lineRule="auto"/>
        <w:jc w:val="both"/>
        <w:rPr>
          <w:rFonts w:ascii="Calibri" w:hAnsi="Calibri" w:cs="Calibri"/>
          <w:b/>
          <w:sz w:val="22"/>
          <w:szCs w:val="22"/>
          <w:lang w:val="en-GB"/>
        </w:rPr>
      </w:pPr>
    </w:p>
    <w:p w14:paraId="285ED5AB" w14:textId="77777777" w:rsidR="00E04619" w:rsidRDefault="00E04619" w:rsidP="00FF31AD">
      <w:pPr>
        <w:spacing w:line="360" w:lineRule="auto"/>
        <w:jc w:val="both"/>
        <w:rPr>
          <w:rFonts w:ascii="Calibri" w:hAnsi="Calibri" w:cs="Calibri"/>
          <w:b/>
          <w:sz w:val="22"/>
          <w:szCs w:val="22"/>
          <w:lang w:val="en-GB"/>
        </w:rPr>
      </w:pPr>
    </w:p>
    <w:p w14:paraId="5937CDB2" w14:textId="77777777" w:rsidR="00E04619" w:rsidRDefault="00E04619" w:rsidP="00FF31AD">
      <w:pPr>
        <w:spacing w:line="360" w:lineRule="auto"/>
        <w:jc w:val="both"/>
        <w:rPr>
          <w:rFonts w:ascii="Calibri" w:hAnsi="Calibri" w:cs="Calibri"/>
          <w:b/>
          <w:sz w:val="22"/>
          <w:szCs w:val="22"/>
          <w:lang w:val="en-GB"/>
        </w:rPr>
      </w:pPr>
    </w:p>
    <w:p w14:paraId="4CDB17EE" w14:textId="77777777" w:rsidR="00E04619" w:rsidRDefault="00E04619" w:rsidP="00FF31AD">
      <w:pPr>
        <w:spacing w:line="360" w:lineRule="auto"/>
        <w:jc w:val="both"/>
        <w:rPr>
          <w:rFonts w:ascii="Calibri" w:hAnsi="Calibri" w:cs="Calibri"/>
          <w:b/>
          <w:sz w:val="22"/>
          <w:szCs w:val="22"/>
          <w:lang w:val="en-GB"/>
        </w:rPr>
      </w:pPr>
    </w:p>
    <w:p w14:paraId="0C31DF61" w14:textId="77777777" w:rsidR="00E04619" w:rsidRDefault="00E04619" w:rsidP="00FF31AD">
      <w:pPr>
        <w:spacing w:line="360" w:lineRule="auto"/>
        <w:jc w:val="both"/>
        <w:rPr>
          <w:rFonts w:ascii="Calibri" w:hAnsi="Calibri" w:cs="Calibri"/>
          <w:b/>
          <w:sz w:val="22"/>
          <w:szCs w:val="22"/>
          <w:lang w:val="en-GB"/>
        </w:rPr>
      </w:pPr>
    </w:p>
    <w:p w14:paraId="70533E83" w14:textId="77777777" w:rsidR="00E04619" w:rsidRDefault="00E04619" w:rsidP="00FF31AD">
      <w:pPr>
        <w:spacing w:line="360" w:lineRule="auto"/>
        <w:jc w:val="both"/>
        <w:rPr>
          <w:rFonts w:ascii="Calibri" w:hAnsi="Calibri" w:cs="Calibri"/>
          <w:b/>
          <w:sz w:val="22"/>
          <w:szCs w:val="22"/>
          <w:lang w:val="en-GB"/>
        </w:rPr>
      </w:pPr>
    </w:p>
    <w:p w14:paraId="44922339" w14:textId="77777777" w:rsidR="00E04619" w:rsidRDefault="00E04619" w:rsidP="00FF31AD">
      <w:pPr>
        <w:spacing w:line="360" w:lineRule="auto"/>
        <w:jc w:val="both"/>
        <w:rPr>
          <w:rFonts w:ascii="Calibri" w:hAnsi="Calibri" w:cs="Calibri"/>
          <w:b/>
          <w:sz w:val="22"/>
          <w:szCs w:val="22"/>
          <w:lang w:val="en-GB"/>
        </w:rPr>
      </w:pPr>
    </w:p>
    <w:p w14:paraId="355E104F" w14:textId="77777777" w:rsidR="00E04619" w:rsidRDefault="00E04619" w:rsidP="00FF31AD">
      <w:pPr>
        <w:spacing w:line="360" w:lineRule="auto"/>
        <w:jc w:val="both"/>
        <w:rPr>
          <w:rFonts w:ascii="Calibri" w:hAnsi="Calibri" w:cs="Calibri"/>
          <w:b/>
          <w:sz w:val="22"/>
          <w:szCs w:val="22"/>
          <w:lang w:val="en-GB"/>
        </w:rPr>
      </w:pPr>
    </w:p>
    <w:p w14:paraId="74A46EED" w14:textId="77777777" w:rsidR="00E04619" w:rsidRDefault="00E04619" w:rsidP="00FF31AD">
      <w:pPr>
        <w:spacing w:line="360" w:lineRule="auto"/>
        <w:jc w:val="both"/>
        <w:rPr>
          <w:rFonts w:ascii="Calibri" w:hAnsi="Calibri" w:cs="Calibri"/>
          <w:b/>
          <w:sz w:val="22"/>
          <w:szCs w:val="22"/>
          <w:lang w:val="en-GB"/>
        </w:rPr>
      </w:pPr>
    </w:p>
    <w:p w14:paraId="50B20FC9" w14:textId="77777777" w:rsidR="003C68E1" w:rsidRDefault="003C68E1" w:rsidP="00FF31AD">
      <w:pPr>
        <w:spacing w:line="360" w:lineRule="auto"/>
        <w:jc w:val="both"/>
        <w:rPr>
          <w:rFonts w:ascii="Calibri" w:hAnsi="Calibri" w:cs="Calibri"/>
          <w:b/>
          <w:sz w:val="22"/>
          <w:szCs w:val="22"/>
          <w:lang w:val="en-GB"/>
        </w:rPr>
      </w:pPr>
    </w:p>
    <w:p w14:paraId="5C1EACBB" w14:textId="77777777" w:rsidR="003C68E1" w:rsidRDefault="003C68E1" w:rsidP="00FF31AD">
      <w:pPr>
        <w:spacing w:line="360" w:lineRule="auto"/>
        <w:jc w:val="both"/>
        <w:rPr>
          <w:rFonts w:ascii="Calibri" w:hAnsi="Calibri" w:cs="Calibri"/>
          <w:b/>
          <w:sz w:val="22"/>
          <w:szCs w:val="22"/>
          <w:lang w:val="en-GB"/>
        </w:rPr>
      </w:pPr>
    </w:p>
    <w:p w14:paraId="63407E32" w14:textId="5A146976" w:rsidR="00E04619" w:rsidRDefault="00E04619" w:rsidP="00FF31AD">
      <w:pPr>
        <w:spacing w:line="360" w:lineRule="auto"/>
        <w:jc w:val="both"/>
        <w:rPr>
          <w:rFonts w:ascii="Calibri" w:hAnsi="Calibri" w:cs="Calibri"/>
          <w:b/>
          <w:sz w:val="22"/>
          <w:szCs w:val="22"/>
          <w:lang w:val="en-GB"/>
        </w:rPr>
      </w:pPr>
      <w:r w:rsidRPr="000A1CB8">
        <w:rPr>
          <w:rFonts w:ascii="Calibri" w:hAnsi="Calibri" w:cs="Calibri"/>
          <w:b/>
          <w:sz w:val="22"/>
          <w:szCs w:val="22"/>
          <w:lang w:val="en-GB"/>
        </w:rPr>
        <w:lastRenderedPageBreak/>
        <w:t>Supplementary Fig</w:t>
      </w:r>
      <w:r>
        <w:rPr>
          <w:rFonts w:ascii="Calibri" w:hAnsi="Calibri" w:cs="Calibri"/>
          <w:b/>
          <w:sz w:val="22"/>
          <w:szCs w:val="22"/>
          <w:lang w:val="en-GB"/>
        </w:rPr>
        <w:t xml:space="preserve">ure </w:t>
      </w:r>
      <w:r w:rsidRPr="000A1CB8">
        <w:rPr>
          <w:rFonts w:ascii="Calibri" w:hAnsi="Calibri" w:cs="Calibri"/>
          <w:b/>
          <w:sz w:val="22"/>
          <w:szCs w:val="22"/>
          <w:lang w:val="en-GB"/>
        </w:rPr>
        <w:t>S</w:t>
      </w:r>
      <w:r>
        <w:rPr>
          <w:rFonts w:ascii="Calibri" w:hAnsi="Calibri" w:cs="Calibri"/>
          <w:b/>
          <w:sz w:val="22"/>
          <w:szCs w:val="22"/>
          <w:lang w:val="en-GB"/>
        </w:rPr>
        <w:t>5</w:t>
      </w:r>
    </w:p>
    <w:p w14:paraId="3C3626FF" w14:textId="12388CE1" w:rsidR="00E04619" w:rsidRPr="000A1CB8" w:rsidRDefault="000F2D24" w:rsidP="00FF31AD">
      <w:pPr>
        <w:spacing w:line="360" w:lineRule="auto"/>
        <w:jc w:val="both"/>
        <w:rPr>
          <w:rFonts w:ascii="Calibri" w:hAnsi="Calibri" w:cs="Calibri"/>
          <w:b/>
          <w:sz w:val="22"/>
          <w:szCs w:val="22"/>
          <w:lang w:val="en-GB"/>
        </w:rPr>
      </w:pPr>
      <w:r>
        <w:rPr>
          <w:rFonts w:ascii="Calibri" w:hAnsi="Calibri" w:cs="Calibri"/>
          <w:b/>
          <w:noProof/>
          <w:sz w:val="22"/>
          <w:szCs w:val="22"/>
          <w:lang w:val="en-GB"/>
        </w:rPr>
        <w:drawing>
          <wp:inline distT="0" distB="0" distL="0" distR="0" wp14:anchorId="1E815527" wp14:editId="4CB16164">
            <wp:extent cx="5355167" cy="5180965"/>
            <wp:effectExtent l="0" t="0" r="4445" b="635"/>
            <wp:docPr id="404135553" name="Picture 5" descr="A collage of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135553" name="Picture 5" descr="A collage of graphs&#10;&#10;AI-generated content may be incorrect."/>
                    <pic:cNvPicPr/>
                  </pic:nvPicPr>
                  <pic:blipFill rotWithShape="1">
                    <a:blip r:embed="rId12" cstate="print">
                      <a:extLst>
                        <a:ext uri="{28A0092B-C50C-407E-A947-70E740481C1C}">
                          <a14:useLocalDpi xmlns:a14="http://schemas.microsoft.com/office/drawing/2010/main" val="0"/>
                        </a:ext>
                      </a:extLst>
                    </a:blip>
                    <a:srcRect l="6504"/>
                    <a:stretch>
                      <a:fillRect/>
                    </a:stretch>
                  </pic:blipFill>
                  <pic:spPr bwMode="auto">
                    <a:xfrm>
                      <a:off x="0" y="0"/>
                      <a:ext cx="5355167" cy="5180965"/>
                    </a:xfrm>
                    <a:prstGeom prst="rect">
                      <a:avLst/>
                    </a:prstGeom>
                    <a:ln>
                      <a:noFill/>
                    </a:ln>
                    <a:extLst>
                      <a:ext uri="{53640926-AAD7-44D8-BBD7-CCE9431645EC}">
                        <a14:shadowObscured xmlns:a14="http://schemas.microsoft.com/office/drawing/2010/main"/>
                      </a:ext>
                    </a:extLst>
                  </pic:spPr>
                </pic:pic>
              </a:graphicData>
            </a:graphic>
          </wp:inline>
        </w:drawing>
      </w:r>
    </w:p>
    <w:p w14:paraId="0482CE85" w14:textId="77777777" w:rsidR="00E04619" w:rsidRPr="000A1CB8" w:rsidRDefault="00E04619" w:rsidP="00C0290F">
      <w:pPr>
        <w:spacing w:line="360" w:lineRule="auto"/>
        <w:jc w:val="both"/>
        <w:rPr>
          <w:rFonts w:ascii="Calibri" w:hAnsi="Calibri" w:cs="Calibri"/>
          <w:b/>
          <w:bCs/>
          <w:sz w:val="22"/>
          <w:szCs w:val="22"/>
          <w:lang w:val="en-GB"/>
        </w:rPr>
      </w:pPr>
      <w:r w:rsidRPr="000A1CB8">
        <w:rPr>
          <w:rFonts w:ascii="Calibri" w:hAnsi="Calibri" w:cs="Calibri"/>
          <w:b/>
          <w:sz w:val="22"/>
          <w:szCs w:val="22"/>
          <w:lang w:val="en-GB"/>
        </w:rPr>
        <w:t>Supplementary Fig. S</w:t>
      </w:r>
      <w:r>
        <w:rPr>
          <w:rFonts w:ascii="Calibri" w:hAnsi="Calibri" w:cs="Calibri"/>
          <w:b/>
          <w:sz w:val="22"/>
          <w:szCs w:val="22"/>
          <w:lang w:val="en-GB"/>
        </w:rPr>
        <w:t>5</w:t>
      </w:r>
      <w:r w:rsidRPr="000A1CB8">
        <w:rPr>
          <w:rFonts w:ascii="Calibri" w:hAnsi="Calibri" w:cs="Calibri"/>
          <w:b/>
          <w:sz w:val="22"/>
          <w:szCs w:val="22"/>
          <w:lang w:val="en-GB"/>
        </w:rPr>
        <w:t xml:space="preserve">: </w:t>
      </w:r>
      <w:r w:rsidRPr="000A1CB8">
        <w:rPr>
          <w:rFonts w:ascii="Calibri" w:hAnsi="Calibri" w:cs="Calibri"/>
          <w:b/>
          <w:bCs/>
          <w:sz w:val="22"/>
          <w:szCs w:val="22"/>
          <w:lang w:val="en-GB"/>
        </w:rPr>
        <w:t>Metabolic changes in MAIT cells following PUFA treatment</w:t>
      </w:r>
    </w:p>
    <w:p w14:paraId="29397B8A" w14:textId="77777777" w:rsidR="00E04619" w:rsidRDefault="00E04619" w:rsidP="00C0290F">
      <w:pPr>
        <w:spacing w:line="360" w:lineRule="auto"/>
        <w:jc w:val="both"/>
        <w:rPr>
          <w:rFonts w:ascii="Calibri" w:hAnsi="Calibri" w:cs="Calibri"/>
          <w:sz w:val="22"/>
          <w:szCs w:val="22"/>
          <w:lang w:val="en-GB"/>
        </w:rPr>
      </w:pPr>
      <w:r w:rsidRPr="000A1CB8">
        <w:rPr>
          <w:rFonts w:ascii="Calibri" w:hAnsi="Calibri" w:cs="Calibri"/>
          <w:bCs/>
          <w:sz w:val="22"/>
          <w:szCs w:val="22"/>
          <w:lang w:val="en-GB"/>
        </w:rPr>
        <w:t>(A-B)</w:t>
      </w:r>
      <w:r w:rsidRPr="000A1CB8">
        <w:rPr>
          <w:rFonts w:ascii="Calibri" w:hAnsi="Calibri" w:cs="Calibri"/>
          <w:sz w:val="22"/>
          <w:szCs w:val="22"/>
          <w:lang w:val="en-GB"/>
        </w:rPr>
        <w:t xml:space="preserve"> Real-time OCR in MAIT cells following treatment with different concentrations of C20:4 (A) and C22:6 (B), representative data (left panels) and summary data of OCR 50% (right panels). (C) Mitochondrial membrane potential (TMRE) in MAIT cells after culture with different concentrations of C20:4 and C22:6 for 16 h. (D) Real-time ECAR in MAIT cells following treatment with different concentrations of C20:4 and C22:6, representative data (left panels) and summary data of ECAR 50% (right panels). </w:t>
      </w:r>
      <w:r>
        <w:rPr>
          <w:rFonts w:ascii="Calibri" w:hAnsi="Calibri" w:cs="Calibri"/>
          <w:sz w:val="22"/>
          <w:szCs w:val="22"/>
          <w:lang w:val="en-GB"/>
        </w:rPr>
        <w:t>(E) M</w:t>
      </w:r>
      <w:r w:rsidRPr="000A1CB8">
        <w:rPr>
          <w:rFonts w:ascii="Calibri" w:hAnsi="Calibri" w:cs="Calibri"/>
          <w:sz w:val="22"/>
          <w:szCs w:val="22"/>
          <w:lang w:val="en-GB"/>
        </w:rPr>
        <w:t xml:space="preserve">itochondrial ROS production in PUFA treated MAIT cells </w:t>
      </w:r>
      <w:r>
        <w:rPr>
          <w:rFonts w:ascii="Calibri" w:hAnsi="Calibri" w:cs="Calibri"/>
          <w:sz w:val="22"/>
          <w:szCs w:val="22"/>
          <w:lang w:val="en-GB"/>
        </w:rPr>
        <w:t xml:space="preserve">in a PBMC pool </w:t>
      </w:r>
      <w:r w:rsidRPr="000A1CB8">
        <w:rPr>
          <w:rFonts w:ascii="Calibri" w:hAnsi="Calibri" w:cs="Calibri"/>
          <w:sz w:val="22"/>
          <w:szCs w:val="22"/>
          <w:lang w:val="en-GB"/>
        </w:rPr>
        <w:t xml:space="preserve">after </w:t>
      </w:r>
      <w:r>
        <w:rPr>
          <w:rFonts w:ascii="Calibri" w:hAnsi="Calibri" w:cs="Calibri"/>
          <w:sz w:val="22"/>
          <w:szCs w:val="22"/>
          <w:lang w:val="en-GB"/>
        </w:rPr>
        <w:t>1</w:t>
      </w:r>
      <w:r w:rsidRPr="000A1CB8">
        <w:rPr>
          <w:rFonts w:ascii="Calibri" w:hAnsi="Calibri" w:cs="Calibri"/>
          <w:sz w:val="22"/>
          <w:szCs w:val="22"/>
          <w:lang w:val="en-GB"/>
        </w:rPr>
        <w:t xml:space="preserve"> h</w:t>
      </w:r>
      <w:r>
        <w:rPr>
          <w:rFonts w:ascii="Calibri" w:hAnsi="Calibri" w:cs="Calibri"/>
          <w:sz w:val="22"/>
          <w:szCs w:val="22"/>
          <w:lang w:val="en-GB"/>
        </w:rPr>
        <w:t>.</w:t>
      </w:r>
      <w:r w:rsidRPr="000A1CB8">
        <w:rPr>
          <w:rFonts w:ascii="Calibri" w:hAnsi="Calibri" w:cs="Calibri"/>
          <w:color w:val="000000" w:themeColor="text1"/>
          <w:sz w:val="22"/>
          <w:szCs w:val="22"/>
          <w:lang w:val="en-GB"/>
        </w:rPr>
        <w:t xml:space="preserve"> </w:t>
      </w:r>
      <w:r w:rsidRPr="006C1BAD">
        <w:rPr>
          <w:rFonts w:ascii="Calibri" w:hAnsi="Calibri" w:cs="Calibri"/>
          <w:color w:val="000000" w:themeColor="text1"/>
          <w:sz w:val="22"/>
          <w:szCs w:val="22"/>
          <w:lang w:val="en-GB"/>
        </w:rPr>
        <w:t>(A-</w:t>
      </w:r>
      <w:r>
        <w:rPr>
          <w:rFonts w:ascii="Calibri" w:hAnsi="Calibri" w:cs="Calibri"/>
          <w:color w:val="000000" w:themeColor="text1"/>
          <w:sz w:val="22"/>
          <w:szCs w:val="22"/>
          <w:lang w:val="en-GB"/>
        </w:rPr>
        <w:t>D</w:t>
      </w:r>
      <w:r w:rsidRPr="006C1BAD">
        <w:rPr>
          <w:rFonts w:ascii="Calibri" w:hAnsi="Calibri" w:cs="Calibri"/>
          <w:color w:val="000000" w:themeColor="text1"/>
          <w:sz w:val="22"/>
          <w:szCs w:val="22"/>
          <w:lang w:val="en-GB"/>
        </w:rPr>
        <w:t xml:space="preserve">) </w:t>
      </w:r>
      <w:r>
        <w:rPr>
          <w:rFonts w:ascii="Calibri" w:hAnsi="Calibri" w:cs="Calibri"/>
          <w:color w:val="000000" w:themeColor="text1"/>
          <w:sz w:val="22"/>
          <w:szCs w:val="22"/>
          <w:lang w:val="en-GB"/>
        </w:rPr>
        <w:t>P</w:t>
      </w:r>
      <w:r w:rsidRPr="006C1BAD">
        <w:rPr>
          <w:rFonts w:ascii="Calibri" w:hAnsi="Calibri" w:cs="Calibri"/>
          <w:color w:val="000000" w:themeColor="text1"/>
          <w:sz w:val="22"/>
          <w:szCs w:val="22"/>
          <w:lang w:val="en-GB"/>
        </w:rPr>
        <w:t>urified MAIT cells from healthy controls</w:t>
      </w:r>
      <w:r>
        <w:rPr>
          <w:rFonts w:ascii="Calibri" w:hAnsi="Calibri" w:cs="Calibri"/>
          <w:color w:val="000000" w:themeColor="text1"/>
          <w:sz w:val="22"/>
          <w:szCs w:val="22"/>
          <w:lang w:val="en-GB"/>
        </w:rPr>
        <w:t xml:space="preserve"> were analysed</w:t>
      </w:r>
      <w:r w:rsidRPr="006C1BAD">
        <w:rPr>
          <w:rFonts w:ascii="Calibri" w:hAnsi="Calibri" w:cs="Calibri"/>
          <w:color w:val="000000" w:themeColor="text1"/>
          <w:sz w:val="22"/>
          <w:szCs w:val="22"/>
          <w:lang w:val="en-GB"/>
        </w:rPr>
        <w:t xml:space="preserve">. </w:t>
      </w:r>
      <w:r w:rsidRPr="000A1CB8">
        <w:rPr>
          <w:rFonts w:ascii="Calibri" w:hAnsi="Calibri" w:cs="Calibri"/>
          <w:color w:val="000000" w:themeColor="text1"/>
          <w:sz w:val="22"/>
          <w:szCs w:val="22"/>
          <w:lang w:val="en-GB"/>
        </w:rPr>
        <w:t xml:space="preserve">Data </w:t>
      </w:r>
      <w:r w:rsidRPr="000A1CB8">
        <w:rPr>
          <w:rFonts w:ascii="Calibri" w:hAnsi="Calibri" w:cs="Calibri"/>
          <w:sz w:val="22"/>
          <w:szCs w:val="22"/>
          <w:lang w:val="en-GB"/>
        </w:rPr>
        <w:t>represent mean +/- SEM, pooled data from at least 3 independent experiments</w:t>
      </w:r>
      <w:r>
        <w:rPr>
          <w:rFonts w:ascii="Calibri" w:hAnsi="Calibri" w:cs="Calibri"/>
          <w:sz w:val="22"/>
          <w:szCs w:val="22"/>
          <w:lang w:val="en-GB"/>
        </w:rPr>
        <w:t xml:space="preserve"> (A-D) or mean +/- SD, pooled data from at least 2 independent experiments (E)</w:t>
      </w:r>
      <w:r w:rsidRPr="000A1CB8">
        <w:rPr>
          <w:rFonts w:ascii="Calibri" w:hAnsi="Calibri" w:cs="Calibri"/>
          <w:sz w:val="22"/>
          <w:szCs w:val="22"/>
          <w:lang w:val="en-GB"/>
        </w:rPr>
        <w:t>. ***p&lt;0.001, **p&lt;0.01, *p&lt;0.05, ns = p&gt;0.05 assessed by Repeated measures ANOVA</w:t>
      </w:r>
      <w:r>
        <w:rPr>
          <w:rFonts w:ascii="Calibri" w:hAnsi="Calibri" w:cs="Calibri"/>
          <w:sz w:val="22"/>
          <w:szCs w:val="22"/>
          <w:lang w:val="en-GB"/>
        </w:rPr>
        <w:t xml:space="preserve"> (A-D) or Paired samples t-test (E)</w:t>
      </w:r>
      <w:r w:rsidRPr="000A1CB8">
        <w:rPr>
          <w:rFonts w:ascii="Calibri" w:hAnsi="Calibri" w:cs="Calibri"/>
          <w:sz w:val="22"/>
          <w:szCs w:val="22"/>
          <w:lang w:val="en-GB"/>
        </w:rPr>
        <w:t>. Each dot represents one individual.</w:t>
      </w:r>
    </w:p>
    <w:p w14:paraId="59A13068" w14:textId="77777777" w:rsidR="003C68E1" w:rsidRDefault="003C68E1" w:rsidP="00C4131B">
      <w:pPr>
        <w:spacing w:line="360" w:lineRule="auto"/>
        <w:jc w:val="both"/>
        <w:rPr>
          <w:rFonts w:ascii="Calibri" w:hAnsi="Calibri" w:cs="Calibri"/>
          <w:sz w:val="22"/>
          <w:szCs w:val="22"/>
          <w:lang w:val="en-GB"/>
        </w:rPr>
      </w:pPr>
    </w:p>
    <w:p w14:paraId="7C745115" w14:textId="77777777" w:rsidR="000F2D24" w:rsidRDefault="000F2D24" w:rsidP="00C4131B">
      <w:pPr>
        <w:spacing w:line="360" w:lineRule="auto"/>
        <w:jc w:val="both"/>
        <w:rPr>
          <w:rFonts w:ascii="Calibri" w:hAnsi="Calibri" w:cs="Calibri"/>
          <w:b/>
          <w:sz w:val="22"/>
          <w:szCs w:val="22"/>
          <w:lang w:val="en-GB"/>
        </w:rPr>
      </w:pPr>
    </w:p>
    <w:p w14:paraId="6F1BD4B3" w14:textId="77F4913A" w:rsidR="00E04619" w:rsidRDefault="00E04619" w:rsidP="00C4131B">
      <w:pPr>
        <w:spacing w:line="360" w:lineRule="auto"/>
        <w:jc w:val="both"/>
        <w:rPr>
          <w:rFonts w:ascii="Calibri" w:hAnsi="Calibri" w:cs="Calibri"/>
          <w:b/>
          <w:sz w:val="22"/>
          <w:szCs w:val="22"/>
          <w:lang w:val="en-GB"/>
        </w:rPr>
      </w:pPr>
      <w:r w:rsidRPr="000A1CB8">
        <w:rPr>
          <w:rFonts w:ascii="Calibri" w:hAnsi="Calibri" w:cs="Calibri"/>
          <w:b/>
          <w:sz w:val="22"/>
          <w:szCs w:val="22"/>
          <w:lang w:val="en-GB"/>
        </w:rPr>
        <w:lastRenderedPageBreak/>
        <w:t>Supplementary Fig</w:t>
      </w:r>
      <w:r>
        <w:rPr>
          <w:rFonts w:ascii="Calibri" w:hAnsi="Calibri" w:cs="Calibri"/>
          <w:b/>
          <w:sz w:val="22"/>
          <w:szCs w:val="22"/>
          <w:lang w:val="en-GB"/>
        </w:rPr>
        <w:t>ure</w:t>
      </w:r>
      <w:r w:rsidRPr="000A1CB8">
        <w:rPr>
          <w:rFonts w:ascii="Calibri" w:hAnsi="Calibri" w:cs="Calibri"/>
          <w:b/>
          <w:sz w:val="22"/>
          <w:szCs w:val="22"/>
          <w:lang w:val="en-GB"/>
        </w:rPr>
        <w:t xml:space="preserve"> S</w:t>
      </w:r>
      <w:r>
        <w:rPr>
          <w:rFonts w:ascii="Calibri" w:hAnsi="Calibri" w:cs="Calibri"/>
          <w:b/>
          <w:sz w:val="22"/>
          <w:szCs w:val="22"/>
          <w:lang w:val="en-GB"/>
        </w:rPr>
        <w:t>6</w:t>
      </w:r>
    </w:p>
    <w:p w14:paraId="19BBD8E2" w14:textId="539DE90A" w:rsidR="00E04619" w:rsidRDefault="000F2D24" w:rsidP="00C4131B">
      <w:pPr>
        <w:spacing w:line="360" w:lineRule="auto"/>
        <w:jc w:val="both"/>
        <w:rPr>
          <w:rFonts w:ascii="Calibri" w:hAnsi="Calibri" w:cs="Calibri"/>
          <w:sz w:val="22"/>
          <w:szCs w:val="22"/>
          <w:lang w:val="en-GB"/>
        </w:rPr>
      </w:pPr>
      <w:r>
        <w:rPr>
          <w:rFonts w:ascii="Calibri" w:hAnsi="Calibri" w:cs="Calibri"/>
          <w:noProof/>
          <w:sz w:val="22"/>
          <w:szCs w:val="22"/>
          <w:lang w:val="en-GB"/>
        </w:rPr>
        <w:drawing>
          <wp:inline distT="0" distB="0" distL="0" distR="0" wp14:anchorId="6C0218FE" wp14:editId="6949BBAA">
            <wp:extent cx="5727700" cy="6313805"/>
            <wp:effectExtent l="0" t="0" r="0" b="0"/>
            <wp:docPr id="1711183247" name="Picture 6" descr="A group of graphs showing different types of ce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83247" name="Picture 6" descr="A group of graphs showing different types of cell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27700" cy="6313805"/>
                    </a:xfrm>
                    <a:prstGeom prst="rect">
                      <a:avLst/>
                    </a:prstGeom>
                  </pic:spPr>
                </pic:pic>
              </a:graphicData>
            </a:graphic>
          </wp:inline>
        </w:drawing>
      </w:r>
    </w:p>
    <w:p w14:paraId="567C1843" w14:textId="77777777" w:rsidR="00E04619" w:rsidRDefault="00E04619" w:rsidP="00C0290F">
      <w:pPr>
        <w:spacing w:line="360" w:lineRule="auto"/>
        <w:rPr>
          <w:rFonts w:ascii="Calibri" w:hAnsi="Calibri" w:cs="Calibri"/>
          <w:b/>
          <w:sz w:val="22"/>
          <w:szCs w:val="22"/>
          <w:lang w:val="en-GB"/>
        </w:rPr>
      </w:pPr>
    </w:p>
    <w:p w14:paraId="71BBAB16" w14:textId="77777777" w:rsidR="00E04619" w:rsidRDefault="00E04619" w:rsidP="00C0290F">
      <w:pPr>
        <w:spacing w:line="360" w:lineRule="auto"/>
        <w:rPr>
          <w:rFonts w:ascii="Calibri" w:hAnsi="Calibri" w:cs="Calibri"/>
          <w:b/>
          <w:bCs/>
          <w:iCs/>
          <w:color w:val="000000" w:themeColor="text1"/>
          <w:sz w:val="22"/>
          <w:szCs w:val="22"/>
          <w:lang w:val="en-GB"/>
        </w:rPr>
      </w:pPr>
      <w:r w:rsidRPr="000A1CB8">
        <w:rPr>
          <w:rFonts w:ascii="Calibri" w:hAnsi="Calibri" w:cs="Calibri"/>
          <w:b/>
          <w:sz w:val="22"/>
          <w:szCs w:val="22"/>
          <w:lang w:val="en-GB"/>
        </w:rPr>
        <w:t>Supplementary Fig. S</w:t>
      </w:r>
      <w:r>
        <w:rPr>
          <w:rFonts w:ascii="Calibri" w:hAnsi="Calibri" w:cs="Calibri"/>
          <w:b/>
          <w:sz w:val="22"/>
          <w:szCs w:val="22"/>
          <w:lang w:val="en-GB"/>
        </w:rPr>
        <w:t>6</w:t>
      </w:r>
      <w:r w:rsidRPr="000A1CB8">
        <w:rPr>
          <w:rFonts w:ascii="Calibri" w:hAnsi="Calibri" w:cs="Calibri"/>
          <w:b/>
          <w:sz w:val="22"/>
          <w:szCs w:val="22"/>
          <w:lang w:val="en-GB"/>
        </w:rPr>
        <w:t xml:space="preserve">: </w:t>
      </w:r>
      <w:r>
        <w:rPr>
          <w:rFonts w:ascii="Calibri" w:hAnsi="Calibri" w:cs="Calibri"/>
          <w:b/>
          <w:sz w:val="22"/>
          <w:szCs w:val="22"/>
          <w:lang w:val="en-GB"/>
        </w:rPr>
        <w:t xml:space="preserve">Lipid peroxide formation and </w:t>
      </w:r>
      <w:r>
        <w:rPr>
          <w:rFonts w:ascii="Calibri" w:hAnsi="Calibri" w:cs="Calibri"/>
          <w:b/>
          <w:bCs/>
          <w:iCs/>
          <w:color w:val="000000" w:themeColor="text1"/>
          <w:sz w:val="22"/>
          <w:szCs w:val="22"/>
          <w:lang w:val="en-GB"/>
        </w:rPr>
        <w:t>viability of MAIT cells exposed to FFAs and iron chelators</w:t>
      </w:r>
    </w:p>
    <w:p w14:paraId="479F68A6" w14:textId="77777777" w:rsidR="00E04619" w:rsidRDefault="00E04619">
      <w:pPr>
        <w:spacing w:line="360" w:lineRule="auto"/>
        <w:jc w:val="both"/>
        <w:rPr>
          <w:rFonts w:ascii="Calibri" w:hAnsi="Calibri" w:cs="Calibri"/>
          <w:sz w:val="22"/>
          <w:szCs w:val="22"/>
          <w:lang w:val="en-GB"/>
        </w:rPr>
      </w:pPr>
      <w:r w:rsidRPr="00A66583">
        <w:rPr>
          <w:rFonts w:ascii="Calibri" w:hAnsi="Calibri" w:cs="Calibri"/>
          <w:iCs/>
          <w:color w:val="000000" w:themeColor="text1"/>
          <w:sz w:val="22"/>
          <w:szCs w:val="22"/>
          <w:lang w:val="en-GB"/>
        </w:rPr>
        <w:t>(A</w:t>
      </w:r>
      <w:r>
        <w:rPr>
          <w:rFonts w:ascii="Calibri" w:hAnsi="Calibri" w:cs="Calibri"/>
          <w:iCs/>
          <w:color w:val="000000" w:themeColor="text1"/>
          <w:sz w:val="22"/>
          <w:szCs w:val="22"/>
          <w:lang w:val="en-GB"/>
        </w:rPr>
        <w:t xml:space="preserve">) </w:t>
      </w:r>
      <w:r w:rsidRPr="0051656B">
        <w:rPr>
          <w:rFonts w:ascii="Calibri" w:hAnsi="Calibri" w:cs="Calibri"/>
          <w:iCs/>
          <w:color w:val="000000" w:themeColor="text1"/>
          <w:sz w:val="22"/>
          <w:szCs w:val="22"/>
          <w:lang w:val="en-GB"/>
        </w:rPr>
        <w:t>PGE2 concentration in the supernatant of FFA treated MAIT cells after 24 h analysed by ELISA. (B) Lipid peroxide staining of PUFA exposed MAIT cells in a PBMC pool in the presence of different iron chelators for 16 h. (C) OCR and ECAR after treatment with C20:4 or C22:6 +/- iron chelators in MAIT cells after 300 minutes. (D) IFN</w:t>
      </w:r>
      <w:r w:rsidRPr="0051656B">
        <w:rPr>
          <w:rFonts w:ascii="Symbol" w:hAnsi="Symbol" w:cs="Calibri"/>
          <w:iCs/>
          <w:color w:val="000000" w:themeColor="text1"/>
          <w:sz w:val="22"/>
          <w:szCs w:val="22"/>
          <w:lang w:val="en-GB"/>
        </w:rPr>
        <w:t>g</w:t>
      </w:r>
      <w:r w:rsidRPr="0051656B">
        <w:rPr>
          <w:rFonts w:ascii="Calibri" w:hAnsi="Calibri" w:cs="Calibri"/>
          <w:iCs/>
          <w:color w:val="000000" w:themeColor="text1"/>
          <w:sz w:val="22"/>
          <w:szCs w:val="22"/>
          <w:lang w:val="en-GB"/>
        </w:rPr>
        <w:t xml:space="preserve"> and GzmB production in PUFA exposed MAIT cells from a PBMC pool in the presence of different iron chelators for 24 h. (E) Viability of MAIT cells following treatment with </w:t>
      </w:r>
      <w:r w:rsidRPr="0051656B">
        <w:rPr>
          <w:rFonts w:ascii="Calibri" w:hAnsi="Calibri" w:cs="Calibri"/>
          <w:iCs/>
          <w:color w:val="000000" w:themeColor="text1"/>
          <w:sz w:val="22"/>
          <w:szCs w:val="22"/>
          <w:lang w:val="en-GB"/>
        </w:rPr>
        <w:lastRenderedPageBreak/>
        <w:t xml:space="preserve">different FFAs (100 µM) at multiple timepoints. </w:t>
      </w:r>
      <w:r w:rsidRPr="00A66583">
        <w:rPr>
          <w:rFonts w:ascii="Calibri" w:hAnsi="Calibri" w:cs="Calibri"/>
          <w:iCs/>
          <w:color w:val="000000" w:themeColor="text1"/>
          <w:sz w:val="22"/>
          <w:szCs w:val="22"/>
          <w:lang w:val="en-GB"/>
        </w:rPr>
        <w:t>(F) Lipid peroxide staining of MAIT cells and CD8+ T cells in a PBMC pool following treatment with different concentrations of PUFAs after 16 h. (G) Effect of cumene hydroperoxide treatment on CD8+ T cell and MAIT cell viability in a PBMC pool after 24 h.</w:t>
      </w:r>
      <w:r>
        <w:rPr>
          <w:rFonts w:ascii="Calibri" w:hAnsi="Calibri" w:cs="Calibri"/>
          <w:iCs/>
          <w:color w:val="000000" w:themeColor="text1"/>
          <w:sz w:val="22"/>
          <w:szCs w:val="22"/>
          <w:lang w:val="en-GB"/>
        </w:rPr>
        <w:t xml:space="preserve"> </w:t>
      </w:r>
      <w:r w:rsidRPr="00A66583">
        <w:rPr>
          <w:rFonts w:ascii="Calibri" w:hAnsi="Calibri" w:cs="Calibri"/>
          <w:iCs/>
          <w:color w:val="000000" w:themeColor="text1"/>
          <w:sz w:val="22"/>
          <w:szCs w:val="22"/>
          <w:lang w:val="en-GB"/>
        </w:rPr>
        <w:t>Data represent mean +/- SEM (B, D, G) or min. to max. (F), pooled data from at least 3 independent experiments.</w:t>
      </w:r>
      <w:r w:rsidRPr="0051656B">
        <w:rPr>
          <w:rFonts w:ascii="Calibri" w:hAnsi="Calibri" w:cs="Calibri"/>
          <w:sz w:val="22"/>
          <w:szCs w:val="22"/>
          <w:lang w:val="en-GB"/>
        </w:rPr>
        <w:t xml:space="preserve"> </w:t>
      </w:r>
      <w:r>
        <w:rPr>
          <w:rFonts w:ascii="Calibri" w:hAnsi="Calibri" w:cs="Calibri"/>
          <w:sz w:val="22"/>
          <w:szCs w:val="22"/>
          <w:lang w:val="en-GB"/>
        </w:rPr>
        <w:t xml:space="preserve">(A-C) </w:t>
      </w:r>
      <w:r w:rsidRPr="0051656B">
        <w:rPr>
          <w:rFonts w:ascii="Calibri" w:hAnsi="Calibri" w:cs="Calibri"/>
          <w:sz w:val="22"/>
          <w:szCs w:val="22"/>
          <w:lang w:val="en-GB"/>
        </w:rPr>
        <w:t xml:space="preserve">Data represent mean +/- SD.  ***p&lt;0.001, **p&lt;0.01, ns = p&gt;0.05 compared to control, </w:t>
      </w:r>
      <w:r w:rsidRPr="00815BD2">
        <w:rPr>
          <w:rFonts w:ascii="Calibri" w:hAnsi="Calibri" w:cs="Calibri"/>
          <w:sz w:val="22"/>
          <w:szCs w:val="22"/>
          <w:lang w:val="en-GB"/>
        </w:rPr>
        <w:t xml:space="preserve">assessed by Welch’s t-test (A, F), Paired samples t-test (G), </w:t>
      </w:r>
      <w:r>
        <w:rPr>
          <w:rFonts w:ascii="Calibri" w:hAnsi="Calibri" w:cs="Calibri"/>
          <w:sz w:val="22"/>
          <w:szCs w:val="22"/>
          <w:lang w:val="en-GB"/>
        </w:rPr>
        <w:t>r</w:t>
      </w:r>
      <w:r w:rsidRPr="00815BD2">
        <w:rPr>
          <w:rFonts w:ascii="Calibri" w:hAnsi="Calibri" w:cs="Calibri"/>
          <w:sz w:val="22"/>
          <w:szCs w:val="22"/>
          <w:lang w:val="en-GB"/>
        </w:rPr>
        <w:t xml:space="preserve">epeated measures ANOVA (B-E) or </w:t>
      </w:r>
      <w:r>
        <w:rPr>
          <w:rFonts w:ascii="Calibri" w:hAnsi="Calibri" w:cs="Calibri"/>
          <w:sz w:val="22"/>
          <w:szCs w:val="22"/>
          <w:lang w:val="en-GB"/>
        </w:rPr>
        <w:t>o</w:t>
      </w:r>
      <w:r w:rsidRPr="00815BD2">
        <w:rPr>
          <w:rFonts w:ascii="Calibri" w:hAnsi="Calibri" w:cs="Calibri"/>
          <w:sz w:val="22"/>
          <w:szCs w:val="22"/>
          <w:lang w:val="en-GB"/>
        </w:rPr>
        <w:t>ne-way ANOVA with Tukey’s multiple comparison test (B, D). Each dot represents one individual (A-</w:t>
      </w:r>
      <w:r>
        <w:rPr>
          <w:rFonts w:ascii="Calibri" w:hAnsi="Calibri" w:cs="Calibri"/>
          <w:sz w:val="22"/>
          <w:szCs w:val="22"/>
          <w:lang w:val="en-GB"/>
        </w:rPr>
        <w:t>G</w:t>
      </w:r>
      <w:r w:rsidRPr="00815BD2">
        <w:rPr>
          <w:rFonts w:ascii="Calibri" w:hAnsi="Calibri" w:cs="Calibri"/>
          <w:sz w:val="22"/>
          <w:szCs w:val="22"/>
          <w:lang w:val="en-GB"/>
        </w:rPr>
        <w:t>).</w:t>
      </w:r>
    </w:p>
    <w:p w14:paraId="497E734F" w14:textId="77777777" w:rsidR="00E04619" w:rsidRDefault="00E04619">
      <w:pPr>
        <w:spacing w:line="360" w:lineRule="auto"/>
        <w:jc w:val="both"/>
        <w:rPr>
          <w:rFonts w:ascii="Calibri" w:hAnsi="Calibri" w:cs="Calibri"/>
          <w:sz w:val="22"/>
          <w:szCs w:val="22"/>
          <w:lang w:val="en-GB"/>
        </w:rPr>
      </w:pPr>
    </w:p>
    <w:p w14:paraId="131A70B9" w14:textId="77777777" w:rsidR="00E04619" w:rsidRDefault="00E04619">
      <w:pPr>
        <w:spacing w:line="360" w:lineRule="auto"/>
        <w:jc w:val="both"/>
        <w:rPr>
          <w:rFonts w:ascii="Calibri" w:hAnsi="Calibri" w:cs="Calibri"/>
          <w:sz w:val="22"/>
          <w:szCs w:val="22"/>
          <w:lang w:val="en-GB"/>
        </w:rPr>
      </w:pPr>
    </w:p>
    <w:p w14:paraId="78632692" w14:textId="77777777" w:rsidR="00E04619" w:rsidRDefault="00E04619">
      <w:pPr>
        <w:spacing w:line="360" w:lineRule="auto"/>
        <w:jc w:val="both"/>
        <w:rPr>
          <w:rFonts w:ascii="Calibri" w:hAnsi="Calibri" w:cs="Calibri"/>
          <w:b/>
          <w:bCs/>
          <w:sz w:val="22"/>
          <w:szCs w:val="22"/>
          <w:lang w:val="en-GB"/>
        </w:rPr>
      </w:pPr>
      <w:r w:rsidRPr="0051656B">
        <w:rPr>
          <w:rFonts w:ascii="Calibri" w:hAnsi="Calibri" w:cs="Calibri"/>
          <w:b/>
          <w:bCs/>
          <w:sz w:val="22"/>
          <w:szCs w:val="22"/>
          <w:lang w:val="en-GB"/>
        </w:rPr>
        <w:t>Supplementary Figure S7</w:t>
      </w:r>
    </w:p>
    <w:p w14:paraId="0ECBA62E" w14:textId="2D59B84F" w:rsidR="00E04619" w:rsidRPr="0051656B" w:rsidRDefault="000F2D24">
      <w:pPr>
        <w:spacing w:line="360" w:lineRule="auto"/>
        <w:jc w:val="both"/>
        <w:rPr>
          <w:rFonts w:ascii="Calibri" w:hAnsi="Calibri" w:cs="Calibri"/>
          <w:b/>
          <w:bCs/>
          <w:sz w:val="22"/>
          <w:szCs w:val="22"/>
          <w:lang w:val="en-GB"/>
        </w:rPr>
      </w:pPr>
      <w:r>
        <w:rPr>
          <w:rFonts w:ascii="Calibri" w:hAnsi="Calibri" w:cs="Calibri"/>
          <w:b/>
          <w:bCs/>
          <w:noProof/>
          <w:sz w:val="22"/>
          <w:szCs w:val="22"/>
          <w:lang w:val="en-GB"/>
        </w:rPr>
        <w:drawing>
          <wp:inline distT="0" distB="0" distL="0" distR="0" wp14:anchorId="6600732F" wp14:editId="3FDBAB5C">
            <wp:extent cx="5727700" cy="1652270"/>
            <wp:effectExtent l="0" t="0" r="0" b="0"/>
            <wp:docPr id="1080617301" name="Picture 7" descr="A graph of a number of ce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617301" name="Picture 7" descr="A graph of a number of cells&#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27700" cy="1652270"/>
                    </a:xfrm>
                    <a:prstGeom prst="rect">
                      <a:avLst/>
                    </a:prstGeom>
                  </pic:spPr>
                </pic:pic>
              </a:graphicData>
            </a:graphic>
          </wp:inline>
        </w:drawing>
      </w:r>
    </w:p>
    <w:p w14:paraId="35B2DED8" w14:textId="77777777" w:rsidR="00E04619" w:rsidRPr="009A5B78" w:rsidRDefault="00E04619" w:rsidP="009A5B78">
      <w:pPr>
        <w:spacing w:line="360" w:lineRule="auto"/>
        <w:jc w:val="both"/>
        <w:rPr>
          <w:rFonts w:ascii="Calibri" w:hAnsi="Calibri" w:cs="Calibri"/>
          <w:b/>
          <w:sz w:val="22"/>
          <w:szCs w:val="22"/>
          <w:lang w:val="en-GB"/>
        </w:rPr>
      </w:pPr>
      <w:r w:rsidRPr="009A5B78">
        <w:rPr>
          <w:rFonts w:ascii="Calibri" w:hAnsi="Calibri" w:cs="Calibri"/>
          <w:b/>
          <w:sz w:val="22"/>
          <w:szCs w:val="22"/>
          <w:lang w:val="en-GB"/>
        </w:rPr>
        <w:t>Supplementary Fig. S7: Long-term survival of patients with HCC and chronic viral infection</w:t>
      </w:r>
    </w:p>
    <w:p w14:paraId="2A1BDDC9" w14:textId="77777777" w:rsidR="00E04619" w:rsidRPr="0051656B" w:rsidRDefault="00E04619" w:rsidP="0051656B">
      <w:pPr>
        <w:spacing w:line="360" w:lineRule="auto"/>
        <w:jc w:val="both"/>
        <w:rPr>
          <w:rFonts w:ascii="Calibri" w:hAnsi="Calibri" w:cs="Calibri"/>
          <w:sz w:val="22"/>
          <w:szCs w:val="22"/>
          <w:lang w:val="en-US"/>
        </w:rPr>
      </w:pPr>
      <w:r w:rsidRPr="0051656B">
        <w:rPr>
          <w:rFonts w:ascii="Calibri" w:hAnsi="Calibri" w:cs="Calibri"/>
          <w:sz w:val="22"/>
          <w:szCs w:val="22"/>
          <w:lang w:val="en-US"/>
        </w:rPr>
        <w:t xml:space="preserve">Long term survival of </w:t>
      </w:r>
      <w:r>
        <w:rPr>
          <w:rFonts w:ascii="Calibri" w:hAnsi="Calibri" w:cs="Calibri"/>
          <w:sz w:val="22"/>
          <w:szCs w:val="22"/>
          <w:lang w:val="en-US"/>
        </w:rPr>
        <w:t>patients with</w:t>
      </w:r>
      <w:r w:rsidRPr="0051656B">
        <w:rPr>
          <w:rFonts w:ascii="Calibri" w:hAnsi="Calibri" w:cs="Calibri"/>
          <w:sz w:val="22"/>
          <w:szCs w:val="22"/>
          <w:lang w:val="en-US"/>
        </w:rPr>
        <w:t xml:space="preserve"> HCC </w:t>
      </w:r>
      <w:r>
        <w:rPr>
          <w:rFonts w:ascii="Calibri" w:hAnsi="Calibri" w:cs="Calibri"/>
          <w:sz w:val="22"/>
          <w:szCs w:val="22"/>
          <w:lang w:val="en-US"/>
        </w:rPr>
        <w:t xml:space="preserve">and chronic infection with HBV and/or HCV as well as absence of MASLD or alcoholic liver disease </w:t>
      </w:r>
      <w:r w:rsidRPr="0051656B">
        <w:rPr>
          <w:rFonts w:ascii="Calibri" w:hAnsi="Calibri" w:cs="Calibri"/>
          <w:sz w:val="22"/>
          <w:szCs w:val="22"/>
          <w:lang w:val="en-US"/>
        </w:rPr>
        <w:t>between groups with a high (upper half) and low (lower half) PUFA core score in a TCGA cohort, assessed by GSVA of bulk tissue samples.</w:t>
      </w:r>
    </w:p>
    <w:p w14:paraId="0A182F48" w14:textId="77777777" w:rsidR="00E04619" w:rsidRPr="0051656B" w:rsidRDefault="00E04619" w:rsidP="0051656B">
      <w:pPr>
        <w:spacing w:line="360" w:lineRule="auto"/>
        <w:jc w:val="both"/>
        <w:rPr>
          <w:rFonts w:ascii="Calibri" w:hAnsi="Calibri" w:cs="Calibri"/>
          <w:sz w:val="22"/>
          <w:szCs w:val="22"/>
          <w:lang w:val="en-US"/>
        </w:rPr>
      </w:pPr>
    </w:p>
    <w:p w14:paraId="5CDA86AA" w14:textId="77777777" w:rsidR="00E04619" w:rsidRPr="0051656B" w:rsidRDefault="00E04619" w:rsidP="000A1CB8">
      <w:pPr>
        <w:spacing w:line="480" w:lineRule="auto"/>
        <w:rPr>
          <w:rFonts w:ascii="Calibri" w:hAnsi="Calibri" w:cs="Calibri"/>
          <w:sz w:val="22"/>
          <w:szCs w:val="22"/>
          <w:lang w:val="en-GB"/>
        </w:rPr>
      </w:pPr>
    </w:p>
    <w:p w14:paraId="558DF4B8" w14:textId="77777777" w:rsidR="007306A6" w:rsidRPr="00020FFE" w:rsidRDefault="007306A6" w:rsidP="007306A6">
      <w:pPr>
        <w:spacing w:after="100"/>
        <w:rPr>
          <w:rFonts w:ascii="Calibri" w:hAnsi="Calibri" w:cs="Calibri"/>
          <w:b/>
          <w:bCs/>
          <w:sz w:val="22"/>
          <w:szCs w:val="22"/>
          <w:lang w:val="en-US"/>
        </w:rPr>
      </w:pPr>
      <w:r w:rsidRPr="00020FFE">
        <w:rPr>
          <w:rFonts w:ascii="Calibri" w:hAnsi="Calibri" w:cs="Calibri"/>
          <w:sz w:val="22"/>
          <w:szCs w:val="22"/>
          <w:lang w:val="en-US"/>
        </w:rPr>
        <w:t>B</w:t>
      </w:r>
      <w:r w:rsidRPr="00020FFE">
        <w:rPr>
          <w:rFonts w:ascii="Calibri" w:hAnsi="Calibri" w:cs="Calibri"/>
          <w:b/>
          <w:bCs/>
          <w:sz w:val="22"/>
          <w:szCs w:val="22"/>
          <w:lang w:val="en-US"/>
        </w:rPr>
        <w:t>ibliography</w:t>
      </w:r>
    </w:p>
    <w:p w14:paraId="41F20BBD" w14:textId="77777777" w:rsidR="007306A6" w:rsidRPr="00020FFE" w:rsidRDefault="007306A6" w:rsidP="007306A6">
      <w:pPr>
        <w:spacing w:line="480" w:lineRule="auto"/>
        <w:rPr>
          <w:rFonts w:ascii="Calibri" w:hAnsi="Calibri" w:cs="Calibri"/>
          <w:b/>
          <w:bCs/>
          <w:sz w:val="22"/>
          <w:szCs w:val="22"/>
          <w:lang w:val="en-GB"/>
        </w:rPr>
      </w:pPr>
      <w:r w:rsidRPr="00020FFE">
        <w:rPr>
          <w:rFonts w:ascii="Calibri" w:hAnsi="Calibri" w:cs="Calibri"/>
          <w:sz w:val="22"/>
          <w:szCs w:val="22"/>
          <w:lang w:val="en-GB"/>
        </w:rPr>
        <w:t>Author names in bold designate shared co-first authorship.</w:t>
      </w:r>
    </w:p>
    <w:p w14:paraId="7DB923C7"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1.</w:t>
      </w:r>
      <w:r w:rsidRPr="00020FFE">
        <w:rPr>
          <w:rFonts w:ascii="Calibri" w:hAnsi="Calibri" w:cs="Calibri"/>
          <w:noProof/>
          <w:sz w:val="22"/>
          <w:szCs w:val="22"/>
        </w:rPr>
        <w:tab/>
        <w:t>Corbett AJ, Eckle SBG, Birkinshaw RW</w:t>
      </w:r>
      <w:r>
        <w:rPr>
          <w:rFonts w:ascii="Calibri" w:hAnsi="Calibri" w:cs="Calibri"/>
          <w:noProof/>
          <w:sz w:val="22"/>
          <w:szCs w:val="22"/>
        </w:rPr>
        <w:t xml:space="preserve"> </w:t>
      </w:r>
      <w:r w:rsidRPr="00020FFE">
        <w:rPr>
          <w:rFonts w:ascii="Calibri" w:hAnsi="Calibri" w:cs="Calibri"/>
          <w:noProof/>
          <w:sz w:val="22"/>
          <w:szCs w:val="22"/>
        </w:rPr>
        <w:t>et al. T-cell activation by transitory neo-antigens derived from distinct microbial pathways. Nature. 2014;509(7500):361-5.</w:t>
      </w:r>
    </w:p>
    <w:p w14:paraId="429E8C7E"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2.</w:t>
      </w:r>
      <w:r w:rsidRPr="00020FFE">
        <w:rPr>
          <w:rFonts w:ascii="Calibri" w:hAnsi="Calibri" w:cs="Calibri"/>
          <w:noProof/>
          <w:sz w:val="22"/>
          <w:szCs w:val="22"/>
        </w:rPr>
        <w:tab/>
        <w:t>Berry MN, Friend DS. High-yield preparation of isolated rat liver parenchymal cells: a biochemical and fine structural study. The Journal of cell biology. 1969;43(3):506-20.</w:t>
      </w:r>
    </w:p>
    <w:p w14:paraId="578099B6" w14:textId="77777777" w:rsidR="007306A6" w:rsidRPr="00020FFE" w:rsidRDefault="007306A6" w:rsidP="007306A6">
      <w:pPr>
        <w:pStyle w:val="EndNoteBibliography"/>
        <w:spacing w:after="100"/>
        <w:rPr>
          <w:rFonts w:ascii="Calibri" w:hAnsi="Calibri" w:cs="Calibri"/>
          <w:noProof/>
          <w:sz w:val="22"/>
          <w:szCs w:val="22"/>
          <w:lang w:val="de-DE"/>
        </w:rPr>
      </w:pPr>
      <w:r w:rsidRPr="00020FFE">
        <w:rPr>
          <w:rFonts w:ascii="Calibri" w:hAnsi="Calibri" w:cs="Calibri"/>
          <w:noProof/>
          <w:sz w:val="22"/>
          <w:szCs w:val="22"/>
        </w:rPr>
        <w:t>3.</w:t>
      </w:r>
      <w:r w:rsidRPr="00020FFE">
        <w:rPr>
          <w:rFonts w:ascii="Calibri" w:hAnsi="Calibri" w:cs="Calibri"/>
          <w:noProof/>
          <w:sz w:val="22"/>
          <w:szCs w:val="22"/>
        </w:rPr>
        <w:tab/>
        <w:t xml:space="preserve">Seglen PO. Preparation of rat liver cells. 3. Enzymatic requirements for tissue dispersion. </w:t>
      </w:r>
      <w:r w:rsidRPr="00020FFE">
        <w:rPr>
          <w:rFonts w:ascii="Calibri" w:hAnsi="Calibri" w:cs="Calibri"/>
          <w:noProof/>
          <w:sz w:val="22"/>
          <w:szCs w:val="22"/>
          <w:lang w:val="de-DE"/>
        </w:rPr>
        <w:t>Exp Cell Res. 1973;82(2):391-8.</w:t>
      </w:r>
    </w:p>
    <w:p w14:paraId="7B95B015" w14:textId="77777777" w:rsidR="007306A6" w:rsidRPr="007306A6" w:rsidRDefault="007306A6" w:rsidP="007306A6">
      <w:pPr>
        <w:pStyle w:val="EndNoteBibliography"/>
        <w:spacing w:after="100"/>
        <w:rPr>
          <w:rFonts w:ascii="Calibri" w:hAnsi="Calibri" w:cs="Calibri"/>
          <w:noProof/>
          <w:sz w:val="22"/>
          <w:szCs w:val="22"/>
          <w:lang w:val="de-DE"/>
        </w:rPr>
      </w:pPr>
      <w:r w:rsidRPr="00020FFE">
        <w:rPr>
          <w:rFonts w:ascii="Calibri" w:hAnsi="Calibri" w:cs="Calibri"/>
          <w:noProof/>
          <w:sz w:val="22"/>
          <w:szCs w:val="22"/>
          <w:lang w:val="de-DE"/>
        </w:rPr>
        <w:t>4.</w:t>
      </w:r>
      <w:r w:rsidRPr="00020FFE">
        <w:rPr>
          <w:rFonts w:ascii="Calibri" w:hAnsi="Calibri" w:cs="Calibri"/>
          <w:noProof/>
          <w:sz w:val="22"/>
          <w:szCs w:val="22"/>
          <w:lang w:val="de-DE"/>
        </w:rPr>
        <w:tab/>
        <w:t>Lee SM, Schelcher C, Demmel M</w:t>
      </w:r>
      <w:r>
        <w:rPr>
          <w:rFonts w:ascii="Calibri" w:hAnsi="Calibri" w:cs="Calibri"/>
          <w:noProof/>
          <w:sz w:val="22"/>
          <w:szCs w:val="22"/>
          <w:lang w:val="de-DE"/>
        </w:rPr>
        <w:t xml:space="preserve"> et al</w:t>
      </w:r>
      <w:r w:rsidRPr="00020FFE">
        <w:rPr>
          <w:rFonts w:ascii="Calibri" w:hAnsi="Calibri" w:cs="Calibri"/>
          <w:noProof/>
          <w:sz w:val="22"/>
          <w:szCs w:val="22"/>
          <w:lang w:val="de-DE"/>
        </w:rPr>
        <w:t xml:space="preserve">. </w:t>
      </w:r>
      <w:r w:rsidRPr="00020FFE">
        <w:rPr>
          <w:rFonts w:ascii="Calibri" w:hAnsi="Calibri" w:cs="Calibri"/>
          <w:noProof/>
          <w:sz w:val="22"/>
          <w:szCs w:val="22"/>
        </w:rPr>
        <w:t xml:space="preserve">Isolation of human hepatocytes by a two-step collagenase perfusion procedure. </w:t>
      </w:r>
      <w:r w:rsidRPr="007306A6">
        <w:rPr>
          <w:rFonts w:ascii="Calibri" w:hAnsi="Calibri" w:cs="Calibri"/>
          <w:noProof/>
          <w:sz w:val="22"/>
          <w:szCs w:val="22"/>
          <w:lang w:val="de-DE"/>
        </w:rPr>
        <w:t>J Vis Exp. 2013(79).</w:t>
      </w:r>
    </w:p>
    <w:p w14:paraId="38911515" w14:textId="77777777" w:rsidR="007306A6" w:rsidRPr="00F643A7" w:rsidRDefault="007306A6" w:rsidP="007306A6">
      <w:pPr>
        <w:pStyle w:val="EndNoteBibliography"/>
        <w:spacing w:after="100"/>
        <w:rPr>
          <w:rFonts w:ascii="Calibri" w:hAnsi="Calibri" w:cs="Calibri"/>
          <w:noProof/>
          <w:sz w:val="22"/>
          <w:szCs w:val="22"/>
          <w:lang w:val="de-DE"/>
        </w:rPr>
      </w:pPr>
      <w:r w:rsidRPr="00020FFE">
        <w:rPr>
          <w:rFonts w:ascii="Calibri" w:hAnsi="Calibri" w:cs="Calibri"/>
          <w:noProof/>
          <w:sz w:val="22"/>
          <w:szCs w:val="22"/>
          <w:lang w:val="de-DE"/>
        </w:rPr>
        <w:t>5.</w:t>
      </w:r>
      <w:r w:rsidRPr="00020FFE">
        <w:rPr>
          <w:rFonts w:ascii="Calibri" w:hAnsi="Calibri" w:cs="Calibri"/>
          <w:noProof/>
          <w:sz w:val="22"/>
          <w:szCs w:val="22"/>
          <w:lang w:val="de-DE"/>
        </w:rPr>
        <w:tab/>
        <w:t xml:space="preserve">Fromme T, Kleigrewe K, Dunkel A et al. </w:t>
      </w:r>
      <w:r w:rsidRPr="00020FFE">
        <w:rPr>
          <w:rFonts w:ascii="Calibri" w:hAnsi="Calibri" w:cs="Calibri"/>
          <w:noProof/>
          <w:sz w:val="22"/>
          <w:szCs w:val="22"/>
        </w:rPr>
        <w:t xml:space="preserve">Degradation of brown adipocyte purine nucleotides regulates uncoupling protein 1 activity. </w:t>
      </w:r>
      <w:r w:rsidRPr="00F643A7">
        <w:rPr>
          <w:rFonts w:ascii="Calibri" w:hAnsi="Calibri" w:cs="Calibri"/>
          <w:noProof/>
          <w:sz w:val="22"/>
          <w:szCs w:val="22"/>
          <w:lang w:val="de-DE"/>
        </w:rPr>
        <w:t>Mol Metab. 2018;8:77-85.</w:t>
      </w:r>
    </w:p>
    <w:p w14:paraId="30E29F6C"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lang w:val="de-DE"/>
        </w:rPr>
        <w:lastRenderedPageBreak/>
        <w:t>6.</w:t>
      </w:r>
      <w:r w:rsidRPr="00020FFE">
        <w:rPr>
          <w:rFonts w:ascii="Calibri" w:hAnsi="Calibri" w:cs="Calibri"/>
          <w:noProof/>
          <w:sz w:val="22"/>
          <w:szCs w:val="22"/>
          <w:lang w:val="de-DE"/>
        </w:rPr>
        <w:tab/>
        <w:t xml:space="preserve">Hellmuth C, Weber M, Koletzko B et al. </w:t>
      </w:r>
      <w:r w:rsidRPr="00020FFE">
        <w:rPr>
          <w:rFonts w:ascii="Calibri" w:hAnsi="Calibri" w:cs="Calibri"/>
          <w:noProof/>
          <w:sz w:val="22"/>
          <w:szCs w:val="22"/>
        </w:rPr>
        <w:t>Nonesterified fatty acid determination for functional lipidomics: comprehensive ultrahigh performance liquid chromatography-tandem mass spectrometry quantitation, qualification, and parameter prediction. Anal Chem. 2012;84(3):1483-90.</w:t>
      </w:r>
    </w:p>
    <w:p w14:paraId="010AAF15"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7.</w:t>
      </w:r>
      <w:r w:rsidRPr="00020FFE">
        <w:rPr>
          <w:rFonts w:ascii="Calibri" w:hAnsi="Calibri" w:cs="Calibri"/>
          <w:noProof/>
          <w:sz w:val="22"/>
          <w:szCs w:val="22"/>
        </w:rPr>
        <w:tab/>
        <w:t>Schmittgen TD, Livak KJ. Analyzing real-time PCR data by the comparative CT method. Nature protocols. 2008;3(6):1101-8.</w:t>
      </w:r>
    </w:p>
    <w:p w14:paraId="11EB58A0"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8.</w:t>
      </w:r>
      <w:r w:rsidRPr="00020FFE">
        <w:rPr>
          <w:rFonts w:ascii="Calibri" w:hAnsi="Calibri" w:cs="Calibri"/>
          <w:noProof/>
          <w:sz w:val="22"/>
          <w:szCs w:val="22"/>
        </w:rPr>
        <w:tab/>
        <w:t>Team RC. R: A Language and Environment for Statistical Computing. Vienna, Austria: R Foundation for Statistical Computing; 2023.</w:t>
      </w:r>
    </w:p>
    <w:p w14:paraId="0CB3BB1C"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9.</w:t>
      </w:r>
      <w:r w:rsidRPr="00020FFE">
        <w:rPr>
          <w:rFonts w:ascii="Calibri" w:hAnsi="Calibri" w:cs="Calibri"/>
          <w:noProof/>
          <w:sz w:val="22"/>
          <w:szCs w:val="22"/>
        </w:rPr>
        <w:tab/>
        <w:t>Wang W, Carroll T. Rfastp: An Ultra-Fast and All-in-One Fastq Preprocessor (Quality Control, Adapter, low quality and polyX trimming) and UMI Sequence Parsing). 2023.</w:t>
      </w:r>
    </w:p>
    <w:p w14:paraId="661DDD00"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10.</w:t>
      </w:r>
      <w:r w:rsidRPr="00020FFE">
        <w:rPr>
          <w:rFonts w:ascii="Calibri" w:hAnsi="Calibri" w:cs="Calibri"/>
          <w:noProof/>
          <w:sz w:val="22"/>
          <w:szCs w:val="22"/>
        </w:rPr>
        <w:tab/>
        <w:t>Liao Y, Smyth GK, Shi W. The R package Rsubread is easier, faster, cheaper and better for alignment and quantification of RNA sequencing reads. Nucleic Acids Res. 2019;47(8):e47.</w:t>
      </w:r>
    </w:p>
    <w:p w14:paraId="22B4378F"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11.</w:t>
      </w:r>
      <w:r w:rsidRPr="00020FFE">
        <w:rPr>
          <w:rFonts w:ascii="Calibri" w:hAnsi="Calibri" w:cs="Calibri"/>
          <w:noProof/>
          <w:sz w:val="22"/>
          <w:szCs w:val="22"/>
        </w:rPr>
        <w:tab/>
        <w:t>Love MI, Huber W, Anders S. Moderated estimation of fold change and dispersion for RNA-seq data with DESeq2. Genome Biol. 2014;15(12):550.</w:t>
      </w:r>
    </w:p>
    <w:p w14:paraId="76C4300E"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12.</w:t>
      </w:r>
      <w:r w:rsidRPr="00020FFE">
        <w:rPr>
          <w:rFonts w:ascii="Calibri" w:hAnsi="Calibri" w:cs="Calibri"/>
          <w:noProof/>
          <w:sz w:val="22"/>
          <w:szCs w:val="22"/>
        </w:rPr>
        <w:tab/>
        <w:t>Wickham H. ggplot2: Elegant Graphics for Data Analysis: Springer-Verlag New York; 2016.</w:t>
      </w:r>
    </w:p>
    <w:p w14:paraId="5F747162"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13.</w:t>
      </w:r>
      <w:r w:rsidRPr="00020FFE">
        <w:rPr>
          <w:rFonts w:ascii="Calibri" w:hAnsi="Calibri" w:cs="Calibri"/>
          <w:noProof/>
          <w:sz w:val="22"/>
          <w:szCs w:val="22"/>
        </w:rPr>
        <w:tab/>
        <w:t>Kolde R. Pheatmap: Pretty Heatmaps. 2019.</w:t>
      </w:r>
    </w:p>
    <w:p w14:paraId="112EB6D0"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14.</w:t>
      </w:r>
      <w:r w:rsidRPr="00020FFE">
        <w:rPr>
          <w:rFonts w:ascii="Calibri" w:hAnsi="Calibri" w:cs="Calibri"/>
          <w:noProof/>
          <w:sz w:val="22"/>
          <w:szCs w:val="22"/>
        </w:rPr>
        <w:tab/>
        <w:t>Wu T, Hu E, Xu S</w:t>
      </w:r>
      <w:r>
        <w:rPr>
          <w:rFonts w:ascii="Calibri" w:hAnsi="Calibri" w:cs="Calibri"/>
          <w:noProof/>
          <w:sz w:val="22"/>
          <w:szCs w:val="22"/>
        </w:rPr>
        <w:t xml:space="preserve"> </w:t>
      </w:r>
      <w:r w:rsidRPr="00020FFE">
        <w:rPr>
          <w:rFonts w:ascii="Calibri" w:hAnsi="Calibri" w:cs="Calibri"/>
          <w:noProof/>
          <w:sz w:val="22"/>
          <w:szCs w:val="22"/>
        </w:rPr>
        <w:t>et al. clusterProfiler 4.0: A universal enrichment tool for interpreting omics data. Innovation (Camb). 2021;2(3):100141.</w:t>
      </w:r>
    </w:p>
    <w:p w14:paraId="482806DB"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15.</w:t>
      </w:r>
      <w:r w:rsidRPr="00020FFE">
        <w:rPr>
          <w:rFonts w:ascii="Calibri" w:hAnsi="Calibri" w:cs="Calibri"/>
          <w:noProof/>
          <w:sz w:val="22"/>
          <w:szCs w:val="22"/>
        </w:rPr>
        <w:tab/>
        <w:t>Hänzelmann S, Castelo R, Guinney J. GSVA: gene set variation analysis for microarray and RNA-Seq data. BMC Bioinformatics. 2013;14(1):7.</w:t>
      </w:r>
    </w:p>
    <w:p w14:paraId="429BC95D"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16.</w:t>
      </w:r>
      <w:r w:rsidRPr="00020FFE">
        <w:rPr>
          <w:rFonts w:ascii="Calibri" w:hAnsi="Calibri" w:cs="Calibri"/>
          <w:noProof/>
          <w:sz w:val="22"/>
          <w:szCs w:val="22"/>
        </w:rPr>
        <w:tab/>
        <w:t>Yu G. enrichplot: Visualization of Functional Enrichment Result. 2023.</w:t>
      </w:r>
    </w:p>
    <w:p w14:paraId="6D88CB66"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17.</w:t>
      </w:r>
      <w:r w:rsidRPr="00020FFE">
        <w:rPr>
          <w:rFonts w:ascii="Calibri" w:hAnsi="Calibri" w:cs="Calibri"/>
          <w:noProof/>
          <w:sz w:val="22"/>
          <w:szCs w:val="22"/>
        </w:rPr>
        <w:tab/>
        <w:t>Pfister D, Núñez NG, Pinyol R</w:t>
      </w:r>
      <w:r>
        <w:rPr>
          <w:rFonts w:ascii="Calibri" w:hAnsi="Calibri" w:cs="Calibri"/>
          <w:noProof/>
          <w:sz w:val="22"/>
          <w:szCs w:val="22"/>
        </w:rPr>
        <w:t xml:space="preserve"> </w:t>
      </w:r>
      <w:r w:rsidRPr="00020FFE">
        <w:rPr>
          <w:rFonts w:ascii="Calibri" w:hAnsi="Calibri" w:cs="Calibri"/>
          <w:noProof/>
          <w:sz w:val="22"/>
          <w:szCs w:val="22"/>
        </w:rPr>
        <w:t>et al. NASH limits anti-tumour surveillance in immunotherapy-treated HCC. Nature. 2021;592(7854):450-6.</w:t>
      </w:r>
    </w:p>
    <w:p w14:paraId="33F0075C"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18.</w:t>
      </w:r>
      <w:r w:rsidRPr="00020FFE">
        <w:rPr>
          <w:rFonts w:ascii="Calibri" w:hAnsi="Calibri" w:cs="Calibri"/>
          <w:noProof/>
          <w:sz w:val="22"/>
          <w:szCs w:val="22"/>
        </w:rPr>
        <w:tab/>
        <w:t>Lu Y, Yang A, Quan C</w:t>
      </w:r>
      <w:r>
        <w:rPr>
          <w:rFonts w:ascii="Calibri" w:hAnsi="Calibri" w:cs="Calibri"/>
          <w:noProof/>
          <w:sz w:val="22"/>
          <w:szCs w:val="22"/>
        </w:rPr>
        <w:t xml:space="preserve"> </w:t>
      </w:r>
      <w:r w:rsidRPr="00020FFE">
        <w:rPr>
          <w:rFonts w:ascii="Calibri" w:hAnsi="Calibri" w:cs="Calibri"/>
          <w:noProof/>
          <w:sz w:val="22"/>
          <w:szCs w:val="22"/>
        </w:rPr>
        <w:t>et al. A single-cell atlas of the multicellular ecosystem of primary and metastatic hepatocellular carcinoma. Nat Commun. 2022;13(1):4594.</w:t>
      </w:r>
    </w:p>
    <w:p w14:paraId="1A571F47" w14:textId="77777777" w:rsidR="007306A6" w:rsidRPr="007306A6" w:rsidRDefault="007306A6" w:rsidP="007306A6">
      <w:pPr>
        <w:pStyle w:val="EndNoteBibliography"/>
        <w:spacing w:after="100"/>
        <w:rPr>
          <w:rFonts w:ascii="Calibri" w:hAnsi="Calibri" w:cs="Calibri"/>
          <w:noProof/>
          <w:sz w:val="22"/>
          <w:szCs w:val="22"/>
          <w:lang w:val="en-GB"/>
        </w:rPr>
      </w:pPr>
      <w:r w:rsidRPr="00020FFE">
        <w:rPr>
          <w:rFonts w:ascii="Calibri" w:hAnsi="Calibri" w:cs="Calibri"/>
          <w:noProof/>
          <w:sz w:val="22"/>
          <w:szCs w:val="22"/>
        </w:rPr>
        <w:t>19.</w:t>
      </w:r>
      <w:r w:rsidRPr="00020FFE">
        <w:rPr>
          <w:rFonts w:ascii="Calibri" w:hAnsi="Calibri" w:cs="Calibri"/>
          <w:noProof/>
          <w:sz w:val="22"/>
          <w:szCs w:val="22"/>
        </w:rPr>
        <w:tab/>
        <w:t>Butler A, Hoffman P, Smibert P</w:t>
      </w:r>
      <w:r>
        <w:rPr>
          <w:rFonts w:ascii="Calibri" w:hAnsi="Calibri" w:cs="Calibri"/>
          <w:noProof/>
          <w:sz w:val="22"/>
          <w:szCs w:val="22"/>
        </w:rPr>
        <w:t xml:space="preserve"> et al</w:t>
      </w:r>
      <w:r w:rsidRPr="00020FFE">
        <w:rPr>
          <w:rFonts w:ascii="Calibri" w:hAnsi="Calibri" w:cs="Calibri"/>
          <w:noProof/>
          <w:sz w:val="22"/>
          <w:szCs w:val="22"/>
        </w:rPr>
        <w:t xml:space="preserve">. Integrating single-cell transcriptomic data across different conditions, technologies, and species. </w:t>
      </w:r>
      <w:r w:rsidRPr="007306A6">
        <w:rPr>
          <w:rFonts w:ascii="Calibri" w:hAnsi="Calibri" w:cs="Calibri"/>
          <w:noProof/>
          <w:sz w:val="22"/>
          <w:szCs w:val="22"/>
          <w:lang w:val="en-GB"/>
        </w:rPr>
        <w:t>Nat Biotechnol. 2018;36(5):411-20.</w:t>
      </w:r>
    </w:p>
    <w:p w14:paraId="1B57ABE1" w14:textId="77777777" w:rsidR="007306A6" w:rsidRPr="00020FFE" w:rsidRDefault="007306A6" w:rsidP="007306A6">
      <w:pPr>
        <w:pStyle w:val="EndNoteBibliography"/>
        <w:spacing w:after="100"/>
        <w:rPr>
          <w:rFonts w:ascii="Calibri" w:hAnsi="Calibri" w:cs="Calibri"/>
          <w:noProof/>
          <w:sz w:val="22"/>
          <w:szCs w:val="22"/>
        </w:rPr>
      </w:pPr>
      <w:r w:rsidRPr="007306A6">
        <w:rPr>
          <w:rFonts w:ascii="Calibri" w:hAnsi="Calibri" w:cs="Calibri"/>
          <w:noProof/>
          <w:sz w:val="22"/>
          <w:szCs w:val="22"/>
          <w:lang w:val="en-GB"/>
        </w:rPr>
        <w:t>20.</w:t>
      </w:r>
      <w:r w:rsidRPr="007306A6">
        <w:rPr>
          <w:rFonts w:ascii="Calibri" w:hAnsi="Calibri" w:cs="Calibri"/>
          <w:noProof/>
          <w:sz w:val="22"/>
          <w:szCs w:val="22"/>
          <w:lang w:val="en-GB"/>
        </w:rPr>
        <w:tab/>
        <w:t xml:space="preserve">Stuart T, Butler A, Hoffman P et al. </w:t>
      </w:r>
      <w:r w:rsidRPr="00020FFE">
        <w:rPr>
          <w:rFonts w:ascii="Calibri" w:hAnsi="Calibri" w:cs="Calibri"/>
          <w:noProof/>
          <w:sz w:val="22"/>
          <w:szCs w:val="22"/>
        </w:rPr>
        <w:t>Comprehensive Integration of Single-Cell Data. Cell. 2019;177(7):1888-902.e21.</w:t>
      </w:r>
    </w:p>
    <w:p w14:paraId="0D699C5A"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21.</w:t>
      </w:r>
      <w:r w:rsidRPr="00020FFE">
        <w:rPr>
          <w:rFonts w:ascii="Calibri" w:hAnsi="Calibri" w:cs="Calibri"/>
          <w:noProof/>
          <w:sz w:val="22"/>
          <w:szCs w:val="22"/>
        </w:rPr>
        <w:tab/>
        <w:t>Traag VA, Waltman L, van Eck NJ. From Louvain to Leiden: guaranteeing well-connected communities. CoRR. 2018;abs/1810.08473.</w:t>
      </w:r>
    </w:p>
    <w:p w14:paraId="279FD25B"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22.</w:t>
      </w:r>
      <w:r w:rsidRPr="00020FFE">
        <w:rPr>
          <w:rFonts w:ascii="Calibri" w:hAnsi="Calibri" w:cs="Calibri"/>
          <w:noProof/>
          <w:sz w:val="22"/>
          <w:szCs w:val="22"/>
        </w:rPr>
        <w:tab/>
        <w:t>McInnes L, Healy J, Melville J. UMAP: Uniform Manifold Approximation and Projection for Dimension Reduction. 2020.</w:t>
      </w:r>
    </w:p>
    <w:p w14:paraId="3955C699"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23.</w:t>
      </w:r>
      <w:r w:rsidRPr="00020FFE">
        <w:rPr>
          <w:rFonts w:ascii="Calibri" w:hAnsi="Calibri" w:cs="Calibri"/>
          <w:noProof/>
          <w:sz w:val="22"/>
          <w:szCs w:val="22"/>
        </w:rPr>
        <w:tab/>
        <w:t>Yao T, Shooshtari P, Haeryfar SMM. Leveraging Public Single-Cell and Bulk Transcriptomic Datasets to Delineate MAIT Cell Roles and Phenotypic Characteristics in Human Malignancies. Frontiers in immunology. 2020;11:1691.</w:t>
      </w:r>
    </w:p>
    <w:p w14:paraId="2AB0B7BF"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24.</w:t>
      </w:r>
      <w:r w:rsidRPr="00020FFE">
        <w:rPr>
          <w:rFonts w:ascii="Calibri" w:hAnsi="Calibri" w:cs="Calibri"/>
          <w:noProof/>
          <w:sz w:val="22"/>
          <w:szCs w:val="22"/>
        </w:rPr>
        <w:tab/>
        <w:t>Andreatta M, Carmona SJ. UCell: Robust and scalable single-cell gene signature scoring. Comput Struct Biotechnol J. 2021;19:3796-8.</w:t>
      </w:r>
    </w:p>
    <w:p w14:paraId="5885DDE5"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25.</w:t>
      </w:r>
      <w:r w:rsidRPr="00020FFE">
        <w:rPr>
          <w:rFonts w:ascii="Calibri" w:hAnsi="Calibri" w:cs="Calibri"/>
          <w:noProof/>
          <w:sz w:val="22"/>
          <w:szCs w:val="22"/>
        </w:rPr>
        <w:tab/>
        <w:t>Newman AM, Steen CB, Liu CL</w:t>
      </w:r>
      <w:r>
        <w:rPr>
          <w:rFonts w:ascii="Calibri" w:hAnsi="Calibri" w:cs="Calibri"/>
          <w:noProof/>
          <w:sz w:val="22"/>
          <w:szCs w:val="22"/>
        </w:rPr>
        <w:t xml:space="preserve"> </w:t>
      </w:r>
      <w:r w:rsidRPr="00020FFE">
        <w:rPr>
          <w:rFonts w:ascii="Calibri" w:hAnsi="Calibri" w:cs="Calibri"/>
          <w:noProof/>
          <w:sz w:val="22"/>
          <w:szCs w:val="22"/>
        </w:rPr>
        <w:t>et al. Determining cell type abundance and expression from bulk tissues with digital cytometry. Nat Biotechnol. 2019;37(7):773-82.</w:t>
      </w:r>
    </w:p>
    <w:p w14:paraId="229E8D49"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26.</w:t>
      </w:r>
      <w:r w:rsidRPr="00020FFE">
        <w:rPr>
          <w:rFonts w:ascii="Calibri" w:hAnsi="Calibri" w:cs="Calibri"/>
          <w:noProof/>
          <w:sz w:val="22"/>
          <w:szCs w:val="22"/>
        </w:rPr>
        <w:tab/>
        <w:t>Zhao J, Zhang S, Liu Y</w:t>
      </w:r>
      <w:r>
        <w:rPr>
          <w:rFonts w:ascii="Calibri" w:hAnsi="Calibri" w:cs="Calibri"/>
          <w:noProof/>
          <w:sz w:val="22"/>
          <w:szCs w:val="22"/>
        </w:rPr>
        <w:t xml:space="preserve"> </w:t>
      </w:r>
      <w:r w:rsidRPr="00020FFE">
        <w:rPr>
          <w:rFonts w:ascii="Calibri" w:hAnsi="Calibri" w:cs="Calibri"/>
          <w:noProof/>
          <w:sz w:val="22"/>
          <w:szCs w:val="22"/>
        </w:rPr>
        <w:t>et al. Single-cell RNA sequencing reveals the heterogeneity of liver-resident immune cells in human. Cell Discov. 2020;6:22.</w:t>
      </w:r>
    </w:p>
    <w:p w14:paraId="379EDCFF"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27.</w:t>
      </w:r>
      <w:r w:rsidRPr="00020FFE">
        <w:rPr>
          <w:rFonts w:ascii="Calibri" w:hAnsi="Calibri" w:cs="Calibri"/>
          <w:noProof/>
          <w:sz w:val="22"/>
          <w:szCs w:val="22"/>
        </w:rPr>
        <w:tab/>
        <w:t>Govaere O, Cockell S, Tiniakos D</w:t>
      </w:r>
      <w:r>
        <w:rPr>
          <w:rFonts w:ascii="Calibri" w:hAnsi="Calibri" w:cs="Calibri"/>
          <w:noProof/>
          <w:sz w:val="22"/>
          <w:szCs w:val="22"/>
        </w:rPr>
        <w:t xml:space="preserve"> </w:t>
      </w:r>
      <w:r w:rsidRPr="00020FFE">
        <w:rPr>
          <w:rFonts w:ascii="Calibri" w:hAnsi="Calibri" w:cs="Calibri"/>
          <w:noProof/>
          <w:sz w:val="22"/>
          <w:szCs w:val="22"/>
        </w:rPr>
        <w:t>et al. Transcriptomic profiling across the nonalcoholic fatty liver disease spectrum reveals gene signatures for steatohepatitis and fibrosis. Sci Transl Med. 2020;12(572).</w:t>
      </w:r>
    </w:p>
    <w:p w14:paraId="6490F44F"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lastRenderedPageBreak/>
        <w:t>28.</w:t>
      </w:r>
      <w:r w:rsidRPr="00020FFE">
        <w:rPr>
          <w:rFonts w:ascii="Calibri" w:hAnsi="Calibri" w:cs="Calibri"/>
          <w:noProof/>
          <w:sz w:val="22"/>
          <w:szCs w:val="22"/>
        </w:rPr>
        <w:tab/>
      </w:r>
      <w:r w:rsidRPr="00020FFE">
        <w:rPr>
          <w:rFonts w:ascii="Calibri" w:hAnsi="Calibri" w:cs="Calibri"/>
          <w:b/>
          <w:bCs/>
          <w:noProof/>
          <w:sz w:val="22"/>
          <w:szCs w:val="22"/>
        </w:rPr>
        <w:t>Suppli MP, Rigbolt KTG</w:t>
      </w:r>
      <w:r w:rsidRPr="00020FFE">
        <w:rPr>
          <w:rFonts w:ascii="Calibri" w:hAnsi="Calibri" w:cs="Calibri"/>
          <w:noProof/>
          <w:sz w:val="22"/>
          <w:szCs w:val="22"/>
        </w:rPr>
        <w:t>, Veidal SS</w:t>
      </w:r>
      <w:r>
        <w:rPr>
          <w:rFonts w:ascii="Calibri" w:hAnsi="Calibri" w:cs="Calibri"/>
          <w:noProof/>
          <w:sz w:val="22"/>
          <w:szCs w:val="22"/>
        </w:rPr>
        <w:t xml:space="preserve"> </w:t>
      </w:r>
      <w:r w:rsidRPr="00020FFE">
        <w:rPr>
          <w:rFonts w:ascii="Calibri" w:hAnsi="Calibri" w:cs="Calibri"/>
          <w:noProof/>
          <w:sz w:val="22"/>
          <w:szCs w:val="22"/>
        </w:rPr>
        <w:t>et al. Hepatic transcriptome signatures in patients with varying degrees of nonalcoholic fatty liver disease compared with healthy normal-weight individuals. American journal of physiology Gastrointestinal and liver physiology. 2019;316(4):G462-g72.</w:t>
      </w:r>
    </w:p>
    <w:p w14:paraId="27F95417" w14:textId="77777777" w:rsidR="007306A6" w:rsidRPr="00020FFE" w:rsidRDefault="007306A6" w:rsidP="007306A6">
      <w:pPr>
        <w:pStyle w:val="EndNoteBibliography"/>
        <w:spacing w:after="100"/>
        <w:rPr>
          <w:rFonts w:ascii="Calibri" w:hAnsi="Calibri" w:cs="Calibri"/>
          <w:noProof/>
          <w:sz w:val="22"/>
          <w:szCs w:val="22"/>
        </w:rPr>
      </w:pPr>
      <w:r w:rsidRPr="00020FFE">
        <w:rPr>
          <w:rFonts w:ascii="Calibri" w:hAnsi="Calibri" w:cs="Calibri"/>
          <w:noProof/>
          <w:sz w:val="22"/>
          <w:szCs w:val="22"/>
        </w:rPr>
        <w:t>29.</w:t>
      </w:r>
      <w:r w:rsidRPr="00020FFE">
        <w:rPr>
          <w:rFonts w:ascii="Calibri" w:hAnsi="Calibri" w:cs="Calibri"/>
          <w:noProof/>
          <w:sz w:val="22"/>
          <w:szCs w:val="22"/>
        </w:rPr>
        <w:tab/>
        <w:t>Garner LC, Amini A, FitzPatrick MEB</w:t>
      </w:r>
      <w:r>
        <w:rPr>
          <w:rFonts w:ascii="Calibri" w:hAnsi="Calibri" w:cs="Calibri"/>
          <w:noProof/>
          <w:sz w:val="22"/>
          <w:szCs w:val="22"/>
        </w:rPr>
        <w:t xml:space="preserve"> </w:t>
      </w:r>
      <w:r w:rsidRPr="00020FFE">
        <w:rPr>
          <w:rFonts w:ascii="Calibri" w:hAnsi="Calibri" w:cs="Calibri"/>
          <w:noProof/>
          <w:sz w:val="22"/>
          <w:szCs w:val="22"/>
        </w:rPr>
        <w:t>et al. Single-cell analysis of human MAIT cell transcriptional, functional and clonal diversity. Nat Immunol. 2023;24(9):1565-78.</w:t>
      </w:r>
    </w:p>
    <w:p w14:paraId="231BC495" w14:textId="77777777" w:rsidR="007306A6" w:rsidRPr="00020FFE" w:rsidRDefault="007306A6" w:rsidP="007306A6">
      <w:pPr>
        <w:spacing w:after="100"/>
        <w:rPr>
          <w:rFonts w:ascii="Calibri" w:hAnsi="Calibri" w:cs="Calibri"/>
          <w:sz w:val="22"/>
          <w:szCs w:val="22"/>
        </w:rPr>
      </w:pPr>
    </w:p>
    <w:p w14:paraId="1129B6F8" w14:textId="77777777" w:rsidR="00E04619" w:rsidRPr="000A1CB8" w:rsidRDefault="00E04619" w:rsidP="00A65C7A">
      <w:pPr>
        <w:spacing w:after="100"/>
        <w:rPr>
          <w:lang w:val="en-US"/>
        </w:rPr>
      </w:pPr>
    </w:p>
    <w:p w14:paraId="085D040A" w14:textId="77777777" w:rsidR="00DD658C" w:rsidRDefault="00DD658C" w:rsidP="00A65C7A">
      <w:pPr>
        <w:spacing w:after="100"/>
      </w:pPr>
    </w:p>
    <w:sectPr w:rsidR="00DD658C" w:rsidSect="00E04619">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87186A"/>
    <w:multiLevelType w:val="hybridMultilevel"/>
    <w:tmpl w:val="5C42DDCC"/>
    <w:lvl w:ilvl="0" w:tplc="8DBE2FE8">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7626336"/>
    <w:multiLevelType w:val="hybridMultilevel"/>
    <w:tmpl w:val="EBCC8E80"/>
    <w:lvl w:ilvl="0" w:tplc="D71290BC">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71B62DD0"/>
    <w:multiLevelType w:val="hybridMultilevel"/>
    <w:tmpl w:val="D1CE83A6"/>
    <w:lvl w:ilvl="0" w:tplc="F2309EFC">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932804">
    <w:abstractNumId w:val="2"/>
  </w:num>
  <w:num w:numId="2" w16cid:durableId="2108114083">
    <w:abstractNumId w:val="1"/>
  </w:num>
  <w:num w:numId="3" w16cid:durableId="12849690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s>
  <w:rsids>
    <w:rsidRoot w:val="00E04619"/>
    <w:rsid w:val="00000308"/>
    <w:rsid w:val="000003A7"/>
    <w:rsid w:val="00000A03"/>
    <w:rsid w:val="00002CA4"/>
    <w:rsid w:val="000063D1"/>
    <w:rsid w:val="000063FF"/>
    <w:rsid w:val="000068EE"/>
    <w:rsid w:val="00006B9A"/>
    <w:rsid w:val="000074C4"/>
    <w:rsid w:val="00013BAB"/>
    <w:rsid w:val="0001464B"/>
    <w:rsid w:val="00014C9D"/>
    <w:rsid w:val="000154BF"/>
    <w:rsid w:val="00015D0F"/>
    <w:rsid w:val="0002013A"/>
    <w:rsid w:val="000215A5"/>
    <w:rsid w:val="00025F59"/>
    <w:rsid w:val="0002748E"/>
    <w:rsid w:val="00032896"/>
    <w:rsid w:val="00044BAB"/>
    <w:rsid w:val="000464F9"/>
    <w:rsid w:val="00050DAE"/>
    <w:rsid w:val="00050EC9"/>
    <w:rsid w:val="00053FAE"/>
    <w:rsid w:val="000540F3"/>
    <w:rsid w:val="00054174"/>
    <w:rsid w:val="000571FF"/>
    <w:rsid w:val="0006185D"/>
    <w:rsid w:val="00061B32"/>
    <w:rsid w:val="00061B95"/>
    <w:rsid w:val="0006422F"/>
    <w:rsid w:val="0006533E"/>
    <w:rsid w:val="00065554"/>
    <w:rsid w:val="00065878"/>
    <w:rsid w:val="00065BC7"/>
    <w:rsid w:val="000669D5"/>
    <w:rsid w:val="00066A79"/>
    <w:rsid w:val="00066B96"/>
    <w:rsid w:val="00067B0C"/>
    <w:rsid w:val="00072A43"/>
    <w:rsid w:val="000741C7"/>
    <w:rsid w:val="0007481B"/>
    <w:rsid w:val="00074C93"/>
    <w:rsid w:val="00074D2F"/>
    <w:rsid w:val="00075BF9"/>
    <w:rsid w:val="000779FE"/>
    <w:rsid w:val="00081535"/>
    <w:rsid w:val="000816D7"/>
    <w:rsid w:val="0008259D"/>
    <w:rsid w:val="00084C1E"/>
    <w:rsid w:val="00086353"/>
    <w:rsid w:val="00091B0B"/>
    <w:rsid w:val="000942BA"/>
    <w:rsid w:val="000A028A"/>
    <w:rsid w:val="000A3CC9"/>
    <w:rsid w:val="000A4018"/>
    <w:rsid w:val="000A52E5"/>
    <w:rsid w:val="000A5ADC"/>
    <w:rsid w:val="000B0688"/>
    <w:rsid w:val="000B315F"/>
    <w:rsid w:val="000B3A78"/>
    <w:rsid w:val="000B5D88"/>
    <w:rsid w:val="000B6095"/>
    <w:rsid w:val="000B622C"/>
    <w:rsid w:val="000B6BF0"/>
    <w:rsid w:val="000B729A"/>
    <w:rsid w:val="000C0CCD"/>
    <w:rsid w:val="000C1B3E"/>
    <w:rsid w:val="000C370E"/>
    <w:rsid w:val="000C38F0"/>
    <w:rsid w:val="000C49B4"/>
    <w:rsid w:val="000C5CE1"/>
    <w:rsid w:val="000C60C9"/>
    <w:rsid w:val="000C71A5"/>
    <w:rsid w:val="000C74B9"/>
    <w:rsid w:val="000C7B85"/>
    <w:rsid w:val="000D0953"/>
    <w:rsid w:val="000D0E4F"/>
    <w:rsid w:val="000D5438"/>
    <w:rsid w:val="000D7D97"/>
    <w:rsid w:val="000E0BFF"/>
    <w:rsid w:val="000E2A76"/>
    <w:rsid w:val="000E32BE"/>
    <w:rsid w:val="000E55B0"/>
    <w:rsid w:val="000E6BCE"/>
    <w:rsid w:val="000E718F"/>
    <w:rsid w:val="000E7B95"/>
    <w:rsid w:val="000F1588"/>
    <w:rsid w:val="000F2D24"/>
    <w:rsid w:val="000F4957"/>
    <w:rsid w:val="000F5620"/>
    <w:rsid w:val="000F668E"/>
    <w:rsid w:val="000F7A41"/>
    <w:rsid w:val="001014B3"/>
    <w:rsid w:val="001040CB"/>
    <w:rsid w:val="001041E5"/>
    <w:rsid w:val="001042B0"/>
    <w:rsid w:val="001051FE"/>
    <w:rsid w:val="001066B4"/>
    <w:rsid w:val="00107B19"/>
    <w:rsid w:val="00111363"/>
    <w:rsid w:val="00111B66"/>
    <w:rsid w:val="00113102"/>
    <w:rsid w:val="00116F0A"/>
    <w:rsid w:val="001174DA"/>
    <w:rsid w:val="0011766B"/>
    <w:rsid w:val="00117CA2"/>
    <w:rsid w:val="00120933"/>
    <w:rsid w:val="001212E4"/>
    <w:rsid w:val="001232CE"/>
    <w:rsid w:val="00125DB3"/>
    <w:rsid w:val="00125EC9"/>
    <w:rsid w:val="001277E2"/>
    <w:rsid w:val="00127C13"/>
    <w:rsid w:val="0013065E"/>
    <w:rsid w:val="00134AD6"/>
    <w:rsid w:val="001375C5"/>
    <w:rsid w:val="00137977"/>
    <w:rsid w:val="00143A64"/>
    <w:rsid w:val="00147118"/>
    <w:rsid w:val="00147D4B"/>
    <w:rsid w:val="001506F3"/>
    <w:rsid w:val="00150D88"/>
    <w:rsid w:val="00160806"/>
    <w:rsid w:val="001614FC"/>
    <w:rsid w:val="001618BC"/>
    <w:rsid w:val="00163B05"/>
    <w:rsid w:val="0016435F"/>
    <w:rsid w:val="001643EF"/>
    <w:rsid w:val="001659CF"/>
    <w:rsid w:val="00171092"/>
    <w:rsid w:val="001721FE"/>
    <w:rsid w:val="00173236"/>
    <w:rsid w:val="00173428"/>
    <w:rsid w:val="001741ED"/>
    <w:rsid w:val="00183096"/>
    <w:rsid w:val="00184F33"/>
    <w:rsid w:val="001853FF"/>
    <w:rsid w:val="00190D53"/>
    <w:rsid w:val="001932E7"/>
    <w:rsid w:val="0019505D"/>
    <w:rsid w:val="001953B3"/>
    <w:rsid w:val="001954BD"/>
    <w:rsid w:val="00196C97"/>
    <w:rsid w:val="00196E45"/>
    <w:rsid w:val="001A021F"/>
    <w:rsid w:val="001A4942"/>
    <w:rsid w:val="001A4F3B"/>
    <w:rsid w:val="001A6B17"/>
    <w:rsid w:val="001B0328"/>
    <w:rsid w:val="001B0D61"/>
    <w:rsid w:val="001B3507"/>
    <w:rsid w:val="001B4235"/>
    <w:rsid w:val="001B45D5"/>
    <w:rsid w:val="001B7353"/>
    <w:rsid w:val="001C359F"/>
    <w:rsid w:val="001C3B96"/>
    <w:rsid w:val="001C411C"/>
    <w:rsid w:val="001C45D6"/>
    <w:rsid w:val="001D0261"/>
    <w:rsid w:val="001D0850"/>
    <w:rsid w:val="001D4017"/>
    <w:rsid w:val="001D43BE"/>
    <w:rsid w:val="001D6D61"/>
    <w:rsid w:val="001E1898"/>
    <w:rsid w:val="001E3DA8"/>
    <w:rsid w:val="001E4162"/>
    <w:rsid w:val="001E4AD6"/>
    <w:rsid w:val="001F0986"/>
    <w:rsid w:val="001F3B0C"/>
    <w:rsid w:val="001F3EC3"/>
    <w:rsid w:val="001F4C68"/>
    <w:rsid w:val="001F736A"/>
    <w:rsid w:val="001F7EB5"/>
    <w:rsid w:val="0020077B"/>
    <w:rsid w:val="00200A92"/>
    <w:rsid w:val="002013CD"/>
    <w:rsid w:val="00201512"/>
    <w:rsid w:val="00201976"/>
    <w:rsid w:val="002019E4"/>
    <w:rsid w:val="002024C6"/>
    <w:rsid w:val="002031A5"/>
    <w:rsid w:val="0020328C"/>
    <w:rsid w:val="00203651"/>
    <w:rsid w:val="00205936"/>
    <w:rsid w:val="00205BB2"/>
    <w:rsid w:val="002110B1"/>
    <w:rsid w:val="00212B7C"/>
    <w:rsid w:val="002149BE"/>
    <w:rsid w:val="002160C6"/>
    <w:rsid w:val="002177C6"/>
    <w:rsid w:val="0021788F"/>
    <w:rsid w:val="00220DE1"/>
    <w:rsid w:val="00220E1A"/>
    <w:rsid w:val="00221F26"/>
    <w:rsid w:val="00222427"/>
    <w:rsid w:val="002234F2"/>
    <w:rsid w:val="00225908"/>
    <w:rsid w:val="00225A17"/>
    <w:rsid w:val="00227002"/>
    <w:rsid w:val="00227090"/>
    <w:rsid w:val="002273FD"/>
    <w:rsid w:val="00231992"/>
    <w:rsid w:val="00232BE0"/>
    <w:rsid w:val="00232C80"/>
    <w:rsid w:val="00232D94"/>
    <w:rsid w:val="00233711"/>
    <w:rsid w:val="00235647"/>
    <w:rsid w:val="0023598B"/>
    <w:rsid w:val="00236884"/>
    <w:rsid w:val="002375D4"/>
    <w:rsid w:val="002448D3"/>
    <w:rsid w:val="00245D88"/>
    <w:rsid w:val="002463B5"/>
    <w:rsid w:val="00246983"/>
    <w:rsid w:val="0024711E"/>
    <w:rsid w:val="00251272"/>
    <w:rsid w:val="002522FE"/>
    <w:rsid w:val="00253408"/>
    <w:rsid w:val="00253AC1"/>
    <w:rsid w:val="00254DD2"/>
    <w:rsid w:val="0025643E"/>
    <w:rsid w:val="002636FA"/>
    <w:rsid w:val="00264D1C"/>
    <w:rsid w:val="00264FF9"/>
    <w:rsid w:val="00267885"/>
    <w:rsid w:val="00267E14"/>
    <w:rsid w:val="00270114"/>
    <w:rsid w:val="00272C35"/>
    <w:rsid w:val="002739F2"/>
    <w:rsid w:val="00275257"/>
    <w:rsid w:val="00276BC4"/>
    <w:rsid w:val="0028022D"/>
    <w:rsid w:val="0028076F"/>
    <w:rsid w:val="00282249"/>
    <w:rsid w:val="002832C0"/>
    <w:rsid w:val="002834AA"/>
    <w:rsid w:val="002849AB"/>
    <w:rsid w:val="00286CEE"/>
    <w:rsid w:val="00286F61"/>
    <w:rsid w:val="0028760C"/>
    <w:rsid w:val="002877D3"/>
    <w:rsid w:val="002913B0"/>
    <w:rsid w:val="00292EAA"/>
    <w:rsid w:val="00293363"/>
    <w:rsid w:val="00295C04"/>
    <w:rsid w:val="0029760A"/>
    <w:rsid w:val="002A128C"/>
    <w:rsid w:val="002A1AF9"/>
    <w:rsid w:val="002A4426"/>
    <w:rsid w:val="002A44CF"/>
    <w:rsid w:val="002B1569"/>
    <w:rsid w:val="002B2EF3"/>
    <w:rsid w:val="002C1355"/>
    <w:rsid w:val="002C3179"/>
    <w:rsid w:val="002C5978"/>
    <w:rsid w:val="002C5E61"/>
    <w:rsid w:val="002D0F9A"/>
    <w:rsid w:val="002D20AB"/>
    <w:rsid w:val="002D4713"/>
    <w:rsid w:val="002D6ABD"/>
    <w:rsid w:val="002D7057"/>
    <w:rsid w:val="002E24B4"/>
    <w:rsid w:val="002E4153"/>
    <w:rsid w:val="002E4AA6"/>
    <w:rsid w:val="002E7053"/>
    <w:rsid w:val="002F031B"/>
    <w:rsid w:val="002F26E8"/>
    <w:rsid w:val="002F3E44"/>
    <w:rsid w:val="002F4799"/>
    <w:rsid w:val="002F48FB"/>
    <w:rsid w:val="002F625A"/>
    <w:rsid w:val="002F6AB4"/>
    <w:rsid w:val="003009E9"/>
    <w:rsid w:val="00300AAE"/>
    <w:rsid w:val="00301023"/>
    <w:rsid w:val="0030260B"/>
    <w:rsid w:val="00302C46"/>
    <w:rsid w:val="00302EBA"/>
    <w:rsid w:val="003035D3"/>
    <w:rsid w:val="0030502E"/>
    <w:rsid w:val="00305172"/>
    <w:rsid w:val="00305DD9"/>
    <w:rsid w:val="003137AA"/>
    <w:rsid w:val="00313D18"/>
    <w:rsid w:val="00314158"/>
    <w:rsid w:val="003141B7"/>
    <w:rsid w:val="00314382"/>
    <w:rsid w:val="00316427"/>
    <w:rsid w:val="00317BEA"/>
    <w:rsid w:val="003207B8"/>
    <w:rsid w:val="003211E1"/>
    <w:rsid w:val="003243D5"/>
    <w:rsid w:val="003255F5"/>
    <w:rsid w:val="00325DB5"/>
    <w:rsid w:val="00326453"/>
    <w:rsid w:val="00326F02"/>
    <w:rsid w:val="00330561"/>
    <w:rsid w:val="00332CFF"/>
    <w:rsid w:val="00333A69"/>
    <w:rsid w:val="003362CE"/>
    <w:rsid w:val="003401B8"/>
    <w:rsid w:val="003403A6"/>
    <w:rsid w:val="00343AE9"/>
    <w:rsid w:val="00344AE0"/>
    <w:rsid w:val="00344D99"/>
    <w:rsid w:val="00346948"/>
    <w:rsid w:val="003479BC"/>
    <w:rsid w:val="0035014C"/>
    <w:rsid w:val="00352B67"/>
    <w:rsid w:val="0035515F"/>
    <w:rsid w:val="00357F5A"/>
    <w:rsid w:val="003613FE"/>
    <w:rsid w:val="00361AEF"/>
    <w:rsid w:val="0036369F"/>
    <w:rsid w:val="00365053"/>
    <w:rsid w:val="003667CA"/>
    <w:rsid w:val="00366904"/>
    <w:rsid w:val="0036758E"/>
    <w:rsid w:val="0037069F"/>
    <w:rsid w:val="00371B57"/>
    <w:rsid w:val="0037248E"/>
    <w:rsid w:val="00373489"/>
    <w:rsid w:val="003746D6"/>
    <w:rsid w:val="00375F40"/>
    <w:rsid w:val="003808E2"/>
    <w:rsid w:val="00380D7D"/>
    <w:rsid w:val="0038146B"/>
    <w:rsid w:val="00382703"/>
    <w:rsid w:val="00385EB7"/>
    <w:rsid w:val="0038622D"/>
    <w:rsid w:val="00387623"/>
    <w:rsid w:val="00390A37"/>
    <w:rsid w:val="003928CB"/>
    <w:rsid w:val="00393419"/>
    <w:rsid w:val="00393AA5"/>
    <w:rsid w:val="0039585C"/>
    <w:rsid w:val="003A12DB"/>
    <w:rsid w:val="003A1D81"/>
    <w:rsid w:val="003A2B44"/>
    <w:rsid w:val="003A2E84"/>
    <w:rsid w:val="003A306F"/>
    <w:rsid w:val="003A691F"/>
    <w:rsid w:val="003A7136"/>
    <w:rsid w:val="003B06C3"/>
    <w:rsid w:val="003B08D9"/>
    <w:rsid w:val="003B22BB"/>
    <w:rsid w:val="003B74DF"/>
    <w:rsid w:val="003C109A"/>
    <w:rsid w:val="003C1768"/>
    <w:rsid w:val="003C540D"/>
    <w:rsid w:val="003C55F8"/>
    <w:rsid w:val="003C5647"/>
    <w:rsid w:val="003C5659"/>
    <w:rsid w:val="003C63C6"/>
    <w:rsid w:val="003C68E1"/>
    <w:rsid w:val="003D2E08"/>
    <w:rsid w:val="003D4345"/>
    <w:rsid w:val="003D4C31"/>
    <w:rsid w:val="003D6456"/>
    <w:rsid w:val="003D6647"/>
    <w:rsid w:val="003E0B0B"/>
    <w:rsid w:val="003E1696"/>
    <w:rsid w:val="003E2DF0"/>
    <w:rsid w:val="003E34D5"/>
    <w:rsid w:val="003E3EED"/>
    <w:rsid w:val="003E4653"/>
    <w:rsid w:val="003E4F8E"/>
    <w:rsid w:val="003E5377"/>
    <w:rsid w:val="003F04FE"/>
    <w:rsid w:val="003F0C87"/>
    <w:rsid w:val="003F26A8"/>
    <w:rsid w:val="003F2D4A"/>
    <w:rsid w:val="003F2F2F"/>
    <w:rsid w:val="003F655F"/>
    <w:rsid w:val="003F7B60"/>
    <w:rsid w:val="0040047D"/>
    <w:rsid w:val="004008D9"/>
    <w:rsid w:val="0040099D"/>
    <w:rsid w:val="00401C04"/>
    <w:rsid w:val="0040220C"/>
    <w:rsid w:val="00402FDB"/>
    <w:rsid w:val="00406B4D"/>
    <w:rsid w:val="004102D9"/>
    <w:rsid w:val="00410904"/>
    <w:rsid w:val="004130B9"/>
    <w:rsid w:val="00414B7F"/>
    <w:rsid w:val="00415F97"/>
    <w:rsid w:val="00417B6D"/>
    <w:rsid w:val="00422C7F"/>
    <w:rsid w:val="00422D35"/>
    <w:rsid w:val="004230E3"/>
    <w:rsid w:val="00424223"/>
    <w:rsid w:val="004279ED"/>
    <w:rsid w:val="004303F4"/>
    <w:rsid w:val="004304A5"/>
    <w:rsid w:val="0043214B"/>
    <w:rsid w:val="004323DE"/>
    <w:rsid w:val="004347AD"/>
    <w:rsid w:val="00435003"/>
    <w:rsid w:val="00437BE0"/>
    <w:rsid w:val="004401F8"/>
    <w:rsid w:val="004415BE"/>
    <w:rsid w:val="00444FE9"/>
    <w:rsid w:val="004450B3"/>
    <w:rsid w:val="004456CF"/>
    <w:rsid w:val="004463FB"/>
    <w:rsid w:val="00446D75"/>
    <w:rsid w:val="004505F0"/>
    <w:rsid w:val="0045144B"/>
    <w:rsid w:val="004520B6"/>
    <w:rsid w:val="004524FE"/>
    <w:rsid w:val="004525C0"/>
    <w:rsid w:val="00454996"/>
    <w:rsid w:val="0045658F"/>
    <w:rsid w:val="00457963"/>
    <w:rsid w:val="0046045D"/>
    <w:rsid w:val="00460FE6"/>
    <w:rsid w:val="00461158"/>
    <w:rsid w:val="00462F50"/>
    <w:rsid w:val="004636F9"/>
    <w:rsid w:val="00464444"/>
    <w:rsid w:val="00467219"/>
    <w:rsid w:val="0047099B"/>
    <w:rsid w:val="00471BF0"/>
    <w:rsid w:val="00475678"/>
    <w:rsid w:val="00475716"/>
    <w:rsid w:val="00475B35"/>
    <w:rsid w:val="00476823"/>
    <w:rsid w:val="00476D8B"/>
    <w:rsid w:val="00480351"/>
    <w:rsid w:val="00481945"/>
    <w:rsid w:val="0048209C"/>
    <w:rsid w:val="00482C08"/>
    <w:rsid w:val="00482E70"/>
    <w:rsid w:val="00484F77"/>
    <w:rsid w:val="0049134C"/>
    <w:rsid w:val="004917A0"/>
    <w:rsid w:val="00491902"/>
    <w:rsid w:val="0049616B"/>
    <w:rsid w:val="004A1E9E"/>
    <w:rsid w:val="004A377D"/>
    <w:rsid w:val="004A6EBB"/>
    <w:rsid w:val="004B115D"/>
    <w:rsid w:val="004B1DC6"/>
    <w:rsid w:val="004B343A"/>
    <w:rsid w:val="004B7E64"/>
    <w:rsid w:val="004C1798"/>
    <w:rsid w:val="004C3F84"/>
    <w:rsid w:val="004D0913"/>
    <w:rsid w:val="004D3018"/>
    <w:rsid w:val="004D39BF"/>
    <w:rsid w:val="004D3C43"/>
    <w:rsid w:val="004D3FC6"/>
    <w:rsid w:val="004D7CCA"/>
    <w:rsid w:val="004E04D5"/>
    <w:rsid w:val="004E0AB2"/>
    <w:rsid w:val="004E17E3"/>
    <w:rsid w:val="004E1AD2"/>
    <w:rsid w:val="004E68D8"/>
    <w:rsid w:val="004F027D"/>
    <w:rsid w:val="004F2FDC"/>
    <w:rsid w:val="004F4731"/>
    <w:rsid w:val="004F6549"/>
    <w:rsid w:val="004F7629"/>
    <w:rsid w:val="004F7DE3"/>
    <w:rsid w:val="005030AA"/>
    <w:rsid w:val="005035F1"/>
    <w:rsid w:val="0050492E"/>
    <w:rsid w:val="00505E1F"/>
    <w:rsid w:val="0050657F"/>
    <w:rsid w:val="005067D2"/>
    <w:rsid w:val="00507E02"/>
    <w:rsid w:val="005136D1"/>
    <w:rsid w:val="00513972"/>
    <w:rsid w:val="00513A6E"/>
    <w:rsid w:val="00514D8B"/>
    <w:rsid w:val="0051574F"/>
    <w:rsid w:val="00517225"/>
    <w:rsid w:val="0052063D"/>
    <w:rsid w:val="005214C0"/>
    <w:rsid w:val="00523DC7"/>
    <w:rsid w:val="005260B3"/>
    <w:rsid w:val="005300BA"/>
    <w:rsid w:val="005306D0"/>
    <w:rsid w:val="0053116B"/>
    <w:rsid w:val="00531E71"/>
    <w:rsid w:val="00531F07"/>
    <w:rsid w:val="00532BDD"/>
    <w:rsid w:val="00532BE8"/>
    <w:rsid w:val="0053382D"/>
    <w:rsid w:val="00534588"/>
    <w:rsid w:val="0053496D"/>
    <w:rsid w:val="00535042"/>
    <w:rsid w:val="00535313"/>
    <w:rsid w:val="00536A9C"/>
    <w:rsid w:val="005379A1"/>
    <w:rsid w:val="00537C05"/>
    <w:rsid w:val="00545DDE"/>
    <w:rsid w:val="00550B93"/>
    <w:rsid w:val="0055279A"/>
    <w:rsid w:val="00554CAB"/>
    <w:rsid w:val="00554DC2"/>
    <w:rsid w:val="00556CBA"/>
    <w:rsid w:val="00557273"/>
    <w:rsid w:val="005616C5"/>
    <w:rsid w:val="005619EA"/>
    <w:rsid w:val="00562B7B"/>
    <w:rsid w:val="00563131"/>
    <w:rsid w:val="00563905"/>
    <w:rsid w:val="0056440A"/>
    <w:rsid w:val="005658E1"/>
    <w:rsid w:val="005666A2"/>
    <w:rsid w:val="00566892"/>
    <w:rsid w:val="00566BA0"/>
    <w:rsid w:val="005708B7"/>
    <w:rsid w:val="005715BD"/>
    <w:rsid w:val="00571DCA"/>
    <w:rsid w:val="0057215B"/>
    <w:rsid w:val="00572A34"/>
    <w:rsid w:val="005737DD"/>
    <w:rsid w:val="005741DE"/>
    <w:rsid w:val="00575CD4"/>
    <w:rsid w:val="00581D05"/>
    <w:rsid w:val="005820D1"/>
    <w:rsid w:val="0058425A"/>
    <w:rsid w:val="00584D68"/>
    <w:rsid w:val="0059180F"/>
    <w:rsid w:val="005955FB"/>
    <w:rsid w:val="005956ED"/>
    <w:rsid w:val="00595C40"/>
    <w:rsid w:val="00596C16"/>
    <w:rsid w:val="005A0587"/>
    <w:rsid w:val="005A19E1"/>
    <w:rsid w:val="005A2AAA"/>
    <w:rsid w:val="005A65E8"/>
    <w:rsid w:val="005B08B6"/>
    <w:rsid w:val="005B0CD2"/>
    <w:rsid w:val="005B17E1"/>
    <w:rsid w:val="005B1B11"/>
    <w:rsid w:val="005B1B41"/>
    <w:rsid w:val="005B303E"/>
    <w:rsid w:val="005B3A29"/>
    <w:rsid w:val="005B4AB9"/>
    <w:rsid w:val="005B547F"/>
    <w:rsid w:val="005B5612"/>
    <w:rsid w:val="005C40FB"/>
    <w:rsid w:val="005C67FA"/>
    <w:rsid w:val="005D0DE3"/>
    <w:rsid w:val="005D6745"/>
    <w:rsid w:val="005E03CC"/>
    <w:rsid w:val="005E157C"/>
    <w:rsid w:val="005E2C7E"/>
    <w:rsid w:val="005E43EE"/>
    <w:rsid w:val="005E46BF"/>
    <w:rsid w:val="005E5636"/>
    <w:rsid w:val="005E7B24"/>
    <w:rsid w:val="005F04C5"/>
    <w:rsid w:val="005F1651"/>
    <w:rsid w:val="005F60CC"/>
    <w:rsid w:val="005F62E1"/>
    <w:rsid w:val="00600580"/>
    <w:rsid w:val="00600FB6"/>
    <w:rsid w:val="0060104C"/>
    <w:rsid w:val="006027CF"/>
    <w:rsid w:val="006028E0"/>
    <w:rsid w:val="006042F2"/>
    <w:rsid w:val="00604E5B"/>
    <w:rsid w:val="0060604D"/>
    <w:rsid w:val="006071D1"/>
    <w:rsid w:val="0061027B"/>
    <w:rsid w:val="00613AC1"/>
    <w:rsid w:val="006157B1"/>
    <w:rsid w:val="0061637D"/>
    <w:rsid w:val="00624A67"/>
    <w:rsid w:val="00626ED8"/>
    <w:rsid w:val="00630C85"/>
    <w:rsid w:val="00631102"/>
    <w:rsid w:val="0063123D"/>
    <w:rsid w:val="00632B90"/>
    <w:rsid w:val="00633FF2"/>
    <w:rsid w:val="0063405F"/>
    <w:rsid w:val="00635107"/>
    <w:rsid w:val="00635BD0"/>
    <w:rsid w:val="006360BA"/>
    <w:rsid w:val="00636609"/>
    <w:rsid w:val="006367FF"/>
    <w:rsid w:val="00637E85"/>
    <w:rsid w:val="00644192"/>
    <w:rsid w:val="0064739A"/>
    <w:rsid w:val="00651040"/>
    <w:rsid w:val="0065138B"/>
    <w:rsid w:val="006513CD"/>
    <w:rsid w:val="006537CE"/>
    <w:rsid w:val="00653BBF"/>
    <w:rsid w:val="00655831"/>
    <w:rsid w:val="006617AE"/>
    <w:rsid w:val="00673127"/>
    <w:rsid w:val="00673128"/>
    <w:rsid w:val="00673FA7"/>
    <w:rsid w:val="006754DC"/>
    <w:rsid w:val="00675EB9"/>
    <w:rsid w:val="00676729"/>
    <w:rsid w:val="00676B15"/>
    <w:rsid w:val="00677432"/>
    <w:rsid w:val="00680655"/>
    <w:rsid w:val="00680FEA"/>
    <w:rsid w:val="00683046"/>
    <w:rsid w:val="00683789"/>
    <w:rsid w:val="00685235"/>
    <w:rsid w:val="00687FB1"/>
    <w:rsid w:val="00690452"/>
    <w:rsid w:val="0069091F"/>
    <w:rsid w:val="006917AE"/>
    <w:rsid w:val="006925BF"/>
    <w:rsid w:val="006935E3"/>
    <w:rsid w:val="006937DD"/>
    <w:rsid w:val="006938E4"/>
    <w:rsid w:val="0069412D"/>
    <w:rsid w:val="00694596"/>
    <w:rsid w:val="00694A3D"/>
    <w:rsid w:val="00695582"/>
    <w:rsid w:val="006957EC"/>
    <w:rsid w:val="00695E7C"/>
    <w:rsid w:val="00696225"/>
    <w:rsid w:val="00696F4E"/>
    <w:rsid w:val="006A0F45"/>
    <w:rsid w:val="006A4917"/>
    <w:rsid w:val="006A5895"/>
    <w:rsid w:val="006A779E"/>
    <w:rsid w:val="006B0CD7"/>
    <w:rsid w:val="006B0E1D"/>
    <w:rsid w:val="006B18BA"/>
    <w:rsid w:val="006B5FD0"/>
    <w:rsid w:val="006B6AB9"/>
    <w:rsid w:val="006B6C64"/>
    <w:rsid w:val="006C10C3"/>
    <w:rsid w:val="006C1CA7"/>
    <w:rsid w:val="006C3304"/>
    <w:rsid w:val="006C3F39"/>
    <w:rsid w:val="006C4582"/>
    <w:rsid w:val="006C5990"/>
    <w:rsid w:val="006C6082"/>
    <w:rsid w:val="006D0FF1"/>
    <w:rsid w:val="006D6B79"/>
    <w:rsid w:val="006E0D29"/>
    <w:rsid w:val="006E3330"/>
    <w:rsid w:val="006E49AB"/>
    <w:rsid w:val="006F0DA0"/>
    <w:rsid w:val="006F1167"/>
    <w:rsid w:val="006F2B5B"/>
    <w:rsid w:val="006F2D4C"/>
    <w:rsid w:val="006F3B76"/>
    <w:rsid w:val="006F41C3"/>
    <w:rsid w:val="006F4231"/>
    <w:rsid w:val="006F4519"/>
    <w:rsid w:val="006F6AFF"/>
    <w:rsid w:val="00700107"/>
    <w:rsid w:val="00700479"/>
    <w:rsid w:val="0070165B"/>
    <w:rsid w:val="00701F85"/>
    <w:rsid w:val="007035EF"/>
    <w:rsid w:val="007045D7"/>
    <w:rsid w:val="007103F7"/>
    <w:rsid w:val="00712B61"/>
    <w:rsid w:val="00712F85"/>
    <w:rsid w:val="00713F8E"/>
    <w:rsid w:val="0072146A"/>
    <w:rsid w:val="00723E78"/>
    <w:rsid w:val="00723E7C"/>
    <w:rsid w:val="00726C92"/>
    <w:rsid w:val="007276EB"/>
    <w:rsid w:val="007306A6"/>
    <w:rsid w:val="007320C2"/>
    <w:rsid w:val="007335AE"/>
    <w:rsid w:val="0074019B"/>
    <w:rsid w:val="00740987"/>
    <w:rsid w:val="00740993"/>
    <w:rsid w:val="00740FC3"/>
    <w:rsid w:val="00741E4B"/>
    <w:rsid w:val="00745E0F"/>
    <w:rsid w:val="0075013E"/>
    <w:rsid w:val="007568B7"/>
    <w:rsid w:val="007575D9"/>
    <w:rsid w:val="00767257"/>
    <w:rsid w:val="00776555"/>
    <w:rsid w:val="007770A4"/>
    <w:rsid w:val="007818ED"/>
    <w:rsid w:val="00782507"/>
    <w:rsid w:val="007866D2"/>
    <w:rsid w:val="0078787F"/>
    <w:rsid w:val="00787D48"/>
    <w:rsid w:val="00791E36"/>
    <w:rsid w:val="007925B3"/>
    <w:rsid w:val="00792BEC"/>
    <w:rsid w:val="007941C2"/>
    <w:rsid w:val="007960DF"/>
    <w:rsid w:val="007A2DB7"/>
    <w:rsid w:val="007A3BA8"/>
    <w:rsid w:val="007A3E3C"/>
    <w:rsid w:val="007A67F7"/>
    <w:rsid w:val="007A78E0"/>
    <w:rsid w:val="007A796F"/>
    <w:rsid w:val="007B09B7"/>
    <w:rsid w:val="007B4024"/>
    <w:rsid w:val="007B534B"/>
    <w:rsid w:val="007B72EA"/>
    <w:rsid w:val="007B7E28"/>
    <w:rsid w:val="007C0240"/>
    <w:rsid w:val="007C7B39"/>
    <w:rsid w:val="007D131D"/>
    <w:rsid w:val="007D7470"/>
    <w:rsid w:val="007E0919"/>
    <w:rsid w:val="007E12AA"/>
    <w:rsid w:val="007E3DA2"/>
    <w:rsid w:val="007E511D"/>
    <w:rsid w:val="007F020F"/>
    <w:rsid w:val="007F1421"/>
    <w:rsid w:val="007F1BBE"/>
    <w:rsid w:val="007F2ABE"/>
    <w:rsid w:val="007F3387"/>
    <w:rsid w:val="007F382F"/>
    <w:rsid w:val="007F493D"/>
    <w:rsid w:val="007F4C03"/>
    <w:rsid w:val="007F58F1"/>
    <w:rsid w:val="007F5FF7"/>
    <w:rsid w:val="007F6AF1"/>
    <w:rsid w:val="007F7E76"/>
    <w:rsid w:val="007F7EB1"/>
    <w:rsid w:val="0080237C"/>
    <w:rsid w:val="00804BE9"/>
    <w:rsid w:val="00805204"/>
    <w:rsid w:val="008108A4"/>
    <w:rsid w:val="00811118"/>
    <w:rsid w:val="008111EE"/>
    <w:rsid w:val="00814D5E"/>
    <w:rsid w:val="00815061"/>
    <w:rsid w:val="0081531F"/>
    <w:rsid w:val="0081675F"/>
    <w:rsid w:val="008255C5"/>
    <w:rsid w:val="00830146"/>
    <w:rsid w:val="00830524"/>
    <w:rsid w:val="00831779"/>
    <w:rsid w:val="00832EF9"/>
    <w:rsid w:val="0083371D"/>
    <w:rsid w:val="0083712D"/>
    <w:rsid w:val="00837D4B"/>
    <w:rsid w:val="00840D0F"/>
    <w:rsid w:val="00842842"/>
    <w:rsid w:val="00844846"/>
    <w:rsid w:val="00844E5E"/>
    <w:rsid w:val="00845125"/>
    <w:rsid w:val="00846355"/>
    <w:rsid w:val="008465A2"/>
    <w:rsid w:val="00847516"/>
    <w:rsid w:val="0084773F"/>
    <w:rsid w:val="00852E6A"/>
    <w:rsid w:val="008620F0"/>
    <w:rsid w:val="008637D7"/>
    <w:rsid w:val="00865751"/>
    <w:rsid w:val="00865ED6"/>
    <w:rsid w:val="00866AA0"/>
    <w:rsid w:val="00867E01"/>
    <w:rsid w:val="00870AC3"/>
    <w:rsid w:val="00871F8C"/>
    <w:rsid w:val="00875F29"/>
    <w:rsid w:val="00880892"/>
    <w:rsid w:val="00881E83"/>
    <w:rsid w:val="00883315"/>
    <w:rsid w:val="008835BE"/>
    <w:rsid w:val="00884629"/>
    <w:rsid w:val="00884E26"/>
    <w:rsid w:val="008856A0"/>
    <w:rsid w:val="00885714"/>
    <w:rsid w:val="00885E2D"/>
    <w:rsid w:val="00886C0F"/>
    <w:rsid w:val="00887852"/>
    <w:rsid w:val="0089144C"/>
    <w:rsid w:val="00892033"/>
    <w:rsid w:val="00892464"/>
    <w:rsid w:val="00892F37"/>
    <w:rsid w:val="00893961"/>
    <w:rsid w:val="008948D6"/>
    <w:rsid w:val="00896407"/>
    <w:rsid w:val="008A128C"/>
    <w:rsid w:val="008A233F"/>
    <w:rsid w:val="008A4621"/>
    <w:rsid w:val="008A5C1F"/>
    <w:rsid w:val="008A64CC"/>
    <w:rsid w:val="008A7F9F"/>
    <w:rsid w:val="008B1792"/>
    <w:rsid w:val="008B3101"/>
    <w:rsid w:val="008B4EB1"/>
    <w:rsid w:val="008B541A"/>
    <w:rsid w:val="008C05F2"/>
    <w:rsid w:val="008C24EC"/>
    <w:rsid w:val="008C4406"/>
    <w:rsid w:val="008C582D"/>
    <w:rsid w:val="008C705D"/>
    <w:rsid w:val="008D0F77"/>
    <w:rsid w:val="008D1828"/>
    <w:rsid w:val="008D2377"/>
    <w:rsid w:val="008D29D4"/>
    <w:rsid w:val="008D2AAC"/>
    <w:rsid w:val="008D3C8B"/>
    <w:rsid w:val="008D3E41"/>
    <w:rsid w:val="008D4CEC"/>
    <w:rsid w:val="008E0094"/>
    <w:rsid w:val="008E0E20"/>
    <w:rsid w:val="008E3B7C"/>
    <w:rsid w:val="008E43A2"/>
    <w:rsid w:val="008E5084"/>
    <w:rsid w:val="008E53A7"/>
    <w:rsid w:val="008E58E9"/>
    <w:rsid w:val="008E5B90"/>
    <w:rsid w:val="008E639F"/>
    <w:rsid w:val="008E6457"/>
    <w:rsid w:val="008E6AC1"/>
    <w:rsid w:val="008F0C27"/>
    <w:rsid w:val="008F4177"/>
    <w:rsid w:val="008F53CE"/>
    <w:rsid w:val="008F6F1A"/>
    <w:rsid w:val="00901E2A"/>
    <w:rsid w:val="00902B97"/>
    <w:rsid w:val="00903E1E"/>
    <w:rsid w:val="00904AA9"/>
    <w:rsid w:val="0091175E"/>
    <w:rsid w:val="00912B3A"/>
    <w:rsid w:val="00912BC5"/>
    <w:rsid w:val="009137E9"/>
    <w:rsid w:val="00913E35"/>
    <w:rsid w:val="009172A0"/>
    <w:rsid w:val="009210EE"/>
    <w:rsid w:val="00921AF8"/>
    <w:rsid w:val="0092313F"/>
    <w:rsid w:val="009239D7"/>
    <w:rsid w:val="00924958"/>
    <w:rsid w:val="00924E5E"/>
    <w:rsid w:val="00926E79"/>
    <w:rsid w:val="009306EE"/>
    <w:rsid w:val="00930D8D"/>
    <w:rsid w:val="00933F18"/>
    <w:rsid w:val="0093753D"/>
    <w:rsid w:val="00942D2E"/>
    <w:rsid w:val="00944C24"/>
    <w:rsid w:val="00945BA2"/>
    <w:rsid w:val="00950F75"/>
    <w:rsid w:val="0095118E"/>
    <w:rsid w:val="009516E7"/>
    <w:rsid w:val="00954081"/>
    <w:rsid w:val="00954AA5"/>
    <w:rsid w:val="00954CEF"/>
    <w:rsid w:val="0095506E"/>
    <w:rsid w:val="0095721E"/>
    <w:rsid w:val="00957A17"/>
    <w:rsid w:val="009601E3"/>
    <w:rsid w:val="0096463D"/>
    <w:rsid w:val="0096535F"/>
    <w:rsid w:val="00965927"/>
    <w:rsid w:val="00965B94"/>
    <w:rsid w:val="00965EF5"/>
    <w:rsid w:val="00967356"/>
    <w:rsid w:val="00967976"/>
    <w:rsid w:val="00972F14"/>
    <w:rsid w:val="009734A3"/>
    <w:rsid w:val="0097528B"/>
    <w:rsid w:val="00977CB3"/>
    <w:rsid w:val="00980C88"/>
    <w:rsid w:val="00980EF5"/>
    <w:rsid w:val="00981A3A"/>
    <w:rsid w:val="00984455"/>
    <w:rsid w:val="00985DD5"/>
    <w:rsid w:val="009860F0"/>
    <w:rsid w:val="0098669D"/>
    <w:rsid w:val="009868C2"/>
    <w:rsid w:val="00986D14"/>
    <w:rsid w:val="00990D49"/>
    <w:rsid w:val="00992A74"/>
    <w:rsid w:val="00994498"/>
    <w:rsid w:val="009A1928"/>
    <w:rsid w:val="009A2A78"/>
    <w:rsid w:val="009A53EA"/>
    <w:rsid w:val="009A5865"/>
    <w:rsid w:val="009A6BA5"/>
    <w:rsid w:val="009B16DB"/>
    <w:rsid w:val="009B2FAF"/>
    <w:rsid w:val="009B3082"/>
    <w:rsid w:val="009B35C8"/>
    <w:rsid w:val="009B6636"/>
    <w:rsid w:val="009C0E18"/>
    <w:rsid w:val="009C1D17"/>
    <w:rsid w:val="009C2BF8"/>
    <w:rsid w:val="009C4611"/>
    <w:rsid w:val="009D1798"/>
    <w:rsid w:val="009D4197"/>
    <w:rsid w:val="009D4FE2"/>
    <w:rsid w:val="009D7E59"/>
    <w:rsid w:val="009E16B8"/>
    <w:rsid w:val="009E26A9"/>
    <w:rsid w:val="009E2E9A"/>
    <w:rsid w:val="009E3CB9"/>
    <w:rsid w:val="009E51ED"/>
    <w:rsid w:val="009E55C5"/>
    <w:rsid w:val="009E7A64"/>
    <w:rsid w:val="009F0D03"/>
    <w:rsid w:val="009F23CF"/>
    <w:rsid w:val="009F2B3B"/>
    <w:rsid w:val="009F2EC2"/>
    <w:rsid w:val="009F6AEB"/>
    <w:rsid w:val="009F6E6C"/>
    <w:rsid w:val="00A00A7E"/>
    <w:rsid w:val="00A019AB"/>
    <w:rsid w:val="00A01D26"/>
    <w:rsid w:val="00A04BB0"/>
    <w:rsid w:val="00A05E02"/>
    <w:rsid w:val="00A06388"/>
    <w:rsid w:val="00A06419"/>
    <w:rsid w:val="00A07C66"/>
    <w:rsid w:val="00A11D06"/>
    <w:rsid w:val="00A11E3B"/>
    <w:rsid w:val="00A1244B"/>
    <w:rsid w:val="00A12D78"/>
    <w:rsid w:val="00A12E12"/>
    <w:rsid w:val="00A22BA0"/>
    <w:rsid w:val="00A23096"/>
    <w:rsid w:val="00A2373F"/>
    <w:rsid w:val="00A25ECF"/>
    <w:rsid w:val="00A32774"/>
    <w:rsid w:val="00A33E8F"/>
    <w:rsid w:val="00A3518E"/>
    <w:rsid w:val="00A351A7"/>
    <w:rsid w:val="00A35AEB"/>
    <w:rsid w:val="00A365D6"/>
    <w:rsid w:val="00A40601"/>
    <w:rsid w:val="00A40D27"/>
    <w:rsid w:val="00A4255D"/>
    <w:rsid w:val="00A4275C"/>
    <w:rsid w:val="00A458D2"/>
    <w:rsid w:val="00A46462"/>
    <w:rsid w:val="00A47730"/>
    <w:rsid w:val="00A54371"/>
    <w:rsid w:val="00A5570E"/>
    <w:rsid w:val="00A57E4D"/>
    <w:rsid w:val="00A57EBF"/>
    <w:rsid w:val="00A60F39"/>
    <w:rsid w:val="00A611D8"/>
    <w:rsid w:val="00A61242"/>
    <w:rsid w:val="00A6254E"/>
    <w:rsid w:val="00A63D64"/>
    <w:rsid w:val="00A64D67"/>
    <w:rsid w:val="00A65C7A"/>
    <w:rsid w:val="00A65FB0"/>
    <w:rsid w:val="00A6789E"/>
    <w:rsid w:val="00A70E97"/>
    <w:rsid w:val="00A71A6D"/>
    <w:rsid w:val="00A7315D"/>
    <w:rsid w:val="00A73344"/>
    <w:rsid w:val="00A810D9"/>
    <w:rsid w:val="00A815A0"/>
    <w:rsid w:val="00A82A46"/>
    <w:rsid w:val="00A8510B"/>
    <w:rsid w:val="00A856B1"/>
    <w:rsid w:val="00A91A56"/>
    <w:rsid w:val="00A92240"/>
    <w:rsid w:val="00A9254F"/>
    <w:rsid w:val="00A93DE5"/>
    <w:rsid w:val="00A951DB"/>
    <w:rsid w:val="00A9687F"/>
    <w:rsid w:val="00A9737F"/>
    <w:rsid w:val="00A97CC3"/>
    <w:rsid w:val="00A97F12"/>
    <w:rsid w:val="00AA0A5F"/>
    <w:rsid w:val="00AA1457"/>
    <w:rsid w:val="00AA1DE4"/>
    <w:rsid w:val="00AA2931"/>
    <w:rsid w:val="00AA339A"/>
    <w:rsid w:val="00AA468F"/>
    <w:rsid w:val="00AA47CD"/>
    <w:rsid w:val="00AA6CDE"/>
    <w:rsid w:val="00AB032C"/>
    <w:rsid w:val="00AB1DE0"/>
    <w:rsid w:val="00AB2F6F"/>
    <w:rsid w:val="00AB37D6"/>
    <w:rsid w:val="00AB45B6"/>
    <w:rsid w:val="00AB603F"/>
    <w:rsid w:val="00AD267E"/>
    <w:rsid w:val="00AD3395"/>
    <w:rsid w:val="00AD3A72"/>
    <w:rsid w:val="00AD3CE1"/>
    <w:rsid w:val="00AD4CC6"/>
    <w:rsid w:val="00AD5F95"/>
    <w:rsid w:val="00AD7ADA"/>
    <w:rsid w:val="00AE03ED"/>
    <w:rsid w:val="00AE16D2"/>
    <w:rsid w:val="00AE1C0F"/>
    <w:rsid w:val="00AE41AC"/>
    <w:rsid w:val="00AE44C4"/>
    <w:rsid w:val="00AE74AE"/>
    <w:rsid w:val="00AE7AB2"/>
    <w:rsid w:val="00AE7F87"/>
    <w:rsid w:val="00AF0CDC"/>
    <w:rsid w:val="00AF3CEF"/>
    <w:rsid w:val="00AF466E"/>
    <w:rsid w:val="00AF5B07"/>
    <w:rsid w:val="00AF6F34"/>
    <w:rsid w:val="00AF6FDE"/>
    <w:rsid w:val="00B01A35"/>
    <w:rsid w:val="00B02859"/>
    <w:rsid w:val="00B03FEB"/>
    <w:rsid w:val="00B0595B"/>
    <w:rsid w:val="00B05DD0"/>
    <w:rsid w:val="00B07BA5"/>
    <w:rsid w:val="00B1048A"/>
    <w:rsid w:val="00B10999"/>
    <w:rsid w:val="00B10D19"/>
    <w:rsid w:val="00B118CF"/>
    <w:rsid w:val="00B15F66"/>
    <w:rsid w:val="00B16FE5"/>
    <w:rsid w:val="00B17519"/>
    <w:rsid w:val="00B231CD"/>
    <w:rsid w:val="00B2349C"/>
    <w:rsid w:val="00B26F7D"/>
    <w:rsid w:val="00B26FF2"/>
    <w:rsid w:val="00B31F09"/>
    <w:rsid w:val="00B33B2C"/>
    <w:rsid w:val="00B34447"/>
    <w:rsid w:val="00B34B8B"/>
    <w:rsid w:val="00B357D9"/>
    <w:rsid w:val="00B37010"/>
    <w:rsid w:val="00B372EF"/>
    <w:rsid w:val="00B402AE"/>
    <w:rsid w:val="00B40DE9"/>
    <w:rsid w:val="00B417AF"/>
    <w:rsid w:val="00B430F7"/>
    <w:rsid w:val="00B439D5"/>
    <w:rsid w:val="00B44140"/>
    <w:rsid w:val="00B44E13"/>
    <w:rsid w:val="00B45418"/>
    <w:rsid w:val="00B45D96"/>
    <w:rsid w:val="00B46045"/>
    <w:rsid w:val="00B50333"/>
    <w:rsid w:val="00B504AB"/>
    <w:rsid w:val="00B5072A"/>
    <w:rsid w:val="00B50D50"/>
    <w:rsid w:val="00B52451"/>
    <w:rsid w:val="00B526CE"/>
    <w:rsid w:val="00B52820"/>
    <w:rsid w:val="00B532E9"/>
    <w:rsid w:val="00B5355E"/>
    <w:rsid w:val="00B539E5"/>
    <w:rsid w:val="00B53C36"/>
    <w:rsid w:val="00B54469"/>
    <w:rsid w:val="00B54951"/>
    <w:rsid w:val="00B56FA3"/>
    <w:rsid w:val="00B60057"/>
    <w:rsid w:val="00B62050"/>
    <w:rsid w:val="00B62293"/>
    <w:rsid w:val="00B6286E"/>
    <w:rsid w:val="00B63658"/>
    <w:rsid w:val="00B63DE4"/>
    <w:rsid w:val="00B65A2D"/>
    <w:rsid w:val="00B66356"/>
    <w:rsid w:val="00B66393"/>
    <w:rsid w:val="00B66FF0"/>
    <w:rsid w:val="00B704CB"/>
    <w:rsid w:val="00B70999"/>
    <w:rsid w:val="00B7106B"/>
    <w:rsid w:val="00B7175C"/>
    <w:rsid w:val="00B727A1"/>
    <w:rsid w:val="00B74306"/>
    <w:rsid w:val="00B74487"/>
    <w:rsid w:val="00B74E1F"/>
    <w:rsid w:val="00B75610"/>
    <w:rsid w:val="00B7591C"/>
    <w:rsid w:val="00B76173"/>
    <w:rsid w:val="00B76E76"/>
    <w:rsid w:val="00B8164C"/>
    <w:rsid w:val="00B835D0"/>
    <w:rsid w:val="00B8387B"/>
    <w:rsid w:val="00B83886"/>
    <w:rsid w:val="00B87459"/>
    <w:rsid w:val="00B90214"/>
    <w:rsid w:val="00B90AD7"/>
    <w:rsid w:val="00B90C91"/>
    <w:rsid w:val="00B90FEE"/>
    <w:rsid w:val="00B92A52"/>
    <w:rsid w:val="00B93CBD"/>
    <w:rsid w:val="00B9418D"/>
    <w:rsid w:val="00B94BA1"/>
    <w:rsid w:val="00B958F3"/>
    <w:rsid w:val="00B9632B"/>
    <w:rsid w:val="00BA0138"/>
    <w:rsid w:val="00BA0A30"/>
    <w:rsid w:val="00BA0CA5"/>
    <w:rsid w:val="00BA2722"/>
    <w:rsid w:val="00BA29AC"/>
    <w:rsid w:val="00BA4544"/>
    <w:rsid w:val="00BA5A4A"/>
    <w:rsid w:val="00BB2577"/>
    <w:rsid w:val="00BB2A66"/>
    <w:rsid w:val="00BB45A9"/>
    <w:rsid w:val="00BB495A"/>
    <w:rsid w:val="00BB6E9D"/>
    <w:rsid w:val="00BC03DA"/>
    <w:rsid w:val="00BC0908"/>
    <w:rsid w:val="00BC344B"/>
    <w:rsid w:val="00BC3D12"/>
    <w:rsid w:val="00BC4709"/>
    <w:rsid w:val="00BC5D61"/>
    <w:rsid w:val="00BC745D"/>
    <w:rsid w:val="00BD0517"/>
    <w:rsid w:val="00BD19E7"/>
    <w:rsid w:val="00BD212B"/>
    <w:rsid w:val="00BD267A"/>
    <w:rsid w:val="00BD4226"/>
    <w:rsid w:val="00BD755E"/>
    <w:rsid w:val="00BE2F75"/>
    <w:rsid w:val="00BE4AC0"/>
    <w:rsid w:val="00BE4DFA"/>
    <w:rsid w:val="00BE62F6"/>
    <w:rsid w:val="00BF206D"/>
    <w:rsid w:val="00BF4DE8"/>
    <w:rsid w:val="00BF5BC0"/>
    <w:rsid w:val="00BF5D1B"/>
    <w:rsid w:val="00BF6711"/>
    <w:rsid w:val="00C000CD"/>
    <w:rsid w:val="00C0042A"/>
    <w:rsid w:val="00C00F7C"/>
    <w:rsid w:val="00C02461"/>
    <w:rsid w:val="00C02882"/>
    <w:rsid w:val="00C0297D"/>
    <w:rsid w:val="00C03075"/>
    <w:rsid w:val="00C037E0"/>
    <w:rsid w:val="00C03A80"/>
    <w:rsid w:val="00C03B61"/>
    <w:rsid w:val="00C07524"/>
    <w:rsid w:val="00C0756F"/>
    <w:rsid w:val="00C07FB7"/>
    <w:rsid w:val="00C10469"/>
    <w:rsid w:val="00C105B9"/>
    <w:rsid w:val="00C10855"/>
    <w:rsid w:val="00C116AC"/>
    <w:rsid w:val="00C117F7"/>
    <w:rsid w:val="00C1198D"/>
    <w:rsid w:val="00C2351E"/>
    <w:rsid w:val="00C24F97"/>
    <w:rsid w:val="00C25237"/>
    <w:rsid w:val="00C25297"/>
    <w:rsid w:val="00C258AC"/>
    <w:rsid w:val="00C26178"/>
    <w:rsid w:val="00C309E9"/>
    <w:rsid w:val="00C3271E"/>
    <w:rsid w:val="00C33E87"/>
    <w:rsid w:val="00C34A1B"/>
    <w:rsid w:val="00C36FAD"/>
    <w:rsid w:val="00C40F44"/>
    <w:rsid w:val="00C41B26"/>
    <w:rsid w:val="00C426D7"/>
    <w:rsid w:val="00C43087"/>
    <w:rsid w:val="00C43F4F"/>
    <w:rsid w:val="00C443D0"/>
    <w:rsid w:val="00C44AF2"/>
    <w:rsid w:val="00C46496"/>
    <w:rsid w:val="00C5087A"/>
    <w:rsid w:val="00C51B5C"/>
    <w:rsid w:val="00C53CC2"/>
    <w:rsid w:val="00C5711A"/>
    <w:rsid w:val="00C60630"/>
    <w:rsid w:val="00C61F95"/>
    <w:rsid w:val="00C6288A"/>
    <w:rsid w:val="00C65230"/>
    <w:rsid w:val="00C65658"/>
    <w:rsid w:val="00C65BA2"/>
    <w:rsid w:val="00C6645A"/>
    <w:rsid w:val="00C66831"/>
    <w:rsid w:val="00C67101"/>
    <w:rsid w:val="00C72E9E"/>
    <w:rsid w:val="00C741D8"/>
    <w:rsid w:val="00C7565D"/>
    <w:rsid w:val="00C76043"/>
    <w:rsid w:val="00C76D1E"/>
    <w:rsid w:val="00C80486"/>
    <w:rsid w:val="00C812B8"/>
    <w:rsid w:val="00C8247F"/>
    <w:rsid w:val="00C831A9"/>
    <w:rsid w:val="00C83AD6"/>
    <w:rsid w:val="00C855D8"/>
    <w:rsid w:val="00C87A35"/>
    <w:rsid w:val="00C87D70"/>
    <w:rsid w:val="00C903A1"/>
    <w:rsid w:val="00C9111E"/>
    <w:rsid w:val="00C91BFE"/>
    <w:rsid w:val="00C91DF6"/>
    <w:rsid w:val="00C94ADC"/>
    <w:rsid w:val="00C97C95"/>
    <w:rsid w:val="00CA02AA"/>
    <w:rsid w:val="00CA03E8"/>
    <w:rsid w:val="00CA1E96"/>
    <w:rsid w:val="00CA2D60"/>
    <w:rsid w:val="00CA36E1"/>
    <w:rsid w:val="00CA37A3"/>
    <w:rsid w:val="00CA3CC8"/>
    <w:rsid w:val="00CA68D7"/>
    <w:rsid w:val="00CA6B50"/>
    <w:rsid w:val="00CB0AA6"/>
    <w:rsid w:val="00CB0B75"/>
    <w:rsid w:val="00CB0E9A"/>
    <w:rsid w:val="00CB4277"/>
    <w:rsid w:val="00CC011F"/>
    <w:rsid w:val="00CC1BA9"/>
    <w:rsid w:val="00CC26E4"/>
    <w:rsid w:val="00CC67BF"/>
    <w:rsid w:val="00CC7CEE"/>
    <w:rsid w:val="00CD0E14"/>
    <w:rsid w:val="00CD2F9D"/>
    <w:rsid w:val="00CD3B29"/>
    <w:rsid w:val="00CD522E"/>
    <w:rsid w:val="00CE0402"/>
    <w:rsid w:val="00CE1843"/>
    <w:rsid w:val="00CE2BDE"/>
    <w:rsid w:val="00CE3CE4"/>
    <w:rsid w:val="00CE79A5"/>
    <w:rsid w:val="00CF07AE"/>
    <w:rsid w:val="00CF2849"/>
    <w:rsid w:val="00CF35D0"/>
    <w:rsid w:val="00CF3C98"/>
    <w:rsid w:val="00CF3F52"/>
    <w:rsid w:val="00CF6131"/>
    <w:rsid w:val="00D0079C"/>
    <w:rsid w:val="00D04C62"/>
    <w:rsid w:val="00D06ED6"/>
    <w:rsid w:val="00D10508"/>
    <w:rsid w:val="00D1363F"/>
    <w:rsid w:val="00D17F21"/>
    <w:rsid w:val="00D20E58"/>
    <w:rsid w:val="00D212A7"/>
    <w:rsid w:val="00D21DB2"/>
    <w:rsid w:val="00D24E34"/>
    <w:rsid w:val="00D263C2"/>
    <w:rsid w:val="00D269F3"/>
    <w:rsid w:val="00D27A11"/>
    <w:rsid w:val="00D301F7"/>
    <w:rsid w:val="00D30C5A"/>
    <w:rsid w:val="00D30E51"/>
    <w:rsid w:val="00D31C5B"/>
    <w:rsid w:val="00D34D41"/>
    <w:rsid w:val="00D40E21"/>
    <w:rsid w:val="00D4169F"/>
    <w:rsid w:val="00D42959"/>
    <w:rsid w:val="00D43AFB"/>
    <w:rsid w:val="00D450FD"/>
    <w:rsid w:val="00D470BD"/>
    <w:rsid w:val="00D47435"/>
    <w:rsid w:val="00D50A6E"/>
    <w:rsid w:val="00D50D48"/>
    <w:rsid w:val="00D530CE"/>
    <w:rsid w:val="00D53343"/>
    <w:rsid w:val="00D5713D"/>
    <w:rsid w:val="00D60389"/>
    <w:rsid w:val="00D60BEA"/>
    <w:rsid w:val="00D60D4C"/>
    <w:rsid w:val="00D61CA2"/>
    <w:rsid w:val="00D644B2"/>
    <w:rsid w:val="00D64F03"/>
    <w:rsid w:val="00D72FC4"/>
    <w:rsid w:val="00D74904"/>
    <w:rsid w:val="00D7737E"/>
    <w:rsid w:val="00D7737F"/>
    <w:rsid w:val="00D802FA"/>
    <w:rsid w:val="00D807CA"/>
    <w:rsid w:val="00D830B4"/>
    <w:rsid w:val="00D8470D"/>
    <w:rsid w:val="00D8641B"/>
    <w:rsid w:val="00D9484D"/>
    <w:rsid w:val="00D9764D"/>
    <w:rsid w:val="00DA7909"/>
    <w:rsid w:val="00DB1A8E"/>
    <w:rsid w:val="00DB38E5"/>
    <w:rsid w:val="00DB6297"/>
    <w:rsid w:val="00DB75DC"/>
    <w:rsid w:val="00DB7D38"/>
    <w:rsid w:val="00DC0EF9"/>
    <w:rsid w:val="00DC0F53"/>
    <w:rsid w:val="00DC56CB"/>
    <w:rsid w:val="00DC5CE1"/>
    <w:rsid w:val="00DC6F59"/>
    <w:rsid w:val="00DD0578"/>
    <w:rsid w:val="00DD1413"/>
    <w:rsid w:val="00DD16CF"/>
    <w:rsid w:val="00DD658C"/>
    <w:rsid w:val="00DE0407"/>
    <w:rsid w:val="00DE0A71"/>
    <w:rsid w:val="00DE173B"/>
    <w:rsid w:val="00DE1CEF"/>
    <w:rsid w:val="00DE2413"/>
    <w:rsid w:val="00DE3363"/>
    <w:rsid w:val="00DE5BE0"/>
    <w:rsid w:val="00DE6743"/>
    <w:rsid w:val="00DE69F9"/>
    <w:rsid w:val="00DF3372"/>
    <w:rsid w:val="00DF3825"/>
    <w:rsid w:val="00DF4797"/>
    <w:rsid w:val="00DF6109"/>
    <w:rsid w:val="00DF70DB"/>
    <w:rsid w:val="00DF78F2"/>
    <w:rsid w:val="00E01256"/>
    <w:rsid w:val="00E02437"/>
    <w:rsid w:val="00E03557"/>
    <w:rsid w:val="00E03CD6"/>
    <w:rsid w:val="00E04619"/>
    <w:rsid w:val="00E048C4"/>
    <w:rsid w:val="00E050AA"/>
    <w:rsid w:val="00E05635"/>
    <w:rsid w:val="00E066D6"/>
    <w:rsid w:val="00E06D3F"/>
    <w:rsid w:val="00E0782E"/>
    <w:rsid w:val="00E24076"/>
    <w:rsid w:val="00E25DDD"/>
    <w:rsid w:val="00E2756E"/>
    <w:rsid w:val="00E27DF1"/>
    <w:rsid w:val="00E27E44"/>
    <w:rsid w:val="00E31352"/>
    <w:rsid w:val="00E31B3E"/>
    <w:rsid w:val="00E356D1"/>
    <w:rsid w:val="00E3654E"/>
    <w:rsid w:val="00E368CE"/>
    <w:rsid w:val="00E37563"/>
    <w:rsid w:val="00E37F1A"/>
    <w:rsid w:val="00E42174"/>
    <w:rsid w:val="00E42D5B"/>
    <w:rsid w:val="00E4589A"/>
    <w:rsid w:val="00E4672D"/>
    <w:rsid w:val="00E4696D"/>
    <w:rsid w:val="00E4747D"/>
    <w:rsid w:val="00E515A9"/>
    <w:rsid w:val="00E558C5"/>
    <w:rsid w:val="00E55CB9"/>
    <w:rsid w:val="00E5651E"/>
    <w:rsid w:val="00E57FEE"/>
    <w:rsid w:val="00E600C9"/>
    <w:rsid w:val="00E60343"/>
    <w:rsid w:val="00E60606"/>
    <w:rsid w:val="00E60F94"/>
    <w:rsid w:val="00E65393"/>
    <w:rsid w:val="00E758B6"/>
    <w:rsid w:val="00E7730B"/>
    <w:rsid w:val="00E77443"/>
    <w:rsid w:val="00E77FFE"/>
    <w:rsid w:val="00E80E57"/>
    <w:rsid w:val="00E82AD4"/>
    <w:rsid w:val="00E833C7"/>
    <w:rsid w:val="00E84C06"/>
    <w:rsid w:val="00E9156E"/>
    <w:rsid w:val="00E91DA5"/>
    <w:rsid w:val="00E92902"/>
    <w:rsid w:val="00E93AA1"/>
    <w:rsid w:val="00E9688B"/>
    <w:rsid w:val="00E97431"/>
    <w:rsid w:val="00E97C16"/>
    <w:rsid w:val="00EA06DC"/>
    <w:rsid w:val="00EA0FE4"/>
    <w:rsid w:val="00EA14D8"/>
    <w:rsid w:val="00EA3888"/>
    <w:rsid w:val="00EA40C9"/>
    <w:rsid w:val="00EA41FC"/>
    <w:rsid w:val="00EA6C60"/>
    <w:rsid w:val="00EA6E39"/>
    <w:rsid w:val="00EA709F"/>
    <w:rsid w:val="00EA7D96"/>
    <w:rsid w:val="00EA7E4A"/>
    <w:rsid w:val="00EB170A"/>
    <w:rsid w:val="00EB2275"/>
    <w:rsid w:val="00EB2D5E"/>
    <w:rsid w:val="00EB2E1B"/>
    <w:rsid w:val="00EB366F"/>
    <w:rsid w:val="00EB4EEC"/>
    <w:rsid w:val="00EB657B"/>
    <w:rsid w:val="00EB7676"/>
    <w:rsid w:val="00EC01FC"/>
    <w:rsid w:val="00EC0A25"/>
    <w:rsid w:val="00EC1705"/>
    <w:rsid w:val="00EC3317"/>
    <w:rsid w:val="00EC48FB"/>
    <w:rsid w:val="00EC5E3A"/>
    <w:rsid w:val="00ED2938"/>
    <w:rsid w:val="00ED2FE0"/>
    <w:rsid w:val="00ED3790"/>
    <w:rsid w:val="00ED3CCD"/>
    <w:rsid w:val="00ED4ED0"/>
    <w:rsid w:val="00ED5A6C"/>
    <w:rsid w:val="00ED6D04"/>
    <w:rsid w:val="00EE0BBB"/>
    <w:rsid w:val="00EE1768"/>
    <w:rsid w:val="00EE25D4"/>
    <w:rsid w:val="00EE271F"/>
    <w:rsid w:val="00EE3038"/>
    <w:rsid w:val="00EE5B4C"/>
    <w:rsid w:val="00EE648B"/>
    <w:rsid w:val="00EE6D9E"/>
    <w:rsid w:val="00EF057C"/>
    <w:rsid w:val="00EF1348"/>
    <w:rsid w:val="00EF1624"/>
    <w:rsid w:val="00EF202F"/>
    <w:rsid w:val="00EF45AC"/>
    <w:rsid w:val="00EF4989"/>
    <w:rsid w:val="00EF4C7F"/>
    <w:rsid w:val="00EF4F58"/>
    <w:rsid w:val="00EF789C"/>
    <w:rsid w:val="00F01B58"/>
    <w:rsid w:val="00F04B43"/>
    <w:rsid w:val="00F1133A"/>
    <w:rsid w:val="00F13787"/>
    <w:rsid w:val="00F13FF0"/>
    <w:rsid w:val="00F14E66"/>
    <w:rsid w:val="00F159D8"/>
    <w:rsid w:val="00F17FC7"/>
    <w:rsid w:val="00F21022"/>
    <w:rsid w:val="00F21461"/>
    <w:rsid w:val="00F22CCB"/>
    <w:rsid w:val="00F2400D"/>
    <w:rsid w:val="00F26660"/>
    <w:rsid w:val="00F34F15"/>
    <w:rsid w:val="00F35E53"/>
    <w:rsid w:val="00F35EC5"/>
    <w:rsid w:val="00F36D03"/>
    <w:rsid w:val="00F36F74"/>
    <w:rsid w:val="00F373D6"/>
    <w:rsid w:val="00F42B23"/>
    <w:rsid w:val="00F43960"/>
    <w:rsid w:val="00F4474A"/>
    <w:rsid w:val="00F468C4"/>
    <w:rsid w:val="00F5047A"/>
    <w:rsid w:val="00F51222"/>
    <w:rsid w:val="00F51FC2"/>
    <w:rsid w:val="00F539ED"/>
    <w:rsid w:val="00F54D1D"/>
    <w:rsid w:val="00F57B80"/>
    <w:rsid w:val="00F60291"/>
    <w:rsid w:val="00F626B7"/>
    <w:rsid w:val="00F643A7"/>
    <w:rsid w:val="00F6493E"/>
    <w:rsid w:val="00F656EF"/>
    <w:rsid w:val="00F66794"/>
    <w:rsid w:val="00F66A97"/>
    <w:rsid w:val="00F67B49"/>
    <w:rsid w:val="00F720A4"/>
    <w:rsid w:val="00F72219"/>
    <w:rsid w:val="00F73467"/>
    <w:rsid w:val="00F739EE"/>
    <w:rsid w:val="00F73E47"/>
    <w:rsid w:val="00F750C4"/>
    <w:rsid w:val="00F763AA"/>
    <w:rsid w:val="00F806B8"/>
    <w:rsid w:val="00F80E85"/>
    <w:rsid w:val="00F84D1E"/>
    <w:rsid w:val="00F8583E"/>
    <w:rsid w:val="00F866D6"/>
    <w:rsid w:val="00F87295"/>
    <w:rsid w:val="00F93E6D"/>
    <w:rsid w:val="00FA2182"/>
    <w:rsid w:val="00FA35F8"/>
    <w:rsid w:val="00FA3E84"/>
    <w:rsid w:val="00FA4A08"/>
    <w:rsid w:val="00FA643D"/>
    <w:rsid w:val="00FA6F6E"/>
    <w:rsid w:val="00FA7D86"/>
    <w:rsid w:val="00FB04E3"/>
    <w:rsid w:val="00FB135A"/>
    <w:rsid w:val="00FB1A28"/>
    <w:rsid w:val="00FB21EE"/>
    <w:rsid w:val="00FB4C71"/>
    <w:rsid w:val="00FB515F"/>
    <w:rsid w:val="00FB5662"/>
    <w:rsid w:val="00FC08E0"/>
    <w:rsid w:val="00FC11F2"/>
    <w:rsid w:val="00FC1A59"/>
    <w:rsid w:val="00FC2C60"/>
    <w:rsid w:val="00FC581F"/>
    <w:rsid w:val="00FC741A"/>
    <w:rsid w:val="00FC7EAC"/>
    <w:rsid w:val="00FC7F81"/>
    <w:rsid w:val="00FD089E"/>
    <w:rsid w:val="00FD2F9A"/>
    <w:rsid w:val="00FD3A43"/>
    <w:rsid w:val="00FD40B7"/>
    <w:rsid w:val="00FD7F75"/>
    <w:rsid w:val="00FE0468"/>
    <w:rsid w:val="00FE2D24"/>
    <w:rsid w:val="00FE3902"/>
    <w:rsid w:val="00FE56A7"/>
    <w:rsid w:val="00FE64DC"/>
    <w:rsid w:val="00FE7340"/>
    <w:rsid w:val="00FE792E"/>
    <w:rsid w:val="00FF3939"/>
    <w:rsid w:val="00FF4416"/>
    <w:rsid w:val="00FF56C9"/>
    <w:rsid w:val="00FF6DFB"/>
    <w:rsid w:val="00FF7990"/>
    <w:rsid w:val="00FF7F9D"/>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9EDA48"/>
  <w15:chartTrackingRefBased/>
  <w15:docId w15:val="{CE6AEF51-F4FF-904B-992D-FADCA720A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4619"/>
  </w:style>
  <w:style w:type="paragraph" w:styleId="Heading1">
    <w:name w:val="heading 1"/>
    <w:basedOn w:val="Normal"/>
    <w:next w:val="Normal"/>
    <w:link w:val="Heading1Char"/>
    <w:uiPriority w:val="9"/>
    <w:qFormat/>
    <w:rsid w:val="00E0461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0461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0461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0461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0461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04619"/>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04619"/>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04619"/>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04619"/>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0461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0461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0461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0461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0461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0461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0461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0461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04619"/>
    <w:rPr>
      <w:rFonts w:eastAsiaTheme="majorEastAsia" w:cstheme="majorBidi"/>
      <w:color w:val="272727" w:themeColor="text1" w:themeTint="D8"/>
    </w:rPr>
  </w:style>
  <w:style w:type="paragraph" w:styleId="Title">
    <w:name w:val="Title"/>
    <w:basedOn w:val="Normal"/>
    <w:next w:val="Normal"/>
    <w:link w:val="TitleChar"/>
    <w:uiPriority w:val="10"/>
    <w:qFormat/>
    <w:rsid w:val="00E0461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0461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04619"/>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0461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04619"/>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E04619"/>
    <w:rPr>
      <w:i/>
      <w:iCs/>
      <w:color w:val="404040" w:themeColor="text1" w:themeTint="BF"/>
    </w:rPr>
  </w:style>
  <w:style w:type="paragraph" w:styleId="ListParagraph">
    <w:name w:val="List Paragraph"/>
    <w:basedOn w:val="Normal"/>
    <w:uiPriority w:val="34"/>
    <w:qFormat/>
    <w:rsid w:val="00E04619"/>
    <w:pPr>
      <w:ind w:left="720"/>
      <w:contextualSpacing/>
    </w:pPr>
  </w:style>
  <w:style w:type="character" w:styleId="IntenseEmphasis">
    <w:name w:val="Intense Emphasis"/>
    <w:basedOn w:val="DefaultParagraphFont"/>
    <w:uiPriority w:val="21"/>
    <w:qFormat/>
    <w:rsid w:val="00E04619"/>
    <w:rPr>
      <w:i/>
      <w:iCs/>
      <w:color w:val="0F4761" w:themeColor="accent1" w:themeShade="BF"/>
    </w:rPr>
  </w:style>
  <w:style w:type="paragraph" w:styleId="IntenseQuote">
    <w:name w:val="Intense Quote"/>
    <w:basedOn w:val="Normal"/>
    <w:next w:val="Normal"/>
    <w:link w:val="IntenseQuoteChar"/>
    <w:uiPriority w:val="30"/>
    <w:qFormat/>
    <w:rsid w:val="00E0461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04619"/>
    <w:rPr>
      <w:i/>
      <w:iCs/>
      <w:color w:val="0F4761" w:themeColor="accent1" w:themeShade="BF"/>
    </w:rPr>
  </w:style>
  <w:style w:type="character" w:styleId="IntenseReference">
    <w:name w:val="Intense Reference"/>
    <w:basedOn w:val="DefaultParagraphFont"/>
    <w:uiPriority w:val="32"/>
    <w:qFormat/>
    <w:rsid w:val="00E04619"/>
    <w:rPr>
      <w:b/>
      <w:bCs/>
      <w:smallCaps/>
      <w:color w:val="0F4761" w:themeColor="accent1" w:themeShade="BF"/>
      <w:spacing w:val="5"/>
    </w:rPr>
  </w:style>
  <w:style w:type="character" w:styleId="Strong">
    <w:name w:val="Strong"/>
    <w:basedOn w:val="DefaultParagraphFont"/>
    <w:uiPriority w:val="22"/>
    <w:qFormat/>
    <w:rsid w:val="00E04619"/>
    <w:rPr>
      <w:b/>
      <w:bCs/>
    </w:rPr>
  </w:style>
  <w:style w:type="character" w:styleId="CommentReference">
    <w:name w:val="annotation reference"/>
    <w:basedOn w:val="DefaultParagraphFont"/>
    <w:uiPriority w:val="99"/>
    <w:semiHidden/>
    <w:unhideWhenUsed/>
    <w:rsid w:val="00E04619"/>
    <w:rPr>
      <w:sz w:val="16"/>
      <w:szCs w:val="16"/>
    </w:rPr>
  </w:style>
  <w:style w:type="paragraph" w:styleId="CommentText">
    <w:name w:val="annotation text"/>
    <w:basedOn w:val="Normal"/>
    <w:link w:val="CommentTextChar"/>
    <w:uiPriority w:val="99"/>
    <w:semiHidden/>
    <w:unhideWhenUsed/>
    <w:rsid w:val="00E04619"/>
    <w:pPr>
      <w:spacing w:after="160"/>
    </w:pPr>
    <w:rPr>
      <w:kern w:val="0"/>
      <w:sz w:val="20"/>
      <w:szCs w:val="20"/>
      <w:lang w:val="de-DE"/>
      <w14:ligatures w14:val="none"/>
    </w:rPr>
  </w:style>
  <w:style w:type="character" w:customStyle="1" w:styleId="CommentTextChar">
    <w:name w:val="Comment Text Char"/>
    <w:basedOn w:val="DefaultParagraphFont"/>
    <w:link w:val="CommentText"/>
    <w:uiPriority w:val="99"/>
    <w:semiHidden/>
    <w:rsid w:val="00E04619"/>
    <w:rPr>
      <w:kern w:val="0"/>
      <w:sz w:val="20"/>
      <w:szCs w:val="20"/>
      <w:lang w:val="de-DE"/>
      <w14:ligatures w14:val="none"/>
    </w:rPr>
  </w:style>
  <w:style w:type="paragraph" w:customStyle="1" w:styleId="EndNoteBibliographyTitle">
    <w:name w:val="EndNote Bibliography Title"/>
    <w:basedOn w:val="Normal"/>
    <w:link w:val="EndNoteBibliographyTitleChar"/>
    <w:rsid w:val="00E04619"/>
    <w:pPr>
      <w:jc w:val="center"/>
    </w:pPr>
    <w:rPr>
      <w:rFonts w:ascii="Aptos" w:hAnsi="Aptos"/>
      <w:lang w:val="en-US"/>
    </w:rPr>
  </w:style>
  <w:style w:type="character" w:customStyle="1" w:styleId="EndNoteBibliographyTitleChar">
    <w:name w:val="EndNote Bibliography Title Char"/>
    <w:basedOn w:val="DefaultParagraphFont"/>
    <w:link w:val="EndNoteBibliographyTitle"/>
    <w:rsid w:val="00E04619"/>
    <w:rPr>
      <w:rFonts w:ascii="Aptos" w:hAnsi="Aptos"/>
      <w:lang w:val="en-US"/>
    </w:rPr>
  </w:style>
  <w:style w:type="paragraph" w:customStyle="1" w:styleId="EndNoteBibliography">
    <w:name w:val="EndNote Bibliography"/>
    <w:basedOn w:val="Normal"/>
    <w:link w:val="EndNoteBibliographyChar"/>
    <w:rsid w:val="00E04619"/>
    <w:rPr>
      <w:rFonts w:ascii="Aptos" w:hAnsi="Aptos"/>
      <w:lang w:val="en-US"/>
    </w:rPr>
  </w:style>
  <w:style w:type="character" w:customStyle="1" w:styleId="EndNoteBibliographyChar">
    <w:name w:val="EndNote Bibliography Char"/>
    <w:basedOn w:val="DefaultParagraphFont"/>
    <w:link w:val="EndNoteBibliography"/>
    <w:rsid w:val="00E04619"/>
    <w:rPr>
      <w:rFonts w:ascii="Aptos" w:hAnsi="Aptos"/>
      <w:lang w:val="en-US"/>
    </w:rPr>
  </w:style>
  <w:style w:type="character" w:styleId="Hyperlink">
    <w:name w:val="Hyperlink"/>
    <w:basedOn w:val="DefaultParagraphFont"/>
    <w:uiPriority w:val="99"/>
    <w:unhideWhenUsed/>
    <w:rsid w:val="00E04619"/>
    <w:rPr>
      <w:color w:val="467886" w:themeColor="hyperlink"/>
      <w:u w:val="single"/>
    </w:rPr>
  </w:style>
  <w:style w:type="character" w:customStyle="1" w:styleId="UnresolvedMention1">
    <w:name w:val="Unresolved Mention1"/>
    <w:basedOn w:val="DefaultParagraphFont"/>
    <w:uiPriority w:val="99"/>
    <w:semiHidden/>
    <w:unhideWhenUsed/>
    <w:rsid w:val="00E04619"/>
    <w:rPr>
      <w:color w:val="605E5C"/>
      <w:shd w:val="clear" w:color="auto" w:fill="E1DFDD"/>
    </w:rPr>
  </w:style>
  <w:style w:type="paragraph" w:styleId="Revision">
    <w:name w:val="Revision"/>
    <w:hidden/>
    <w:uiPriority w:val="99"/>
    <w:semiHidden/>
    <w:rsid w:val="00E04619"/>
  </w:style>
  <w:style w:type="paragraph" w:styleId="CommentSubject">
    <w:name w:val="annotation subject"/>
    <w:basedOn w:val="CommentText"/>
    <w:next w:val="CommentText"/>
    <w:link w:val="CommentSubjectChar"/>
    <w:uiPriority w:val="99"/>
    <w:semiHidden/>
    <w:unhideWhenUsed/>
    <w:rsid w:val="00E04619"/>
    <w:pPr>
      <w:spacing w:after="0"/>
    </w:pPr>
    <w:rPr>
      <w:b/>
      <w:bCs/>
    </w:rPr>
  </w:style>
  <w:style w:type="character" w:customStyle="1" w:styleId="CommentSubjectChar">
    <w:name w:val="Comment Subject Char"/>
    <w:basedOn w:val="CommentTextChar"/>
    <w:link w:val="CommentSubject"/>
    <w:uiPriority w:val="99"/>
    <w:semiHidden/>
    <w:rsid w:val="00E04619"/>
    <w:rPr>
      <w:b/>
      <w:bCs/>
      <w:kern w:val="0"/>
      <w:sz w:val="20"/>
      <w:szCs w:val="20"/>
      <w:lang w:val="de-DE"/>
      <w14:ligatures w14:val="none"/>
    </w:rPr>
  </w:style>
  <w:style w:type="paragraph" w:styleId="BalloonText">
    <w:name w:val="Balloon Text"/>
    <w:basedOn w:val="Normal"/>
    <w:link w:val="BalloonTextChar"/>
    <w:uiPriority w:val="99"/>
    <w:semiHidden/>
    <w:unhideWhenUsed/>
    <w:rsid w:val="00E0461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0461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tiff"/><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tif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tiff"/><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3.tiff"/><Relationship Id="rId4" Type="http://schemas.openxmlformats.org/officeDocument/2006/relationships/numbering" Target="numbering.xml"/><Relationship Id="rId9" Type="http://schemas.openxmlformats.org/officeDocument/2006/relationships/image" Target="media/image2.emf"/><Relationship Id="rId14" Type="http://schemas.openxmlformats.org/officeDocument/2006/relationships/image" Target="media/image7.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MigrationWizIdPermissions xmlns="bfce61ee-6561-4402-8dc7-883c395e2765" xsi:nil="true"/>
    <lcf76f155ced4ddcb4097134ff3c332f xmlns="bfce61ee-6561-4402-8dc7-883c395e2765">
      <Terms xmlns="http://schemas.microsoft.com/office/infopath/2007/PartnerControls"/>
    </lcf76f155ced4ddcb4097134ff3c332f>
    <TaxCatchAll xmlns="0e7e81a7-8bfd-459f-a9a4-b8399dffc895" xsi:nil="true"/>
    <MigrationWizId xmlns="bfce61ee-6561-4402-8dc7-883c395e2765" xsi:nil="true"/>
    <MigrationWizIdDocumentLibraryPermissions xmlns="bfce61ee-6561-4402-8dc7-883c395e2765" xsi:nil="true"/>
    <MigrationWizIdSecurityGroups xmlns="bfce61ee-6561-4402-8dc7-883c395e2765" xsi:nil="true"/>
    <MigrationWizIdPermissionLevels xmlns="bfce61ee-6561-4402-8dc7-883c395e2765" xsi:nil="true"/>
    <MigrationWizIdVersion xmlns="bfce61ee-6561-4402-8dc7-883c395e276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8B312B077A9B442B525ADA9A7ECF789" ma:contentTypeVersion="22" ma:contentTypeDescription="Create a new document." ma:contentTypeScope="" ma:versionID="fb41879d79246336be472d1ceebc6f6e">
  <xsd:schema xmlns:xsd="http://www.w3.org/2001/XMLSchema" xmlns:xs="http://www.w3.org/2001/XMLSchema" xmlns:p="http://schemas.microsoft.com/office/2006/metadata/properties" xmlns:ns2="bfce61ee-6561-4402-8dc7-883c395e2765" xmlns:ns3="0e7e81a7-8bfd-459f-a9a4-b8399dffc895" targetNamespace="http://schemas.microsoft.com/office/2006/metadata/properties" ma:root="true" ma:fieldsID="1634730b089be86d7a96cca566d28d2f" ns2:_="" ns3:_="">
    <xsd:import namespace="bfce61ee-6561-4402-8dc7-883c395e2765"/>
    <xsd:import namespace="0e7e81a7-8bfd-459f-a9a4-b8399dffc895"/>
    <xsd:element name="properties">
      <xsd:complexType>
        <xsd:sequence>
          <xsd:element name="documentManagement">
            <xsd:complexType>
              <xsd:all>
                <xsd:element ref="ns2:MigrationWizId" minOccurs="0"/>
                <xsd:element ref="ns2:MigrationWizIdPermissions" minOccurs="0"/>
                <xsd:element ref="ns2:MigrationWizIdPermissionLevels" minOccurs="0"/>
                <xsd:element ref="ns2:MigrationWizIdDocumentLibraryPermissions" minOccurs="0"/>
                <xsd:element ref="ns2:MigrationWizIdSecurityGroups" minOccurs="0"/>
                <xsd:element ref="ns2:MigrationWizIdVersion" minOccurs="0"/>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ce61ee-6561-4402-8dc7-883c395e2765"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igrationWizIdVersion" ma:index="13" nillable="true" ma:displayName="MigrationWizIdVersion" ma:internalName="MigrationWizIdVersion">
      <xsd:simpleType>
        <xsd:restriction base="dms:Text"/>
      </xsd:simpleType>
    </xsd:element>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description="" ma:hidden="true" ma:indexed="true" ma:internalName="MediaServiceObjectDetectorVersions" ma:readOnly="true">
      <xsd:simpleType>
        <xsd:restriction base="dms:Text"/>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998de16c-5f0f-4439-8be6-da866814b88e" ma:termSetId="09814cd3-568e-fe90-9814-8d621ff8fb84" ma:anchorId="fba54fb3-c3e1-fe81-a776-ca4b69148c4d" ma:open="true" ma:isKeyword="false">
      <xsd:complexType>
        <xsd:sequence>
          <xsd:element ref="pc:Terms" minOccurs="0" maxOccurs="1"/>
        </xsd:sequence>
      </xsd:complexType>
    </xsd:element>
    <xsd:element name="MediaServiceOCR" ma:index="27" nillable="true" ma:displayName="Extracted Text" ma:internalName="MediaServiceOCR" ma:readOnly="true">
      <xsd:simpleType>
        <xsd:restriction base="dms:Note">
          <xsd:maxLength value="255"/>
        </xsd:restriction>
      </xsd:simpleType>
    </xsd:element>
    <xsd:element name="MediaServiceLocation" ma:index="28" nillable="true" ma:displayName="Location" ma:description="" ma:indexed="true" ma:internalName="MediaServiceLocation" ma:readOnly="true">
      <xsd:simpleType>
        <xsd:restriction base="dms:Text"/>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e7e81a7-8bfd-459f-a9a4-b8399dffc89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a8cf3a20-c796-4f85-89ae-7697691b6655}" ma:internalName="TaxCatchAll" ma:showField="CatchAllData" ma:web="0e7e81a7-8bfd-459f-a9a4-b8399dffc895">
      <xsd:complexType>
        <xsd:complexContent>
          <xsd:extension base="dms:MultiChoiceLookup">
            <xsd:sequence>
              <xsd:element name="Value" type="dms:Lookup" maxOccurs="unbounded" minOccurs="0" nillable="true"/>
            </xsd:sequence>
          </xsd:extension>
        </xsd:complexContent>
      </xsd:complexType>
    </xsd:element>
    <xsd:element name="SharedWithUsers" ma:index="2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550BD08-DF76-4D17-ADD3-21ACF49DDFB3}">
  <ds:schemaRefs>
    <ds:schemaRef ds:uri="http://schemas.microsoft.com/office/2006/metadata/properties"/>
    <ds:schemaRef ds:uri="http://schemas.microsoft.com/office/infopath/2007/PartnerControls"/>
    <ds:schemaRef ds:uri="bfce61ee-6561-4402-8dc7-883c395e2765"/>
    <ds:schemaRef ds:uri="0e7e81a7-8bfd-459f-a9a4-b8399dffc895"/>
  </ds:schemaRefs>
</ds:datastoreItem>
</file>

<file path=customXml/itemProps2.xml><?xml version="1.0" encoding="utf-8"?>
<ds:datastoreItem xmlns:ds="http://schemas.openxmlformats.org/officeDocument/2006/customXml" ds:itemID="{2C582C00-5E68-4841-BCEA-C680FED03FEB}">
  <ds:schemaRefs>
    <ds:schemaRef ds:uri="http://schemas.microsoft.com/sharepoint/v3/contenttype/forms"/>
  </ds:schemaRefs>
</ds:datastoreItem>
</file>

<file path=customXml/itemProps3.xml><?xml version="1.0" encoding="utf-8"?>
<ds:datastoreItem xmlns:ds="http://schemas.openxmlformats.org/officeDocument/2006/customXml" ds:itemID="{EFB79597-1460-40DF-B017-A57B56C9E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ce61ee-6561-4402-8dc7-883c395e2765"/>
    <ds:schemaRef ds:uri="0e7e81a7-8bfd-459f-a9a4-b8399dffc89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5401</Words>
  <Characters>30788</Characters>
  <Application>Microsoft Office Word</Application>
  <DocSecurity>0</DocSecurity>
  <Lines>256</Lines>
  <Paragraphs>72</Paragraphs>
  <ScaleCrop>false</ScaleCrop>
  <Company/>
  <LinksUpToDate>false</LinksUpToDate>
  <CharactersWithSpaces>36117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Katrin Böttcher</dc:creator>
  <cp:keywords/>
  <dc:description/>
  <cp:lastModifiedBy>Sarita Bhattacharya</cp:lastModifiedBy>
  <cp:revision>5</cp:revision>
  <dcterms:created xsi:type="dcterms:W3CDTF">2025-06-03T10:42:00Z</dcterms:created>
  <dcterms:modified xsi:type="dcterms:W3CDTF">2025-06-13T12:46:00Z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0x010100E8B312B077A9B442B525ADA9A7ECF789</vt:lpwstr>
  </property>
  <property fmtid="{D5CDD505-2E9C-101B-9397-08002B2CF9AE}" pid="3" name="MediaServiceImageTags">
    <vt:lpwstr/>
  </property>
</Properties>
</file>