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C3744" w14:textId="4ECF1B29" w:rsidR="00E8699F" w:rsidRDefault="005A1FCA">
      <w:pPr>
        <w:rPr>
          <w:lang w:val="en-US"/>
        </w:rPr>
      </w:pPr>
      <w:r w:rsidRPr="006267D4">
        <w:rPr>
          <w:lang w:val="en-US"/>
        </w:rPr>
        <w:t xml:space="preserve">Supplementary </w:t>
      </w:r>
      <w:r w:rsidR="00E8699F">
        <w:rPr>
          <w:lang w:val="en-US"/>
        </w:rPr>
        <w:t>Figures</w:t>
      </w:r>
    </w:p>
    <w:p w14:paraId="0889C1E7" w14:textId="46A43217" w:rsidR="00016F94" w:rsidRDefault="00016F94" w:rsidP="00016F94">
      <w:pPr>
        <w:rPr>
          <w:rFonts w:cstheme="minorHAnsi"/>
          <w:color w:val="000000" w:themeColor="text1"/>
        </w:rPr>
      </w:pPr>
    </w:p>
    <w:p w14:paraId="1D3EAD44" w14:textId="63ABB6BF" w:rsidR="00016F94" w:rsidRDefault="000E4E88">
      <w:r>
        <w:rPr>
          <w:noProof/>
        </w:rPr>
        <w:drawing>
          <wp:inline distT="0" distB="0" distL="0" distR="0" wp14:anchorId="4D8EAEFA" wp14:editId="39B0E835">
            <wp:extent cx="5349920" cy="5057775"/>
            <wp:effectExtent l="0" t="0" r="0" b="0"/>
            <wp:docPr id="14951374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3741" name="Grafik 2"/>
                    <pic:cNvPicPr/>
                  </pic:nvPicPr>
                  <pic:blipFill>
                    <a:blip r:embed="rId4" cstate="print">
                      <a:extLst>
                        <a:ext uri="{28A0092B-C50C-407E-A947-70E740481C1C}">
                          <a14:useLocalDpi xmlns:a14="http://schemas.microsoft.com/office/drawing/2010/main" val="0"/>
                        </a:ext>
                      </a:extLst>
                    </a:blip>
                    <a:stretch>
                      <a:fillRect/>
                    </a:stretch>
                  </pic:blipFill>
                  <pic:spPr>
                    <a:xfrm>
                      <a:off x="0" y="0"/>
                      <a:ext cx="5349920" cy="5057775"/>
                    </a:xfrm>
                    <a:prstGeom prst="rect">
                      <a:avLst/>
                    </a:prstGeom>
                  </pic:spPr>
                </pic:pic>
              </a:graphicData>
            </a:graphic>
          </wp:inline>
        </w:drawing>
      </w:r>
    </w:p>
    <w:p w14:paraId="62DA63DD" w14:textId="750A5828" w:rsidR="006267D4" w:rsidRDefault="0086171A" w:rsidP="00CD2E91">
      <w:pPr>
        <w:jc w:val="both"/>
        <w:rPr>
          <w:sz w:val="22"/>
          <w:szCs w:val="22"/>
          <w:lang w:val="en-US"/>
        </w:rPr>
      </w:pPr>
      <w:r w:rsidRPr="0077277B">
        <w:rPr>
          <w:b/>
          <w:bCs/>
          <w:sz w:val="22"/>
          <w:szCs w:val="22"/>
          <w:lang w:val="en-US"/>
        </w:rPr>
        <w:t>Suppl. Fig</w:t>
      </w:r>
      <w:r w:rsidR="00CD2E91">
        <w:rPr>
          <w:b/>
          <w:bCs/>
          <w:sz w:val="22"/>
          <w:szCs w:val="22"/>
          <w:lang w:val="en-US"/>
        </w:rPr>
        <w:t>ure</w:t>
      </w:r>
      <w:r w:rsidRPr="0077277B">
        <w:rPr>
          <w:b/>
          <w:bCs/>
          <w:sz w:val="22"/>
          <w:szCs w:val="22"/>
          <w:lang w:val="en-US"/>
        </w:rPr>
        <w:t xml:space="preserve"> </w:t>
      </w:r>
      <w:r w:rsidR="006A7BCA">
        <w:rPr>
          <w:b/>
          <w:bCs/>
          <w:sz w:val="22"/>
          <w:szCs w:val="22"/>
          <w:lang w:val="en-US"/>
        </w:rPr>
        <w:t>1</w:t>
      </w:r>
      <w:r w:rsidRPr="0077277B">
        <w:rPr>
          <w:b/>
          <w:bCs/>
          <w:sz w:val="22"/>
          <w:szCs w:val="22"/>
          <w:lang w:val="en-US"/>
        </w:rPr>
        <w:t>:</w:t>
      </w:r>
      <w:r w:rsidRPr="0077277B">
        <w:rPr>
          <w:sz w:val="22"/>
          <w:szCs w:val="22"/>
          <w:lang w:val="en-US"/>
        </w:rPr>
        <w:t xml:space="preserve"> </w:t>
      </w:r>
      <w:r w:rsidR="000E4E88" w:rsidRPr="0077277B">
        <w:rPr>
          <w:sz w:val="22"/>
          <w:szCs w:val="22"/>
          <w:lang w:val="en-US"/>
        </w:rPr>
        <w:t xml:space="preserve">Group distribution of </w:t>
      </w:r>
      <w:r w:rsidR="00A25A85" w:rsidRPr="0077277B">
        <w:rPr>
          <w:sz w:val="22"/>
          <w:szCs w:val="22"/>
          <w:lang w:val="en-US"/>
        </w:rPr>
        <w:t>controls</w:t>
      </w:r>
      <w:r w:rsidR="00251238" w:rsidRPr="0077277B">
        <w:rPr>
          <w:sz w:val="22"/>
          <w:szCs w:val="22"/>
          <w:lang w:val="en-US"/>
        </w:rPr>
        <w:t xml:space="preserve"> (</w:t>
      </w:r>
      <w:r w:rsidR="00433DE3" w:rsidRPr="0077277B">
        <w:rPr>
          <w:sz w:val="22"/>
          <w:szCs w:val="22"/>
          <w:lang w:val="en-US"/>
        </w:rPr>
        <w:t>mass spectrometry signal</w:t>
      </w:r>
      <w:r w:rsidR="00251238" w:rsidRPr="0077277B">
        <w:rPr>
          <w:sz w:val="22"/>
          <w:szCs w:val="22"/>
          <w:lang w:val="en-US"/>
        </w:rPr>
        <w:t xml:space="preserve"> value = 0)</w:t>
      </w:r>
      <w:r w:rsidR="00A25A85" w:rsidRPr="0077277B">
        <w:rPr>
          <w:sz w:val="22"/>
          <w:szCs w:val="22"/>
          <w:lang w:val="en-US"/>
        </w:rPr>
        <w:t xml:space="preserve"> and positive samples </w:t>
      </w:r>
      <w:r w:rsidR="00251238" w:rsidRPr="0077277B">
        <w:rPr>
          <w:sz w:val="22"/>
          <w:szCs w:val="22"/>
          <w:lang w:val="en-US"/>
        </w:rPr>
        <w:t>(</w:t>
      </w:r>
      <w:r w:rsidR="00433DE3" w:rsidRPr="0077277B">
        <w:rPr>
          <w:sz w:val="22"/>
          <w:szCs w:val="22"/>
          <w:lang w:val="en-US"/>
        </w:rPr>
        <w:t xml:space="preserve">mass spectrometry signal </w:t>
      </w:r>
      <w:r w:rsidR="00251238" w:rsidRPr="0077277B">
        <w:rPr>
          <w:sz w:val="22"/>
          <w:szCs w:val="22"/>
          <w:lang w:val="en-US"/>
        </w:rPr>
        <w:t xml:space="preserve">value &gt; 0) </w:t>
      </w:r>
      <w:r w:rsidR="008A1672" w:rsidRPr="0077277B">
        <w:rPr>
          <w:sz w:val="22"/>
          <w:szCs w:val="22"/>
          <w:lang w:val="en-US"/>
        </w:rPr>
        <w:t xml:space="preserve">for </w:t>
      </w:r>
      <w:r w:rsidR="0077277B">
        <w:rPr>
          <w:sz w:val="22"/>
          <w:szCs w:val="22"/>
          <w:lang w:val="en-US"/>
        </w:rPr>
        <w:t>4,4-</w:t>
      </w:r>
      <w:r w:rsidR="008A1672" w:rsidRPr="0077277B">
        <w:rPr>
          <w:sz w:val="22"/>
          <w:szCs w:val="22"/>
          <w:lang w:val="en-US"/>
        </w:rPr>
        <w:t xml:space="preserve">Diisopropylbiphenyl (DIPB) and </w:t>
      </w:r>
      <w:proofErr w:type="spellStart"/>
      <w:r w:rsidR="008A1672" w:rsidRPr="0077277B">
        <w:rPr>
          <w:sz w:val="22"/>
          <w:szCs w:val="22"/>
          <w:lang w:val="en-US"/>
        </w:rPr>
        <w:t>Ethyltetradecanoate</w:t>
      </w:r>
      <w:proofErr w:type="spellEnd"/>
      <w:r w:rsidR="008A1672" w:rsidRPr="0077277B">
        <w:rPr>
          <w:sz w:val="22"/>
          <w:szCs w:val="22"/>
          <w:lang w:val="en-US"/>
        </w:rPr>
        <w:t xml:space="preserve"> (ETD) </w:t>
      </w:r>
      <w:r w:rsidR="00A25A85" w:rsidRPr="0077277B">
        <w:rPr>
          <w:sz w:val="22"/>
          <w:szCs w:val="22"/>
          <w:lang w:val="en-US"/>
        </w:rPr>
        <w:t xml:space="preserve">in both subcutaneous and visceral </w:t>
      </w:r>
      <w:r w:rsidR="008A1672" w:rsidRPr="0077277B">
        <w:rPr>
          <w:sz w:val="22"/>
          <w:szCs w:val="22"/>
          <w:lang w:val="en-US"/>
        </w:rPr>
        <w:t xml:space="preserve">adipose </w:t>
      </w:r>
      <w:r w:rsidR="00A25A85" w:rsidRPr="0077277B">
        <w:rPr>
          <w:sz w:val="22"/>
          <w:szCs w:val="22"/>
          <w:lang w:val="en-US"/>
        </w:rPr>
        <w:t xml:space="preserve">tissue. </w:t>
      </w:r>
      <w:r w:rsidR="0077578C" w:rsidRPr="0077277B">
        <w:rPr>
          <w:sz w:val="22"/>
          <w:szCs w:val="22"/>
          <w:lang w:val="en-US"/>
        </w:rPr>
        <w:t>Bar graphs</w:t>
      </w:r>
      <w:r w:rsidR="00A25A85" w:rsidRPr="0077277B">
        <w:rPr>
          <w:sz w:val="22"/>
          <w:szCs w:val="22"/>
          <w:lang w:val="en-US"/>
        </w:rPr>
        <w:t xml:space="preserve"> </w:t>
      </w:r>
      <w:r w:rsidR="005974DA" w:rsidRPr="0077277B">
        <w:rPr>
          <w:sz w:val="22"/>
          <w:szCs w:val="22"/>
          <w:lang w:val="en-US"/>
        </w:rPr>
        <w:t>s</w:t>
      </w:r>
      <w:r w:rsidR="00A25A85" w:rsidRPr="0077277B">
        <w:rPr>
          <w:sz w:val="22"/>
          <w:szCs w:val="22"/>
          <w:lang w:val="en-US"/>
        </w:rPr>
        <w:t xml:space="preserve">how absolute </w:t>
      </w:r>
      <w:r w:rsidR="005974DA" w:rsidRPr="0077277B">
        <w:rPr>
          <w:sz w:val="22"/>
          <w:szCs w:val="22"/>
          <w:lang w:val="en-US"/>
        </w:rPr>
        <w:t xml:space="preserve">sample </w:t>
      </w:r>
      <w:r w:rsidR="00A25A85" w:rsidRPr="0077277B">
        <w:rPr>
          <w:sz w:val="22"/>
          <w:szCs w:val="22"/>
          <w:lang w:val="en-US"/>
        </w:rPr>
        <w:t>counts.</w:t>
      </w:r>
    </w:p>
    <w:p w14:paraId="1AB45D8C" w14:textId="77777777" w:rsidR="006A7BCA" w:rsidRDefault="006A7BCA" w:rsidP="006A7BCA">
      <w:pPr>
        <w:keepNext/>
      </w:pPr>
      <w:r w:rsidRPr="00272EB8">
        <w:rPr>
          <w:noProof/>
        </w:rPr>
        <w:lastRenderedPageBreak/>
        <w:drawing>
          <wp:inline distT="0" distB="0" distL="0" distR="0" wp14:anchorId="7D91C052" wp14:editId="5B8BF529">
            <wp:extent cx="5435600" cy="8483600"/>
            <wp:effectExtent l="0" t="0" r="0" b="0"/>
            <wp:docPr id="1266604188" name="Grafik 1" descr="Ein Bild, das Text, Diagramm,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04188" name="Grafik 1" descr="Ein Bild, das Text, Diagramm, Screenshot, Design enthält.&#10;&#10;KI-generierte Inhalte können fehlerhaft sein."/>
                    <pic:cNvPicPr/>
                  </pic:nvPicPr>
                  <pic:blipFill>
                    <a:blip r:embed="rId5"/>
                    <a:stretch>
                      <a:fillRect/>
                    </a:stretch>
                  </pic:blipFill>
                  <pic:spPr>
                    <a:xfrm>
                      <a:off x="0" y="0"/>
                      <a:ext cx="5435600" cy="8483600"/>
                    </a:xfrm>
                    <a:prstGeom prst="rect">
                      <a:avLst/>
                    </a:prstGeom>
                  </pic:spPr>
                </pic:pic>
              </a:graphicData>
            </a:graphic>
          </wp:inline>
        </w:drawing>
      </w:r>
    </w:p>
    <w:p w14:paraId="147592E9" w14:textId="25379DA4" w:rsidR="006A7BCA" w:rsidRPr="00CD2E91" w:rsidRDefault="006A7BCA" w:rsidP="00CD2E91">
      <w:pPr>
        <w:jc w:val="both"/>
        <w:rPr>
          <w:iCs/>
          <w:sz w:val="22"/>
          <w:szCs w:val="22"/>
          <w:lang w:val="en-US"/>
        </w:rPr>
      </w:pPr>
      <w:r w:rsidRPr="0077277B">
        <w:rPr>
          <w:b/>
          <w:bCs/>
          <w:sz w:val="22"/>
          <w:szCs w:val="22"/>
          <w:lang w:val="en-US"/>
        </w:rPr>
        <w:t>Suppl. Fig</w:t>
      </w:r>
      <w:r w:rsidR="00CD2E91">
        <w:rPr>
          <w:b/>
          <w:bCs/>
          <w:sz w:val="22"/>
          <w:szCs w:val="22"/>
          <w:lang w:val="en-US"/>
        </w:rPr>
        <w:t>ure</w:t>
      </w:r>
      <w:r w:rsidRPr="0077277B">
        <w:rPr>
          <w:b/>
          <w:bCs/>
          <w:sz w:val="22"/>
          <w:szCs w:val="22"/>
          <w:lang w:val="en-US"/>
        </w:rPr>
        <w:t xml:space="preserve"> </w:t>
      </w:r>
      <w:r w:rsidR="00CD2E91">
        <w:rPr>
          <w:b/>
          <w:bCs/>
          <w:sz w:val="22"/>
          <w:szCs w:val="22"/>
          <w:lang w:val="en-US"/>
        </w:rPr>
        <w:t>2</w:t>
      </w:r>
      <w:r w:rsidRPr="0077277B">
        <w:rPr>
          <w:b/>
          <w:bCs/>
          <w:sz w:val="22"/>
          <w:szCs w:val="22"/>
          <w:lang w:val="en-US"/>
        </w:rPr>
        <w:t>:</w:t>
      </w:r>
      <w:r w:rsidRPr="0077277B">
        <w:rPr>
          <w:sz w:val="22"/>
          <w:szCs w:val="22"/>
          <w:lang w:val="en-US"/>
        </w:rPr>
        <w:t xml:space="preserve"> </w:t>
      </w:r>
      <w:r w:rsidRPr="00CD2E91">
        <w:rPr>
          <w:iCs/>
          <w:sz w:val="22"/>
          <w:szCs w:val="22"/>
          <w:lang w:val="en-US"/>
        </w:rPr>
        <w:t>Overview of the experimental workflow. In brief, adipose tissue samples were extracted. GC-MS measurements were taken for ETD and DIPB and individuals were grouped into positive and control groups based on POP accumulation levels. RNA</w:t>
      </w:r>
      <w:r w:rsidR="009677DB">
        <w:rPr>
          <w:iCs/>
          <w:sz w:val="22"/>
          <w:szCs w:val="22"/>
          <w:lang w:val="en-US"/>
        </w:rPr>
        <w:t xml:space="preserve"> </w:t>
      </w:r>
      <w:r w:rsidRPr="00CD2E91">
        <w:rPr>
          <w:iCs/>
          <w:sz w:val="22"/>
          <w:szCs w:val="22"/>
          <w:lang w:val="en-US"/>
        </w:rPr>
        <w:t>seq</w:t>
      </w:r>
      <w:r w:rsidR="009677DB">
        <w:rPr>
          <w:iCs/>
          <w:sz w:val="22"/>
          <w:szCs w:val="22"/>
          <w:lang w:val="en-US"/>
        </w:rPr>
        <w:t>uencing</w:t>
      </w:r>
      <w:r w:rsidRPr="00CD2E91">
        <w:rPr>
          <w:iCs/>
          <w:sz w:val="22"/>
          <w:szCs w:val="22"/>
          <w:lang w:val="en-US"/>
        </w:rPr>
        <w:t xml:space="preserve"> data was extracted from AT and differential gene expression analysis was performed between positive and control samples. Subsequently, gene set enrichment analysis was applied to the sets of differentially expressed genes (DEGs) and DEGs are correlated with clinical parameters.</w:t>
      </w:r>
    </w:p>
    <w:p w14:paraId="6A5D5C8C" w14:textId="77777777" w:rsidR="006A7BCA" w:rsidRPr="0077277B" w:rsidRDefault="006A7BCA">
      <w:pPr>
        <w:rPr>
          <w:sz w:val="22"/>
          <w:szCs w:val="22"/>
          <w:lang w:val="en-US"/>
        </w:rPr>
      </w:pPr>
    </w:p>
    <w:p w14:paraId="6B51D1D4" w14:textId="23490AFA" w:rsidR="006267D4" w:rsidRDefault="006267D4">
      <w:pPr>
        <w:rPr>
          <w:lang w:val="en-US"/>
        </w:rPr>
      </w:pPr>
    </w:p>
    <w:p w14:paraId="63D19C31" w14:textId="4B613439" w:rsidR="006267D4" w:rsidRDefault="0039076B">
      <w:pPr>
        <w:rPr>
          <w:lang w:val="en-US"/>
        </w:rPr>
      </w:pPr>
      <w:r>
        <w:rPr>
          <w:noProof/>
          <w:lang w:val="en-US"/>
        </w:rPr>
        <w:lastRenderedPageBreak/>
        <w:drawing>
          <wp:inline distT="0" distB="0" distL="0" distR="0" wp14:anchorId="495A2DD5" wp14:editId="74E3A03C">
            <wp:extent cx="5812971" cy="8719457"/>
            <wp:effectExtent l="0" t="0" r="3810" b="5715"/>
            <wp:docPr id="9748770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77097" name="Grafik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37360" cy="8756040"/>
                    </a:xfrm>
                    <a:prstGeom prst="rect">
                      <a:avLst/>
                    </a:prstGeom>
                  </pic:spPr>
                </pic:pic>
              </a:graphicData>
            </a:graphic>
          </wp:inline>
        </w:drawing>
      </w:r>
    </w:p>
    <w:p w14:paraId="6A0157AE" w14:textId="0AFF6E70" w:rsidR="00A31600" w:rsidRDefault="0077578C" w:rsidP="00CD2E91">
      <w:pPr>
        <w:jc w:val="both"/>
        <w:rPr>
          <w:sz w:val="22"/>
          <w:szCs w:val="22"/>
          <w:lang w:val="en-US"/>
        </w:rPr>
      </w:pPr>
      <w:r w:rsidRPr="00C267BF">
        <w:rPr>
          <w:b/>
          <w:bCs/>
          <w:sz w:val="22"/>
          <w:szCs w:val="22"/>
          <w:lang w:val="en-US"/>
        </w:rPr>
        <w:t>Suppl. Fig</w:t>
      </w:r>
      <w:r w:rsidR="00CD2E91">
        <w:rPr>
          <w:b/>
          <w:bCs/>
          <w:sz w:val="22"/>
          <w:szCs w:val="22"/>
          <w:lang w:val="en-US"/>
        </w:rPr>
        <w:t>ure</w:t>
      </w:r>
      <w:r w:rsidRPr="00C267BF">
        <w:rPr>
          <w:b/>
          <w:bCs/>
          <w:sz w:val="22"/>
          <w:szCs w:val="22"/>
          <w:lang w:val="en-US"/>
        </w:rPr>
        <w:t xml:space="preserve"> </w:t>
      </w:r>
      <w:r w:rsidR="00B9618D">
        <w:rPr>
          <w:b/>
          <w:bCs/>
          <w:sz w:val="22"/>
          <w:szCs w:val="22"/>
          <w:lang w:val="en-US"/>
        </w:rPr>
        <w:t>3</w:t>
      </w:r>
      <w:r w:rsidRPr="00C267BF">
        <w:rPr>
          <w:b/>
          <w:bCs/>
          <w:sz w:val="22"/>
          <w:szCs w:val="22"/>
          <w:lang w:val="en-US"/>
        </w:rPr>
        <w:t>:</w:t>
      </w:r>
      <w:r w:rsidR="00636975">
        <w:rPr>
          <w:b/>
          <w:bCs/>
          <w:sz w:val="22"/>
          <w:szCs w:val="22"/>
          <w:lang w:val="en-US"/>
        </w:rPr>
        <w:t xml:space="preserve"> </w:t>
      </w:r>
      <w:r w:rsidR="000C2967" w:rsidRPr="00C267BF">
        <w:rPr>
          <w:sz w:val="22"/>
          <w:szCs w:val="22"/>
          <w:lang w:val="en-US"/>
        </w:rPr>
        <w:t xml:space="preserve">Dimension reduction of gene expression data from </w:t>
      </w:r>
      <w:r w:rsidR="001606F2" w:rsidRPr="00C267BF">
        <w:rPr>
          <w:sz w:val="22"/>
          <w:szCs w:val="22"/>
          <w:lang w:val="en-US"/>
        </w:rPr>
        <w:t xml:space="preserve">individuals with positive </w:t>
      </w:r>
      <w:r w:rsidR="002F0AE3">
        <w:rPr>
          <w:sz w:val="22"/>
          <w:szCs w:val="22"/>
          <w:lang w:val="en-US"/>
        </w:rPr>
        <w:t>4,4-Diisopropylbiphenyl</w:t>
      </w:r>
      <w:r w:rsidR="001606F2" w:rsidRPr="00C267BF">
        <w:rPr>
          <w:sz w:val="22"/>
          <w:szCs w:val="22"/>
          <w:lang w:val="en-US"/>
        </w:rPr>
        <w:t xml:space="preserve"> accumulation and negative controls.</w:t>
      </w:r>
      <w:r w:rsidR="00D94E8C" w:rsidRPr="00C267BF">
        <w:rPr>
          <w:sz w:val="22"/>
          <w:szCs w:val="22"/>
          <w:lang w:val="en-US"/>
        </w:rPr>
        <w:t xml:space="preserve"> </w:t>
      </w:r>
      <w:r w:rsidR="002D0AAF" w:rsidRPr="00C267BF">
        <w:rPr>
          <w:sz w:val="22"/>
          <w:szCs w:val="22"/>
          <w:lang w:val="en-US"/>
        </w:rPr>
        <w:t>The left panel shows p</w:t>
      </w:r>
      <w:r w:rsidR="00D94E8C" w:rsidRPr="00C267BF">
        <w:rPr>
          <w:sz w:val="22"/>
          <w:szCs w:val="22"/>
          <w:lang w:val="en-US"/>
        </w:rPr>
        <w:t xml:space="preserve">rincipal component analysis </w:t>
      </w:r>
      <w:r w:rsidR="002D0AAF" w:rsidRPr="00C267BF">
        <w:rPr>
          <w:sz w:val="22"/>
          <w:szCs w:val="22"/>
          <w:lang w:val="en-US"/>
        </w:rPr>
        <w:t xml:space="preserve">and the right </w:t>
      </w:r>
      <w:r w:rsidR="008543BA" w:rsidRPr="00C267BF">
        <w:rPr>
          <w:sz w:val="22"/>
          <w:szCs w:val="22"/>
          <w:lang w:val="en-US"/>
        </w:rPr>
        <w:t xml:space="preserve">shows association significance (p-values) of </w:t>
      </w:r>
      <w:r w:rsidR="00C267BF" w:rsidRPr="00C267BF">
        <w:rPr>
          <w:sz w:val="22"/>
          <w:szCs w:val="22"/>
          <w:lang w:val="en-US"/>
        </w:rPr>
        <w:t xml:space="preserve">confounding </w:t>
      </w:r>
      <w:r w:rsidR="004726FD" w:rsidRPr="00C267BF">
        <w:rPr>
          <w:sz w:val="22"/>
          <w:szCs w:val="22"/>
          <w:lang w:val="en-US"/>
        </w:rPr>
        <w:t>clinical</w:t>
      </w:r>
      <w:r w:rsidR="002D0AAF" w:rsidRPr="00C267BF">
        <w:rPr>
          <w:sz w:val="22"/>
          <w:szCs w:val="22"/>
          <w:lang w:val="en-US"/>
        </w:rPr>
        <w:t xml:space="preserve"> </w:t>
      </w:r>
      <w:r w:rsidR="00C267BF" w:rsidRPr="00C267BF">
        <w:rPr>
          <w:sz w:val="22"/>
          <w:szCs w:val="22"/>
          <w:lang w:val="en-US"/>
        </w:rPr>
        <w:t>parameters</w:t>
      </w:r>
      <w:r w:rsidR="00EB3497">
        <w:rPr>
          <w:sz w:val="22"/>
          <w:szCs w:val="22"/>
          <w:lang w:val="en-US"/>
        </w:rPr>
        <w:t xml:space="preserve"> and POP accumulation signal</w:t>
      </w:r>
      <w:r w:rsidR="00470E73">
        <w:rPr>
          <w:sz w:val="22"/>
          <w:szCs w:val="22"/>
          <w:lang w:val="en-US"/>
        </w:rPr>
        <w:t xml:space="preserve"> with principal components for subcutaneous</w:t>
      </w:r>
      <w:r w:rsidR="00BA33DF">
        <w:rPr>
          <w:sz w:val="22"/>
          <w:szCs w:val="22"/>
          <w:lang w:val="en-US"/>
        </w:rPr>
        <w:t xml:space="preserve"> adipose tissue </w:t>
      </w:r>
      <w:r w:rsidR="00C446AB">
        <w:rPr>
          <w:sz w:val="22"/>
          <w:szCs w:val="22"/>
          <w:lang w:val="en-US"/>
        </w:rPr>
        <w:t>(SAT) in women (</w:t>
      </w:r>
      <w:proofErr w:type="gramStart"/>
      <w:r w:rsidR="00DD3873">
        <w:rPr>
          <w:sz w:val="22"/>
          <w:szCs w:val="22"/>
          <w:lang w:val="en-US"/>
        </w:rPr>
        <w:t>A,B</w:t>
      </w:r>
      <w:proofErr w:type="gramEnd"/>
      <w:r w:rsidR="00DD3873">
        <w:rPr>
          <w:sz w:val="22"/>
          <w:szCs w:val="22"/>
          <w:lang w:val="en-US"/>
        </w:rPr>
        <w:t>) and men (</w:t>
      </w:r>
      <w:proofErr w:type="gramStart"/>
      <w:r w:rsidR="00DD3873">
        <w:rPr>
          <w:sz w:val="22"/>
          <w:szCs w:val="22"/>
          <w:lang w:val="en-US"/>
        </w:rPr>
        <w:t>C,D</w:t>
      </w:r>
      <w:proofErr w:type="gramEnd"/>
      <w:r w:rsidR="00DD3873">
        <w:rPr>
          <w:sz w:val="22"/>
          <w:szCs w:val="22"/>
          <w:lang w:val="en-US"/>
        </w:rPr>
        <w:t>)</w:t>
      </w:r>
      <w:r w:rsidR="00BA33DF">
        <w:rPr>
          <w:sz w:val="22"/>
          <w:szCs w:val="22"/>
          <w:lang w:val="en-US"/>
        </w:rPr>
        <w:t xml:space="preserve"> and visceral </w:t>
      </w:r>
      <w:r w:rsidR="00C446AB">
        <w:rPr>
          <w:sz w:val="22"/>
          <w:szCs w:val="22"/>
          <w:lang w:val="en-US"/>
        </w:rPr>
        <w:t xml:space="preserve">adipose tissue </w:t>
      </w:r>
      <w:r w:rsidR="00BA33DF">
        <w:rPr>
          <w:sz w:val="22"/>
          <w:szCs w:val="22"/>
          <w:lang w:val="en-US"/>
        </w:rPr>
        <w:t>(VAT)</w:t>
      </w:r>
      <w:r w:rsidR="00DD3873">
        <w:rPr>
          <w:sz w:val="22"/>
          <w:szCs w:val="22"/>
          <w:lang w:val="en-US"/>
        </w:rPr>
        <w:t xml:space="preserve"> in women (</w:t>
      </w:r>
      <w:proofErr w:type="gramStart"/>
      <w:r w:rsidR="00DD3873">
        <w:rPr>
          <w:sz w:val="22"/>
          <w:szCs w:val="22"/>
          <w:lang w:val="en-US"/>
        </w:rPr>
        <w:t>E,F</w:t>
      </w:r>
      <w:proofErr w:type="gramEnd"/>
      <w:r w:rsidR="00DD3873">
        <w:rPr>
          <w:sz w:val="22"/>
          <w:szCs w:val="22"/>
          <w:lang w:val="en-US"/>
        </w:rPr>
        <w:t>) and men (</w:t>
      </w:r>
      <w:proofErr w:type="gramStart"/>
      <w:r w:rsidR="00DD3873">
        <w:rPr>
          <w:sz w:val="22"/>
          <w:szCs w:val="22"/>
          <w:lang w:val="en-US"/>
        </w:rPr>
        <w:t>G,H</w:t>
      </w:r>
      <w:proofErr w:type="gramEnd"/>
      <w:r w:rsidR="00DD3873">
        <w:rPr>
          <w:sz w:val="22"/>
          <w:szCs w:val="22"/>
          <w:lang w:val="en-US"/>
        </w:rPr>
        <w:t>).</w:t>
      </w:r>
      <w:r w:rsidR="00C7071D">
        <w:rPr>
          <w:sz w:val="22"/>
          <w:szCs w:val="22"/>
          <w:lang w:val="en-US"/>
        </w:rPr>
        <w:t xml:space="preserve"> (BMI: body mass index</w:t>
      </w:r>
      <w:r w:rsidR="00ED3120">
        <w:rPr>
          <w:sz w:val="22"/>
          <w:szCs w:val="22"/>
          <w:lang w:val="en-US"/>
        </w:rPr>
        <w:t xml:space="preserve">; </w:t>
      </w:r>
      <w:r w:rsidR="00ED3120" w:rsidRPr="00C267BF">
        <w:rPr>
          <w:sz w:val="22"/>
          <w:szCs w:val="22"/>
          <w:lang w:val="en-US"/>
        </w:rPr>
        <w:t>DIPB</w:t>
      </w:r>
      <w:r w:rsidR="00ED3120">
        <w:rPr>
          <w:sz w:val="22"/>
          <w:szCs w:val="22"/>
          <w:lang w:val="en-US"/>
        </w:rPr>
        <w:t xml:space="preserve">: 4,4-Diisopropylbiphenyl; ETD: </w:t>
      </w:r>
      <w:proofErr w:type="spellStart"/>
      <w:r w:rsidR="00ED3120">
        <w:rPr>
          <w:sz w:val="22"/>
          <w:szCs w:val="22"/>
          <w:lang w:val="en-US"/>
        </w:rPr>
        <w:t>Ethyltetradecanoate</w:t>
      </w:r>
      <w:proofErr w:type="spellEnd"/>
      <w:r w:rsidR="00ED3120">
        <w:rPr>
          <w:sz w:val="22"/>
          <w:szCs w:val="22"/>
          <w:lang w:val="en-US"/>
        </w:rPr>
        <w:t>)</w:t>
      </w:r>
      <w:r w:rsidR="00CD2E91">
        <w:rPr>
          <w:sz w:val="22"/>
          <w:szCs w:val="22"/>
          <w:lang w:val="en-US"/>
        </w:rPr>
        <w:t>.</w:t>
      </w:r>
    </w:p>
    <w:p w14:paraId="5F078B9E" w14:textId="77777777" w:rsidR="00204545" w:rsidRDefault="00204545" w:rsidP="00204545">
      <w:pPr>
        <w:rPr>
          <w:lang w:val="en-US"/>
        </w:rPr>
      </w:pPr>
      <w:r>
        <w:rPr>
          <w:noProof/>
          <w:lang w:val="en-US"/>
        </w:rPr>
        <w:lastRenderedPageBreak/>
        <w:drawing>
          <wp:inline distT="0" distB="0" distL="0" distR="0" wp14:anchorId="48E44D54" wp14:editId="797774BE">
            <wp:extent cx="5760720" cy="3246755"/>
            <wp:effectExtent l="0" t="0" r="0" b="0"/>
            <wp:docPr id="1678384114" name="Grafik 3" descr="Ein Bild, das Screenshot, Farbigkei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384114" name="Grafik 3" descr="Ein Bild, das Screenshot, Farbigkeit, Kunst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3246755"/>
                    </a:xfrm>
                    <a:prstGeom prst="rect">
                      <a:avLst/>
                    </a:prstGeom>
                  </pic:spPr>
                </pic:pic>
              </a:graphicData>
            </a:graphic>
          </wp:inline>
        </w:drawing>
      </w:r>
    </w:p>
    <w:p w14:paraId="3F841346" w14:textId="17FBEA23" w:rsidR="00204545" w:rsidRPr="0077277B" w:rsidRDefault="00204545" w:rsidP="00204545">
      <w:pPr>
        <w:jc w:val="both"/>
        <w:rPr>
          <w:sz w:val="22"/>
          <w:szCs w:val="22"/>
          <w:lang w:val="en-US"/>
        </w:rPr>
      </w:pPr>
      <w:r w:rsidRPr="0077277B">
        <w:rPr>
          <w:b/>
          <w:bCs/>
          <w:sz w:val="22"/>
          <w:szCs w:val="22"/>
          <w:lang w:val="en-US"/>
        </w:rPr>
        <w:t xml:space="preserve">Suppl. Figure </w:t>
      </w:r>
      <w:r>
        <w:rPr>
          <w:b/>
          <w:bCs/>
          <w:sz w:val="22"/>
          <w:szCs w:val="22"/>
          <w:lang w:val="en-US"/>
        </w:rPr>
        <w:t>4</w:t>
      </w:r>
      <w:r w:rsidRPr="0077277B">
        <w:rPr>
          <w:b/>
          <w:bCs/>
          <w:sz w:val="22"/>
          <w:szCs w:val="22"/>
          <w:lang w:val="en-US"/>
        </w:rPr>
        <w:t>:</w:t>
      </w:r>
      <w:r w:rsidRPr="0077277B">
        <w:rPr>
          <w:sz w:val="22"/>
          <w:szCs w:val="22"/>
          <w:lang w:val="en-US"/>
        </w:rPr>
        <w:t xml:space="preserve"> </w:t>
      </w:r>
      <w:proofErr w:type="spellStart"/>
      <w:r w:rsidRPr="0077277B">
        <w:rPr>
          <w:sz w:val="22"/>
          <w:szCs w:val="22"/>
          <w:lang w:val="en-US"/>
        </w:rPr>
        <w:t>StringDB</w:t>
      </w:r>
      <w:proofErr w:type="spellEnd"/>
      <w:r w:rsidRPr="0077277B">
        <w:rPr>
          <w:sz w:val="22"/>
          <w:szCs w:val="22"/>
          <w:lang w:val="en-US"/>
        </w:rPr>
        <w:t xml:space="preserve"> network of differentially expressed genes in male VAT between positive and control groups for DIPB accumulation. Nodes colored in red highlight enriched genes in the </w:t>
      </w:r>
      <w:proofErr w:type="spellStart"/>
      <w:r w:rsidRPr="0077277B">
        <w:rPr>
          <w:sz w:val="22"/>
          <w:szCs w:val="22"/>
          <w:lang w:val="en-US"/>
        </w:rPr>
        <w:t>Reactome</w:t>
      </w:r>
      <w:proofErr w:type="spellEnd"/>
      <w:r w:rsidRPr="0077277B">
        <w:rPr>
          <w:sz w:val="22"/>
          <w:szCs w:val="22"/>
          <w:lang w:val="en-US"/>
        </w:rPr>
        <w:t xml:space="preserve"> pathway “neutrophile degranulation” (FDR = 0.005). Green and black edges between gene nodes represent predicted interactions by text mining and co-expression respectively. Edges colored in pink, blue and light blue add information about experimentally determined, gene co-</w:t>
      </w:r>
      <w:r w:rsidR="009677DB" w:rsidRPr="0077277B">
        <w:rPr>
          <w:sz w:val="22"/>
          <w:szCs w:val="22"/>
          <w:lang w:val="en-US"/>
        </w:rPr>
        <w:t>occurrence</w:t>
      </w:r>
      <w:r w:rsidRPr="0077277B">
        <w:rPr>
          <w:sz w:val="22"/>
          <w:szCs w:val="22"/>
          <w:lang w:val="en-US"/>
        </w:rPr>
        <w:t xml:space="preserve"> and protein homology interaction, respectively.</w:t>
      </w:r>
    </w:p>
    <w:p w14:paraId="7B7F55B2" w14:textId="77777777" w:rsidR="00204545" w:rsidRPr="00636975" w:rsidRDefault="00204545" w:rsidP="00CD2E91">
      <w:pPr>
        <w:jc w:val="both"/>
        <w:rPr>
          <w:b/>
          <w:bCs/>
          <w:sz w:val="22"/>
          <w:szCs w:val="22"/>
          <w:lang w:val="en-US"/>
        </w:rPr>
      </w:pPr>
    </w:p>
    <w:p w14:paraId="1EBD6C52" w14:textId="3ACC793E" w:rsidR="0039076B" w:rsidRDefault="0039076B">
      <w:pPr>
        <w:rPr>
          <w:lang w:val="en-US"/>
        </w:rPr>
      </w:pPr>
      <w:r>
        <w:rPr>
          <w:noProof/>
          <w:lang w:val="en-US"/>
        </w:rPr>
        <w:lastRenderedPageBreak/>
        <w:drawing>
          <wp:inline distT="0" distB="0" distL="0" distR="0" wp14:anchorId="515417CA" wp14:editId="26013AC7">
            <wp:extent cx="5910943" cy="8866415"/>
            <wp:effectExtent l="0" t="0" r="0" b="0"/>
            <wp:docPr id="1429969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969130"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27510" cy="8891266"/>
                    </a:xfrm>
                    <a:prstGeom prst="rect">
                      <a:avLst/>
                    </a:prstGeom>
                  </pic:spPr>
                </pic:pic>
              </a:graphicData>
            </a:graphic>
          </wp:inline>
        </w:drawing>
      </w:r>
    </w:p>
    <w:p w14:paraId="215BBBA6" w14:textId="733D588D" w:rsidR="00636975" w:rsidRPr="00636975" w:rsidRDefault="00636975" w:rsidP="00CD2E91">
      <w:pPr>
        <w:jc w:val="both"/>
        <w:rPr>
          <w:b/>
          <w:bCs/>
          <w:sz w:val="22"/>
          <w:szCs w:val="22"/>
          <w:lang w:val="en-US"/>
        </w:rPr>
      </w:pPr>
      <w:r w:rsidRPr="0077277B">
        <w:rPr>
          <w:b/>
          <w:bCs/>
          <w:sz w:val="22"/>
          <w:szCs w:val="22"/>
          <w:lang w:val="en-US"/>
        </w:rPr>
        <w:t>Suppl. Fig</w:t>
      </w:r>
      <w:r w:rsidR="00CD2E91">
        <w:rPr>
          <w:b/>
          <w:bCs/>
          <w:sz w:val="22"/>
          <w:szCs w:val="22"/>
          <w:lang w:val="en-US"/>
        </w:rPr>
        <w:t>ure</w:t>
      </w:r>
      <w:r w:rsidRPr="0077277B">
        <w:rPr>
          <w:b/>
          <w:bCs/>
          <w:sz w:val="22"/>
          <w:szCs w:val="22"/>
          <w:lang w:val="en-US"/>
        </w:rPr>
        <w:t xml:space="preserve"> </w:t>
      </w:r>
      <w:r w:rsidR="00204545">
        <w:rPr>
          <w:b/>
          <w:bCs/>
          <w:sz w:val="22"/>
          <w:szCs w:val="22"/>
          <w:lang w:val="en-US"/>
        </w:rPr>
        <w:t>5</w:t>
      </w:r>
      <w:r w:rsidRPr="0077277B">
        <w:rPr>
          <w:b/>
          <w:bCs/>
          <w:sz w:val="22"/>
          <w:szCs w:val="22"/>
          <w:lang w:val="en-US"/>
        </w:rPr>
        <w:t xml:space="preserve">: </w:t>
      </w:r>
      <w:r w:rsidRPr="00C267BF">
        <w:rPr>
          <w:sz w:val="22"/>
          <w:szCs w:val="22"/>
          <w:lang w:val="en-US"/>
        </w:rPr>
        <w:t xml:space="preserve">Dimension reduction of gene expression data from individuals with positive </w:t>
      </w:r>
      <w:proofErr w:type="spellStart"/>
      <w:r w:rsidR="002F0AE3">
        <w:rPr>
          <w:sz w:val="22"/>
          <w:szCs w:val="22"/>
          <w:lang w:val="en-US"/>
        </w:rPr>
        <w:t>Ethyltetradecanoate</w:t>
      </w:r>
      <w:proofErr w:type="spellEnd"/>
      <w:r w:rsidRPr="00C267BF">
        <w:rPr>
          <w:sz w:val="22"/>
          <w:szCs w:val="22"/>
          <w:lang w:val="en-US"/>
        </w:rPr>
        <w:t xml:space="preserve"> accumulation and negative controls. The left panel shows principal component analysis and the right shows association significance (p-values) of confounding clinical parameters</w:t>
      </w:r>
      <w:r>
        <w:rPr>
          <w:sz w:val="22"/>
          <w:szCs w:val="22"/>
          <w:lang w:val="en-US"/>
        </w:rPr>
        <w:t xml:space="preserve"> and POP accumulation signal with principal components for subcutaneous adipose tissue (SAT) in women (</w:t>
      </w:r>
      <w:proofErr w:type="gramStart"/>
      <w:r>
        <w:rPr>
          <w:sz w:val="22"/>
          <w:szCs w:val="22"/>
          <w:lang w:val="en-US"/>
        </w:rPr>
        <w:t>A,B</w:t>
      </w:r>
      <w:proofErr w:type="gramEnd"/>
      <w:r>
        <w:rPr>
          <w:sz w:val="22"/>
          <w:szCs w:val="22"/>
          <w:lang w:val="en-US"/>
        </w:rPr>
        <w:t>) and men (</w:t>
      </w:r>
      <w:proofErr w:type="gramStart"/>
      <w:r>
        <w:rPr>
          <w:sz w:val="22"/>
          <w:szCs w:val="22"/>
          <w:lang w:val="en-US"/>
        </w:rPr>
        <w:t>C,D</w:t>
      </w:r>
      <w:proofErr w:type="gramEnd"/>
      <w:r>
        <w:rPr>
          <w:sz w:val="22"/>
          <w:szCs w:val="22"/>
          <w:lang w:val="en-US"/>
        </w:rPr>
        <w:t>) and visceral adipose tissue (VAT) in women (</w:t>
      </w:r>
      <w:proofErr w:type="gramStart"/>
      <w:r>
        <w:rPr>
          <w:sz w:val="22"/>
          <w:szCs w:val="22"/>
          <w:lang w:val="en-US"/>
        </w:rPr>
        <w:t>E,F</w:t>
      </w:r>
      <w:proofErr w:type="gramEnd"/>
      <w:r>
        <w:rPr>
          <w:sz w:val="22"/>
          <w:szCs w:val="22"/>
          <w:lang w:val="en-US"/>
        </w:rPr>
        <w:t>) and men (</w:t>
      </w:r>
      <w:proofErr w:type="gramStart"/>
      <w:r>
        <w:rPr>
          <w:sz w:val="22"/>
          <w:szCs w:val="22"/>
          <w:lang w:val="en-US"/>
        </w:rPr>
        <w:t>G,H</w:t>
      </w:r>
      <w:proofErr w:type="gramEnd"/>
      <w:r>
        <w:rPr>
          <w:sz w:val="22"/>
          <w:szCs w:val="22"/>
          <w:lang w:val="en-US"/>
        </w:rPr>
        <w:t>).</w:t>
      </w:r>
    </w:p>
    <w:p w14:paraId="58ECDFC4" w14:textId="573A8B3F" w:rsidR="00636975" w:rsidRPr="00636975" w:rsidRDefault="00636975" w:rsidP="00636975">
      <w:pPr>
        <w:rPr>
          <w:lang w:val="en-US"/>
        </w:rPr>
      </w:pPr>
    </w:p>
    <w:p w14:paraId="5F9286B9" w14:textId="77777777" w:rsidR="00CB3B60" w:rsidRDefault="00CB3B60">
      <w:pPr>
        <w:rPr>
          <w:lang w:val="en-US"/>
        </w:rPr>
      </w:pPr>
    </w:p>
    <w:p w14:paraId="78B7C89B" w14:textId="77777777" w:rsidR="0045531E" w:rsidRDefault="0045531E">
      <w:pPr>
        <w:rPr>
          <w:lang w:val="en-US"/>
        </w:rPr>
      </w:pPr>
    </w:p>
    <w:p w14:paraId="016797A9" w14:textId="77777777" w:rsidR="0019676A" w:rsidRDefault="0019676A">
      <w:pPr>
        <w:rPr>
          <w:lang w:val="en-US"/>
        </w:rPr>
      </w:pPr>
    </w:p>
    <w:p w14:paraId="58632D88" w14:textId="77777777" w:rsidR="00F65442" w:rsidRDefault="0019676A" w:rsidP="00F65442">
      <w:pPr>
        <w:rPr>
          <w:lang w:val="en-US"/>
        </w:rPr>
      </w:pPr>
      <w:r>
        <w:rPr>
          <w:noProof/>
          <w:lang w:val="en-US"/>
        </w:rPr>
        <w:drawing>
          <wp:inline distT="0" distB="0" distL="0" distR="0" wp14:anchorId="2A8D5D8C" wp14:editId="6BC90ABA">
            <wp:extent cx="5760720" cy="2775585"/>
            <wp:effectExtent l="0" t="0" r="0" b="0"/>
            <wp:docPr id="1354968124" name="Grafik 4" descr="Ein Bild, das Screensho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68124" name="Grafik 4" descr="Ein Bild, das Screenshot, Kunst enthält.&#10;&#10;Automatisch generierte Beschreibung"/>
                    <pic:cNvPicPr/>
                  </pic:nvPicPr>
                  <pic:blipFill rotWithShape="1">
                    <a:blip r:embed="rId9" cstate="print">
                      <a:extLst>
                        <a:ext uri="{28A0092B-C50C-407E-A947-70E740481C1C}">
                          <a14:useLocalDpi xmlns:a14="http://schemas.microsoft.com/office/drawing/2010/main" val="0"/>
                        </a:ext>
                      </a:extLst>
                    </a:blip>
                    <a:srcRect l="-142" r="73"/>
                    <a:stretch/>
                  </pic:blipFill>
                  <pic:spPr bwMode="auto">
                    <a:xfrm>
                      <a:off x="0" y="0"/>
                      <a:ext cx="5764674" cy="2777490"/>
                    </a:xfrm>
                    <a:prstGeom prst="rect">
                      <a:avLst/>
                    </a:prstGeom>
                    <a:ln>
                      <a:noFill/>
                    </a:ln>
                    <a:extLst>
                      <a:ext uri="{53640926-AAD7-44D8-BBD7-CCE9431645EC}">
                        <a14:shadowObscured xmlns:a14="http://schemas.microsoft.com/office/drawing/2010/main"/>
                      </a:ext>
                    </a:extLst>
                  </pic:spPr>
                </pic:pic>
              </a:graphicData>
            </a:graphic>
          </wp:inline>
        </w:drawing>
      </w:r>
    </w:p>
    <w:p w14:paraId="6C09B70F" w14:textId="027ED812" w:rsidR="00F65442" w:rsidRPr="00BE3263" w:rsidRDefault="0077277B" w:rsidP="00CD2E91">
      <w:pPr>
        <w:jc w:val="both"/>
        <w:rPr>
          <w:b/>
          <w:bCs/>
          <w:sz w:val="22"/>
          <w:szCs w:val="22"/>
          <w:lang w:val="en-US"/>
        </w:rPr>
      </w:pPr>
      <w:r w:rsidRPr="0077277B">
        <w:rPr>
          <w:b/>
          <w:bCs/>
          <w:sz w:val="22"/>
          <w:szCs w:val="22"/>
          <w:lang w:val="en-US"/>
        </w:rPr>
        <w:t xml:space="preserve">Suppl. Figure </w:t>
      </w:r>
      <w:r w:rsidR="00B9618D">
        <w:rPr>
          <w:b/>
          <w:bCs/>
          <w:sz w:val="22"/>
          <w:szCs w:val="22"/>
          <w:lang w:val="en-US"/>
        </w:rPr>
        <w:t>6</w:t>
      </w:r>
      <w:r w:rsidRPr="0077277B">
        <w:rPr>
          <w:b/>
          <w:bCs/>
          <w:sz w:val="22"/>
          <w:szCs w:val="22"/>
          <w:lang w:val="en-US"/>
        </w:rPr>
        <w:t>:</w:t>
      </w:r>
      <w:r>
        <w:rPr>
          <w:b/>
          <w:bCs/>
          <w:sz w:val="22"/>
          <w:szCs w:val="22"/>
          <w:lang w:val="en-US"/>
        </w:rPr>
        <w:t xml:space="preserve"> </w:t>
      </w:r>
      <w:proofErr w:type="spellStart"/>
      <w:r w:rsidR="00BE3263" w:rsidRPr="00BE3263">
        <w:rPr>
          <w:sz w:val="22"/>
          <w:szCs w:val="22"/>
          <w:lang w:val="en-US"/>
        </w:rPr>
        <w:t>StringDB</w:t>
      </w:r>
      <w:proofErr w:type="spellEnd"/>
      <w:r w:rsidR="00BE3263" w:rsidRPr="00BE3263">
        <w:rPr>
          <w:sz w:val="22"/>
          <w:szCs w:val="22"/>
          <w:lang w:val="en-US"/>
        </w:rPr>
        <w:t xml:space="preserve"> network of differentially expressed genes </w:t>
      </w:r>
      <w:proofErr w:type="gramStart"/>
      <w:r w:rsidR="00BE3263" w:rsidRPr="00BE3263">
        <w:rPr>
          <w:sz w:val="22"/>
          <w:szCs w:val="22"/>
          <w:lang w:val="en-US"/>
        </w:rPr>
        <w:t>in</w:t>
      </w:r>
      <w:proofErr w:type="gramEnd"/>
      <w:r w:rsidR="00F65442" w:rsidRPr="00BE3263">
        <w:rPr>
          <w:sz w:val="22"/>
          <w:szCs w:val="22"/>
          <w:lang w:val="en-US"/>
        </w:rPr>
        <w:t xml:space="preserve"> SAT</w:t>
      </w:r>
      <w:r w:rsidR="00BE3263" w:rsidRPr="00BE3263">
        <w:rPr>
          <w:sz w:val="22"/>
          <w:szCs w:val="22"/>
          <w:lang w:val="en-US"/>
        </w:rPr>
        <w:t xml:space="preserve"> of men</w:t>
      </w:r>
      <w:r w:rsidR="00F65442" w:rsidRPr="00BE3263">
        <w:rPr>
          <w:sz w:val="22"/>
          <w:szCs w:val="22"/>
          <w:lang w:val="en-US"/>
        </w:rPr>
        <w:t xml:space="preserve"> between positive and control groups for ETD accumulation. Green and black edges between gene nodes represent predicted interactions by text mining and co-expression respectively. Edges colored in pink and blue add information about experimentally determined and gene co-</w:t>
      </w:r>
      <w:r w:rsidR="009677DB" w:rsidRPr="00BE3263">
        <w:rPr>
          <w:sz w:val="22"/>
          <w:szCs w:val="22"/>
          <w:lang w:val="en-US"/>
        </w:rPr>
        <w:t>occurrence</w:t>
      </w:r>
      <w:r w:rsidR="00F65442" w:rsidRPr="00BE3263">
        <w:rPr>
          <w:sz w:val="22"/>
          <w:szCs w:val="22"/>
          <w:lang w:val="en-US"/>
        </w:rPr>
        <w:t xml:space="preserve"> interactions.</w:t>
      </w:r>
    </w:p>
    <w:p w14:paraId="615446EB" w14:textId="4BC0B82E" w:rsidR="00E41AE1" w:rsidRDefault="00E41AE1">
      <w:pPr>
        <w:rPr>
          <w:lang w:val="en-US"/>
        </w:rPr>
      </w:pPr>
    </w:p>
    <w:p w14:paraId="71938E1C" w14:textId="0D3EA386" w:rsidR="006D2736" w:rsidRDefault="006D2736">
      <w:pPr>
        <w:rPr>
          <w:lang w:val="en-US"/>
        </w:rPr>
      </w:pPr>
      <w:r>
        <w:rPr>
          <w:noProof/>
          <w:lang w:val="en-US"/>
        </w:rPr>
        <w:drawing>
          <wp:inline distT="0" distB="0" distL="0" distR="0" wp14:anchorId="37140FB7" wp14:editId="0FCEA3B1">
            <wp:extent cx="5760720" cy="2211705"/>
            <wp:effectExtent l="0" t="0" r="0" b="0"/>
            <wp:docPr id="1520511737" name="Grafik 5"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11737" name="Grafik 5" descr="Ein Bild, das Screenshot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2211705"/>
                    </a:xfrm>
                    <a:prstGeom prst="rect">
                      <a:avLst/>
                    </a:prstGeom>
                  </pic:spPr>
                </pic:pic>
              </a:graphicData>
            </a:graphic>
          </wp:inline>
        </w:drawing>
      </w:r>
    </w:p>
    <w:p w14:paraId="3C0203B7" w14:textId="4E83945B" w:rsidR="00EE2BF3" w:rsidRPr="00A30788" w:rsidRDefault="00A30788" w:rsidP="00CD2E91">
      <w:pPr>
        <w:jc w:val="both"/>
        <w:rPr>
          <w:sz w:val="22"/>
          <w:szCs w:val="22"/>
          <w:lang w:val="en-US"/>
        </w:rPr>
      </w:pPr>
      <w:r w:rsidRPr="00A30788">
        <w:rPr>
          <w:b/>
          <w:bCs/>
          <w:sz w:val="22"/>
          <w:szCs w:val="22"/>
          <w:lang w:val="en-US"/>
        </w:rPr>
        <w:t xml:space="preserve">Suppl. Figure </w:t>
      </w:r>
      <w:r w:rsidR="00B9618D">
        <w:rPr>
          <w:b/>
          <w:bCs/>
          <w:sz w:val="22"/>
          <w:szCs w:val="22"/>
          <w:lang w:val="en-US"/>
        </w:rPr>
        <w:t>7</w:t>
      </w:r>
      <w:r w:rsidRPr="00A30788">
        <w:rPr>
          <w:b/>
          <w:bCs/>
          <w:sz w:val="22"/>
          <w:szCs w:val="22"/>
          <w:lang w:val="en-US"/>
        </w:rPr>
        <w:t>:</w:t>
      </w:r>
      <w:r>
        <w:rPr>
          <w:b/>
          <w:bCs/>
          <w:sz w:val="22"/>
          <w:szCs w:val="22"/>
          <w:lang w:val="en-US"/>
        </w:rPr>
        <w:t xml:space="preserve"> </w:t>
      </w:r>
      <w:proofErr w:type="spellStart"/>
      <w:r w:rsidRPr="00BE3263">
        <w:rPr>
          <w:sz w:val="22"/>
          <w:szCs w:val="22"/>
          <w:lang w:val="en-US"/>
        </w:rPr>
        <w:t>StringDB</w:t>
      </w:r>
      <w:proofErr w:type="spellEnd"/>
      <w:r w:rsidRPr="00BE3263">
        <w:rPr>
          <w:sz w:val="22"/>
          <w:szCs w:val="22"/>
          <w:lang w:val="en-US"/>
        </w:rPr>
        <w:t xml:space="preserve"> network of differentially expressed genes in </w:t>
      </w:r>
      <w:r w:rsidR="006D2736" w:rsidRPr="00A30788">
        <w:rPr>
          <w:sz w:val="22"/>
          <w:szCs w:val="22"/>
          <w:lang w:val="en-US"/>
        </w:rPr>
        <w:t>V</w:t>
      </w:r>
      <w:r>
        <w:rPr>
          <w:sz w:val="22"/>
          <w:szCs w:val="22"/>
          <w:lang w:val="en-US"/>
        </w:rPr>
        <w:t>A</w:t>
      </w:r>
      <w:r w:rsidR="006D2736" w:rsidRPr="00A30788">
        <w:rPr>
          <w:sz w:val="22"/>
          <w:szCs w:val="22"/>
          <w:lang w:val="en-US"/>
        </w:rPr>
        <w:t xml:space="preserve">T </w:t>
      </w:r>
      <w:r>
        <w:rPr>
          <w:sz w:val="22"/>
          <w:szCs w:val="22"/>
          <w:lang w:val="en-US"/>
        </w:rPr>
        <w:t xml:space="preserve">of women </w:t>
      </w:r>
      <w:r w:rsidR="006D2736" w:rsidRPr="00A30788">
        <w:rPr>
          <w:sz w:val="22"/>
          <w:szCs w:val="22"/>
          <w:lang w:val="en-US"/>
        </w:rPr>
        <w:t>between positive and control groups for ETD accumulation. Green and black edges between gene nodes represent predicted interactions by text mining and co-expression respectively.</w:t>
      </w:r>
      <w:r w:rsidR="00684B9B" w:rsidRPr="00A30788">
        <w:rPr>
          <w:sz w:val="22"/>
          <w:szCs w:val="22"/>
          <w:lang w:val="en-US"/>
        </w:rPr>
        <w:t xml:space="preserve"> </w:t>
      </w:r>
      <w:r w:rsidR="00092D11" w:rsidRPr="00A30788">
        <w:rPr>
          <w:sz w:val="22"/>
          <w:szCs w:val="22"/>
          <w:lang w:val="en-US"/>
        </w:rPr>
        <w:t>Edges colored in pink, blue and turquoise add information about experimentally determined, gene co-</w:t>
      </w:r>
      <w:r w:rsidR="009677DB" w:rsidRPr="00A30788">
        <w:rPr>
          <w:sz w:val="22"/>
          <w:szCs w:val="22"/>
          <w:lang w:val="en-US"/>
        </w:rPr>
        <w:t>occurrence</w:t>
      </w:r>
      <w:r w:rsidR="00092D11" w:rsidRPr="00A30788">
        <w:rPr>
          <w:sz w:val="22"/>
          <w:szCs w:val="22"/>
          <w:lang w:val="en-US"/>
        </w:rPr>
        <w:t xml:space="preserve"> and protein homology interaction</w:t>
      </w:r>
      <w:r w:rsidR="00EE2BF3" w:rsidRPr="00A30788">
        <w:rPr>
          <w:sz w:val="22"/>
          <w:szCs w:val="22"/>
          <w:lang w:val="en-US"/>
        </w:rPr>
        <w:t xml:space="preserve"> and interactions form curated databases</w:t>
      </w:r>
      <w:r w:rsidR="00092D11" w:rsidRPr="00A30788">
        <w:rPr>
          <w:sz w:val="22"/>
          <w:szCs w:val="22"/>
          <w:lang w:val="en-US"/>
        </w:rPr>
        <w:t>, respectively.</w:t>
      </w:r>
      <w:r>
        <w:rPr>
          <w:sz w:val="22"/>
          <w:szCs w:val="22"/>
          <w:lang w:val="en-US"/>
        </w:rPr>
        <w:t xml:space="preserve"> </w:t>
      </w:r>
      <w:r w:rsidR="00EE2BF3" w:rsidRPr="00A30788">
        <w:rPr>
          <w:sz w:val="22"/>
          <w:szCs w:val="22"/>
          <w:lang w:val="en-US"/>
        </w:rPr>
        <w:t xml:space="preserve">Nodes highlighted in red indicate genes </w:t>
      </w:r>
      <w:r w:rsidR="00A41809" w:rsidRPr="00A30788">
        <w:rPr>
          <w:sz w:val="22"/>
          <w:szCs w:val="22"/>
          <w:lang w:val="en-US"/>
        </w:rPr>
        <w:t>being functionally enriched in STRING network cluster (</w:t>
      </w:r>
      <w:r w:rsidR="00300C8E" w:rsidRPr="00A30788">
        <w:rPr>
          <w:sz w:val="22"/>
          <w:szCs w:val="22"/>
          <w:lang w:val="en-US"/>
        </w:rPr>
        <w:t xml:space="preserve">CL:15557) representing GPI anchor binding, and Type II hypersensitivity (FDR = </w:t>
      </w:r>
      <w:r w:rsidR="00AE1787" w:rsidRPr="00A30788">
        <w:rPr>
          <w:sz w:val="22"/>
          <w:szCs w:val="22"/>
          <w:lang w:val="en-US"/>
        </w:rPr>
        <w:t>0.015).</w:t>
      </w:r>
    </w:p>
    <w:p w14:paraId="03630930" w14:textId="14A42D30" w:rsidR="004C742E" w:rsidRDefault="004C742E">
      <w:pPr>
        <w:rPr>
          <w:lang w:val="en-US"/>
        </w:rPr>
      </w:pPr>
    </w:p>
    <w:p w14:paraId="614ADCEA" w14:textId="77777777" w:rsidR="008D3248" w:rsidRDefault="008D3248">
      <w:pPr>
        <w:rPr>
          <w:lang w:val="en-US"/>
        </w:rPr>
      </w:pPr>
    </w:p>
    <w:p w14:paraId="67983634" w14:textId="36F5EDF7" w:rsidR="008D3248" w:rsidRDefault="008D3248">
      <w:pPr>
        <w:rPr>
          <w:lang w:val="en-US"/>
        </w:rPr>
      </w:pPr>
      <w:r>
        <w:rPr>
          <w:noProof/>
          <w:lang w:val="en-US"/>
        </w:rPr>
        <w:lastRenderedPageBreak/>
        <w:drawing>
          <wp:inline distT="0" distB="0" distL="0" distR="0" wp14:anchorId="13B6FF57" wp14:editId="51645AC3">
            <wp:extent cx="5760720" cy="2632075"/>
            <wp:effectExtent l="0" t="0" r="0" b="0"/>
            <wp:docPr id="2135037367" name="Grafik 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37367" name="Grafik 6" descr="Ein Bild, das Screenshot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2632075"/>
                    </a:xfrm>
                    <a:prstGeom prst="rect">
                      <a:avLst/>
                    </a:prstGeom>
                  </pic:spPr>
                </pic:pic>
              </a:graphicData>
            </a:graphic>
          </wp:inline>
        </w:drawing>
      </w:r>
    </w:p>
    <w:p w14:paraId="3D5E0CAA" w14:textId="66E71678" w:rsidR="008D3248" w:rsidRPr="006841E8" w:rsidRDefault="00AE6173" w:rsidP="00CD2E91">
      <w:pPr>
        <w:jc w:val="both"/>
        <w:rPr>
          <w:sz w:val="22"/>
          <w:szCs w:val="22"/>
          <w:lang w:val="en-US"/>
        </w:rPr>
      </w:pPr>
      <w:r w:rsidRPr="006841E8">
        <w:rPr>
          <w:b/>
          <w:bCs/>
          <w:sz w:val="22"/>
          <w:szCs w:val="22"/>
          <w:lang w:val="en-US"/>
        </w:rPr>
        <w:t xml:space="preserve">Suppl. Figure </w:t>
      </w:r>
      <w:r w:rsidR="00B9618D">
        <w:rPr>
          <w:b/>
          <w:bCs/>
          <w:sz w:val="22"/>
          <w:szCs w:val="22"/>
          <w:lang w:val="en-US"/>
        </w:rPr>
        <w:t>8</w:t>
      </w:r>
      <w:r w:rsidRPr="006841E8">
        <w:rPr>
          <w:b/>
          <w:bCs/>
          <w:sz w:val="22"/>
          <w:szCs w:val="22"/>
          <w:lang w:val="en-US"/>
        </w:rPr>
        <w:t>:</w:t>
      </w:r>
      <w:r w:rsidRPr="006841E8">
        <w:rPr>
          <w:sz w:val="22"/>
          <w:szCs w:val="22"/>
          <w:lang w:val="en-US"/>
        </w:rPr>
        <w:t xml:space="preserve"> </w:t>
      </w:r>
      <w:proofErr w:type="spellStart"/>
      <w:r w:rsidR="006841E8" w:rsidRPr="00BE3263">
        <w:rPr>
          <w:sz w:val="22"/>
          <w:szCs w:val="22"/>
          <w:lang w:val="en-US"/>
        </w:rPr>
        <w:t>StringDB</w:t>
      </w:r>
      <w:proofErr w:type="spellEnd"/>
      <w:r w:rsidR="006841E8" w:rsidRPr="00BE3263">
        <w:rPr>
          <w:sz w:val="22"/>
          <w:szCs w:val="22"/>
          <w:lang w:val="en-US"/>
        </w:rPr>
        <w:t xml:space="preserve"> network of differentially expressed genes in </w:t>
      </w:r>
      <w:r w:rsidR="006841E8">
        <w:rPr>
          <w:sz w:val="22"/>
          <w:szCs w:val="22"/>
          <w:lang w:val="en-US"/>
        </w:rPr>
        <w:t>VAT</w:t>
      </w:r>
      <w:r w:rsidR="00684B9B" w:rsidRPr="006841E8">
        <w:rPr>
          <w:sz w:val="22"/>
          <w:szCs w:val="22"/>
          <w:lang w:val="en-US"/>
        </w:rPr>
        <w:t xml:space="preserve"> </w:t>
      </w:r>
      <w:r w:rsidR="006841E8">
        <w:rPr>
          <w:sz w:val="22"/>
          <w:szCs w:val="22"/>
          <w:lang w:val="en-US"/>
        </w:rPr>
        <w:t>of men</w:t>
      </w:r>
      <w:r w:rsidR="00684B9B" w:rsidRPr="006841E8">
        <w:rPr>
          <w:sz w:val="22"/>
          <w:szCs w:val="22"/>
          <w:lang w:val="en-US"/>
        </w:rPr>
        <w:t xml:space="preserve"> between positive and control groups for ETD accumulation. Green and black edges between gene nodes represent predicted interactions by text mining and co-expression respectively. Edges colored in pink, blue and turquoise add information about experimentally determined, gene co-</w:t>
      </w:r>
      <w:r w:rsidR="009677DB" w:rsidRPr="006841E8">
        <w:rPr>
          <w:sz w:val="22"/>
          <w:szCs w:val="22"/>
          <w:lang w:val="en-US"/>
        </w:rPr>
        <w:t>occurrence</w:t>
      </w:r>
      <w:r w:rsidR="00684B9B" w:rsidRPr="006841E8">
        <w:rPr>
          <w:sz w:val="22"/>
          <w:szCs w:val="22"/>
          <w:lang w:val="en-US"/>
        </w:rPr>
        <w:t xml:space="preserve"> and protein homology interaction and interactions form curated databases, respectively.</w:t>
      </w:r>
      <w:r w:rsidR="00713F29">
        <w:rPr>
          <w:sz w:val="22"/>
          <w:szCs w:val="22"/>
          <w:lang w:val="en-US"/>
        </w:rPr>
        <w:t xml:space="preserve"> </w:t>
      </w:r>
      <w:r w:rsidR="00684B9B" w:rsidRPr="006841E8">
        <w:rPr>
          <w:sz w:val="22"/>
          <w:szCs w:val="22"/>
          <w:lang w:val="en-US"/>
        </w:rPr>
        <w:t>Nodes highlighted in red indicate genes being functionally enriched</w:t>
      </w:r>
      <w:r w:rsidR="009B0232" w:rsidRPr="006841E8">
        <w:rPr>
          <w:sz w:val="22"/>
          <w:szCs w:val="22"/>
          <w:lang w:val="en-US"/>
        </w:rPr>
        <w:t xml:space="preserve"> MHC class II protein complex binding</w:t>
      </w:r>
      <w:r w:rsidR="00684B9B" w:rsidRPr="006841E8">
        <w:rPr>
          <w:sz w:val="22"/>
          <w:szCs w:val="22"/>
          <w:lang w:val="en-US"/>
        </w:rPr>
        <w:t xml:space="preserve"> (</w:t>
      </w:r>
      <w:r w:rsidR="001D4CD5" w:rsidRPr="006841E8">
        <w:rPr>
          <w:sz w:val="22"/>
          <w:szCs w:val="22"/>
          <w:lang w:val="en-US"/>
        </w:rPr>
        <w:t xml:space="preserve">Gene Ontology – Molecular Function; </w:t>
      </w:r>
      <w:r w:rsidR="00684B9B" w:rsidRPr="006841E8">
        <w:rPr>
          <w:sz w:val="22"/>
          <w:szCs w:val="22"/>
          <w:lang w:val="en-US"/>
        </w:rPr>
        <w:t>FDR = 0.0</w:t>
      </w:r>
      <w:r w:rsidR="009D4F81" w:rsidRPr="006841E8">
        <w:rPr>
          <w:sz w:val="22"/>
          <w:szCs w:val="22"/>
          <w:lang w:val="en-US"/>
        </w:rPr>
        <w:t>20</w:t>
      </w:r>
      <w:r w:rsidR="00684B9B" w:rsidRPr="006841E8">
        <w:rPr>
          <w:sz w:val="22"/>
          <w:szCs w:val="22"/>
          <w:lang w:val="en-US"/>
        </w:rPr>
        <w:t>).</w:t>
      </w:r>
    </w:p>
    <w:sectPr w:rsidR="008D3248" w:rsidRPr="006841E8" w:rsidSect="00BA33DF">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1FCA"/>
    <w:rsid w:val="00010AB6"/>
    <w:rsid w:val="00016F94"/>
    <w:rsid w:val="0002023F"/>
    <w:rsid w:val="00057B5C"/>
    <w:rsid w:val="00090FAD"/>
    <w:rsid w:val="00092D11"/>
    <w:rsid w:val="00093E08"/>
    <w:rsid w:val="000B73E5"/>
    <w:rsid w:val="000C2967"/>
    <w:rsid w:val="000E4E88"/>
    <w:rsid w:val="00120C26"/>
    <w:rsid w:val="001606F2"/>
    <w:rsid w:val="0019676A"/>
    <w:rsid w:val="001D4CD5"/>
    <w:rsid w:val="00204545"/>
    <w:rsid w:val="00222C0B"/>
    <w:rsid w:val="00251238"/>
    <w:rsid w:val="00272EB8"/>
    <w:rsid w:val="002D0AAF"/>
    <w:rsid w:val="002F0AE3"/>
    <w:rsid w:val="002F2042"/>
    <w:rsid w:val="00300C8E"/>
    <w:rsid w:val="00315FA3"/>
    <w:rsid w:val="0033624E"/>
    <w:rsid w:val="00337B35"/>
    <w:rsid w:val="00380C97"/>
    <w:rsid w:val="0039076B"/>
    <w:rsid w:val="00415815"/>
    <w:rsid w:val="00433DE3"/>
    <w:rsid w:val="00447159"/>
    <w:rsid w:val="0045531E"/>
    <w:rsid w:val="00470E73"/>
    <w:rsid w:val="004726FD"/>
    <w:rsid w:val="004A1A7B"/>
    <w:rsid w:val="004B67C2"/>
    <w:rsid w:val="004C742E"/>
    <w:rsid w:val="004D0A17"/>
    <w:rsid w:val="005974DA"/>
    <w:rsid w:val="005A1FCA"/>
    <w:rsid w:val="005C601A"/>
    <w:rsid w:val="005E0FE2"/>
    <w:rsid w:val="006267D4"/>
    <w:rsid w:val="00627CB8"/>
    <w:rsid w:val="00635D33"/>
    <w:rsid w:val="00636975"/>
    <w:rsid w:val="006634A7"/>
    <w:rsid w:val="006841E8"/>
    <w:rsid w:val="00684B9B"/>
    <w:rsid w:val="006A7BCA"/>
    <w:rsid w:val="006D2736"/>
    <w:rsid w:val="006E454D"/>
    <w:rsid w:val="00713F29"/>
    <w:rsid w:val="0071567F"/>
    <w:rsid w:val="0077277B"/>
    <w:rsid w:val="0077578C"/>
    <w:rsid w:val="007A5A72"/>
    <w:rsid w:val="007F0E20"/>
    <w:rsid w:val="008543BA"/>
    <w:rsid w:val="0086171A"/>
    <w:rsid w:val="008A1672"/>
    <w:rsid w:val="008D3248"/>
    <w:rsid w:val="008E52C6"/>
    <w:rsid w:val="008F5895"/>
    <w:rsid w:val="00914006"/>
    <w:rsid w:val="00955906"/>
    <w:rsid w:val="009677DB"/>
    <w:rsid w:val="009B0232"/>
    <w:rsid w:val="009D4F81"/>
    <w:rsid w:val="00A10E20"/>
    <w:rsid w:val="00A16E04"/>
    <w:rsid w:val="00A25A85"/>
    <w:rsid w:val="00A30788"/>
    <w:rsid w:val="00A31600"/>
    <w:rsid w:val="00A41809"/>
    <w:rsid w:val="00A63E54"/>
    <w:rsid w:val="00A70347"/>
    <w:rsid w:val="00AA6439"/>
    <w:rsid w:val="00AD3700"/>
    <w:rsid w:val="00AE1787"/>
    <w:rsid w:val="00AE4B2C"/>
    <w:rsid w:val="00AE6173"/>
    <w:rsid w:val="00B61534"/>
    <w:rsid w:val="00B9618D"/>
    <w:rsid w:val="00BA33DF"/>
    <w:rsid w:val="00BE3263"/>
    <w:rsid w:val="00C13E13"/>
    <w:rsid w:val="00C267BF"/>
    <w:rsid w:val="00C33A3B"/>
    <w:rsid w:val="00C446AB"/>
    <w:rsid w:val="00C7071D"/>
    <w:rsid w:val="00C81700"/>
    <w:rsid w:val="00C86FB8"/>
    <w:rsid w:val="00CB3B60"/>
    <w:rsid w:val="00CD2E91"/>
    <w:rsid w:val="00D801EC"/>
    <w:rsid w:val="00D94E8C"/>
    <w:rsid w:val="00DD3873"/>
    <w:rsid w:val="00E21809"/>
    <w:rsid w:val="00E41AE1"/>
    <w:rsid w:val="00E8699F"/>
    <w:rsid w:val="00E911A1"/>
    <w:rsid w:val="00EA346F"/>
    <w:rsid w:val="00EB3497"/>
    <w:rsid w:val="00ED3120"/>
    <w:rsid w:val="00EE2BF3"/>
    <w:rsid w:val="00F366C3"/>
    <w:rsid w:val="00F55CD6"/>
    <w:rsid w:val="00F65442"/>
    <w:rsid w:val="00FD69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3AC5D"/>
  <w15:chartTrackingRefBased/>
  <w15:docId w15:val="{4AAA941B-C77E-4E4E-8E45-550C5024F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A1FC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A1FC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A1FC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A1FC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A1FC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A1FCA"/>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A1FCA"/>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A1FCA"/>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A1FCA"/>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A1FC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A1FC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A1FC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A1FC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A1FC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A1FC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A1FC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A1FC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A1FCA"/>
    <w:rPr>
      <w:rFonts w:eastAsiaTheme="majorEastAsia" w:cstheme="majorBidi"/>
      <w:color w:val="272727" w:themeColor="text1" w:themeTint="D8"/>
    </w:rPr>
  </w:style>
  <w:style w:type="paragraph" w:styleId="Titel">
    <w:name w:val="Title"/>
    <w:basedOn w:val="Standard"/>
    <w:next w:val="Standard"/>
    <w:link w:val="TitelZchn"/>
    <w:uiPriority w:val="10"/>
    <w:qFormat/>
    <w:rsid w:val="005A1FCA"/>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A1FC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A1FCA"/>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A1FC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A1FCA"/>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5A1FCA"/>
    <w:rPr>
      <w:i/>
      <w:iCs/>
      <w:color w:val="404040" w:themeColor="text1" w:themeTint="BF"/>
    </w:rPr>
  </w:style>
  <w:style w:type="paragraph" w:styleId="Listenabsatz">
    <w:name w:val="List Paragraph"/>
    <w:basedOn w:val="Standard"/>
    <w:uiPriority w:val="34"/>
    <w:qFormat/>
    <w:rsid w:val="005A1FCA"/>
    <w:pPr>
      <w:ind w:left="720"/>
      <w:contextualSpacing/>
    </w:pPr>
  </w:style>
  <w:style w:type="character" w:styleId="IntensiveHervorhebung">
    <w:name w:val="Intense Emphasis"/>
    <w:basedOn w:val="Absatz-Standardschriftart"/>
    <w:uiPriority w:val="21"/>
    <w:qFormat/>
    <w:rsid w:val="005A1FCA"/>
    <w:rPr>
      <w:i/>
      <w:iCs/>
      <w:color w:val="0F4761" w:themeColor="accent1" w:themeShade="BF"/>
    </w:rPr>
  </w:style>
  <w:style w:type="paragraph" w:styleId="IntensivesZitat">
    <w:name w:val="Intense Quote"/>
    <w:basedOn w:val="Standard"/>
    <w:next w:val="Standard"/>
    <w:link w:val="IntensivesZitatZchn"/>
    <w:uiPriority w:val="30"/>
    <w:qFormat/>
    <w:rsid w:val="005A1FC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A1FCA"/>
    <w:rPr>
      <w:i/>
      <w:iCs/>
      <w:color w:val="0F4761" w:themeColor="accent1" w:themeShade="BF"/>
    </w:rPr>
  </w:style>
  <w:style w:type="character" w:styleId="IntensiverVerweis">
    <w:name w:val="Intense Reference"/>
    <w:basedOn w:val="Absatz-Standardschriftart"/>
    <w:uiPriority w:val="32"/>
    <w:qFormat/>
    <w:rsid w:val="005A1FCA"/>
    <w:rPr>
      <w:b/>
      <w:bCs/>
      <w:smallCaps/>
      <w:color w:val="0F4761" w:themeColor="accent1" w:themeShade="BF"/>
      <w:spacing w:val="5"/>
    </w:rPr>
  </w:style>
  <w:style w:type="paragraph" w:customStyle="1" w:styleId="Compact">
    <w:name w:val="Compact"/>
    <w:basedOn w:val="Textkrper"/>
    <w:qFormat/>
    <w:rsid w:val="005A1FCA"/>
    <w:pPr>
      <w:spacing w:before="36" w:after="36"/>
    </w:pPr>
    <w:rPr>
      <w:kern w:val="0"/>
      <w:lang w:val="en-US"/>
      <w14:ligatures w14:val="none"/>
    </w:rPr>
  </w:style>
  <w:style w:type="table" w:customStyle="1" w:styleId="Table">
    <w:name w:val="Table"/>
    <w:semiHidden/>
    <w:unhideWhenUsed/>
    <w:qFormat/>
    <w:rsid w:val="005A1FCA"/>
    <w:pPr>
      <w:spacing w:after="200"/>
    </w:pPr>
    <w:rPr>
      <w:kern w:val="0"/>
      <w:sz w:val="20"/>
      <w:szCs w:val="20"/>
      <w:lang w:val="en-US" w:eastAsia="de-DE"/>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Textkrper">
    <w:name w:val="Body Text"/>
    <w:basedOn w:val="Standard"/>
    <w:link w:val="TextkrperZchn"/>
    <w:uiPriority w:val="99"/>
    <w:semiHidden/>
    <w:unhideWhenUsed/>
    <w:rsid w:val="005A1FCA"/>
    <w:pPr>
      <w:spacing w:after="120"/>
    </w:pPr>
  </w:style>
  <w:style w:type="character" w:customStyle="1" w:styleId="TextkrperZchn">
    <w:name w:val="Textkörper Zchn"/>
    <w:basedOn w:val="Absatz-Standardschriftart"/>
    <w:link w:val="Textkrper"/>
    <w:uiPriority w:val="99"/>
    <w:semiHidden/>
    <w:rsid w:val="005A1FCA"/>
  </w:style>
  <w:style w:type="paragraph" w:styleId="StandardWeb">
    <w:name w:val="Normal (Web)"/>
    <w:basedOn w:val="Standard"/>
    <w:uiPriority w:val="99"/>
    <w:semiHidden/>
    <w:unhideWhenUsed/>
    <w:rsid w:val="007A5A72"/>
    <w:pPr>
      <w:spacing w:before="100" w:beforeAutospacing="1" w:after="100" w:afterAutospacing="1"/>
    </w:pPr>
    <w:rPr>
      <w:rFonts w:ascii="Times New Roman" w:eastAsia="Times New Roman" w:hAnsi="Times New Roman" w:cs="Times New Roman"/>
      <w:kern w:val="0"/>
      <w:lang w:eastAsia="de-DE"/>
      <w14:ligatures w14:val="none"/>
    </w:rPr>
  </w:style>
  <w:style w:type="character" w:styleId="Hyperlink">
    <w:name w:val="Hyperlink"/>
    <w:basedOn w:val="Absatz-Standardschriftart"/>
    <w:uiPriority w:val="99"/>
    <w:unhideWhenUsed/>
    <w:rsid w:val="00300C8E"/>
    <w:rPr>
      <w:color w:val="467886" w:themeColor="hyperlink"/>
      <w:u w:val="single"/>
    </w:rPr>
  </w:style>
  <w:style w:type="character" w:styleId="NichtaufgelsteErwhnung">
    <w:name w:val="Unresolved Mention"/>
    <w:basedOn w:val="Absatz-Standardschriftart"/>
    <w:uiPriority w:val="99"/>
    <w:semiHidden/>
    <w:unhideWhenUsed/>
    <w:rsid w:val="00300C8E"/>
    <w:rPr>
      <w:color w:val="605E5C"/>
      <w:shd w:val="clear" w:color="auto" w:fill="E1DFDD"/>
    </w:rPr>
  </w:style>
  <w:style w:type="paragraph" w:styleId="Beschriftung">
    <w:name w:val="caption"/>
    <w:basedOn w:val="Standard"/>
    <w:next w:val="Standard"/>
    <w:uiPriority w:val="35"/>
    <w:unhideWhenUsed/>
    <w:qFormat/>
    <w:rsid w:val="00FD69A6"/>
    <w:pPr>
      <w:spacing w:after="200"/>
      <w:jc w:val="both"/>
    </w:pPr>
    <w:rPr>
      <w:rFonts w:ascii="Times New Roman" w:eastAsia="Calibri" w:hAnsi="Times New Roman" w:cs="Times New Roman"/>
      <w:iCs/>
      <w:kern w:val="0"/>
      <w:sz w:val="20"/>
      <w:szCs w:val="18"/>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5877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560</Words>
  <Characters>3529</Characters>
  <Application>Microsoft Office Word</Application>
  <DocSecurity>0</DocSecurity>
  <Lines>29</Lines>
  <Paragraphs>8</Paragraphs>
  <ScaleCrop>false</ScaleCrop>
  <Company/>
  <LinksUpToDate>false</LinksUpToDate>
  <CharactersWithSpaces>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Tobias Hagemann</dc:creator>
  <cp:keywords/>
  <dc:description/>
  <cp:lastModifiedBy>Anne</cp:lastModifiedBy>
  <cp:revision>102</cp:revision>
  <dcterms:created xsi:type="dcterms:W3CDTF">2024-06-19T16:34:00Z</dcterms:created>
  <dcterms:modified xsi:type="dcterms:W3CDTF">2025-06-10T08:29:00Z</dcterms:modified>
</cp:coreProperties>
</file>