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ADD7E34" w14:textId="43F3CB49" w:rsidR="0047584B" w:rsidRDefault="000A6119">
      <w:bookmarkStart w:id="0" w:name="_GoBack"/>
      <w:r w:rsidRPr="000A6119">
        <w:rPr>
          <w:noProof/>
          <w:lang w:val="en-US"/>
        </w:rPr>
        <w:drawing>
          <wp:inline distT="0" distB="0" distL="0" distR="0" wp14:anchorId="7ACA9AE3" wp14:editId="2DBDD74A">
            <wp:extent cx="5760720" cy="4358005"/>
            <wp:effectExtent l="0" t="0" r="5080" b="0"/>
            <wp:docPr id="47895398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95398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14D72" w14:textId="77777777" w:rsidR="000A6119" w:rsidRPr="00C86E30" w:rsidRDefault="000A6119" w:rsidP="00E102D3">
      <w:pPr>
        <w:spacing w:line="360" w:lineRule="auto"/>
        <w:rPr>
          <w:b/>
          <w:bCs/>
          <w:i/>
          <w:iCs/>
          <w:sz w:val="20"/>
          <w:szCs w:val="20"/>
          <w:lang w:val="en-GB"/>
        </w:rPr>
      </w:pPr>
      <w:r w:rsidRPr="00C86E30">
        <w:rPr>
          <w:b/>
          <w:bCs/>
          <w:i/>
          <w:iCs/>
          <w:sz w:val="20"/>
          <w:szCs w:val="20"/>
          <w:lang w:val="en-GB"/>
        </w:rPr>
        <w:t>Supplementary Figure 1: Detection and analysis of small particles by spectral and conventional flow cytometry.</w:t>
      </w:r>
    </w:p>
    <w:p w14:paraId="01035E32" w14:textId="61631469" w:rsidR="000A6119" w:rsidRPr="00C86E30" w:rsidRDefault="000A6119" w:rsidP="00E102D3">
      <w:pPr>
        <w:spacing w:line="360" w:lineRule="auto"/>
        <w:jc w:val="both"/>
        <w:rPr>
          <w:i/>
          <w:iCs/>
          <w:color w:val="000000" w:themeColor="text1"/>
          <w:sz w:val="20"/>
          <w:szCs w:val="20"/>
          <w:lang w:val="en-GB"/>
        </w:rPr>
      </w:pPr>
      <w:r w:rsidRPr="00C86E30">
        <w:rPr>
          <w:b/>
          <w:bCs/>
          <w:i/>
          <w:iCs/>
          <w:color w:val="000000" w:themeColor="text1"/>
          <w:sz w:val="20"/>
          <w:szCs w:val="20"/>
          <w:lang w:val="en-GB"/>
        </w:rPr>
        <w:t>a – d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, Detection of small particles. Different nanobeads with defined </w:t>
      </w:r>
      <w:r w:rsidRPr="00C86E30">
        <w:rPr>
          <w:i/>
          <w:iCs/>
          <w:color w:val="000000"/>
          <w:sz w:val="20"/>
          <w:szCs w:val="20"/>
          <w:lang w:val="en-GB"/>
        </w:rPr>
        <w:t>sizes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 and fluorescence </w:t>
      </w:r>
      <w:r w:rsidRPr="00C86E30">
        <w:rPr>
          <w:i/>
          <w:iCs/>
          <w:color w:val="000000"/>
          <w:sz w:val="20"/>
          <w:szCs w:val="20"/>
          <w:lang w:val="en-GB"/>
        </w:rPr>
        <w:t xml:space="preserve">intensities 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were characterized by side scatter high (SSC-H; spectral flow cytometry), forward scatter (FSC), or fluorescence channel </w:t>
      </w:r>
      <w:r w:rsidRPr="00C86E30">
        <w:rPr>
          <w:i/>
          <w:iCs/>
          <w:color w:val="000000"/>
          <w:sz w:val="20"/>
          <w:szCs w:val="20"/>
          <w:lang w:val="en-GB"/>
        </w:rPr>
        <w:t>detection of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 AF488. </w:t>
      </w:r>
      <w:r w:rsidRPr="00C86E30">
        <w:rPr>
          <w:i/>
          <w:iCs/>
          <w:color w:val="000000"/>
          <w:sz w:val="20"/>
          <w:szCs w:val="20"/>
          <w:lang w:val="en-GB"/>
        </w:rPr>
        <w:t>The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 fluorescence intensity of the different beads analysed </w:t>
      </w:r>
      <w:r w:rsidRPr="00C86E30">
        <w:rPr>
          <w:i/>
          <w:iCs/>
          <w:color w:val="000000"/>
          <w:sz w:val="20"/>
          <w:szCs w:val="20"/>
          <w:lang w:val="en-GB"/>
        </w:rPr>
        <w:t xml:space="preserve">via 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>serial dilution</w:t>
      </w:r>
      <w:r w:rsidRPr="00C86E30">
        <w:rPr>
          <w:i/>
          <w:iCs/>
          <w:color w:val="000000"/>
          <w:sz w:val="20"/>
          <w:szCs w:val="20"/>
          <w:lang w:val="en-GB"/>
        </w:rPr>
        <w:t xml:space="preserve"> is plotted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. </w:t>
      </w:r>
      <w:r w:rsidRPr="00C86E30">
        <w:rPr>
          <w:b/>
          <w:bCs/>
          <w:i/>
          <w:iCs/>
          <w:color w:val="000000" w:themeColor="text1"/>
          <w:sz w:val="20"/>
          <w:szCs w:val="20"/>
          <w:lang w:val="en-GB"/>
        </w:rPr>
        <w:t>e - l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>, Fluorescence intensity of serially diluted antibodies. anti-</w:t>
      </w:r>
      <w:r w:rsidRPr="00C86E30">
        <w:rPr>
          <w:i/>
          <w:iCs/>
          <w:color w:val="000000"/>
          <w:sz w:val="20"/>
          <w:szCs w:val="20"/>
          <w:lang w:val="en-GB"/>
        </w:rPr>
        <w:t>HER2–AF488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 (</w:t>
      </w:r>
      <w:r w:rsidRPr="00C86E30">
        <w:rPr>
          <w:b/>
          <w:bCs/>
          <w:i/>
          <w:iCs/>
          <w:color w:val="000000" w:themeColor="text1"/>
          <w:sz w:val="20"/>
          <w:szCs w:val="20"/>
          <w:lang w:val="en-GB"/>
        </w:rPr>
        <w:t>e, f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>), anti-</w:t>
      </w:r>
      <w:r w:rsidRPr="00C86E30">
        <w:rPr>
          <w:i/>
          <w:iCs/>
          <w:color w:val="000000"/>
          <w:sz w:val="20"/>
          <w:szCs w:val="20"/>
          <w:lang w:val="en-GB"/>
        </w:rPr>
        <w:t>CD9–PECy7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 (</w:t>
      </w:r>
      <w:r w:rsidRPr="00C86E30">
        <w:rPr>
          <w:b/>
          <w:bCs/>
          <w:i/>
          <w:iCs/>
          <w:color w:val="000000" w:themeColor="text1"/>
          <w:sz w:val="20"/>
          <w:szCs w:val="20"/>
          <w:lang w:val="en-GB"/>
        </w:rPr>
        <w:t>g, h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>), anti-</w:t>
      </w:r>
      <w:r w:rsidRPr="00C86E30">
        <w:rPr>
          <w:i/>
          <w:iCs/>
          <w:color w:val="000000"/>
          <w:sz w:val="20"/>
          <w:szCs w:val="20"/>
          <w:lang w:val="en-GB"/>
        </w:rPr>
        <w:t>CD9–PE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 (</w:t>
      </w:r>
      <w:r w:rsidRPr="00C86E30">
        <w:rPr>
          <w:b/>
          <w:bCs/>
          <w:i/>
          <w:iCs/>
          <w:color w:val="000000" w:themeColor="text1"/>
          <w:sz w:val="20"/>
          <w:szCs w:val="20"/>
          <w:lang w:val="en-GB"/>
        </w:rPr>
        <w:t>I, j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>), and anti-</w:t>
      </w:r>
      <w:r w:rsidRPr="00C86E30">
        <w:rPr>
          <w:i/>
          <w:iCs/>
          <w:color w:val="000000"/>
          <w:sz w:val="20"/>
          <w:szCs w:val="20"/>
          <w:lang w:val="en-GB"/>
        </w:rPr>
        <w:t>CD81–PEDazzle594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 (</w:t>
      </w:r>
      <w:r w:rsidRPr="00C86E30">
        <w:rPr>
          <w:b/>
          <w:bCs/>
          <w:i/>
          <w:iCs/>
          <w:color w:val="000000" w:themeColor="text1"/>
          <w:sz w:val="20"/>
          <w:szCs w:val="20"/>
          <w:lang w:val="en-GB"/>
        </w:rPr>
        <w:t>k, l)</w:t>
      </w:r>
      <w:r w:rsidRPr="00C86E30">
        <w:rPr>
          <w:i/>
          <w:iCs/>
          <w:color w:val="000000"/>
          <w:sz w:val="20"/>
          <w:szCs w:val="20"/>
          <w:lang w:val="en-GB"/>
        </w:rPr>
        <w:t xml:space="preserve"> antibodies were used. The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 antibodies were serially diluted </w:t>
      </w:r>
      <w:r w:rsidRPr="00C86E30">
        <w:rPr>
          <w:i/>
          <w:iCs/>
          <w:color w:val="000000"/>
          <w:sz w:val="20"/>
          <w:szCs w:val="20"/>
          <w:lang w:val="en-GB"/>
        </w:rPr>
        <w:t>to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 a concentration of </w:t>
      </w:r>
      <w:r w:rsidRPr="00C86E30">
        <w:rPr>
          <w:i/>
          <w:iCs/>
          <w:color w:val="000000"/>
          <w:sz w:val="20"/>
          <w:szCs w:val="20"/>
          <w:lang w:val="en-GB"/>
        </w:rPr>
        <w:t>1 ng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/µl, followed by </w:t>
      </w:r>
      <w:r w:rsidRPr="00C86E30">
        <w:rPr>
          <w:i/>
          <w:iCs/>
          <w:color w:val="000000"/>
          <w:sz w:val="20"/>
          <w:szCs w:val="20"/>
          <w:lang w:val="en-GB"/>
        </w:rPr>
        <w:t>the addition of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 anti-IgG</w:t>
      </w:r>
      <w:r w:rsidRPr="00C86E30">
        <w:rPr>
          <w:i/>
          <w:iCs/>
          <w:color w:val="000000"/>
          <w:sz w:val="20"/>
          <w:szCs w:val="20"/>
          <w:lang w:val="en-GB"/>
        </w:rPr>
        <w:t>-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coated beads (compensation beads). </w:t>
      </w:r>
      <w:r w:rsidRPr="00C86E30">
        <w:rPr>
          <w:i/>
          <w:iCs/>
          <w:color w:val="000000"/>
          <w:sz w:val="20"/>
          <w:szCs w:val="20"/>
          <w:lang w:val="en-GB"/>
        </w:rPr>
        <w:t>Representative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 histograms and fluorescence </w:t>
      </w:r>
      <w:r w:rsidRPr="00C86E30">
        <w:rPr>
          <w:i/>
          <w:iCs/>
          <w:color w:val="000000"/>
          <w:sz w:val="20"/>
          <w:szCs w:val="20"/>
          <w:lang w:val="en-GB"/>
        </w:rPr>
        <w:t>intensities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 in correlation </w:t>
      </w:r>
      <w:r w:rsidRPr="00C86E30">
        <w:rPr>
          <w:i/>
          <w:iCs/>
          <w:color w:val="000000"/>
          <w:sz w:val="20"/>
          <w:szCs w:val="20"/>
          <w:lang w:val="en-GB"/>
        </w:rPr>
        <w:t>with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 dilution</w:t>
      </w:r>
      <w:r w:rsidRPr="00C86E30">
        <w:rPr>
          <w:i/>
          <w:iCs/>
          <w:color w:val="000000"/>
          <w:sz w:val="20"/>
          <w:szCs w:val="20"/>
          <w:lang w:val="en-GB"/>
        </w:rPr>
        <w:t xml:space="preserve"> are shown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. </w:t>
      </w:r>
      <w:r w:rsidRPr="00C86E30">
        <w:rPr>
          <w:b/>
          <w:bCs/>
          <w:i/>
          <w:iCs/>
          <w:color w:val="000000" w:themeColor="text1"/>
          <w:sz w:val="20"/>
          <w:szCs w:val="20"/>
          <w:lang w:val="en-GB"/>
        </w:rPr>
        <w:t>m, n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, </w:t>
      </w:r>
      <w:r w:rsidRPr="00C86E30">
        <w:rPr>
          <w:i/>
          <w:iCs/>
          <w:color w:val="000000"/>
          <w:sz w:val="20"/>
          <w:szCs w:val="20"/>
          <w:lang w:val="en-GB"/>
        </w:rPr>
        <w:t>Detection of nonspecific</w:t>
      </w:r>
      <w:r w:rsidRPr="00C86E30">
        <w:rPr>
          <w:i/>
          <w:iCs/>
          <w:color w:val="000000" w:themeColor="text1"/>
          <w:sz w:val="20"/>
          <w:szCs w:val="20"/>
          <w:lang w:val="en-GB"/>
        </w:rPr>
        <w:t xml:space="preserve"> background signals. PBS was subjected to sterile filtering through a 0.22 µm filter, removal of air bubbles through a vacuum, and then analysed by spectral flow cytometry, counting beads of 1 µm size were added. </w:t>
      </w:r>
    </w:p>
    <w:p w14:paraId="3112D8F0" w14:textId="77777777" w:rsidR="000A6119" w:rsidRDefault="000A6119">
      <w:pPr>
        <w:rPr>
          <w:i/>
          <w:iCs/>
          <w:color w:val="000000" w:themeColor="text1"/>
          <w:sz w:val="18"/>
          <w:szCs w:val="18"/>
          <w:lang w:val="en-GB"/>
        </w:rPr>
      </w:pPr>
      <w:r>
        <w:rPr>
          <w:i/>
          <w:iCs/>
          <w:color w:val="000000" w:themeColor="text1"/>
          <w:sz w:val="18"/>
          <w:szCs w:val="18"/>
          <w:lang w:val="en-GB"/>
        </w:rPr>
        <w:br w:type="page"/>
      </w:r>
    </w:p>
    <w:p w14:paraId="7ACE8F79" w14:textId="07FF5669" w:rsidR="00BA5680" w:rsidRDefault="005953A0" w:rsidP="00E102D3">
      <w:pPr>
        <w:spacing w:line="360" w:lineRule="auto"/>
        <w:jc w:val="both"/>
        <w:rPr>
          <w:i/>
          <w:iCs/>
          <w:color w:val="000000" w:themeColor="text1"/>
          <w:sz w:val="18"/>
          <w:szCs w:val="18"/>
          <w:lang w:val="en-US"/>
        </w:rPr>
      </w:pPr>
      <w:r w:rsidRPr="005953A0">
        <w:rPr>
          <w:noProof/>
          <w:lang w:val="en-US"/>
        </w:rPr>
        <w:lastRenderedPageBreak/>
        <w:t xml:space="preserve"> </w:t>
      </w:r>
      <w:r w:rsidRPr="005953A0">
        <w:rPr>
          <w:b/>
          <w:bCs/>
          <w:i/>
          <w:iCs/>
          <w:noProof/>
          <w:color w:val="000000" w:themeColor="text1"/>
          <w:sz w:val="18"/>
          <w:szCs w:val="18"/>
          <w:lang w:val="en-US"/>
        </w:rPr>
        <w:drawing>
          <wp:inline distT="0" distB="0" distL="0" distR="0" wp14:anchorId="45FD209B" wp14:editId="48D523D6">
            <wp:extent cx="5760720" cy="4293235"/>
            <wp:effectExtent l="0" t="0" r="0" b="0"/>
            <wp:docPr id="128109046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09046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9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5680" w:rsidRPr="00BA5680">
        <w:rPr>
          <w:b/>
          <w:bCs/>
          <w:i/>
          <w:iCs/>
          <w:color w:val="000000" w:themeColor="text1"/>
          <w:sz w:val="18"/>
          <w:szCs w:val="18"/>
          <w:lang w:val="en-US"/>
        </w:rPr>
        <w:t xml:space="preserve"> </w:t>
      </w:r>
      <w:r w:rsidR="00BA5680" w:rsidRPr="00C86E30">
        <w:rPr>
          <w:b/>
          <w:bCs/>
          <w:i/>
          <w:iCs/>
          <w:color w:val="000000" w:themeColor="text1"/>
          <w:sz w:val="20"/>
          <w:szCs w:val="20"/>
          <w:lang w:val="en-US"/>
        </w:rPr>
        <w:t>Supplementary Figure 2: Detection of surface markers on EVs and cells by spectral flow cytometry. a</w:t>
      </w:r>
      <w:r w:rsidR="00BA5680" w:rsidRPr="00C86E30">
        <w:rPr>
          <w:i/>
          <w:iCs/>
          <w:color w:val="000000" w:themeColor="text1"/>
          <w:sz w:val="20"/>
          <w:szCs w:val="20"/>
          <w:lang w:val="en-US"/>
        </w:rPr>
        <w:t xml:space="preserve">, Western Blot analysis of cell lysate and cell culture supernatant (30µg/lane) for Calnexin and CD9. </w:t>
      </w:r>
      <w:r w:rsidR="00BA5680" w:rsidRPr="00C86E30">
        <w:rPr>
          <w:b/>
          <w:bCs/>
          <w:i/>
          <w:iCs/>
          <w:color w:val="000000" w:themeColor="text1"/>
          <w:sz w:val="20"/>
          <w:szCs w:val="20"/>
          <w:lang w:val="en-US"/>
        </w:rPr>
        <w:t>b</w:t>
      </w:r>
      <w:r w:rsidR="00BA5680" w:rsidRPr="00C86E30">
        <w:rPr>
          <w:i/>
          <w:iCs/>
          <w:color w:val="000000" w:themeColor="text1"/>
          <w:sz w:val="20"/>
          <w:szCs w:val="20"/>
          <w:lang w:val="en-US"/>
        </w:rPr>
        <w:t xml:space="preserve">, Titration of anti-CD9-PerCP-Cy5.5 antibody in the cell culture supernatant (SN), NaCl, and DMEM. Plotted is the mean of the CD9-positive particles / µl from three experiments. </w:t>
      </w:r>
      <w:r w:rsidR="00BA5680" w:rsidRPr="00C86E30">
        <w:rPr>
          <w:b/>
          <w:bCs/>
          <w:i/>
          <w:iCs/>
          <w:color w:val="000000" w:themeColor="text1"/>
          <w:sz w:val="20"/>
          <w:szCs w:val="20"/>
          <w:lang w:val="en-US"/>
        </w:rPr>
        <w:t xml:space="preserve">c, </w:t>
      </w:r>
      <w:r w:rsidR="00BA5680" w:rsidRPr="00C86E30">
        <w:rPr>
          <w:i/>
          <w:iCs/>
          <w:color w:val="000000" w:themeColor="text1"/>
          <w:sz w:val="20"/>
          <w:szCs w:val="20"/>
          <w:lang w:val="en-US"/>
        </w:rPr>
        <w:t xml:space="preserve">representative </w:t>
      </w:r>
      <w:proofErr w:type="spellStart"/>
      <w:r w:rsidR="00BA5680" w:rsidRPr="00C86E30">
        <w:rPr>
          <w:i/>
          <w:iCs/>
          <w:color w:val="000000" w:themeColor="text1"/>
          <w:sz w:val="20"/>
          <w:szCs w:val="20"/>
          <w:lang w:val="en-US"/>
        </w:rPr>
        <w:t>pseudocolour</w:t>
      </w:r>
      <w:proofErr w:type="spellEnd"/>
      <w:r w:rsidR="00BA5680" w:rsidRPr="00C86E30">
        <w:rPr>
          <w:i/>
          <w:iCs/>
          <w:color w:val="000000" w:themeColor="text1"/>
          <w:sz w:val="20"/>
          <w:szCs w:val="20"/>
          <w:lang w:val="en-US"/>
        </w:rPr>
        <w:t xml:space="preserve"> dot plots of cell culture supernatant of indicated cell lines or DMEM stained with anti-CD9 or anti-HLA-ABC.</w:t>
      </w:r>
      <w:r w:rsidR="00BA5680" w:rsidRPr="00C86E30">
        <w:rPr>
          <w:b/>
          <w:bCs/>
          <w:i/>
          <w:iCs/>
          <w:color w:val="000000" w:themeColor="text1"/>
          <w:sz w:val="20"/>
          <w:szCs w:val="20"/>
          <w:lang w:val="en-US"/>
        </w:rPr>
        <w:t xml:space="preserve"> D, </w:t>
      </w:r>
      <w:r w:rsidR="00BA5680" w:rsidRPr="00C86E30">
        <w:rPr>
          <w:i/>
          <w:iCs/>
          <w:color w:val="000000" w:themeColor="text1"/>
          <w:sz w:val="20"/>
          <w:szCs w:val="20"/>
          <w:lang w:val="en-US"/>
        </w:rPr>
        <w:t xml:space="preserve">stained cell culture supernatant (c) treated with triton-X-100. </w:t>
      </w:r>
      <w:r w:rsidR="00BA5680" w:rsidRPr="00C86E30">
        <w:rPr>
          <w:b/>
          <w:bCs/>
          <w:i/>
          <w:iCs/>
          <w:color w:val="000000" w:themeColor="text1"/>
          <w:sz w:val="20"/>
          <w:szCs w:val="20"/>
          <w:lang w:val="en-US"/>
        </w:rPr>
        <w:t>e, f,</w:t>
      </w:r>
      <w:r w:rsidR="00BA5680" w:rsidRPr="00C86E30">
        <w:rPr>
          <w:i/>
          <w:iCs/>
          <w:color w:val="000000" w:themeColor="text1"/>
          <w:sz w:val="20"/>
          <w:szCs w:val="20"/>
          <w:lang w:val="en-US"/>
        </w:rPr>
        <w:t xml:space="preserve"> Representative histograms from intracellular (c) or cell surface staining of BT474, MCF-7, SKBR-3, and MDA-MB-231 breast cancer cell lines with anti-CD9-PE or anti-HLA class I followed by flow cytometry analysis. Isotype control antibodies (light grey) and unstained samples (dark grey) served as negative controls.</w:t>
      </w:r>
    </w:p>
    <w:p w14:paraId="58EC8B32" w14:textId="77777777" w:rsidR="00BA5680" w:rsidRDefault="00BA5680">
      <w:pPr>
        <w:rPr>
          <w:i/>
          <w:iCs/>
          <w:color w:val="000000" w:themeColor="text1"/>
          <w:sz w:val="18"/>
          <w:szCs w:val="18"/>
          <w:lang w:val="en-US"/>
        </w:rPr>
      </w:pPr>
      <w:r>
        <w:rPr>
          <w:i/>
          <w:iCs/>
          <w:color w:val="000000" w:themeColor="text1"/>
          <w:sz w:val="18"/>
          <w:szCs w:val="18"/>
          <w:lang w:val="en-US"/>
        </w:rPr>
        <w:br w:type="page"/>
      </w:r>
    </w:p>
    <w:p w14:paraId="1A3DD463" w14:textId="21C883EB" w:rsidR="008F70D4" w:rsidRPr="00B05D83" w:rsidRDefault="00B05D83" w:rsidP="008F70D4">
      <w:pPr>
        <w:rPr>
          <w:lang w:val="en-GB"/>
        </w:rPr>
      </w:pPr>
      <w:r w:rsidRPr="00B05D83">
        <w:rPr>
          <w:noProof/>
          <w:lang w:val="en-US"/>
        </w:rPr>
        <w:lastRenderedPageBreak/>
        <w:t xml:space="preserve"> </w:t>
      </w:r>
      <w:r w:rsidRPr="00B05D83">
        <w:rPr>
          <w:noProof/>
          <w:lang w:val="en-US"/>
        </w:rPr>
        <w:drawing>
          <wp:inline distT="0" distB="0" distL="0" distR="0" wp14:anchorId="5C467EF2" wp14:editId="1780F48A">
            <wp:extent cx="2908300" cy="1117600"/>
            <wp:effectExtent l="0" t="0" r="0" b="0"/>
            <wp:docPr id="178064981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64981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08300" cy="11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991A3" w14:textId="77777777" w:rsidR="008F70D4" w:rsidRPr="00F231B8" w:rsidRDefault="008F70D4" w:rsidP="008F70D4">
      <w:pPr>
        <w:rPr>
          <w:lang w:val="en-GB"/>
        </w:rPr>
      </w:pPr>
    </w:p>
    <w:p w14:paraId="1D1FBD8A" w14:textId="77777777" w:rsidR="00E102D3" w:rsidRDefault="008F70D4" w:rsidP="00E102D3">
      <w:pPr>
        <w:spacing w:line="360" w:lineRule="auto"/>
        <w:rPr>
          <w:b/>
          <w:bCs/>
          <w:sz w:val="20"/>
          <w:szCs w:val="20"/>
          <w:lang w:val="en-GB"/>
        </w:rPr>
      </w:pPr>
      <w:r w:rsidRPr="00A11D46">
        <w:rPr>
          <w:b/>
          <w:bCs/>
          <w:i/>
          <w:iCs/>
          <w:sz w:val="20"/>
          <w:szCs w:val="20"/>
          <w:lang w:val="en-GB"/>
        </w:rPr>
        <w:t>Supplementary Figure 3.</w:t>
      </w:r>
      <w:r w:rsidRPr="00A11D46">
        <w:rPr>
          <w:b/>
          <w:bCs/>
          <w:sz w:val="20"/>
          <w:szCs w:val="20"/>
          <w:lang w:val="en-GB"/>
        </w:rPr>
        <w:t xml:space="preserve"> </w:t>
      </w:r>
      <w:r>
        <w:rPr>
          <w:b/>
          <w:bCs/>
          <w:sz w:val="20"/>
          <w:szCs w:val="20"/>
          <w:lang w:val="en-GB"/>
        </w:rPr>
        <w:t xml:space="preserve">Titration of HER2 Antibody. </w:t>
      </w:r>
    </w:p>
    <w:p w14:paraId="7724F27A" w14:textId="3C288CDF" w:rsidR="008F70D4" w:rsidRPr="00A11D46" w:rsidRDefault="00E102D3" w:rsidP="00E102D3">
      <w:pPr>
        <w:spacing w:line="360" w:lineRule="auto"/>
        <w:jc w:val="both"/>
        <w:rPr>
          <w:sz w:val="20"/>
          <w:szCs w:val="20"/>
          <w:lang w:val="en-GB"/>
        </w:rPr>
      </w:pPr>
      <w:proofErr w:type="gramStart"/>
      <w:r>
        <w:rPr>
          <w:b/>
          <w:bCs/>
          <w:sz w:val="20"/>
          <w:szCs w:val="20"/>
          <w:lang w:val="en-GB"/>
        </w:rPr>
        <w:t>a</w:t>
      </w:r>
      <w:proofErr w:type="gramEnd"/>
      <w:r w:rsidR="00B05D83">
        <w:rPr>
          <w:b/>
          <w:bCs/>
          <w:sz w:val="20"/>
          <w:szCs w:val="20"/>
          <w:lang w:val="en-GB"/>
        </w:rPr>
        <w:t xml:space="preserve">, </w:t>
      </w:r>
      <w:r w:rsidR="008F70D4" w:rsidRPr="00A11D46">
        <w:rPr>
          <w:i/>
          <w:iCs/>
          <w:color w:val="000000" w:themeColor="text1"/>
          <w:sz w:val="20"/>
          <w:szCs w:val="20"/>
          <w:lang w:val="en-US"/>
        </w:rPr>
        <w:t>Titration of anti-</w:t>
      </w:r>
      <w:r w:rsidR="008F70D4" w:rsidRPr="008F70D4">
        <w:rPr>
          <w:i/>
          <w:iCs/>
          <w:color w:val="000000" w:themeColor="text1"/>
          <w:sz w:val="20"/>
          <w:szCs w:val="20"/>
          <w:lang w:val="en-US"/>
        </w:rPr>
        <w:t>HER2 – AF488</w:t>
      </w:r>
      <w:r w:rsidR="008F70D4" w:rsidRPr="00A11D46">
        <w:rPr>
          <w:i/>
          <w:iCs/>
          <w:color w:val="000000" w:themeColor="text1"/>
          <w:sz w:val="20"/>
          <w:szCs w:val="20"/>
          <w:lang w:val="en-US"/>
        </w:rPr>
        <w:t xml:space="preserve"> antibody in the </w:t>
      </w:r>
      <w:r w:rsidR="008F70D4" w:rsidRPr="008F70D4">
        <w:rPr>
          <w:i/>
          <w:iCs/>
          <w:color w:val="000000" w:themeColor="text1"/>
          <w:sz w:val="20"/>
          <w:szCs w:val="20"/>
          <w:lang w:val="en-US"/>
        </w:rPr>
        <w:t>SKBR-3</w:t>
      </w:r>
      <w:r w:rsidR="008F70D4" w:rsidRPr="00A11D46">
        <w:rPr>
          <w:i/>
          <w:iCs/>
          <w:color w:val="000000" w:themeColor="text1"/>
          <w:sz w:val="20"/>
          <w:szCs w:val="20"/>
          <w:lang w:val="en-US"/>
        </w:rPr>
        <w:t xml:space="preserve"> </w:t>
      </w:r>
      <w:r w:rsidR="008F70D4" w:rsidRPr="008F70D4">
        <w:rPr>
          <w:i/>
          <w:iCs/>
          <w:color w:val="000000" w:themeColor="text1"/>
          <w:sz w:val="20"/>
          <w:szCs w:val="20"/>
          <w:lang w:val="en-US"/>
        </w:rPr>
        <w:t xml:space="preserve">cell </w:t>
      </w:r>
      <w:r w:rsidR="008F70D4" w:rsidRPr="00A11D46">
        <w:rPr>
          <w:i/>
          <w:iCs/>
          <w:color w:val="000000" w:themeColor="text1"/>
          <w:sz w:val="20"/>
          <w:szCs w:val="20"/>
          <w:lang w:val="en-US"/>
        </w:rPr>
        <w:t xml:space="preserve">culture supernatant, NaCl, and DMEM. Plotted is the mean of the </w:t>
      </w:r>
      <w:r w:rsidR="008F70D4" w:rsidRPr="008F70D4">
        <w:rPr>
          <w:i/>
          <w:iCs/>
          <w:color w:val="000000" w:themeColor="text1"/>
          <w:sz w:val="20"/>
          <w:szCs w:val="20"/>
          <w:lang w:val="en-US"/>
        </w:rPr>
        <w:t>HER2</w:t>
      </w:r>
      <w:r w:rsidR="008F70D4" w:rsidRPr="00A11D46">
        <w:rPr>
          <w:i/>
          <w:iCs/>
          <w:color w:val="000000" w:themeColor="text1"/>
          <w:sz w:val="20"/>
          <w:szCs w:val="20"/>
          <w:lang w:val="en-US"/>
        </w:rPr>
        <w:t>-positive particles / µl from three experiments.</w:t>
      </w:r>
      <w:r w:rsidR="00B05D83">
        <w:rPr>
          <w:i/>
          <w:iCs/>
          <w:color w:val="000000" w:themeColor="text1"/>
          <w:sz w:val="20"/>
          <w:szCs w:val="20"/>
          <w:lang w:val="en-US"/>
        </w:rPr>
        <w:t xml:space="preserve"> </w:t>
      </w:r>
      <w:r w:rsidR="00B05D83" w:rsidRPr="00B05D83">
        <w:rPr>
          <w:b/>
          <w:bCs/>
          <w:i/>
          <w:iCs/>
          <w:color w:val="000000" w:themeColor="text1"/>
          <w:sz w:val="20"/>
          <w:szCs w:val="20"/>
          <w:lang w:val="en-US"/>
        </w:rPr>
        <w:t>b</w:t>
      </w:r>
      <w:r w:rsidR="00B05D83">
        <w:rPr>
          <w:i/>
          <w:iCs/>
          <w:color w:val="000000" w:themeColor="text1"/>
          <w:sz w:val="20"/>
          <w:szCs w:val="20"/>
          <w:lang w:val="en-US"/>
        </w:rPr>
        <w:t xml:space="preserve">, </w:t>
      </w:r>
      <w:r w:rsidR="00B05D83" w:rsidRPr="00B05D83">
        <w:rPr>
          <w:i/>
          <w:iCs/>
          <w:color w:val="000000" w:themeColor="text1"/>
          <w:sz w:val="20"/>
          <w:szCs w:val="20"/>
          <w:lang w:val="en-US"/>
        </w:rPr>
        <w:t>Correlation of the number of HER2</w:t>
      </w:r>
      <w:r w:rsidR="00B05D83" w:rsidRPr="00A23847">
        <w:rPr>
          <w:i/>
          <w:iCs/>
          <w:color w:val="000000" w:themeColor="text1"/>
          <w:sz w:val="20"/>
          <w:szCs w:val="20"/>
          <w:vertAlign w:val="superscript"/>
          <w:lang w:val="en-US"/>
        </w:rPr>
        <w:t>+</w:t>
      </w:r>
      <w:r w:rsidR="00B05D83" w:rsidRPr="00B05D83">
        <w:rPr>
          <w:i/>
          <w:iCs/>
          <w:color w:val="000000" w:themeColor="text1"/>
          <w:sz w:val="20"/>
          <w:szCs w:val="20"/>
          <w:lang w:val="en-US"/>
        </w:rPr>
        <w:t xml:space="preserve"> EVs with their fluorescence intensity per EV of the different target lines.</w:t>
      </w:r>
    </w:p>
    <w:p w14:paraId="5E18B4D5" w14:textId="701A5096" w:rsidR="00DC2C4A" w:rsidRDefault="00DC2C4A">
      <w:pPr>
        <w:rPr>
          <w:b/>
          <w:bCs/>
          <w:i/>
          <w:iCs/>
          <w:color w:val="000000" w:themeColor="text1"/>
          <w:sz w:val="18"/>
          <w:szCs w:val="18"/>
          <w:lang w:val="en-US"/>
        </w:rPr>
      </w:pPr>
      <w:r>
        <w:rPr>
          <w:b/>
          <w:bCs/>
          <w:i/>
          <w:iCs/>
          <w:color w:val="000000" w:themeColor="text1"/>
          <w:sz w:val="18"/>
          <w:szCs w:val="18"/>
          <w:lang w:val="en-US"/>
        </w:rPr>
        <w:br w:type="page"/>
      </w:r>
    </w:p>
    <w:p w14:paraId="3C9272A5" w14:textId="77777777" w:rsidR="005E4CD9" w:rsidRPr="00DC2C4A" w:rsidRDefault="005E4CD9" w:rsidP="005E4CD9">
      <w:pPr>
        <w:rPr>
          <w:i/>
          <w:iCs/>
          <w:sz w:val="20"/>
          <w:szCs w:val="20"/>
          <w:lang w:val="en-US"/>
        </w:rPr>
      </w:pPr>
    </w:p>
    <w:p w14:paraId="3886616A" w14:textId="67238A05" w:rsidR="00B05D83" w:rsidRPr="00F420FF" w:rsidRDefault="00F420FF" w:rsidP="005E4CD9">
      <w:pPr>
        <w:rPr>
          <w:i/>
          <w:iCs/>
          <w:sz w:val="20"/>
          <w:szCs w:val="20"/>
          <w:lang w:val="en-US"/>
        </w:rPr>
      </w:pPr>
      <w:r w:rsidRPr="00F420FF">
        <w:rPr>
          <w:i/>
          <w:iCs/>
          <w:noProof/>
          <w:sz w:val="20"/>
          <w:szCs w:val="20"/>
          <w:lang w:val="en-US"/>
        </w:rPr>
        <w:drawing>
          <wp:inline distT="0" distB="0" distL="0" distR="0" wp14:anchorId="5972CF5C" wp14:editId="2489EBB1">
            <wp:extent cx="4229100" cy="3797300"/>
            <wp:effectExtent l="0" t="0" r="0" b="0"/>
            <wp:docPr id="30503036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03036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379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063F1" w14:textId="1EEFEBE4" w:rsidR="005E4CD9" w:rsidRPr="00C86E30" w:rsidRDefault="005E4CD9" w:rsidP="00E102D3">
      <w:pPr>
        <w:spacing w:line="360" w:lineRule="auto"/>
        <w:rPr>
          <w:b/>
          <w:bCs/>
          <w:i/>
          <w:iCs/>
          <w:sz w:val="20"/>
          <w:szCs w:val="20"/>
          <w:lang w:val="en-GB"/>
        </w:rPr>
      </w:pPr>
      <w:r w:rsidRPr="00C86E30">
        <w:rPr>
          <w:b/>
          <w:bCs/>
          <w:i/>
          <w:iCs/>
          <w:sz w:val="20"/>
          <w:szCs w:val="20"/>
          <w:lang w:val="en-GB"/>
        </w:rPr>
        <w:t xml:space="preserve">Supplementary Figure 4. </w:t>
      </w:r>
      <w:r w:rsidR="00C86E30" w:rsidRPr="00C86E30">
        <w:rPr>
          <w:b/>
          <w:bCs/>
          <w:i/>
          <w:iCs/>
          <w:sz w:val="20"/>
          <w:szCs w:val="20"/>
          <w:lang w:val="en-GB"/>
        </w:rPr>
        <w:t>Correlation of HER2</w:t>
      </w:r>
      <w:r w:rsidR="00C86E30" w:rsidRPr="00C86E30">
        <w:rPr>
          <w:b/>
          <w:bCs/>
          <w:i/>
          <w:iCs/>
          <w:sz w:val="20"/>
          <w:szCs w:val="20"/>
          <w:vertAlign w:val="superscript"/>
          <w:lang w:val="en-GB"/>
        </w:rPr>
        <w:t>+</w:t>
      </w:r>
      <w:r w:rsidR="00C86E30" w:rsidRPr="00C86E30">
        <w:rPr>
          <w:b/>
          <w:bCs/>
          <w:i/>
          <w:iCs/>
          <w:sz w:val="20"/>
          <w:szCs w:val="20"/>
          <w:lang w:val="en-GB"/>
        </w:rPr>
        <w:t xml:space="preserve"> EVs with clinical parameters</w:t>
      </w:r>
    </w:p>
    <w:p w14:paraId="669C7BA1" w14:textId="09F5F4D6" w:rsidR="005E4CD9" w:rsidRPr="00F420FF" w:rsidRDefault="005E4CD9" w:rsidP="00F420FF">
      <w:pPr>
        <w:spacing w:line="360" w:lineRule="auto"/>
        <w:jc w:val="both"/>
        <w:rPr>
          <w:i/>
          <w:iCs/>
          <w:color w:val="000000" w:themeColor="text1"/>
          <w:sz w:val="20"/>
          <w:szCs w:val="20"/>
          <w:lang w:val="en-US"/>
        </w:rPr>
      </w:pPr>
      <w:proofErr w:type="gramStart"/>
      <w:r w:rsidRPr="00C86E30">
        <w:rPr>
          <w:b/>
          <w:bCs/>
          <w:i/>
          <w:iCs/>
          <w:sz w:val="20"/>
          <w:szCs w:val="20"/>
          <w:lang w:val="en-GB"/>
        </w:rPr>
        <w:t>a</w:t>
      </w:r>
      <w:proofErr w:type="gramEnd"/>
      <w:r w:rsidRPr="00C86E30">
        <w:rPr>
          <w:i/>
          <w:iCs/>
          <w:sz w:val="20"/>
          <w:szCs w:val="20"/>
          <w:lang w:val="en-GB"/>
        </w:rPr>
        <w:t xml:space="preserve">, Representative flow cytometric analysis of the HER2 expression by EVs derived from plasma of patients with breast cancer and healthy individuals treated with Triton-X-100 to dissolve EVs. </w:t>
      </w:r>
      <w:r w:rsidRPr="00C86E30">
        <w:rPr>
          <w:b/>
          <w:bCs/>
          <w:i/>
          <w:iCs/>
          <w:color w:val="000000" w:themeColor="text1"/>
          <w:sz w:val="20"/>
          <w:szCs w:val="20"/>
          <w:lang w:val="en-US"/>
        </w:rPr>
        <w:t xml:space="preserve">b, </w:t>
      </w:r>
      <w:r w:rsidRPr="00C86E30">
        <w:rPr>
          <w:i/>
          <w:iCs/>
          <w:color w:val="000000" w:themeColor="text1"/>
          <w:sz w:val="20"/>
          <w:szCs w:val="20"/>
          <w:lang w:val="en-US"/>
        </w:rPr>
        <w:t>qPCR analysis of hsa-miR-148a-3p expression from lysates of HER2</w:t>
      </w:r>
      <w:r w:rsidRPr="00C86E30">
        <w:rPr>
          <w:i/>
          <w:iCs/>
          <w:color w:val="000000" w:themeColor="text1"/>
          <w:sz w:val="20"/>
          <w:szCs w:val="20"/>
          <w:vertAlign w:val="superscript"/>
          <w:lang w:val="en-US"/>
        </w:rPr>
        <w:t>+</w:t>
      </w:r>
      <w:r w:rsidRPr="00C86E30">
        <w:rPr>
          <w:i/>
          <w:iCs/>
          <w:color w:val="000000" w:themeColor="text1"/>
          <w:sz w:val="20"/>
          <w:szCs w:val="20"/>
          <w:lang w:val="en-US"/>
        </w:rPr>
        <w:t>EVs isolated from plasma of breast cancer patients compared to the healthy donor (HD)using anti-HER2 beads.</w:t>
      </w:r>
      <w:r w:rsidRPr="00C86E30">
        <w:rPr>
          <w:b/>
          <w:bCs/>
          <w:i/>
          <w:iCs/>
          <w:color w:val="000000" w:themeColor="text1"/>
          <w:sz w:val="20"/>
          <w:szCs w:val="20"/>
          <w:lang w:val="en-US"/>
        </w:rPr>
        <w:t xml:space="preserve"> c – f</w:t>
      </w:r>
      <w:r w:rsidRPr="00C86E30">
        <w:rPr>
          <w:i/>
          <w:iCs/>
          <w:color w:val="000000" w:themeColor="text1"/>
          <w:sz w:val="20"/>
          <w:szCs w:val="20"/>
          <w:lang w:val="en-US"/>
        </w:rPr>
        <w:t xml:space="preserve">, analysis of HER2+ EVs in plasma from breast cancer patients subdivides in </w:t>
      </w:r>
      <w:proofErr w:type="spellStart"/>
      <w:r w:rsidRPr="00C86E30">
        <w:rPr>
          <w:i/>
          <w:iCs/>
          <w:color w:val="000000" w:themeColor="text1"/>
          <w:sz w:val="20"/>
          <w:szCs w:val="20"/>
          <w:lang w:val="en-US"/>
        </w:rPr>
        <w:t>tumour</w:t>
      </w:r>
      <w:proofErr w:type="spellEnd"/>
      <w:r w:rsidRPr="00C86E30">
        <w:rPr>
          <w:i/>
          <w:iCs/>
          <w:color w:val="000000" w:themeColor="text1"/>
          <w:sz w:val="20"/>
          <w:szCs w:val="20"/>
          <w:lang w:val="en-US"/>
        </w:rPr>
        <w:t xml:space="preserve"> size (</w:t>
      </w:r>
      <w:r w:rsidRPr="00C86E30">
        <w:rPr>
          <w:b/>
          <w:bCs/>
          <w:i/>
          <w:iCs/>
          <w:color w:val="000000" w:themeColor="text1"/>
          <w:sz w:val="20"/>
          <w:szCs w:val="20"/>
          <w:lang w:val="en-US"/>
        </w:rPr>
        <w:t>c</w:t>
      </w:r>
      <w:r w:rsidRPr="00C86E30">
        <w:rPr>
          <w:i/>
          <w:iCs/>
          <w:color w:val="000000" w:themeColor="text1"/>
          <w:sz w:val="20"/>
          <w:szCs w:val="20"/>
          <w:lang w:val="en-US"/>
        </w:rPr>
        <w:t>), grading (</w:t>
      </w:r>
      <w:r w:rsidRPr="00C86E30">
        <w:rPr>
          <w:b/>
          <w:bCs/>
          <w:i/>
          <w:iCs/>
          <w:color w:val="000000" w:themeColor="text1"/>
          <w:sz w:val="20"/>
          <w:szCs w:val="20"/>
          <w:lang w:val="en-US"/>
        </w:rPr>
        <w:t>d</w:t>
      </w:r>
      <w:r w:rsidRPr="00C86E30">
        <w:rPr>
          <w:i/>
          <w:iCs/>
          <w:color w:val="000000" w:themeColor="text1"/>
          <w:sz w:val="20"/>
          <w:szCs w:val="20"/>
          <w:lang w:val="en-US"/>
        </w:rPr>
        <w:t>), metastasis (</w:t>
      </w:r>
      <w:r w:rsidRPr="00C86E30">
        <w:rPr>
          <w:b/>
          <w:bCs/>
          <w:i/>
          <w:iCs/>
          <w:color w:val="000000" w:themeColor="text1"/>
          <w:sz w:val="20"/>
          <w:szCs w:val="20"/>
          <w:lang w:val="en-US"/>
        </w:rPr>
        <w:t>e</w:t>
      </w:r>
      <w:r w:rsidRPr="00C86E30">
        <w:rPr>
          <w:i/>
          <w:iCs/>
          <w:color w:val="000000" w:themeColor="text1"/>
          <w:sz w:val="20"/>
          <w:szCs w:val="20"/>
          <w:lang w:val="en-US"/>
        </w:rPr>
        <w:t>), or nearby lymph node spread (</w:t>
      </w:r>
      <w:r w:rsidRPr="00C86E30">
        <w:rPr>
          <w:b/>
          <w:bCs/>
          <w:i/>
          <w:iCs/>
          <w:color w:val="000000" w:themeColor="text1"/>
          <w:sz w:val="20"/>
          <w:szCs w:val="20"/>
          <w:lang w:val="en-US"/>
        </w:rPr>
        <w:t>f</w:t>
      </w:r>
      <w:r w:rsidRPr="00C86E30">
        <w:rPr>
          <w:i/>
          <w:iCs/>
          <w:color w:val="000000" w:themeColor="text1"/>
          <w:sz w:val="20"/>
          <w:szCs w:val="20"/>
          <w:lang w:val="en-US"/>
        </w:rPr>
        <w:t xml:space="preserve">). </w:t>
      </w:r>
      <w:r w:rsidR="00B05D83" w:rsidRPr="00E102D3">
        <w:rPr>
          <w:b/>
          <w:bCs/>
          <w:i/>
          <w:iCs/>
          <w:color w:val="000000" w:themeColor="text1"/>
          <w:sz w:val="20"/>
          <w:szCs w:val="20"/>
          <w:lang w:val="en-US"/>
        </w:rPr>
        <w:t>g,</w:t>
      </w:r>
      <w:r w:rsidR="00F420FF" w:rsidRPr="00F420FF">
        <w:rPr>
          <w:lang w:val="en-US"/>
        </w:rPr>
        <w:t xml:space="preserve"> </w:t>
      </w:r>
      <w:r w:rsidR="00F420FF" w:rsidRPr="00F420FF">
        <w:rPr>
          <w:i/>
          <w:iCs/>
          <w:color w:val="000000" w:themeColor="text1"/>
          <w:sz w:val="20"/>
          <w:szCs w:val="20"/>
          <w:lang w:val="en-US"/>
        </w:rPr>
        <w:t>logical regression model</w:t>
      </w:r>
      <w:r w:rsidR="00B05D83">
        <w:rPr>
          <w:i/>
          <w:iCs/>
          <w:color w:val="000000" w:themeColor="text1"/>
          <w:sz w:val="20"/>
          <w:szCs w:val="20"/>
          <w:lang w:val="en-US"/>
        </w:rPr>
        <w:t xml:space="preserve"> </w:t>
      </w:r>
      <w:r w:rsidR="00F420FF" w:rsidRPr="00F420FF">
        <w:rPr>
          <w:i/>
          <w:iCs/>
          <w:color w:val="000000" w:themeColor="text1"/>
          <w:sz w:val="20"/>
          <w:szCs w:val="20"/>
          <w:lang w:val="en-US"/>
        </w:rPr>
        <w:t>to estimate the probability that a given sample is either Hea or HER2+++</w:t>
      </w:r>
      <w:r w:rsidR="00F420FF">
        <w:rPr>
          <w:i/>
          <w:iCs/>
          <w:color w:val="000000" w:themeColor="text1"/>
          <w:sz w:val="20"/>
          <w:szCs w:val="20"/>
          <w:lang w:val="en-US"/>
        </w:rPr>
        <w:t>.</w:t>
      </w:r>
      <w:bookmarkEnd w:id="0"/>
    </w:p>
    <w:sectPr w:rsidR="005E4CD9" w:rsidRPr="00F420FF" w:rsidSect="004D0A7D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7489"/>
    <w:rsid w:val="000A6119"/>
    <w:rsid w:val="000C3E0D"/>
    <w:rsid w:val="001260A3"/>
    <w:rsid w:val="001704E4"/>
    <w:rsid w:val="00221485"/>
    <w:rsid w:val="00246711"/>
    <w:rsid w:val="00266626"/>
    <w:rsid w:val="002827CF"/>
    <w:rsid w:val="00287730"/>
    <w:rsid w:val="002A5E96"/>
    <w:rsid w:val="002A79DB"/>
    <w:rsid w:val="003031BE"/>
    <w:rsid w:val="003176A8"/>
    <w:rsid w:val="00320067"/>
    <w:rsid w:val="003B5864"/>
    <w:rsid w:val="004305A4"/>
    <w:rsid w:val="0047584B"/>
    <w:rsid w:val="00475F5B"/>
    <w:rsid w:val="00476366"/>
    <w:rsid w:val="004D0A7D"/>
    <w:rsid w:val="004F2279"/>
    <w:rsid w:val="004F4502"/>
    <w:rsid w:val="004F79A6"/>
    <w:rsid w:val="005120FD"/>
    <w:rsid w:val="0052227B"/>
    <w:rsid w:val="00573E25"/>
    <w:rsid w:val="0057723F"/>
    <w:rsid w:val="00595339"/>
    <w:rsid w:val="005953A0"/>
    <w:rsid w:val="005A10B3"/>
    <w:rsid w:val="005E4CD9"/>
    <w:rsid w:val="005F37BB"/>
    <w:rsid w:val="005F57A5"/>
    <w:rsid w:val="00642953"/>
    <w:rsid w:val="006C060A"/>
    <w:rsid w:val="006D1CB9"/>
    <w:rsid w:val="006F2420"/>
    <w:rsid w:val="00710A83"/>
    <w:rsid w:val="00742625"/>
    <w:rsid w:val="007468D6"/>
    <w:rsid w:val="00755F96"/>
    <w:rsid w:val="00760C01"/>
    <w:rsid w:val="00773151"/>
    <w:rsid w:val="007D38B8"/>
    <w:rsid w:val="007F3439"/>
    <w:rsid w:val="008324D9"/>
    <w:rsid w:val="008A1689"/>
    <w:rsid w:val="008B05AA"/>
    <w:rsid w:val="008C1EE1"/>
    <w:rsid w:val="008D2BB9"/>
    <w:rsid w:val="008F70D4"/>
    <w:rsid w:val="0096440B"/>
    <w:rsid w:val="00974E41"/>
    <w:rsid w:val="009851EF"/>
    <w:rsid w:val="009A44EE"/>
    <w:rsid w:val="009E1346"/>
    <w:rsid w:val="009F2B3D"/>
    <w:rsid w:val="00A06499"/>
    <w:rsid w:val="00A23847"/>
    <w:rsid w:val="00A36012"/>
    <w:rsid w:val="00A614F4"/>
    <w:rsid w:val="00A8403A"/>
    <w:rsid w:val="00A90E7F"/>
    <w:rsid w:val="00AA3864"/>
    <w:rsid w:val="00AB4461"/>
    <w:rsid w:val="00AD6919"/>
    <w:rsid w:val="00B05D83"/>
    <w:rsid w:val="00B416E1"/>
    <w:rsid w:val="00B4773A"/>
    <w:rsid w:val="00B5346B"/>
    <w:rsid w:val="00B5615A"/>
    <w:rsid w:val="00B77489"/>
    <w:rsid w:val="00B77F9F"/>
    <w:rsid w:val="00BA1EAC"/>
    <w:rsid w:val="00BA5680"/>
    <w:rsid w:val="00BF1520"/>
    <w:rsid w:val="00BF6A07"/>
    <w:rsid w:val="00C61A6F"/>
    <w:rsid w:val="00C823FD"/>
    <w:rsid w:val="00C86E30"/>
    <w:rsid w:val="00CC1789"/>
    <w:rsid w:val="00CC439E"/>
    <w:rsid w:val="00D1343B"/>
    <w:rsid w:val="00D149C8"/>
    <w:rsid w:val="00D24714"/>
    <w:rsid w:val="00D30402"/>
    <w:rsid w:val="00D31012"/>
    <w:rsid w:val="00D52F15"/>
    <w:rsid w:val="00DB1239"/>
    <w:rsid w:val="00DC2C4A"/>
    <w:rsid w:val="00DC478E"/>
    <w:rsid w:val="00E102D3"/>
    <w:rsid w:val="00E149AA"/>
    <w:rsid w:val="00E626BF"/>
    <w:rsid w:val="00EA0665"/>
    <w:rsid w:val="00EA281A"/>
    <w:rsid w:val="00EB3D94"/>
    <w:rsid w:val="00EB4B16"/>
    <w:rsid w:val="00EC76A1"/>
    <w:rsid w:val="00ED6833"/>
    <w:rsid w:val="00F420FF"/>
    <w:rsid w:val="00F736A6"/>
    <w:rsid w:val="00F86369"/>
    <w:rsid w:val="00F94EA5"/>
    <w:rsid w:val="00FF59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14FA1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7748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7748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7748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7748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7748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7748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7748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7748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7748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748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7748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7748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7748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7748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7748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7748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7748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7748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7748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7748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7748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7748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7748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7748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7748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7748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7748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7748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77489"/>
    <w:rPr>
      <w:b/>
      <w:bCs/>
      <w:smallCaps/>
      <w:color w:val="0F4761" w:themeColor="accent1" w:themeShade="BF"/>
      <w:spacing w:val="5"/>
    </w:rPr>
  </w:style>
  <w:style w:type="character" w:styleId="CommentReference">
    <w:name w:val="annotation reference"/>
    <w:basedOn w:val="DefaultParagraphFont"/>
    <w:uiPriority w:val="99"/>
    <w:semiHidden/>
    <w:unhideWhenUsed/>
    <w:rsid w:val="00BA1EA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A1EA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A1EA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A1EA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A1EA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D0A7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0A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7748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7748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7748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7748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7748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7748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7748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7748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7748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748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7748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7748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7748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7748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7748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7748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7748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7748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7748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7748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7748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7748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7748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7748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7748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7748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7748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7748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77489"/>
    <w:rPr>
      <w:b/>
      <w:bCs/>
      <w:smallCaps/>
      <w:color w:val="0F4761" w:themeColor="accent1" w:themeShade="BF"/>
      <w:spacing w:val="5"/>
    </w:rPr>
  </w:style>
  <w:style w:type="character" w:styleId="CommentReference">
    <w:name w:val="annotation reference"/>
    <w:basedOn w:val="DefaultParagraphFont"/>
    <w:uiPriority w:val="99"/>
    <w:semiHidden/>
    <w:unhideWhenUsed/>
    <w:rsid w:val="00BA1EA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A1EA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A1EA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A1EA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A1EA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D0A7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0A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460</Words>
  <Characters>2627</Characters>
  <Application>Microsoft Office Word</Application>
  <DocSecurity>0</DocSecurity>
  <Lines>21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Bastian Höchst</dc:creator>
  <cp:keywords/>
  <dc:description/>
  <cp:lastModifiedBy>Marife Joy  Turtal</cp:lastModifiedBy>
  <cp:revision>7</cp:revision>
  <dcterms:created xsi:type="dcterms:W3CDTF">2025-04-02T17:24:00Z</dcterms:created>
  <dcterms:modified xsi:type="dcterms:W3CDTF">2025-05-28T09:38:00Z</dcterms:modified>
</cp:coreProperties>
</file>