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55E310" w14:textId="2FDA3163" w:rsidR="00C33C81" w:rsidRPr="00132F35" w:rsidRDefault="00220F79">
      <w:pPr>
        <w:rPr>
          <w:rFonts w:ascii="Times New Roman" w:hAnsi="Times New Roman" w:cs="Times New Roman"/>
          <w:b/>
          <w:bCs/>
          <w:sz w:val="20"/>
          <w:szCs w:val="20"/>
          <w:lang w:val="en-US"/>
        </w:rPr>
      </w:pPr>
      <w:r w:rsidRPr="00132F35">
        <w:rPr>
          <w:rFonts w:ascii="Times New Roman" w:hAnsi="Times New Roman" w:cs="Times New Roman"/>
          <w:b/>
          <w:bCs/>
          <w:sz w:val="20"/>
          <w:szCs w:val="20"/>
          <w:lang w:val="en-US"/>
        </w:rPr>
        <w:t>Supplementary materials for:</w:t>
      </w:r>
    </w:p>
    <w:p w14:paraId="44F17C31" w14:textId="77777777" w:rsidR="00220F79" w:rsidRPr="00132F35" w:rsidRDefault="00220F79">
      <w:pPr>
        <w:rPr>
          <w:rFonts w:ascii="Times New Roman" w:hAnsi="Times New Roman" w:cs="Times New Roman"/>
          <w:b/>
          <w:bCs/>
          <w:sz w:val="20"/>
          <w:szCs w:val="20"/>
          <w:lang w:val="en-US"/>
        </w:rPr>
      </w:pPr>
    </w:p>
    <w:p w14:paraId="1577F78D" w14:textId="77777777" w:rsidR="00220F79" w:rsidRPr="00132F35" w:rsidRDefault="00220F79" w:rsidP="00220F79">
      <w:pPr>
        <w:pStyle w:val="Bezriadkovania1"/>
        <w:spacing w:line="480" w:lineRule="auto"/>
        <w:jc w:val="center"/>
        <w:rPr>
          <w:rFonts w:ascii="Times New Roman" w:hAnsi="Times New Roman"/>
          <w:b/>
          <w:bCs/>
        </w:rPr>
      </w:pPr>
      <w:r w:rsidRPr="00132F35">
        <w:rPr>
          <w:rFonts w:ascii="Times New Roman" w:hAnsi="Times New Roman"/>
          <w:b/>
          <w:bCs/>
        </w:rPr>
        <w:t xml:space="preserve">Deep brain stimulation for </w:t>
      </w:r>
      <w:r w:rsidRPr="00132F35">
        <w:rPr>
          <w:rFonts w:ascii="Times New Roman" w:hAnsi="Times New Roman"/>
          <w:b/>
          <w:bCs/>
          <w:i/>
          <w:iCs/>
        </w:rPr>
        <w:t>VPS16</w:t>
      </w:r>
      <w:r w:rsidRPr="00132F35">
        <w:rPr>
          <w:rFonts w:ascii="Times New Roman" w:hAnsi="Times New Roman"/>
          <w:b/>
          <w:bCs/>
        </w:rPr>
        <w:t>-related dystonia: A multicenter study</w:t>
      </w:r>
    </w:p>
    <w:p w14:paraId="36609F82" w14:textId="6C491B58" w:rsidR="00220F79" w:rsidRPr="00132F35" w:rsidRDefault="00220F79" w:rsidP="00220F79">
      <w:pPr>
        <w:spacing w:line="360" w:lineRule="auto"/>
        <w:jc w:val="center"/>
        <w:rPr>
          <w:rFonts w:ascii="Times New Roman" w:hAnsi="Times New Roman" w:cs="Times New Roman"/>
          <w:sz w:val="20"/>
          <w:szCs w:val="20"/>
          <w:vertAlign w:val="superscript"/>
          <w:lang w:val="en-GB"/>
        </w:rPr>
      </w:pPr>
      <w:r w:rsidRPr="00132F35">
        <w:rPr>
          <w:rFonts w:ascii="Times New Roman" w:hAnsi="Times New Roman" w:cs="Times New Roman"/>
          <w:sz w:val="20"/>
          <w:szCs w:val="20"/>
          <w:lang w:val="en-GB"/>
        </w:rPr>
        <w:t>Tatiana Svorenova</w:t>
      </w:r>
      <w:r w:rsidRPr="00132F35">
        <w:rPr>
          <w:rFonts w:ascii="Times New Roman" w:hAnsi="Times New Roman" w:cs="Times New Roman"/>
          <w:sz w:val="20"/>
          <w:szCs w:val="20"/>
          <w:vertAlign w:val="superscript"/>
          <w:lang w:val="en-GB"/>
        </w:rPr>
        <w:t>1,2</w:t>
      </w:r>
      <w:r w:rsidRPr="00132F35">
        <w:rPr>
          <w:rFonts w:ascii="Times New Roman" w:hAnsi="Times New Roman" w:cs="Times New Roman"/>
          <w:b/>
          <w:sz w:val="20"/>
          <w:szCs w:val="20"/>
          <w:vertAlign w:val="superscript"/>
        </w:rPr>
        <w:t>†</w:t>
      </w:r>
      <w:r w:rsidRPr="00132F35">
        <w:rPr>
          <w:rFonts w:ascii="Times New Roman" w:hAnsi="Times New Roman" w:cs="Times New Roman"/>
          <w:sz w:val="20"/>
          <w:szCs w:val="20"/>
          <w:lang w:val="en-GB"/>
        </w:rPr>
        <w:t>; Luigi M Romito</w:t>
      </w:r>
      <w:r w:rsidRPr="00132F35">
        <w:rPr>
          <w:rFonts w:ascii="Times New Roman" w:hAnsi="Times New Roman" w:cs="Times New Roman"/>
          <w:sz w:val="20"/>
          <w:szCs w:val="20"/>
          <w:vertAlign w:val="superscript"/>
          <w:lang w:val="en-GB"/>
        </w:rPr>
        <w:t>3</w:t>
      </w:r>
      <w:r w:rsidRPr="00132F35">
        <w:rPr>
          <w:rFonts w:ascii="Times New Roman" w:hAnsi="Times New Roman" w:cs="Times New Roman"/>
          <w:b/>
          <w:sz w:val="20"/>
          <w:szCs w:val="20"/>
          <w:vertAlign w:val="superscript"/>
        </w:rPr>
        <w:t>†</w:t>
      </w:r>
      <w:r w:rsidRPr="00132F35">
        <w:rPr>
          <w:rFonts w:ascii="Times New Roman" w:hAnsi="Times New Roman" w:cs="Times New Roman"/>
          <w:sz w:val="20"/>
          <w:szCs w:val="20"/>
          <w:lang w:val="en-GB"/>
        </w:rPr>
        <w:t>; Ahmet Kaymak</w:t>
      </w:r>
      <w:r w:rsidRPr="00132F35">
        <w:rPr>
          <w:rFonts w:ascii="Times New Roman" w:hAnsi="Times New Roman" w:cs="Times New Roman"/>
          <w:sz w:val="20"/>
          <w:szCs w:val="20"/>
          <w:vertAlign w:val="superscript"/>
          <w:lang w:val="en-GB"/>
        </w:rPr>
        <w:t>4</w:t>
      </w:r>
      <w:r w:rsidRPr="00132F35">
        <w:rPr>
          <w:rFonts w:ascii="Times New Roman" w:hAnsi="Times New Roman" w:cs="Times New Roman"/>
          <w:b/>
          <w:sz w:val="20"/>
          <w:szCs w:val="20"/>
          <w:vertAlign w:val="superscript"/>
        </w:rPr>
        <w:t>†</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Eoin Mulroy</w:t>
      </w:r>
      <w:r w:rsidRPr="00132F35">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w:t>
      </w:r>
      <w:r w:rsidRPr="00132F35">
        <w:rPr>
          <w:rFonts w:ascii="Times New Roman" w:eastAsia="Aptos" w:hAnsi="Times New Roman" w:cs="Times New Roman"/>
          <w:sz w:val="20"/>
          <w:szCs w:val="20"/>
          <w:lang w:val="en-GB"/>
        </w:rPr>
        <w:t xml:space="preserve"> Laura Cif</w:t>
      </w:r>
      <w:r w:rsidRPr="00132F35">
        <w:rPr>
          <w:rFonts w:ascii="Times New Roman" w:eastAsia="Aptos" w:hAnsi="Times New Roman" w:cs="Times New Roman"/>
          <w:sz w:val="20"/>
          <w:szCs w:val="20"/>
          <w:vertAlign w:val="superscript"/>
          <w:lang w:val="en-GB"/>
        </w:rPr>
        <w:t>6,7</w:t>
      </w:r>
      <w:r w:rsidRPr="00132F35">
        <w:rPr>
          <w:rFonts w:ascii="Times New Roman" w:eastAsia="Aptos" w:hAnsi="Times New Roman" w:cs="Times New Roman"/>
          <w:sz w:val="20"/>
          <w:szCs w:val="20"/>
          <w:lang w:val="en-GB"/>
        </w:rPr>
        <w:t>; Elena Moro</w:t>
      </w:r>
      <w:r w:rsidRPr="00132F35">
        <w:rPr>
          <w:rFonts w:ascii="Times New Roman" w:eastAsia="Aptos" w:hAnsi="Times New Roman" w:cs="Times New Roman"/>
          <w:sz w:val="20"/>
          <w:szCs w:val="20"/>
          <w:vertAlign w:val="superscript"/>
          <w:lang w:val="en-GB"/>
        </w:rPr>
        <w:t>8</w:t>
      </w:r>
      <w:r w:rsidRPr="00132F35">
        <w:rPr>
          <w:rFonts w:ascii="Times New Roman" w:eastAsia="Aptos" w:hAnsi="Times New Roman" w:cs="Times New Roman"/>
          <w:sz w:val="20"/>
          <w:szCs w:val="20"/>
          <w:lang w:val="en-GB"/>
        </w:rPr>
        <w:t xml:space="preserve">, </w:t>
      </w:r>
      <w:r w:rsidRPr="00132F35">
        <w:rPr>
          <w:rFonts w:ascii="Times New Roman" w:hAnsi="Times New Roman" w:cs="Times New Roman"/>
          <w:sz w:val="20"/>
          <w:szCs w:val="20"/>
          <w:lang w:val="en-GB"/>
        </w:rPr>
        <w:t>Kirsten E. Zeuner</w:t>
      </w:r>
      <w:r w:rsidRPr="00132F35">
        <w:rPr>
          <w:rFonts w:ascii="Times New Roman" w:hAnsi="Times New Roman" w:cs="Times New Roman"/>
          <w:sz w:val="20"/>
          <w:szCs w:val="20"/>
          <w:vertAlign w:val="superscript"/>
          <w:lang w:val="en-GB"/>
        </w:rPr>
        <w:t>9</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Simone Zittel</w:t>
      </w:r>
      <w:r w:rsidRPr="00132F35">
        <w:rPr>
          <w:rFonts w:ascii="Times New Roman" w:eastAsia="Aptos" w:hAnsi="Times New Roman" w:cs="Times New Roman"/>
          <w:sz w:val="20"/>
          <w:szCs w:val="20"/>
          <w:vertAlign w:val="superscript"/>
          <w:lang w:val="en-GB"/>
        </w:rPr>
        <w:t>10</w:t>
      </w:r>
      <w:r w:rsidRPr="00132F35">
        <w:rPr>
          <w:rFonts w:ascii="Times New Roman" w:eastAsia="Aptos" w:hAnsi="Times New Roman" w:cs="Times New Roman"/>
          <w:sz w:val="20"/>
          <w:szCs w:val="20"/>
          <w:lang w:val="en-GB"/>
        </w:rPr>
        <w:t xml:space="preserve">; </w:t>
      </w:r>
      <w:r w:rsidRPr="00132F35">
        <w:rPr>
          <w:rFonts w:ascii="Times New Roman" w:hAnsi="Times New Roman" w:cs="Times New Roman"/>
          <w:sz w:val="20"/>
          <w:szCs w:val="20"/>
          <w:lang w:val="en-GB"/>
        </w:rPr>
        <w:t>Jan Niklas Petry-Schmelzer</w:t>
      </w:r>
      <w:r w:rsidRPr="00132F35">
        <w:rPr>
          <w:rFonts w:ascii="Times New Roman" w:hAnsi="Times New Roman" w:cs="Times New Roman"/>
          <w:sz w:val="20"/>
          <w:szCs w:val="20"/>
          <w:vertAlign w:val="superscript"/>
          <w:lang w:val="en-GB"/>
        </w:rPr>
        <w:t>11</w:t>
      </w:r>
      <w:r w:rsidRPr="00132F35">
        <w:rPr>
          <w:rFonts w:ascii="Times New Roman" w:hAnsi="Times New Roman" w:cs="Times New Roman"/>
          <w:sz w:val="20"/>
          <w:szCs w:val="20"/>
          <w:lang w:val="en-GB"/>
        </w:rPr>
        <w:t>; Doreen Gruber</w:t>
      </w:r>
      <w:r w:rsidRPr="00132F35">
        <w:rPr>
          <w:rFonts w:ascii="Times New Roman" w:hAnsi="Times New Roman" w:cs="Times New Roman"/>
          <w:sz w:val="20"/>
          <w:szCs w:val="20"/>
          <w:vertAlign w:val="superscript"/>
          <w:lang w:val="en-GB"/>
        </w:rPr>
        <w:t>12</w:t>
      </w:r>
      <w:r w:rsidRPr="00132F35">
        <w:rPr>
          <w:rFonts w:ascii="Times New Roman" w:hAnsi="Times New Roman" w:cs="Times New Roman"/>
          <w:sz w:val="20"/>
          <w:szCs w:val="20"/>
          <w:lang w:val="en-GB"/>
        </w:rPr>
        <w:t>;</w:t>
      </w:r>
      <w:r w:rsidRPr="00132F35">
        <w:rPr>
          <w:rFonts w:ascii="Times New Roman" w:eastAsia="Aptos" w:hAnsi="Times New Roman" w:cs="Times New Roman"/>
          <w:sz w:val="20"/>
          <w:szCs w:val="20"/>
          <w:lang w:val="en-GB"/>
        </w:rPr>
        <w:t xml:space="preserve"> </w:t>
      </w:r>
      <w:proofErr w:type="spellStart"/>
      <w:r w:rsidRPr="00132F35">
        <w:rPr>
          <w:rFonts w:ascii="Times New Roman" w:eastAsia="Aptos" w:hAnsi="Times New Roman" w:cs="Times New Roman"/>
          <w:sz w:val="20"/>
          <w:szCs w:val="20"/>
          <w:lang w:val="en-GB"/>
        </w:rPr>
        <w:t>Liesanne</w:t>
      </w:r>
      <w:proofErr w:type="spellEnd"/>
      <w:r w:rsidRPr="00132F35">
        <w:rPr>
          <w:rFonts w:ascii="Times New Roman" w:eastAsia="Aptos" w:hAnsi="Times New Roman" w:cs="Times New Roman"/>
          <w:sz w:val="20"/>
          <w:szCs w:val="20"/>
          <w:lang w:val="en-GB"/>
        </w:rPr>
        <w:t xml:space="preserve"> Centen</w:t>
      </w:r>
      <w:r w:rsidRPr="00132F35">
        <w:rPr>
          <w:rFonts w:ascii="Times New Roman" w:eastAsia="Aptos" w:hAnsi="Times New Roman" w:cs="Times New Roman"/>
          <w:sz w:val="20"/>
          <w:szCs w:val="20"/>
          <w:vertAlign w:val="superscript"/>
          <w:lang w:val="en-GB"/>
        </w:rPr>
        <w:t>13</w:t>
      </w:r>
      <w:r w:rsidR="00147BEC">
        <w:rPr>
          <w:rFonts w:ascii="Times New Roman" w:eastAsia="Aptos" w:hAnsi="Times New Roman" w:cs="Times New Roman"/>
          <w:sz w:val="20"/>
          <w:szCs w:val="20"/>
          <w:vertAlign w:val="superscript"/>
          <w:lang w:val="en-GB"/>
        </w:rPr>
        <w:t>,14</w:t>
      </w:r>
      <w:r w:rsidRPr="00132F35">
        <w:rPr>
          <w:rFonts w:ascii="Times New Roman" w:eastAsia="Aptos" w:hAnsi="Times New Roman" w:cs="Times New Roman"/>
          <w:sz w:val="20"/>
          <w:szCs w:val="20"/>
          <w:lang w:val="en-GB"/>
        </w:rPr>
        <w:t xml:space="preserve">; </w:t>
      </w:r>
      <w:r w:rsidRPr="00132F35">
        <w:rPr>
          <w:rFonts w:ascii="Times New Roman" w:hAnsi="Times New Roman" w:cs="Times New Roman"/>
          <w:sz w:val="20"/>
          <w:szCs w:val="20"/>
          <w:lang w:val="en-GB"/>
        </w:rPr>
        <w:t>Alberto Albanese</w:t>
      </w:r>
      <w:r w:rsidR="00147BEC">
        <w:rPr>
          <w:rFonts w:ascii="Times New Roman" w:hAnsi="Times New Roman" w:cs="Times New Roman"/>
          <w:sz w:val="20"/>
          <w:szCs w:val="20"/>
          <w:vertAlign w:val="superscript"/>
          <w:lang w:val="en-GB"/>
        </w:rPr>
        <w:t>15</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Miriama</w:t>
      </w:r>
      <w:proofErr w:type="spellEnd"/>
      <w:r w:rsidRPr="00132F35">
        <w:rPr>
          <w:rFonts w:ascii="Times New Roman" w:hAnsi="Times New Roman" w:cs="Times New Roman"/>
          <w:sz w:val="20"/>
          <w:szCs w:val="20"/>
          <w:lang w:val="en-GB"/>
        </w:rPr>
        <w:t xml:space="preserve"> Ostrozovicova,</w:t>
      </w:r>
      <w:r w:rsidRPr="00132F35">
        <w:rPr>
          <w:rFonts w:ascii="Times New Roman" w:hAnsi="Times New Roman" w:cs="Times New Roman"/>
          <w:sz w:val="20"/>
          <w:szCs w:val="20"/>
          <w:vertAlign w:val="superscript"/>
          <w:lang w:val="en-GB"/>
        </w:rPr>
        <w:t>1,2,</w:t>
      </w:r>
      <w:r w:rsidR="00147BEC" w:rsidRPr="00132F35">
        <w:rPr>
          <w:rFonts w:ascii="Times New Roman" w:hAnsi="Times New Roman" w:cs="Times New Roman"/>
          <w:sz w:val="20"/>
          <w:szCs w:val="20"/>
          <w:vertAlign w:val="superscript"/>
          <w:lang w:val="en-GB"/>
        </w:rPr>
        <w:t>1</w:t>
      </w:r>
      <w:r w:rsidR="00147BEC">
        <w:rPr>
          <w:rFonts w:ascii="Times New Roman" w:hAnsi="Times New Roman" w:cs="Times New Roman"/>
          <w:sz w:val="20"/>
          <w:szCs w:val="20"/>
          <w:vertAlign w:val="superscript"/>
          <w:lang w:val="en-GB"/>
        </w:rPr>
        <w:t>6</w:t>
      </w:r>
      <w:r w:rsidRPr="00132F35">
        <w:rPr>
          <w:rFonts w:ascii="Times New Roman" w:hAnsi="Times New Roman" w:cs="Times New Roman"/>
          <w:sz w:val="20"/>
          <w:szCs w:val="20"/>
          <w:lang w:val="en-GB"/>
        </w:rPr>
        <w:t>; Vladimir Han</w:t>
      </w:r>
      <w:r w:rsidRPr="00132F35">
        <w:rPr>
          <w:rFonts w:ascii="Times New Roman" w:hAnsi="Times New Roman" w:cs="Times New Roman"/>
          <w:sz w:val="20"/>
          <w:szCs w:val="20"/>
          <w:vertAlign w:val="superscript"/>
          <w:lang w:val="en-GB"/>
        </w:rPr>
        <w:t>1,2</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Veronika</w:t>
      </w:r>
      <w:proofErr w:type="spellEnd"/>
      <w:r w:rsidRPr="00132F35">
        <w:rPr>
          <w:rFonts w:ascii="Times New Roman" w:hAnsi="Times New Roman" w:cs="Times New Roman"/>
          <w:sz w:val="20"/>
          <w:szCs w:val="20"/>
          <w:lang w:val="en-GB"/>
        </w:rPr>
        <w:t xml:space="preserve"> Magocova</w:t>
      </w:r>
      <w:r w:rsidRPr="00132F35">
        <w:rPr>
          <w:rFonts w:ascii="Times New Roman" w:hAnsi="Times New Roman" w:cs="Times New Roman"/>
          <w:sz w:val="20"/>
          <w:szCs w:val="20"/>
          <w:vertAlign w:val="superscript"/>
          <w:lang w:val="en-GB"/>
        </w:rPr>
        <w:t>17</w:t>
      </w:r>
      <w:r w:rsidR="00147BEC">
        <w:rPr>
          <w:rFonts w:ascii="Times New Roman" w:hAnsi="Times New Roman" w:cs="Times New Roman"/>
          <w:sz w:val="20"/>
          <w:szCs w:val="20"/>
          <w:vertAlign w:val="superscript"/>
          <w:lang w:val="en-GB"/>
        </w:rPr>
        <w:t>,18</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Kamil</w:t>
      </w:r>
      <w:proofErr w:type="spellEnd"/>
      <w:r w:rsidRPr="00132F35">
        <w:rPr>
          <w:rFonts w:ascii="Times New Roman" w:hAnsi="Times New Roman" w:cs="Times New Roman"/>
          <w:sz w:val="20"/>
          <w:szCs w:val="20"/>
          <w:lang w:val="en-GB"/>
        </w:rPr>
        <w:t xml:space="preserve"> Knorovsky</w:t>
      </w:r>
      <w:r w:rsidRPr="00132F35">
        <w:rPr>
          <w:rFonts w:ascii="Times New Roman" w:hAnsi="Times New Roman" w:cs="Times New Roman"/>
          <w:sz w:val="20"/>
          <w:szCs w:val="20"/>
          <w:vertAlign w:val="superscript"/>
          <w:lang w:val="en-GB"/>
        </w:rPr>
        <w:t>17</w:t>
      </w:r>
      <w:r w:rsidR="00147BEC">
        <w:rPr>
          <w:rFonts w:ascii="Times New Roman" w:hAnsi="Times New Roman" w:cs="Times New Roman"/>
          <w:sz w:val="20"/>
          <w:szCs w:val="20"/>
          <w:vertAlign w:val="superscript"/>
          <w:lang w:val="en-GB"/>
        </w:rPr>
        <w:t>,18</w:t>
      </w:r>
      <w:r w:rsidRPr="00132F35">
        <w:rPr>
          <w:rFonts w:ascii="Times New Roman" w:hAnsi="Times New Roman" w:cs="Times New Roman"/>
          <w:sz w:val="20"/>
          <w:szCs w:val="20"/>
          <w:lang w:val="en-GB"/>
        </w:rPr>
        <w:t>;  Aurelia Kollova</w:t>
      </w:r>
      <w:r w:rsidR="00147BEC">
        <w:rPr>
          <w:rFonts w:ascii="Times New Roman" w:hAnsi="Times New Roman" w:cs="Times New Roman"/>
          <w:sz w:val="20"/>
          <w:szCs w:val="20"/>
          <w:vertAlign w:val="superscript"/>
          <w:lang w:val="en-GB"/>
        </w:rPr>
        <w:t>17,18</w:t>
      </w:r>
      <w:r w:rsidRPr="00132F35">
        <w:rPr>
          <w:rFonts w:ascii="Times New Roman" w:hAnsi="Times New Roman" w:cs="Times New Roman"/>
          <w:sz w:val="20"/>
          <w:szCs w:val="20"/>
          <w:lang w:val="en-GB"/>
        </w:rPr>
        <w:t xml:space="preserve">; Barbara </w:t>
      </w:r>
      <w:r w:rsidR="00147BEC" w:rsidRPr="00132F35">
        <w:rPr>
          <w:rFonts w:ascii="Times New Roman" w:hAnsi="Times New Roman" w:cs="Times New Roman"/>
          <w:sz w:val="20"/>
          <w:szCs w:val="20"/>
          <w:lang w:val="en-GB"/>
        </w:rPr>
        <w:t>Garavaglia</w:t>
      </w:r>
      <w:r w:rsidR="00147BEC" w:rsidRPr="00132F35">
        <w:rPr>
          <w:rFonts w:ascii="Times New Roman" w:hAnsi="Times New Roman" w:cs="Times New Roman"/>
          <w:sz w:val="20"/>
          <w:szCs w:val="20"/>
          <w:vertAlign w:val="superscript"/>
          <w:lang w:val="en-GB"/>
        </w:rPr>
        <w:t>1</w:t>
      </w:r>
      <w:r w:rsidR="00147BEC">
        <w:rPr>
          <w:rFonts w:ascii="Times New Roman" w:hAnsi="Times New Roman" w:cs="Times New Roman"/>
          <w:sz w:val="20"/>
          <w:szCs w:val="20"/>
          <w:vertAlign w:val="superscript"/>
          <w:lang w:val="en-GB"/>
        </w:rPr>
        <w:t>9</w:t>
      </w:r>
      <w:r w:rsidRPr="00132F35">
        <w:rPr>
          <w:rFonts w:ascii="Times New Roman" w:hAnsi="Times New Roman" w:cs="Times New Roman"/>
          <w:sz w:val="20"/>
          <w:szCs w:val="20"/>
          <w:lang w:val="en-GB"/>
        </w:rPr>
        <w:t>; Nico Golfrè-Andreasi</w:t>
      </w:r>
      <w:r w:rsidRPr="00132F35">
        <w:rPr>
          <w:rFonts w:ascii="Times New Roman" w:hAnsi="Times New Roman" w:cs="Times New Roman"/>
          <w:sz w:val="20"/>
          <w:szCs w:val="20"/>
          <w:vertAlign w:val="superscript"/>
          <w:lang w:val="en-GB"/>
        </w:rPr>
        <w:t>3</w:t>
      </w:r>
      <w:r w:rsidRPr="00132F35">
        <w:rPr>
          <w:rFonts w:ascii="Times New Roman" w:hAnsi="Times New Roman" w:cs="Times New Roman"/>
          <w:sz w:val="20"/>
          <w:szCs w:val="20"/>
          <w:lang w:val="en-GB"/>
        </w:rPr>
        <w:t xml:space="preserve">; Chiara </w:t>
      </w:r>
      <w:r w:rsidR="00147BEC" w:rsidRPr="00132F35">
        <w:rPr>
          <w:rFonts w:ascii="Times New Roman" w:hAnsi="Times New Roman" w:cs="Times New Roman"/>
          <w:sz w:val="20"/>
          <w:szCs w:val="20"/>
          <w:lang w:val="en-GB"/>
        </w:rPr>
        <w:t>Reale</w:t>
      </w:r>
      <w:r w:rsidR="00147BEC" w:rsidRPr="00132F35">
        <w:rPr>
          <w:rFonts w:ascii="Times New Roman" w:hAnsi="Times New Roman" w:cs="Times New Roman"/>
          <w:sz w:val="20"/>
          <w:szCs w:val="20"/>
          <w:vertAlign w:val="superscript"/>
          <w:lang w:val="en-GB"/>
        </w:rPr>
        <w:t>1</w:t>
      </w:r>
      <w:r w:rsidR="00147BEC">
        <w:rPr>
          <w:rFonts w:ascii="Times New Roman" w:hAnsi="Times New Roman" w:cs="Times New Roman"/>
          <w:sz w:val="20"/>
          <w:szCs w:val="20"/>
          <w:vertAlign w:val="superscript"/>
          <w:lang w:val="en-GB"/>
        </w:rPr>
        <w:t>9</w:t>
      </w:r>
      <w:r w:rsidRPr="00132F35">
        <w:rPr>
          <w:rFonts w:ascii="Times New Roman" w:hAnsi="Times New Roman" w:cs="Times New Roman"/>
          <w:sz w:val="20"/>
          <w:szCs w:val="20"/>
          <w:lang w:val="en-GB"/>
        </w:rPr>
        <w:t>; Alberto Mazzoni</w:t>
      </w:r>
      <w:r w:rsidRPr="00132F35">
        <w:rPr>
          <w:rFonts w:ascii="Times New Roman" w:hAnsi="Times New Roman" w:cs="Times New Roman"/>
          <w:sz w:val="20"/>
          <w:szCs w:val="20"/>
          <w:vertAlign w:val="superscript"/>
          <w:lang w:val="en-GB"/>
        </w:rPr>
        <w:t>4</w:t>
      </w:r>
      <w:r w:rsidRPr="00132F35">
        <w:rPr>
          <w:rFonts w:ascii="Times New Roman" w:hAnsi="Times New Roman" w:cs="Times New Roman"/>
          <w:sz w:val="20"/>
          <w:szCs w:val="20"/>
          <w:lang w:val="en-GB"/>
        </w:rPr>
        <w:t xml:space="preserve">; Giovanna </w:t>
      </w:r>
      <w:r w:rsidR="00147BEC" w:rsidRPr="00132F35">
        <w:rPr>
          <w:rFonts w:ascii="Times New Roman" w:hAnsi="Times New Roman" w:cs="Times New Roman"/>
          <w:sz w:val="20"/>
          <w:szCs w:val="20"/>
          <w:lang w:val="en-GB"/>
        </w:rPr>
        <w:t>Zorzi</w:t>
      </w:r>
      <w:r w:rsidR="00147BEC">
        <w:rPr>
          <w:rFonts w:ascii="Times New Roman" w:hAnsi="Times New Roman" w:cs="Times New Roman"/>
          <w:sz w:val="20"/>
          <w:szCs w:val="20"/>
          <w:vertAlign w:val="superscript"/>
          <w:lang w:val="en-GB"/>
        </w:rPr>
        <w:t>20</w:t>
      </w:r>
      <w:r w:rsidRPr="00132F35">
        <w:rPr>
          <w:rFonts w:ascii="Times New Roman" w:hAnsi="Times New Roman" w:cs="Times New Roman"/>
          <w:sz w:val="20"/>
          <w:szCs w:val="20"/>
          <w:lang w:val="en-GB"/>
        </w:rPr>
        <w:t>; Roberto Eleopra</w:t>
      </w:r>
      <w:r w:rsidRPr="00132F35">
        <w:rPr>
          <w:rFonts w:ascii="Times New Roman" w:hAnsi="Times New Roman" w:cs="Times New Roman"/>
          <w:sz w:val="20"/>
          <w:szCs w:val="20"/>
          <w:vertAlign w:val="superscript"/>
          <w:lang w:val="en-GB"/>
        </w:rPr>
        <w:t>3</w:t>
      </w:r>
      <w:r w:rsidRPr="00132F35">
        <w:rPr>
          <w:rFonts w:ascii="Times New Roman" w:hAnsi="Times New Roman" w:cs="Times New Roman"/>
          <w:sz w:val="20"/>
          <w:szCs w:val="20"/>
          <w:lang w:val="en-GB"/>
        </w:rPr>
        <w:t xml:space="preserve">; Vincenzo </w:t>
      </w:r>
      <w:r w:rsidR="00147BEC" w:rsidRPr="00132F35">
        <w:rPr>
          <w:rFonts w:ascii="Times New Roman" w:hAnsi="Times New Roman" w:cs="Times New Roman"/>
          <w:sz w:val="20"/>
          <w:szCs w:val="20"/>
          <w:lang w:val="en-GB"/>
        </w:rPr>
        <w:t>Levi</w:t>
      </w:r>
      <w:r w:rsidR="00147BEC" w:rsidRPr="00132F35">
        <w:rPr>
          <w:rFonts w:ascii="Times New Roman" w:hAnsi="Times New Roman" w:cs="Times New Roman"/>
          <w:sz w:val="20"/>
          <w:szCs w:val="20"/>
          <w:vertAlign w:val="superscript"/>
          <w:lang w:val="en-GB"/>
        </w:rPr>
        <w:t>2</w:t>
      </w:r>
      <w:r w:rsidR="00147BEC">
        <w:rPr>
          <w:rFonts w:ascii="Times New Roman" w:hAnsi="Times New Roman" w:cs="Times New Roman"/>
          <w:sz w:val="20"/>
          <w:szCs w:val="20"/>
          <w:vertAlign w:val="superscript"/>
          <w:lang w:val="en-GB"/>
        </w:rPr>
        <w:t>1</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Thomas Foltynie</w:t>
      </w:r>
      <w:r w:rsidRPr="00132F35">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Patricia Limousin</w:t>
      </w:r>
      <w:r w:rsidRPr="00132F35">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w:t>
      </w:r>
      <w:r w:rsidRPr="00132F35">
        <w:rPr>
          <w:rFonts w:ascii="Times New Roman" w:eastAsia="Aptos" w:hAnsi="Times New Roman" w:cs="Times New Roman"/>
          <w:sz w:val="20"/>
          <w:szCs w:val="20"/>
          <w:lang w:val="en-GB"/>
        </w:rPr>
        <w:t xml:space="preserve"> Harith Akram</w:t>
      </w:r>
      <w:r w:rsidRPr="00132F35">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 xml:space="preserve">; </w:t>
      </w:r>
      <w:proofErr w:type="spellStart"/>
      <w:r w:rsidRPr="00132F35">
        <w:rPr>
          <w:rFonts w:ascii="Times New Roman" w:eastAsia="Aptos" w:hAnsi="Times New Roman" w:cs="Times New Roman"/>
          <w:sz w:val="20"/>
          <w:szCs w:val="20"/>
          <w:lang w:val="en-GB"/>
        </w:rPr>
        <w:t>Ludvic</w:t>
      </w:r>
      <w:proofErr w:type="spellEnd"/>
      <w:r w:rsidRPr="00132F35">
        <w:rPr>
          <w:rFonts w:ascii="Times New Roman" w:eastAsia="Aptos" w:hAnsi="Times New Roman" w:cs="Times New Roman"/>
          <w:sz w:val="20"/>
          <w:szCs w:val="20"/>
          <w:lang w:val="en-GB"/>
        </w:rPr>
        <w:t xml:space="preserve"> Zrinzo</w:t>
      </w:r>
      <w:r w:rsidRPr="00132F35">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w:t>
      </w:r>
      <w:r w:rsidRPr="00132F35">
        <w:rPr>
          <w:rFonts w:ascii="Times New Roman" w:hAnsi="Times New Roman" w:cs="Times New Roman"/>
          <w:sz w:val="20"/>
          <w:szCs w:val="20"/>
          <w:vertAlign w:val="superscript"/>
          <w:lang w:val="en-GB"/>
        </w:rPr>
        <w:t xml:space="preserve"> </w:t>
      </w:r>
      <w:r w:rsidRPr="00132F35">
        <w:rPr>
          <w:rFonts w:ascii="Times New Roman" w:eastAsia="Aptos" w:hAnsi="Times New Roman" w:cs="Times New Roman"/>
          <w:sz w:val="20"/>
          <w:szCs w:val="20"/>
          <w:lang w:val="en-GB"/>
        </w:rPr>
        <w:t xml:space="preserve">Francesca </w:t>
      </w:r>
      <w:r w:rsidR="00147BEC" w:rsidRPr="00132F35">
        <w:rPr>
          <w:rFonts w:ascii="Times New Roman" w:eastAsia="Aptos" w:hAnsi="Times New Roman" w:cs="Times New Roman"/>
          <w:sz w:val="20"/>
          <w:szCs w:val="20"/>
          <w:lang w:val="en-GB"/>
        </w:rPr>
        <w:t>Magrinelli</w:t>
      </w:r>
      <w:r w:rsidR="00147BEC" w:rsidRPr="00132F35">
        <w:rPr>
          <w:rFonts w:ascii="Times New Roman" w:eastAsia="Aptos" w:hAnsi="Times New Roman" w:cs="Times New Roman"/>
          <w:sz w:val="20"/>
          <w:szCs w:val="20"/>
          <w:vertAlign w:val="superscript"/>
          <w:lang w:val="en-GB"/>
        </w:rPr>
        <w:t>2</w:t>
      </w:r>
      <w:r w:rsidR="00147BEC">
        <w:rPr>
          <w:rFonts w:ascii="Times New Roman" w:eastAsia="Aptos" w:hAnsi="Times New Roman" w:cs="Times New Roman"/>
          <w:sz w:val="20"/>
          <w:szCs w:val="20"/>
          <w:vertAlign w:val="superscript"/>
          <w:lang w:val="en-GB"/>
        </w:rPr>
        <w:t>2</w:t>
      </w:r>
      <w:r w:rsidRPr="00132F35">
        <w:rPr>
          <w:rFonts w:ascii="Times New Roman" w:eastAsia="Aptos" w:hAnsi="Times New Roman" w:cs="Times New Roman"/>
          <w:sz w:val="20"/>
          <w:szCs w:val="20"/>
          <w:lang w:val="en-GB"/>
        </w:rPr>
        <w:t xml:space="preserve">; David </w:t>
      </w:r>
      <w:r w:rsidR="00147BEC" w:rsidRPr="00132F35">
        <w:rPr>
          <w:rFonts w:ascii="Times New Roman" w:eastAsia="Aptos" w:hAnsi="Times New Roman" w:cs="Times New Roman"/>
          <w:sz w:val="20"/>
          <w:szCs w:val="20"/>
          <w:lang w:val="en-GB"/>
        </w:rPr>
        <w:t>Murphy</w:t>
      </w:r>
      <w:r w:rsidR="00147BEC" w:rsidRPr="00132F35">
        <w:rPr>
          <w:rFonts w:ascii="Times New Roman" w:eastAsia="Aptos" w:hAnsi="Times New Roman" w:cs="Times New Roman"/>
          <w:sz w:val="20"/>
          <w:szCs w:val="20"/>
          <w:vertAlign w:val="superscript"/>
          <w:lang w:val="en-GB"/>
        </w:rPr>
        <w:t>2</w:t>
      </w:r>
      <w:r w:rsidR="00147BEC">
        <w:rPr>
          <w:rFonts w:ascii="Times New Roman" w:eastAsia="Aptos" w:hAnsi="Times New Roman" w:cs="Times New Roman"/>
          <w:sz w:val="20"/>
          <w:szCs w:val="20"/>
          <w:vertAlign w:val="superscript"/>
          <w:lang w:val="en-GB"/>
        </w:rPr>
        <w:t>2</w:t>
      </w:r>
      <w:r w:rsidRPr="00132F35">
        <w:rPr>
          <w:rFonts w:ascii="Times New Roman" w:eastAsia="Aptos" w:hAnsi="Times New Roman" w:cs="Times New Roman"/>
          <w:sz w:val="20"/>
          <w:szCs w:val="20"/>
          <w:lang w:val="en-GB"/>
        </w:rPr>
        <w:t>;</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 xml:space="preserve">Henry </w:t>
      </w:r>
      <w:r w:rsidR="00147BEC" w:rsidRPr="00132F35">
        <w:rPr>
          <w:rFonts w:ascii="Times New Roman" w:eastAsia="Aptos" w:hAnsi="Times New Roman" w:cs="Times New Roman"/>
          <w:sz w:val="20"/>
          <w:szCs w:val="20"/>
          <w:lang w:val="en-GB"/>
        </w:rPr>
        <w:t>Houlden</w:t>
      </w:r>
      <w:r w:rsidR="00147BEC" w:rsidRPr="00132F35">
        <w:rPr>
          <w:rFonts w:ascii="Times New Roman" w:eastAsia="Aptos" w:hAnsi="Times New Roman" w:cs="Times New Roman"/>
          <w:sz w:val="20"/>
          <w:szCs w:val="20"/>
          <w:vertAlign w:val="superscript"/>
          <w:lang w:val="en-GB"/>
        </w:rPr>
        <w:t>2</w:t>
      </w:r>
      <w:r w:rsidR="00147BEC">
        <w:rPr>
          <w:rFonts w:ascii="Times New Roman" w:eastAsia="Aptos" w:hAnsi="Times New Roman" w:cs="Times New Roman"/>
          <w:sz w:val="20"/>
          <w:szCs w:val="20"/>
          <w:vertAlign w:val="superscript"/>
          <w:lang w:val="en-GB"/>
        </w:rPr>
        <w:t>3</w:t>
      </w:r>
      <w:r w:rsidRPr="00132F35">
        <w:rPr>
          <w:rFonts w:ascii="Times New Roman" w:eastAsia="Aptos" w:hAnsi="Times New Roman" w:cs="Times New Roman"/>
          <w:sz w:val="20"/>
          <w:szCs w:val="20"/>
          <w:lang w:val="en-GB"/>
        </w:rPr>
        <w:t xml:space="preserve">; </w:t>
      </w:r>
      <w:proofErr w:type="spellStart"/>
      <w:r w:rsidRPr="00132F35">
        <w:rPr>
          <w:rFonts w:ascii="Times New Roman" w:eastAsia="Aptos" w:hAnsi="Times New Roman" w:cs="Times New Roman"/>
          <w:sz w:val="20"/>
          <w:szCs w:val="20"/>
          <w:lang w:val="en-GB"/>
        </w:rPr>
        <w:t>Manju</w:t>
      </w:r>
      <w:proofErr w:type="spellEnd"/>
      <w:r w:rsidRPr="00132F35">
        <w:rPr>
          <w:rFonts w:ascii="Times New Roman" w:eastAsia="Aptos" w:hAnsi="Times New Roman" w:cs="Times New Roman"/>
          <w:sz w:val="20"/>
          <w:szCs w:val="20"/>
          <w:lang w:val="en-GB"/>
        </w:rPr>
        <w:t xml:space="preserve"> A Kurian</w:t>
      </w:r>
      <w:r w:rsidR="00147BEC">
        <w:rPr>
          <w:rFonts w:ascii="Times New Roman" w:eastAsia="Aptos" w:hAnsi="Times New Roman" w:cs="Times New Roman"/>
          <w:sz w:val="20"/>
          <w:szCs w:val="20"/>
          <w:vertAlign w:val="superscript"/>
          <w:lang w:val="en-GB"/>
        </w:rPr>
        <w:t>24,25</w:t>
      </w:r>
      <w:r w:rsidRPr="00132F35">
        <w:rPr>
          <w:rFonts w:ascii="Times New Roman" w:hAnsi="Times New Roman" w:cs="Times New Roman"/>
          <w:sz w:val="20"/>
          <w:szCs w:val="20"/>
          <w:lang w:val="en-GB"/>
        </w:rPr>
        <w:t xml:space="preserve">; </w:t>
      </w:r>
      <w:r w:rsidRPr="00132F35">
        <w:rPr>
          <w:rFonts w:ascii="Times New Roman" w:eastAsia="Aptos" w:hAnsi="Times New Roman" w:cs="Times New Roman"/>
          <w:sz w:val="20"/>
          <w:szCs w:val="20"/>
          <w:lang w:val="en-GB"/>
        </w:rPr>
        <w:t xml:space="preserve">Claudio </w:t>
      </w:r>
      <w:r w:rsidR="00147BEC" w:rsidRPr="00132F35">
        <w:rPr>
          <w:rFonts w:ascii="Times New Roman" w:eastAsia="Aptos" w:hAnsi="Times New Roman" w:cs="Times New Roman"/>
          <w:sz w:val="20"/>
          <w:szCs w:val="20"/>
          <w:lang w:val="en-GB"/>
        </w:rPr>
        <w:t>Baiata</w:t>
      </w:r>
      <w:r w:rsidR="00147BEC" w:rsidRPr="00132F35">
        <w:rPr>
          <w:rFonts w:ascii="Times New Roman" w:eastAsia="Aptos" w:hAnsi="Times New Roman" w:cs="Times New Roman"/>
          <w:sz w:val="20"/>
          <w:szCs w:val="20"/>
          <w:vertAlign w:val="superscript"/>
          <w:lang w:val="en-GB"/>
        </w:rPr>
        <w:t>2</w:t>
      </w:r>
      <w:r w:rsidR="00147BEC">
        <w:rPr>
          <w:rFonts w:ascii="Times New Roman" w:eastAsia="Aptos" w:hAnsi="Times New Roman" w:cs="Times New Roman"/>
          <w:sz w:val="20"/>
          <w:szCs w:val="20"/>
          <w:vertAlign w:val="superscript"/>
          <w:lang w:val="en-GB"/>
        </w:rPr>
        <w:t>6</w:t>
      </w:r>
      <w:r w:rsidRPr="00132F35">
        <w:rPr>
          <w:rFonts w:ascii="Times New Roman" w:hAnsi="Times New Roman" w:cs="Times New Roman"/>
          <w:sz w:val="20"/>
          <w:szCs w:val="20"/>
          <w:lang w:val="en-GB"/>
        </w:rPr>
        <w:t>;  Steffen Paschen</w:t>
      </w:r>
      <w:r w:rsidRPr="00132F35">
        <w:rPr>
          <w:rFonts w:ascii="Times New Roman" w:hAnsi="Times New Roman" w:cs="Times New Roman"/>
          <w:sz w:val="20"/>
          <w:szCs w:val="20"/>
          <w:vertAlign w:val="superscript"/>
          <w:lang w:val="en-GB"/>
        </w:rPr>
        <w:t>9</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Katja</w:t>
      </w:r>
      <w:proofErr w:type="spellEnd"/>
      <w:r w:rsidRPr="00132F35">
        <w:rPr>
          <w:rFonts w:ascii="Times New Roman" w:hAnsi="Times New Roman" w:cs="Times New Roman"/>
          <w:sz w:val="20"/>
          <w:szCs w:val="20"/>
          <w:lang w:val="en-GB"/>
        </w:rPr>
        <w:t xml:space="preserve"> </w:t>
      </w:r>
      <w:r w:rsidR="00147BEC" w:rsidRPr="00132F35">
        <w:rPr>
          <w:rFonts w:ascii="Times New Roman" w:eastAsia="Aptos" w:hAnsi="Times New Roman" w:cs="Times New Roman"/>
          <w:sz w:val="20"/>
          <w:szCs w:val="20"/>
          <w:lang w:val="en-GB"/>
        </w:rPr>
        <w:t>Lohmann</w:t>
      </w:r>
      <w:r w:rsidR="00147BEC" w:rsidRPr="00132F35">
        <w:rPr>
          <w:rFonts w:ascii="Times New Roman" w:eastAsia="Aptos" w:hAnsi="Times New Roman" w:cs="Times New Roman"/>
          <w:sz w:val="20"/>
          <w:szCs w:val="20"/>
          <w:vertAlign w:val="superscript"/>
          <w:lang w:val="en-GB"/>
        </w:rPr>
        <w:t>2</w:t>
      </w:r>
      <w:r w:rsidR="00147BEC">
        <w:rPr>
          <w:rFonts w:ascii="Times New Roman" w:eastAsia="Aptos" w:hAnsi="Times New Roman" w:cs="Times New Roman"/>
          <w:sz w:val="20"/>
          <w:szCs w:val="20"/>
          <w:vertAlign w:val="superscript"/>
          <w:lang w:val="en-GB"/>
        </w:rPr>
        <w:t>7</w:t>
      </w:r>
      <w:r w:rsidRPr="00132F35">
        <w:rPr>
          <w:rFonts w:ascii="Times New Roman" w:hAnsi="Times New Roman" w:cs="Times New Roman"/>
          <w:sz w:val="20"/>
          <w:szCs w:val="20"/>
          <w:lang w:val="en-GB"/>
        </w:rPr>
        <w:t xml:space="preserve">; Jens </w:t>
      </w:r>
      <w:r w:rsidR="00147BEC" w:rsidRPr="00132F35">
        <w:rPr>
          <w:rFonts w:ascii="Times New Roman" w:hAnsi="Times New Roman" w:cs="Times New Roman"/>
          <w:sz w:val="20"/>
          <w:szCs w:val="20"/>
          <w:lang w:val="en-GB"/>
        </w:rPr>
        <w:t>Volkmann</w:t>
      </w:r>
      <w:r w:rsidR="00147BEC" w:rsidRPr="00132F35">
        <w:rPr>
          <w:rFonts w:ascii="Times New Roman" w:hAnsi="Times New Roman" w:cs="Times New Roman"/>
          <w:sz w:val="20"/>
          <w:szCs w:val="20"/>
          <w:vertAlign w:val="superscript"/>
          <w:lang w:val="en-GB"/>
        </w:rPr>
        <w:t>2</w:t>
      </w:r>
      <w:r w:rsidR="00147BEC">
        <w:rPr>
          <w:rFonts w:ascii="Times New Roman" w:hAnsi="Times New Roman" w:cs="Times New Roman"/>
          <w:sz w:val="20"/>
          <w:szCs w:val="20"/>
          <w:vertAlign w:val="superscript"/>
          <w:lang w:val="en-GB"/>
        </w:rPr>
        <w:t>8</w:t>
      </w:r>
      <w:r w:rsidRPr="00132F35">
        <w:rPr>
          <w:rFonts w:ascii="Times New Roman" w:hAnsi="Times New Roman" w:cs="Times New Roman"/>
          <w:sz w:val="20"/>
          <w:szCs w:val="20"/>
          <w:lang w:val="en-GB"/>
        </w:rPr>
        <w:t xml:space="preserve">; Wolfgang </w:t>
      </w:r>
      <w:r w:rsidR="00147BEC" w:rsidRPr="00132F35">
        <w:rPr>
          <w:rFonts w:ascii="Times New Roman" w:hAnsi="Times New Roman" w:cs="Times New Roman"/>
          <w:sz w:val="20"/>
          <w:szCs w:val="20"/>
          <w:lang w:val="en-GB"/>
        </w:rPr>
        <w:t>Hamel</w:t>
      </w:r>
      <w:r w:rsidR="00147BEC" w:rsidRPr="00132F35">
        <w:rPr>
          <w:rFonts w:ascii="Times New Roman" w:hAnsi="Times New Roman" w:cs="Times New Roman"/>
          <w:sz w:val="20"/>
          <w:szCs w:val="20"/>
          <w:vertAlign w:val="superscript"/>
          <w:lang w:val="en-GB"/>
        </w:rPr>
        <w:t>2</w:t>
      </w:r>
      <w:r w:rsidR="00147BEC">
        <w:rPr>
          <w:rFonts w:ascii="Times New Roman" w:hAnsi="Times New Roman" w:cs="Times New Roman"/>
          <w:sz w:val="20"/>
          <w:szCs w:val="20"/>
          <w:vertAlign w:val="superscript"/>
          <w:lang w:val="en-GB"/>
        </w:rPr>
        <w:t>9</w:t>
      </w:r>
      <w:r w:rsidRPr="00132F35">
        <w:rPr>
          <w:rFonts w:ascii="Times New Roman" w:hAnsi="Times New Roman" w:cs="Times New Roman"/>
          <w:sz w:val="20"/>
          <w:szCs w:val="20"/>
          <w:lang w:val="en-GB"/>
        </w:rPr>
        <w:t>; Michael T. Barbe</w:t>
      </w:r>
      <w:r w:rsidRPr="00132F35">
        <w:rPr>
          <w:rFonts w:ascii="Times New Roman" w:hAnsi="Times New Roman" w:cs="Times New Roman"/>
          <w:sz w:val="20"/>
          <w:szCs w:val="20"/>
          <w:vertAlign w:val="superscript"/>
          <w:lang w:val="en-GB"/>
        </w:rPr>
        <w:t>11</w:t>
      </w:r>
      <w:r w:rsidRPr="00132F35">
        <w:rPr>
          <w:rFonts w:ascii="Times New Roman" w:hAnsi="Times New Roman" w:cs="Times New Roman"/>
          <w:sz w:val="20"/>
          <w:szCs w:val="20"/>
          <w:lang w:val="en-GB"/>
        </w:rPr>
        <w:t>;</w:t>
      </w:r>
      <w:r w:rsidRPr="00132F35">
        <w:rPr>
          <w:rFonts w:ascii="Times New Roman" w:eastAsia="Aptos" w:hAnsi="Times New Roman" w:cs="Times New Roman"/>
          <w:sz w:val="20"/>
          <w:szCs w:val="20"/>
          <w:lang w:val="en-GB"/>
        </w:rPr>
        <w:t xml:space="preserve"> Martje E van Egmond</w:t>
      </w:r>
      <w:r w:rsidRPr="00132F35">
        <w:rPr>
          <w:rFonts w:ascii="Times New Roman" w:eastAsia="Aptos" w:hAnsi="Times New Roman" w:cs="Times New Roman"/>
          <w:sz w:val="20"/>
          <w:szCs w:val="20"/>
          <w:vertAlign w:val="superscript"/>
          <w:lang w:val="en-GB"/>
        </w:rPr>
        <w:t>13</w:t>
      </w:r>
      <w:r w:rsidR="00147BEC">
        <w:rPr>
          <w:rFonts w:ascii="Times New Roman" w:eastAsia="Aptos" w:hAnsi="Times New Roman" w:cs="Times New Roman"/>
          <w:sz w:val="20"/>
          <w:szCs w:val="20"/>
          <w:vertAlign w:val="superscript"/>
          <w:lang w:val="en-GB"/>
        </w:rPr>
        <w:t>,14</w:t>
      </w:r>
      <w:r w:rsidRPr="00132F35">
        <w:rPr>
          <w:rFonts w:ascii="Times New Roman" w:hAnsi="Times New Roman" w:cs="Times New Roman"/>
          <w:sz w:val="20"/>
          <w:szCs w:val="20"/>
          <w:lang w:val="en-GB"/>
        </w:rPr>
        <w:t>; MAJ Tijssen</w:t>
      </w:r>
      <w:r w:rsidRPr="00132F35">
        <w:rPr>
          <w:rFonts w:ascii="Times New Roman" w:hAnsi="Times New Roman" w:cs="Times New Roman"/>
          <w:sz w:val="20"/>
          <w:szCs w:val="20"/>
          <w:vertAlign w:val="superscript"/>
          <w:lang w:val="en-GB"/>
        </w:rPr>
        <w:t>13</w:t>
      </w:r>
      <w:r w:rsidR="00147BEC">
        <w:rPr>
          <w:rFonts w:ascii="Times New Roman" w:hAnsi="Times New Roman" w:cs="Times New Roman"/>
          <w:sz w:val="20"/>
          <w:szCs w:val="20"/>
          <w:vertAlign w:val="superscript"/>
          <w:lang w:val="en-GB"/>
        </w:rPr>
        <w:t>,14</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Lubos</w:t>
      </w:r>
      <w:proofErr w:type="spellEnd"/>
      <w:r w:rsidRPr="00132F35">
        <w:rPr>
          <w:rFonts w:ascii="Times New Roman" w:hAnsi="Times New Roman" w:cs="Times New Roman"/>
          <w:sz w:val="20"/>
          <w:szCs w:val="20"/>
          <w:lang w:val="en-GB"/>
        </w:rPr>
        <w:t xml:space="preserve"> </w:t>
      </w:r>
      <w:r w:rsidR="00147BEC" w:rsidRPr="00132F35">
        <w:rPr>
          <w:rFonts w:ascii="Times New Roman" w:hAnsi="Times New Roman" w:cs="Times New Roman"/>
          <w:sz w:val="20"/>
          <w:szCs w:val="20"/>
          <w:lang w:val="en-GB"/>
        </w:rPr>
        <w:t>Ambro</w:t>
      </w:r>
      <w:r w:rsidR="00147BEC">
        <w:rPr>
          <w:rFonts w:ascii="Times New Roman" w:hAnsi="Times New Roman" w:cs="Times New Roman"/>
          <w:sz w:val="20"/>
          <w:szCs w:val="20"/>
          <w:vertAlign w:val="superscript"/>
          <w:lang w:val="en-GB"/>
        </w:rPr>
        <w:t>30</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Veronika</w:t>
      </w:r>
      <w:proofErr w:type="spellEnd"/>
      <w:r w:rsidRPr="00132F35">
        <w:rPr>
          <w:rFonts w:ascii="Times New Roman" w:hAnsi="Times New Roman" w:cs="Times New Roman"/>
          <w:sz w:val="20"/>
          <w:szCs w:val="20"/>
          <w:lang w:val="en-GB"/>
        </w:rPr>
        <w:t xml:space="preserve"> </w:t>
      </w:r>
      <w:r w:rsidR="00147BEC" w:rsidRPr="00132F35">
        <w:rPr>
          <w:rFonts w:ascii="Times New Roman" w:hAnsi="Times New Roman" w:cs="Times New Roman"/>
          <w:sz w:val="20"/>
          <w:szCs w:val="20"/>
          <w:lang w:val="en-GB"/>
        </w:rPr>
        <w:t>Jurkova</w:t>
      </w:r>
      <w:r w:rsidR="00147BEC" w:rsidRPr="00132F35">
        <w:rPr>
          <w:rFonts w:ascii="Times New Roman" w:hAnsi="Times New Roman" w:cs="Times New Roman"/>
          <w:sz w:val="20"/>
          <w:szCs w:val="20"/>
          <w:vertAlign w:val="superscript"/>
          <w:lang w:val="en-GB"/>
        </w:rPr>
        <w:t>3</w:t>
      </w:r>
      <w:r w:rsidR="00147BEC">
        <w:rPr>
          <w:rFonts w:ascii="Times New Roman" w:hAnsi="Times New Roman" w:cs="Times New Roman"/>
          <w:sz w:val="20"/>
          <w:szCs w:val="20"/>
          <w:vertAlign w:val="superscript"/>
          <w:lang w:val="en-GB"/>
        </w:rPr>
        <w:t>1</w:t>
      </w:r>
      <w:r w:rsidRPr="00132F35">
        <w:rPr>
          <w:rFonts w:ascii="Times New Roman" w:hAnsi="Times New Roman" w:cs="Times New Roman"/>
          <w:sz w:val="20"/>
          <w:szCs w:val="20"/>
          <w:lang w:val="en-GB"/>
        </w:rPr>
        <w:t xml:space="preserve">; Robert </w:t>
      </w:r>
      <w:r w:rsidR="00147BEC" w:rsidRPr="00132F35">
        <w:rPr>
          <w:rFonts w:ascii="Times New Roman" w:hAnsi="Times New Roman" w:cs="Times New Roman"/>
          <w:sz w:val="20"/>
          <w:szCs w:val="20"/>
          <w:lang w:val="en-GB"/>
        </w:rPr>
        <w:t>Jech</w:t>
      </w:r>
      <w:r w:rsidR="00147BEC" w:rsidRPr="00132F35">
        <w:rPr>
          <w:rFonts w:ascii="Times New Roman" w:hAnsi="Times New Roman" w:cs="Times New Roman"/>
          <w:sz w:val="20"/>
          <w:szCs w:val="20"/>
          <w:vertAlign w:val="superscript"/>
          <w:lang w:val="en-GB"/>
        </w:rPr>
        <w:t>3</w:t>
      </w:r>
      <w:r w:rsidR="00147BEC">
        <w:rPr>
          <w:rFonts w:ascii="Times New Roman" w:hAnsi="Times New Roman" w:cs="Times New Roman"/>
          <w:sz w:val="20"/>
          <w:szCs w:val="20"/>
          <w:vertAlign w:val="superscript"/>
          <w:lang w:val="en-GB"/>
        </w:rPr>
        <w:t>2</w:t>
      </w:r>
      <w:r w:rsidRPr="00132F35">
        <w:rPr>
          <w:rFonts w:ascii="Times New Roman" w:hAnsi="Times New Roman" w:cs="Times New Roman"/>
          <w:sz w:val="20"/>
          <w:szCs w:val="20"/>
          <w:lang w:val="en-GB"/>
        </w:rPr>
        <w:t xml:space="preserve">; Petra </w:t>
      </w:r>
      <w:r w:rsidR="00147BEC" w:rsidRPr="00132F35">
        <w:rPr>
          <w:rFonts w:ascii="Times New Roman" w:hAnsi="Times New Roman" w:cs="Times New Roman"/>
          <w:sz w:val="20"/>
          <w:szCs w:val="20"/>
          <w:lang w:val="en-GB"/>
        </w:rPr>
        <w:t>Havrankova</w:t>
      </w:r>
      <w:r w:rsidR="00147BEC" w:rsidRPr="00132F35">
        <w:rPr>
          <w:rFonts w:ascii="Times New Roman" w:hAnsi="Times New Roman" w:cs="Times New Roman"/>
          <w:sz w:val="20"/>
          <w:szCs w:val="20"/>
          <w:vertAlign w:val="superscript"/>
          <w:lang w:val="en-GB"/>
        </w:rPr>
        <w:t>3</w:t>
      </w:r>
      <w:r w:rsidR="00147BEC">
        <w:rPr>
          <w:rFonts w:ascii="Times New Roman" w:hAnsi="Times New Roman" w:cs="Times New Roman"/>
          <w:sz w:val="20"/>
          <w:szCs w:val="20"/>
          <w:vertAlign w:val="superscript"/>
          <w:lang w:val="en-GB"/>
        </w:rPr>
        <w:t>2</w:t>
      </w:r>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Juliane</w:t>
      </w:r>
      <w:proofErr w:type="spellEnd"/>
      <w:r w:rsidRPr="00132F35">
        <w:rPr>
          <w:rFonts w:ascii="Times New Roman" w:hAnsi="Times New Roman" w:cs="Times New Roman"/>
          <w:sz w:val="20"/>
          <w:szCs w:val="20"/>
          <w:lang w:val="en-GB"/>
        </w:rPr>
        <w:t xml:space="preserve"> Winkelmann</w:t>
      </w:r>
      <w:r w:rsidRPr="00132F35">
        <w:rPr>
          <w:rFonts w:ascii="Times New Roman" w:hAnsi="Times New Roman" w:cs="Times New Roman"/>
          <w:sz w:val="20"/>
          <w:szCs w:val="20"/>
          <w:vertAlign w:val="superscript"/>
          <w:lang w:val="en-GB"/>
        </w:rPr>
        <w:t>33,34</w:t>
      </w:r>
      <w:r w:rsidR="00147BEC">
        <w:rPr>
          <w:rFonts w:ascii="Times New Roman" w:hAnsi="Times New Roman" w:cs="Times New Roman"/>
          <w:sz w:val="20"/>
          <w:szCs w:val="20"/>
          <w:vertAlign w:val="superscript"/>
          <w:lang w:val="en-GB"/>
        </w:rPr>
        <w:t>,35</w:t>
      </w:r>
      <w:r w:rsidRPr="00132F35">
        <w:rPr>
          <w:rFonts w:ascii="Times New Roman" w:hAnsi="Times New Roman" w:cs="Times New Roman"/>
          <w:sz w:val="20"/>
          <w:szCs w:val="20"/>
          <w:lang w:val="en-GB"/>
        </w:rPr>
        <w:t>; Michael Zech</w:t>
      </w:r>
      <w:r w:rsidRPr="00132F35">
        <w:rPr>
          <w:rFonts w:ascii="Times New Roman" w:hAnsi="Times New Roman" w:cs="Times New Roman"/>
          <w:sz w:val="20"/>
          <w:szCs w:val="20"/>
          <w:vertAlign w:val="superscript"/>
          <w:lang w:val="en-GB"/>
        </w:rPr>
        <w:t>33,</w:t>
      </w:r>
      <w:r w:rsidR="00147BEC">
        <w:rPr>
          <w:rFonts w:ascii="Times New Roman" w:hAnsi="Times New Roman" w:cs="Times New Roman"/>
          <w:sz w:val="20"/>
          <w:szCs w:val="20"/>
          <w:vertAlign w:val="superscript"/>
          <w:lang w:val="en-GB"/>
        </w:rPr>
        <w:t>34,36</w:t>
      </w:r>
      <w:bookmarkStart w:id="0" w:name="_GoBack"/>
      <w:bookmarkEnd w:id="0"/>
      <w:r w:rsidRPr="00132F35">
        <w:rPr>
          <w:rFonts w:ascii="Times New Roman" w:hAnsi="Times New Roman" w:cs="Times New Roman"/>
          <w:sz w:val="20"/>
          <w:szCs w:val="20"/>
          <w:lang w:val="en-GB"/>
        </w:rPr>
        <w:t xml:space="preserve">; </w:t>
      </w:r>
      <w:proofErr w:type="spellStart"/>
      <w:r w:rsidRPr="00132F35">
        <w:rPr>
          <w:rFonts w:ascii="Times New Roman" w:hAnsi="Times New Roman" w:cs="Times New Roman"/>
          <w:sz w:val="20"/>
          <w:szCs w:val="20"/>
          <w:lang w:val="en-GB"/>
        </w:rPr>
        <w:t>Matej</w:t>
      </w:r>
      <w:proofErr w:type="spellEnd"/>
      <w:r w:rsidRPr="00132F35">
        <w:rPr>
          <w:rFonts w:ascii="Times New Roman" w:hAnsi="Times New Roman" w:cs="Times New Roman"/>
          <w:sz w:val="20"/>
          <w:szCs w:val="20"/>
          <w:lang w:val="en-GB"/>
        </w:rPr>
        <w:t xml:space="preserve"> Skorvanek</w:t>
      </w:r>
      <w:r w:rsidRPr="00132F35">
        <w:rPr>
          <w:rFonts w:ascii="Times New Roman" w:hAnsi="Times New Roman" w:cs="Times New Roman"/>
          <w:sz w:val="20"/>
          <w:szCs w:val="20"/>
          <w:vertAlign w:val="superscript"/>
          <w:lang w:val="en-GB"/>
        </w:rPr>
        <w:t>1,2</w:t>
      </w:r>
    </w:p>
    <w:p w14:paraId="269291BB" w14:textId="77777777" w:rsidR="0071218F" w:rsidRPr="00132F35" w:rsidRDefault="0071218F" w:rsidP="0071218F">
      <w:pPr>
        <w:spacing w:line="360" w:lineRule="auto"/>
        <w:rPr>
          <w:rFonts w:ascii="Times New Roman" w:hAnsi="Times New Roman" w:cs="Times New Roman"/>
          <w:sz w:val="20"/>
          <w:szCs w:val="20"/>
          <w:vertAlign w:val="superscript"/>
          <w:lang w:val="en-GB"/>
        </w:rPr>
      </w:pPr>
      <w:r w:rsidRPr="00132F35">
        <w:rPr>
          <w:rFonts w:ascii="Times New Roman" w:hAnsi="Times New Roman" w:cs="Times New Roman"/>
          <w:bCs/>
          <w:sz w:val="20"/>
          <w:szCs w:val="20"/>
          <w:vertAlign w:val="superscript"/>
        </w:rPr>
        <w:t>†</w:t>
      </w:r>
      <w:r w:rsidRPr="00132F35">
        <w:rPr>
          <w:rFonts w:ascii="Times New Roman" w:hAnsi="Times New Roman" w:cs="Times New Roman"/>
          <w:bCs/>
          <w:sz w:val="20"/>
          <w:szCs w:val="20"/>
        </w:rPr>
        <w:t xml:space="preserve">These authors contributed equally to this work. </w:t>
      </w:r>
    </w:p>
    <w:p w14:paraId="33FE3E7E" w14:textId="77777777" w:rsidR="00220F79" w:rsidRPr="00132F35" w:rsidRDefault="00220F79">
      <w:pPr>
        <w:rPr>
          <w:rFonts w:ascii="Times New Roman" w:hAnsi="Times New Roman" w:cs="Times New Roman"/>
          <w:b/>
          <w:bCs/>
          <w:sz w:val="20"/>
          <w:szCs w:val="20"/>
        </w:rPr>
      </w:pPr>
    </w:p>
    <w:p w14:paraId="71960671" w14:textId="12FD07EA" w:rsidR="00220F79" w:rsidRDefault="0016037A">
      <w:pPr>
        <w:rPr>
          <w:rFonts w:ascii="Times New Roman" w:hAnsi="Times New Roman" w:cs="Times New Roman"/>
          <w:b/>
          <w:bCs/>
          <w:sz w:val="20"/>
          <w:szCs w:val="20"/>
          <w:lang w:val="en-GB"/>
        </w:rPr>
      </w:pPr>
      <w:r w:rsidRPr="00132F35">
        <w:rPr>
          <w:rFonts w:ascii="Times New Roman" w:hAnsi="Times New Roman" w:cs="Times New Roman"/>
          <w:b/>
          <w:bCs/>
          <w:sz w:val="20"/>
          <w:szCs w:val="20"/>
          <w:lang w:val="en-GB"/>
        </w:rPr>
        <w:t>METHODS</w:t>
      </w:r>
    </w:p>
    <w:p w14:paraId="12B053D0" w14:textId="77777777" w:rsidR="000E1B18" w:rsidRPr="00132F35" w:rsidRDefault="000E1B18">
      <w:pPr>
        <w:rPr>
          <w:rFonts w:ascii="Times New Roman" w:hAnsi="Times New Roman" w:cs="Times New Roman"/>
          <w:b/>
          <w:bCs/>
          <w:sz w:val="20"/>
          <w:szCs w:val="20"/>
          <w:lang w:val="en-GB"/>
        </w:rPr>
      </w:pPr>
    </w:p>
    <w:p w14:paraId="4331EBD1" w14:textId="45984101" w:rsidR="0016037A" w:rsidRPr="00132F35" w:rsidRDefault="0016037A" w:rsidP="0016037A">
      <w:pPr>
        <w:spacing w:line="480" w:lineRule="auto"/>
        <w:rPr>
          <w:rFonts w:ascii="Times New Roman" w:hAnsi="Times New Roman" w:cs="Times New Roman"/>
          <w:b/>
          <w:bCs/>
          <w:i/>
          <w:iCs/>
          <w:sz w:val="20"/>
          <w:szCs w:val="20"/>
          <w:lang w:val="en-GB"/>
        </w:rPr>
      </w:pPr>
      <w:r w:rsidRPr="00132F35">
        <w:rPr>
          <w:rFonts w:ascii="Times New Roman" w:hAnsi="Times New Roman" w:cs="Times New Roman"/>
          <w:b/>
          <w:bCs/>
          <w:i/>
          <w:iCs/>
          <w:sz w:val="20"/>
          <w:szCs w:val="20"/>
          <w:lang w:val="en-GB"/>
        </w:rPr>
        <w:t>Recruitment and ethical approval</w:t>
      </w:r>
    </w:p>
    <w:p w14:paraId="5B77DBB8" w14:textId="6968710C" w:rsidR="00171F41" w:rsidRDefault="00EF3F84" w:rsidP="0016037A">
      <w:pPr>
        <w:spacing w:line="480" w:lineRule="auto"/>
        <w:rPr>
          <w:rFonts w:ascii="Times New Roman" w:hAnsi="Times New Roman" w:cs="Times New Roman"/>
          <w:sz w:val="20"/>
          <w:szCs w:val="20"/>
          <w:lang w:val="en-GB"/>
        </w:rPr>
      </w:pPr>
      <w:r w:rsidRPr="00132F35">
        <w:rPr>
          <w:rFonts w:ascii="Times New Roman" w:hAnsi="Times New Roman" w:cs="Times New Roman"/>
          <w:sz w:val="20"/>
          <w:szCs w:val="20"/>
          <w:lang w:val="en-GB"/>
        </w:rPr>
        <w:t xml:space="preserve">The list of </w:t>
      </w:r>
      <w:r w:rsidR="00B15704" w:rsidRPr="00132F35">
        <w:rPr>
          <w:rFonts w:ascii="Times New Roman" w:hAnsi="Times New Roman" w:cs="Times New Roman"/>
          <w:sz w:val="20"/>
          <w:szCs w:val="20"/>
          <w:lang w:val="en-GB"/>
        </w:rPr>
        <w:t>centres from Europe, Americas, Asia and Australia contacted for the availability of patients with DYT-</w:t>
      </w:r>
      <w:r w:rsidR="00B15704" w:rsidRPr="00132F35">
        <w:rPr>
          <w:rFonts w:ascii="Times New Roman" w:hAnsi="Times New Roman" w:cs="Times New Roman"/>
          <w:i/>
          <w:iCs/>
          <w:sz w:val="20"/>
          <w:szCs w:val="20"/>
          <w:lang w:val="en-GB"/>
        </w:rPr>
        <w:t>VPS16</w:t>
      </w:r>
      <w:r w:rsidR="00B15704" w:rsidRPr="00132F35">
        <w:rPr>
          <w:rFonts w:ascii="Times New Roman" w:hAnsi="Times New Roman" w:cs="Times New Roman"/>
          <w:sz w:val="20"/>
          <w:szCs w:val="20"/>
          <w:lang w:val="en-GB"/>
        </w:rPr>
        <w:t xml:space="preserve"> dystonia and implanted DBS: </w:t>
      </w:r>
    </w:p>
    <w:p w14:paraId="626B0FA1" w14:textId="3DB95578" w:rsidR="00173F44" w:rsidRPr="00132F35" w:rsidRDefault="00173F44" w:rsidP="00173F44">
      <w:pPr>
        <w:spacing w:after="0" w:line="480" w:lineRule="auto"/>
        <w:rPr>
          <w:rFonts w:ascii="Times New Roman" w:hAnsi="Times New Roman" w:cs="Times New Roman"/>
          <w:b/>
          <w:bCs/>
          <w:i/>
          <w:iCs/>
          <w:sz w:val="20"/>
          <w:szCs w:val="20"/>
          <w:lang w:val="en-GB"/>
        </w:rPr>
      </w:pPr>
      <w:r>
        <w:rPr>
          <w:rFonts w:ascii="Times New Roman" w:hAnsi="Times New Roman" w:cs="Times New Roman"/>
          <w:sz w:val="20"/>
          <w:szCs w:val="20"/>
          <w:lang w:val="en-GB"/>
        </w:rPr>
        <w:t>E</w:t>
      </w:r>
      <w:r w:rsidR="00812E8A">
        <w:rPr>
          <w:rFonts w:ascii="Times New Roman" w:hAnsi="Times New Roman" w:cs="Times New Roman"/>
          <w:sz w:val="20"/>
          <w:szCs w:val="20"/>
          <w:lang w:val="en-GB"/>
        </w:rPr>
        <w:t>urope</w:t>
      </w:r>
    </w:p>
    <w:p w14:paraId="25C2830F" w14:textId="4222F950" w:rsidR="00171F41" w:rsidRPr="00BC5ADE" w:rsidRDefault="00B15704" w:rsidP="00173F44">
      <w:pPr>
        <w:pStyle w:val="NormalWeb"/>
        <w:numPr>
          <w:ilvl w:val="0"/>
          <w:numId w:val="1"/>
        </w:numPr>
        <w:shd w:val="clear" w:color="auto" w:fill="FFFFFF"/>
        <w:spacing w:before="0" w:beforeAutospacing="0" w:after="0" w:afterAutospacing="0" w:line="360" w:lineRule="auto"/>
        <w:contextualSpacing/>
        <w:rPr>
          <w:sz w:val="20"/>
          <w:szCs w:val="20"/>
          <w:lang w:val="en-US"/>
        </w:rPr>
      </w:pPr>
      <w:r w:rsidRPr="00BC5ADE">
        <w:rPr>
          <w:sz w:val="20"/>
          <w:szCs w:val="20"/>
          <w:lang w:val="en-GB"/>
        </w:rPr>
        <w:t>P.J. Safarik University and University Hospital of L. Pasteur, Kosice, Slovak Republic</w:t>
      </w:r>
    </w:p>
    <w:p w14:paraId="6CFCC02B" w14:textId="54E30EFA" w:rsidR="00085D90" w:rsidRPr="006840B3" w:rsidRDefault="00085D90" w:rsidP="004823BD">
      <w:pPr>
        <w:pStyle w:val="NormalWeb"/>
        <w:numPr>
          <w:ilvl w:val="0"/>
          <w:numId w:val="1"/>
        </w:numPr>
        <w:shd w:val="clear" w:color="auto" w:fill="FFFFFF"/>
        <w:spacing w:before="0" w:beforeAutospacing="0" w:after="0" w:afterAutospacing="0" w:line="360" w:lineRule="auto"/>
        <w:contextualSpacing/>
        <w:rPr>
          <w:sz w:val="20"/>
          <w:szCs w:val="20"/>
          <w:lang w:val="it-IT"/>
        </w:rPr>
      </w:pPr>
      <w:r w:rsidRPr="006840B3">
        <w:rPr>
          <w:sz w:val="20"/>
          <w:szCs w:val="20"/>
          <w:lang w:val="it-IT"/>
        </w:rPr>
        <w:t xml:space="preserve">Fondazione IRCCS Istituto </w:t>
      </w:r>
      <w:r w:rsidRPr="00BC5ADE">
        <w:rPr>
          <w:sz w:val="20"/>
          <w:szCs w:val="20"/>
          <w:lang w:val="it-IT"/>
        </w:rPr>
        <w:t>Neurologico Carlo Besta</w:t>
      </w:r>
      <w:r w:rsidRPr="006840B3">
        <w:rPr>
          <w:sz w:val="20"/>
          <w:szCs w:val="20"/>
          <w:lang w:val="it-IT"/>
        </w:rPr>
        <w:t xml:space="preserve">, Milan, Italy </w:t>
      </w:r>
    </w:p>
    <w:p w14:paraId="291401D8" w14:textId="5812347F" w:rsidR="00085D90" w:rsidRPr="00BC5ADE" w:rsidRDefault="00085D90" w:rsidP="004823BD">
      <w:pPr>
        <w:pStyle w:val="NormalWeb"/>
        <w:numPr>
          <w:ilvl w:val="0"/>
          <w:numId w:val="1"/>
        </w:numPr>
        <w:shd w:val="clear" w:color="auto" w:fill="FFFFFF"/>
        <w:spacing w:before="0" w:beforeAutospacing="0" w:after="0" w:afterAutospacing="0" w:line="360" w:lineRule="auto"/>
        <w:contextualSpacing/>
        <w:rPr>
          <w:sz w:val="20"/>
          <w:szCs w:val="20"/>
        </w:rPr>
      </w:pPr>
      <w:r w:rsidRPr="00BC5ADE">
        <w:rPr>
          <w:sz w:val="20"/>
          <w:szCs w:val="20"/>
          <w:lang w:val="en-GB"/>
        </w:rPr>
        <w:t>IRCCS Fondazione Mondino, Pavia, Italy</w:t>
      </w:r>
    </w:p>
    <w:p w14:paraId="0EADD47B" w14:textId="5E257FB7" w:rsidR="00341B37" w:rsidRPr="00BC5ADE" w:rsidRDefault="00085D90" w:rsidP="004823BD">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 xml:space="preserve">University of Padua, Padova, Italy </w:t>
      </w:r>
    </w:p>
    <w:p w14:paraId="0DA8B693" w14:textId="1D055839" w:rsidR="00085D90" w:rsidRPr="00BC5ADE" w:rsidRDefault="00E706AB" w:rsidP="00BC5ADE">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University of Salerno, Fisciano, Italy</w:t>
      </w:r>
    </w:p>
    <w:p w14:paraId="317AA7AD" w14:textId="3F757F99" w:rsidR="00085D90" w:rsidRPr="00BC5ADE" w:rsidRDefault="00085D90"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Hospital Ruber Internacional, Madrid, Spain</w:t>
      </w:r>
    </w:p>
    <w:p w14:paraId="12EC0FD9" w14:textId="0E89FB71" w:rsidR="004823BD" w:rsidRPr="00BC5ADE" w:rsidRDefault="004823BD"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University of Navarra, Madrid, Spain</w:t>
      </w:r>
    </w:p>
    <w:p w14:paraId="1E0D998C" w14:textId="69271326" w:rsidR="00131197" w:rsidRPr="00BC5ADE" w:rsidRDefault="00131197"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University of Barcelona, Spain</w:t>
      </w:r>
    </w:p>
    <w:p w14:paraId="2C221F62" w14:textId="1FF1B6C7" w:rsidR="0033135F" w:rsidRPr="00BC5ADE" w:rsidRDefault="0033135F"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Sant Pau Hospital, Barcelona, Spain</w:t>
      </w:r>
    </w:p>
    <w:p w14:paraId="43AB6DAD" w14:textId="11E19221" w:rsidR="0033135F" w:rsidRPr="00BC5ADE" w:rsidRDefault="0033135F"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 xml:space="preserve">North Lisbon University Hospital Center, Lisbon, Portugal </w:t>
      </w:r>
    </w:p>
    <w:p w14:paraId="04CFACC0" w14:textId="19985182" w:rsidR="00B45D39" w:rsidRPr="00BC5ADE" w:rsidRDefault="00B45D39"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 xml:space="preserve">Innsbruck University Hospital, Innsbruck, Austria </w:t>
      </w:r>
    </w:p>
    <w:p w14:paraId="4D10A739" w14:textId="7E757122" w:rsidR="004823BD" w:rsidRPr="00BC5ADE" w:rsidRDefault="004823BD" w:rsidP="00E706AB">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Charité Universitätsmedizin Berlin, Berlin, Germany</w:t>
      </w:r>
    </w:p>
    <w:p w14:paraId="4EED797A" w14:textId="03F4CAEA" w:rsidR="00085D90" w:rsidRPr="00BC5ADE" w:rsidRDefault="004823BD" w:rsidP="004823BD">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 xml:space="preserve">University of Würzburg, </w:t>
      </w:r>
      <w:bookmarkStart w:id="1" w:name="_Hlk190771116"/>
      <w:r w:rsidRPr="00BC5ADE">
        <w:rPr>
          <w:sz w:val="20"/>
          <w:szCs w:val="20"/>
          <w:lang w:val="sk-SK"/>
        </w:rPr>
        <w:t>Würzburg</w:t>
      </w:r>
      <w:bookmarkEnd w:id="1"/>
      <w:r w:rsidRPr="00BC5ADE">
        <w:rPr>
          <w:sz w:val="20"/>
          <w:szCs w:val="20"/>
          <w:lang w:val="sk-SK"/>
        </w:rPr>
        <w:t>, Germany</w:t>
      </w:r>
    </w:p>
    <w:p w14:paraId="540FC6E5" w14:textId="5EEB8876" w:rsidR="004823BD" w:rsidRPr="00BC5ADE" w:rsidRDefault="004823BD" w:rsidP="004823BD">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Universitätsklinikum Schleswig-Holstein, Campus Kiel, Kiel, Germany</w:t>
      </w:r>
    </w:p>
    <w:p w14:paraId="619F6C16" w14:textId="3A74D822" w:rsidR="004823BD" w:rsidRPr="00BC5ADE" w:rsidRDefault="004823BD" w:rsidP="004823BD">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University Medical Center Hamburg-Eppendorf, Hamburg, Germany</w:t>
      </w:r>
    </w:p>
    <w:p w14:paraId="6D1C3B90" w14:textId="5520322A" w:rsidR="004823BD" w:rsidRPr="00BC5ADE" w:rsidRDefault="004823BD" w:rsidP="004823BD">
      <w:pPr>
        <w:pStyle w:val="NormalWeb"/>
        <w:numPr>
          <w:ilvl w:val="0"/>
          <w:numId w:val="1"/>
        </w:numPr>
        <w:shd w:val="clear" w:color="auto" w:fill="FFFFFF"/>
        <w:spacing w:before="0" w:beforeAutospacing="0" w:after="0" w:afterAutospacing="0" w:line="360" w:lineRule="auto"/>
        <w:contextualSpacing/>
        <w:rPr>
          <w:sz w:val="20"/>
          <w:szCs w:val="20"/>
          <w:lang w:val="sk-SK"/>
        </w:rPr>
      </w:pPr>
      <w:r w:rsidRPr="00BC5ADE">
        <w:rPr>
          <w:sz w:val="20"/>
          <w:szCs w:val="20"/>
          <w:lang w:val="sk-SK"/>
        </w:rPr>
        <w:t>Movement Disorders Hospital, Beelitz-Heilstätten, Germany</w:t>
      </w:r>
    </w:p>
    <w:p w14:paraId="297FC7FC" w14:textId="77777777" w:rsidR="004823BD" w:rsidRPr="00BC5ADE" w:rsidRDefault="004823BD" w:rsidP="00E706AB">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sk-SK"/>
        </w:rPr>
        <w:lastRenderedPageBreak/>
        <w:t>University of Cologne, Cologne</w:t>
      </w:r>
      <w:r w:rsidRPr="00BC5ADE">
        <w:rPr>
          <w:sz w:val="20"/>
          <w:szCs w:val="20"/>
          <w:lang w:val="en-GB"/>
        </w:rPr>
        <w:t>, Germany</w:t>
      </w:r>
    </w:p>
    <w:p w14:paraId="1972DF55" w14:textId="776FA16A" w:rsidR="00A52474" w:rsidRPr="00BC5ADE" w:rsidRDefault="00A52474" w:rsidP="00A52474">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en-GB"/>
        </w:rPr>
        <w:t>University of Luebeck, Luebeck, Germany</w:t>
      </w:r>
    </w:p>
    <w:p w14:paraId="522CED37" w14:textId="2C1CCD03" w:rsidR="00A52474" w:rsidRPr="00BC5ADE" w:rsidRDefault="00A52474" w:rsidP="00A52474">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sk-SK"/>
        </w:rPr>
        <w:t>Hannover Medical School Hospital, Hannover, Germany</w:t>
      </w:r>
    </w:p>
    <w:p w14:paraId="38E4E8B3" w14:textId="0A9A12B6" w:rsidR="00131197" w:rsidRPr="00BC5ADE" w:rsidRDefault="00131197" w:rsidP="00A52474">
      <w:pPr>
        <w:pStyle w:val="NormalWeb"/>
        <w:numPr>
          <w:ilvl w:val="0"/>
          <w:numId w:val="1"/>
        </w:numPr>
        <w:shd w:val="clear" w:color="auto" w:fill="FFFFFF"/>
        <w:spacing w:before="0" w:beforeAutospacing="0" w:after="0" w:afterAutospacing="0" w:line="360" w:lineRule="auto"/>
        <w:contextualSpacing/>
        <w:rPr>
          <w:sz w:val="20"/>
          <w:szCs w:val="20"/>
        </w:rPr>
      </w:pPr>
      <w:r w:rsidRPr="00BC5ADE">
        <w:rPr>
          <w:sz w:val="20"/>
          <w:szCs w:val="20"/>
        </w:rPr>
        <w:t>Universitätsklinikum Giessen und Marburg, Standort Marburg, Germany</w:t>
      </w:r>
    </w:p>
    <w:p w14:paraId="565EF2B6" w14:textId="5F561126" w:rsidR="00FB0571" w:rsidRPr="00BC5ADE" w:rsidRDefault="00FB0571" w:rsidP="002925AC">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en-GB"/>
        </w:rPr>
        <w:t>Tübingen University Hospital, Tübingen, Germany</w:t>
      </w:r>
    </w:p>
    <w:p w14:paraId="6D921871" w14:textId="18C09366" w:rsidR="004823BD" w:rsidRPr="00BC5ADE" w:rsidRDefault="004823BD"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BC5ADE">
        <w:rPr>
          <w:sz w:val="20"/>
          <w:szCs w:val="20"/>
          <w:lang w:val="en-GB"/>
        </w:rPr>
        <w:t>Great Ormond Street Hospital for Children, London, United Kingdom</w:t>
      </w:r>
    </w:p>
    <w:p w14:paraId="49D977B6" w14:textId="240AEFA2" w:rsidR="004823BD" w:rsidRPr="00BC5ADE" w:rsidRDefault="004823BD"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BC5ADE">
        <w:rPr>
          <w:sz w:val="20"/>
          <w:szCs w:val="20"/>
          <w:lang w:val="en-GB"/>
        </w:rPr>
        <w:t>UCL Queen Square Institute of Neurology, London, United Kingdom</w:t>
      </w:r>
    </w:p>
    <w:p w14:paraId="2DE4EDA2" w14:textId="427D362B" w:rsidR="00A52474" w:rsidRPr="00BC5ADE" w:rsidRDefault="00A52474"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BC5ADE">
        <w:rPr>
          <w:sz w:val="20"/>
          <w:szCs w:val="20"/>
          <w:lang w:val="en-GB"/>
        </w:rPr>
        <w:t xml:space="preserve">University Medical </w:t>
      </w:r>
      <w:proofErr w:type="spellStart"/>
      <w:r w:rsidRPr="00BC5ADE">
        <w:rPr>
          <w:sz w:val="20"/>
          <w:szCs w:val="20"/>
          <w:lang w:val="en-GB"/>
        </w:rPr>
        <w:t>Center</w:t>
      </w:r>
      <w:proofErr w:type="spellEnd"/>
      <w:r w:rsidRPr="00BC5ADE">
        <w:rPr>
          <w:sz w:val="20"/>
          <w:szCs w:val="20"/>
          <w:lang w:val="en-GB"/>
        </w:rPr>
        <w:t xml:space="preserve"> Groningen, University of Groningen, the Netherlands</w:t>
      </w:r>
    </w:p>
    <w:p w14:paraId="2E61FA44" w14:textId="1E7D2075" w:rsidR="00131197" w:rsidRPr="00BC5ADE" w:rsidRDefault="00131197" w:rsidP="004823BD">
      <w:pPr>
        <w:pStyle w:val="NormalWeb"/>
        <w:numPr>
          <w:ilvl w:val="0"/>
          <w:numId w:val="1"/>
        </w:numPr>
        <w:shd w:val="clear" w:color="auto" w:fill="FFFFFF"/>
        <w:spacing w:before="0" w:beforeAutospacing="0" w:after="240" w:afterAutospacing="0" w:line="360" w:lineRule="auto"/>
        <w:contextualSpacing/>
        <w:rPr>
          <w:sz w:val="20"/>
          <w:szCs w:val="20"/>
        </w:rPr>
      </w:pPr>
      <w:r w:rsidRPr="00BC5ADE">
        <w:rPr>
          <w:sz w:val="20"/>
          <w:szCs w:val="20"/>
          <w:lang w:val="sk-SK"/>
        </w:rPr>
        <w:t>Leiden University Medical Centre, Leiden, Netherlands</w:t>
      </w:r>
    </w:p>
    <w:p w14:paraId="29A86EE5" w14:textId="77777777" w:rsidR="00A52474" w:rsidRPr="00BC5ADE" w:rsidRDefault="00A52474" w:rsidP="00A52474">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en-GB"/>
        </w:rPr>
        <w:t xml:space="preserve">University Hospital Montpellier </w:t>
      </w:r>
      <w:proofErr w:type="spellStart"/>
      <w:r w:rsidRPr="00BC5ADE">
        <w:rPr>
          <w:sz w:val="20"/>
          <w:szCs w:val="20"/>
          <w:lang w:val="en-GB"/>
        </w:rPr>
        <w:t>Montpellier</w:t>
      </w:r>
      <w:proofErr w:type="spellEnd"/>
      <w:r w:rsidRPr="00BC5ADE">
        <w:rPr>
          <w:sz w:val="20"/>
          <w:szCs w:val="20"/>
          <w:lang w:val="en-GB"/>
        </w:rPr>
        <w:t>, France</w:t>
      </w:r>
    </w:p>
    <w:p w14:paraId="5516F4CF" w14:textId="77777777" w:rsidR="00A52474" w:rsidRPr="00BC5ADE" w:rsidRDefault="00A52474" w:rsidP="00A52474">
      <w:pPr>
        <w:pStyle w:val="NormalWeb"/>
        <w:numPr>
          <w:ilvl w:val="0"/>
          <w:numId w:val="1"/>
        </w:numPr>
        <w:shd w:val="clear" w:color="auto" w:fill="FFFFFF"/>
        <w:spacing w:before="0" w:beforeAutospacing="0" w:after="0" w:afterAutospacing="0" w:line="360" w:lineRule="auto"/>
        <w:contextualSpacing/>
        <w:rPr>
          <w:sz w:val="20"/>
          <w:szCs w:val="20"/>
          <w:lang w:val="en-GB"/>
        </w:rPr>
      </w:pPr>
      <w:r w:rsidRPr="00BC5ADE">
        <w:rPr>
          <w:sz w:val="20"/>
          <w:szCs w:val="20"/>
          <w:lang w:val="en-GB"/>
        </w:rPr>
        <w:t>CHU of Grenoble, Grenoble Institute of Neurosciences, Grenoble, France</w:t>
      </w:r>
    </w:p>
    <w:p w14:paraId="156DA039" w14:textId="2F742107" w:rsidR="00A52474" w:rsidRPr="00BC5ADE" w:rsidRDefault="00A52474"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BC5ADE">
        <w:rPr>
          <w:sz w:val="20"/>
          <w:szCs w:val="20"/>
          <w:lang w:val="sk-SK"/>
        </w:rPr>
        <w:t xml:space="preserve">Pitié-Salpêtrière Hospital, Sorbonne University, Paris, France </w:t>
      </w:r>
    </w:p>
    <w:p w14:paraId="0E6CEB1B" w14:textId="407C17B8" w:rsidR="0033135F" w:rsidRPr="00BC5ADE" w:rsidRDefault="0033135F"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BC5ADE">
        <w:rPr>
          <w:sz w:val="20"/>
          <w:szCs w:val="20"/>
          <w:lang w:val="sk-SK"/>
        </w:rPr>
        <w:t>University of Lille, Lille, France</w:t>
      </w:r>
    </w:p>
    <w:p w14:paraId="16DAB547" w14:textId="7BD04DB7" w:rsidR="00173F44" w:rsidRPr="00132F35" w:rsidRDefault="00173F44" w:rsidP="00173F44">
      <w:pPr>
        <w:pStyle w:val="NormalWeb"/>
        <w:shd w:val="clear" w:color="auto" w:fill="FFFFFF"/>
        <w:spacing w:before="0" w:beforeAutospacing="0" w:after="240" w:afterAutospacing="0" w:line="360" w:lineRule="auto"/>
        <w:contextualSpacing/>
        <w:rPr>
          <w:sz w:val="20"/>
          <w:szCs w:val="20"/>
          <w:lang w:val="en-GB"/>
        </w:rPr>
      </w:pPr>
      <w:r>
        <w:rPr>
          <w:sz w:val="20"/>
          <w:szCs w:val="20"/>
          <w:lang w:val="sk-SK"/>
        </w:rPr>
        <w:t>A</w:t>
      </w:r>
      <w:r w:rsidR="00812E8A">
        <w:rPr>
          <w:sz w:val="20"/>
          <w:szCs w:val="20"/>
          <w:lang w:val="sk-SK"/>
        </w:rPr>
        <w:t>ustralia</w:t>
      </w:r>
      <w:r>
        <w:rPr>
          <w:sz w:val="20"/>
          <w:szCs w:val="20"/>
          <w:lang w:val="sk-SK"/>
        </w:rPr>
        <w:t xml:space="preserve"> </w:t>
      </w:r>
    </w:p>
    <w:p w14:paraId="0CA39E28" w14:textId="7E3B85F1" w:rsidR="00A52474" w:rsidRPr="00173F44" w:rsidRDefault="00131197"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Faculty of Medicine and Health, University of Sydney, Australia</w:t>
      </w:r>
    </w:p>
    <w:p w14:paraId="0F00AB66" w14:textId="31983D11" w:rsidR="00173F44" w:rsidRPr="00132F35" w:rsidRDefault="00173F44" w:rsidP="00173F44">
      <w:pPr>
        <w:pStyle w:val="NormalWeb"/>
        <w:shd w:val="clear" w:color="auto" w:fill="FFFFFF"/>
        <w:spacing w:before="0" w:beforeAutospacing="0" w:after="240" w:afterAutospacing="0" w:line="360" w:lineRule="auto"/>
        <w:contextualSpacing/>
        <w:rPr>
          <w:sz w:val="20"/>
          <w:szCs w:val="20"/>
          <w:lang w:val="en-GB"/>
        </w:rPr>
      </w:pPr>
      <w:r>
        <w:rPr>
          <w:sz w:val="20"/>
          <w:szCs w:val="20"/>
          <w:lang w:val="sk-SK"/>
        </w:rPr>
        <w:t>A</w:t>
      </w:r>
      <w:r w:rsidR="00812E8A">
        <w:rPr>
          <w:sz w:val="20"/>
          <w:szCs w:val="20"/>
          <w:lang w:val="sk-SK"/>
        </w:rPr>
        <w:t>mericas</w:t>
      </w:r>
    </w:p>
    <w:p w14:paraId="0C8FA992" w14:textId="7510DDFC" w:rsidR="00131197" w:rsidRPr="00132F35" w:rsidRDefault="0033135F"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 xml:space="preserve">Toronto Western Hospital, Toronto, Canada </w:t>
      </w:r>
    </w:p>
    <w:p w14:paraId="379E1F3D" w14:textId="28CCEB63" w:rsidR="00B45D39" w:rsidRPr="00132F35" w:rsidRDefault="00B45D39"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 xml:space="preserve">University of Cincinnati Gardner Neuroscience Institute, Ohio, United States </w:t>
      </w:r>
    </w:p>
    <w:p w14:paraId="36B1D0DB" w14:textId="0C18D831" w:rsidR="00B45D39" w:rsidRPr="00132F35" w:rsidRDefault="00B45D39"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 xml:space="preserve">University Of Florida, Gainesville, Florida, United States </w:t>
      </w:r>
    </w:p>
    <w:p w14:paraId="3603CEBE" w14:textId="6244F93E" w:rsidR="0048087D" w:rsidRPr="00132F35" w:rsidRDefault="0048087D"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Rady Children's Hospital San Diego, California, United States</w:t>
      </w:r>
    </w:p>
    <w:p w14:paraId="20A0954E" w14:textId="2AF42C9D" w:rsidR="0048087D" w:rsidRPr="00173F44" w:rsidRDefault="0048087D"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b/>
          <w:bCs/>
          <w:sz w:val="20"/>
          <w:szCs w:val="20"/>
          <w:lang w:val="sk-SK"/>
        </w:rPr>
        <w:t> </w:t>
      </w:r>
      <w:r w:rsidRPr="00132F35">
        <w:rPr>
          <w:sz w:val="20"/>
          <w:szCs w:val="20"/>
          <w:lang w:val="sk-SK"/>
        </w:rPr>
        <w:t>UT Southwestern Medical Center in Dallas, Texas, United States</w:t>
      </w:r>
    </w:p>
    <w:p w14:paraId="2A5F4A33" w14:textId="33A5CC86" w:rsidR="00173F44" w:rsidRPr="00132F35" w:rsidRDefault="00173F44" w:rsidP="00173F44">
      <w:pPr>
        <w:pStyle w:val="NormalWeb"/>
        <w:shd w:val="clear" w:color="auto" w:fill="FFFFFF"/>
        <w:spacing w:before="0" w:beforeAutospacing="0" w:after="240" w:afterAutospacing="0" w:line="360" w:lineRule="auto"/>
        <w:contextualSpacing/>
        <w:rPr>
          <w:sz w:val="20"/>
          <w:szCs w:val="20"/>
          <w:lang w:val="en-GB"/>
        </w:rPr>
      </w:pPr>
      <w:r>
        <w:rPr>
          <w:sz w:val="20"/>
          <w:szCs w:val="20"/>
          <w:lang w:val="sk-SK"/>
        </w:rPr>
        <w:t>A</w:t>
      </w:r>
      <w:r w:rsidR="00812E8A">
        <w:rPr>
          <w:sz w:val="20"/>
          <w:szCs w:val="20"/>
          <w:lang w:val="sk-SK"/>
        </w:rPr>
        <w:t>sia</w:t>
      </w:r>
    </w:p>
    <w:p w14:paraId="168055AC" w14:textId="29CAC98C" w:rsidR="0048087D" w:rsidRPr="00132F35" w:rsidRDefault="0048087D" w:rsidP="004823BD">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 xml:space="preserve">Juntendo University in Tokyo, Tokyo, Japan </w:t>
      </w:r>
    </w:p>
    <w:p w14:paraId="1CCC1A99" w14:textId="12C9EC4E" w:rsidR="0048087D" w:rsidRPr="00132F35" w:rsidRDefault="0048087D" w:rsidP="003A79D2">
      <w:pPr>
        <w:pStyle w:val="NormalWeb"/>
        <w:numPr>
          <w:ilvl w:val="0"/>
          <w:numId w:val="1"/>
        </w:numPr>
        <w:shd w:val="clear" w:color="auto" w:fill="FFFFFF"/>
        <w:spacing w:before="0" w:beforeAutospacing="0" w:after="240" w:afterAutospacing="0" w:line="360" w:lineRule="auto"/>
        <w:contextualSpacing/>
        <w:rPr>
          <w:sz w:val="20"/>
          <w:szCs w:val="20"/>
          <w:lang w:val="en-GB"/>
        </w:rPr>
      </w:pPr>
      <w:r w:rsidRPr="00132F35">
        <w:rPr>
          <w:sz w:val="20"/>
          <w:szCs w:val="20"/>
          <w:lang w:val="sk-SK"/>
        </w:rPr>
        <w:t>Seoul National University Hospital, Seoul, South Korea</w:t>
      </w:r>
      <w:r w:rsidRPr="00132F35">
        <w:rPr>
          <w:b/>
          <w:bCs/>
          <w:sz w:val="20"/>
          <w:szCs w:val="20"/>
          <w:lang w:val="sk-SK"/>
        </w:rPr>
        <w:t xml:space="preserve"> </w:t>
      </w:r>
    </w:p>
    <w:p w14:paraId="78B1498B" w14:textId="77777777" w:rsidR="003A79D2" w:rsidRPr="00132F35" w:rsidRDefault="003A79D2" w:rsidP="003A79D2">
      <w:pPr>
        <w:pStyle w:val="NormalWeb"/>
        <w:shd w:val="clear" w:color="auto" w:fill="FFFFFF"/>
        <w:spacing w:before="0" w:beforeAutospacing="0" w:after="240" w:afterAutospacing="0" w:line="360" w:lineRule="auto"/>
        <w:ind w:left="720"/>
        <w:contextualSpacing/>
        <w:rPr>
          <w:sz w:val="20"/>
          <w:szCs w:val="20"/>
          <w:lang w:val="en-GB"/>
        </w:rPr>
      </w:pPr>
    </w:p>
    <w:p w14:paraId="0F1A4706" w14:textId="77777777" w:rsidR="005D45CE" w:rsidRPr="00132F35" w:rsidRDefault="005D45CE" w:rsidP="005D45CE">
      <w:pPr>
        <w:spacing w:line="480" w:lineRule="auto"/>
        <w:rPr>
          <w:rFonts w:ascii="Times New Roman" w:hAnsi="Times New Roman" w:cs="Times New Roman"/>
          <w:b/>
          <w:bCs/>
          <w:i/>
          <w:iCs/>
          <w:sz w:val="20"/>
          <w:szCs w:val="20"/>
          <w:lang w:val="en-GB"/>
        </w:rPr>
      </w:pPr>
      <w:r w:rsidRPr="00132F35">
        <w:rPr>
          <w:rFonts w:ascii="Times New Roman" w:hAnsi="Times New Roman" w:cs="Times New Roman"/>
          <w:b/>
          <w:bCs/>
          <w:i/>
          <w:iCs/>
          <w:sz w:val="20"/>
          <w:szCs w:val="20"/>
          <w:lang w:val="en-GB"/>
        </w:rPr>
        <w:t xml:space="preserve">DBS lead localizations and e-field modelling </w:t>
      </w:r>
    </w:p>
    <w:p w14:paraId="7E236C25" w14:textId="601E9FE8" w:rsidR="005D45CE" w:rsidRPr="00132F35" w:rsidRDefault="005D45CE" w:rsidP="006840B3">
      <w:pPr>
        <w:spacing w:line="480" w:lineRule="auto"/>
        <w:ind w:firstLine="708"/>
        <w:jc w:val="both"/>
        <w:rPr>
          <w:rFonts w:ascii="Times New Roman" w:hAnsi="Times New Roman" w:cs="Times New Roman"/>
          <w:sz w:val="20"/>
          <w:szCs w:val="20"/>
          <w:lang w:val="en-GB"/>
        </w:rPr>
      </w:pPr>
      <w:bookmarkStart w:id="2" w:name="_Hlk186371273"/>
      <w:r w:rsidRPr="00132F35">
        <w:rPr>
          <w:rFonts w:ascii="Times New Roman" w:hAnsi="Times New Roman" w:cs="Times New Roman"/>
          <w:sz w:val="20"/>
          <w:szCs w:val="20"/>
          <w:lang w:val="en-GB"/>
        </w:rPr>
        <w:t xml:space="preserve">We localized DBS electrodes for the patients in our cohort using the advanced processing pipeline available in Lead-DBS </w:t>
      </w:r>
      <w:r w:rsidRPr="00132F35">
        <w:rPr>
          <w:rFonts w:ascii="Times New Roman" w:hAnsi="Times New Roman" w:cs="Times New Roman"/>
          <w:color w:val="000000"/>
          <w:sz w:val="20"/>
          <w:szCs w:val="20"/>
          <w:lang w:val="en-GB"/>
        </w:rPr>
        <w:t>v2.5</w:t>
      </w:r>
      <w:r w:rsidR="00132F35" w:rsidRPr="00132F35">
        <w:rPr>
          <w:rFonts w:ascii="Times New Roman" w:hAnsi="Times New Roman" w:cs="Times New Roman"/>
          <w:sz w:val="20"/>
          <w:szCs w:val="20"/>
          <w:vertAlign w:val="superscript"/>
          <w:lang w:val="en-GB"/>
        </w:rPr>
        <w:t>1</w:t>
      </w:r>
      <w:r w:rsidRPr="00132F35">
        <w:rPr>
          <w:rFonts w:ascii="Times New Roman" w:hAnsi="Times New Roman" w:cs="Times New Roman"/>
          <w:sz w:val="20"/>
          <w:szCs w:val="20"/>
          <w:lang w:val="en-GB"/>
        </w:rPr>
        <w:t xml:space="preserve">. Briefly, postoperative CT or MRI scans were linearly </w:t>
      </w:r>
      <w:proofErr w:type="spellStart"/>
      <w:r w:rsidRPr="00132F35">
        <w:rPr>
          <w:rFonts w:ascii="Times New Roman" w:hAnsi="Times New Roman" w:cs="Times New Roman"/>
          <w:sz w:val="20"/>
          <w:szCs w:val="20"/>
          <w:lang w:val="en-GB"/>
        </w:rPr>
        <w:t>coregistered</w:t>
      </w:r>
      <w:proofErr w:type="spellEnd"/>
      <w:r w:rsidRPr="00132F35">
        <w:rPr>
          <w:rFonts w:ascii="Times New Roman" w:hAnsi="Times New Roman" w:cs="Times New Roman"/>
          <w:sz w:val="20"/>
          <w:szCs w:val="20"/>
          <w:lang w:val="en-GB"/>
        </w:rPr>
        <w:t xml:space="preserve"> to preoperative T1-weighted images using Advanced Normalization Tools (ANTs)</w:t>
      </w:r>
      <w:r w:rsidR="00D55A90">
        <w:rPr>
          <w:rFonts w:ascii="Times New Roman" w:hAnsi="Times New Roman" w:cs="Times New Roman"/>
          <w:sz w:val="20"/>
          <w:szCs w:val="20"/>
          <w:vertAlign w:val="superscript"/>
          <w:lang w:val="en-GB"/>
        </w:rPr>
        <w:t>2</w:t>
      </w:r>
      <w:r w:rsidRPr="00132F35">
        <w:rPr>
          <w:rFonts w:ascii="Times New Roman" w:hAnsi="Times New Roman" w:cs="Times New Roman"/>
          <w:sz w:val="20"/>
          <w:szCs w:val="20"/>
          <w:lang w:val="en-GB"/>
        </w:rPr>
        <w:t>. This process included careful inspection and manual refinement applied if needed. DBS electrode localizations were adjusted for brain shifts in postoperative scans by applying a refined affine transform restricted to a subcortical area of interest, as implemented in the brain-shift correction module of Lead-DBS</w:t>
      </w:r>
      <w:r w:rsidR="00D55A90">
        <w:rPr>
          <w:rFonts w:ascii="Times New Roman" w:hAnsi="Times New Roman" w:cs="Times New Roman"/>
          <w:sz w:val="20"/>
          <w:szCs w:val="20"/>
          <w:vertAlign w:val="superscript"/>
          <w:lang w:val="en-GB"/>
        </w:rPr>
        <w:t>3</w:t>
      </w:r>
      <w:r w:rsidRPr="00132F35">
        <w:rPr>
          <w:rFonts w:ascii="Times New Roman" w:hAnsi="Times New Roman" w:cs="Times New Roman"/>
          <w:sz w:val="20"/>
          <w:szCs w:val="20"/>
          <w:lang w:val="en-GB"/>
        </w:rPr>
        <w:t>. Both pre- and postoperative scans were spatially normalized to the ICBM 2009b NLIN asymmetric (MNI) template space</w:t>
      </w:r>
      <w:r w:rsidR="00D55A90">
        <w:rPr>
          <w:rFonts w:ascii="Times New Roman" w:hAnsi="Times New Roman" w:cs="Times New Roman"/>
          <w:sz w:val="20"/>
          <w:szCs w:val="20"/>
          <w:vertAlign w:val="superscript"/>
          <w:lang w:val="en-GB"/>
        </w:rPr>
        <w:t>4</w:t>
      </w:r>
      <w:r w:rsidRPr="00132F35">
        <w:rPr>
          <w:rFonts w:ascii="Times New Roman" w:hAnsi="Times New Roman" w:cs="Times New Roman"/>
          <w:sz w:val="20"/>
          <w:szCs w:val="20"/>
          <w:vertAlign w:val="superscript"/>
          <w:lang w:val="en-GB"/>
        </w:rPr>
        <w:t xml:space="preserve"> </w:t>
      </w:r>
      <w:r w:rsidRPr="00132F35">
        <w:rPr>
          <w:rFonts w:ascii="Times New Roman" w:hAnsi="Times New Roman" w:cs="Times New Roman"/>
          <w:sz w:val="20"/>
          <w:szCs w:val="20"/>
          <w:lang w:val="en-GB"/>
        </w:rPr>
        <w:t>using the Symmetric Normalization (</w:t>
      </w:r>
      <w:proofErr w:type="spellStart"/>
      <w:r w:rsidRPr="00132F35">
        <w:rPr>
          <w:rFonts w:ascii="Times New Roman" w:hAnsi="Times New Roman" w:cs="Times New Roman"/>
          <w:sz w:val="20"/>
          <w:szCs w:val="20"/>
          <w:lang w:val="en-GB"/>
        </w:rPr>
        <w:t>SyN</w:t>
      </w:r>
      <w:proofErr w:type="spellEnd"/>
      <w:r w:rsidRPr="00132F35">
        <w:rPr>
          <w:rFonts w:ascii="Times New Roman" w:hAnsi="Times New Roman" w:cs="Times New Roman"/>
          <w:sz w:val="20"/>
          <w:szCs w:val="20"/>
          <w:lang w:val="en-GB"/>
        </w:rPr>
        <w:t>) algorithm</w:t>
      </w:r>
      <w:r w:rsidR="00D55A90">
        <w:rPr>
          <w:rFonts w:ascii="Times New Roman" w:hAnsi="Times New Roman" w:cs="Times New Roman"/>
          <w:sz w:val="20"/>
          <w:szCs w:val="20"/>
          <w:vertAlign w:val="superscript"/>
          <w:lang w:val="en-GB"/>
        </w:rPr>
        <w:t>5</w:t>
      </w:r>
      <w:r w:rsidRPr="00132F35">
        <w:rPr>
          <w:rFonts w:ascii="Times New Roman" w:hAnsi="Times New Roman" w:cs="Times New Roman"/>
          <w:sz w:val="20"/>
          <w:szCs w:val="20"/>
          <w:lang w:val="en-GB"/>
        </w:rPr>
        <w:t xml:space="preserve"> in ANTs. The normalization process involved five stages: two initial linear registration steps (rigid and affine transformations), a whole-brain nonlinear </w:t>
      </w:r>
      <w:proofErr w:type="spellStart"/>
      <w:r w:rsidRPr="00132F35">
        <w:rPr>
          <w:rFonts w:ascii="Times New Roman" w:hAnsi="Times New Roman" w:cs="Times New Roman"/>
          <w:sz w:val="20"/>
          <w:szCs w:val="20"/>
          <w:lang w:val="en-GB"/>
        </w:rPr>
        <w:t>SyN</w:t>
      </w:r>
      <w:proofErr w:type="spellEnd"/>
      <w:r w:rsidRPr="00132F35">
        <w:rPr>
          <w:rFonts w:ascii="Times New Roman" w:hAnsi="Times New Roman" w:cs="Times New Roman"/>
          <w:sz w:val="20"/>
          <w:szCs w:val="20"/>
          <w:lang w:val="en-GB"/>
        </w:rPr>
        <w:t xml:space="preserve"> registration, and two subsequent nonlinear </w:t>
      </w:r>
      <w:proofErr w:type="spellStart"/>
      <w:r w:rsidRPr="00132F35">
        <w:rPr>
          <w:rFonts w:ascii="Times New Roman" w:hAnsi="Times New Roman" w:cs="Times New Roman"/>
          <w:sz w:val="20"/>
          <w:szCs w:val="20"/>
          <w:lang w:val="en-GB"/>
        </w:rPr>
        <w:t>SyN</w:t>
      </w:r>
      <w:proofErr w:type="spellEnd"/>
      <w:r w:rsidRPr="00132F35">
        <w:rPr>
          <w:rFonts w:ascii="Times New Roman" w:hAnsi="Times New Roman" w:cs="Times New Roman"/>
          <w:sz w:val="20"/>
          <w:szCs w:val="20"/>
          <w:lang w:val="en-GB"/>
        </w:rPr>
        <w:t xml:space="preserve"> registrations focused specifically on the subcortical region of interest, guided by predefined subcortical masks</w:t>
      </w:r>
      <w:r w:rsidR="00D55A90">
        <w:rPr>
          <w:rFonts w:ascii="Times New Roman" w:hAnsi="Times New Roman" w:cs="Times New Roman"/>
          <w:sz w:val="20"/>
          <w:szCs w:val="20"/>
          <w:vertAlign w:val="superscript"/>
          <w:lang w:val="en-GB"/>
        </w:rPr>
        <w:t>6</w:t>
      </w:r>
      <w:r w:rsidRPr="00132F35">
        <w:rPr>
          <w:rFonts w:ascii="Times New Roman" w:hAnsi="Times New Roman" w:cs="Times New Roman"/>
          <w:sz w:val="20"/>
          <w:szCs w:val="20"/>
          <w:lang w:val="en-GB"/>
        </w:rPr>
        <w:t>.</w:t>
      </w:r>
    </w:p>
    <w:p w14:paraId="2FF8C5C6" w14:textId="459BA49E" w:rsidR="005D45CE" w:rsidRPr="00132F35" w:rsidRDefault="005D45CE" w:rsidP="006840B3">
      <w:pPr>
        <w:spacing w:line="480" w:lineRule="auto"/>
        <w:ind w:firstLine="708"/>
        <w:jc w:val="both"/>
        <w:rPr>
          <w:rFonts w:ascii="Times New Roman" w:hAnsi="Times New Roman" w:cs="Times New Roman"/>
          <w:sz w:val="20"/>
          <w:szCs w:val="20"/>
          <w:lang w:val="en-GB"/>
        </w:rPr>
      </w:pPr>
      <w:r w:rsidRPr="00132F35">
        <w:rPr>
          <w:rFonts w:ascii="Times New Roman" w:hAnsi="Times New Roman" w:cs="Times New Roman"/>
          <w:sz w:val="20"/>
          <w:szCs w:val="20"/>
          <w:lang w:val="en-GB"/>
        </w:rPr>
        <w:lastRenderedPageBreak/>
        <w:t>For electric fields (E-fields) estimation, we followed the methodology presented previously.</w:t>
      </w:r>
      <w:r w:rsidR="00D55A90">
        <w:rPr>
          <w:rFonts w:ascii="Times New Roman" w:hAnsi="Times New Roman" w:cs="Times New Roman"/>
          <w:sz w:val="20"/>
          <w:szCs w:val="20"/>
          <w:vertAlign w:val="superscript"/>
          <w:lang w:val="en-GB"/>
        </w:rPr>
        <w:t>7</w:t>
      </w:r>
      <w:r w:rsidRPr="00132F35">
        <w:rPr>
          <w:rStyle w:val="CommentReference"/>
          <w:rFonts w:ascii="Times New Roman" w:hAnsi="Times New Roman" w:cs="Times New Roman"/>
          <w:sz w:val="20"/>
          <w:szCs w:val="20"/>
          <w:lang w:val="en-GB"/>
        </w:rPr>
        <w:t xml:space="preserve"> </w:t>
      </w:r>
      <w:r w:rsidRPr="00132F35">
        <w:rPr>
          <w:rFonts w:ascii="Times New Roman" w:hAnsi="Times New Roman" w:cs="Times New Roman"/>
          <w:sz w:val="20"/>
          <w:szCs w:val="20"/>
          <w:lang w:val="en-GB"/>
        </w:rPr>
        <w:t xml:space="preserve">E-fields were estimated in native space based on the long-term DBS settings applied, using an adaptation of the </w:t>
      </w:r>
      <w:proofErr w:type="spellStart"/>
      <w:r w:rsidRPr="00132F35">
        <w:rPr>
          <w:rFonts w:ascii="Times New Roman" w:hAnsi="Times New Roman" w:cs="Times New Roman"/>
          <w:sz w:val="20"/>
          <w:szCs w:val="20"/>
          <w:lang w:val="en-GB"/>
        </w:rPr>
        <w:t>SimBio</w:t>
      </w:r>
      <w:proofErr w:type="spellEnd"/>
      <w:r w:rsidRPr="00132F35">
        <w:rPr>
          <w:rFonts w:ascii="Times New Roman" w:hAnsi="Times New Roman" w:cs="Times New Roman"/>
          <w:sz w:val="20"/>
          <w:szCs w:val="20"/>
          <w:lang w:val="en-GB"/>
        </w:rPr>
        <w:t>/</w:t>
      </w:r>
      <w:proofErr w:type="spellStart"/>
      <w:r w:rsidRPr="00132F35">
        <w:rPr>
          <w:rFonts w:ascii="Times New Roman" w:hAnsi="Times New Roman" w:cs="Times New Roman"/>
          <w:sz w:val="20"/>
          <w:szCs w:val="20"/>
          <w:lang w:val="en-GB"/>
        </w:rPr>
        <w:t>FieldTrip</w:t>
      </w:r>
      <w:proofErr w:type="spellEnd"/>
      <w:r w:rsidRPr="00132F35">
        <w:rPr>
          <w:rFonts w:ascii="Times New Roman" w:hAnsi="Times New Roman" w:cs="Times New Roman"/>
          <w:sz w:val="20"/>
          <w:szCs w:val="20"/>
          <w:lang w:val="en-GB"/>
        </w:rPr>
        <w:t xml:space="preserve"> pipeline</w:t>
      </w:r>
      <w:r w:rsidR="00D55A90">
        <w:rPr>
          <w:rFonts w:ascii="Times New Roman" w:hAnsi="Times New Roman" w:cs="Times New Roman"/>
          <w:sz w:val="20"/>
          <w:szCs w:val="20"/>
          <w:vertAlign w:val="superscript"/>
          <w:lang w:val="en-GB"/>
        </w:rPr>
        <w:t>8</w:t>
      </w:r>
      <w:r w:rsidRPr="00132F35">
        <w:rPr>
          <w:rFonts w:ascii="Times New Roman" w:hAnsi="Times New Roman" w:cs="Times New Roman"/>
          <w:sz w:val="20"/>
          <w:szCs w:val="20"/>
          <w:lang w:val="en-GB"/>
        </w:rPr>
        <w:t xml:space="preserve"> implemented in Lead-DBS. The finite element method was employed to solve the static formulation of the Laplace equation on a discretized domain represented by a tetrahedral four-compartment mesh, which included grey matter, white matter, metal, and insulating electrode parts. The resulting E-fields were transformed into MNI space using the refined normalization </w:t>
      </w:r>
      <w:proofErr w:type="spellStart"/>
      <w:r w:rsidRPr="00132F35">
        <w:rPr>
          <w:rFonts w:ascii="Times New Roman" w:hAnsi="Times New Roman" w:cs="Times New Roman"/>
          <w:sz w:val="20"/>
          <w:szCs w:val="20"/>
          <w:lang w:val="en-GB"/>
        </w:rPr>
        <w:t>warpfields</w:t>
      </w:r>
      <w:proofErr w:type="spellEnd"/>
      <w:r w:rsidRPr="00132F35">
        <w:rPr>
          <w:rFonts w:ascii="Times New Roman" w:hAnsi="Times New Roman" w:cs="Times New Roman"/>
          <w:sz w:val="20"/>
          <w:szCs w:val="20"/>
          <w:lang w:val="en-GB"/>
        </w:rPr>
        <w:t>, ensuring consistent spatial alignment for all analyses.</w:t>
      </w:r>
      <w:bookmarkEnd w:id="2"/>
    </w:p>
    <w:p w14:paraId="75C7F9FE" w14:textId="77777777" w:rsidR="005D45CE" w:rsidRPr="00132F35" w:rsidRDefault="005D45CE" w:rsidP="005D45CE">
      <w:pPr>
        <w:spacing w:line="480" w:lineRule="auto"/>
        <w:rPr>
          <w:rFonts w:ascii="Times New Roman" w:hAnsi="Times New Roman" w:cs="Times New Roman"/>
          <w:b/>
          <w:bCs/>
          <w:i/>
          <w:iCs/>
          <w:sz w:val="20"/>
          <w:szCs w:val="20"/>
          <w:lang w:val="en-GB"/>
        </w:rPr>
      </w:pPr>
      <w:r w:rsidRPr="00132F35">
        <w:rPr>
          <w:rFonts w:ascii="Times New Roman" w:hAnsi="Times New Roman" w:cs="Times New Roman"/>
          <w:b/>
          <w:bCs/>
          <w:i/>
          <w:iCs/>
          <w:sz w:val="20"/>
          <w:szCs w:val="20"/>
          <w:lang w:val="en-GB"/>
        </w:rPr>
        <w:t xml:space="preserve">DBS sweet and sour spot mapping </w:t>
      </w:r>
    </w:p>
    <w:p w14:paraId="13CE86E7" w14:textId="2FC3E248" w:rsidR="005D45CE" w:rsidRPr="00132F35" w:rsidRDefault="005D45CE" w:rsidP="006840B3">
      <w:pPr>
        <w:spacing w:line="480" w:lineRule="auto"/>
        <w:ind w:firstLine="708"/>
        <w:jc w:val="both"/>
        <w:rPr>
          <w:rFonts w:ascii="Times New Roman" w:hAnsi="Times New Roman" w:cs="Times New Roman"/>
          <w:sz w:val="20"/>
          <w:szCs w:val="20"/>
          <w:lang w:val="en-GB"/>
        </w:rPr>
      </w:pPr>
      <w:r w:rsidRPr="00132F35">
        <w:rPr>
          <w:rFonts w:ascii="Times New Roman" w:hAnsi="Times New Roman" w:cs="Times New Roman"/>
          <w:sz w:val="20"/>
          <w:szCs w:val="20"/>
          <w:lang w:val="en-GB"/>
        </w:rPr>
        <w:t>To examine the impact of stimulation intensity and position on GPi-DBS responsiveness in DYT-</w:t>
      </w:r>
      <w:r w:rsidRPr="00132F35">
        <w:rPr>
          <w:rFonts w:ascii="Times New Roman" w:hAnsi="Times New Roman" w:cs="Times New Roman"/>
          <w:i/>
          <w:iCs/>
          <w:sz w:val="20"/>
          <w:szCs w:val="20"/>
          <w:lang w:val="en-GB"/>
        </w:rPr>
        <w:t>VPS16</w:t>
      </w:r>
      <w:r w:rsidRPr="00132F35">
        <w:rPr>
          <w:rFonts w:ascii="Times New Roman" w:hAnsi="Times New Roman" w:cs="Times New Roman"/>
          <w:sz w:val="20"/>
          <w:szCs w:val="20"/>
          <w:lang w:val="en-GB"/>
        </w:rPr>
        <w:t xml:space="preserve"> patients, we applied a voxel-wise correlation analysis.</w:t>
      </w:r>
      <w:r w:rsidRPr="00132F35">
        <w:rPr>
          <w:rFonts w:ascii="Times New Roman" w:hAnsi="Times New Roman" w:cs="Times New Roman"/>
          <w:sz w:val="20"/>
          <w:szCs w:val="20"/>
          <w:lang w:val="en-GB"/>
        </w:rPr>
        <w:fldChar w:fldCharType="begin"/>
      </w:r>
      <w:r w:rsidRPr="00132F35">
        <w:rPr>
          <w:rFonts w:ascii="Times New Roman" w:hAnsi="Times New Roman" w:cs="Times New Roman"/>
          <w:sz w:val="20"/>
          <w:szCs w:val="20"/>
          <w:lang w:val="en-GB"/>
        </w:rPr>
        <w:instrText xml:space="preserve"> ADDIN ZOTERO_ITEM CSL_CITATION {"citationID":"ewYfYsP8","properties":{"formattedCitation":"\\super 1,2\\nosupersub{}","plainCitation":"1,2","noteIndex":0},"citationItems":[{"id":829,"uris":["http://zotero.org/users/local/qbj29eOf/items/LBHNKS4K"],"itemData":{"id":829,"type":"article-journal","abstract":"Significance\n            We studied deep brain stimulation effects in two types of dystonia and conclude that different specific connections between the pallidum and thalamus are responsible for optimal treatment effects. Since alternative treatment options for dystonia beyond deep brain stimulation are scarce, our results will be crucial to maximize treatment outcome in this population of patients.\n          , \n            Dystonia is a debilitating disease with few treatment options. One effective option is deep brain stimulation (DBS) to the internal pallidum. While cervical and generalized forms of isolated dystonia have been targeted with a common approach to the posterior third of the nucleus, large-scale investigations regarding optimal stimulation sites and potential network effects have not been carried out. Here, we retrospectively studied clinical results following DBS for cervical and generalized dystonia in a multicenter cohort of 80 patients. We model DBS electrode placement based on pre- and postoperative imaging and introduce an approach to map optimal stimulation sites to anatomical space. Second, we investigate which tracts account for optimal clinical improvements, when modulated. Third, we investigate distributed stimulation effects on a whole-brain functional connectome level. Our results show marked differences of optimal stimulation sites that map to the somatotopic structure of the internal pallidum. While modulation of the striatopallidofugal axis of the basal ganglia accounted for optimal treatment of cervical dystonia, modulation of pallidothalamic bundles did so in generalized dystonia. Finally, we show a common multisynaptic network substrate for both phenotypes in the form of connectivity to the cerebellum and somatomotor cortex. Our results suggest a brief divergence of optimal stimulation networks for cervical vs. generalized dystonia within the pallidothalamic loop that merge again on a thalamo-cortical level and share a common whole-brain network.","container-title":"Proceedings of the National Academy of Sciences","DOI":"10.1073/pnas.2114985119","ISSN":"0027-8424, 1091-6490","issue":"14","journalAbbreviation":"Proc. Natl. Acad. Sci. U.S.A.","language":"en","page":"e2114985119","source":"DOI.org (Crossref)","title":"Optimal deep brain stimulation sites and networks for cervical vs. generalized dystonia","volume":"119","author":[{"family":"Horn","given":"Andreas"},{"family":"Reich","given":"Martin M."},{"family":"Ewert","given":"Siobhan"},{"family":"Li","given":"Ningfei"},{"family":"Al-Fatly","given":"Bassam"},{"family":"Lange","given":"Florian"},{"family":"Roothans","given":"Jonas"},{"family":"Oxenford","given":"Simon"},{"family":"Horn","given":"Isabel"},{"family":"Paschen","given":"Steffen"},{"family":"Runge","given":"Joachim"},{"family":"Wodarg","given":"Fritz"},{"family":"Witt","given":"Karsten"},{"family":"Nickl","given":"Robert C."},{"family":"Wittstock","given":"Matthias"},{"family":"Schneider","given":"Gerd-Helge"},{"family":"Mahlknecht","given":"Philipp"},{"family":"Poewe","given":"Werner"},{"family":"Eisner","given":"Wilhelm"},{"family":"Helmers","given":"Ann-Kristin"},{"family":"Matthies","given":"Cordula"},{"family":"Krauss","given":"Joachim K."},{"family":"Deuschl","given":"Günther"},{"family":"Volkmann","given":"Jens"},{"family":"Kühn","given":"Andrea A."}],"issued":{"date-parts":[["2022",4,5]]}},"label":"page"},{"id":833,"uris":["http://zotero.org/users/local/qbj29eOf/items/MKGPTCKP"],"itemData":{"id":833,"type":"article-journal","container-title":"Brain","DOI":"10.1093/brain/awz046","ISSN":"0006-8950, 1460-2156","issue":"5","language":"en","license":"https://academic.oup.com/journals/pages/open_access/funder_policies/chorus/standard_publication_model","page":"1386-1398","source":"DOI.org (Crossref)","title":"Probabilistic mapping of the antidystonic effect of pallidal neurostimulation: a multicentre imaging study","title-short":"Probabilistic mapping of the antidystonic effect of pallidal neurostimulation","volume":"142","author":[{"family":"Reich","given":"Martin M"},{"family":"Horn","given":"Andreas"},{"family":"Lange","given":"Florian"},{"family":"Roothans","given":"Jonas"},{"family":"Paschen","given":"Steffen"},{"family":"Runge","given":"Joachim"},{"family":"Wodarg","given":"Fritz"},{"family":"Pozzi","given":"Nicolo G"},{"family":"Witt","given":"Karsten"},{"family":"Nickl","given":"Robert C"},{"family":"Soussand","given":"Louis"},{"family":"Ewert","given":"Siobhan"},{"family":"Maltese","given":"Virgina"},{"family":"Wittstock","given":"Matthias"},{"family":"Schneider","given":"Gerd-Helge"},{"family":"Coenen","given":"Volker"},{"family":"Mahlknecht","given":"Philipp"},{"family":"Poewe","given":"Werner"},{"family":"Eisner","given":"Wilhelm"},{"family":"Helmers","given":"Ann-Kristin"},{"family":"Matthies","given":"Cordula"},{"family":"Sturm","given":"Volker"},{"family":"Isaias","given":"Ioannis U"},{"family":"Krauss","given":"Joachim K"},{"family":"Kühn","given":"Andrea A"},{"family":"Deuschl","given":"Günther"},{"family":"Volkmann","given":"Jens"}],"issued":{"date-parts":[["2019",5,1]]}},"label":"page"}],"schema":"https://github.com/citation-style-language/schema/raw/master/csl-citation.json"} </w:instrText>
      </w:r>
      <w:r w:rsidRPr="00132F35">
        <w:rPr>
          <w:rFonts w:ascii="Times New Roman" w:hAnsi="Times New Roman" w:cs="Times New Roman"/>
          <w:sz w:val="20"/>
          <w:szCs w:val="20"/>
          <w:lang w:val="en-GB"/>
        </w:rPr>
        <w:fldChar w:fldCharType="separate"/>
      </w:r>
      <w:r w:rsidR="00D55A90">
        <w:rPr>
          <w:rFonts w:ascii="Times New Roman" w:hAnsi="Times New Roman" w:cs="Times New Roman"/>
          <w:sz w:val="20"/>
          <w:szCs w:val="20"/>
          <w:vertAlign w:val="superscript"/>
          <w:lang w:val="en-GB"/>
        </w:rPr>
        <w:t>7,9</w:t>
      </w:r>
      <w:r w:rsidRPr="00132F35">
        <w:rPr>
          <w:rFonts w:ascii="Times New Roman" w:hAnsi="Times New Roman" w:cs="Times New Roman"/>
          <w:sz w:val="20"/>
          <w:szCs w:val="20"/>
          <w:lang w:val="en-GB"/>
        </w:rPr>
        <w:fldChar w:fldCharType="end"/>
      </w:r>
      <w:r w:rsidRPr="00132F35">
        <w:rPr>
          <w:rFonts w:ascii="Times New Roman" w:hAnsi="Times New Roman" w:cs="Times New Roman"/>
          <w:sz w:val="20"/>
          <w:szCs w:val="20"/>
          <w:lang w:val="en-GB"/>
        </w:rPr>
        <w:t xml:space="preserve"> Specifically, E-fields were modelled in 22 patients (</w:t>
      </w:r>
      <w:r w:rsidRPr="00132F35">
        <w:rPr>
          <w:rFonts w:ascii="Times New Roman" w:hAnsi="Times New Roman" w:cs="Times New Roman"/>
          <w:sz w:val="20"/>
          <w:szCs w:val="20"/>
        </w:rPr>
        <w:t xml:space="preserve">3 patients were excluded from this analysis due to low image quality, </w:t>
      </w:r>
      <w:r w:rsidRPr="00132F35">
        <w:rPr>
          <w:rFonts w:ascii="Times New Roman" w:hAnsi="Times New Roman" w:cs="Times New Roman"/>
          <w:b/>
          <w:bCs/>
          <w:sz w:val="20"/>
          <w:szCs w:val="20"/>
          <w:lang w:val="en-GB"/>
        </w:rPr>
        <w:t>Supplementary Table 1</w:t>
      </w:r>
      <w:r w:rsidRPr="00132F35">
        <w:rPr>
          <w:rFonts w:ascii="Times New Roman" w:hAnsi="Times New Roman" w:cs="Times New Roman"/>
          <w:sz w:val="20"/>
          <w:szCs w:val="20"/>
          <w:lang w:val="en-GB"/>
        </w:rPr>
        <w:t>)</w:t>
      </w:r>
      <w:r w:rsidRPr="00132F35">
        <w:rPr>
          <w:rFonts w:ascii="Times New Roman" w:hAnsi="Times New Roman" w:cs="Times New Roman"/>
          <w:b/>
          <w:bCs/>
          <w:sz w:val="20"/>
          <w:szCs w:val="20"/>
          <w:lang w:val="en-GB"/>
        </w:rPr>
        <w:t xml:space="preserve"> </w:t>
      </w:r>
      <w:r w:rsidRPr="00132F35">
        <w:rPr>
          <w:rFonts w:ascii="Times New Roman" w:hAnsi="Times New Roman" w:cs="Times New Roman"/>
          <w:sz w:val="20"/>
          <w:szCs w:val="20"/>
          <w:lang w:val="en-GB"/>
        </w:rPr>
        <w:t>based on active contacts and stimulation parameters, analysed separately for the right and left hemispheres. Points within E-field with vector magnitude below 150 V/m, the threshold assumed sufficient to activate axons</w:t>
      </w:r>
      <w:r w:rsidR="00D55A90">
        <w:rPr>
          <w:rFonts w:ascii="Times New Roman" w:hAnsi="Times New Roman" w:cs="Times New Roman"/>
          <w:sz w:val="20"/>
          <w:szCs w:val="20"/>
          <w:vertAlign w:val="superscript"/>
          <w:lang w:val="en-GB"/>
        </w:rPr>
        <w:t>10</w:t>
      </w:r>
      <w:r w:rsidRPr="00132F35">
        <w:rPr>
          <w:rFonts w:ascii="Times New Roman" w:hAnsi="Times New Roman" w:cs="Times New Roman"/>
          <w:sz w:val="20"/>
          <w:szCs w:val="20"/>
          <w:lang w:val="en-GB"/>
        </w:rPr>
        <w:t xml:space="preserve">, were filtered out. We compiled the remaining E-field points with varying vector magnitudes for each 0.25x0.25x0.25 mm voxel in MNI space and calculated an average E-field vector magnitude per voxel. For robust voxel-based correlation </w:t>
      </w:r>
      <w:r w:rsidRPr="00132F35">
        <w:rPr>
          <w:rFonts w:ascii="Times New Roman" w:hAnsi="Times New Roman" w:cs="Times New Roman"/>
          <w:sz w:val="20"/>
          <w:szCs w:val="20"/>
        </w:rPr>
        <w:t>estimation with Spearman´s rho test</w:t>
      </w:r>
      <w:r w:rsidRPr="00132F35">
        <w:rPr>
          <w:rFonts w:ascii="Times New Roman" w:hAnsi="Times New Roman" w:cs="Times New Roman"/>
          <w:sz w:val="20"/>
          <w:szCs w:val="20"/>
          <w:lang w:val="en-GB"/>
        </w:rPr>
        <w:t>, we required each selected voxel (in either hemisphere) to be covered by at least 30%</w:t>
      </w:r>
      <w:r w:rsidR="00D55A90">
        <w:rPr>
          <w:rFonts w:ascii="Times New Roman" w:hAnsi="Times New Roman" w:cs="Times New Roman"/>
          <w:sz w:val="20"/>
          <w:szCs w:val="20"/>
          <w:vertAlign w:val="superscript"/>
          <w:lang w:val="en-GB"/>
        </w:rPr>
        <w:t>7</w:t>
      </w:r>
      <w:r w:rsidRPr="00132F35">
        <w:rPr>
          <w:rFonts w:ascii="Times New Roman" w:hAnsi="Times New Roman" w:cs="Times New Roman"/>
          <w:sz w:val="20"/>
          <w:szCs w:val="20"/>
          <w:lang w:val="en-GB"/>
        </w:rPr>
        <w:t xml:space="preserve"> of patients (N≥7), otherwise these voxels were excluded from further analyses. For each voxel, we measured Spearman’s correlation between the E-field vector magnitude values and the percentual BFMDRS-M improvement following the GPi-DBS surgery across patients.</w:t>
      </w:r>
    </w:p>
    <w:p w14:paraId="2B0BF7BC" w14:textId="57C36D2E" w:rsidR="00220F79" w:rsidRPr="00132F35" w:rsidRDefault="005D45CE" w:rsidP="006840B3">
      <w:pPr>
        <w:spacing w:line="480" w:lineRule="auto"/>
        <w:ind w:firstLine="708"/>
        <w:jc w:val="both"/>
        <w:rPr>
          <w:rFonts w:ascii="Times New Roman" w:hAnsi="Times New Roman" w:cs="Times New Roman"/>
          <w:sz w:val="20"/>
          <w:szCs w:val="20"/>
          <w:lang w:val="en-GB"/>
        </w:rPr>
      </w:pPr>
      <w:r w:rsidRPr="00132F35">
        <w:rPr>
          <w:rFonts w:ascii="Times New Roman" w:hAnsi="Times New Roman" w:cs="Times New Roman"/>
          <w:sz w:val="20"/>
          <w:szCs w:val="20"/>
          <w:lang w:val="en-GB"/>
        </w:rPr>
        <w:t xml:space="preserve">To identify and visualize sweet and sour spot regions based on voxel-wise correlation scores, we processed voxel data using a combination of statistical filtering and 3D visualization techniques for each hemisphere separately. </w:t>
      </w:r>
      <w:r w:rsidR="006840B3">
        <w:rPr>
          <w:rFonts w:ascii="Times New Roman" w:hAnsi="Times New Roman" w:cs="Times New Roman"/>
          <w:sz w:val="20"/>
          <w:szCs w:val="20"/>
          <w:lang w:val="en-GB"/>
        </w:rPr>
        <w:t>W</w:t>
      </w:r>
      <w:r w:rsidRPr="00132F35">
        <w:rPr>
          <w:rFonts w:ascii="Times New Roman" w:hAnsi="Times New Roman" w:cs="Times New Roman"/>
          <w:sz w:val="20"/>
          <w:szCs w:val="20"/>
          <w:lang w:val="en-GB"/>
        </w:rPr>
        <w:t>e calculated the average correlation within a specific plane (axial, coronal, or sagittal) by aggregating the mean correlation coefficients across voxels sharing the same position on the selected plane. For instance, voxels with identical borders in the x and z axes were grouped in the axial plane. This method allowed us to visualize the spatial distribution of correlation values in a more interpretable manner, highlighting regions within the plane that exhibit the strongest positive or negative correlations. By aggregating data in this way, we could identify "sweet spots," where stimulation is most beneficial, and "sour spots," where it may have adverse effects. Th</w:t>
      </w:r>
      <w:r w:rsidR="006840B3">
        <w:rPr>
          <w:rFonts w:ascii="Times New Roman" w:hAnsi="Times New Roman" w:cs="Times New Roman"/>
          <w:sz w:val="20"/>
          <w:szCs w:val="20"/>
          <w:lang w:val="en-GB"/>
        </w:rPr>
        <w:t xml:space="preserve">is </w:t>
      </w:r>
      <w:r w:rsidRPr="00132F35">
        <w:rPr>
          <w:rFonts w:ascii="Times New Roman" w:hAnsi="Times New Roman" w:cs="Times New Roman"/>
          <w:sz w:val="20"/>
          <w:szCs w:val="20"/>
          <w:lang w:val="en-GB"/>
        </w:rPr>
        <w:t>approach enabled a clear delineation of sweet and sour spot regions, offering valuable insights into the anatomical-functional relationships that underpin the effects of GPi-DBS in DYT-</w:t>
      </w:r>
      <w:r w:rsidRPr="00132F35">
        <w:rPr>
          <w:rFonts w:ascii="Times New Roman" w:hAnsi="Times New Roman" w:cs="Times New Roman"/>
          <w:i/>
          <w:iCs/>
          <w:sz w:val="20"/>
          <w:szCs w:val="20"/>
          <w:lang w:val="en-GB"/>
        </w:rPr>
        <w:t>VPS16</w:t>
      </w:r>
      <w:r w:rsidRPr="00132F35">
        <w:rPr>
          <w:rFonts w:ascii="Times New Roman" w:hAnsi="Times New Roman" w:cs="Times New Roman"/>
          <w:sz w:val="20"/>
          <w:szCs w:val="20"/>
          <w:lang w:val="en-GB"/>
        </w:rPr>
        <w:t xml:space="preserve"> cases</w:t>
      </w:r>
      <w:r w:rsidR="00EF3F84" w:rsidRPr="00132F35">
        <w:rPr>
          <w:rFonts w:ascii="Times New Roman" w:hAnsi="Times New Roman" w:cs="Times New Roman"/>
          <w:sz w:val="20"/>
          <w:szCs w:val="20"/>
          <w:lang w:val="en-GB"/>
        </w:rPr>
        <w:t>.</w:t>
      </w:r>
    </w:p>
    <w:p w14:paraId="13F58AB8" w14:textId="77777777" w:rsidR="005D45CE" w:rsidRPr="00132F35" w:rsidRDefault="005D45CE" w:rsidP="005D45CE">
      <w:pPr>
        <w:spacing w:line="480" w:lineRule="auto"/>
        <w:rPr>
          <w:rFonts w:ascii="Times New Roman" w:hAnsi="Times New Roman" w:cs="Times New Roman"/>
          <w:b/>
          <w:bCs/>
          <w:i/>
          <w:iCs/>
          <w:sz w:val="20"/>
          <w:szCs w:val="20"/>
          <w:lang w:val="en-GB"/>
        </w:rPr>
      </w:pPr>
      <w:r w:rsidRPr="00132F35">
        <w:rPr>
          <w:rFonts w:ascii="Times New Roman" w:hAnsi="Times New Roman" w:cs="Times New Roman"/>
          <w:b/>
          <w:bCs/>
          <w:i/>
          <w:iCs/>
          <w:sz w:val="20"/>
          <w:szCs w:val="20"/>
          <w:lang w:val="en-GB"/>
        </w:rPr>
        <w:lastRenderedPageBreak/>
        <w:t xml:space="preserve">MER data analysis </w:t>
      </w:r>
    </w:p>
    <w:p w14:paraId="0C0473E6" w14:textId="0382A3FD" w:rsidR="005D45CE" w:rsidRPr="00132F35" w:rsidRDefault="005D45CE" w:rsidP="006840B3">
      <w:pPr>
        <w:spacing w:line="480" w:lineRule="auto"/>
        <w:ind w:firstLine="708"/>
        <w:jc w:val="both"/>
        <w:rPr>
          <w:rFonts w:ascii="Times New Roman" w:hAnsi="Times New Roman" w:cs="Times New Roman"/>
          <w:sz w:val="20"/>
          <w:szCs w:val="20"/>
          <w:lang w:val="en-GB"/>
        </w:rPr>
      </w:pPr>
      <w:r w:rsidRPr="00132F35">
        <w:rPr>
          <w:rFonts w:ascii="Times New Roman" w:hAnsi="Times New Roman" w:cs="Times New Roman"/>
          <w:sz w:val="20"/>
          <w:szCs w:val="20"/>
          <w:lang w:val="en-GB"/>
        </w:rPr>
        <w:t xml:space="preserve">We examined intraoperative microelectrode recordings (MER) from five trajectories acquired during </w:t>
      </w:r>
      <w:proofErr w:type="spellStart"/>
      <w:r w:rsidRPr="00132F35">
        <w:rPr>
          <w:rFonts w:ascii="Times New Roman" w:hAnsi="Times New Roman" w:cs="Times New Roman"/>
          <w:sz w:val="20"/>
          <w:szCs w:val="20"/>
          <w:lang w:val="en-GB"/>
        </w:rPr>
        <w:t>pallidal</w:t>
      </w:r>
      <w:proofErr w:type="spellEnd"/>
      <w:r w:rsidRPr="00132F35">
        <w:rPr>
          <w:rFonts w:ascii="Times New Roman" w:hAnsi="Times New Roman" w:cs="Times New Roman"/>
          <w:sz w:val="20"/>
          <w:szCs w:val="20"/>
          <w:lang w:val="en-GB"/>
        </w:rPr>
        <w:t xml:space="preserve"> DBS surgery under </w:t>
      </w:r>
      <w:r w:rsidRPr="00132F35">
        <w:rPr>
          <w:rFonts w:ascii="Times New Roman" w:hAnsi="Times New Roman" w:cs="Times New Roman"/>
          <w:sz w:val="20"/>
          <w:szCs w:val="20"/>
        </w:rPr>
        <w:t>propofol anesthesia</w:t>
      </w:r>
      <w:r w:rsidRPr="00132F35">
        <w:rPr>
          <w:rFonts w:ascii="Times New Roman" w:hAnsi="Times New Roman" w:cs="Times New Roman"/>
          <w:sz w:val="20"/>
          <w:szCs w:val="20"/>
          <w:lang w:val="en-GB"/>
        </w:rPr>
        <w:t xml:space="preserve"> in two patients (P8 and P9) to characterize the neural activity of the internal and external segments of the globus pallidus (GPi and GPe, respectively) for DYT-</w:t>
      </w:r>
      <w:r w:rsidRPr="00132F35">
        <w:rPr>
          <w:rFonts w:ascii="Times New Roman" w:hAnsi="Times New Roman" w:cs="Times New Roman"/>
          <w:i/>
          <w:iCs/>
          <w:sz w:val="20"/>
          <w:szCs w:val="20"/>
          <w:lang w:val="en-GB"/>
        </w:rPr>
        <w:t>VPS16</w:t>
      </w:r>
      <w:r w:rsidRPr="00132F35">
        <w:rPr>
          <w:rFonts w:ascii="Times New Roman" w:hAnsi="Times New Roman" w:cs="Times New Roman"/>
          <w:sz w:val="20"/>
          <w:szCs w:val="20"/>
          <w:lang w:val="en-GB"/>
        </w:rPr>
        <w:t>. The reconstruction of nuclei and recording depths are performed using the Distal Atlas</w:t>
      </w:r>
      <w:r w:rsidR="00D55A90">
        <w:rPr>
          <w:rFonts w:ascii="Times New Roman" w:hAnsi="Times New Roman" w:cs="Times New Roman"/>
          <w:sz w:val="20"/>
          <w:szCs w:val="20"/>
          <w:vertAlign w:val="superscript"/>
          <w:lang w:val="en-GB"/>
        </w:rPr>
        <w:t>1</w:t>
      </w:r>
      <w:r w:rsidR="006840B3">
        <w:rPr>
          <w:rFonts w:ascii="Times New Roman" w:hAnsi="Times New Roman" w:cs="Times New Roman"/>
          <w:sz w:val="20"/>
          <w:szCs w:val="20"/>
          <w:vertAlign w:val="superscript"/>
          <w:lang w:val="en-GB"/>
        </w:rPr>
        <w:t>1</w:t>
      </w:r>
      <w:r w:rsidRPr="00132F35">
        <w:rPr>
          <w:rFonts w:ascii="Times New Roman" w:hAnsi="Times New Roman" w:cs="Times New Roman"/>
          <w:sz w:val="20"/>
          <w:szCs w:val="20"/>
          <w:lang w:val="en-GB"/>
        </w:rPr>
        <w:t xml:space="preserve"> in Montreal Neurological Institute space (p&gt;0.5 thresholds for definitions of nuclei borders) by Lead DBS</w:t>
      </w:r>
      <w:r w:rsidR="00132F35" w:rsidRPr="00132F35">
        <w:rPr>
          <w:rFonts w:ascii="Times New Roman" w:hAnsi="Times New Roman" w:cs="Times New Roman"/>
          <w:sz w:val="20"/>
          <w:szCs w:val="20"/>
          <w:vertAlign w:val="superscript"/>
          <w:lang w:val="en-GB"/>
        </w:rPr>
        <w:t>1</w:t>
      </w:r>
      <w:r w:rsidRPr="00132F35">
        <w:rPr>
          <w:rFonts w:ascii="Times New Roman" w:hAnsi="Times New Roman" w:cs="Times New Roman"/>
          <w:sz w:val="20"/>
          <w:szCs w:val="20"/>
          <w:lang w:val="en-GB"/>
        </w:rPr>
        <w:t xml:space="preserve"> v2.5 and operating room notes. From raw recordings, we isolated 95 and 174 stable single-unit activities (SUA) from GPi and GPe, respectively. The methodology for spike sorting and neural feature measurements has been described in previous work.</w:t>
      </w:r>
      <w:r w:rsidR="00D55A90">
        <w:rPr>
          <w:rFonts w:ascii="Times New Roman" w:hAnsi="Times New Roman" w:cs="Times New Roman"/>
          <w:sz w:val="20"/>
          <w:szCs w:val="20"/>
          <w:vertAlign w:val="superscript"/>
          <w:lang w:val="en-GB"/>
        </w:rPr>
        <w:t>1</w:t>
      </w:r>
      <w:r w:rsidR="006840B3">
        <w:rPr>
          <w:rFonts w:ascii="Times New Roman" w:hAnsi="Times New Roman" w:cs="Times New Roman"/>
          <w:sz w:val="20"/>
          <w:szCs w:val="20"/>
          <w:vertAlign w:val="superscript"/>
          <w:lang w:val="en-GB"/>
        </w:rPr>
        <w:t>2</w:t>
      </w:r>
      <w:r w:rsidRPr="00132F35">
        <w:rPr>
          <w:rFonts w:ascii="Times New Roman" w:hAnsi="Times New Roman" w:cs="Times New Roman"/>
          <w:sz w:val="20"/>
          <w:szCs w:val="20"/>
          <w:lang w:val="en-GB"/>
        </w:rPr>
        <w:t xml:space="preserve"> </w:t>
      </w:r>
    </w:p>
    <w:p w14:paraId="4465F894" w14:textId="0D10141B" w:rsidR="000E1B18" w:rsidRPr="00132F35" w:rsidRDefault="0016037A" w:rsidP="006840B3">
      <w:pPr>
        <w:spacing w:line="480" w:lineRule="auto"/>
        <w:rPr>
          <w:rFonts w:ascii="Times New Roman" w:hAnsi="Times New Roman" w:cs="Times New Roman"/>
          <w:b/>
          <w:bCs/>
          <w:sz w:val="20"/>
          <w:szCs w:val="20"/>
          <w:lang w:val="en-GB"/>
        </w:rPr>
      </w:pPr>
      <w:r w:rsidRPr="00132F35">
        <w:rPr>
          <w:rFonts w:ascii="Times New Roman" w:hAnsi="Times New Roman" w:cs="Times New Roman"/>
          <w:b/>
          <w:bCs/>
          <w:sz w:val="20"/>
          <w:szCs w:val="20"/>
          <w:lang w:val="en-GB"/>
        </w:rPr>
        <w:t xml:space="preserve">RESULTS </w:t>
      </w:r>
    </w:p>
    <w:p w14:paraId="6226B90E" w14:textId="77777777" w:rsidR="0016037A" w:rsidRPr="00132F35" w:rsidRDefault="0016037A" w:rsidP="0016037A">
      <w:pPr>
        <w:spacing w:line="480" w:lineRule="auto"/>
        <w:rPr>
          <w:rFonts w:ascii="Times New Roman" w:hAnsi="Times New Roman" w:cs="Times New Roman"/>
          <w:b/>
          <w:bCs/>
          <w:i/>
          <w:iCs/>
          <w:sz w:val="20"/>
          <w:szCs w:val="20"/>
          <w:lang w:val="en-GB"/>
        </w:rPr>
      </w:pPr>
      <w:r w:rsidRPr="00132F35">
        <w:rPr>
          <w:rFonts w:ascii="Times New Roman" w:hAnsi="Times New Roman" w:cs="Times New Roman"/>
          <w:b/>
          <w:bCs/>
          <w:i/>
          <w:iCs/>
          <w:sz w:val="20"/>
          <w:szCs w:val="20"/>
          <w:lang w:val="en-GB"/>
        </w:rPr>
        <w:t>DBS insertion and outcomes</w:t>
      </w:r>
    </w:p>
    <w:p w14:paraId="7B352981" w14:textId="43ADE4C0" w:rsidR="00EF3F84" w:rsidRDefault="009A3A87" w:rsidP="006840B3">
      <w:pPr>
        <w:spacing w:line="480" w:lineRule="auto"/>
        <w:ind w:firstLine="708"/>
        <w:jc w:val="both"/>
        <w:rPr>
          <w:rFonts w:ascii="Times New Roman" w:hAnsi="Times New Roman" w:cs="Times New Roman"/>
          <w:sz w:val="20"/>
          <w:szCs w:val="20"/>
          <w:lang w:val="en-GB"/>
        </w:rPr>
      </w:pPr>
      <w:r w:rsidRPr="00132F35">
        <w:rPr>
          <w:rFonts w:ascii="Times New Roman" w:hAnsi="Times New Roman" w:cs="Times New Roman"/>
          <w:sz w:val="20"/>
          <w:szCs w:val="20"/>
          <w:lang w:val="en-GB"/>
        </w:rPr>
        <w:t>Non-responders included the patient with the shortest FU (2 months, P8), who had his battery discharged for 1 month and underwent DBS explantation 11 months after DBS surgery because of subjective ineffectiveness; but also, the patient with the longest FU (216 months, P10) in our cohort, who did not improve at all after DBS, unlike other non-responders who improved at least partially or temporarily. All non-responders had isolated generalised dystonia at baseline with onset in the extremities, except one non-responder, P12, who initially presented with laryngeal dystonia. Five of non-responders had at least one neuropsychiatric comorbidity. One non-responder, P11, had a mild facial nerve deficit as a complication of surgery.</w:t>
      </w:r>
    </w:p>
    <w:p w14:paraId="305F7457" w14:textId="71007084" w:rsidR="000E1B18" w:rsidRPr="000E1B18" w:rsidRDefault="000E1B18" w:rsidP="006840B3">
      <w:pPr>
        <w:spacing w:line="480" w:lineRule="auto"/>
        <w:rPr>
          <w:rFonts w:ascii="Times New Roman" w:hAnsi="Times New Roman" w:cs="Times New Roman"/>
          <w:b/>
          <w:bCs/>
          <w:sz w:val="20"/>
          <w:szCs w:val="20"/>
          <w:lang w:val="en-GB"/>
        </w:rPr>
      </w:pPr>
      <w:r>
        <w:rPr>
          <w:rFonts w:ascii="Times New Roman" w:hAnsi="Times New Roman" w:cs="Times New Roman"/>
          <w:b/>
          <w:bCs/>
          <w:sz w:val="20"/>
          <w:szCs w:val="20"/>
          <w:lang w:val="en-GB"/>
        </w:rPr>
        <w:t>DISCUSSION</w:t>
      </w:r>
      <w:r w:rsidRPr="00132F35">
        <w:rPr>
          <w:rFonts w:ascii="Times New Roman" w:hAnsi="Times New Roman" w:cs="Times New Roman"/>
          <w:b/>
          <w:bCs/>
          <w:sz w:val="20"/>
          <w:szCs w:val="20"/>
          <w:lang w:val="en-GB"/>
        </w:rPr>
        <w:t xml:space="preserve"> </w:t>
      </w:r>
    </w:p>
    <w:p w14:paraId="4EBC03E6" w14:textId="6BB6EA14" w:rsidR="000E1B18" w:rsidRPr="000E1B18" w:rsidRDefault="000E1B18" w:rsidP="006840B3">
      <w:pPr>
        <w:spacing w:line="480" w:lineRule="auto"/>
        <w:ind w:firstLine="708"/>
        <w:jc w:val="both"/>
        <w:rPr>
          <w:rFonts w:ascii="Times New Roman" w:hAnsi="Times New Roman" w:cs="Times New Roman"/>
          <w:sz w:val="20"/>
          <w:szCs w:val="20"/>
          <w:lang w:val="en-GB"/>
        </w:rPr>
      </w:pPr>
      <w:r w:rsidRPr="000E1B18">
        <w:rPr>
          <w:rFonts w:ascii="Times New Roman" w:hAnsi="Times New Roman"/>
          <w:sz w:val="20"/>
          <w:szCs w:val="20"/>
          <w:lang w:val="en-GB"/>
        </w:rPr>
        <w:t xml:space="preserve">Compared to other monogenic isolated </w:t>
      </w:r>
      <w:proofErr w:type="spellStart"/>
      <w:r w:rsidRPr="000E1B18">
        <w:rPr>
          <w:rFonts w:ascii="Times New Roman" w:hAnsi="Times New Roman"/>
          <w:sz w:val="20"/>
          <w:szCs w:val="20"/>
          <w:lang w:val="en-GB"/>
        </w:rPr>
        <w:t>dystonias</w:t>
      </w:r>
      <w:proofErr w:type="spellEnd"/>
      <w:r w:rsidRPr="000E1B18">
        <w:rPr>
          <w:rFonts w:ascii="Times New Roman" w:hAnsi="Times New Roman"/>
          <w:sz w:val="20"/>
          <w:szCs w:val="20"/>
          <w:lang w:val="en-GB"/>
        </w:rPr>
        <w:t xml:space="preserve">, the mean age of onset of </w:t>
      </w:r>
      <w:r w:rsidRPr="000E1B18">
        <w:rPr>
          <w:rFonts w:ascii="Times New Roman" w:hAnsi="Times New Roman"/>
          <w:i/>
          <w:iCs/>
          <w:sz w:val="20"/>
          <w:szCs w:val="20"/>
          <w:lang w:val="en-GB"/>
        </w:rPr>
        <w:t>VPS16</w:t>
      </w:r>
      <w:r w:rsidRPr="000E1B18">
        <w:rPr>
          <w:rFonts w:ascii="Times New Roman" w:hAnsi="Times New Roman"/>
          <w:sz w:val="20"/>
          <w:szCs w:val="20"/>
          <w:lang w:val="en-GB"/>
        </w:rPr>
        <w:t>-related dystonia in our cohort was higher (17.8 years) than in DYT-</w:t>
      </w:r>
      <w:r w:rsidRPr="000E1B18">
        <w:rPr>
          <w:rFonts w:ascii="Times New Roman" w:hAnsi="Times New Roman"/>
          <w:i/>
          <w:iCs/>
          <w:sz w:val="20"/>
          <w:szCs w:val="20"/>
          <w:lang w:val="en-GB"/>
        </w:rPr>
        <w:t>KMT2B</w:t>
      </w:r>
      <w:r>
        <w:rPr>
          <w:rFonts w:ascii="Times New Roman" w:hAnsi="Times New Roman"/>
          <w:sz w:val="20"/>
          <w:szCs w:val="20"/>
          <w:vertAlign w:val="superscript"/>
        </w:rPr>
        <w:t>1</w:t>
      </w:r>
      <w:r w:rsidR="006840B3">
        <w:rPr>
          <w:rFonts w:ascii="Times New Roman" w:hAnsi="Times New Roman"/>
          <w:sz w:val="20"/>
          <w:szCs w:val="20"/>
          <w:vertAlign w:val="superscript"/>
        </w:rPr>
        <w:t>3</w:t>
      </w:r>
      <w:r w:rsidRPr="000E1B18">
        <w:rPr>
          <w:rFonts w:ascii="Times New Roman" w:hAnsi="Times New Roman"/>
          <w:sz w:val="20"/>
          <w:szCs w:val="20"/>
          <w:lang w:val="en-GB"/>
        </w:rPr>
        <w:t>, DYT-</w:t>
      </w:r>
      <w:r w:rsidRPr="000E1B18">
        <w:rPr>
          <w:rFonts w:ascii="Times New Roman" w:hAnsi="Times New Roman"/>
          <w:i/>
          <w:iCs/>
          <w:sz w:val="20"/>
          <w:szCs w:val="20"/>
          <w:lang w:val="en-GB"/>
        </w:rPr>
        <w:t>TOR1A</w:t>
      </w:r>
      <w:r w:rsidRPr="000E1B18">
        <w:rPr>
          <w:rFonts w:ascii="Times New Roman" w:hAnsi="Times New Roman"/>
          <w:sz w:val="20"/>
          <w:szCs w:val="20"/>
          <w:vertAlign w:val="superscript"/>
          <w:lang w:val="en-GB"/>
        </w:rPr>
        <w:t>1</w:t>
      </w:r>
      <w:r w:rsidR="006840B3">
        <w:rPr>
          <w:rFonts w:ascii="Times New Roman" w:hAnsi="Times New Roman"/>
          <w:sz w:val="20"/>
          <w:szCs w:val="20"/>
          <w:vertAlign w:val="superscript"/>
          <w:lang w:val="en-GB"/>
        </w:rPr>
        <w:t>4</w:t>
      </w:r>
      <w:r w:rsidRPr="000E1B18">
        <w:rPr>
          <w:rFonts w:ascii="Times New Roman" w:hAnsi="Times New Roman"/>
          <w:sz w:val="20"/>
          <w:szCs w:val="20"/>
          <w:lang w:val="en-GB"/>
        </w:rPr>
        <w:t xml:space="preserve"> or DYT-</w:t>
      </w:r>
      <w:r w:rsidRPr="000E1B18">
        <w:rPr>
          <w:rFonts w:ascii="Times New Roman" w:hAnsi="Times New Roman"/>
          <w:i/>
          <w:iCs/>
          <w:sz w:val="20"/>
          <w:szCs w:val="20"/>
          <w:lang w:val="en-GB"/>
        </w:rPr>
        <w:t>THAP1</w:t>
      </w:r>
      <w:r w:rsidRPr="000E1B18">
        <w:rPr>
          <w:rFonts w:ascii="Times New Roman" w:hAnsi="Times New Roman"/>
          <w:sz w:val="20"/>
          <w:szCs w:val="20"/>
          <w:vertAlign w:val="superscript"/>
          <w:lang w:val="en-GB"/>
        </w:rPr>
        <w:t>1</w:t>
      </w:r>
      <w:r w:rsidR="006840B3">
        <w:rPr>
          <w:rFonts w:ascii="Times New Roman" w:hAnsi="Times New Roman"/>
          <w:sz w:val="20"/>
          <w:szCs w:val="20"/>
          <w:vertAlign w:val="superscript"/>
          <w:lang w:val="en-GB"/>
        </w:rPr>
        <w:t>4</w:t>
      </w:r>
      <w:r w:rsidRPr="000E1B18">
        <w:rPr>
          <w:rFonts w:ascii="Times New Roman" w:hAnsi="Times New Roman"/>
          <w:i/>
          <w:iCs/>
          <w:sz w:val="20"/>
          <w:szCs w:val="20"/>
          <w:lang w:val="en-GB"/>
        </w:rPr>
        <w:t xml:space="preserve">, </w:t>
      </w:r>
      <w:r w:rsidRPr="000E1B18">
        <w:rPr>
          <w:rFonts w:ascii="Times New Roman" w:hAnsi="Times New Roman"/>
          <w:sz w:val="20"/>
          <w:szCs w:val="20"/>
          <w:lang w:val="en-GB"/>
        </w:rPr>
        <w:t>but</w:t>
      </w:r>
      <w:r w:rsidRPr="000E1B18">
        <w:rPr>
          <w:rFonts w:ascii="Times New Roman" w:hAnsi="Times New Roman"/>
          <w:i/>
          <w:iCs/>
          <w:sz w:val="20"/>
          <w:szCs w:val="20"/>
          <w:lang w:val="en-GB"/>
        </w:rPr>
        <w:t xml:space="preserve"> </w:t>
      </w:r>
      <w:r w:rsidRPr="000E1B18">
        <w:rPr>
          <w:rFonts w:ascii="Times New Roman" w:hAnsi="Times New Roman"/>
          <w:sz w:val="20"/>
          <w:szCs w:val="20"/>
          <w:lang w:val="en-GB"/>
        </w:rPr>
        <w:t>lower than in DYT-</w:t>
      </w:r>
      <w:r w:rsidRPr="000E1B18">
        <w:rPr>
          <w:rFonts w:ascii="Times New Roman" w:hAnsi="Times New Roman"/>
          <w:i/>
          <w:iCs/>
          <w:sz w:val="20"/>
          <w:szCs w:val="20"/>
          <w:lang w:val="en-GB"/>
        </w:rPr>
        <w:t>GNAL</w:t>
      </w:r>
      <w:r w:rsidRPr="000E1B18">
        <w:rPr>
          <w:rFonts w:ascii="Times New Roman" w:hAnsi="Times New Roman"/>
          <w:sz w:val="20"/>
          <w:szCs w:val="20"/>
          <w:lang w:val="en-GB"/>
        </w:rPr>
        <w:t xml:space="preserve"> dystonia</w:t>
      </w:r>
      <w:r>
        <w:rPr>
          <w:rFonts w:ascii="Times New Roman" w:hAnsi="Times New Roman"/>
          <w:sz w:val="20"/>
          <w:szCs w:val="20"/>
          <w:vertAlign w:val="superscript"/>
          <w:lang w:val="en-GB"/>
        </w:rPr>
        <w:t>1</w:t>
      </w:r>
      <w:r w:rsidR="006840B3">
        <w:rPr>
          <w:rFonts w:ascii="Times New Roman" w:hAnsi="Times New Roman"/>
          <w:sz w:val="20"/>
          <w:szCs w:val="20"/>
          <w:vertAlign w:val="superscript"/>
          <w:lang w:val="en-GB"/>
        </w:rPr>
        <w:t>5</w:t>
      </w:r>
      <w:r w:rsidRPr="000E1B18">
        <w:rPr>
          <w:rFonts w:ascii="Times New Roman" w:hAnsi="Times New Roman"/>
          <w:sz w:val="20"/>
          <w:szCs w:val="20"/>
          <w:lang w:val="en-GB"/>
        </w:rPr>
        <w:t xml:space="preserve">. This is consistent with the early, adolescent onset of </w:t>
      </w:r>
      <w:r w:rsidRPr="000E1B18">
        <w:rPr>
          <w:rFonts w:ascii="Times New Roman" w:hAnsi="Times New Roman"/>
          <w:i/>
          <w:iCs/>
          <w:sz w:val="20"/>
          <w:szCs w:val="20"/>
          <w:lang w:val="en-GB"/>
        </w:rPr>
        <w:t>VPS16</w:t>
      </w:r>
      <w:r w:rsidRPr="000E1B18">
        <w:rPr>
          <w:rFonts w:ascii="Times New Roman" w:hAnsi="Times New Roman"/>
          <w:sz w:val="20"/>
          <w:szCs w:val="20"/>
          <w:lang w:val="en-GB"/>
        </w:rPr>
        <w:t>-related dystonia as described in a systematic literature review based on previously published patients with a median age at onset of 14 years</w:t>
      </w:r>
      <w:r>
        <w:rPr>
          <w:rFonts w:ascii="Times New Roman" w:hAnsi="Times New Roman"/>
          <w:sz w:val="20"/>
          <w:szCs w:val="20"/>
          <w:vertAlign w:val="superscript"/>
          <w:lang w:val="en-GB"/>
        </w:rPr>
        <w:t>1</w:t>
      </w:r>
      <w:r w:rsidR="006840B3">
        <w:rPr>
          <w:rFonts w:ascii="Times New Roman" w:hAnsi="Times New Roman"/>
          <w:sz w:val="20"/>
          <w:szCs w:val="20"/>
          <w:vertAlign w:val="superscript"/>
          <w:lang w:val="en-GB"/>
        </w:rPr>
        <w:t>6</w:t>
      </w:r>
      <w:r w:rsidRPr="000E1B18">
        <w:rPr>
          <w:rFonts w:ascii="Times New Roman" w:hAnsi="Times New Roman"/>
          <w:sz w:val="20"/>
          <w:szCs w:val="20"/>
          <w:lang w:val="en-GB"/>
        </w:rPr>
        <w:t>. Nevertheless, five of our patients (19.2%) experienced their first dystonic symptoms at an age of &gt;21 years.</w:t>
      </w:r>
    </w:p>
    <w:p w14:paraId="31A72692" w14:textId="77777777" w:rsidR="00EF3F84" w:rsidRPr="00132F35" w:rsidRDefault="00EF3F84">
      <w:pPr>
        <w:rPr>
          <w:rFonts w:ascii="Times New Roman" w:hAnsi="Times New Roman" w:cs="Times New Roman"/>
          <w:sz w:val="20"/>
          <w:szCs w:val="20"/>
          <w:lang w:val="en-GB"/>
        </w:rPr>
      </w:pPr>
      <w:r w:rsidRPr="00132F35">
        <w:rPr>
          <w:rFonts w:ascii="Times New Roman" w:hAnsi="Times New Roman" w:cs="Times New Roman"/>
          <w:sz w:val="20"/>
          <w:szCs w:val="20"/>
          <w:lang w:val="en-GB"/>
        </w:rPr>
        <w:br w:type="page"/>
      </w:r>
    </w:p>
    <w:p w14:paraId="440756EF" w14:textId="3CF969FB" w:rsidR="00EF3F84" w:rsidRPr="00155D24" w:rsidRDefault="00EF3F84" w:rsidP="00155D24">
      <w:pPr>
        <w:rPr>
          <w:rFonts w:ascii="Times New Roman" w:hAnsi="Times New Roman" w:cs="Times New Roman"/>
          <w:b/>
          <w:bCs/>
          <w:sz w:val="20"/>
          <w:szCs w:val="20"/>
          <w:lang w:val="en-GB"/>
        </w:rPr>
      </w:pPr>
      <w:r w:rsidRPr="00155D24">
        <w:rPr>
          <w:rFonts w:ascii="Times New Roman" w:hAnsi="Times New Roman" w:cs="Times New Roman"/>
          <w:b/>
          <w:bCs/>
          <w:sz w:val="20"/>
          <w:szCs w:val="20"/>
          <w:lang w:val="en-GB"/>
        </w:rPr>
        <w:lastRenderedPageBreak/>
        <w:t xml:space="preserve">REFERENCES </w:t>
      </w:r>
    </w:p>
    <w:p w14:paraId="39B22C7C" w14:textId="77777777" w:rsidR="00413DDF" w:rsidRPr="00413DDF" w:rsidRDefault="00413DDF" w:rsidP="000E1B18">
      <w:pPr>
        <w:numPr>
          <w:ilvl w:val="0"/>
          <w:numId w:val="2"/>
        </w:numPr>
        <w:spacing w:after="0" w:line="480" w:lineRule="auto"/>
        <w:rPr>
          <w:rFonts w:ascii="Times New Roman" w:hAnsi="Times New Roman"/>
          <w:sz w:val="20"/>
          <w:szCs w:val="20"/>
          <w:lang w:val="en-GB"/>
        </w:rPr>
      </w:pPr>
      <w:r w:rsidRPr="00413DDF">
        <w:rPr>
          <w:rFonts w:ascii="Times New Roman" w:hAnsi="Times New Roman"/>
          <w:sz w:val="20"/>
          <w:szCs w:val="20"/>
        </w:rPr>
        <w:t>Horn A, Li N, Dembek TA, et al. Lead-DBS v2: Towards a comprehensive pipeline for deep brain stimulation imaging. </w:t>
      </w:r>
      <w:r w:rsidRPr="00413DDF">
        <w:rPr>
          <w:rFonts w:ascii="Times New Roman" w:hAnsi="Times New Roman"/>
          <w:i/>
          <w:iCs/>
          <w:sz w:val="20"/>
          <w:szCs w:val="20"/>
        </w:rPr>
        <w:t>Neuroimage</w:t>
      </w:r>
      <w:r w:rsidRPr="00413DDF">
        <w:rPr>
          <w:rFonts w:ascii="Times New Roman" w:hAnsi="Times New Roman"/>
          <w:sz w:val="20"/>
          <w:szCs w:val="20"/>
        </w:rPr>
        <w:t xml:space="preserve"> 2019;184:293-316;DOI:10.1016/j.neuroimage.2018.08.068</w:t>
      </w:r>
    </w:p>
    <w:p w14:paraId="5C9A6AEC"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 xml:space="preserve">Avants BB, Tustison NJ, Song G, et al. A reproducible evaluation of ANTs similarity metric performance in brain image registration. </w:t>
      </w:r>
      <w:r w:rsidRPr="00413DDF">
        <w:rPr>
          <w:rFonts w:ascii="Times New Roman" w:hAnsi="Times New Roman"/>
          <w:i/>
          <w:iCs/>
          <w:sz w:val="20"/>
          <w:szCs w:val="20"/>
        </w:rPr>
        <w:t>NeuroImage</w:t>
      </w:r>
      <w:r w:rsidRPr="00413DDF">
        <w:rPr>
          <w:rFonts w:ascii="Times New Roman" w:hAnsi="Times New Roman"/>
          <w:sz w:val="20"/>
          <w:szCs w:val="20"/>
        </w:rPr>
        <w:t xml:space="preserve"> 2011;54(3):2033-2044;DOI:10.1016/j.neuroimage.2010.09.025</w:t>
      </w:r>
    </w:p>
    <w:p w14:paraId="2B04CCAF"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 xml:space="preserve">Horn A, Kühn AA. Lead-DBS: A toolbox for deep brain stimulation electrode localizations and visualizations. </w:t>
      </w:r>
      <w:r w:rsidRPr="00413DDF">
        <w:rPr>
          <w:rFonts w:ascii="Times New Roman" w:hAnsi="Times New Roman"/>
          <w:i/>
          <w:iCs/>
          <w:sz w:val="20"/>
          <w:szCs w:val="20"/>
        </w:rPr>
        <w:t>NeuroImage</w:t>
      </w:r>
      <w:r w:rsidRPr="00413DDF">
        <w:rPr>
          <w:rFonts w:ascii="Times New Roman" w:hAnsi="Times New Roman"/>
          <w:sz w:val="20"/>
          <w:szCs w:val="20"/>
        </w:rPr>
        <w:t xml:space="preserve"> 2015;107:127-135;DOI:10.1016/j.neuroimage.2014.12.002</w:t>
      </w:r>
    </w:p>
    <w:p w14:paraId="722D0D18"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 xml:space="preserve">Fonov V, Evans AC, Botteron K, et al. Unbiased average age-appropriate atlases for pediatric studies. </w:t>
      </w:r>
      <w:r w:rsidRPr="00413DDF">
        <w:rPr>
          <w:rFonts w:ascii="Times New Roman" w:hAnsi="Times New Roman"/>
          <w:i/>
          <w:iCs/>
          <w:sz w:val="20"/>
          <w:szCs w:val="20"/>
        </w:rPr>
        <w:t>NeuroImage</w:t>
      </w:r>
      <w:r w:rsidRPr="00413DDF">
        <w:rPr>
          <w:rFonts w:ascii="Times New Roman" w:hAnsi="Times New Roman"/>
          <w:sz w:val="20"/>
          <w:szCs w:val="20"/>
        </w:rPr>
        <w:t xml:space="preserve"> 2011;54(1):313-327;DOI:10.1016/j.neuroimage.2010.07.033</w:t>
      </w:r>
    </w:p>
    <w:p w14:paraId="455C4269"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 xml:space="preserve">Avants BB, Epstein CL, Grossman M, et al. Symmetric diffeomorphic image registration with cross-correlation: evaluating automated labeling of elderly and neurodegenerative brain. </w:t>
      </w:r>
      <w:r w:rsidRPr="00413DDF">
        <w:rPr>
          <w:rFonts w:ascii="Times New Roman" w:hAnsi="Times New Roman"/>
          <w:i/>
          <w:iCs/>
          <w:sz w:val="20"/>
          <w:szCs w:val="20"/>
        </w:rPr>
        <w:t>Med Image Anal</w:t>
      </w:r>
      <w:r w:rsidRPr="00413DDF">
        <w:rPr>
          <w:rFonts w:ascii="Times New Roman" w:hAnsi="Times New Roman"/>
          <w:sz w:val="20"/>
          <w:szCs w:val="20"/>
        </w:rPr>
        <w:t xml:space="preserve"> 2008;12(1):26-41;DOI:10.1016/j.media.2007.06.004</w:t>
      </w:r>
    </w:p>
    <w:p w14:paraId="7F6C972C" w14:textId="77777777" w:rsidR="00413DDF" w:rsidRPr="00413DDF" w:rsidRDefault="00413DDF" w:rsidP="000E1B18">
      <w:pPr>
        <w:numPr>
          <w:ilvl w:val="0"/>
          <w:numId w:val="2"/>
        </w:numPr>
        <w:spacing w:after="0" w:line="480" w:lineRule="auto"/>
        <w:rPr>
          <w:rFonts w:ascii="Times New Roman" w:hAnsi="Times New Roman"/>
          <w:sz w:val="20"/>
          <w:szCs w:val="20"/>
        </w:rPr>
      </w:pPr>
      <w:r w:rsidRPr="004B416C">
        <w:rPr>
          <w:rFonts w:ascii="Times New Roman" w:hAnsi="Times New Roman"/>
          <w:sz w:val="20"/>
          <w:szCs w:val="20"/>
          <w:lang w:val="nl-NL"/>
        </w:rPr>
        <w:t xml:space="preserve">Schönecker T, Kupsch A, Kühn AA, et al. </w:t>
      </w:r>
      <w:r w:rsidRPr="00413DDF">
        <w:rPr>
          <w:rFonts w:ascii="Times New Roman" w:hAnsi="Times New Roman"/>
          <w:sz w:val="20"/>
          <w:szCs w:val="20"/>
          <w:lang w:val="en"/>
        </w:rPr>
        <w:t xml:space="preserve">Automated Optimization of Subcortical Cerebral MR Imaging−Atlas </w:t>
      </w:r>
      <w:proofErr w:type="spellStart"/>
      <w:r w:rsidRPr="00413DDF">
        <w:rPr>
          <w:rFonts w:ascii="Times New Roman" w:hAnsi="Times New Roman"/>
          <w:sz w:val="20"/>
          <w:szCs w:val="20"/>
          <w:lang w:val="en"/>
        </w:rPr>
        <w:t>Coregistration</w:t>
      </w:r>
      <w:proofErr w:type="spellEnd"/>
      <w:r w:rsidRPr="00413DDF">
        <w:rPr>
          <w:rFonts w:ascii="Times New Roman" w:hAnsi="Times New Roman"/>
          <w:sz w:val="20"/>
          <w:szCs w:val="20"/>
          <w:lang w:val="en"/>
        </w:rPr>
        <w:t xml:space="preserve"> for Improved Postoperative Electrode Localization in Deep Brain Stimulation. </w:t>
      </w:r>
      <w:r w:rsidRPr="00413DDF">
        <w:rPr>
          <w:rFonts w:ascii="Times New Roman" w:hAnsi="Times New Roman"/>
          <w:i/>
          <w:iCs/>
          <w:sz w:val="20"/>
          <w:szCs w:val="20"/>
          <w:lang w:val="en"/>
        </w:rPr>
        <w:t xml:space="preserve">AJNR Am J </w:t>
      </w:r>
      <w:proofErr w:type="spellStart"/>
      <w:r w:rsidRPr="00413DDF">
        <w:rPr>
          <w:rFonts w:ascii="Times New Roman" w:hAnsi="Times New Roman"/>
          <w:i/>
          <w:iCs/>
          <w:sz w:val="20"/>
          <w:szCs w:val="20"/>
          <w:lang w:val="en"/>
        </w:rPr>
        <w:t>Neuroradiol</w:t>
      </w:r>
      <w:proofErr w:type="spellEnd"/>
      <w:r w:rsidRPr="00413DDF">
        <w:rPr>
          <w:rFonts w:ascii="Times New Roman" w:hAnsi="Times New Roman"/>
          <w:sz w:val="20"/>
          <w:szCs w:val="20"/>
          <w:lang w:val="en"/>
        </w:rPr>
        <w:t xml:space="preserve"> 2009;30(10):1914-1921</w:t>
      </w:r>
      <w:r w:rsidRPr="00413DDF">
        <w:rPr>
          <w:rFonts w:ascii="Times New Roman" w:hAnsi="Times New Roman"/>
          <w:sz w:val="20"/>
          <w:szCs w:val="20"/>
        </w:rPr>
        <w:t>;DOI</w:t>
      </w:r>
      <w:r w:rsidRPr="00413DDF">
        <w:rPr>
          <w:rFonts w:ascii="Times New Roman" w:hAnsi="Times New Roman"/>
          <w:sz w:val="20"/>
          <w:szCs w:val="20"/>
          <w:lang w:val="en"/>
        </w:rPr>
        <w:t>:10.3174/ajnr.A1741</w:t>
      </w:r>
    </w:p>
    <w:p w14:paraId="03F07BCF"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lang w:val="nl-NL"/>
        </w:rPr>
        <w:t xml:space="preserve">Horn, A., Reich, M.M., Ewert, S. et al. </w:t>
      </w:r>
      <w:r w:rsidRPr="00413DDF">
        <w:rPr>
          <w:rFonts w:ascii="Times New Roman" w:hAnsi="Times New Roman"/>
          <w:sz w:val="20"/>
          <w:szCs w:val="20"/>
        </w:rPr>
        <w:t xml:space="preserve">Optimal deep brain stimulation sites and networks for cervical vs. generalized dystonia. </w:t>
      </w:r>
      <w:r w:rsidRPr="00413DDF">
        <w:rPr>
          <w:rFonts w:ascii="Times New Roman" w:hAnsi="Times New Roman"/>
          <w:i/>
          <w:iCs/>
          <w:sz w:val="20"/>
          <w:szCs w:val="20"/>
        </w:rPr>
        <w:t>Proc Natl Acad Sci USA</w:t>
      </w:r>
      <w:r w:rsidRPr="00413DDF">
        <w:rPr>
          <w:rFonts w:ascii="Times New Roman" w:hAnsi="Times New Roman"/>
          <w:sz w:val="20"/>
          <w:szCs w:val="20"/>
        </w:rPr>
        <w:t xml:space="preserve"> 2022; 119(14); e2114985119;DOI:10.1073/pnas.2114985119</w:t>
      </w:r>
    </w:p>
    <w:p w14:paraId="3BCA5B63"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 xml:space="preserve">Vorwerk J, Oostenveld R, Piastra MC, et al. The FieldTrip-SimBio pipeline for EEG forward solutions. </w:t>
      </w:r>
      <w:r w:rsidRPr="00413DDF">
        <w:rPr>
          <w:rFonts w:ascii="Times New Roman" w:hAnsi="Times New Roman"/>
          <w:i/>
          <w:iCs/>
          <w:sz w:val="20"/>
          <w:szCs w:val="20"/>
        </w:rPr>
        <w:t>BioMed Eng OnLine</w:t>
      </w:r>
      <w:r w:rsidRPr="00413DDF">
        <w:rPr>
          <w:rFonts w:ascii="Times New Roman" w:hAnsi="Times New Roman"/>
          <w:sz w:val="20"/>
          <w:szCs w:val="20"/>
        </w:rPr>
        <w:t xml:space="preserve"> 2018;17(1):37;DOI:10.1186/s12938-018-0463-y</w:t>
      </w:r>
    </w:p>
    <w:p w14:paraId="5D20BEBA"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Reich MM, Horn A, Lange F, et al. Probabilistic mapping of the antidystonic effect of pallidal neurostimulation: a multicentre imaging study. </w:t>
      </w:r>
      <w:r w:rsidRPr="00413DDF">
        <w:rPr>
          <w:rFonts w:ascii="Times New Roman" w:hAnsi="Times New Roman"/>
          <w:i/>
          <w:iCs/>
          <w:sz w:val="20"/>
          <w:szCs w:val="20"/>
        </w:rPr>
        <w:t>Brain</w:t>
      </w:r>
      <w:r w:rsidRPr="00413DDF">
        <w:rPr>
          <w:rFonts w:ascii="Times New Roman" w:hAnsi="Times New Roman"/>
          <w:sz w:val="20"/>
          <w:szCs w:val="20"/>
        </w:rPr>
        <w:t xml:space="preserve"> 2019;142(5):1386-1398;DOI:10.1093/brain/awz046</w:t>
      </w:r>
    </w:p>
    <w:p w14:paraId="4C41D6A3" w14:textId="77777777" w:rsidR="00413DDF" w:rsidRPr="00413DDF" w:rsidRDefault="00413DDF" w:rsidP="000E1B18">
      <w:pPr>
        <w:numPr>
          <w:ilvl w:val="0"/>
          <w:numId w:val="2"/>
        </w:numPr>
        <w:spacing w:after="0" w:line="480" w:lineRule="auto"/>
        <w:rPr>
          <w:rFonts w:ascii="Times New Roman" w:hAnsi="Times New Roman"/>
          <w:sz w:val="20"/>
          <w:szCs w:val="20"/>
        </w:rPr>
      </w:pPr>
      <w:r w:rsidRPr="00413DDF">
        <w:rPr>
          <w:rFonts w:ascii="Times New Roman" w:hAnsi="Times New Roman"/>
          <w:sz w:val="20"/>
          <w:szCs w:val="20"/>
        </w:rPr>
        <w:t>Astrom M, Diczfalusy E, Martens H, et al. Relationship between neural activation and electric field distribution during deep brain stimulation. </w:t>
      </w:r>
      <w:r w:rsidRPr="00413DDF">
        <w:rPr>
          <w:rFonts w:ascii="Times New Roman" w:hAnsi="Times New Roman"/>
          <w:i/>
          <w:iCs/>
          <w:sz w:val="20"/>
          <w:szCs w:val="20"/>
        </w:rPr>
        <w:t>IEEE Trans Biomed Eng</w:t>
      </w:r>
      <w:r w:rsidRPr="00413DDF">
        <w:rPr>
          <w:rFonts w:ascii="Times New Roman" w:hAnsi="Times New Roman"/>
          <w:sz w:val="20"/>
          <w:szCs w:val="20"/>
        </w:rPr>
        <w:t xml:space="preserve"> 2015;62(2):664-672;DOI:10.1109/TBME.2014.2363494</w:t>
      </w:r>
    </w:p>
    <w:p w14:paraId="3CDF5325" w14:textId="77777777" w:rsidR="00413DDF" w:rsidRPr="0087710B" w:rsidRDefault="00413DDF" w:rsidP="000E1B18">
      <w:pPr>
        <w:numPr>
          <w:ilvl w:val="0"/>
          <w:numId w:val="2"/>
        </w:numPr>
        <w:spacing w:after="0" w:line="480" w:lineRule="auto"/>
        <w:rPr>
          <w:rFonts w:ascii="Times New Roman" w:hAnsi="Times New Roman"/>
          <w:sz w:val="20"/>
          <w:szCs w:val="20"/>
          <w:lang w:val="en-GB"/>
        </w:rPr>
      </w:pPr>
      <w:r w:rsidRPr="0087710B">
        <w:rPr>
          <w:rFonts w:ascii="Times New Roman" w:hAnsi="Times New Roman"/>
          <w:sz w:val="20"/>
          <w:szCs w:val="20"/>
          <w:lang w:val="nl-NL"/>
        </w:rPr>
        <w:t xml:space="preserve">Ewert S, Plettig P, Li N, et al. </w:t>
      </w:r>
      <w:r w:rsidRPr="0087710B">
        <w:rPr>
          <w:rFonts w:ascii="Times New Roman" w:hAnsi="Times New Roman"/>
          <w:sz w:val="20"/>
          <w:szCs w:val="20"/>
        </w:rPr>
        <w:t>Toward defining deep brain stimulation targets in MNI space: A subcortical atlas based on multimodal MRI, histology and structural connectivity. </w:t>
      </w:r>
      <w:r w:rsidRPr="0087710B">
        <w:rPr>
          <w:rFonts w:ascii="Times New Roman" w:hAnsi="Times New Roman"/>
          <w:i/>
          <w:iCs/>
          <w:sz w:val="20"/>
          <w:szCs w:val="20"/>
        </w:rPr>
        <w:t>Neuroimage</w:t>
      </w:r>
      <w:r w:rsidRPr="0087710B">
        <w:rPr>
          <w:rFonts w:ascii="Times New Roman" w:hAnsi="Times New Roman"/>
          <w:sz w:val="20"/>
          <w:szCs w:val="20"/>
        </w:rPr>
        <w:t xml:space="preserve"> 2018;170:271-282;DOI:10.1016/j.neuroimage.2017.05.015</w:t>
      </w:r>
    </w:p>
    <w:p w14:paraId="51DB9592" w14:textId="7A9B006A" w:rsidR="00EF3F84" w:rsidRPr="0087710B" w:rsidRDefault="00413DDF" w:rsidP="000E1B18">
      <w:pPr>
        <w:pStyle w:val="ListParagraph"/>
        <w:numPr>
          <w:ilvl w:val="0"/>
          <w:numId w:val="2"/>
        </w:numPr>
        <w:spacing w:after="0" w:line="480" w:lineRule="auto"/>
        <w:rPr>
          <w:rFonts w:ascii="Times New Roman" w:hAnsi="Times New Roman" w:cs="Times New Roman"/>
          <w:sz w:val="20"/>
          <w:szCs w:val="20"/>
          <w:lang w:val="en-GB"/>
        </w:rPr>
      </w:pPr>
      <w:r w:rsidRPr="0087710B">
        <w:rPr>
          <w:rFonts w:ascii="Times New Roman" w:hAnsi="Times New Roman"/>
          <w:sz w:val="20"/>
          <w:szCs w:val="20"/>
          <w:lang w:val="nl-NL"/>
        </w:rPr>
        <w:lastRenderedPageBreak/>
        <w:t xml:space="preserve">Kaymak A, Vissani M, Lenge M, et al. </w:t>
      </w:r>
      <w:r w:rsidRPr="0087710B">
        <w:rPr>
          <w:rFonts w:ascii="Times New Roman" w:hAnsi="Times New Roman"/>
          <w:sz w:val="20"/>
          <w:szCs w:val="20"/>
          <w:lang w:val="en-GB"/>
        </w:rPr>
        <w:t>Patterns of Neural Activity and Clinical Outcomes in a Juvenile Huntington’s Disease Patient Undergoing Deep Brain Stimulation of the Subthalamic Nucleus</w:t>
      </w:r>
      <w:r w:rsidRPr="0087710B">
        <w:rPr>
          <w:rFonts w:ascii="Times New Roman" w:hAnsi="Times New Roman"/>
          <w:i/>
          <w:iCs/>
          <w:sz w:val="20"/>
          <w:szCs w:val="20"/>
          <w:lang w:val="en-GB"/>
        </w:rPr>
        <w:t xml:space="preserve">. Deep Brain </w:t>
      </w:r>
      <w:proofErr w:type="spellStart"/>
      <w:r w:rsidRPr="0087710B">
        <w:rPr>
          <w:rFonts w:ascii="Times New Roman" w:hAnsi="Times New Roman"/>
          <w:i/>
          <w:iCs/>
          <w:sz w:val="20"/>
          <w:szCs w:val="20"/>
          <w:lang w:val="en-GB"/>
        </w:rPr>
        <w:t>Stimul</w:t>
      </w:r>
      <w:proofErr w:type="spellEnd"/>
      <w:r w:rsidRPr="0087710B">
        <w:rPr>
          <w:rFonts w:ascii="Times New Roman" w:hAnsi="Times New Roman"/>
          <w:sz w:val="20"/>
          <w:szCs w:val="20"/>
          <w:lang w:val="en-GB"/>
        </w:rPr>
        <w:t xml:space="preserve"> 2023;S2949669123000027</w:t>
      </w:r>
      <w:r w:rsidRPr="0087710B">
        <w:rPr>
          <w:rFonts w:ascii="Times New Roman" w:hAnsi="Times New Roman"/>
          <w:sz w:val="20"/>
          <w:szCs w:val="20"/>
        </w:rPr>
        <w:t>;DOI</w:t>
      </w:r>
      <w:r w:rsidRPr="0087710B">
        <w:rPr>
          <w:rFonts w:ascii="Times New Roman" w:hAnsi="Times New Roman"/>
          <w:sz w:val="20"/>
          <w:szCs w:val="20"/>
          <w:lang w:val="en-GB"/>
        </w:rPr>
        <w:t>:10.1016/j.jdbs.2023.03.001</w:t>
      </w:r>
    </w:p>
    <w:p w14:paraId="6139592D" w14:textId="77777777" w:rsidR="000E1B18" w:rsidRPr="0087710B" w:rsidRDefault="000E1B18" w:rsidP="000E1B18">
      <w:pPr>
        <w:numPr>
          <w:ilvl w:val="0"/>
          <w:numId w:val="2"/>
        </w:numPr>
        <w:spacing w:after="0" w:line="480" w:lineRule="auto"/>
        <w:rPr>
          <w:rFonts w:ascii="Times New Roman" w:hAnsi="Times New Roman"/>
          <w:sz w:val="20"/>
          <w:szCs w:val="20"/>
          <w:lang w:val="en-GB"/>
        </w:rPr>
      </w:pPr>
      <w:r w:rsidRPr="0087710B">
        <w:rPr>
          <w:rFonts w:ascii="Times New Roman" w:hAnsi="Times New Roman"/>
          <w:sz w:val="20"/>
          <w:szCs w:val="20"/>
          <w:lang w:val="nl-NL"/>
        </w:rPr>
        <w:t xml:space="preserve">Zech M, Boesch S, Maier EM, et al. </w:t>
      </w:r>
      <w:r w:rsidRPr="0087710B">
        <w:rPr>
          <w:rFonts w:ascii="Times New Roman" w:hAnsi="Times New Roman"/>
          <w:sz w:val="20"/>
          <w:szCs w:val="20"/>
        </w:rPr>
        <w:t>Haploinsufficiency of KMT2B, Encoding the Lysine-Specific Histone Methyltransferase 2B, Results in Early-Onset Generalized Dystonia. </w:t>
      </w:r>
      <w:r w:rsidRPr="0087710B">
        <w:rPr>
          <w:rFonts w:ascii="Times New Roman" w:hAnsi="Times New Roman"/>
          <w:i/>
          <w:iCs/>
          <w:sz w:val="20"/>
          <w:szCs w:val="20"/>
        </w:rPr>
        <w:t>Am J Hum Genet</w:t>
      </w:r>
      <w:r w:rsidRPr="0087710B">
        <w:rPr>
          <w:rFonts w:ascii="Times New Roman" w:hAnsi="Times New Roman"/>
          <w:sz w:val="20"/>
          <w:szCs w:val="20"/>
        </w:rPr>
        <w:t xml:space="preserve"> 2016;99(6):1377-1387;DOI:10.1016/j.ajhg.2016.10.010</w:t>
      </w:r>
    </w:p>
    <w:p w14:paraId="485B4765" w14:textId="77777777" w:rsidR="000E1B18" w:rsidRPr="0087710B" w:rsidRDefault="000E1B18" w:rsidP="000E1B18">
      <w:pPr>
        <w:numPr>
          <w:ilvl w:val="0"/>
          <w:numId w:val="2"/>
        </w:numPr>
        <w:spacing w:after="0" w:line="480" w:lineRule="auto"/>
        <w:rPr>
          <w:rFonts w:ascii="Times New Roman" w:hAnsi="Times New Roman"/>
          <w:sz w:val="20"/>
          <w:szCs w:val="20"/>
          <w:lang w:val="en-GB"/>
        </w:rPr>
      </w:pPr>
      <w:r w:rsidRPr="0087710B">
        <w:rPr>
          <w:rFonts w:ascii="Times New Roman" w:hAnsi="Times New Roman"/>
          <w:sz w:val="20"/>
          <w:szCs w:val="20"/>
        </w:rPr>
        <w:t>Ozelius LJ, Bressman SB. Genetic and clinical features of primary torsion dystonia. </w:t>
      </w:r>
      <w:r w:rsidRPr="0087710B">
        <w:rPr>
          <w:rFonts w:ascii="Times New Roman" w:hAnsi="Times New Roman"/>
          <w:i/>
          <w:iCs/>
          <w:sz w:val="20"/>
          <w:szCs w:val="20"/>
        </w:rPr>
        <w:t>Neurobiol Dis</w:t>
      </w:r>
      <w:r w:rsidRPr="0087710B">
        <w:rPr>
          <w:rFonts w:ascii="Times New Roman" w:hAnsi="Times New Roman"/>
          <w:sz w:val="20"/>
          <w:szCs w:val="20"/>
        </w:rPr>
        <w:t xml:space="preserve"> 2011;42(2):127-135;DOI:10.1016/j.nbd.2010.12.012</w:t>
      </w:r>
    </w:p>
    <w:p w14:paraId="70CED4CA" w14:textId="77777777" w:rsidR="000E1B18" w:rsidRPr="0087710B" w:rsidRDefault="000E1B18" w:rsidP="000E1B18">
      <w:pPr>
        <w:numPr>
          <w:ilvl w:val="0"/>
          <w:numId w:val="2"/>
        </w:numPr>
        <w:spacing w:after="0" w:line="480" w:lineRule="auto"/>
        <w:rPr>
          <w:rFonts w:ascii="Times New Roman" w:hAnsi="Times New Roman"/>
          <w:sz w:val="20"/>
          <w:szCs w:val="20"/>
          <w:lang w:val="en-GB"/>
        </w:rPr>
      </w:pPr>
      <w:r w:rsidRPr="0087710B">
        <w:rPr>
          <w:rFonts w:ascii="Times New Roman" w:hAnsi="Times New Roman"/>
          <w:sz w:val="20"/>
          <w:szCs w:val="20"/>
        </w:rPr>
        <w:t>Fuchs T, Saunders-Pullman R, Masuho I, et al. Mutations in GNAL cause primary torsion dystonia. </w:t>
      </w:r>
      <w:r w:rsidRPr="0087710B">
        <w:rPr>
          <w:rFonts w:ascii="Times New Roman" w:hAnsi="Times New Roman"/>
          <w:i/>
          <w:iCs/>
          <w:sz w:val="20"/>
          <w:szCs w:val="20"/>
        </w:rPr>
        <w:t>Nat Genet</w:t>
      </w:r>
      <w:r w:rsidRPr="0087710B">
        <w:rPr>
          <w:rFonts w:ascii="Times New Roman" w:hAnsi="Times New Roman"/>
          <w:sz w:val="20"/>
          <w:szCs w:val="20"/>
        </w:rPr>
        <w:t xml:space="preserve"> 2013;45(1):88-92;DOI:10.1038/ng.2496</w:t>
      </w:r>
    </w:p>
    <w:p w14:paraId="462F9631" w14:textId="77777777" w:rsidR="000E1B18" w:rsidRPr="0087710B" w:rsidRDefault="000E1B18" w:rsidP="000E1B18">
      <w:pPr>
        <w:numPr>
          <w:ilvl w:val="0"/>
          <w:numId w:val="2"/>
        </w:numPr>
        <w:spacing w:after="0" w:line="480" w:lineRule="auto"/>
        <w:rPr>
          <w:rFonts w:ascii="Times New Roman" w:hAnsi="Times New Roman"/>
          <w:sz w:val="20"/>
          <w:szCs w:val="20"/>
          <w:lang w:val="en-GB"/>
        </w:rPr>
      </w:pPr>
      <w:r w:rsidRPr="0087710B">
        <w:rPr>
          <w:rFonts w:ascii="Times New Roman" w:hAnsi="Times New Roman"/>
          <w:sz w:val="20"/>
          <w:szCs w:val="20"/>
          <w:lang w:val="nl-NL"/>
        </w:rPr>
        <w:t xml:space="preserve">Thomsen M, Lange LM, Klein C, et al. </w:t>
      </w:r>
      <w:r w:rsidRPr="0087710B">
        <w:rPr>
          <w:rFonts w:ascii="Times New Roman" w:hAnsi="Times New Roman"/>
          <w:sz w:val="20"/>
          <w:szCs w:val="20"/>
        </w:rPr>
        <w:t>MDSGene: Extending the List of Isolated Dystonia Genes by VPS16, EIF2AK2, and AOPEP. </w:t>
      </w:r>
      <w:r w:rsidRPr="0087710B">
        <w:rPr>
          <w:rFonts w:ascii="Times New Roman" w:hAnsi="Times New Roman"/>
          <w:i/>
          <w:iCs/>
          <w:sz w:val="20"/>
          <w:szCs w:val="20"/>
        </w:rPr>
        <w:t>Mov Disord</w:t>
      </w:r>
      <w:r w:rsidRPr="0087710B">
        <w:rPr>
          <w:rFonts w:ascii="Times New Roman" w:hAnsi="Times New Roman"/>
          <w:sz w:val="20"/>
          <w:szCs w:val="20"/>
        </w:rPr>
        <w:t xml:space="preserve"> 2023;38(3):507-508;DOI:10.1002/mds.29327</w:t>
      </w:r>
    </w:p>
    <w:p w14:paraId="4D125BB4" w14:textId="77777777" w:rsidR="000E1B18" w:rsidRPr="00843AB8" w:rsidRDefault="000E1B18" w:rsidP="000E1B18">
      <w:pPr>
        <w:spacing w:after="0" w:line="480" w:lineRule="auto"/>
        <w:ind w:left="1260"/>
        <w:rPr>
          <w:rFonts w:ascii="Times New Roman" w:hAnsi="Times New Roman"/>
          <w:lang w:val="en-GB"/>
        </w:rPr>
      </w:pPr>
    </w:p>
    <w:p w14:paraId="0AECF337" w14:textId="77777777" w:rsidR="001B0E80" w:rsidRDefault="001B0E80">
      <w:pPr>
        <w:rPr>
          <w:rFonts w:ascii="Times New Roman" w:hAnsi="Times New Roman"/>
          <w:b/>
          <w:bCs/>
          <w:sz w:val="20"/>
          <w:szCs w:val="20"/>
        </w:rPr>
      </w:pPr>
      <w:r>
        <w:rPr>
          <w:rFonts w:ascii="Times New Roman" w:hAnsi="Times New Roman"/>
          <w:b/>
          <w:bCs/>
          <w:sz w:val="20"/>
          <w:szCs w:val="20"/>
        </w:rPr>
        <w:br w:type="page"/>
      </w:r>
    </w:p>
    <w:p w14:paraId="59B6F6E5" w14:textId="57A0E02C" w:rsidR="00B37B1E" w:rsidRDefault="00B37B1E" w:rsidP="001B0E80">
      <w:pPr>
        <w:spacing w:after="0" w:line="480" w:lineRule="auto"/>
        <w:rPr>
          <w:rFonts w:ascii="Times New Roman" w:hAnsi="Times New Roman"/>
          <w:b/>
          <w:bCs/>
          <w:sz w:val="20"/>
          <w:szCs w:val="20"/>
        </w:rPr>
      </w:pPr>
      <w:r>
        <w:rPr>
          <w:rFonts w:ascii="Times New Roman" w:hAnsi="Times New Roman" w:cs="Times New Roman"/>
          <w:b/>
          <w:bCs/>
          <w:sz w:val="20"/>
          <w:szCs w:val="20"/>
          <w:lang w:val="en-GB"/>
        </w:rPr>
        <w:lastRenderedPageBreak/>
        <w:t xml:space="preserve">FIGURES (COLOR BLIND FRIENDLY VERSION) </w:t>
      </w:r>
    </w:p>
    <w:p w14:paraId="5D44A5F4" w14:textId="4EF64B63" w:rsidR="001B0E80" w:rsidRPr="009601F1" w:rsidRDefault="001B0E80" w:rsidP="001B0E80">
      <w:pPr>
        <w:spacing w:after="0" w:line="480" w:lineRule="auto"/>
        <w:rPr>
          <w:rFonts w:ascii="Times New Roman" w:hAnsi="Times New Roman"/>
          <w:sz w:val="20"/>
          <w:szCs w:val="20"/>
        </w:rPr>
      </w:pPr>
      <w:r w:rsidRPr="009601F1">
        <w:rPr>
          <w:rFonts w:ascii="Times New Roman" w:hAnsi="Times New Roman"/>
          <w:b/>
          <w:bCs/>
          <w:sz w:val="20"/>
          <w:szCs w:val="20"/>
        </w:rPr>
        <w:t>Figure 2 BFMDRS sub-scores evolution and dystonia distribution before and after DBS</w:t>
      </w:r>
      <w:r w:rsidR="00B37B1E">
        <w:rPr>
          <w:rFonts w:ascii="Times New Roman" w:hAnsi="Times New Roman"/>
          <w:sz w:val="20"/>
          <w:szCs w:val="20"/>
        </w:rPr>
        <w:t>.</w:t>
      </w:r>
    </w:p>
    <w:p w14:paraId="2D9F5CFB" w14:textId="77777777" w:rsidR="001B0E80" w:rsidRPr="009601F1" w:rsidRDefault="001B0E80" w:rsidP="001B0E80">
      <w:pPr>
        <w:spacing w:after="0" w:line="480" w:lineRule="auto"/>
        <w:rPr>
          <w:rFonts w:ascii="Times New Roman" w:hAnsi="Times New Roman"/>
          <w:sz w:val="20"/>
          <w:szCs w:val="20"/>
        </w:rPr>
      </w:pPr>
      <w:r w:rsidRPr="009601F1">
        <w:rPr>
          <w:rFonts w:ascii="Times New Roman" w:hAnsi="Times New Roman"/>
          <w:b/>
          <w:bCs/>
          <w:sz w:val="20"/>
          <w:szCs w:val="20"/>
        </w:rPr>
        <w:t>(A)</w:t>
      </w:r>
      <w:r w:rsidRPr="009601F1">
        <w:rPr>
          <w:rFonts w:ascii="Times New Roman" w:hAnsi="Times New Roman"/>
          <w:sz w:val="20"/>
          <w:szCs w:val="20"/>
        </w:rPr>
        <w:t xml:space="preserve"> Distribution of dystonia of the cohort (N=26) before DBS at baseline and at the last follow-up, including last follow-ups &lt;12 months after DBS (mean 102.5±57.3 months). Numbers in columns represent the number of affected patients. </w:t>
      </w:r>
      <w:r w:rsidRPr="009601F1">
        <w:rPr>
          <w:rFonts w:ascii="Times New Roman" w:hAnsi="Times New Roman"/>
          <w:b/>
          <w:bCs/>
          <w:sz w:val="20"/>
          <w:szCs w:val="20"/>
        </w:rPr>
        <w:t>(B)</w:t>
      </w:r>
      <w:r w:rsidRPr="009601F1">
        <w:rPr>
          <w:rFonts w:ascii="Times New Roman" w:hAnsi="Times New Roman"/>
          <w:sz w:val="20"/>
          <w:szCs w:val="20"/>
        </w:rPr>
        <w:t xml:space="preserve"> Mean BFMDRS-M at baseline (N=26), 3 months (N=8), 6 months (N=6), 12 months (N=16) and at the last follow-up &gt; 12 months after surgery (mean 110.4±52.0 months, N=24) </w:t>
      </w:r>
      <w:r w:rsidRPr="009601F1">
        <w:rPr>
          <w:rFonts w:ascii="Times New Roman" w:hAnsi="Times New Roman"/>
          <w:b/>
          <w:bCs/>
          <w:sz w:val="20"/>
          <w:szCs w:val="20"/>
        </w:rPr>
        <w:t>(C)</w:t>
      </w:r>
      <w:r w:rsidRPr="009601F1">
        <w:rPr>
          <w:rFonts w:ascii="Times New Roman" w:hAnsi="Times New Roman"/>
          <w:sz w:val="20"/>
          <w:szCs w:val="20"/>
        </w:rPr>
        <w:t xml:space="preserve"> Mean BFMDRS-D at baseline (N=23), 3 months (N=8), 6 months (N=6), 12 months (N=15) and at the last follow-up &gt; 12 months after surgery (mean 109.7±55.1 months, N=21) </w:t>
      </w:r>
      <w:r w:rsidRPr="009601F1">
        <w:rPr>
          <w:rFonts w:ascii="Times New Roman" w:hAnsi="Times New Roman"/>
          <w:b/>
          <w:bCs/>
          <w:sz w:val="20"/>
          <w:szCs w:val="20"/>
        </w:rPr>
        <w:t>(D)</w:t>
      </w:r>
      <w:r w:rsidRPr="009601F1">
        <w:rPr>
          <w:rFonts w:ascii="Times New Roman" w:hAnsi="Times New Roman"/>
          <w:sz w:val="20"/>
          <w:szCs w:val="20"/>
        </w:rPr>
        <w:t xml:space="preserve"> Individual BFMDRS-M sub-scores evolution after DBS implantation (N=26) with following color-coding: purple for high responders (&gt;50%), pink for responders (25-50%), brown for non-responders (&lt;25% improvement in BFMDRS-M at the last follow-up compared to baseline). </w:t>
      </w:r>
      <w:r w:rsidRPr="009601F1">
        <w:rPr>
          <w:rFonts w:ascii="Times New Roman" w:hAnsi="Times New Roman"/>
          <w:b/>
          <w:bCs/>
          <w:sz w:val="20"/>
          <w:szCs w:val="20"/>
        </w:rPr>
        <w:t xml:space="preserve">(E) </w:t>
      </w:r>
      <w:r w:rsidRPr="009601F1">
        <w:rPr>
          <w:rFonts w:ascii="Times New Roman" w:hAnsi="Times New Roman"/>
          <w:sz w:val="20"/>
          <w:szCs w:val="20"/>
        </w:rPr>
        <w:t>Individual BFMDRS-D sub-scores evolution after DBS implantation (N=23) with color-coding based on improvement in BFMDRS-M.</w:t>
      </w:r>
    </w:p>
    <w:p w14:paraId="7B49A801" w14:textId="1132DF52" w:rsidR="00CD036B" w:rsidRDefault="00CD036B" w:rsidP="00B37B1E">
      <w:pPr>
        <w:rPr>
          <w:rFonts w:ascii="Times New Roman" w:hAnsi="Times New Roman" w:cs="Times New Roman"/>
          <w:sz w:val="20"/>
          <w:szCs w:val="20"/>
          <w:lang w:val="en-GB"/>
        </w:rPr>
      </w:pPr>
    </w:p>
    <w:p w14:paraId="57DFC5CC" w14:textId="67AE1A6A" w:rsidR="001B0E80" w:rsidRPr="00B37B1E" w:rsidRDefault="001B0E80" w:rsidP="00B37B1E">
      <w:pPr>
        <w:spacing w:after="0" w:line="480" w:lineRule="auto"/>
        <w:rPr>
          <w:rFonts w:ascii="Times New Roman" w:hAnsi="Times New Roman" w:cs="Times New Roman"/>
          <w:sz w:val="20"/>
          <w:szCs w:val="20"/>
          <w:lang w:val="en-GB"/>
        </w:rPr>
      </w:pPr>
      <w:r>
        <w:rPr>
          <w:rFonts w:ascii="Times New Roman" w:hAnsi="Times New Roman" w:cs="Times New Roman"/>
          <w:noProof/>
          <w:sz w:val="20"/>
          <w:szCs w:val="20"/>
          <w:lang w:val="en-IN" w:eastAsia="en-IN"/>
        </w:rPr>
        <w:lastRenderedPageBreak/>
        <w:drawing>
          <wp:anchor distT="0" distB="0" distL="114300" distR="114300" simplePos="0" relativeHeight="251658240" behindDoc="1" locked="0" layoutInCell="1" allowOverlap="1" wp14:anchorId="45FF482A" wp14:editId="7E625CE1">
            <wp:simplePos x="0" y="0"/>
            <wp:positionH relativeFrom="column">
              <wp:posOffset>-417195</wp:posOffset>
            </wp:positionH>
            <wp:positionV relativeFrom="paragraph">
              <wp:posOffset>0</wp:posOffset>
            </wp:positionV>
            <wp:extent cx="6746240" cy="8432800"/>
            <wp:effectExtent l="0" t="0" r="0" b="6350"/>
            <wp:wrapTopAndBottom/>
            <wp:docPr id="559574919" name="Obrázok 2" descr="Obrázok, na ktorom je text, náčrt, diagram, kresba&#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574919" name="Obrázok 2" descr="Obrázok, na ktorom je text, náčrt, diagram, kresba&#10;&#10;Obsah vygenerovaný umelou inteligenciou môže byť nesprávny."/>
                    <pic:cNvPicPr/>
                  </pic:nvPicPr>
                  <pic:blipFill>
                    <a:blip r:embed="rId5">
                      <a:extLst>
                        <a:ext uri="{28A0092B-C50C-407E-A947-70E740481C1C}">
                          <a14:useLocalDpi xmlns:a14="http://schemas.microsoft.com/office/drawing/2010/main" val="0"/>
                        </a:ext>
                      </a:extLst>
                    </a:blip>
                    <a:stretch>
                      <a:fillRect/>
                    </a:stretch>
                  </pic:blipFill>
                  <pic:spPr>
                    <a:xfrm>
                      <a:off x="0" y="0"/>
                      <a:ext cx="6746240" cy="8432800"/>
                    </a:xfrm>
                    <a:prstGeom prst="rect">
                      <a:avLst/>
                    </a:prstGeom>
                  </pic:spPr>
                </pic:pic>
              </a:graphicData>
            </a:graphic>
            <wp14:sizeRelH relativeFrom="margin">
              <wp14:pctWidth>0</wp14:pctWidth>
            </wp14:sizeRelH>
            <wp14:sizeRelV relativeFrom="margin">
              <wp14:pctHeight>0</wp14:pctHeight>
            </wp14:sizeRelV>
          </wp:anchor>
        </w:drawing>
      </w:r>
    </w:p>
    <w:p w14:paraId="2DB9CA83" w14:textId="5B4F09B2" w:rsidR="00CD036B" w:rsidRPr="001B0E80" w:rsidRDefault="00CD036B" w:rsidP="000E1B18">
      <w:pPr>
        <w:pStyle w:val="ListParagraph"/>
        <w:spacing w:after="0" w:line="480" w:lineRule="auto"/>
        <w:ind w:left="1260"/>
        <w:rPr>
          <w:rFonts w:ascii="Times New Roman" w:hAnsi="Times New Roman" w:cs="Times New Roman"/>
          <w:sz w:val="20"/>
          <w:szCs w:val="20"/>
          <w:lang w:val="en-GB"/>
        </w:rPr>
      </w:pPr>
    </w:p>
    <w:p w14:paraId="67E5E85B" w14:textId="65A09845" w:rsidR="001B0E80" w:rsidRPr="00B37B1E" w:rsidRDefault="001B0E80" w:rsidP="001B0E80">
      <w:pPr>
        <w:spacing w:after="0" w:line="480" w:lineRule="auto"/>
        <w:rPr>
          <w:rFonts w:ascii="Times New Roman" w:hAnsi="Times New Roman"/>
          <w:b/>
          <w:bCs/>
          <w:sz w:val="20"/>
          <w:szCs w:val="20"/>
        </w:rPr>
      </w:pPr>
      <w:r w:rsidRPr="00B37B1E">
        <w:rPr>
          <w:rFonts w:ascii="Times New Roman" w:hAnsi="Times New Roman"/>
          <w:b/>
          <w:bCs/>
          <w:sz w:val="20"/>
          <w:szCs w:val="20"/>
        </w:rPr>
        <w:lastRenderedPageBreak/>
        <w:t xml:space="preserve">Figure 3 Relationship between genotype, protein position and response to DBS in terms of dystonia severity.  </w:t>
      </w:r>
    </w:p>
    <w:p w14:paraId="7A0FD11C" w14:textId="00537256" w:rsidR="001B0E80" w:rsidRPr="00B37B1E" w:rsidRDefault="001B0E80" w:rsidP="001B0E80">
      <w:pPr>
        <w:spacing w:after="0" w:line="480" w:lineRule="auto"/>
        <w:rPr>
          <w:rFonts w:ascii="Times New Roman" w:hAnsi="Times New Roman"/>
          <w:sz w:val="20"/>
          <w:szCs w:val="20"/>
        </w:rPr>
      </w:pPr>
      <w:r w:rsidRPr="00B37B1E">
        <w:rPr>
          <w:rFonts w:ascii="Times New Roman" w:hAnsi="Times New Roman"/>
          <w:b/>
          <w:bCs/>
          <w:sz w:val="20"/>
          <w:szCs w:val="20"/>
        </w:rPr>
        <w:t>(A)</w:t>
      </w:r>
      <w:r w:rsidRPr="00B37B1E">
        <w:rPr>
          <w:rFonts w:ascii="Times New Roman" w:hAnsi="Times New Roman"/>
          <w:sz w:val="20"/>
          <w:szCs w:val="20"/>
        </w:rPr>
        <w:t xml:space="preserve"> Visualization of the mutations of patients with last follow-up &gt;12 months after DBS analysed in this study mapped onto the AlphaFold model of the human VPS16 protein (orange ribbon, AlphaFold identifier: AF-Q9H269-F1). The model is overlaid with the crystal structure of a short fragment of human VPS16 (residues 642-736) in complex with human VPS33 (PDB ID: 4BX9). Target amino acid residues on VPS16 are represented as spheres, with following color-coding: </w:t>
      </w:r>
      <w:r>
        <w:rPr>
          <w:rFonts w:ascii="Times New Roman" w:hAnsi="Times New Roman"/>
          <w:sz w:val="20"/>
          <w:szCs w:val="20"/>
        </w:rPr>
        <w:t>purple</w:t>
      </w:r>
      <w:r w:rsidRPr="00B37B1E">
        <w:rPr>
          <w:rFonts w:ascii="Times New Roman" w:hAnsi="Times New Roman"/>
          <w:sz w:val="20"/>
          <w:szCs w:val="20"/>
        </w:rPr>
        <w:t xml:space="preserve"> for high responders (&gt;50%), </w:t>
      </w:r>
      <w:r>
        <w:rPr>
          <w:rFonts w:ascii="Times New Roman" w:hAnsi="Times New Roman"/>
          <w:sz w:val="20"/>
          <w:szCs w:val="20"/>
        </w:rPr>
        <w:t>pink</w:t>
      </w:r>
      <w:r w:rsidRPr="00B37B1E">
        <w:rPr>
          <w:rFonts w:ascii="Times New Roman" w:hAnsi="Times New Roman"/>
          <w:sz w:val="20"/>
          <w:szCs w:val="20"/>
        </w:rPr>
        <w:t xml:space="preserve"> for responders (25-50%), </w:t>
      </w:r>
      <w:r>
        <w:rPr>
          <w:rFonts w:ascii="Times New Roman" w:hAnsi="Times New Roman"/>
          <w:sz w:val="20"/>
          <w:szCs w:val="20"/>
        </w:rPr>
        <w:t>brown</w:t>
      </w:r>
      <w:r w:rsidRPr="00B37B1E">
        <w:rPr>
          <w:rFonts w:ascii="Times New Roman" w:hAnsi="Times New Roman"/>
          <w:sz w:val="20"/>
          <w:szCs w:val="20"/>
        </w:rPr>
        <w:t xml:space="preserve"> for non-responders (&lt;25% improvement in BFMDRS-M at the last follow-up compared to baseline) and grey for mixed responses to DBS. The VPS33 protein is displayed as a pale blue surface, highlighting its major interaction interface with VPS16 in the human HOPS complex. Missense mutations that were further analysed through bioinformatics predictions are labelled in bold, with the mutated amino acid in parentheses. Compound heterozygote (*), P21, was responder to DBS with 50% improvement in BFMDRS-M. Start-loss mutation (c.1A&gt;G mixed responses) and splice-site mutations (c.1204-2A&gt;G responder; c.1204-2A&gt;G non-responder) analysed in our cohort are not related to the position on the protein. </w:t>
      </w:r>
      <w:r w:rsidRPr="00B37B1E">
        <w:rPr>
          <w:rFonts w:ascii="Times New Roman" w:hAnsi="Times New Roman"/>
          <w:b/>
          <w:bCs/>
          <w:sz w:val="20"/>
          <w:szCs w:val="20"/>
        </w:rPr>
        <w:t>(B)</w:t>
      </w:r>
      <w:r w:rsidRPr="00B37B1E">
        <w:rPr>
          <w:rFonts w:ascii="Times New Roman" w:hAnsi="Times New Roman"/>
          <w:sz w:val="20"/>
          <w:szCs w:val="20"/>
        </w:rPr>
        <w:t xml:space="preserve"> Detailed view of the β-sheet-rich globular domain of human VPS16, showing mutations at positions Lys 82, Glu 96, Leu 97, Leu 155 and Arg 187. This close-up provides clarity on the spatial positions of these mutations. </w:t>
      </w:r>
      <w:r w:rsidRPr="00B37B1E">
        <w:rPr>
          <w:rFonts w:ascii="Times New Roman" w:hAnsi="Times New Roman"/>
          <w:b/>
          <w:bCs/>
          <w:sz w:val="20"/>
          <w:szCs w:val="20"/>
        </w:rPr>
        <w:t>(C)</w:t>
      </w:r>
      <w:r w:rsidRPr="00B37B1E">
        <w:rPr>
          <w:rFonts w:ascii="Times New Roman" w:hAnsi="Times New Roman"/>
          <w:sz w:val="20"/>
          <w:szCs w:val="20"/>
        </w:rPr>
        <w:t xml:space="preserve"> Relationship between type of mutation and BFMDRS-M score at baseline before DBS. Missense mutations (N=3, blue) and protein truncating variants (PTV, N=22, orange). Compound heterozygote (p.Glu96Lys; p.Leu705Val), P21, was excluded from the graph (baseline BFMDRS-M 3 points). </w:t>
      </w:r>
      <w:r w:rsidRPr="00B37B1E">
        <w:rPr>
          <w:rFonts w:ascii="Times New Roman" w:hAnsi="Times New Roman"/>
          <w:b/>
          <w:bCs/>
          <w:sz w:val="20"/>
          <w:szCs w:val="20"/>
        </w:rPr>
        <w:t xml:space="preserve">(D) </w:t>
      </w:r>
      <w:r w:rsidRPr="00B37B1E">
        <w:rPr>
          <w:rFonts w:ascii="Times New Roman" w:hAnsi="Times New Roman"/>
          <w:sz w:val="20"/>
          <w:szCs w:val="20"/>
        </w:rPr>
        <w:t>Dystonia BFMDRS-M scores evolution after DBS implantation according to the type of mutation. Missense mutations (N=3, blue) and protein truncating variants (PTV, N=22, orange). Compound heterozygote (p.Glu96Lys; p.Leu705Val), P21, was excluded from the graph (baseline and last BFMDRS-M 3 and 1.5 points, respectively).</w:t>
      </w:r>
    </w:p>
    <w:p w14:paraId="73958102" w14:textId="5F5EB3DF" w:rsidR="000E1B18" w:rsidRPr="00B37B1E" w:rsidRDefault="001B0E80" w:rsidP="00B37B1E">
      <w:pPr>
        <w:spacing w:after="0" w:line="480" w:lineRule="auto"/>
        <w:rPr>
          <w:rFonts w:ascii="Times New Roman" w:hAnsi="Times New Roman" w:cs="Times New Roman"/>
          <w:sz w:val="20"/>
          <w:szCs w:val="20"/>
          <w:lang w:val="en-GB"/>
        </w:rPr>
      </w:pPr>
      <w:r>
        <w:rPr>
          <w:rFonts w:ascii="Times New Roman" w:hAnsi="Times New Roman" w:cs="Times New Roman"/>
          <w:noProof/>
          <w:sz w:val="20"/>
          <w:szCs w:val="20"/>
          <w:lang w:val="en-IN" w:eastAsia="en-IN"/>
        </w:rPr>
        <w:lastRenderedPageBreak/>
        <w:drawing>
          <wp:anchor distT="0" distB="0" distL="114300" distR="114300" simplePos="0" relativeHeight="251659264" behindDoc="0" locked="0" layoutInCell="1" allowOverlap="1" wp14:anchorId="4F274F4C" wp14:editId="70CED2AA">
            <wp:simplePos x="0" y="0"/>
            <wp:positionH relativeFrom="column">
              <wp:posOffset>-616585</wp:posOffset>
            </wp:positionH>
            <wp:positionV relativeFrom="paragraph">
              <wp:posOffset>1905</wp:posOffset>
            </wp:positionV>
            <wp:extent cx="6834887" cy="5727700"/>
            <wp:effectExtent l="0" t="0" r="4445" b="6350"/>
            <wp:wrapTopAndBottom/>
            <wp:docPr id="1418034146" name="Obrázok 4" descr="Obrázok, na ktorom je text, mapa, diagram, snímka obrazovky&#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34146" name="Obrázok 4" descr="Obrázok, na ktorom je text, mapa, diagram, snímka obrazovky&#10;&#10;Obsah vygenerovaný umelou inteligenciou môže byť nesprávny."/>
                    <pic:cNvPicPr/>
                  </pic:nvPicPr>
                  <pic:blipFill>
                    <a:blip r:embed="rId6" cstate="print">
                      <a:extLst>
                        <a:ext uri="{28A0092B-C50C-407E-A947-70E740481C1C}">
                          <a14:useLocalDpi xmlns:a14="http://schemas.microsoft.com/office/drawing/2010/main" val="0"/>
                        </a:ext>
                      </a:extLst>
                    </a:blip>
                    <a:stretch>
                      <a:fillRect/>
                    </a:stretch>
                  </pic:blipFill>
                  <pic:spPr>
                    <a:xfrm>
                      <a:off x="0" y="0"/>
                      <a:ext cx="6834887" cy="5727700"/>
                    </a:xfrm>
                    <a:prstGeom prst="rect">
                      <a:avLst/>
                    </a:prstGeom>
                  </pic:spPr>
                </pic:pic>
              </a:graphicData>
            </a:graphic>
          </wp:anchor>
        </w:drawing>
      </w:r>
    </w:p>
    <w:sectPr w:rsidR="000E1B18" w:rsidRPr="00B37B1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FF1964"/>
    <w:multiLevelType w:val="hybridMultilevel"/>
    <w:tmpl w:val="14D6C8A0"/>
    <w:lvl w:ilvl="0" w:tplc="AF7A58B8">
      <w:start w:val="1"/>
      <w:numFmt w:val="decimal"/>
      <w:lvlText w:val="%1."/>
      <w:lvlJc w:val="left"/>
      <w:pPr>
        <w:ind w:left="1260" w:hanging="360"/>
      </w:pPr>
      <w:rPr>
        <w:rFonts w:hint="default"/>
        <w:color w:val="1C1D1E"/>
      </w:r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 w15:restartNumberingAfterBreak="0">
    <w:nsid w:val="773C781E"/>
    <w:multiLevelType w:val="hybridMultilevel"/>
    <w:tmpl w:val="CF50AF78"/>
    <w:lvl w:ilvl="0" w:tplc="041B000F">
      <w:start w:val="1"/>
      <w:numFmt w:val="decimal"/>
      <w:lvlText w:val="%1."/>
      <w:lvlJc w:val="left"/>
      <w:pPr>
        <w:ind w:left="81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trackRevisions/>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2MLM0NTUxMjUwsTA3MjRR0lEKTi0uzszPAykwrAUARrW4IywAAAA="/>
  </w:docVars>
  <w:rsids>
    <w:rsidRoot w:val="00220F79"/>
    <w:rsid w:val="00072191"/>
    <w:rsid w:val="0008322C"/>
    <w:rsid w:val="00085D90"/>
    <w:rsid w:val="0009611E"/>
    <w:rsid w:val="000E1B18"/>
    <w:rsid w:val="00131197"/>
    <w:rsid w:val="00132F35"/>
    <w:rsid w:val="00147BEC"/>
    <w:rsid w:val="00155D24"/>
    <w:rsid w:val="0016037A"/>
    <w:rsid w:val="00166332"/>
    <w:rsid w:val="00171F41"/>
    <w:rsid w:val="00173F44"/>
    <w:rsid w:val="001B0E80"/>
    <w:rsid w:val="001B6BDC"/>
    <w:rsid w:val="00220F79"/>
    <w:rsid w:val="002649ED"/>
    <w:rsid w:val="00326CD2"/>
    <w:rsid w:val="0033135F"/>
    <w:rsid w:val="00341B37"/>
    <w:rsid w:val="0035565B"/>
    <w:rsid w:val="003A79D2"/>
    <w:rsid w:val="00413DDF"/>
    <w:rsid w:val="0044764B"/>
    <w:rsid w:val="0048087D"/>
    <w:rsid w:val="004823BD"/>
    <w:rsid w:val="004B416C"/>
    <w:rsid w:val="005A4866"/>
    <w:rsid w:val="005D45CE"/>
    <w:rsid w:val="00671E0F"/>
    <w:rsid w:val="006840B3"/>
    <w:rsid w:val="0071218F"/>
    <w:rsid w:val="007251C8"/>
    <w:rsid w:val="00812E8A"/>
    <w:rsid w:val="0085565B"/>
    <w:rsid w:val="0087710B"/>
    <w:rsid w:val="00930F8C"/>
    <w:rsid w:val="00963A40"/>
    <w:rsid w:val="009A3A87"/>
    <w:rsid w:val="009C77D3"/>
    <w:rsid w:val="00A23082"/>
    <w:rsid w:val="00A52474"/>
    <w:rsid w:val="00B15704"/>
    <w:rsid w:val="00B16977"/>
    <w:rsid w:val="00B37B1E"/>
    <w:rsid w:val="00B45D39"/>
    <w:rsid w:val="00B83490"/>
    <w:rsid w:val="00BC5ADE"/>
    <w:rsid w:val="00BE7EBD"/>
    <w:rsid w:val="00BF1C14"/>
    <w:rsid w:val="00C33C81"/>
    <w:rsid w:val="00C4733F"/>
    <w:rsid w:val="00C95503"/>
    <w:rsid w:val="00CD036B"/>
    <w:rsid w:val="00D55A90"/>
    <w:rsid w:val="00DA5E09"/>
    <w:rsid w:val="00DF10B3"/>
    <w:rsid w:val="00E706AB"/>
    <w:rsid w:val="00EF3F84"/>
    <w:rsid w:val="00F86D46"/>
    <w:rsid w:val="00FB0571"/>
    <w:rsid w:val="00FC2F7D"/>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319AB9"/>
  <w15:chartTrackingRefBased/>
  <w15:docId w15:val="{98A4C048-1EAC-460C-B80E-231583BE6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20F7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20F7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20F7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20F7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20F7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20F7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20F7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20F7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20F7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0F7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20F7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20F7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20F7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20F7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20F7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20F7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20F7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20F79"/>
    <w:rPr>
      <w:rFonts w:eastAsiaTheme="majorEastAsia" w:cstheme="majorBidi"/>
      <w:color w:val="272727" w:themeColor="text1" w:themeTint="D8"/>
    </w:rPr>
  </w:style>
  <w:style w:type="paragraph" w:styleId="Title">
    <w:name w:val="Title"/>
    <w:basedOn w:val="Normal"/>
    <w:next w:val="Normal"/>
    <w:link w:val="TitleChar"/>
    <w:uiPriority w:val="10"/>
    <w:qFormat/>
    <w:rsid w:val="00220F7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20F7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20F7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20F7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20F79"/>
    <w:pPr>
      <w:spacing w:before="160"/>
      <w:jc w:val="center"/>
    </w:pPr>
    <w:rPr>
      <w:i/>
      <w:iCs/>
      <w:color w:val="404040" w:themeColor="text1" w:themeTint="BF"/>
    </w:rPr>
  </w:style>
  <w:style w:type="character" w:customStyle="1" w:styleId="QuoteChar">
    <w:name w:val="Quote Char"/>
    <w:basedOn w:val="DefaultParagraphFont"/>
    <w:link w:val="Quote"/>
    <w:uiPriority w:val="29"/>
    <w:rsid w:val="00220F79"/>
    <w:rPr>
      <w:i/>
      <w:iCs/>
      <w:color w:val="404040" w:themeColor="text1" w:themeTint="BF"/>
    </w:rPr>
  </w:style>
  <w:style w:type="paragraph" w:styleId="ListParagraph">
    <w:name w:val="List Paragraph"/>
    <w:basedOn w:val="Normal"/>
    <w:uiPriority w:val="34"/>
    <w:qFormat/>
    <w:rsid w:val="00220F79"/>
    <w:pPr>
      <w:ind w:left="720"/>
      <w:contextualSpacing/>
    </w:pPr>
  </w:style>
  <w:style w:type="character" w:styleId="IntenseEmphasis">
    <w:name w:val="Intense Emphasis"/>
    <w:basedOn w:val="DefaultParagraphFont"/>
    <w:uiPriority w:val="21"/>
    <w:qFormat/>
    <w:rsid w:val="00220F79"/>
    <w:rPr>
      <w:i/>
      <w:iCs/>
      <w:color w:val="0F4761" w:themeColor="accent1" w:themeShade="BF"/>
    </w:rPr>
  </w:style>
  <w:style w:type="paragraph" w:styleId="IntenseQuote">
    <w:name w:val="Intense Quote"/>
    <w:basedOn w:val="Normal"/>
    <w:next w:val="Normal"/>
    <w:link w:val="IntenseQuoteChar"/>
    <w:uiPriority w:val="30"/>
    <w:qFormat/>
    <w:rsid w:val="00220F7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20F79"/>
    <w:rPr>
      <w:i/>
      <w:iCs/>
      <w:color w:val="0F4761" w:themeColor="accent1" w:themeShade="BF"/>
    </w:rPr>
  </w:style>
  <w:style w:type="character" w:styleId="IntenseReference">
    <w:name w:val="Intense Reference"/>
    <w:basedOn w:val="DefaultParagraphFont"/>
    <w:uiPriority w:val="32"/>
    <w:qFormat/>
    <w:rsid w:val="00220F79"/>
    <w:rPr>
      <w:b/>
      <w:bCs/>
      <w:smallCaps/>
      <w:color w:val="0F4761" w:themeColor="accent1" w:themeShade="BF"/>
      <w:spacing w:val="5"/>
    </w:rPr>
  </w:style>
  <w:style w:type="paragraph" w:customStyle="1" w:styleId="Bezriadkovania1">
    <w:name w:val="Bez riadkovania1"/>
    <w:basedOn w:val="Normal"/>
    <w:link w:val="NoSpacingChar"/>
    <w:uiPriority w:val="1"/>
    <w:qFormat/>
    <w:rsid w:val="00220F79"/>
    <w:pPr>
      <w:spacing w:after="0" w:line="240" w:lineRule="auto"/>
      <w:jc w:val="both"/>
    </w:pPr>
    <w:rPr>
      <w:rFonts w:ascii="Calibri" w:eastAsia="Times New Roman" w:hAnsi="Calibri" w:cs="Times New Roman"/>
      <w:sz w:val="20"/>
      <w:szCs w:val="20"/>
      <w:lang w:val="en-US" w:bidi="en-US"/>
    </w:rPr>
  </w:style>
  <w:style w:type="character" w:customStyle="1" w:styleId="NoSpacingChar">
    <w:name w:val="No Spacing Char"/>
    <w:basedOn w:val="DefaultParagraphFont"/>
    <w:link w:val="Bezriadkovania1"/>
    <w:uiPriority w:val="1"/>
    <w:rsid w:val="00220F79"/>
    <w:rPr>
      <w:rFonts w:ascii="Calibri" w:eastAsia="Times New Roman" w:hAnsi="Calibri" w:cs="Times New Roman"/>
      <w:sz w:val="20"/>
      <w:szCs w:val="20"/>
      <w:lang w:val="en-US" w:bidi="en-US"/>
    </w:rPr>
  </w:style>
  <w:style w:type="character" w:styleId="CommentReference">
    <w:name w:val="annotation reference"/>
    <w:uiPriority w:val="99"/>
    <w:semiHidden/>
    <w:unhideWhenUsed/>
    <w:rsid w:val="00220F79"/>
    <w:rPr>
      <w:sz w:val="16"/>
      <w:szCs w:val="16"/>
    </w:rPr>
  </w:style>
  <w:style w:type="paragraph" w:styleId="CommentText">
    <w:name w:val="annotation text"/>
    <w:basedOn w:val="Normal"/>
    <w:link w:val="CommentTextChar"/>
    <w:uiPriority w:val="99"/>
    <w:unhideWhenUsed/>
    <w:rsid w:val="00220F79"/>
    <w:pPr>
      <w:spacing w:after="200" w:line="276" w:lineRule="auto"/>
      <w:jc w:val="both"/>
    </w:pPr>
    <w:rPr>
      <w:rFonts w:ascii="Calibri" w:eastAsia="Times New Roman" w:hAnsi="Calibri" w:cs="Times New Roman"/>
      <w:sz w:val="20"/>
      <w:szCs w:val="20"/>
      <w:lang w:val="en-US" w:bidi="en-US"/>
    </w:rPr>
  </w:style>
  <w:style w:type="character" w:customStyle="1" w:styleId="CommentTextChar">
    <w:name w:val="Comment Text Char"/>
    <w:basedOn w:val="DefaultParagraphFont"/>
    <w:link w:val="CommentText"/>
    <w:uiPriority w:val="99"/>
    <w:rsid w:val="00220F79"/>
    <w:rPr>
      <w:rFonts w:ascii="Calibri" w:eastAsia="Times New Roman" w:hAnsi="Calibri" w:cs="Times New Roman"/>
      <w:sz w:val="20"/>
      <w:szCs w:val="20"/>
      <w:lang w:val="en-US" w:bidi="en-US"/>
    </w:rPr>
  </w:style>
  <w:style w:type="paragraph" w:styleId="NormalWeb">
    <w:name w:val="Normal (Web)"/>
    <w:basedOn w:val="Normal"/>
    <w:uiPriority w:val="99"/>
    <w:unhideWhenUsed/>
    <w:qFormat/>
    <w:rsid w:val="00085D90"/>
    <w:pPr>
      <w:suppressAutoHyphens/>
      <w:spacing w:before="100" w:beforeAutospacing="1" w:after="100" w:afterAutospacing="1" w:line="240" w:lineRule="auto"/>
    </w:pPr>
    <w:rPr>
      <w:rFonts w:ascii="Times New Roman" w:eastAsia="Times New Roman" w:hAnsi="Times New Roman" w:cs="Times New Roman"/>
      <w:sz w:val="24"/>
      <w:szCs w:val="24"/>
      <w:lang w:val="nl-NL" w:eastAsia="nl-NL"/>
    </w:rPr>
  </w:style>
  <w:style w:type="paragraph" w:styleId="CommentSubject">
    <w:name w:val="annotation subject"/>
    <w:basedOn w:val="CommentText"/>
    <w:next w:val="CommentText"/>
    <w:link w:val="CommentSubjectChar"/>
    <w:uiPriority w:val="99"/>
    <w:semiHidden/>
    <w:unhideWhenUsed/>
    <w:rsid w:val="00171F41"/>
    <w:pPr>
      <w:spacing w:after="160" w:line="240" w:lineRule="auto"/>
      <w:jc w:val="left"/>
    </w:pPr>
    <w:rPr>
      <w:rFonts w:asciiTheme="minorHAnsi" w:eastAsiaTheme="minorHAnsi" w:hAnsiTheme="minorHAnsi" w:cstheme="minorBidi"/>
      <w:b/>
      <w:bCs/>
      <w:lang w:val="sk-SK" w:bidi="ar-SA"/>
    </w:rPr>
  </w:style>
  <w:style w:type="character" w:customStyle="1" w:styleId="CommentSubjectChar">
    <w:name w:val="Comment Subject Char"/>
    <w:basedOn w:val="CommentTextChar"/>
    <w:link w:val="CommentSubject"/>
    <w:uiPriority w:val="99"/>
    <w:semiHidden/>
    <w:rsid w:val="00171F41"/>
    <w:rPr>
      <w:rFonts w:ascii="Calibri" w:eastAsia="Times New Roman" w:hAnsi="Calibri" w:cs="Times New Roman"/>
      <w:b/>
      <w:bCs/>
      <w:sz w:val="20"/>
      <w:szCs w:val="20"/>
      <w:lang w:val="en-US" w:bidi="en-US"/>
    </w:rPr>
  </w:style>
  <w:style w:type="paragraph" w:styleId="Bibliography">
    <w:name w:val="Bibliography"/>
    <w:basedOn w:val="Normal"/>
    <w:next w:val="Normal"/>
    <w:uiPriority w:val="37"/>
    <w:unhideWhenUsed/>
    <w:rsid w:val="00EF3F84"/>
    <w:pPr>
      <w:spacing w:after="0" w:line="240" w:lineRule="auto"/>
    </w:pPr>
    <w:rPr>
      <w:rFonts w:ascii="Times New Roman" w:eastAsia="Times New Roman" w:hAnsi="Times New Roman" w:cs="Times New Roman"/>
      <w:sz w:val="24"/>
      <w:szCs w:val="24"/>
      <w:lang w:val="en-US" w:eastAsia="en-GB"/>
    </w:rPr>
  </w:style>
  <w:style w:type="paragraph" w:styleId="Revision">
    <w:name w:val="Revision"/>
    <w:hidden/>
    <w:uiPriority w:val="99"/>
    <w:semiHidden/>
    <w:rsid w:val="006840B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782064">
      <w:bodyDiv w:val="1"/>
      <w:marLeft w:val="0"/>
      <w:marRight w:val="0"/>
      <w:marTop w:val="0"/>
      <w:marBottom w:val="0"/>
      <w:divBdr>
        <w:top w:val="none" w:sz="0" w:space="0" w:color="auto"/>
        <w:left w:val="none" w:sz="0" w:space="0" w:color="auto"/>
        <w:bottom w:val="none" w:sz="0" w:space="0" w:color="auto"/>
        <w:right w:val="none" w:sz="0" w:space="0" w:color="auto"/>
      </w:divBdr>
    </w:div>
    <w:div w:id="244219793">
      <w:bodyDiv w:val="1"/>
      <w:marLeft w:val="0"/>
      <w:marRight w:val="0"/>
      <w:marTop w:val="0"/>
      <w:marBottom w:val="0"/>
      <w:divBdr>
        <w:top w:val="none" w:sz="0" w:space="0" w:color="auto"/>
        <w:left w:val="none" w:sz="0" w:space="0" w:color="auto"/>
        <w:bottom w:val="none" w:sz="0" w:space="0" w:color="auto"/>
        <w:right w:val="none" w:sz="0" w:space="0" w:color="auto"/>
      </w:divBdr>
    </w:div>
    <w:div w:id="329336028">
      <w:bodyDiv w:val="1"/>
      <w:marLeft w:val="0"/>
      <w:marRight w:val="0"/>
      <w:marTop w:val="0"/>
      <w:marBottom w:val="0"/>
      <w:divBdr>
        <w:top w:val="none" w:sz="0" w:space="0" w:color="auto"/>
        <w:left w:val="none" w:sz="0" w:space="0" w:color="auto"/>
        <w:bottom w:val="none" w:sz="0" w:space="0" w:color="auto"/>
        <w:right w:val="none" w:sz="0" w:space="0" w:color="auto"/>
      </w:divBdr>
    </w:div>
    <w:div w:id="605699944">
      <w:bodyDiv w:val="1"/>
      <w:marLeft w:val="0"/>
      <w:marRight w:val="0"/>
      <w:marTop w:val="0"/>
      <w:marBottom w:val="0"/>
      <w:divBdr>
        <w:top w:val="none" w:sz="0" w:space="0" w:color="auto"/>
        <w:left w:val="none" w:sz="0" w:space="0" w:color="auto"/>
        <w:bottom w:val="none" w:sz="0" w:space="0" w:color="auto"/>
        <w:right w:val="none" w:sz="0" w:space="0" w:color="auto"/>
      </w:divBdr>
    </w:div>
    <w:div w:id="749087196">
      <w:bodyDiv w:val="1"/>
      <w:marLeft w:val="0"/>
      <w:marRight w:val="0"/>
      <w:marTop w:val="0"/>
      <w:marBottom w:val="0"/>
      <w:divBdr>
        <w:top w:val="none" w:sz="0" w:space="0" w:color="auto"/>
        <w:left w:val="none" w:sz="0" w:space="0" w:color="auto"/>
        <w:bottom w:val="none" w:sz="0" w:space="0" w:color="auto"/>
        <w:right w:val="none" w:sz="0" w:space="0" w:color="auto"/>
      </w:divBdr>
    </w:div>
    <w:div w:id="771316295">
      <w:bodyDiv w:val="1"/>
      <w:marLeft w:val="0"/>
      <w:marRight w:val="0"/>
      <w:marTop w:val="0"/>
      <w:marBottom w:val="0"/>
      <w:divBdr>
        <w:top w:val="none" w:sz="0" w:space="0" w:color="auto"/>
        <w:left w:val="none" w:sz="0" w:space="0" w:color="auto"/>
        <w:bottom w:val="none" w:sz="0" w:space="0" w:color="auto"/>
        <w:right w:val="none" w:sz="0" w:space="0" w:color="auto"/>
      </w:divBdr>
    </w:div>
    <w:div w:id="857474642">
      <w:bodyDiv w:val="1"/>
      <w:marLeft w:val="0"/>
      <w:marRight w:val="0"/>
      <w:marTop w:val="0"/>
      <w:marBottom w:val="0"/>
      <w:divBdr>
        <w:top w:val="none" w:sz="0" w:space="0" w:color="auto"/>
        <w:left w:val="none" w:sz="0" w:space="0" w:color="auto"/>
        <w:bottom w:val="none" w:sz="0" w:space="0" w:color="auto"/>
        <w:right w:val="none" w:sz="0" w:space="0" w:color="auto"/>
      </w:divBdr>
    </w:div>
    <w:div w:id="1050157354">
      <w:bodyDiv w:val="1"/>
      <w:marLeft w:val="0"/>
      <w:marRight w:val="0"/>
      <w:marTop w:val="0"/>
      <w:marBottom w:val="0"/>
      <w:divBdr>
        <w:top w:val="none" w:sz="0" w:space="0" w:color="auto"/>
        <w:left w:val="none" w:sz="0" w:space="0" w:color="auto"/>
        <w:bottom w:val="none" w:sz="0" w:space="0" w:color="auto"/>
        <w:right w:val="none" w:sz="0" w:space="0" w:color="auto"/>
      </w:divBdr>
    </w:div>
    <w:div w:id="1449203452">
      <w:bodyDiv w:val="1"/>
      <w:marLeft w:val="0"/>
      <w:marRight w:val="0"/>
      <w:marTop w:val="0"/>
      <w:marBottom w:val="0"/>
      <w:divBdr>
        <w:top w:val="none" w:sz="0" w:space="0" w:color="auto"/>
        <w:left w:val="none" w:sz="0" w:space="0" w:color="auto"/>
        <w:bottom w:val="none" w:sz="0" w:space="0" w:color="auto"/>
        <w:right w:val="none" w:sz="0" w:space="0" w:color="auto"/>
      </w:divBdr>
    </w:div>
    <w:div w:id="1539970817">
      <w:bodyDiv w:val="1"/>
      <w:marLeft w:val="0"/>
      <w:marRight w:val="0"/>
      <w:marTop w:val="0"/>
      <w:marBottom w:val="0"/>
      <w:divBdr>
        <w:top w:val="none" w:sz="0" w:space="0" w:color="auto"/>
        <w:left w:val="none" w:sz="0" w:space="0" w:color="auto"/>
        <w:bottom w:val="none" w:sz="0" w:space="0" w:color="auto"/>
        <w:right w:val="none" w:sz="0" w:space="0" w:color="auto"/>
      </w:divBdr>
    </w:div>
    <w:div w:id="1748963572">
      <w:bodyDiv w:val="1"/>
      <w:marLeft w:val="0"/>
      <w:marRight w:val="0"/>
      <w:marTop w:val="0"/>
      <w:marBottom w:val="0"/>
      <w:divBdr>
        <w:top w:val="none" w:sz="0" w:space="0" w:color="auto"/>
        <w:left w:val="none" w:sz="0" w:space="0" w:color="auto"/>
        <w:bottom w:val="none" w:sz="0" w:space="0" w:color="auto"/>
        <w:right w:val="none" w:sz="0" w:space="0" w:color="auto"/>
      </w:divBdr>
    </w:div>
    <w:div w:id="1790589695">
      <w:bodyDiv w:val="1"/>
      <w:marLeft w:val="0"/>
      <w:marRight w:val="0"/>
      <w:marTop w:val="0"/>
      <w:marBottom w:val="0"/>
      <w:divBdr>
        <w:top w:val="none" w:sz="0" w:space="0" w:color="auto"/>
        <w:left w:val="none" w:sz="0" w:space="0" w:color="auto"/>
        <w:bottom w:val="none" w:sz="0" w:space="0" w:color="auto"/>
        <w:right w:val="none" w:sz="0" w:space="0" w:color="auto"/>
      </w:divBdr>
    </w:div>
    <w:div w:id="2059550599">
      <w:bodyDiv w:val="1"/>
      <w:marLeft w:val="0"/>
      <w:marRight w:val="0"/>
      <w:marTop w:val="0"/>
      <w:marBottom w:val="0"/>
      <w:divBdr>
        <w:top w:val="none" w:sz="0" w:space="0" w:color="auto"/>
        <w:left w:val="none" w:sz="0" w:space="0" w:color="auto"/>
        <w:bottom w:val="none" w:sz="0" w:space="0" w:color="auto"/>
        <w:right w:val="none" w:sz="0" w:space="0" w:color="auto"/>
      </w:divBdr>
    </w:div>
    <w:div w:id="2142572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Relationship Id="rId4" Type="http://schemas.openxmlformats.org/officeDocument/2006/relationships/webSettings" Target="webSettings.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266</TotalTime>
  <Pages>10</Pages>
  <Words>3210</Words>
  <Characters>18301</Characters>
  <Application>Microsoft Office Word</Application>
  <DocSecurity>0</DocSecurity>
  <Lines>152</Lines>
  <Paragraphs>42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 Škorvánek</dc:creator>
  <cp:keywords/>
  <dc:description/>
  <cp:lastModifiedBy>Keerthana  Saravana Babu</cp:lastModifiedBy>
  <cp:revision>35</cp:revision>
  <dcterms:created xsi:type="dcterms:W3CDTF">2025-02-12T20:55:00Z</dcterms:created>
  <dcterms:modified xsi:type="dcterms:W3CDTF">2025-06-16T07:21:00Z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1eae808dfb81ce72784823645d9ce05024da20c9b28c3de01fd88e69deab8a39</vt:lpwstr>
  </property>
</Properties>
</file>