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02666B" w14:textId="77777777" w:rsidR="00CA4834" w:rsidRPr="008A1030" w:rsidRDefault="00CA4834" w:rsidP="00CA4834">
      <w:pPr>
        <w:pStyle w:val="Title2"/>
        <w:pageBreakBefore/>
        <w:spacing w:line="360" w:lineRule="auto"/>
        <w:rPr>
          <w:b w:val="0"/>
          <w:color w:val="000000" w:themeColor="text1"/>
          <w:sz w:val="32"/>
          <w:szCs w:val="32"/>
          <w:lang w:val="en-AU"/>
        </w:rPr>
      </w:pPr>
      <w:r w:rsidRPr="008A1030">
        <w:rPr>
          <w:b w:val="0"/>
          <w:color w:val="000000" w:themeColor="text1"/>
          <w:sz w:val="32"/>
          <w:szCs w:val="32"/>
          <w:lang w:val="en-AU"/>
        </w:rPr>
        <w:t xml:space="preserve">Supporting Information </w:t>
      </w:r>
    </w:p>
    <w:p w14:paraId="501FE58C" w14:textId="77777777" w:rsidR="00CA4834" w:rsidRPr="008A1030" w:rsidRDefault="00CA4834" w:rsidP="00CA4834">
      <w:pPr>
        <w:pStyle w:val="Tableofcontents"/>
        <w:spacing w:line="360" w:lineRule="auto"/>
        <w:rPr>
          <w:color w:val="000000" w:themeColor="text1"/>
          <w:lang w:val="en-AU"/>
        </w:rPr>
      </w:pPr>
    </w:p>
    <w:p w14:paraId="72B5FB0E" w14:textId="77777777" w:rsidR="00CA4834" w:rsidRPr="008A1030" w:rsidRDefault="00CA4834" w:rsidP="00CA4834">
      <w:pPr>
        <w:pStyle w:val="Tableofcontents"/>
        <w:spacing w:line="360" w:lineRule="auto"/>
        <w:rPr>
          <w:color w:val="000000" w:themeColor="text1"/>
          <w:lang w:val="en-AU"/>
        </w:rPr>
      </w:pPr>
    </w:p>
    <w:p w14:paraId="4A6D4810" w14:textId="77777777" w:rsidR="00CA4834" w:rsidRPr="008A1030" w:rsidRDefault="00CA4834" w:rsidP="00CA4834">
      <w:pPr>
        <w:pStyle w:val="Title2"/>
        <w:spacing w:line="360" w:lineRule="auto"/>
        <w:jc w:val="center"/>
        <w:rPr>
          <w:color w:val="000000" w:themeColor="text1"/>
          <w:lang w:val="en-AU"/>
        </w:rPr>
      </w:pPr>
      <w:r w:rsidRPr="008A1030">
        <w:rPr>
          <w:color w:val="000000" w:themeColor="text1"/>
          <w:lang w:val="en-AU"/>
        </w:rPr>
        <w:t>Aberrant mitochondrial metabolism in Alzheimer's disease links energy stress with ferroptosis</w:t>
      </w:r>
    </w:p>
    <w:p w14:paraId="5D7270F1" w14:textId="77777777" w:rsidR="00CA4834" w:rsidRPr="008A1030" w:rsidRDefault="00CA4834" w:rsidP="00CA4834">
      <w:pPr>
        <w:pStyle w:val="Title2"/>
        <w:spacing w:line="360" w:lineRule="auto"/>
        <w:rPr>
          <w:b w:val="0"/>
          <w:i/>
          <w:color w:val="000000" w:themeColor="text1"/>
          <w:lang w:val="en-AU"/>
        </w:rPr>
      </w:pPr>
    </w:p>
    <w:p w14:paraId="0A63B34F" w14:textId="77777777" w:rsidR="00CA4834" w:rsidRPr="008A1030" w:rsidRDefault="00CA4834" w:rsidP="00CA4834">
      <w:pPr>
        <w:rPr>
          <w:i/>
          <w:color w:val="000000" w:themeColor="text1"/>
          <w:vertAlign w:val="superscript"/>
          <w:lang w:val="en-AU"/>
        </w:rPr>
      </w:pPr>
      <w:r w:rsidRPr="008A1030">
        <w:rPr>
          <w:i/>
          <w:color w:val="000000" w:themeColor="text1"/>
          <w:lang w:val="en-AU"/>
        </w:rPr>
        <w:t>Francesca Alves</w:t>
      </w:r>
      <w:r w:rsidRPr="008A1030">
        <w:rPr>
          <w:i/>
          <w:color w:val="000000" w:themeColor="text1"/>
          <w:vertAlign w:val="superscript"/>
          <w:lang w:val="en-AU"/>
        </w:rPr>
        <w:t>1,2</w:t>
      </w:r>
      <w:r w:rsidRPr="008A1030">
        <w:rPr>
          <w:i/>
          <w:color w:val="000000" w:themeColor="text1"/>
          <w:lang w:val="en-AU"/>
        </w:rPr>
        <w:t>, Darius Lane</w:t>
      </w:r>
      <w:r w:rsidRPr="008A1030">
        <w:rPr>
          <w:i/>
          <w:color w:val="000000" w:themeColor="text1"/>
          <w:vertAlign w:val="superscript"/>
          <w:lang w:val="en-AU"/>
        </w:rPr>
        <w:t>1</w:t>
      </w:r>
      <w:r w:rsidRPr="008A1030">
        <w:rPr>
          <w:i/>
          <w:color w:val="000000" w:themeColor="text1"/>
          <w:lang w:val="en-AU"/>
        </w:rPr>
        <w:t>, Adam Wahida</w:t>
      </w:r>
      <w:r w:rsidRPr="008A1030">
        <w:rPr>
          <w:i/>
          <w:color w:val="000000" w:themeColor="text1"/>
          <w:vertAlign w:val="superscript"/>
          <w:lang w:val="en-AU"/>
        </w:rPr>
        <w:t>3</w:t>
      </w:r>
      <w:r w:rsidRPr="008A1030">
        <w:rPr>
          <w:i/>
          <w:color w:val="000000" w:themeColor="text1"/>
          <w:lang w:val="en-AU"/>
        </w:rPr>
        <w:t>, Md. Jakaria</w:t>
      </w:r>
      <w:r w:rsidRPr="008A1030">
        <w:rPr>
          <w:i/>
          <w:color w:val="000000" w:themeColor="text1"/>
          <w:vertAlign w:val="superscript"/>
          <w:lang w:val="en-AU"/>
        </w:rPr>
        <w:t>1</w:t>
      </w:r>
      <w:r w:rsidRPr="008A1030">
        <w:rPr>
          <w:i/>
          <w:color w:val="000000" w:themeColor="text1"/>
          <w:lang w:val="en-AU"/>
        </w:rPr>
        <w:t>, Pawel Kalinowski</w:t>
      </w:r>
      <w:r w:rsidRPr="008A1030">
        <w:rPr>
          <w:i/>
          <w:color w:val="000000" w:themeColor="text1"/>
          <w:vertAlign w:val="superscript"/>
          <w:lang w:val="en-AU"/>
        </w:rPr>
        <w:t>1</w:t>
      </w:r>
      <w:r w:rsidRPr="008A1030">
        <w:rPr>
          <w:i/>
          <w:color w:val="000000" w:themeColor="text1"/>
          <w:lang w:val="en-AU"/>
        </w:rPr>
        <w:t>, Adam Southon</w:t>
      </w:r>
      <w:r w:rsidRPr="008A1030">
        <w:rPr>
          <w:i/>
          <w:color w:val="000000" w:themeColor="text1"/>
          <w:vertAlign w:val="superscript"/>
          <w:lang w:val="en-AU"/>
        </w:rPr>
        <w:t>1</w:t>
      </w:r>
      <w:r w:rsidRPr="008A1030">
        <w:rPr>
          <w:i/>
          <w:color w:val="000000" w:themeColor="text1"/>
          <w:lang w:val="en-AU"/>
        </w:rPr>
        <w:t>, Abdel Ali Belaidi</w:t>
      </w:r>
      <w:r w:rsidRPr="008A1030">
        <w:rPr>
          <w:i/>
          <w:color w:val="000000" w:themeColor="text1"/>
          <w:vertAlign w:val="superscript"/>
          <w:lang w:val="en-AU"/>
        </w:rPr>
        <w:t>1</w:t>
      </w:r>
      <w:r w:rsidRPr="008A1030">
        <w:rPr>
          <w:i/>
          <w:color w:val="000000" w:themeColor="text1"/>
          <w:lang w:val="en-AU"/>
        </w:rPr>
        <w:t xml:space="preserve">, </w:t>
      </w:r>
      <w:proofErr w:type="spellStart"/>
      <w:r w:rsidRPr="008A1030">
        <w:rPr>
          <w:i/>
          <w:color w:val="000000" w:themeColor="text1"/>
          <w:lang w:val="en-AU"/>
        </w:rPr>
        <w:t>Triet</w:t>
      </w:r>
      <w:proofErr w:type="spellEnd"/>
      <w:r w:rsidRPr="008A1030">
        <w:rPr>
          <w:i/>
          <w:color w:val="000000" w:themeColor="text1"/>
          <w:lang w:val="en-AU"/>
        </w:rPr>
        <w:t xml:space="preserve"> </w:t>
      </w:r>
      <w:proofErr w:type="spellStart"/>
      <w:r w:rsidRPr="008A1030">
        <w:rPr>
          <w:i/>
          <w:color w:val="000000" w:themeColor="text1"/>
          <w:lang w:val="en-AU"/>
        </w:rPr>
        <w:t>Phu</w:t>
      </w:r>
      <w:proofErr w:type="spellEnd"/>
      <w:r w:rsidRPr="008A1030">
        <w:rPr>
          <w:i/>
          <w:color w:val="000000" w:themeColor="text1"/>
          <w:lang w:val="en-AU"/>
        </w:rPr>
        <w:t xml:space="preserve"> Minh Nguyen</w:t>
      </w:r>
      <w:r w:rsidRPr="008A1030">
        <w:rPr>
          <w:i/>
          <w:color w:val="000000" w:themeColor="text1"/>
          <w:vertAlign w:val="superscript"/>
          <w:lang w:val="en-AU"/>
        </w:rPr>
        <w:t>1</w:t>
      </w:r>
      <w:r w:rsidRPr="008A1030">
        <w:rPr>
          <w:i/>
          <w:color w:val="000000" w:themeColor="text1"/>
          <w:lang w:val="en-AU"/>
        </w:rPr>
        <w:t>, Peng Lei</w:t>
      </w:r>
      <w:r w:rsidRPr="008A1030">
        <w:rPr>
          <w:i/>
          <w:color w:val="000000" w:themeColor="text1"/>
          <w:vertAlign w:val="superscript"/>
          <w:lang w:val="en-AU"/>
        </w:rPr>
        <w:t>4</w:t>
      </w:r>
      <w:r w:rsidRPr="008A1030">
        <w:rPr>
          <w:i/>
          <w:color w:val="000000" w:themeColor="text1"/>
          <w:lang w:val="en-AU"/>
        </w:rPr>
        <w:t>, Marcus Krueger</w:t>
      </w:r>
      <w:r w:rsidRPr="008A1030">
        <w:rPr>
          <w:i/>
          <w:color w:val="000000" w:themeColor="text1"/>
          <w:vertAlign w:val="superscript"/>
          <w:lang w:val="en-AU"/>
        </w:rPr>
        <w:t>5,6</w:t>
      </w:r>
      <w:r w:rsidRPr="008A1030">
        <w:rPr>
          <w:i/>
          <w:color w:val="000000" w:themeColor="text1"/>
          <w:lang w:val="en-AU"/>
        </w:rPr>
        <w:t>, Stefan Mueller</w:t>
      </w:r>
      <w:r w:rsidRPr="008A1030">
        <w:rPr>
          <w:i/>
          <w:color w:val="000000" w:themeColor="text1"/>
          <w:vertAlign w:val="superscript"/>
          <w:lang w:val="en-AU"/>
        </w:rPr>
        <w:t>7</w:t>
      </w:r>
      <w:r w:rsidRPr="008A1030">
        <w:rPr>
          <w:i/>
          <w:color w:val="000000" w:themeColor="text1"/>
          <w:lang w:val="en-AU"/>
        </w:rPr>
        <w:t>, Marcus Conrad</w:t>
      </w:r>
      <w:r w:rsidRPr="008A1030">
        <w:rPr>
          <w:i/>
          <w:color w:val="000000" w:themeColor="text1"/>
          <w:vertAlign w:val="superscript"/>
          <w:lang w:val="en-AU"/>
        </w:rPr>
        <w:t>3</w:t>
      </w:r>
      <w:r w:rsidRPr="008A1030">
        <w:rPr>
          <w:color w:val="000000" w:themeColor="text1"/>
          <w:vertAlign w:val="superscript"/>
          <w:lang w:val="en-AU"/>
        </w:rPr>
        <w:t>,8</w:t>
      </w:r>
      <w:r w:rsidRPr="008A1030">
        <w:rPr>
          <w:i/>
          <w:color w:val="000000" w:themeColor="text1"/>
          <w:lang w:val="en-AU"/>
        </w:rPr>
        <w:t>, Puja Agarwal</w:t>
      </w:r>
      <w:r w:rsidRPr="008A1030">
        <w:rPr>
          <w:i/>
          <w:color w:val="000000" w:themeColor="text1"/>
          <w:vertAlign w:val="superscript"/>
          <w:lang w:val="en-AU"/>
        </w:rPr>
        <w:t>9</w:t>
      </w:r>
      <w:r w:rsidRPr="008A1030">
        <w:rPr>
          <w:i/>
          <w:color w:val="000000" w:themeColor="text1"/>
          <w:lang w:val="en-AU"/>
        </w:rPr>
        <w:t>, Sue E Leurgans</w:t>
      </w:r>
      <w:r w:rsidRPr="008A1030">
        <w:rPr>
          <w:i/>
          <w:color w:val="000000" w:themeColor="text1"/>
          <w:vertAlign w:val="superscript"/>
          <w:lang w:val="en-AU"/>
        </w:rPr>
        <w:t>9</w:t>
      </w:r>
      <w:r w:rsidRPr="008A1030">
        <w:rPr>
          <w:i/>
          <w:color w:val="000000" w:themeColor="text1"/>
          <w:lang w:val="en-AU"/>
        </w:rPr>
        <w:t>, Julie Schneider</w:t>
      </w:r>
      <w:r w:rsidRPr="008A1030">
        <w:rPr>
          <w:i/>
          <w:color w:val="000000" w:themeColor="text1"/>
          <w:vertAlign w:val="superscript"/>
          <w:lang w:val="en-AU"/>
        </w:rPr>
        <w:t>9</w:t>
      </w:r>
      <w:r w:rsidRPr="008A1030">
        <w:rPr>
          <w:i/>
          <w:color w:val="000000" w:themeColor="text1"/>
          <w:lang w:val="en-AU"/>
        </w:rPr>
        <w:t>, Ashley I. Bush</w:t>
      </w:r>
      <w:r w:rsidRPr="008A1030">
        <w:rPr>
          <w:i/>
          <w:color w:val="000000" w:themeColor="text1"/>
          <w:vertAlign w:val="superscript"/>
          <w:lang w:val="en-AU"/>
        </w:rPr>
        <w:t>1,2</w:t>
      </w:r>
      <w:r w:rsidRPr="008A1030">
        <w:rPr>
          <w:i/>
          <w:color w:val="000000" w:themeColor="text1"/>
          <w:lang w:val="en-AU"/>
        </w:rPr>
        <w:t>, Scott Ayton</w:t>
      </w:r>
      <w:r w:rsidRPr="008A1030">
        <w:rPr>
          <w:i/>
          <w:color w:val="000000" w:themeColor="text1"/>
          <w:vertAlign w:val="superscript"/>
          <w:lang w:val="en-AU"/>
        </w:rPr>
        <w:t>1,</w:t>
      </w:r>
      <w:proofErr w:type="gramStart"/>
      <w:r w:rsidRPr="008A1030">
        <w:rPr>
          <w:i/>
          <w:color w:val="000000" w:themeColor="text1"/>
          <w:vertAlign w:val="superscript"/>
          <w:lang w:val="en-AU"/>
        </w:rPr>
        <w:t>2,*</w:t>
      </w:r>
      <w:proofErr w:type="gramEnd"/>
    </w:p>
    <w:p w14:paraId="2DE28470" w14:textId="77777777" w:rsidR="00CA4834" w:rsidRPr="008A1030" w:rsidRDefault="00CA4834" w:rsidP="00CA4834">
      <w:pPr>
        <w:pStyle w:val="Tableofcontents"/>
        <w:spacing w:line="360" w:lineRule="auto"/>
        <w:rPr>
          <w:color w:val="000000" w:themeColor="text1"/>
          <w:lang w:val="en-AU"/>
        </w:rPr>
      </w:pPr>
    </w:p>
    <w:p w14:paraId="65FF9301" w14:textId="77777777" w:rsidR="00CA4834" w:rsidRPr="008A1030" w:rsidRDefault="00CA4834" w:rsidP="00CA4834">
      <w:pPr>
        <w:spacing w:after="160" w:line="259" w:lineRule="auto"/>
        <w:rPr>
          <w:b/>
          <w:color w:val="000000" w:themeColor="text1"/>
          <w:sz w:val="20"/>
          <w:szCs w:val="20"/>
          <w:lang w:val="en-AU"/>
        </w:rPr>
      </w:pPr>
    </w:p>
    <w:p w14:paraId="18B770CC" w14:textId="77777777" w:rsidR="00CA4834" w:rsidRPr="008A1030" w:rsidRDefault="00CA4834" w:rsidP="00CA4834">
      <w:pPr>
        <w:spacing w:after="160" w:line="259" w:lineRule="auto"/>
        <w:rPr>
          <w:rFonts w:cstheme="minorHAnsi"/>
          <w:b/>
          <w:color w:val="000000" w:themeColor="text1"/>
          <w:sz w:val="20"/>
          <w:szCs w:val="20"/>
          <w:lang w:val="en-AU"/>
        </w:rPr>
      </w:pPr>
    </w:p>
    <w:p w14:paraId="506EF702" w14:textId="77777777" w:rsidR="00CA4834" w:rsidRPr="008A1030" w:rsidRDefault="00CA4834" w:rsidP="00CA4834">
      <w:pPr>
        <w:jc w:val="both"/>
        <w:rPr>
          <w:rFonts w:cstheme="minorHAnsi"/>
          <w:color w:val="000000" w:themeColor="text1"/>
          <w:sz w:val="20"/>
          <w:szCs w:val="20"/>
          <w:lang w:val="en-AU"/>
        </w:rPr>
      </w:pPr>
      <w:r w:rsidRPr="008A1030">
        <w:rPr>
          <w:rFonts w:cstheme="minorHAnsi"/>
          <w:noProof/>
          <w:color w:val="000000" w:themeColor="text1"/>
          <w:sz w:val="20"/>
          <w:szCs w:val="20"/>
          <w:lang w:val="en-AU"/>
        </w:rPr>
        <w:drawing>
          <wp:inline distT="0" distB="0" distL="0" distR="0" wp14:anchorId="62D7D213" wp14:editId="0CA301C4">
            <wp:extent cx="5732060" cy="3971036"/>
            <wp:effectExtent l="0" t="0" r="2540" b="0"/>
            <wp:docPr id="757959778" name="Picture 5" descr="A chart of different color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7959778" name="Picture 5" descr="A chart of different colors&#10;&#10;Description automatically generated with medium confidence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8685" cy="3975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06EAB5" w14:textId="77777777" w:rsidR="00CA4834" w:rsidRPr="008A1030" w:rsidRDefault="00CA4834" w:rsidP="00CA4834">
      <w:pPr>
        <w:spacing w:after="120"/>
        <w:jc w:val="both"/>
        <w:rPr>
          <w:color w:val="000000" w:themeColor="text1"/>
          <w:sz w:val="22"/>
          <w:szCs w:val="22"/>
          <w:lang w:val="en-AU"/>
        </w:rPr>
      </w:pPr>
      <w:r w:rsidRPr="008A1030">
        <w:rPr>
          <w:rFonts w:eastAsia="Calibri"/>
          <w:b/>
          <w:color w:val="000000" w:themeColor="text1"/>
          <w:sz w:val="22"/>
          <w:szCs w:val="22"/>
          <w:lang w:val="en-AU"/>
        </w:rPr>
        <w:t xml:space="preserve">Figure S1: Low </w:t>
      </w:r>
      <w:proofErr w:type="spellStart"/>
      <w:proofErr w:type="gramStart"/>
      <w:r w:rsidRPr="008A1030">
        <w:rPr>
          <w:rFonts w:eastAsia="Calibri"/>
          <w:b/>
          <w:color w:val="000000" w:themeColor="text1"/>
          <w:sz w:val="22"/>
          <w:szCs w:val="22"/>
          <w:lang w:val="en-AU"/>
        </w:rPr>
        <w:t>MEyellow</w:t>
      </w:r>
      <w:proofErr w:type="spellEnd"/>
      <w:r w:rsidRPr="008A1030">
        <w:rPr>
          <w:rFonts w:eastAsia="Calibri"/>
          <w:b/>
          <w:color w:val="000000" w:themeColor="text1"/>
          <w:sz w:val="22"/>
          <w:szCs w:val="22"/>
          <w:lang w:val="en-AU"/>
        </w:rPr>
        <w:t>(</w:t>
      </w:r>
      <w:proofErr w:type="gramEnd"/>
      <w:r w:rsidRPr="008A1030">
        <w:rPr>
          <w:rFonts w:eastAsia="Calibri"/>
          <w:b/>
          <w:color w:val="000000" w:themeColor="text1"/>
          <w:sz w:val="22"/>
          <w:szCs w:val="22"/>
          <w:lang w:val="en-AU"/>
        </w:rPr>
        <w:t xml:space="preserve">oxidative/mitochondrial module) is associated with accelerated cognitive decline in a battery of cognitive tests. </w:t>
      </w:r>
      <w:r w:rsidRPr="008A1030">
        <w:rPr>
          <w:color w:val="000000" w:themeColor="text1"/>
          <w:sz w:val="22"/>
          <w:szCs w:val="22"/>
          <w:lang w:val="en-AU"/>
        </w:rPr>
        <w:t xml:space="preserve">Longitudinal cognition scores across </w:t>
      </w:r>
      <w:r w:rsidRPr="008A1030">
        <w:rPr>
          <w:b/>
          <w:color w:val="000000" w:themeColor="text1"/>
          <w:sz w:val="22"/>
          <w:szCs w:val="22"/>
          <w:lang w:val="en-AU"/>
        </w:rPr>
        <w:t>a,</w:t>
      </w:r>
      <w:r w:rsidRPr="008A1030">
        <w:rPr>
          <w:color w:val="000000" w:themeColor="text1"/>
          <w:sz w:val="22"/>
          <w:szCs w:val="22"/>
          <w:lang w:val="en-AU"/>
        </w:rPr>
        <w:t xml:space="preserve"> </w:t>
      </w:r>
      <w:proofErr w:type="gramStart"/>
      <w:r w:rsidRPr="008A1030">
        <w:rPr>
          <w:color w:val="000000" w:themeColor="text1"/>
          <w:sz w:val="22"/>
          <w:szCs w:val="22"/>
          <w:lang w:val="en-AU"/>
        </w:rPr>
        <w:t>Working</w:t>
      </w:r>
      <w:proofErr w:type="gramEnd"/>
      <w:r w:rsidRPr="008A1030">
        <w:rPr>
          <w:color w:val="000000" w:themeColor="text1"/>
          <w:sz w:val="22"/>
          <w:szCs w:val="22"/>
          <w:lang w:val="en-AU"/>
        </w:rPr>
        <w:t xml:space="preserve"> memory, </w:t>
      </w:r>
      <w:r w:rsidRPr="008A1030">
        <w:rPr>
          <w:b/>
          <w:color w:val="000000" w:themeColor="text1"/>
          <w:sz w:val="22"/>
          <w:szCs w:val="22"/>
          <w:lang w:val="en-AU"/>
        </w:rPr>
        <w:t>b,</w:t>
      </w:r>
      <w:r w:rsidRPr="008A1030">
        <w:rPr>
          <w:color w:val="000000" w:themeColor="text1"/>
          <w:sz w:val="22"/>
          <w:szCs w:val="22"/>
          <w:lang w:val="en-AU"/>
        </w:rPr>
        <w:t xml:space="preserve"> Episodic memory, </w:t>
      </w:r>
      <w:r w:rsidRPr="008A1030">
        <w:rPr>
          <w:b/>
          <w:color w:val="000000" w:themeColor="text1"/>
          <w:sz w:val="22"/>
          <w:szCs w:val="22"/>
          <w:lang w:val="en-AU"/>
        </w:rPr>
        <w:t>c,</w:t>
      </w:r>
      <w:r w:rsidRPr="008A1030">
        <w:rPr>
          <w:color w:val="000000" w:themeColor="text1"/>
          <w:sz w:val="22"/>
          <w:szCs w:val="22"/>
          <w:lang w:val="en-AU"/>
        </w:rPr>
        <w:t xml:space="preserve"> perceptual speed, </w:t>
      </w:r>
      <w:r w:rsidRPr="008A1030">
        <w:rPr>
          <w:b/>
          <w:color w:val="000000" w:themeColor="text1"/>
          <w:sz w:val="22"/>
          <w:szCs w:val="22"/>
          <w:lang w:val="en-AU"/>
        </w:rPr>
        <w:t>d,</w:t>
      </w:r>
      <w:r w:rsidRPr="008A1030">
        <w:rPr>
          <w:color w:val="000000" w:themeColor="text1"/>
          <w:sz w:val="22"/>
          <w:szCs w:val="22"/>
          <w:lang w:val="en-AU"/>
        </w:rPr>
        <w:t xml:space="preserve"> Semantic memory and </w:t>
      </w:r>
      <w:r w:rsidRPr="008A1030">
        <w:rPr>
          <w:b/>
          <w:color w:val="000000" w:themeColor="text1"/>
          <w:sz w:val="22"/>
          <w:szCs w:val="22"/>
          <w:lang w:val="en-AU"/>
        </w:rPr>
        <w:t>e,</w:t>
      </w:r>
      <w:r w:rsidRPr="008A1030">
        <w:rPr>
          <w:color w:val="000000" w:themeColor="text1"/>
          <w:sz w:val="22"/>
          <w:szCs w:val="22"/>
          <w:lang w:val="en-AU"/>
        </w:rPr>
        <w:t xml:space="preserve"> visuospatial ability were modelled and grouped according to (median) high or low </w:t>
      </w:r>
      <w:proofErr w:type="spellStart"/>
      <w:r w:rsidRPr="008A1030">
        <w:rPr>
          <w:color w:val="000000" w:themeColor="text1"/>
          <w:sz w:val="22"/>
          <w:szCs w:val="22"/>
          <w:lang w:val="en-AU"/>
        </w:rPr>
        <w:t>MEyellow</w:t>
      </w:r>
      <w:proofErr w:type="spellEnd"/>
      <w:r w:rsidRPr="008A1030">
        <w:rPr>
          <w:color w:val="000000" w:themeColor="text1"/>
          <w:sz w:val="22"/>
          <w:szCs w:val="22"/>
          <w:lang w:val="en-AU"/>
        </w:rPr>
        <w:t xml:space="preserve"> eigenvalue or</w:t>
      </w:r>
      <w:r w:rsidRPr="008A1030">
        <w:rPr>
          <w:b/>
          <w:color w:val="000000" w:themeColor="text1"/>
          <w:sz w:val="22"/>
          <w:szCs w:val="22"/>
          <w:lang w:val="en-AU"/>
        </w:rPr>
        <w:t xml:space="preserve"> f-j</w:t>
      </w:r>
      <w:r w:rsidRPr="008A1030">
        <w:rPr>
          <w:color w:val="000000" w:themeColor="text1"/>
          <w:sz w:val="22"/>
          <w:szCs w:val="22"/>
          <w:lang w:val="en-AU"/>
        </w:rPr>
        <w:t xml:space="preserve"> high or low mitochondrial composite of 29 proteins (m29) with age at death, sex and e4 covariates (subjects n=615). Degrees of freedom for the purposes of generating p values were approximated using Satterthwaite’s method. Error bars represent 95% CIs.</w:t>
      </w:r>
    </w:p>
    <w:p w14:paraId="4066F992" w14:textId="77777777" w:rsidR="00CA4834" w:rsidRPr="008A1030" w:rsidRDefault="00CA4834" w:rsidP="00CA4834">
      <w:pPr>
        <w:jc w:val="both"/>
        <w:rPr>
          <w:rFonts w:cstheme="minorHAnsi"/>
          <w:color w:val="000000" w:themeColor="text1"/>
          <w:sz w:val="20"/>
          <w:szCs w:val="20"/>
          <w:lang w:val="en-AU"/>
        </w:rPr>
      </w:pPr>
      <w:r w:rsidRPr="008A1030">
        <w:rPr>
          <w:rFonts w:cstheme="minorHAnsi"/>
          <w:noProof/>
          <w:color w:val="000000" w:themeColor="text1"/>
          <w:sz w:val="20"/>
          <w:szCs w:val="20"/>
          <w:lang w:val="en-AU"/>
        </w:rPr>
        <w:lastRenderedPageBreak/>
        <w:drawing>
          <wp:inline distT="0" distB="0" distL="0" distR="0" wp14:anchorId="64876E07" wp14:editId="3A94FABB">
            <wp:extent cx="5635976" cy="6682275"/>
            <wp:effectExtent l="0" t="0" r="3175" b="4445"/>
            <wp:docPr id="384881044" name="Picture 6" descr="A screenshot of a computer scre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4881044" name="Picture 6" descr="A screenshot of a computer screen&#10;&#10;Description automatically generated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67" t="6849"/>
                    <a:stretch/>
                  </pic:blipFill>
                  <pic:spPr bwMode="auto">
                    <a:xfrm>
                      <a:off x="0" y="0"/>
                      <a:ext cx="5635976" cy="66822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9812B62" w14:textId="77777777" w:rsidR="00CA4834" w:rsidRPr="008A1030" w:rsidRDefault="00CA4834" w:rsidP="00CA4834">
      <w:pPr>
        <w:jc w:val="both"/>
        <w:rPr>
          <w:rFonts w:eastAsia="Calibri"/>
          <w:color w:val="000000" w:themeColor="text1"/>
          <w:sz w:val="22"/>
          <w:szCs w:val="22"/>
          <w:lang w:val="en-AU"/>
        </w:rPr>
      </w:pPr>
      <w:r w:rsidRPr="008A1030">
        <w:rPr>
          <w:rFonts w:eastAsia="Calibri"/>
          <w:b/>
          <w:color w:val="000000" w:themeColor="text1"/>
          <w:sz w:val="22"/>
          <w:szCs w:val="22"/>
          <w:lang w:val="en-AU"/>
        </w:rPr>
        <w:t>Figure S2: WGCNA of validation dataset from DLFP confers mitochondrial/</w:t>
      </w:r>
      <w:proofErr w:type="spellStart"/>
      <w:r w:rsidRPr="008A1030">
        <w:rPr>
          <w:rFonts w:eastAsia="Calibri"/>
          <w:b/>
          <w:color w:val="000000" w:themeColor="text1"/>
          <w:sz w:val="22"/>
          <w:szCs w:val="22"/>
          <w:lang w:val="en-AU"/>
        </w:rPr>
        <w:t>oxphos</w:t>
      </w:r>
      <w:proofErr w:type="spellEnd"/>
      <w:r w:rsidRPr="008A1030">
        <w:rPr>
          <w:rFonts w:eastAsia="Calibri"/>
          <w:b/>
          <w:color w:val="000000" w:themeColor="text1"/>
          <w:sz w:val="22"/>
          <w:szCs w:val="22"/>
          <w:lang w:val="en-AU"/>
        </w:rPr>
        <w:t xml:space="preserve"> module. a, </w:t>
      </w:r>
      <w:r w:rsidRPr="008A1030">
        <w:rPr>
          <w:rFonts w:eastAsia="Calibri"/>
          <w:color w:val="000000" w:themeColor="text1"/>
          <w:sz w:val="22"/>
          <w:szCs w:val="22"/>
          <w:lang w:val="en-AU"/>
        </w:rPr>
        <w:t xml:space="preserve">schematic diagram of parallel WGCNA analysis in the RUSH cohort using inferior temporal gyrus (ITG) and validation data set from Johnson (2022) using dorsolateral prefrontal cortex (DLFP), created using BioRender.com. </w:t>
      </w:r>
      <w:r w:rsidRPr="008A1030">
        <w:rPr>
          <w:rFonts w:eastAsia="Calibri"/>
          <w:b/>
          <w:color w:val="000000" w:themeColor="text1"/>
          <w:sz w:val="22"/>
          <w:szCs w:val="22"/>
          <w:lang w:val="en-AU"/>
        </w:rPr>
        <w:t>b-f</w:t>
      </w:r>
      <w:r w:rsidRPr="008A1030">
        <w:rPr>
          <w:rFonts w:eastAsia="Calibri"/>
          <w:color w:val="000000" w:themeColor="text1"/>
          <w:sz w:val="22"/>
          <w:szCs w:val="22"/>
          <w:lang w:val="en-AU"/>
        </w:rPr>
        <w:t>, boxplots of eigenvalues from assigned modules from the RUSH cohort) N= 625 and</w:t>
      </w:r>
      <w:r w:rsidRPr="008A1030">
        <w:rPr>
          <w:rFonts w:eastAsia="Calibri"/>
          <w:b/>
          <w:color w:val="000000" w:themeColor="text1"/>
          <w:sz w:val="22"/>
          <w:szCs w:val="22"/>
          <w:lang w:val="en-AU"/>
        </w:rPr>
        <w:t xml:space="preserve"> g-m</w:t>
      </w:r>
      <w:r w:rsidRPr="008A1030">
        <w:rPr>
          <w:rFonts w:eastAsia="Calibri"/>
          <w:color w:val="000000" w:themeColor="text1"/>
          <w:sz w:val="22"/>
          <w:szCs w:val="22"/>
          <w:lang w:val="en-AU"/>
        </w:rPr>
        <w:t>, Johnson (2022)</w:t>
      </w:r>
      <w:r w:rsidRPr="008A1030">
        <w:rPr>
          <w:color w:val="000000" w:themeColor="text1"/>
          <w:sz w:val="22"/>
          <w:szCs w:val="22"/>
          <w:lang w:val="en-AU"/>
        </w:rPr>
        <w:fldChar w:fldCharType="begin">
          <w:fldData xml:space="preserve">PEVuZE5vdGU+PENpdGU+PEF1dGhvcj5Kb2huc29uPC9BdXRob3I+PFllYXI+MjAyMjwvWWVhcj48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==
</w:fldData>
        </w:fldChar>
      </w:r>
      <w:r w:rsidRPr="008A1030">
        <w:rPr>
          <w:color w:val="000000" w:themeColor="text1"/>
          <w:sz w:val="22"/>
          <w:szCs w:val="22"/>
          <w:lang w:val="en-AU"/>
        </w:rPr>
        <w:instrText xml:space="preserve"> ADDIN EN.CITE </w:instrText>
      </w:r>
      <w:r w:rsidRPr="008A1030">
        <w:rPr>
          <w:color w:val="000000" w:themeColor="text1"/>
          <w:sz w:val="22"/>
          <w:szCs w:val="22"/>
          <w:lang w:val="en-AU"/>
        </w:rPr>
        <w:fldChar w:fldCharType="begin">
          <w:fldData xml:space="preserve">PEVuZE5vdGU+PENpdGU+PEF1dGhvcj5Kb2huc29uPC9BdXRob3I+PFllYXI+MjAyMjwvWWVhcj48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==
</w:fldData>
        </w:fldChar>
      </w:r>
      <w:r w:rsidRPr="008A1030">
        <w:rPr>
          <w:color w:val="000000" w:themeColor="text1"/>
          <w:sz w:val="22"/>
          <w:szCs w:val="22"/>
          <w:lang w:val="en-AU"/>
        </w:rPr>
        <w:instrText xml:space="preserve"> ADDIN EN.CITE.DATA </w:instrText>
      </w:r>
      <w:r w:rsidRPr="008A1030">
        <w:rPr>
          <w:color w:val="000000" w:themeColor="text1"/>
          <w:sz w:val="22"/>
          <w:szCs w:val="22"/>
          <w:lang w:val="en-AU"/>
        </w:rPr>
      </w:r>
      <w:r w:rsidRPr="008A1030">
        <w:rPr>
          <w:color w:val="000000" w:themeColor="text1"/>
          <w:sz w:val="22"/>
          <w:szCs w:val="22"/>
          <w:lang w:val="en-AU"/>
        </w:rPr>
        <w:fldChar w:fldCharType="end"/>
      </w:r>
      <w:r w:rsidRPr="008A1030">
        <w:rPr>
          <w:color w:val="000000" w:themeColor="text1"/>
          <w:sz w:val="22"/>
          <w:szCs w:val="22"/>
          <w:lang w:val="en-AU"/>
        </w:rPr>
      </w:r>
      <w:r w:rsidRPr="008A1030">
        <w:rPr>
          <w:color w:val="000000" w:themeColor="text1"/>
          <w:sz w:val="22"/>
          <w:szCs w:val="22"/>
          <w:lang w:val="en-AU"/>
        </w:rPr>
        <w:fldChar w:fldCharType="separate"/>
      </w:r>
      <w:r w:rsidRPr="008A1030">
        <w:rPr>
          <w:color w:val="000000" w:themeColor="text1"/>
          <w:sz w:val="22"/>
          <w:szCs w:val="22"/>
          <w:vertAlign w:val="superscript"/>
          <w:lang w:val="en-AU"/>
        </w:rPr>
        <w:t>[19]</w:t>
      </w:r>
      <w:r w:rsidRPr="008A1030">
        <w:rPr>
          <w:color w:val="000000" w:themeColor="text1"/>
          <w:sz w:val="22"/>
          <w:szCs w:val="22"/>
          <w:lang w:val="en-AU"/>
        </w:rPr>
        <w:fldChar w:fldCharType="end"/>
      </w:r>
      <w:r w:rsidRPr="008A1030">
        <w:rPr>
          <w:rFonts w:eastAsia="Calibri"/>
          <w:color w:val="000000" w:themeColor="text1"/>
          <w:sz w:val="22"/>
          <w:szCs w:val="22"/>
          <w:lang w:val="en-AU"/>
        </w:rPr>
        <w:t xml:space="preserve"> cohort N = 516. </w:t>
      </w:r>
      <w:r w:rsidRPr="008A1030">
        <w:rPr>
          <w:color w:val="000000" w:themeColor="text1"/>
          <w:sz w:val="22"/>
          <w:szCs w:val="22"/>
          <w:lang w:val="en-AU"/>
        </w:rPr>
        <w:t xml:space="preserve">Each dot represents individual subject; Rush data was analysed using ANCOVA with age at death sex and E4 covariates Johnson data were analysed with ANOVA. </w:t>
      </w:r>
    </w:p>
    <w:p w14:paraId="7B6A242B" w14:textId="77777777" w:rsidR="00CA4834" w:rsidRPr="008A1030" w:rsidRDefault="00CA4834" w:rsidP="00CA4834">
      <w:pPr>
        <w:jc w:val="both"/>
        <w:rPr>
          <w:rFonts w:eastAsia="Calibri" w:cstheme="minorHAnsi"/>
          <w:color w:val="000000" w:themeColor="text1"/>
          <w:sz w:val="20"/>
          <w:szCs w:val="20"/>
          <w:lang w:val="en-AU"/>
        </w:rPr>
      </w:pPr>
    </w:p>
    <w:p w14:paraId="31FA7018" w14:textId="77777777" w:rsidR="00CA4834" w:rsidRPr="008A1030" w:rsidRDefault="00CA4834" w:rsidP="00CA4834">
      <w:pPr>
        <w:spacing w:after="120"/>
        <w:jc w:val="both"/>
        <w:rPr>
          <w:rFonts w:cstheme="minorHAnsi"/>
          <w:color w:val="000000" w:themeColor="text1"/>
          <w:sz w:val="20"/>
          <w:szCs w:val="20"/>
          <w:lang w:val="en-AU"/>
        </w:rPr>
      </w:pPr>
      <w:r w:rsidRPr="008A1030">
        <w:rPr>
          <w:rFonts w:cstheme="minorHAnsi"/>
          <w:noProof/>
          <w:color w:val="000000" w:themeColor="text1"/>
          <w:sz w:val="20"/>
          <w:szCs w:val="20"/>
          <w:lang w:val="en-AU"/>
        </w:rPr>
        <w:lastRenderedPageBreak/>
        <w:drawing>
          <wp:inline distT="0" distB="0" distL="0" distR="0" wp14:anchorId="006398E7" wp14:editId="07ED758B">
            <wp:extent cx="5731510" cy="1945640"/>
            <wp:effectExtent l="0" t="0" r="2540" b="0"/>
            <wp:docPr id="266996914" name="Picture 7" descr="A diagram of a graph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996914" name="Picture 7" descr="A diagram of a graph&#10;&#10;Description automatically generated with medium confidence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945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AB26E7" w14:textId="77777777" w:rsidR="00CA4834" w:rsidRPr="008A1030" w:rsidRDefault="00CA4834" w:rsidP="00CA4834">
      <w:pPr>
        <w:jc w:val="both"/>
        <w:rPr>
          <w:color w:val="000000" w:themeColor="text1"/>
          <w:sz w:val="22"/>
          <w:szCs w:val="22"/>
          <w:lang w:val="en-AU"/>
        </w:rPr>
      </w:pPr>
      <w:r w:rsidRPr="008A1030">
        <w:rPr>
          <w:rFonts w:eastAsia="Calibri"/>
          <w:b/>
          <w:color w:val="000000" w:themeColor="text1"/>
          <w:sz w:val="22"/>
          <w:szCs w:val="22"/>
          <w:lang w:val="en-AU"/>
        </w:rPr>
        <w:t xml:space="preserve">Figure S3: Low GSH is associated with accelerated cognitive decline in a battery of cognitive tests. </w:t>
      </w:r>
      <w:r w:rsidRPr="008A1030">
        <w:rPr>
          <w:color w:val="000000" w:themeColor="text1"/>
          <w:sz w:val="22"/>
          <w:szCs w:val="22"/>
          <w:lang w:val="en-AU"/>
        </w:rPr>
        <w:t xml:space="preserve">Longitudinal cognition scores across </w:t>
      </w:r>
      <w:r w:rsidRPr="008A1030">
        <w:rPr>
          <w:b/>
          <w:color w:val="000000" w:themeColor="text1"/>
          <w:sz w:val="22"/>
          <w:szCs w:val="22"/>
          <w:lang w:val="en-AU"/>
        </w:rPr>
        <w:t>a,</w:t>
      </w:r>
      <w:r w:rsidRPr="008A1030">
        <w:rPr>
          <w:color w:val="000000" w:themeColor="text1"/>
          <w:sz w:val="22"/>
          <w:szCs w:val="22"/>
          <w:lang w:val="en-AU"/>
        </w:rPr>
        <w:t xml:space="preserve"> </w:t>
      </w:r>
      <w:proofErr w:type="gramStart"/>
      <w:r w:rsidRPr="008A1030">
        <w:rPr>
          <w:color w:val="000000" w:themeColor="text1"/>
          <w:sz w:val="22"/>
          <w:szCs w:val="22"/>
          <w:lang w:val="en-AU"/>
        </w:rPr>
        <w:t>Working</w:t>
      </w:r>
      <w:proofErr w:type="gramEnd"/>
      <w:r w:rsidRPr="008A1030">
        <w:rPr>
          <w:color w:val="000000" w:themeColor="text1"/>
          <w:sz w:val="22"/>
          <w:szCs w:val="22"/>
          <w:lang w:val="en-AU"/>
        </w:rPr>
        <w:t xml:space="preserve"> memory, </w:t>
      </w:r>
      <w:r w:rsidRPr="008A1030">
        <w:rPr>
          <w:b/>
          <w:color w:val="000000" w:themeColor="text1"/>
          <w:sz w:val="22"/>
          <w:szCs w:val="22"/>
          <w:lang w:val="en-AU"/>
        </w:rPr>
        <w:t>b,</w:t>
      </w:r>
      <w:r w:rsidRPr="008A1030">
        <w:rPr>
          <w:color w:val="000000" w:themeColor="text1"/>
          <w:sz w:val="22"/>
          <w:szCs w:val="22"/>
          <w:lang w:val="en-AU"/>
        </w:rPr>
        <w:t xml:space="preserve"> Episodic memory, </w:t>
      </w:r>
      <w:r w:rsidRPr="008A1030">
        <w:rPr>
          <w:b/>
          <w:color w:val="000000" w:themeColor="text1"/>
          <w:sz w:val="22"/>
          <w:szCs w:val="22"/>
          <w:lang w:val="en-AU"/>
        </w:rPr>
        <w:t>c,</w:t>
      </w:r>
      <w:r w:rsidRPr="008A1030">
        <w:rPr>
          <w:color w:val="000000" w:themeColor="text1"/>
          <w:sz w:val="22"/>
          <w:szCs w:val="22"/>
          <w:lang w:val="en-AU"/>
        </w:rPr>
        <w:t xml:space="preserve"> perceptual speed, </w:t>
      </w:r>
      <w:r w:rsidRPr="008A1030">
        <w:rPr>
          <w:b/>
          <w:color w:val="000000" w:themeColor="text1"/>
          <w:sz w:val="22"/>
          <w:szCs w:val="22"/>
          <w:lang w:val="en-AU"/>
        </w:rPr>
        <w:t>d,</w:t>
      </w:r>
      <w:r w:rsidRPr="008A1030">
        <w:rPr>
          <w:color w:val="000000" w:themeColor="text1"/>
          <w:sz w:val="22"/>
          <w:szCs w:val="22"/>
          <w:lang w:val="en-AU"/>
        </w:rPr>
        <w:t xml:space="preserve"> Semantic memory and </w:t>
      </w:r>
      <w:r w:rsidRPr="008A1030">
        <w:rPr>
          <w:b/>
          <w:color w:val="000000" w:themeColor="text1"/>
          <w:sz w:val="22"/>
          <w:szCs w:val="22"/>
          <w:lang w:val="en-AU"/>
        </w:rPr>
        <w:t>e,</w:t>
      </w:r>
      <w:r w:rsidRPr="008A1030">
        <w:rPr>
          <w:color w:val="000000" w:themeColor="text1"/>
          <w:sz w:val="22"/>
          <w:szCs w:val="22"/>
          <w:lang w:val="en-AU"/>
        </w:rPr>
        <w:t xml:space="preserve"> visuospatial ability were modelled and grouped according to high or low GSH with age at death, sex and e4 covariates (subjects n=615). Degrees of freedom for the purposes of generating p values were approximated using Satterthwaite’s method.</w:t>
      </w:r>
    </w:p>
    <w:p w14:paraId="14005220" w14:textId="77777777" w:rsidR="00CA4834" w:rsidRPr="008A1030" w:rsidRDefault="00CA4834" w:rsidP="00CA4834">
      <w:pPr>
        <w:spacing w:after="160" w:line="259" w:lineRule="auto"/>
        <w:rPr>
          <w:rFonts w:cstheme="minorHAnsi"/>
          <w:b/>
          <w:color w:val="000000" w:themeColor="text1"/>
          <w:sz w:val="20"/>
          <w:szCs w:val="20"/>
          <w:lang w:val="en-AU"/>
        </w:rPr>
      </w:pPr>
    </w:p>
    <w:p w14:paraId="6B5B3FCF" w14:textId="77777777" w:rsidR="00CA4834" w:rsidRPr="008A1030" w:rsidRDefault="00CA4834" w:rsidP="00CA4834">
      <w:pPr>
        <w:spacing w:after="160" w:line="259" w:lineRule="auto"/>
        <w:rPr>
          <w:rFonts w:cstheme="minorHAnsi"/>
          <w:b/>
          <w:color w:val="000000" w:themeColor="text1"/>
          <w:sz w:val="20"/>
          <w:szCs w:val="20"/>
          <w:lang w:val="en-AU"/>
        </w:rPr>
      </w:pPr>
    </w:p>
    <w:p w14:paraId="26ABCC28" w14:textId="77777777" w:rsidR="00CA4834" w:rsidRPr="008A1030" w:rsidRDefault="00CA4834" w:rsidP="00CA4834">
      <w:pPr>
        <w:spacing w:after="160" w:line="259" w:lineRule="auto"/>
        <w:rPr>
          <w:rFonts w:cstheme="minorHAnsi"/>
          <w:b/>
          <w:color w:val="000000" w:themeColor="text1"/>
          <w:sz w:val="20"/>
          <w:szCs w:val="20"/>
          <w:lang w:val="en-AU"/>
        </w:rPr>
      </w:pPr>
    </w:p>
    <w:p w14:paraId="27C3D9FF" w14:textId="77777777" w:rsidR="00CA4834" w:rsidRPr="008A1030" w:rsidRDefault="00CA4834" w:rsidP="00CA4834">
      <w:pPr>
        <w:spacing w:after="160" w:line="259" w:lineRule="auto"/>
        <w:rPr>
          <w:rFonts w:cstheme="minorHAnsi"/>
          <w:b/>
          <w:color w:val="000000" w:themeColor="text1"/>
          <w:sz w:val="20"/>
          <w:szCs w:val="20"/>
          <w:lang w:val="en-AU"/>
        </w:rPr>
      </w:pPr>
      <w:r w:rsidRPr="008A1030">
        <w:rPr>
          <w:rFonts w:cstheme="minorHAnsi"/>
          <w:noProof/>
          <w:color w:val="000000" w:themeColor="text1"/>
          <w:sz w:val="20"/>
          <w:szCs w:val="20"/>
          <w:lang w:val="en-AU"/>
        </w:rPr>
        <w:drawing>
          <wp:anchor distT="0" distB="0" distL="114300" distR="114300" simplePos="0" relativeHeight="251660288" behindDoc="0" locked="0" layoutInCell="1" allowOverlap="1" wp14:anchorId="3BC2FBA3" wp14:editId="423C6F87">
            <wp:simplePos x="0" y="0"/>
            <wp:positionH relativeFrom="column">
              <wp:posOffset>-212421</wp:posOffset>
            </wp:positionH>
            <wp:positionV relativeFrom="paragraph">
              <wp:posOffset>224790</wp:posOffset>
            </wp:positionV>
            <wp:extent cx="6081831" cy="2251881"/>
            <wp:effectExtent l="0" t="0" r="0" b="0"/>
            <wp:wrapTopAndBottom/>
            <wp:docPr id="963744902" name="Picture 8" descr="A diagram of a graph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3744902" name="Picture 8" descr="A diagram of a graph&#10;&#10;Description automatically generated with medium confidenc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81831" cy="22518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F8EDFB5" w14:textId="77777777" w:rsidR="00CA4834" w:rsidRPr="008A1030" w:rsidRDefault="00CA4834" w:rsidP="00CA4834">
      <w:pPr>
        <w:spacing w:after="120"/>
        <w:jc w:val="both"/>
        <w:rPr>
          <w:rFonts w:eastAsia="Calibri" w:cstheme="minorHAnsi"/>
          <w:b/>
          <w:color w:val="000000" w:themeColor="text1"/>
          <w:sz w:val="22"/>
          <w:szCs w:val="22"/>
          <w:lang w:val="en-AU"/>
        </w:rPr>
      </w:pPr>
      <w:r w:rsidRPr="008A1030">
        <w:rPr>
          <w:rFonts w:eastAsia="Calibri" w:cstheme="minorHAnsi"/>
          <w:b/>
          <w:color w:val="000000" w:themeColor="text1"/>
          <w:sz w:val="22"/>
          <w:szCs w:val="22"/>
          <w:lang w:val="en-AU"/>
        </w:rPr>
        <w:t xml:space="preserve">Figure S4: Exclusion of ETC inhibitors that cause ferroptosis. </w:t>
      </w:r>
      <w:r w:rsidRPr="008A1030">
        <w:rPr>
          <w:rFonts w:eastAsia="Calibri" w:cstheme="minorHAnsi"/>
          <w:color w:val="000000" w:themeColor="text1"/>
          <w:sz w:val="22"/>
          <w:szCs w:val="22"/>
          <w:lang w:val="en-AU"/>
        </w:rPr>
        <w:t xml:space="preserve">Viability assays of HT22 cells co-treated with OXPHOS inhibitors a, Rotenone; b, TTFA; c, Antimycin A; d, Sodium </w:t>
      </w:r>
      <w:proofErr w:type="spellStart"/>
      <w:r w:rsidRPr="008A1030">
        <w:rPr>
          <w:rFonts w:eastAsia="Calibri" w:cstheme="minorHAnsi"/>
          <w:color w:val="000000" w:themeColor="text1"/>
          <w:sz w:val="22"/>
          <w:szCs w:val="22"/>
          <w:lang w:val="en-AU"/>
        </w:rPr>
        <w:t>Azide</w:t>
      </w:r>
      <w:proofErr w:type="spellEnd"/>
      <w:r w:rsidRPr="008A1030">
        <w:rPr>
          <w:rFonts w:eastAsia="Calibri" w:cstheme="minorHAnsi"/>
          <w:color w:val="000000" w:themeColor="text1"/>
          <w:sz w:val="22"/>
          <w:szCs w:val="22"/>
          <w:lang w:val="en-AU"/>
        </w:rPr>
        <w:t xml:space="preserve"> and e, CCCP in the presence or absence of </w:t>
      </w:r>
      <w:proofErr w:type="spellStart"/>
      <w:r w:rsidRPr="008A1030">
        <w:rPr>
          <w:rFonts w:eastAsia="Calibri" w:cstheme="minorHAnsi"/>
          <w:color w:val="000000" w:themeColor="text1"/>
          <w:sz w:val="22"/>
          <w:szCs w:val="22"/>
          <w:lang w:val="en-AU"/>
        </w:rPr>
        <w:t>liproxstatin</w:t>
      </w:r>
      <w:proofErr w:type="spellEnd"/>
      <w:r w:rsidRPr="008A1030">
        <w:rPr>
          <w:rFonts w:eastAsia="Calibri" w:cstheme="minorHAnsi"/>
          <w:color w:val="000000" w:themeColor="text1"/>
          <w:sz w:val="22"/>
          <w:szCs w:val="22"/>
          <w:lang w:val="en-AU"/>
        </w:rPr>
        <w:t xml:space="preserve"> (lip1) and </w:t>
      </w:r>
      <w:proofErr w:type="spellStart"/>
      <w:r w:rsidRPr="008A1030">
        <w:rPr>
          <w:rFonts w:eastAsia="Calibri" w:cstheme="minorHAnsi"/>
          <w:color w:val="000000" w:themeColor="text1"/>
          <w:sz w:val="22"/>
          <w:szCs w:val="22"/>
          <w:lang w:val="en-AU"/>
        </w:rPr>
        <w:t>Mitotempo</w:t>
      </w:r>
      <w:proofErr w:type="spellEnd"/>
      <w:r w:rsidRPr="008A1030">
        <w:rPr>
          <w:rFonts w:eastAsia="Calibri" w:cstheme="minorHAnsi"/>
          <w:color w:val="000000" w:themeColor="text1"/>
          <w:sz w:val="22"/>
          <w:szCs w:val="22"/>
          <w:lang w:val="en-AU"/>
        </w:rPr>
        <w:t>. Data presented as mean+/-SEM from 3 independent experiments.</w:t>
      </w:r>
      <w:r w:rsidRPr="008A1030">
        <w:rPr>
          <w:rFonts w:eastAsia="Calibri" w:cstheme="minorHAnsi"/>
          <w:b/>
          <w:color w:val="000000" w:themeColor="text1"/>
          <w:sz w:val="22"/>
          <w:szCs w:val="22"/>
          <w:lang w:val="en-AU"/>
        </w:rPr>
        <w:t xml:space="preserve"> </w:t>
      </w:r>
    </w:p>
    <w:p w14:paraId="4728F4F3" w14:textId="77777777" w:rsidR="00CA4834" w:rsidRPr="008A1030" w:rsidRDefault="00CA4834" w:rsidP="00CA4834">
      <w:pPr>
        <w:spacing w:after="120"/>
        <w:jc w:val="both"/>
        <w:rPr>
          <w:rFonts w:eastAsia="Calibri" w:cstheme="minorHAnsi"/>
          <w:b/>
          <w:color w:val="000000" w:themeColor="text1"/>
          <w:sz w:val="22"/>
          <w:szCs w:val="22"/>
          <w:lang w:val="en-AU"/>
        </w:rPr>
      </w:pPr>
    </w:p>
    <w:p w14:paraId="0949F216" w14:textId="77777777" w:rsidR="00CA4834" w:rsidRPr="008A1030" w:rsidRDefault="00CA4834" w:rsidP="00CA4834">
      <w:pPr>
        <w:spacing w:after="120"/>
        <w:jc w:val="center"/>
        <w:rPr>
          <w:rFonts w:cstheme="minorHAnsi"/>
          <w:color w:val="000000" w:themeColor="text1"/>
          <w:sz w:val="22"/>
          <w:szCs w:val="22"/>
          <w:lang w:val="en-AU"/>
        </w:rPr>
      </w:pPr>
      <w:r w:rsidRPr="00416347">
        <w:rPr>
          <w:noProof/>
          <w:lang w:val="en-AU"/>
        </w:rPr>
        <w:object w:dxaOrig="3115" w:dyaOrig="4641" w14:anchorId="35E1A84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156pt;height:232.5pt;mso-width-percent:0;mso-height-percent:0;mso-width-percent:0;mso-height-percent:0" o:ole="">
            <v:imagedata r:id="rId8" o:title=""/>
          </v:shape>
          <o:OLEObject Type="Embed" ProgID="Prism10.Document" ShapeID="_x0000_i1025" DrawAspect="Content" ObjectID="_1812532458" r:id="rId9"/>
        </w:object>
      </w:r>
    </w:p>
    <w:p w14:paraId="74D8E75E" w14:textId="77777777" w:rsidR="00CA4834" w:rsidRPr="008A1030" w:rsidRDefault="00CA4834" w:rsidP="00CA4834">
      <w:pPr>
        <w:spacing w:after="120"/>
        <w:jc w:val="both"/>
        <w:rPr>
          <w:rFonts w:eastAsia="Calibri" w:cstheme="minorHAnsi"/>
          <w:b/>
          <w:color w:val="000000" w:themeColor="text1"/>
          <w:sz w:val="22"/>
          <w:szCs w:val="22"/>
          <w:lang w:val="en-AU"/>
        </w:rPr>
      </w:pPr>
      <w:r w:rsidRPr="008A1030">
        <w:rPr>
          <w:rFonts w:eastAsia="Calibri" w:cstheme="minorHAnsi"/>
          <w:b/>
          <w:color w:val="000000" w:themeColor="text1"/>
          <w:sz w:val="22"/>
          <w:szCs w:val="22"/>
          <w:lang w:val="en-AU"/>
        </w:rPr>
        <w:t xml:space="preserve">Figure S5: Glutathione synthesis inhibition does not increase ATP. </w:t>
      </w:r>
      <w:r w:rsidRPr="008A1030">
        <w:rPr>
          <w:rFonts w:eastAsia="Calibri" w:cstheme="minorHAnsi"/>
          <w:color w:val="000000" w:themeColor="text1"/>
          <w:sz w:val="22"/>
          <w:szCs w:val="22"/>
          <w:lang w:val="en-AU"/>
        </w:rPr>
        <w:t xml:space="preserve">ATP was measured after </w:t>
      </w:r>
      <w:proofErr w:type="gramStart"/>
      <w:r w:rsidRPr="008A1030">
        <w:rPr>
          <w:rFonts w:eastAsia="Calibri" w:cstheme="minorHAnsi"/>
          <w:color w:val="000000" w:themeColor="text1"/>
          <w:sz w:val="22"/>
          <w:szCs w:val="22"/>
          <w:lang w:val="en-AU"/>
        </w:rPr>
        <w:t>17 hour</w:t>
      </w:r>
      <w:proofErr w:type="gramEnd"/>
      <w:r w:rsidRPr="008A1030">
        <w:rPr>
          <w:rFonts w:eastAsia="Calibri" w:cstheme="minorHAnsi"/>
          <w:color w:val="000000" w:themeColor="text1"/>
          <w:sz w:val="22"/>
          <w:szCs w:val="22"/>
          <w:lang w:val="en-AU"/>
        </w:rPr>
        <w:t xml:space="preserve"> treatment with/without BSO (100</w:t>
      </w:r>
      <w:r w:rsidRPr="008A1030">
        <w:rPr>
          <w:rFonts w:eastAsia="Calibri"/>
          <w:color w:val="000000" w:themeColor="text1"/>
          <w:sz w:val="22"/>
          <w:szCs w:val="22"/>
          <w:lang w:val="en-AU"/>
        </w:rPr>
        <w:t>μ</w:t>
      </w:r>
      <w:r w:rsidRPr="008A1030">
        <w:rPr>
          <w:rFonts w:eastAsia="Calibri" w:cstheme="minorHAnsi"/>
          <w:color w:val="000000" w:themeColor="text1"/>
          <w:sz w:val="22"/>
          <w:szCs w:val="22"/>
          <w:lang w:val="en-AU"/>
        </w:rPr>
        <w:t xml:space="preserve">M) in the presence of </w:t>
      </w:r>
      <w:proofErr w:type="spellStart"/>
      <w:r w:rsidRPr="008A1030">
        <w:rPr>
          <w:rFonts w:eastAsia="Calibri" w:cstheme="minorHAnsi"/>
          <w:color w:val="000000" w:themeColor="text1"/>
          <w:sz w:val="22"/>
          <w:szCs w:val="22"/>
          <w:lang w:val="en-AU"/>
        </w:rPr>
        <w:t>liproxstatin</w:t>
      </w:r>
      <w:proofErr w:type="spellEnd"/>
      <w:r w:rsidRPr="008A1030">
        <w:rPr>
          <w:rFonts w:eastAsia="Calibri" w:cstheme="minorHAnsi"/>
          <w:color w:val="000000" w:themeColor="text1"/>
          <w:sz w:val="22"/>
          <w:szCs w:val="22"/>
          <w:lang w:val="en-AU"/>
        </w:rPr>
        <w:t xml:space="preserve"> (LPX). Data presented as mean+/-SEM from 3 independent experiments.</w:t>
      </w:r>
      <w:r w:rsidRPr="008A1030">
        <w:rPr>
          <w:rFonts w:eastAsia="Calibri" w:cstheme="minorHAnsi"/>
          <w:b/>
          <w:color w:val="000000" w:themeColor="text1"/>
          <w:sz w:val="22"/>
          <w:szCs w:val="22"/>
          <w:lang w:val="en-AU"/>
        </w:rPr>
        <w:t xml:space="preserve"> </w:t>
      </w:r>
    </w:p>
    <w:p w14:paraId="4030F5E3" w14:textId="77777777" w:rsidR="00CA4834" w:rsidRPr="008A1030" w:rsidRDefault="00CA4834" w:rsidP="00CA4834">
      <w:pPr>
        <w:spacing w:after="160" w:line="259" w:lineRule="auto"/>
        <w:rPr>
          <w:rFonts w:cstheme="minorHAnsi"/>
          <w:color w:val="000000" w:themeColor="text1"/>
          <w:sz w:val="20"/>
          <w:szCs w:val="20"/>
          <w:lang w:val="en-AU"/>
        </w:rPr>
      </w:pPr>
      <w:r w:rsidRPr="008A1030">
        <w:rPr>
          <w:rFonts w:cstheme="minorHAnsi"/>
          <w:color w:val="000000" w:themeColor="text1"/>
          <w:sz w:val="20"/>
          <w:szCs w:val="20"/>
          <w:lang w:val="en-AU"/>
        </w:rPr>
        <w:br w:type="page"/>
      </w:r>
    </w:p>
    <w:p w14:paraId="3155DF4E" w14:textId="77777777" w:rsidR="00CA4834" w:rsidRPr="008A1030" w:rsidRDefault="00CA4834" w:rsidP="00CA4834">
      <w:pPr>
        <w:spacing w:after="160" w:line="259" w:lineRule="auto"/>
        <w:rPr>
          <w:color w:val="000000" w:themeColor="text1"/>
          <w:sz w:val="20"/>
          <w:szCs w:val="20"/>
          <w:lang w:val="en-AU"/>
        </w:rPr>
      </w:pPr>
      <w:r w:rsidRPr="008A1030">
        <w:rPr>
          <w:noProof/>
          <w:color w:val="000000" w:themeColor="text1"/>
          <w:sz w:val="20"/>
          <w:szCs w:val="20"/>
          <w:lang w:val="en-AU"/>
        </w:rPr>
        <w:lastRenderedPageBreak/>
        <w:drawing>
          <wp:inline distT="0" distB="0" distL="0" distR="0" wp14:anchorId="238F5800" wp14:editId="4D2FB631">
            <wp:extent cx="5731510" cy="7665720"/>
            <wp:effectExtent l="0" t="0" r="2540" b="0"/>
            <wp:docPr id="1712041646" name="Picture 9" descr="A screenshot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2041646" name="Picture 9" descr="A screenshot of a graph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665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648502" w14:textId="77777777" w:rsidR="00CA4834" w:rsidRPr="008A1030" w:rsidRDefault="00CA4834" w:rsidP="00CA4834">
      <w:pPr>
        <w:spacing w:after="160" w:line="259" w:lineRule="auto"/>
        <w:jc w:val="both"/>
        <w:rPr>
          <w:color w:val="000000" w:themeColor="text1"/>
          <w:sz w:val="22"/>
          <w:szCs w:val="22"/>
          <w:lang w:val="en-AU"/>
        </w:rPr>
      </w:pPr>
      <w:r w:rsidRPr="008A1030">
        <w:rPr>
          <w:rFonts w:eastAsia="Calibri"/>
          <w:b/>
          <w:color w:val="000000" w:themeColor="text1"/>
          <w:sz w:val="22"/>
          <w:szCs w:val="22"/>
          <w:lang w:val="en-AU"/>
        </w:rPr>
        <w:t xml:space="preserve">Figure S6: Alternative explanations for low glutathione in Alzheimer’s disease are not valid. a, </w:t>
      </w:r>
      <w:r w:rsidRPr="008A1030">
        <w:rPr>
          <w:rFonts w:eastAsia="Calibri"/>
          <w:color w:val="000000" w:themeColor="text1"/>
          <w:sz w:val="22"/>
          <w:szCs w:val="22"/>
          <w:lang w:val="en-AU"/>
        </w:rPr>
        <w:t xml:space="preserve">correlation between GSH and post mortem interval N=625. </w:t>
      </w:r>
      <w:r w:rsidRPr="008A1030">
        <w:rPr>
          <w:rFonts w:eastAsia="Calibri"/>
          <w:b/>
          <w:color w:val="000000" w:themeColor="text1"/>
          <w:sz w:val="22"/>
          <w:szCs w:val="22"/>
          <w:lang w:val="en-AU"/>
        </w:rPr>
        <w:t>b</w:t>
      </w:r>
      <w:r w:rsidRPr="008A1030">
        <w:rPr>
          <w:rFonts w:eastAsia="Calibri"/>
          <w:color w:val="000000" w:themeColor="text1"/>
          <w:sz w:val="22"/>
          <w:szCs w:val="22"/>
          <w:lang w:val="en-AU"/>
        </w:rPr>
        <w:t xml:space="preserve">, Boxplot of glutathione peroxidase 4 (GPX4) across ROSMAP study subjects assigned according to dementia and pathology </w:t>
      </w:r>
      <w:r w:rsidRPr="008A1030">
        <w:rPr>
          <w:color w:val="000000" w:themeColor="text1"/>
          <w:sz w:val="22"/>
          <w:szCs w:val="22"/>
          <w:lang w:val="en-AU"/>
        </w:rPr>
        <w:t>(CERAD)</w:t>
      </w:r>
      <w:r w:rsidRPr="008A1030">
        <w:rPr>
          <w:rFonts w:eastAsia="Calibri"/>
          <w:color w:val="000000" w:themeColor="text1"/>
          <w:sz w:val="22"/>
          <w:szCs w:val="22"/>
          <w:lang w:val="en-AU"/>
        </w:rPr>
        <w:t xml:space="preserve">, </w:t>
      </w:r>
      <w:r w:rsidRPr="008A1030">
        <w:rPr>
          <w:rFonts w:eastAsia="Calibri"/>
          <w:b/>
          <w:color w:val="000000" w:themeColor="text1"/>
          <w:sz w:val="22"/>
          <w:szCs w:val="22"/>
          <w:lang w:val="en-AU"/>
        </w:rPr>
        <w:t>c</w:t>
      </w:r>
      <w:r w:rsidRPr="008A1030">
        <w:rPr>
          <w:rFonts w:eastAsia="Calibri"/>
          <w:color w:val="000000" w:themeColor="text1"/>
          <w:sz w:val="22"/>
          <w:szCs w:val="22"/>
          <w:lang w:val="en-AU"/>
        </w:rPr>
        <w:t xml:space="preserve">, GSH:GSSG ratio and total GSH from HT22 cells treated for 1 hour with (20uM) menadione to induce oxidative stress; data presented as </w:t>
      </w:r>
      <w:r w:rsidRPr="008A1030">
        <w:rPr>
          <w:color w:val="000000" w:themeColor="text1"/>
          <w:sz w:val="22"/>
          <w:szCs w:val="22"/>
          <w:lang w:val="en-AU"/>
        </w:rPr>
        <w:t>mean+/-SEM of 3 independent experiments, multiple t-tests</w:t>
      </w:r>
      <w:r w:rsidRPr="008A1030">
        <w:rPr>
          <w:rFonts w:eastAsia="Calibri"/>
          <w:b/>
          <w:color w:val="000000" w:themeColor="text1"/>
          <w:sz w:val="22"/>
          <w:szCs w:val="22"/>
          <w:lang w:val="en-AU"/>
        </w:rPr>
        <w:t xml:space="preserve"> d</w:t>
      </w:r>
      <w:r w:rsidRPr="008A1030">
        <w:rPr>
          <w:rFonts w:eastAsia="Calibri"/>
          <w:color w:val="000000" w:themeColor="text1"/>
          <w:sz w:val="22"/>
          <w:szCs w:val="22"/>
          <w:lang w:val="en-AU"/>
        </w:rPr>
        <w:t xml:space="preserve">, Boxplot of iron levels from ICP-MS and </w:t>
      </w:r>
      <w:r w:rsidRPr="008A1030">
        <w:rPr>
          <w:rFonts w:eastAsia="Calibri"/>
          <w:b/>
          <w:color w:val="000000" w:themeColor="text1"/>
          <w:sz w:val="22"/>
          <w:szCs w:val="22"/>
          <w:lang w:val="en-AU"/>
        </w:rPr>
        <w:t>e</w:t>
      </w:r>
      <w:r w:rsidRPr="008A1030">
        <w:rPr>
          <w:rFonts w:eastAsia="Calibri"/>
          <w:color w:val="000000" w:themeColor="text1"/>
          <w:sz w:val="22"/>
          <w:szCs w:val="22"/>
          <w:lang w:val="en-AU"/>
        </w:rPr>
        <w:t xml:space="preserve">, correlation of iron and GSH levels, </w:t>
      </w:r>
      <w:r w:rsidRPr="008A1030">
        <w:rPr>
          <w:rFonts w:eastAsia="Calibri"/>
          <w:b/>
          <w:color w:val="000000" w:themeColor="text1"/>
          <w:sz w:val="22"/>
          <w:szCs w:val="22"/>
          <w:lang w:val="en-AU"/>
        </w:rPr>
        <w:t>f</w:t>
      </w:r>
      <w:r w:rsidRPr="008A1030">
        <w:rPr>
          <w:rFonts w:eastAsia="Calibri"/>
          <w:color w:val="000000" w:themeColor="text1"/>
          <w:sz w:val="22"/>
          <w:szCs w:val="22"/>
          <w:lang w:val="en-AU"/>
        </w:rPr>
        <w:t xml:space="preserve">, </w:t>
      </w:r>
      <w:r w:rsidRPr="008A1030">
        <w:rPr>
          <w:color w:val="000000" w:themeColor="text1"/>
          <w:sz w:val="22"/>
          <w:szCs w:val="22"/>
          <w:lang w:val="en-AU"/>
        </w:rPr>
        <w:t xml:space="preserve">GSH and plaque and </w:t>
      </w:r>
      <w:r w:rsidRPr="008A1030">
        <w:rPr>
          <w:b/>
          <w:color w:val="000000" w:themeColor="text1"/>
          <w:sz w:val="22"/>
          <w:szCs w:val="22"/>
          <w:lang w:val="en-AU"/>
        </w:rPr>
        <w:t>g</w:t>
      </w:r>
      <w:r w:rsidRPr="008A1030">
        <w:rPr>
          <w:color w:val="000000" w:themeColor="text1"/>
          <w:sz w:val="22"/>
          <w:szCs w:val="22"/>
          <w:lang w:val="en-AU"/>
        </w:rPr>
        <w:t>, GSH and neurofibrillary tangles (NFT)</w:t>
      </w:r>
      <w:r w:rsidRPr="008A1030">
        <w:rPr>
          <w:rFonts w:eastAsia="Calibri"/>
          <w:color w:val="000000" w:themeColor="text1"/>
          <w:sz w:val="22"/>
          <w:szCs w:val="22"/>
          <w:lang w:val="en-AU"/>
        </w:rPr>
        <w:t xml:space="preserve"> ;</w:t>
      </w:r>
      <w:r w:rsidRPr="008A1030">
        <w:rPr>
          <w:color w:val="000000" w:themeColor="text1"/>
          <w:sz w:val="22"/>
          <w:szCs w:val="22"/>
          <w:lang w:val="en-AU"/>
        </w:rPr>
        <w:t xml:space="preserve"> each dot represents a single participant (</w:t>
      </w:r>
      <w:proofErr w:type="spellStart"/>
      <w:r w:rsidRPr="008A1030">
        <w:rPr>
          <w:color w:val="000000" w:themeColor="text1"/>
          <w:sz w:val="22"/>
          <w:szCs w:val="22"/>
          <w:lang w:val="en-AU"/>
        </w:rPr>
        <w:t>AD+ve</w:t>
      </w:r>
      <w:proofErr w:type="spellEnd"/>
      <w:r w:rsidRPr="008A1030">
        <w:rPr>
          <w:color w:val="000000" w:themeColor="text1"/>
          <w:sz w:val="22"/>
          <w:szCs w:val="22"/>
          <w:lang w:val="en-AU"/>
        </w:rPr>
        <w:t xml:space="preserve"> = red, </w:t>
      </w:r>
      <w:proofErr w:type="spellStart"/>
      <w:r w:rsidRPr="008A1030">
        <w:rPr>
          <w:color w:val="000000" w:themeColor="text1"/>
          <w:sz w:val="22"/>
          <w:szCs w:val="22"/>
          <w:lang w:val="en-AU"/>
        </w:rPr>
        <w:lastRenderedPageBreak/>
        <w:t>ND+ve</w:t>
      </w:r>
      <w:proofErr w:type="spellEnd"/>
      <w:r w:rsidRPr="008A1030">
        <w:rPr>
          <w:color w:val="000000" w:themeColor="text1"/>
          <w:sz w:val="22"/>
          <w:szCs w:val="22"/>
          <w:lang w:val="en-AU"/>
        </w:rPr>
        <w:t xml:space="preserve"> = yellow, ND-</w:t>
      </w:r>
      <w:proofErr w:type="spellStart"/>
      <w:r w:rsidRPr="008A1030">
        <w:rPr>
          <w:color w:val="000000" w:themeColor="text1"/>
          <w:sz w:val="22"/>
          <w:szCs w:val="22"/>
          <w:lang w:val="en-AU"/>
        </w:rPr>
        <w:t>ve</w:t>
      </w:r>
      <w:proofErr w:type="spellEnd"/>
      <w:r w:rsidRPr="008A1030">
        <w:rPr>
          <w:color w:val="000000" w:themeColor="text1"/>
          <w:sz w:val="22"/>
          <w:szCs w:val="22"/>
          <w:lang w:val="en-AU"/>
        </w:rPr>
        <w:t xml:space="preserve"> = blue), </w:t>
      </w:r>
      <w:r w:rsidRPr="008A1030">
        <w:rPr>
          <w:rFonts w:eastAsia="Calibri"/>
          <w:color w:val="000000" w:themeColor="text1"/>
          <w:sz w:val="22"/>
          <w:szCs w:val="22"/>
          <w:lang w:val="en-AU"/>
        </w:rPr>
        <w:t>shading</w:t>
      </w:r>
      <w:r w:rsidRPr="008A1030">
        <w:rPr>
          <w:rFonts w:eastAsia="Calibri"/>
          <w:b/>
          <w:color w:val="000000" w:themeColor="text1"/>
          <w:sz w:val="22"/>
          <w:szCs w:val="22"/>
          <w:lang w:val="en-AU"/>
        </w:rPr>
        <w:t xml:space="preserve"> </w:t>
      </w:r>
      <w:r w:rsidRPr="008A1030">
        <w:rPr>
          <w:color w:val="000000" w:themeColor="text1"/>
          <w:sz w:val="22"/>
          <w:szCs w:val="22"/>
          <w:lang w:val="en-AU"/>
        </w:rPr>
        <w:t xml:space="preserve"> represent 95% CIs</w:t>
      </w:r>
      <w:r w:rsidRPr="008A1030">
        <w:rPr>
          <w:rFonts w:eastAsia="Calibri"/>
          <w:color w:val="000000" w:themeColor="text1"/>
          <w:sz w:val="22"/>
          <w:szCs w:val="22"/>
          <w:lang w:val="en-AU"/>
        </w:rPr>
        <w:t xml:space="preserve">. </w:t>
      </w:r>
      <w:r w:rsidRPr="008A1030">
        <w:rPr>
          <w:color w:val="000000" w:themeColor="text1"/>
          <w:sz w:val="22"/>
          <w:szCs w:val="22"/>
          <w:lang w:val="en-AU"/>
        </w:rPr>
        <w:t xml:space="preserve">Boxplots of GSH abundance according to </w:t>
      </w:r>
      <w:r w:rsidRPr="008A1030">
        <w:rPr>
          <w:b/>
          <w:color w:val="000000" w:themeColor="text1"/>
          <w:sz w:val="22"/>
          <w:szCs w:val="22"/>
          <w:lang w:val="en-AU"/>
        </w:rPr>
        <w:t>h,</w:t>
      </w:r>
      <w:r w:rsidRPr="008A1030">
        <w:rPr>
          <w:color w:val="000000" w:themeColor="text1"/>
          <w:sz w:val="22"/>
          <w:szCs w:val="22"/>
          <w:lang w:val="en-AU"/>
        </w:rPr>
        <w:t xml:space="preserve"> APOE e4 status and</w:t>
      </w:r>
      <w:r w:rsidRPr="008A1030">
        <w:rPr>
          <w:b/>
          <w:color w:val="000000" w:themeColor="text1"/>
          <w:sz w:val="22"/>
          <w:szCs w:val="22"/>
          <w:lang w:val="en-AU"/>
        </w:rPr>
        <w:t xml:space="preserve"> </w:t>
      </w:r>
      <w:proofErr w:type="spellStart"/>
      <w:r w:rsidRPr="008A1030">
        <w:rPr>
          <w:b/>
          <w:color w:val="000000" w:themeColor="text1"/>
          <w:sz w:val="22"/>
          <w:szCs w:val="22"/>
          <w:lang w:val="en-AU"/>
        </w:rPr>
        <w:t>i</w:t>
      </w:r>
      <w:proofErr w:type="spellEnd"/>
      <w:r w:rsidRPr="008A1030">
        <w:rPr>
          <w:b/>
          <w:color w:val="000000" w:themeColor="text1"/>
          <w:sz w:val="22"/>
          <w:szCs w:val="22"/>
          <w:lang w:val="en-AU"/>
        </w:rPr>
        <w:t>,</w:t>
      </w:r>
      <w:r w:rsidRPr="008A1030">
        <w:rPr>
          <w:color w:val="000000" w:themeColor="text1"/>
          <w:sz w:val="22"/>
          <w:szCs w:val="22"/>
          <w:lang w:val="en-AU"/>
        </w:rPr>
        <w:t xml:space="preserve"> sex. </w:t>
      </w:r>
      <w:r w:rsidRPr="008A1030">
        <w:rPr>
          <w:b/>
          <w:color w:val="000000" w:themeColor="text1"/>
          <w:sz w:val="22"/>
          <w:szCs w:val="22"/>
          <w:lang w:val="en-AU"/>
        </w:rPr>
        <w:t xml:space="preserve">j, </w:t>
      </w:r>
      <w:r w:rsidRPr="008A1030">
        <w:rPr>
          <w:color w:val="000000" w:themeColor="text1"/>
          <w:sz w:val="22"/>
          <w:szCs w:val="22"/>
          <w:lang w:val="en-AU"/>
        </w:rPr>
        <w:t xml:space="preserve">Boxplot of cysteine levels (relative abundance) and </w:t>
      </w:r>
      <w:r w:rsidRPr="008A1030">
        <w:rPr>
          <w:b/>
          <w:color w:val="000000" w:themeColor="text1"/>
          <w:sz w:val="22"/>
          <w:szCs w:val="22"/>
          <w:lang w:val="en-AU"/>
        </w:rPr>
        <w:t>k,</w:t>
      </w:r>
      <w:r w:rsidRPr="008A1030">
        <w:rPr>
          <w:color w:val="000000" w:themeColor="text1"/>
          <w:sz w:val="22"/>
          <w:szCs w:val="22"/>
          <w:lang w:val="en-AU"/>
        </w:rPr>
        <w:t xml:space="preserve"> correlation between GSH and cystine (log2). Boxplots of gamma-</w:t>
      </w:r>
      <w:proofErr w:type="spellStart"/>
      <w:r w:rsidRPr="008A1030">
        <w:rPr>
          <w:color w:val="000000" w:themeColor="text1"/>
          <w:sz w:val="22"/>
          <w:szCs w:val="22"/>
          <w:lang w:val="en-AU"/>
        </w:rPr>
        <w:t>glutamylcysteine</w:t>
      </w:r>
      <w:proofErr w:type="spellEnd"/>
      <w:r w:rsidRPr="008A1030">
        <w:rPr>
          <w:color w:val="000000" w:themeColor="text1"/>
          <w:sz w:val="22"/>
          <w:szCs w:val="22"/>
          <w:lang w:val="en-AU"/>
        </w:rPr>
        <w:t xml:space="preserve"> synthetase subunits </w:t>
      </w:r>
      <w:r w:rsidRPr="008A1030">
        <w:rPr>
          <w:b/>
          <w:color w:val="000000" w:themeColor="text1"/>
          <w:sz w:val="22"/>
          <w:szCs w:val="22"/>
          <w:lang w:val="en-AU"/>
        </w:rPr>
        <w:t>l,</w:t>
      </w:r>
      <w:r w:rsidRPr="008A1030">
        <w:rPr>
          <w:color w:val="000000" w:themeColor="text1"/>
          <w:sz w:val="22"/>
          <w:szCs w:val="22"/>
          <w:lang w:val="en-AU"/>
        </w:rPr>
        <w:t xml:space="preserve"> Glutamate-Cysteine Ligase Modifier Subunit (GCLM) and </w:t>
      </w:r>
      <w:r w:rsidRPr="008A1030">
        <w:rPr>
          <w:b/>
          <w:color w:val="000000" w:themeColor="text1"/>
          <w:sz w:val="22"/>
          <w:szCs w:val="22"/>
          <w:lang w:val="en-AU"/>
        </w:rPr>
        <w:t>m,</w:t>
      </w:r>
      <w:r w:rsidRPr="008A1030">
        <w:rPr>
          <w:color w:val="000000" w:themeColor="text1"/>
          <w:sz w:val="22"/>
          <w:szCs w:val="22"/>
          <w:lang w:val="en-AU"/>
        </w:rPr>
        <w:t xml:space="preserve"> Glutamate-Cysteine Ligase Catalytic Subunit </w:t>
      </w:r>
      <w:r w:rsidRPr="008A1030">
        <w:rPr>
          <w:rFonts w:cstheme="minorHAnsi"/>
          <w:noProof/>
          <w:color w:val="000000" w:themeColor="text1"/>
          <w:sz w:val="20"/>
          <w:szCs w:val="20"/>
          <w:lang w:val="en-AU"/>
        </w:rPr>
        <w:drawing>
          <wp:anchor distT="0" distB="0" distL="114300" distR="114300" simplePos="0" relativeHeight="251659264" behindDoc="0" locked="0" layoutInCell="1" allowOverlap="1" wp14:anchorId="3A6D4680" wp14:editId="0D366808">
            <wp:simplePos x="0" y="0"/>
            <wp:positionH relativeFrom="column">
              <wp:posOffset>592123</wp:posOffset>
            </wp:positionH>
            <wp:positionV relativeFrom="paragraph">
              <wp:posOffset>1110671</wp:posOffset>
            </wp:positionV>
            <wp:extent cx="4317118" cy="3907020"/>
            <wp:effectExtent l="0" t="0" r="7620" b="0"/>
            <wp:wrapTopAndBottom/>
            <wp:docPr id="749232740" name="Picture 10" descr="A diagram of a graph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9232740" name="Picture 10" descr="A diagram of a graph&#10;&#10;Description automatically generated with medium confidence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7118" cy="39070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A1030">
        <w:rPr>
          <w:color w:val="000000" w:themeColor="text1"/>
          <w:sz w:val="22"/>
          <w:szCs w:val="22"/>
          <w:lang w:val="en-AU"/>
        </w:rPr>
        <w:t xml:space="preserve">(GCLC). </w:t>
      </w:r>
    </w:p>
    <w:p w14:paraId="194F771E" w14:textId="77777777" w:rsidR="00CA4834" w:rsidRPr="008A1030" w:rsidRDefault="00CA4834" w:rsidP="00CA4834">
      <w:pPr>
        <w:jc w:val="both"/>
        <w:rPr>
          <w:rFonts w:cstheme="minorHAnsi"/>
          <w:color w:val="000000" w:themeColor="text1"/>
          <w:sz w:val="22"/>
          <w:szCs w:val="22"/>
          <w:lang w:val="en-AU"/>
        </w:rPr>
      </w:pPr>
    </w:p>
    <w:p w14:paraId="18998820" w14:textId="77777777" w:rsidR="00CA4834" w:rsidRPr="008A1030" w:rsidRDefault="00CA4834" w:rsidP="00CA4834">
      <w:pPr>
        <w:spacing w:after="120"/>
        <w:jc w:val="both"/>
        <w:rPr>
          <w:color w:val="000000" w:themeColor="text1"/>
          <w:sz w:val="22"/>
          <w:szCs w:val="22"/>
          <w:lang w:val="en-AU"/>
        </w:rPr>
      </w:pPr>
      <w:r w:rsidRPr="008A1030">
        <w:rPr>
          <w:rFonts w:eastAsia="Calibri"/>
          <w:b/>
          <w:color w:val="000000" w:themeColor="text1"/>
          <w:sz w:val="22"/>
          <w:szCs w:val="22"/>
          <w:lang w:val="en-AU"/>
        </w:rPr>
        <w:t>Figure S7: No common biochemical pathway associated with GSH in control-</w:t>
      </w:r>
      <w:proofErr w:type="spellStart"/>
      <w:r w:rsidRPr="008A1030">
        <w:rPr>
          <w:rFonts w:eastAsia="Calibri"/>
          <w:b/>
          <w:color w:val="000000" w:themeColor="text1"/>
          <w:sz w:val="22"/>
          <w:szCs w:val="22"/>
          <w:lang w:val="en-AU"/>
        </w:rPr>
        <w:t>ve</w:t>
      </w:r>
      <w:proofErr w:type="spellEnd"/>
      <w:r w:rsidRPr="008A1030">
        <w:rPr>
          <w:rFonts w:eastAsia="Calibri"/>
          <w:b/>
          <w:color w:val="000000" w:themeColor="text1"/>
          <w:sz w:val="22"/>
          <w:szCs w:val="22"/>
          <w:lang w:val="en-AU"/>
        </w:rPr>
        <w:t xml:space="preserve"> and AD+. a, </w:t>
      </w:r>
      <w:r w:rsidRPr="008A1030">
        <w:rPr>
          <w:rFonts w:eastAsia="Calibri"/>
          <w:color w:val="000000" w:themeColor="text1"/>
          <w:sz w:val="22"/>
          <w:szCs w:val="22"/>
          <w:lang w:val="en-AU"/>
        </w:rPr>
        <w:t>Differential protein expression and</w:t>
      </w:r>
      <w:r w:rsidRPr="008A1030">
        <w:rPr>
          <w:rFonts w:eastAsia="Calibri"/>
          <w:b/>
          <w:color w:val="000000" w:themeColor="text1"/>
          <w:sz w:val="22"/>
          <w:szCs w:val="22"/>
          <w:lang w:val="en-AU"/>
        </w:rPr>
        <w:t xml:space="preserve"> b,</w:t>
      </w:r>
      <w:r w:rsidRPr="008A1030">
        <w:rPr>
          <w:rFonts w:eastAsia="Calibri"/>
          <w:color w:val="000000" w:themeColor="text1"/>
          <w:sz w:val="22"/>
          <w:szCs w:val="22"/>
          <w:lang w:val="en-AU"/>
        </w:rPr>
        <w:t xml:space="preserve"> Boruta analysis in ND-</w:t>
      </w:r>
      <w:proofErr w:type="spellStart"/>
      <w:r w:rsidRPr="008A1030">
        <w:rPr>
          <w:rFonts w:eastAsia="Calibri"/>
          <w:color w:val="000000" w:themeColor="text1"/>
          <w:sz w:val="22"/>
          <w:szCs w:val="22"/>
          <w:lang w:val="en-AU"/>
        </w:rPr>
        <w:t>ve</w:t>
      </w:r>
      <w:proofErr w:type="spellEnd"/>
      <w:r w:rsidRPr="008A1030">
        <w:rPr>
          <w:rFonts w:eastAsia="Calibri"/>
          <w:color w:val="000000" w:themeColor="text1"/>
          <w:sz w:val="22"/>
          <w:szCs w:val="22"/>
          <w:lang w:val="en-AU"/>
        </w:rPr>
        <w:t xml:space="preserve"> to predict High vs Low GSH (based on a median centre split). </w:t>
      </w:r>
      <w:r w:rsidRPr="008A1030">
        <w:rPr>
          <w:rFonts w:eastAsia="Calibri"/>
          <w:b/>
          <w:color w:val="000000" w:themeColor="text1"/>
          <w:sz w:val="22"/>
          <w:szCs w:val="22"/>
          <w:lang w:val="en-AU"/>
        </w:rPr>
        <w:t>c,</w:t>
      </w:r>
      <w:r w:rsidRPr="008A1030">
        <w:rPr>
          <w:rFonts w:eastAsia="Calibri"/>
          <w:color w:val="000000" w:themeColor="text1"/>
          <w:sz w:val="22"/>
          <w:szCs w:val="22"/>
          <w:lang w:val="en-AU"/>
        </w:rPr>
        <w:t xml:space="preserve"> Differential protein expression and </w:t>
      </w:r>
      <w:r w:rsidRPr="008A1030">
        <w:rPr>
          <w:rFonts w:eastAsia="Calibri"/>
          <w:b/>
          <w:color w:val="000000" w:themeColor="text1"/>
          <w:sz w:val="22"/>
          <w:szCs w:val="22"/>
          <w:lang w:val="en-AU"/>
        </w:rPr>
        <w:t>b,</w:t>
      </w:r>
      <w:r w:rsidRPr="008A1030">
        <w:rPr>
          <w:rFonts w:eastAsia="Calibri"/>
          <w:color w:val="000000" w:themeColor="text1"/>
          <w:sz w:val="22"/>
          <w:szCs w:val="22"/>
          <w:lang w:val="en-AU"/>
        </w:rPr>
        <w:t xml:space="preserve"> Boruta analysis in </w:t>
      </w:r>
      <w:proofErr w:type="spellStart"/>
      <w:r w:rsidRPr="008A1030">
        <w:rPr>
          <w:rFonts w:eastAsia="Calibri"/>
          <w:color w:val="000000" w:themeColor="text1"/>
          <w:sz w:val="22"/>
          <w:szCs w:val="22"/>
          <w:lang w:val="en-AU"/>
        </w:rPr>
        <w:t>AD+ve</w:t>
      </w:r>
      <w:proofErr w:type="spellEnd"/>
      <w:r w:rsidRPr="008A1030">
        <w:rPr>
          <w:rFonts w:eastAsia="Calibri"/>
          <w:color w:val="000000" w:themeColor="text1"/>
          <w:sz w:val="22"/>
          <w:szCs w:val="22"/>
          <w:lang w:val="en-AU"/>
        </w:rPr>
        <w:t xml:space="preserve"> to predict High vs Low GSH (based on a median centre split). Venn diagrams display common significant hits between ND-</w:t>
      </w:r>
      <w:proofErr w:type="spellStart"/>
      <w:r w:rsidRPr="008A1030">
        <w:rPr>
          <w:rFonts w:eastAsia="Calibri"/>
          <w:color w:val="000000" w:themeColor="text1"/>
          <w:sz w:val="22"/>
          <w:szCs w:val="22"/>
          <w:lang w:val="en-AU"/>
        </w:rPr>
        <w:t>ve</w:t>
      </w:r>
      <w:proofErr w:type="spellEnd"/>
      <w:r w:rsidRPr="008A1030">
        <w:rPr>
          <w:rFonts w:eastAsia="Calibri"/>
          <w:color w:val="000000" w:themeColor="text1"/>
          <w:sz w:val="22"/>
          <w:szCs w:val="22"/>
          <w:lang w:val="en-AU"/>
        </w:rPr>
        <w:t xml:space="preserve"> (blue) and AD+ (red). </w:t>
      </w:r>
    </w:p>
    <w:p w14:paraId="5507FF60" w14:textId="77777777" w:rsidR="00CA4834" w:rsidRPr="008A1030" w:rsidRDefault="00CA4834" w:rsidP="00CA4834">
      <w:pPr>
        <w:spacing w:after="120"/>
        <w:jc w:val="both"/>
        <w:rPr>
          <w:rFonts w:cstheme="minorHAnsi"/>
          <w:color w:val="000000" w:themeColor="text1"/>
          <w:sz w:val="20"/>
          <w:szCs w:val="20"/>
          <w:lang w:val="en-AU"/>
        </w:rPr>
      </w:pPr>
    </w:p>
    <w:p w14:paraId="2EDCF838" w14:textId="77777777" w:rsidR="00CA4834" w:rsidRPr="008A1030" w:rsidRDefault="00CA4834" w:rsidP="00CA4834">
      <w:pPr>
        <w:spacing w:after="160" w:line="259" w:lineRule="auto"/>
        <w:rPr>
          <w:rFonts w:cstheme="minorHAnsi"/>
          <w:b/>
          <w:color w:val="000000" w:themeColor="text1"/>
          <w:sz w:val="20"/>
          <w:szCs w:val="20"/>
          <w:lang w:val="en-AU"/>
        </w:rPr>
      </w:pPr>
    </w:p>
    <w:p w14:paraId="6E2B36DC" w14:textId="77777777" w:rsidR="00CA4834" w:rsidRPr="008A1030" w:rsidRDefault="00CA4834" w:rsidP="00CA4834">
      <w:pPr>
        <w:spacing w:after="160" w:line="259" w:lineRule="auto"/>
        <w:rPr>
          <w:rFonts w:cstheme="minorHAnsi"/>
          <w:color w:val="000000" w:themeColor="text1"/>
          <w:sz w:val="20"/>
          <w:szCs w:val="20"/>
          <w:lang w:val="en-AU"/>
        </w:rPr>
      </w:pPr>
      <w:r w:rsidRPr="008A1030">
        <w:rPr>
          <w:rFonts w:cstheme="minorHAnsi"/>
          <w:color w:val="000000" w:themeColor="text1"/>
          <w:sz w:val="20"/>
          <w:szCs w:val="20"/>
          <w:lang w:val="en-AU"/>
        </w:rPr>
        <w:br w:type="page"/>
      </w:r>
    </w:p>
    <w:p w14:paraId="0AE490CF" w14:textId="77777777" w:rsidR="00CA4834" w:rsidRPr="008A1030" w:rsidRDefault="00CA4834" w:rsidP="00CA4834">
      <w:pPr>
        <w:spacing w:after="120"/>
        <w:jc w:val="center"/>
        <w:rPr>
          <w:rFonts w:cstheme="minorHAnsi"/>
          <w:color w:val="000000" w:themeColor="text1"/>
          <w:sz w:val="20"/>
          <w:szCs w:val="20"/>
          <w:lang w:val="en-AU"/>
        </w:rPr>
      </w:pPr>
      <w:r w:rsidRPr="008A1030">
        <w:rPr>
          <w:rFonts w:cstheme="minorHAnsi"/>
          <w:noProof/>
          <w:color w:val="000000" w:themeColor="text1"/>
          <w:sz w:val="20"/>
          <w:szCs w:val="20"/>
          <w:lang w:val="en-AU"/>
        </w:rPr>
        <w:lastRenderedPageBreak/>
        <w:drawing>
          <wp:anchor distT="0" distB="0" distL="114300" distR="114300" simplePos="0" relativeHeight="251661312" behindDoc="0" locked="0" layoutInCell="1" allowOverlap="1" wp14:anchorId="7B41B1FA" wp14:editId="2255B111">
            <wp:simplePos x="0" y="0"/>
            <wp:positionH relativeFrom="column">
              <wp:posOffset>387705</wp:posOffset>
            </wp:positionH>
            <wp:positionV relativeFrom="paragraph">
              <wp:posOffset>51206</wp:posOffset>
            </wp:positionV>
            <wp:extent cx="5760720" cy="5610073"/>
            <wp:effectExtent l="0" t="0" r="0" b="0"/>
            <wp:wrapTopAndBottom/>
            <wp:docPr id="71992636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9926361" name="Picture 719926361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602"/>
                    <a:stretch/>
                  </pic:blipFill>
                  <pic:spPr bwMode="auto">
                    <a:xfrm>
                      <a:off x="0" y="0"/>
                      <a:ext cx="5760720" cy="56100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7D94047A" w14:textId="77777777" w:rsidR="00CA4834" w:rsidRPr="008A1030" w:rsidRDefault="00CA4834" w:rsidP="00CA4834">
      <w:pPr>
        <w:spacing w:after="120"/>
        <w:jc w:val="both"/>
        <w:rPr>
          <w:color w:val="000000" w:themeColor="text1"/>
          <w:sz w:val="22"/>
          <w:szCs w:val="22"/>
          <w:lang w:val="en-AU"/>
        </w:rPr>
      </w:pPr>
      <w:r w:rsidRPr="008A1030">
        <w:rPr>
          <w:rFonts w:eastAsia="Calibri"/>
          <w:b/>
          <w:color w:val="000000" w:themeColor="text1"/>
          <w:sz w:val="22"/>
          <w:szCs w:val="22"/>
          <w:lang w:val="en-AU"/>
        </w:rPr>
        <w:t xml:space="preserve">Figure S8: Glutathione consumption or production is not altered by mitochondrial oxidative stress scavenger </w:t>
      </w:r>
      <w:proofErr w:type="spellStart"/>
      <w:r w:rsidRPr="008A1030">
        <w:rPr>
          <w:rFonts w:eastAsia="Calibri"/>
          <w:b/>
          <w:color w:val="000000" w:themeColor="text1"/>
          <w:sz w:val="22"/>
          <w:szCs w:val="22"/>
          <w:lang w:val="en-AU"/>
        </w:rPr>
        <w:t>mitotempo</w:t>
      </w:r>
      <w:proofErr w:type="spellEnd"/>
      <w:r w:rsidRPr="008A1030">
        <w:rPr>
          <w:rFonts w:eastAsia="Calibri"/>
          <w:b/>
          <w:color w:val="000000" w:themeColor="text1"/>
          <w:sz w:val="22"/>
          <w:szCs w:val="22"/>
          <w:lang w:val="en-AU"/>
        </w:rPr>
        <w:t>. a</w:t>
      </w:r>
      <w:r w:rsidRPr="008A1030">
        <w:rPr>
          <w:rFonts w:eastAsia="Calibri"/>
          <w:color w:val="000000" w:themeColor="text1"/>
          <w:sz w:val="22"/>
          <w:szCs w:val="22"/>
          <w:lang w:val="en-AU"/>
        </w:rPr>
        <w:t xml:space="preserve">, Total GSH and </w:t>
      </w:r>
      <w:r w:rsidRPr="008A1030">
        <w:rPr>
          <w:rFonts w:eastAsia="Calibri"/>
          <w:b/>
          <w:color w:val="000000" w:themeColor="text1"/>
          <w:sz w:val="22"/>
          <w:szCs w:val="22"/>
          <w:lang w:val="en-AU"/>
        </w:rPr>
        <w:t>b</w:t>
      </w:r>
      <w:r w:rsidRPr="008A1030">
        <w:rPr>
          <w:rFonts w:eastAsia="Calibri"/>
          <w:color w:val="000000" w:themeColor="text1"/>
          <w:sz w:val="22"/>
          <w:szCs w:val="22"/>
          <w:lang w:val="en-AU"/>
        </w:rPr>
        <w:t xml:space="preserve">, viability </w:t>
      </w:r>
      <w:r w:rsidRPr="008A1030">
        <w:rPr>
          <w:color w:val="000000" w:themeColor="text1"/>
          <w:sz w:val="22"/>
          <w:szCs w:val="22"/>
          <w:lang w:val="en-AU"/>
        </w:rPr>
        <w:t xml:space="preserve">cells (assayed by </w:t>
      </w:r>
      <w:proofErr w:type="spellStart"/>
      <w:r w:rsidRPr="008A1030">
        <w:rPr>
          <w:color w:val="000000" w:themeColor="text1"/>
          <w:sz w:val="22"/>
          <w:szCs w:val="22"/>
          <w:lang w:val="en-AU"/>
        </w:rPr>
        <w:t>Calcein</w:t>
      </w:r>
      <w:proofErr w:type="spellEnd"/>
      <w:r w:rsidRPr="008A1030">
        <w:rPr>
          <w:color w:val="000000" w:themeColor="text1"/>
          <w:sz w:val="22"/>
          <w:szCs w:val="22"/>
          <w:lang w:val="en-AU"/>
        </w:rPr>
        <w:t xml:space="preserve"> AM)</w:t>
      </w:r>
      <w:r w:rsidRPr="008A1030">
        <w:rPr>
          <w:rFonts w:eastAsia="Calibri"/>
          <w:color w:val="000000" w:themeColor="text1"/>
          <w:sz w:val="22"/>
          <w:szCs w:val="22"/>
          <w:lang w:val="en-AU"/>
        </w:rPr>
        <w:t xml:space="preserve"> every hour during a 5-hour incubation of HT22 cells with </w:t>
      </w:r>
      <w:proofErr w:type="spellStart"/>
      <w:r w:rsidRPr="008A1030">
        <w:rPr>
          <w:rFonts w:eastAsia="Calibri"/>
          <w:color w:val="000000" w:themeColor="text1"/>
          <w:sz w:val="22"/>
          <w:szCs w:val="22"/>
          <w:lang w:val="en-AU"/>
        </w:rPr>
        <w:t>Erastin</w:t>
      </w:r>
      <w:proofErr w:type="spellEnd"/>
      <w:r w:rsidRPr="008A1030">
        <w:rPr>
          <w:rFonts w:eastAsia="Calibri"/>
          <w:color w:val="000000" w:themeColor="text1"/>
          <w:sz w:val="22"/>
          <w:szCs w:val="22"/>
          <w:lang w:val="en-AU"/>
        </w:rPr>
        <w:t xml:space="preserve"> (10uM) in the presence or absence of </w:t>
      </w:r>
      <w:proofErr w:type="spellStart"/>
      <w:r w:rsidRPr="008A1030">
        <w:rPr>
          <w:rFonts w:eastAsia="Calibri"/>
          <w:color w:val="000000" w:themeColor="text1"/>
          <w:sz w:val="22"/>
          <w:szCs w:val="22"/>
          <w:lang w:val="en-AU"/>
        </w:rPr>
        <w:t>mitotempo</w:t>
      </w:r>
      <w:proofErr w:type="spellEnd"/>
      <w:r w:rsidRPr="008A1030">
        <w:rPr>
          <w:rFonts w:eastAsia="Calibri"/>
          <w:color w:val="000000" w:themeColor="text1"/>
          <w:sz w:val="22"/>
          <w:szCs w:val="22"/>
          <w:lang w:val="en-AU"/>
        </w:rPr>
        <w:t xml:space="preserve"> and/or liproxstatin-1.</w:t>
      </w:r>
      <w:r w:rsidRPr="008A1030">
        <w:rPr>
          <w:rFonts w:eastAsia="Calibri"/>
          <w:b/>
          <w:color w:val="000000" w:themeColor="text1"/>
          <w:sz w:val="22"/>
          <w:szCs w:val="22"/>
          <w:lang w:val="en-AU"/>
        </w:rPr>
        <w:t xml:space="preserve"> c-e,</w:t>
      </w:r>
      <w:r w:rsidRPr="008A1030">
        <w:rPr>
          <w:rFonts w:eastAsia="Calibri"/>
          <w:color w:val="000000" w:themeColor="text1"/>
          <w:sz w:val="22"/>
          <w:szCs w:val="22"/>
          <w:lang w:val="en-AU"/>
        </w:rPr>
        <w:t xml:space="preserve"> 5 Hour incubation and </w:t>
      </w:r>
      <w:r w:rsidRPr="008A1030">
        <w:rPr>
          <w:rFonts w:eastAsia="Calibri"/>
          <w:b/>
          <w:color w:val="000000" w:themeColor="text1"/>
          <w:sz w:val="22"/>
          <w:szCs w:val="22"/>
          <w:lang w:val="en-AU"/>
        </w:rPr>
        <w:t>f-h</w:t>
      </w:r>
      <w:r w:rsidRPr="008A1030">
        <w:rPr>
          <w:rFonts w:eastAsia="Calibri"/>
          <w:color w:val="000000" w:themeColor="text1"/>
          <w:sz w:val="22"/>
          <w:szCs w:val="22"/>
          <w:lang w:val="en-AU"/>
        </w:rPr>
        <w:t xml:space="preserve">, Total GSH and ATP levels after </w:t>
      </w:r>
      <w:proofErr w:type="gramStart"/>
      <w:r w:rsidRPr="008A1030">
        <w:rPr>
          <w:rFonts w:eastAsia="Calibri"/>
          <w:color w:val="000000" w:themeColor="text1"/>
          <w:sz w:val="22"/>
          <w:szCs w:val="22"/>
          <w:lang w:val="en-AU"/>
        </w:rPr>
        <w:t>17 hour</w:t>
      </w:r>
      <w:proofErr w:type="gramEnd"/>
      <w:r w:rsidRPr="008A1030">
        <w:rPr>
          <w:rFonts w:eastAsia="Calibri"/>
          <w:color w:val="000000" w:themeColor="text1"/>
          <w:sz w:val="22"/>
          <w:szCs w:val="22"/>
          <w:lang w:val="en-AU"/>
        </w:rPr>
        <w:t xml:space="preserve"> incubation of </w:t>
      </w:r>
      <w:r w:rsidRPr="008A1030">
        <w:rPr>
          <w:color w:val="000000" w:themeColor="text1"/>
          <w:sz w:val="22"/>
          <w:szCs w:val="22"/>
          <w:lang w:val="en-AU"/>
        </w:rPr>
        <w:t xml:space="preserve">HT22 neuronal co-treated with electron transport chain inhibitors (c, antimycin A – Complex III inhibitor (green, 200nM); sodium </w:t>
      </w:r>
      <w:proofErr w:type="spellStart"/>
      <w:r w:rsidRPr="008A1030">
        <w:rPr>
          <w:color w:val="000000" w:themeColor="text1"/>
          <w:sz w:val="22"/>
          <w:szCs w:val="22"/>
          <w:lang w:val="en-AU"/>
        </w:rPr>
        <w:t>azide</w:t>
      </w:r>
      <w:proofErr w:type="spellEnd"/>
      <w:r w:rsidRPr="008A1030">
        <w:rPr>
          <w:color w:val="000000" w:themeColor="text1"/>
          <w:sz w:val="22"/>
          <w:szCs w:val="22"/>
          <w:lang w:val="en-AU"/>
        </w:rPr>
        <w:t xml:space="preserve"> – Complex IV inhibitor (orange, 7.5mM); CCCP – mitochondrial uncoupler (purple, 3.125μM)). </w:t>
      </w:r>
      <w:proofErr w:type="spellStart"/>
      <w:r w:rsidRPr="008A1030">
        <w:rPr>
          <w:b/>
          <w:color w:val="000000" w:themeColor="text1"/>
          <w:sz w:val="22"/>
          <w:szCs w:val="22"/>
          <w:lang w:val="en-AU"/>
        </w:rPr>
        <w:t>i</w:t>
      </w:r>
      <w:proofErr w:type="spellEnd"/>
      <w:r w:rsidRPr="008A1030">
        <w:rPr>
          <w:b/>
          <w:color w:val="000000" w:themeColor="text1"/>
          <w:sz w:val="22"/>
          <w:szCs w:val="22"/>
          <w:lang w:val="en-AU"/>
        </w:rPr>
        <w:t>-j,</w:t>
      </w:r>
      <w:r w:rsidRPr="008A1030">
        <w:rPr>
          <w:color w:val="000000" w:themeColor="text1"/>
          <w:sz w:val="22"/>
          <w:szCs w:val="22"/>
          <w:lang w:val="en-AU"/>
        </w:rPr>
        <w:t xml:space="preserve"> ATP and GSH of HT22 neuronal cells (assayed by </w:t>
      </w:r>
      <w:proofErr w:type="spellStart"/>
      <w:r w:rsidRPr="008A1030">
        <w:rPr>
          <w:color w:val="000000" w:themeColor="text1"/>
          <w:sz w:val="22"/>
          <w:szCs w:val="22"/>
          <w:lang w:val="en-AU"/>
        </w:rPr>
        <w:t>Calcein</w:t>
      </w:r>
      <w:proofErr w:type="spellEnd"/>
      <w:r w:rsidRPr="008A1030">
        <w:rPr>
          <w:color w:val="000000" w:themeColor="text1"/>
          <w:sz w:val="22"/>
          <w:szCs w:val="22"/>
          <w:lang w:val="en-AU"/>
        </w:rPr>
        <w:t xml:space="preserve"> AM) co-treated with RSL3 for 17 hours with electron transport chain inhibitors (</w:t>
      </w:r>
      <w:r w:rsidRPr="008A1030">
        <w:rPr>
          <w:b/>
          <w:color w:val="000000" w:themeColor="text1"/>
          <w:sz w:val="22"/>
          <w:szCs w:val="22"/>
          <w:lang w:val="en-AU"/>
        </w:rPr>
        <w:t>f,</w:t>
      </w:r>
      <w:r w:rsidRPr="008A1030">
        <w:rPr>
          <w:color w:val="000000" w:themeColor="text1"/>
          <w:sz w:val="22"/>
          <w:szCs w:val="22"/>
          <w:lang w:val="en-AU"/>
        </w:rPr>
        <w:t xml:space="preserve"> antimycin A –200nM; </w:t>
      </w:r>
      <w:r w:rsidRPr="008A1030">
        <w:rPr>
          <w:b/>
          <w:color w:val="000000" w:themeColor="text1"/>
          <w:sz w:val="22"/>
          <w:szCs w:val="22"/>
          <w:lang w:val="en-AU"/>
        </w:rPr>
        <w:t>g,</w:t>
      </w:r>
      <w:r w:rsidRPr="008A1030">
        <w:rPr>
          <w:color w:val="000000" w:themeColor="text1"/>
          <w:sz w:val="22"/>
          <w:szCs w:val="22"/>
          <w:lang w:val="en-AU"/>
        </w:rPr>
        <w:t xml:space="preserve"> sodium </w:t>
      </w:r>
      <w:proofErr w:type="spellStart"/>
      <w:r w:rsidRPr="008A1030">
        <w:rPr>
          <w:color w:val="000000" w:themeColor="text1"/>
          <w:sz w:val="22"/>
          <w:szCs w:val="22"/>
          <w:lang w:val="en-AU"/>
        </w:rPr>
        <w:t>azide</w:t>
      </w:r>
      <w:proofErr w:type="spellEnd"/>
      <w:r w:rsidRPr="008A1030">
        <w:rPr>
          <w:color w:val="000000" w:themeColor="text1"/>
          <w:sz w:val="22"/>
          <w:szCs w:val="22"/>
          <w:lang w:val="en-AU"/>
        </w:rPr>
        <w:t xml:space="preserve"> –7.5mM; </w:t>
      </w:r>
      <w:r w:rsidRPr="008A1030">
        <w:rPr>
          <w:b/>
          <w:color w:val="000000" w:themeColor="text1"/>
          <w:sz w:val="22"/>
          <w:szCs w:val="22"/>
          <w:lang w:val="en-AU"/>
        </w:rPr>
        <w:t>h,</w:t>
      </w:r>
      <w:r w:rsidRPr="008A1030">
        <w:rPr>
          <w:color w:val="000000" w:themeColor="text1"/>
          <w:sz w:val="22"/>
          <w:szCs w:val="22"/>
          <w:lang w:val="en-AU"/>
        </w:rPr>
        <w:t xml:space="preserve"> CCCP –3.125μM)) in the presence or absence of </w:t>
      </w:r>
      <w:proofErr w:type="spellStart"/>
      <w:r w:rsidRPr="008A1030">
        <w:rPr>
          <w:color w:val="000000" w:themeColor="text1"/>
          <w:sz w:val="22"/>
          <w:szCs w:val="22"/>
          <w:lang w:val="en-AU"/>
        </w:rPr>
        <w:t>mitotempo</w:t>
      </w:r>
      <w:proofErr w:type="spellEnd"/>
      <w:r w:rsidRPr="008A1030">
        <w:rPr>
          <w:color w:val="000000" w:themeColor="text1"/>
          <w:sz w:val="22"/>
          <w:szCs w:val="22"/>
          <w:lang w:val="en-AU"/>
        </w:rPr>
        <w:t xml:space="preserve"> (1μM).  Data presented as mean+/- SEM of 3 independent experiments. </w:t>
      </w:r>
    </w:p>
    <w:p w14:paraId="327CADC3" w14:textId="77777777" w:rsidR="00CA4834" w:rsidRPr="008A1030" w:rsidRDefault="00CA4834" w:rsidP="00CA4834">
      <w:pPr>
        <w:rPr>
          <w:color w:val="000000" w:themeColor="text1"/>
          <w:sz w:val="22"/>
          <w:szCs w:val="22"/>
          <w:lang w:val="en-US"/>
        </w:rPr>
      </w:pPr>
      <w:r w:rsidRPr="008A1030">
        <w:rPr>
          <w:color w:val="000000" w:themeColor="text1"/>
          <w:sz w:val="22"/>
          <w:szCs w:val="22"/>
          <w:lang w:val="en-US"/>
        </w:rPr>
        <w:br w:type="page"/>
      </w:r>
    </w:p>
    <w:p w14:paraId="7422EBFA" w14:textId="77777777" w:rsidR="00CA4834" w:rsidRPr="008A1030" w:rsidRDefault="00CA4834" w:rsidP="00CA4834">
      <w:pPr>
        <w:spacing w:after="120"/>
        <w:jc w:val="center"/>
        <w:rPr>
          <w:rFonts w:eastAsia="Calibri"/>
          <w:b/>
          <w:color w:val="000000" w:themeColor="text1"/>
          <w:sz w:val="22"/>
          <w:szCs w:val="22"/>
          <w:lang w:val="en-US"/>
        </w:rPr>
      </w:pPr>
      <w:r w:rsidRPr="008A1030">
        <w:rPr>
          <w:rFonts w:eastAsia="Calibri"/>
          <w:b/>
          <w:noProof/>
          <w:color w:val="000000" w:themeColor="text1"/>
          <w:sz w:val="22"/>
          <w:szCs w:val="22"/>
          <w:lang w:val="en-US"/>
        </w:rPr>
        <w:lastRenderedPageBreak/>
        <w:drawing>
          <wp:inline distT="0" distB="0" distL="0" distR="0" wp14:anchorId="4C76ACB8" wp14:editId="7FCCFCFC">
            <wp:extent cx="3067426" cy="3014778"/>
            <wp:effectExtent l="0" t="0" r="0" b="0"/>
            <wp:docPr id="2119725146" name="Picture 2" descr="A graph of different colors and number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9725146" name="Picture 2" descr="A graph of different colors and numbers&#10;&#10;AI-generated content may be incorrect.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7426" cy="3014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C3C35D" w14:textId="77777777" w:rsidR="00CA4834" w:rsidRPr="008A1030" w:rsidRDefault="00CA4834" w:rsidP="00CA4834">
      <w:pPr>
        <w:spacing w:after="120"/>
        <w:jc w:val="both"/>
        <w:rPr>
          <w:color w:val="000000" w:themeColor="text1"/>
          <w:sz w:val="22"/>
          <w:szCs w:val="22"/>
          <w:lang w:val="en-US"/>
        </w:rPr>
      </w:pPr>
      <w:r w:rsidRPr="008A1030">
        <w:rPr>
          <w:rFonts w:eastAsia="Calibri"/>
          <w:b/>
          <w:color w:val="000000" w:themeColor="text1"/>
          <w:sz w:val="22"/>
          <w:szCs w:val="22"/>
          <w:lang w:val="en-US"/>
        </w:rPr>
        <w:t xml:space="preserve">Figure S9: Electron transport chain inhibitor pretreatment renders cells more vulnerable to </w:t>
      </w:r>
      <w:proofErr w:type="spellStart"/>
      <w:r w:rsidRPr="008A1030">
        <w:rPr>
          <w:rFonts w:eastAsia="Calibri"/>
          <w:b/>
          <w:color w:val="000000" w:themeColor="text1"/>
          <w:sz w:val="22"/>
          <w:szCs w:val="22"/>
          <w:lang w:val="en-US"/>
        </w:rPr>
        <w:t>erastin</w:t>
      </w:r>
      <w:proofErr w:type="spellEnd"/>
      <w:r w:rsidRPr="008A1030">
        <w:rPr>
          <w:rFonts w:eastAsia="Calibri"/>
          <w:b/>
          <w:color w:val="000000" w:themeColor="text1"/>
          <w:sz w:val="22"/>
          <w:szCs w:val="22"/>
          <w:lang w:val="en-US"/>
        </w:rPr>
        <w:t xml:space="preserve"> induced toxicity. a</w:t>
      </w:r>
      <w:r w:rsidRPr="008A1030">
        <w:rPr>
          <w:rFonts w:eastAsia="Calibri"/>
          <w:color w:val="000000" w:themeColor="text1"/>
          <w:sz w:val="22"/>
          <w:szCs w:val="22"/>
          <w:lang w:val="en-US"/>
        </w:rPr>
        <w:t xml:space="preserve">, viability of </w:t>
      </w:r>
      <w:r w:rsidRPr="008A1030">
        <w:rPr>
          <w:color w:val="000000" w:themeColor="text1"/>
          <w:sz w:val="22"/>
          <w:szCs w:val="22"/>
          <w:lang w:val="en-US"/>
        </w:rPr>
        <w:t xml:space="preserve">cells (assayed by </w:t>
      </w:r>
      <w:proofErr w:type="spellStart"/>
      <w:r w:rsidRPr="008A1030">
        <w:rPr>
          <w:color w:val="000000" w:themeColor="text1"/>
          <w:sz w:val="22"/>
          <w:szCs w:val="22"/>
          <w:lang w:val="en-US"/>
        </w:rPr>
        <w:t>Calcein</w:t>
      </w:r>
      <w:proofErr w:type="spellEnd"/>
      <w:r w:rsidRPr="008A1030">
        <w:rPr>
          <w:color w:val="000000" w:themeColor="text1"/>
          <w:sz w:val="22"/>
          <w:szCs w:val="22"/>
          <w:lang w:val="en-US"/>
        </w:rPr>
        <w:t xml:space="preserve"> AM)</w:t>
      </w:r>
      <w:r w:rsidRPr="008A1030">
        <w:rPr>
          <w:rFonts w:eastAsia="Calibri"/>
          <w:color w:val="000000" w:themeColor="text1"/>
          <w:sz w:val="22"/>
          <w:szCs w:val="22"/>
          <w:lang w:val="en-US"/>
        </w:rPr>
        <w:t xml:space="preserve"> after a 5-hour incubation of HT22 cells with/without </w:t>
      </w:r>
      <w:r w:rsidRPr="008A1030">
        <w:rPr>
          <w:color w:val="000000" w:themeColor="text1"/>
          <w:sz w:val="22"/>
          <w:szCs w:val="22"/>
          <w:lang w:val="en-US"/>
        </w:rPr>
        <w:t xml:space="preserve">electron transport chain inhibitors (c, antimycin A – Complex III inhibitor (green, 200nM); sodium </w:t>
      </w:r>
      <w:proofErr w:type="spellStart"/>
      <w:r w:rsidRPr="008A1030">
        <w:rPr>
          <w:color w:val="000000" w:themeColor="text1"/>
          <w:sz w:val="22"/>
          <w:szCs w:val="22"/>
          <w:lang w:val="en-US"/>
        </w:rPr>
        <w:t>azide</w:t>
      </w:r>
      <w:proofErr w:type="spellEnd"/>
      <w:r w:rsidRPr="008A1030">
        <w:rPr>
          <w:color w:val="000000" w:themeColor="text1"/>
          <w:sz w:val="22"/>
          <w:szCs w:val="22"/>
          <w:lang w:val="en-US"/>
        </w:rPr>
        <w:t xml:space="preserve"> – Complex IV inhibitor (orange, 7.5mM); CCCP – mitochondrial uncoupler (purple, 3.125μM)) followed by a wash and </w:t>
      </w:r>
      <w:proofErr w:type="gramStart"/>
      <w:r w:rsidRPr="008A1030">
        <w:rPr>
          <w:color w:val="000000" w:themeColor="text1"/>
          <w:sz w:val="22"/>
          <w:szCs w:val="22"/>
          <w:lang w:val="en-US"/>
        </w:rPr>
        <w:t>17 hour</w:t>
      </w:r>
      <w:proofErr w:type="gramEnd"/>
      <w:r w:rsidRPr="008A1030">
        <w:rPr>
          <w:color w:val="000000" w:themeColor="text1"/>
          <w:sz w:val="22"/>
          <w:szCs w:val="22"/>
          <w:lang w:val="en-US"/>
        </w:rPr>
        <w:t xml:space="preserve"> treatment with</w:t>
      </w:r>
      <w:r w:rsidRPr="008A1030">
        <w:rPr>
          <w:rFonts w:eastAsia="Calibri"/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8A1030">
        <w:rPr>
          <w:rFonts w:eastAsia="Calibri"/>
          <w:color w:val="000000" w:themeColor="text1"/>
          <w:sz w:val="22"/>
          <w:szCs w:val="22"/>
          <w:lang w:val="en-US"/>
        </w:rPr>
        <w:t>Erastin</w:t>
      </w:r>
      <w:proofErr w:type="spellEnd"/>
      <w:r w:rsidRPr="008A1030">
        <w:rPr>
          <w:rFonts w:eastAsia="Calibri"/>
          <w:color w:val="000000" w:themeColor="text1"/>
          <w:sz w:val="22"/>
          <w:szCs w:val="22"/>
          <w:lang w:val="en-US"/>
        </w:rPr>
        <w:t xml:space="preserve"> (20uM).</w:t>
      </w:r>
      <w:r w:rsidRPr="008A1030">
        <w:rPr>
          <w:color w:val="000000" w:themeColor="text1"/>
          <w:sz w:val="22"/>
          <w:szCs w:val="22"/>
          <w:lang w:val="en-US"/>
        </w:rPr>
        <w:t xml:space="preserve"> </w:t>
      </w:r>
      <w:r w:rsidRPr="008A1030">
        <w:rPr>
          <w:rFonts w:eastAsia="Calibri"/>
          <w:b/>
          <w:color w:val="000000" w:themeColor="text1"/>
          <w:sz w:val="22"/>
          <w:szCs w:val="22"/>
          <w:lang w:val="en-US"/>
        </w:rPr>
        <w:t>b</w:t>
      </w:r>
      <w:r w:rsidRPr="008A1030">
        <w:rPr>
          <w:rFonts w:eastAsia="Calibri"/>
          <w:color w:val="000000" w:themeColor="text1"/>
          <w:sz w:val="22"/>
          <w:szCs w:val="22"/>
          <w:lang w:val="en-US"/>
        </w:rPr>
        <w:t xml:space="preserve">, basal viability without </w:t>
      </w:r>
      <w:proofErr w:type="spellStart"/>
      <w:r w:rsidRPr="008A1030">
        <w:rPr>
          <w:rFonts w:eastAsia="Calibri"/>
          <w:color w:val="000000" w:themeColor="text1"/>
          <w:sz w:val="22"/>
          <w:szCs w:val="22"/>
          <w:lang w:val="en-US"/>
        </w:rPr>
        <w:t>erastin</w:t>
      </w:r>
      <w:proofErr w:type="spellEnd"/>
      <w:r w:rsidRPr="008A1030">
        <w:rPr>
          <w:rFonts w:eastAsia="Calibri"/>
          <w:color w:val="000000" w:themeColor="text1"/>
          <w:sz w:val="22"/>
          <w:szCs w:val="22"/>
          <w:lang w:val="en-US"/>
        </w:rPr>
        <w:t xml:space="preserve"> treatment.</w:t>
      </w:r>
      <w:r w:rsidRPr="008A1030">
        <w:rPr>
          <w:color w:val="000000" w:themeColor="text1"/>
          <w:sz w:val="22"/>
          <w:szCs w:val="22"/>
          <w:lang w:val="en-US"/>
        </w:rPr>
        <w:t xml:space="preserve"> one way ANOVA, **** p&lt;0.0001, *p&lt;0.05. Data presented as mean+/- SEM of 3 independent experiments. </w:t>
      </w:r>
    </w:p>
    <w:p w14:paraId="432AB634" w14:textId="77777777" w:rsidR="00CA4834" w:rsidRPr="008A1030" w:rsidRDefault="00CA4834" w:rsidP="00CA4834">
      <w:pPr>
        <w:spacing w:after="120"/>
        <w:jc w:val="both"/>
        <w:rPr>
          <w:color w:val="000000" w:themeColor="text1"/>
          <w:sz w:val="22"/>
          <w:szCs w:val="22"/>
          <w:lang w:val="en-US"/>
        </w:rPr>
      </w:pPr>
    </w:p>
    <w:p w14:paraId="589CC6A0" w14:textId="77777777" w:rsidR="00CA4834" w:rsidRPr="008A1030" w:rsidRDefault="00CA4834" w:rsidP="00CA4834">
      <w:pPr>
        <w:rPr>
          <w:rFonts w:cstheme="minorHAnsi"/>
          <w:color w:val="000000" w:themeColor="text1"/>
          <w:sz w:val="20"/>
          <w:szCs w:val="20"/>
          <w:lang w:val="en-AU"/>
        </w:rPr>
      </w:pPr>
      <w:r w:rsidRPr="008A1030">
        <w:rPr>
          <w:rFonts w:cstheme="minorHAnsi"/>
          <w:color w:val="000000" w:themeColor="text1"/>
          <w:sz w:val="20"/>
          <w:szCs w:val="20"/>
          <w:lang w:val="en-AU"/>
        </w:rPr>
        <w:br w:type="page"/>
      </w:r>
    </w:p>
    <w:p w14:paraId="117CCAE2" w14:textId="77777777" w:rsidR="00CA4834" w:rsidRPr="008A1030" w:rsidRDefault="00CA4834" w:rsidP="00CA4834">
      <w:pPr>
        <w:spacing w:after="120"/>
        <w:jc w:val="center"/>
        <w:rPr>
          <w:rFonts w:eastAsia="Calibri"/>
          <w:b/>
          <w:color w:val="000000" w:themeColor="text1"/>
          <w:sz w:val="22"/>
          <w:szCs w:val="22"/>
          <w:lang w:val="en-AU"/>
        </w:rPr>
      </w:pPr>
      <w:r w:rsidRPr="008A1030">
        <w:rPr>
          <w:rFonts w:eastAsia="Calibri"/>
          <w:b/>
          <w:noProof/>
          <w:color w:val="000000" w:themeColor="text1"/>
          <w:sz w:val="22"/>
          <w:szCs w:val="22"/>
          <w:lang w:val="en-AU"/>
        </w:rPr>
        <w:lastRenderedPageBreak/>
        <w:drawing>
          <wp:inline distT="0" distB="0" distL="0" distR="0" wp14:anchorId="76125032" wp14:editId="379B89B9">
            <wp:extent cx="3937979" cy="4278702"/>
            <wp:effectExtent l="0" t="0" r="5715" b="7620"/>
            <wp:docPr id="1118630439" name="Picture 1" descr="A graph of different types of cell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8630439" name="Picture 1" descr="A graph of different types of cells&#10;&#10;AI-generated content may be incorrect.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4914" cy="42971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800302" w14:textId="77777777" w:rsidR="00CA4834" w:rsidRPr="008A1030" w:rsidRDefault="00CA4834" w:rsidP="00CA4834">
      <w:pPr>
        <w:spacing w:after="120"/>
        <w:jc w:val="both"/>
        <w:rPr>
          <w:color w:val="000000" w:themeColor="text1"/>
          <w:sz w:val="22"/>
          <w:szCs w:val="22"/>
          <w:lang w:val="en-AU"/>
        </w:rPr>
      </w:pPr>
      <w:r w:rsidRPr="008A1030">
        <w:rPr>
          <w:rFonts w:eastAsia="Calibri"/>
          <w:b/>
          <w:color w:val="000000" w:themeColor="text1"/>
          <w:sz w:val="22"/>
          <w:szCs w:val="22"/>
          <w:lang w:val="en-AU"/>
        </w:rPr>
        <w:t xml:space="preserve">Figure </w:t>
      </w:r>
      <w:r w:rsidRPr="008A1030">
        <w:rPr>
          <w:rFonts w:eastAsia="Calibri"/>
          <w:b/>
          <w:color w:val="000000" w:themeColor="text1"/>
          <w:sz w:val="22"/>
          <w:szCs w:val="22"/>
          <w:lang w:val="en-US"/>
        </w:rPr>
        <w:t>S10</w:t>
      </w:r>
      <w:r w:rsidRPr="008A1030">
        <w:rPr>
          <w:rFonts w:eastAsia="Calibri"/>
          <w:b/>
          <w:color w:val="000000" w:themeColor="text1"/>
          <w:sz w:val="22"/>
          <w:szCs w:val="22"/>
          <w:lang w:val="en-AU"/>
        </w:rPr>
        <w:t>: Rho nought (</w:t>
      </w:r>
      <w:r w:rsidRPr="008A1030">
        <w:rPr>
          <w:b/>
          <w:color w:val="000000" w:themeColor="text1"/>
          <w:sz w:val="22"/>
          <w:szCs w:val="22"/>
          <w:lang w:val="en-AU"/>
        </w:rPr>
        <w:t>ρ⁰</w:t>
      </w:r>
      <w:r w:rsidRPr="008A1030">
        <w:rPr>
          <w:rFonts w:eastAsia="Calibri"/>
          <w:b/>
          <w:color w:val="000000" w:themeColor="text1"/>
          <w:sz w:val="22"/>
          <w:szCs w:val="22"/>
          <w:lang w:val="en-AU"/>
        </w:rPr>
        <w:t xml:space="preserve">) cells exemplify how mitochondria act as both a producer and consumer of glutathione depending on the context. </w:t>
      </w:r>
      <w:r w:rsidRPr="008A1030">
        <w:rPr>
          <w:b/>
          <w:color w:val="000000" w:themeColor="text1"/>
          <w:sz w:val="22"/>
          <w:szCs w:val="22"/>
          <w:lang w:val="en-AU"/>
        </w:rPr>
        <w:t>a,</w:t>
      </w:r>
      <w:r w:rsidRPr="008A1030">
        <w:rPr>
          <w:color w:val="000000" w:themeColor="text1"/>
          <w:sz w:val="22"/>
          <w:szCs w:val="22"/>
          <w:lang w:val="en-AU"/>
        </w:rPr>
        <w:t xml:space="preserve"> bar plots of ATP, t-GSH and viability (</w:t>
      </w:r>
      <w:proofErr w:type="spellStart"/>
      <w:r w:rsidRPr="008A1030">
        <w:rPr>
          <w:color w:val="000000" w:themeColor="text1"/>
          <w:sz w:val="22"/>
          <w:szCs w:val="22"/>
          <w:lang w:val="en-AU"/>
        </w:rPr>
        <w:t>calcien</w:t>
      </w:r>
      <w:proofErr w:type="spellEnd"/>
      <w:r w:rsidRPr="008A1030">
        <w:rPr>
          <w:color w:val="000000" w:themeColor="text1"/>
          <w:sz w:val="22"/>
          <w:szCs w:val="22"/>
          <w:lang w:val="en-AU"/>
        </w:rPr>
        <w:t xml:space="preserve"> AM) in HT22 ρ⁰ and wild type (WT+) cells. viability curves of b, RSL3 and </w:t>
      </w:r>
      <w:r w:rsidRPr="008A1030">
        <w:rPr>
          <w:b/>
          <w:color w:val="000000" w:themeColor="text1"/>
          <w:sz w:val="22"/>
          <w:szCs w:val="22"/>
          <w:lang w:val="en-AU"/>
        </w:rPr>
        <w:t>c,</w:t>
      </w:r>
      <w:r w:rsidRPr="008A1030">
        <w:rPr>
          <w:color w:val="000000" w:themeColor="text1"/>
          <w:sz w:val="22"/>
          <w:szCs w:val="22"/>
          <w:lang w:val="en-AU"/>
        </w:rPr>
        <w:t xml:space="preserve"> </w:t>
      </w:r>
      <w:proofErr w:type="spellStart"/>
      <w:r w:rsidRPr="008A1030">
        <w:rPr>
          <w:color w:val="000000" w:themeColor="text1"/>
          <w:sz w:val="22"/>
          <w:szCs w:val="22"/>
          <w:lang w:val="en-AU"/>
        </w:rPr>
        <w:t>erastin</w:t>
      </w:r>
      <w:proofErr w:type="spellEnd"/>
      <w:r w:rsidRPr="008A1030">
        <w:rPr>
          <w:color w:val="000000" w:themeColor="text1"/>
          <w:sz w:val="22"/>
          <w:szCs w:val="22"/>
          <w:lang w:val="en-AU"/>
        </w:rPr>
        <w:t xml:space="preserve">. </w:t>
      </w:r>
      <w:r w:rsidRPr="008A1030">
        <w:rPr>
          <w:b/>
          <w:color w:val="000000" w:themeColor="text1"/>
          <w:sz w:val="22"/>
          <w:szCs w:val="22"/>
          <w:lang w:val="en-AU"/>
        </w:rPr>
        <w:t>d,</w:t>
      </w:r>
      <w:r w:rsidRPr="008A1030">
        <w:rPr>
          <w:color w:val="000000" w:themeColor="text1"/>
          <w:sz w:val="22"/>
          <w:szCs w:val="22"/>
          <w:lang w:val="en-AU"/>
        </w:rPr>
        <w:t xml:space="preserve"> total GSH depletion with </w:t>
      </w:r>
      <w:proofErr w:type="spellStart"/>
      <w:r w:rsidRPr="008A1030">
        <w:rPr>
          <w:color w:val="000000" w:themeColor="text1"/>
          <w:sz w:val="22"/>
          <w:szCs w:val="22"/>
          <w:lang w:val="en-AU"/>
        </w:rPr>
        <w:t>erastin</w:t>
      </w:r>
      <w:proofErr w:type="spellEnd"/>
      <w:r w:rsidRPr="008A1030">
        <w:rPr>
          <w:color w:val="000000" w:themeColor="text1"/>
          <w:sz w:val="22"/>
          <w:szCs w:val="22"/>
          <w:lang w:val="en-AU"/>
        </w:rPr>
        <w:t xml:space="preserve"> (10μM) in WT (black) and ρ</w:t>
      </w:r>
      <w:proofErr w:type="gramStart"/>
      <w:r w:rsidRPr="008A1030">
        <w:rPr>
          <w:color w:val="000000" w:themeColor="text1"/>
          <w:sz w:val="22"/>
          <w:szCs w:val="22"/>
          <w:lang w:val="en-AU"/>
        </w:rPr>
        <w:t>⁰  (</w:t>
      </w:r>
      <w:proofErr w:type="gramEnd"/>
      <w:r w:rsidRPr="008A1030">
        <w:rPr>
          <w:color w:val="000000" w:themeColor="text1"/>
          <w:sz w:val="22"/>
          <w:szCs w:val="22"/>
          <w:lang w:val="en-AU"/>
        </w:rPr>
        <w:t xml:space="preserve">red) cells. Data presented as mean+/- SEM of 3 independent experiments. </w:t>
      </w:r>
    </w:p>
    <w:p w14:paraId="79006BCB" w14:textId="77777777" w:rsidR="00CA4834" w:rsidRPr="008A1030" w:rsidRDefault="00CA4834" w:rsidP="00CA4834">
      <w:pPr>
        <w:spacing w:after="120"/>
        <w:jc w:val="both"/>
        <w:rPr>
          <w:rFonts w:cstheme="minorHAnsi"/>
          <w:color w:val="000000" w:themeColor="text1"/>
          <w:sz w:val="20"/>
          <w:szCs w:val="20"/>
          <w:lang w:val="en-AU"/>
        </w:rPr>
      </w:pPr>
    </w:p>
    <w:p w14:paraId="2034458E" w14:textId="77777777" w:rsidR="00CA4834" w:rsidRPr="008A1030" w:rsidRDefault="00CA4834" w:rsidP="00CA4834">
      <w:pPr>
        <w:spacing w:after="120"/>
        <w:jc w:val="both"/>
        <w:rPr>
          <w:rFonts w:cstheme="minorHAnsi"/>
          <w:color w:val="000000" w:themeColor="text1"/>
          <w:sz w:val="20"/>
          <w:szCs w:val="20"/>
          <w:lang w:val="en-AU"/>
        </w:rPr>
      </w:pPr>
    </w:p>
    <w:p w14:paraId="105D2757" w14:textId="77777777" w:rsidR="00CA4834" w:rsidRPr="008A1030" w:rsidRDefault="00CA4834" w:rsidP="00CA4834">
      <w:pPr>
        <w:jc w:val="both"/>
        <w:rPr>
          <w:rFonts w:cstheme="minorHAnsi"/>
          <w:color w:val="000000" w:themeColor="text1"/>
          <w:sz w:val="20"/>
          <w:szCs w:val="20"/>
          <w:lang w:val="en-AU"/>
        </w:rPr>
      </w:pPr>
    </w:p>
    <w:p w14:paraId="60BAE468" w14:textId="77777777" w:rsidR="00CA4834" w:rsidRPr="008A1030" w:rsidRDefault="00CA4834" w:rsidP="00CA4834">
      <w:pPr>
        <w:jc w:val="both"/>
        <w:rPr>
          <w:rFonts w:cstheme="minorHAnsi"/>
          <w:color w:val="000000" w:themeColor="text1"/>
          <w:sz w:val="20"/>
          <w:szCs w:val="20"/>
          <w:lang w:val="en-AU"/>
        </w:rPr>
      </w:pPr>
    </w:p>
    <w:p w14:paraId="7CD965A2" w14:textId="77777777" w:rsidR="00CA4834" w:rsidRPr="008A1030" w:rsidRDefault="00CA4834" w:rsidP="00CA4834">
      <w:pPr>
        <w:jc w:val="both"/>
        <w:rPr>
          <w:rFonts w:cstheme="minorHAnsi"/>
          <w:color w:val="000000" w:themeColor="text1"/>
          <w:sz w:val="20"/>
          <w:szCs w:val="20"/>
          <w:lang w:val="en-AU"/>
        </w:rPr>
      </w:pPr>
      <w:r w:rsidRPr="008A1030">
        <w:rPr>
          <w:rFonts w:cstheme="minorHAnsi"/>
          <w:noProof/>
          <w:color w:val="000000" w:themeColor="text1"/>
          <w:sz w:val="20"/>
          <w:szCs w:val="20"/>
          <w:lang w:val="en-AU"/>
        </w:rPr>
        <w:drawing>
          <wp:inline distT="0" distB="0" distL="0" distR="0" wp14:anchorId="64FF45E9" wp14:editId="3029F554">
            <wp:extent cx="5731510" cy="1823189"/>
            <wp:effectExtent l="0" t="0" r="2540" b="5715"/>
            <wp:docPr id="1862490235" name="Picture 10" descr="A screenshot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2490235" name="Picture 10" descr="A screenshot of a graph&#10;&#10;Description automatically generated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139"/>
                    <a:stretch/>
                  </pic:blipFill>
                  <pic:spPr bwMode="auto">
                    <a:xfrm>
                      <a:off x="0" y="0"/>
                      <a:ext cx="5731510" cy="18231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0A07D0C" w14:textId="798B5EB6" w:rsidR="00F356B4" w:rsidRPr="00CA4834" w:rsidRDefault="00CA4834" w:rsidP="00CA4834">
      <w:pPr>
        <w:jc w:val="both"/>
        <w:rPr>
          <w:color w:val="000000" w:themeColor="text1"/>
          <w:sz w:val="22"/>
          <w:szCs w:val="22"/>
          <w:lang w:val="en-AU"/>
        </w:rPr>
      </w:pPr>
      <w:r w:rsidRPr="008A1030">
        <w:rPr>
          <w:rFonts w:eastAsia="Calibri"/>
          <w:b/>
          <w:color w:val="000000" w:themeColor="text1"/>
          <w:sz w:val="22"/>
          <w:szCs w:val="22"/>
          <w:lang w:val="en-AU"/>
        </w:rPr>
        <w:t xml:space="preserve">Figure </w:t>
      </w:r>
      <w:r w:rsidRPr="008A1030">
        <w:rPr>
          <w:rFonts w:eastAsia="Calibri"/>
          <w:b/>
          <w:color w:val="000000" w:themeColor="text1"/>
          <w:sz w:val="22"/>
          <w:szCs w:val="22"/>
          <w:lang w:val="en-US"/>
        </w:rPr>
        <w:t>S11</w:t>
      </w:r>
      <w:r w:rsidRPr="008A1030">
        <w:rPr>
          <w:rFonts w:eastAsia="Calibri"/>
          <w:b/>
          <w:color w:val="000000" w:themeColor="text1"/>
          <w:sz w:val="22"/>
          <w:szCs w:val="22"/>
          <w:lang w:val="en-AU"/>
        </w:rPr>
        <w:t xml:space="preserve">: Q4 is associated with accelerated cognitive decline in a battery of cognitive tests. </w:t>
      </w:r>
      <w:r w:rsidRPr="008A1030">
        <w:rPr>
          <w:color w:val="000000" w:themeColor="text1"/>
          <w:sz w:val="22"/>
          <w:szCs w:val="22"/>
          <w:lang w:val="en-AU"/>
        </w:rPr>
        <w:t xml:space="preserve">Longitudinal cognition scores across </w:t>
      </w:r>
      <w:r w:rsidRPr="008A1030">
        <w:rPr>
          <w:b/>
          <w:color w:val="000000" w:themeColor="text1"/>
          <w:sz w:val="22"/>
          <w:szCs w:val="22"/>
          <w:lang w:val="en-AU"/>
        </w:rPr>
        <w:t>a,</w:t>
      </w:r>
      <w:r w:rsidRPr="008A1030">
        <w:rPr>
          <w:color w:val="000000" w:themeColor="text1"/>
          <w:sz w:val="22"/>
          <w:szCs w:val="22"/>
          <w:lang w:val="en-AU"/>
        </w:rPr>
        <w:t xml:space="preserve"> </w:t>
      </w:r>
      <w:proofErr w:type="gramStart"/>
      <w:r w:rsidRPr="008A1030">
        <w:rPr>
          <w:color w:val="000000" w:themeColor="text1"/>
          <w:sz w:val="22"/>
          <w:szCs w:val="22"/>
          <w:lang w:val="en-AU"/>
        </w:rPr>
        <w:t>Working</w:t>
      </w:r>
      <w:proofErr w:type="gramEnd"/>
      <w:r w:rsidRPr="008A1030">
        <w:rPr>
          <w:color w:val="000000" w:themeColor="text1"/>
          <w:sz w:val="22"/>
          <w:szCs w:val="22"/>
          <w:lang w:val="en-AU"/>
        </w:rPr>
        <w:t xml:space="preserve"> memory, </w:t>
      </w:r>
      <w:r w:rsidRPr="008A1030">
        <w:rPr>
          <w:b/>
          <w:color w:val="000000" w:themeColor="text1"/>
          <w:sz w:val="22"/>
          <w:szCs w:val="22"/>
          <w:lang w:val="en-AU"/>
        </w:rPr>
        <w:t>b,</w:t>
      </w:r>
      <w:r w:rsidRPr="008A1030">
        <w:rPr>
          <w:color w:val="000000" w:themeColor="text1"/>
          <w:sz w:val="22"/>
          <w:szCs w:val="22"/>
          <w:lang w:val="en-AU"/>
        </w:rPr>
        <w:t xml:space="preserve"> Episodic memory, </w:t>
      </w:r>
      <w:r w:rsidRPr="008A1030">
        <w:rPr>
          <w:b/>
          <w:color w:val="000000" w:themeColor="text1"/>
          <w:sz w:val="22"/>
          <w:szCs w:val="22"/>
          <w:lang w:val="en-AU"/>
        </w:rPr>
        <w:t>c,</w:t>
      </w:r>
      <w:r w:rsidRPr="008A1030">
        <w:rPr>
          <w:color w:val="000000" w:themeColor="text1"/>
          <w:sz w:val="22"/>
          <w:szCs w:val="22"/>
          <w:lang w:val="en-AU"/>
        </w:rPr>
        <w:t xml:space="preserve"> perceptual speed, </w:t>
      </w:r>
      <w:r w:rsidRPr="008A1030">
        <w:rPr>
          <w:b/>
          <w:color w:val="000000" w:themeColor="text1"/>
          <w:sz w:val="22"/>
          <w:szCs w:val="22"/>
          <w:lang w:val="en-AU"/>
        </w:rPr>
        <w:t>d,</w:t>
      </w:r>
      <w:r w:rsidRPr="008A1030">
        <w:rPr>
          <w:color w:val="000000" w:themeColor="text1"/>
          <w:sz w:val="22"/>
          <w:szCs w:val="22"/>
          <w:lang w:val="en-AU"/>
        </w:rPr>
        <w:t xml:space="preserve"> Semantic memory and </w:t>
      </w:r>
      <w:r w:rsidRPr="008A1030">
        <w:rPr>
          <w:b/>
          <w:color w:val="000000" w:themeColor="text1"/>
          <w:sz w:val="22"/>
          <w:szCs w:val="22"/>
          <w:lang w:val="en-AU"/>
        </w:rPr>
        <w:t>e,</w:t>
      </w:r>
      <w:r w:rsidRPr="008A1030">
        <w:rPr>
          <w:color w:val="000000" w:themeColor="text1"/>
          <w:sz w:val="22"/>
          <w:szCs w:val="22"/>
          <w:lang w:val="en-AU"/>
        </w:rPr>
        <w:t xml:space="preserve"> visuospatial ability were modelled and grouped according to quadrant assignment (all subjects with longitudinal cognition; n=615). Statistics from linear mixed model using quadrant vs time interaction and age at death sex and e4 as covariates. Degrees of freedom for the purposes of generating p values were approximated using Satterthwaite’s method. Error bars represent 95% CIs.</w:t>
      </w:r>
    </w:p>
    <w:sectPr w:rsidR="00F356B4" w:rsidRPr="00CA4834" w:rsidSect="00CA4834">
      <w:headerReference w:type="default" r:id="rId16"/>
      <w:footerReference w:type="default" r:id="rId1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AC6D33" w14:textId="77777777" w:rsidR="007B7A09" w:rsidRDefault="00CA4834">
    <w:pPr>
      <w:pStyle w:val="Footer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  <w:p w14:paraId="55E608C1" w14:textId="77777777" w:rsidR="00562E2B" w:rsidRDefault="00CA4834" w:rsidP="00881456">
    <w:pPr>
      <w:pStyle w:val="Footer"/>
      <w:jc w:val="cen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B570C1" w14:textId="77777777" w:rsidR="00562E2B" w:rsidRPr="009B44CC" w:rsidRDefault="00CA4834" w:rsidP="009B44CC">
    <w:pPr>
      <w:pStyle w:val="Header"/>
      <w:tabs>
        <w:tab w:val="left" w:pos="5003"/>
      </w:tabs>
      <w:jc w:val="right"/>
      <w:rPr>
        <w:lang w:val="en-US"/>
      </w:rPr>
    </w:pPr>
    <w:r>
      <w:tab/>
    </w:r>
    <w:r w:rsidRPr="00302E7A">
      <w:rPr>
        <w:noProof/>
        <w:lang w:val="en-US" w:eastAsia="en-US"/>
      </w:rPr>
      <w:drawing>
        <wp:inline distT="0" distB="0" distL="0" distR="0" wp14:anchorId="6C3CA2FF" wp14:editId="6D46090B">
          <wp:extent cx="1488440" cy="414655"/>
          <wp:effectExtent l="0" t="0" r="0" b="0"/>
          <wp:docPr id="522758710" name="Picture 522758710" descr="Wiley-VCH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iley-VCH_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8440" cy="414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4834"/>
    <w:rsid w:val="00CA4834"/>
    <w:rsid w:val="00F35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EF1BE5"/>
  <w15:chartTrackingRefBased/>
  <w15:docId w15:val="{BAA96866-A6E5-4218-998D-1E521F520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4834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val="de-DE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CA4834"/>
    <w:pPr>
      <w:tabs>
        <w:tab w:val="center" w:pos="4536"/>
        <w:tab w:val="right" w:pos="9072"/>
      </w:tabs>
    </w:pPr>
    <w:rPr>
      <w:lang w:val="x-none"/>
    </w:rPr>
  </w:style>
  <w:style w:type="character" w:customStyle="1" w:styleId="HeaderChar">
    <w:name w:val="Header Char"/>
    <w:basedOn w:val="DefaultParagraphFont"/>
    <w:link w:val="Header"/>
    <w:rsid w:val="00CA4834"/>
    <w:rPr>
      <w:rFonts w:ascii="Times New Roman" w:eastAsia="MS Mincho" w:hAnsi="Times New Roman" w:cs="Times New Roman"/>
      <w:sz w:val="24"/>
      <w:szCs w:val="24"/>
      <w:lang w:val="x-none" w:eastAsia="ja-JP"/>
    </w:rPr>
  </w:style>
  <w:style w:type="paragraph" w:styleId="Footer">
    <w:name w:val="footer"/>
    <w:basedOn w:val="Normal"/>
    <w:link w:val="FooterChar"/>
    <w:uiPriority w:val="99"/>
    <w:rsid w:val="00CA4834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A4834"/>
    <w:rPr>
      <w:rFonts w:ascii="Times New Roman" w:eastAsia="MS Mincho" w:hAnsi="Times New Roman" w:cs="Times New Roman"/>
      <w:sz w:val="24"/>
      <w:szCs w:val="24"/>
      <w:lang w:val="de-DE" w:eastAsia="ja-JP"/>
    </w:rPr>
  </w:style>
  <w:style w:type="paragraph" w:customStyle="1" w:styleId="Tableofcontents">
    <w:name w:val="Table of contents"/>
    <w:basedOn w:val="Normal"/>
    <w:autoRedefine/>
    <w:rsid w:val="00CA4834"/>
    <w:rPr>
      <w:lang w:val="en-US"/>
    </w:rPr>
  </w:style>
  <w:style w:type="paragraph" w:customStyle="1" w:styleId="Title2">
    <w:name w:val="Title2"/>
    <w:basedOn w:val="Normal"/>
    <w:rsid w:val="00CA4834"/>
    <w:rPr>
      <w:b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image" Target="media/image9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8.png"/><Relationship Id="rId17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7.png"/><Relationship Id="rId5" Type="http://schemas.openxmlformats.org/officeDocument/2006/relationships/image" Target="media/image2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oleObject" Target="embeddings/oleObject1.bin"/><Relationship Id="rId14" Type="http://schemas.openxmlformats.org/officeDocument/2006/relationships/image" Target="media/image10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1018</Words>
  <Characters>5809</Characters>
  <Application>Microsoft Office Word</Application>
  <DocSecurity>0</DocSecurity>
  <Lines>48</Lines>
  <Paragraphs>13</Paragraphs>
  <ScaleCrop>false</ScaleCrop>
  <Company/>
  <LinksUpToDate>false</LinksUpToDate>
  <CharactersWithSpaces>6814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Vidhi Singh</dc:creator>
  <cp:keywords/>
  <dc:description/>
  <cp:lastModifiedBy>Vidhi Singh</cp:lastModifiedBy>
  <cp:revision>1</cp:revision>
  <dcterms:created xsi:type="dcterms:W3CDTF">2025-06-27T06:57:00Z</dcterms:created>
  <dcterms:modified xsi:type="dcterms:W3CDTF">2025-06-27T06:58:00Z</dcterms:modified>
</cp:coreProperties>
</file>