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68805" w14:textId="6A97CF72" w:rsidR="001B56B3" w:rsidRPr="00EF1405" w:rsidRDefault="001B56B3" w:rsidP="001B56B3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Supplementary Methods</w:t>
      </w:r>
    </w:p>
    <w:p w14:paraId="05CB563B" w14:textId="77777777" w:rsidR="001B56B3" w:rsidRPr="00EF1405" w:rsidRDefault="001B56B3" w:rsidP="001B56B3">
      <w:pPr>
        <w:spacing w:before="240" w:after="0" w:line="48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Deciphering plant-beneficial fungal interactions: Unravelling metabolic diversity that underpi</w:t>
      </w:r>
      <w:bookmarkStart w:id="0" w:name="_GoBack"/>
      <w:bookmarkEnd w:id="0"/>
      <w:r w:rsidRPr="00EF1405">
        <w:rPr>
          <w:rFonts w:ascii="Arial" w:hAnsi="Arial" w:cs="Arial"/>
          <w:b/>
          <w:bCs/>
          <w:sz w:val="24"/>
          <w:szCs w:val="24"/>
        </w:rPr>
        <w:t xml:space="preserve">ns communication between </w:t>
      </w:r>
      <w:r w:rsidRPr="00EF1405">
        <w:rPr>
          <w:rFonts w:ascii="Arial" w:hAnsi="Arial" w:cs="Arial"/>
          <w:b/>
          <w:bCs/>
          <w:i/>
          <w:iCs/>
          <w:sz w:val="24"/>
          <w:szCs w:val="24"/>
        </w:rPr>
        <w:t>Laccaria bicolor</w:t>
      </w:r>
      <w:r w:rsidRPr="00EF1405">
        <w:rPr>
          <w:rFonts w:ascii="Arial" w:hAnsi="Arial" w:cs="Arial"/>
          <w:b/>
          <w:bCs/>
          <w:sz w:val="24"/>
          <w:szCs w:val="24"/>
        </w:rPr>
        <w:t xml:space="preserve"> and </w:t>
      </w:r>
      <w:r w:rsidRPr="00EF1405">
        <w:rPr>
          <w:rFonts w:ascii="Arial" w:hAnsi="Arial" w:cs="Arial"/>
          <w:b/>
          <w:bCs/>
          <w:i/>
          <w:iCs/>
          <w:sz w:val="24"/>
          <w:szCs w:val="24"/>
        </w:rPr>
        <w:t>Trichoderma</w:t>
      </w:r>
    </w:p>
    <w:p w14:paraId="64B7C6CF" w14:textId="77777777" w:rsidR="001B56B3" w:rsidRPr="00EF1405" w:rsidRDefault="001B56B3" w:rsidP="001B56B3">
      <w:pPr>
        <w:spacing w:before="240"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EF1405">
        <w:rPr>
          <w:rFonts w:ascii="Arial" w:hAnsi="Arial" w:cs="Arial"/>
          <w:b/>
          <w:sz w:val="24"/>
          <w:szCs w:val="24"/>
        </w:rPr>
        <w:t>Prasath Balaji Sivaprakasam Padmanaban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b/>
          <w:sz w:val="24"/>
          <w:szCs w:val="24"/>
        </w:rPr>
        <w:t>, Pia Stange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EF1405">
        <w:rPr>
          <w:rFonts w:ascii="Arial" w:hAnsi="Arial" w:cs="Arial"/>
          <w:b/>
          <w:sz w:val="24"/>
          <w:szCs w:val="24"/>
        </w:rPr>
        <w:t>, Baris Weber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b/>
          <w:sz w:val="24"/>
          <w:szCs w:val="24"/>
        </w:rPr>
        <w:t>, Andrea Ghirardo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b/>
          <w:sz w:val="24"/>
          <w:szCs w:val="24"/>
        </w:rPr>
        <w:t>, Karin Pritsch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b/>
          <w:sz w:val="24"/>
          <w:szCs w:val="24"/>
        </w:rPr>
        <w:t>, Tanja Karl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EF1405">
        <w:rPr>
          <w:rFonts w:ascii="Arial" w:hAnsi="Arial" w:cs="Arial"/>
          <w:b/>
          <w:sz w:val="24"/>
          <w:szCs w:val="24"/>
        </w:rPr>
        <w:t>, J. Philipp Benz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EF1405">
        <w:rPr>
          <w:rFonts w:ascii="Arial" w:hAnsi="Arial" w:cs="Arial"/>
          <w:b/>
          <w:sz w:val="24"/>
          <w:szCs w:val="24"/>
        </w:rPr>
        <w:t>, Maaria Rosenkranz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1,3*</w:t>
      </w:r>
      <w:r w:rsidRPr="00EF1405">
        <w:rPr>
          <w:rFonts w:ascii="Arial" w:hAnsi="Arial" w:cs="Arial"/>
          <w:b/>
          <w:sz w:val="24"/>
          <w:szCs w:val="24"/>
        </w:rPr>
        <w:t>, Jörg-Peter Schnitzler</w:t>
      </w:r>
      <w:r w:rsidRPr="00EF1405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b/>
          <w:sz w:val="24"/>
          <w:szCs w:val="24"/>
        </w:rPr>
        <w:t>,</w:t>
      </w:r>
    </w:p>
    <w:p w14:paraId="7952E7EF" w14:textId="77777777" w:rsidR="001B56B3" w:rsidRPr="00EF1405" w:rsidRDefault="001B56B3" w:rsidP="001B56B3">
      <w:pPr>
        <w:spacing w:before="240" w:after="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  <w:vertAlign w:val="superscript"/>
        </w:rPr>
        <w:t>1</w:t>
      </w:r>
      <w:r w:rsidRPr="00EF1405">
        <w:rPr>
          <w:rFonts w:ascii="Arial" w:hAnsi="Arial" w:cs="Arial"/>
          <w:sz w:val="24"/>
          <w:szCs w:val="24"/>
        </w:rPr>
        <w:t>Research Unit Environmental Simulation (EUS), Helmholtz Munich, Neuherberg, Germany</w:t>
      </w:r>
    </w:p>
    <w:p w14:paraId="7C98BBE0" w14:textId="77777777" w:rsidR="001B56B3" w:rsidRPr="00EF1405" w:rsidRDefault="001B56B3" w:rsidP="001B56B3">
      <w:pPr>
        <w:spacing w:before="240" w:after="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  <w:vertAlign w:val="superscript"/>
        </w:rPr>
        <w:t>2</w:t>
      </w:r>
      <w:r w:rsidRPr="00EF1405">
        <w:rPr>
          <w:rFonts w:ascii="Arial" w:hAnsi="Arial" w:cs="Arial"/>
          <w:sz w:val="24"/>
          <w:szCs w:val="24"/>
        </w:rPr>
        <w:t>Professorship Fungal Biotechnology in Wood Science, Wood Research Munich, TUM School of Life Sciences, Technical University of Munich, Freising, Germany</w:t>
      </w:r>
    </w:p>
    <w:p w14:paraId="0A6C6A8D" w14:textId="77777777" w:rsidR="001B56B3" w:rsidRPr="00EF1405" w:rsidRDefault="001B56B3" w:rsidP="001B56B3">
      <w:pPr>
        <w:spacing w:before="240" w:after="0" w:line="48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  <w:vertAlign w:val="superscript"/>
        </w:rPr>
        <w:t>3</w:t>
      </w:r>
      <w:r w:rsidRPr="00EF1405">
        <w:rPr>
          <w:rFonts w:ascii="Arial" w:hAnsi="Arial" w:cs="Arial"/>
          <w:sz w:val="24"/>
          <w:szCs w:val="24"/>
        </w:rPr>
        <w:t>Institute of Plant Sciences, Ecology and Conservation Biology, University of Regensburg, Germany</w:t>
      </w:r>
    </w:p>
    <w:p w14:paraId="7C406588" w14:textId="77777777" w:rsidR="001B56B3" w:rsidRPr="00EF1405" w:rsidRDefault="001B56B3" w:rsidP="001B56B3">
      <w:pPr>
        <w:spacing w:before="240" w:after="0" w:line="48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b/>
          <w:sz w:val="24"/>
          <w:szCs w:val="24"/>
        </w:rPr>
        <w:t xml:space="preserve">*Correspondence: </w:t>
      </w:r>
      <w:r w:rsidRPr="00EF1405">
        <w:rPr>
          <w:rFonts w:ascii="Arial" w:hAnsi="Arial" w:cs="Arial"/>
          <w:b/>
          <w:sz w:val="24"/>
          <w:szCs w:val="24"/>
        </w:rPr>
        <w:br/>
      </w:r>
      <w:r w:rsidRPr="00EF1405">
        <w:rPr>
          <w:rFonts w:ascii="Arial" w:hAnsi="Arial" w:cs="Arial"/>
          <w:sz w:val="24"/>
          <w:szCs w:val="24"/>
        </w:rPr>
        <w:t>Corresponding Author:</w:t>
      </w:r>
    </w:p>
    <w:p w14:paraId="4D840918" w14:textId="77777777" w:rsidR="001B56B3" w:rsidRPr="00EF1405" w:rsidRDefault="001B56B3" w:rsidP="001B56B3">
      <w:pPr>
        <w:spacing w:before="240" w:after="0" w:line="480" w:lineRule="auto"/>
        <w:rPr>
          <w:rFonts w:ascii="Arial" w:hAnsi="Arial" w:cs="Arial"/>
          <w:sz w:val="24"/>
          <w:szCs w:val="24"/>
          <w:lang w:val="en-US"/>
        </w:rPr>
      </w:pPr>
      <w:r w:rsidRPr="00EF1405">
        <w:rPr>
          <w:rFonts w:ascii="Arial" w:hAnsi="Arial" w:cs="Arial"/>
          <w:sz w:val="24"/>
          <w:szCs w:val="24"/>
          <w:lang w:val="en-US"/>
        </w:rPr>
        <w:t>Maaria Rosenkranz</w:t>
      </w:r>
    </w:p>
    <w:p w14:paraId="5D5DACC4" w14:textId="77777777" w:rsidR="001B56B3" w:rsidRPr="00EF1405" w:rsidRDefault="00EF1405" w:rsidP="001B56B3">
      <w:pPr>
        <w:spacing w:before="240" w:after="0" w:line="480" w:lineRule="auto"/>
        <w:jc w:val="both"/>
        <w:rPr>
          <w:rFonts w:ascii="Arial" w:hAnsi="Arial" w:cs="Arial"/>
          <w:sz w:val="24"/>
          <w:szCs w:val="24"/>
        </w:rPr>
      </w:pPr>
      <w:hyperlink r:id="rId7" w:history="1">
        <w:r w:rsidR="001B56B3" w:rsidRPr="00EF1405">
          <w:rPr>
            <w:rStyle w:val="Hyperlink"/>
            <w:rFonts w:ascii="Arial" w:hAnsi="Arial" w:cs="Arial"/>
            <w:color w:val="auto"/>
            <w:sz w:val="24"/>
            <w:szCs w:val="24"/>
            <w:lang w:val="en-US"/>
          </w:rPr>
          <w:t>maaria.rosenkranz@biologie.uni-regensburg.de</w:t>
        </w:r>
      </w:hyperlink>
    </w:p>
    <w:p w14:paraId="6DB9CD3E" w14:textId="77777777" w:rsidR="001B56B3" w:rsidRPr="00EF1405" w:rsidRDefault="001B56B3" w:rsidP="001B56B3">
      <w:pPr>
        <w:spacing w:before="240" w:after="0" w:line="480" w:lineRule="auto"/>
        <w:rPr>
          <w:rFonts w:ascii="Arial" w:hAnsi="Arial" w:cs="Arial"/>
          <w:sz w:val="24"/>
          <w:szCs w:val="24"/>
        </w:rPr>
      </w:pPr>
    </w:p>
    <w:p w14:paraId="0C03AEE6" w14:textId="77777777" w:rsidR="001B56B3" w:rsidRPr="00EF1405" w:rsidRDefault="001B56B3" w:rsidP="001B56B3">
      <w:pPr>
        <w:pStyle w:val="NormalWeb"/>
        <w:spacing w:line="480" w:lineRule="auto"/>
        <w:jc w:val="both"/>
        <w:rPr>
          <w:rFonts w:ascii="Arial" w:hAnsi="Arial" w:cs="Arial"/>
          <w:b/>
          <w:bCs/>
        </w:rPr>
      </w:pPr>
    </w:p>
    <w:p w14:paraId="04596C46" w14:textId="77777777" w:rsidR="001B56B3" w:rsidRPr="00EF1405" w:rsidRDefault="001B56B3" w:rsidP="001B56B3">
      <w:pPr>
        <w:pStyle w:val="NormalWeb"/>
        <w:spacing w:line="480" w:lineRule="auto"/>
        <w:jc w:val="both"/>
        <w:rPr>
          <w:rFonts w:ascii="Arial" w:hAnsi="Arial" w:cs="Arial"/>
          <w:b/>
          <w:bCs/>
        </w:rPr>
      </w:pPr>
    </w:p>
    <w:p w14:paraId="52561BAB" w14:textId="77777777" w:rsidR="000C1446" w:rsidRPr="00EF1405" w:rsidRDefault="000C144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1BFBB4" w14:textId="236C7DD1" w:rsidR="00A6056A" w:rsidRPr="00EF1405" w:rsidRDefault="00A6056A" w:rsidP="0049660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F1405">
        <w:rPr>
          <w:rFonts w:ascii="Arial" w:hAnsi="Arial" w:cs="Arial"/>
          <w:b/>
          <w:bCs/>
        </w:rPr>
        <w:t>Method S1</w:t>
      </w:r>
      <w:r w:rsidRPr="00EF1405">
        <w:rPr>
          <w:rFonts w:ascii="Arial" w:hAnsi="Arial" w:cs="Arial"/>
        </w:rPr>
        <w:t xml:space="preserve">. </w:t>
      </w:r>
      <w:r w:rsidRPr="00EF1405">
        <w:rPr>
          <w:rFonts w:ascii="Arial" w:hAnsi="Arial" w:cs="Arial"/>
          <w:b/>
          <w:bCs/>
        </w:rPr>
        <w:t>Composition of the Modified MMN-Medium</w:t>
      </w:r>
      <w:r w:rsidR="00120B9B" w:rsidRPr="00EF1405">
        <w:rPr>
          <w:rFonts w:ascii="Arial" w:hAnsi="Arial" w:cs="Arial"/>
          <w:b/>
          <w:bCs/>
        </w:rPr>
        <w:t xml:space="preserve"> </w:t>
      </w:r>
      <w:r w:rsidR="00120B9B" w:rsidRPr="00EF1405">
        <w:rPr>
          <w:rFonts w:ascii="Arial" w:hAnsi="Arial" w:cs="Arial"/>
          <w:b/>
          <w:bCs/>
        </w:rPr>
        <w:fldChar w:fldCharType="begin"/>
      </w:r>
      <w:r w:rsidR="00120B9B" w:rsidRPr="00EF1405">
        <w:rPr>
          <w:rFonts w:ascii="Arial" w:hAnsi="Arial" w:cs="Arial"/>
          <w:b/>
          <w:bCs/>
        </w:rPr>
        <w:instrText xml:space="preserve"> ADDIN EN.CITE &lt;EndNote&gt;&lt;Cite&gt;&lt;Author&gt;Müller&lt;/Author&gt;&lt;Year&gt;2013&lt;/Year&gt;&lt;RecNum&gt;81&lt;/RecNum&gt;&lt;DisplayText&gt;(1)&lt;/DisplayText&gt;&lt;record&gt;&lt;rec-number&gt;81&lt;/rec-number&gt;&lt;foreign-keys&gt;&lt;key app="EN" db-id="9zfew2awf2pzfoeaa53pz05x5s9vr5zxavzt" timestamp="1714475536"&gt;81&lt;/key&gt;&lt;/foreign-keys&gt;&lt;ref-type name="Journal Article"&gt;17&lt;/ref-type&gt;&lt;contributors&gt;&lt;authors&gt;&lt;author&gt;Müller, Anna&lt;/author&gt;&lt;author&gt;Faubert, Patrick&lt;/author&gt;&lt;author&gt;Hagen, Michael&lt;/author&gt;&lt;author&gt;zu Castell, Wolfgang&lt;/author&gt;&lt;author&gt;Polle, Andrea&lt;/author&gt;&lt;author&gt;Schnitzler, Jörg-Peter&lt;/author&gt;&lt;author&gt;Rosenkranz, Maaria&lt;/author&gt;&lt;/authors&gt;&lt;/contributors&gt;&lt;titles&gt;&lt;title&gt;Volatile profiles of fungi – Chemotyping of species and ecological functions&lt;/title&gt;&lt;secondary-title&gt;Fungal Genetics and Biology&lt;/secondary-title&gt;&lt;/titles&gt;&lt;periodical&gt;&lt;full-title&gt;Fungal genetics and biology&lt;/full-title&gt;&lt;/periodical&gt;&lt;pages&gt;25-33&lt;/pages&gt;&lt;volume&gt;54&lt;/volume&gt;&lt;keywords&gt;&lt;keyword&gt;Volatile organic compounds&lt;/keyword&gt;&lt;keyword&gt;Fungi&lt;/keyword&gt;&lt;keyword&gt;Chemotyping&lt;/keyword&gt;&lt;keyword&gt;GC-MS&lt;/keyword&gt;&lt;keyword&gt;Sesquiterpenes&lt;/keyword&gt;&lt;/keywords&gt;&lt;dates&gt;&lt;year&gt;2013&lt;/year&gt;&lt;pub-dates&gt;&lt;date&gt;2013/05/01/&lt;/date&gt;&lt;/pub-dates&gt;&lt;/dates&gt;&lt;isbn&gt;1087-1845&lt;/isbn&gt;&lt;urls&gt;&lt;related-urls&gt;&lt;url&gt;https://www.sciencedirect.com/science/article/pii/S1087184513000297&lt;/url&gt;&lt;/related-urls&gt;&lt;/urls&gt;&lt;electronic-resource-num&gt;https://doi.org/10.1016/j.fgb.2013.02.005&lt;/electronic-resource-num&gt;&lt;/record&gt;&lt;/Cite&gt;&lt;/EndNote&gt;</w:instrText>
      </w:r>
      <w:r w:rsidR="00120B9B" w:rsidRPr="00EF1405">
        <w:rPr>
          <w:rFonts w:ascii="Arial" w:hAnsi="Arial" w:cs="Arial"/>
          <w:b/>
          <w:bCs/>
        </w:rPr>
        <w:fldChar w:fldCharType="separate"/>
      </w:r>
      <w:r w:rsidR="00120B9B" w:rsidRPr="00EF1405">
        <w:rPr>
          <w:rFonts w:ascii="Arial" w:hAnsi="Arial" w:cs="Arial"/>
          <w:b/>
          <w:bCs/>
          <w:noProof/>
        </w:rPr>
        <w:t>(</w:t>
      </w:r>
      <w:hyperlink w:anchor="_ENREF_1" w:tooltip="Müller, 2013 #81" w:history="1">
        <w:r w:rsidR="00120B9B" w:rsidRPr="00EF1405">
          <w:rPr>
            <w:rFonts w:ascii="Arial" w:hAnsi="Arial" w:cs="Arial"/>
            <w:b/>
            <w:bCs/>
            <w:noProof/>
          </w:rPr>
          <w:t>1</w:t>
        </w:r>
      </w:hyperlink>
      <w:r w:rsidR="00120B9B" w:rsidRPr="00EF1405">
        <w:rPr>
          <w:rFonts w:ascii="Arial" w:hAnsi="Arial" w:cs="Arial"/>
          <w:b/>
          <w:bCs/>
          <w:noProof/>
        </w:rPr>
        <w:t>)</w:t>
      </w:r>
      <w:r w:rsidR="00120B9B" w:rsidRPr="00EF1405">
        <w:rPr>
          <w:rFonts w:ascii="Arial" w:hAnsi="Arial" w:cs="Arial"/>
          <w:b/>
          <w:bCs/>
        </w:rPr>
        <w:fldChar w:fldCharType="end"/>
      </w:r>
      <w:r w:rsidR="00A64FCC" w:rsidRPr="00EF1405">
        <w:rPr>
          <w:rFonts w:ascii="Arial" w:hAnsi="Arial" w:cs="Arial"/>
          <w:b/>
          <w:bCs/>
        </w:rPr>
        <w:t xml:space="preserve"> </w:t>
      </w:r>
      <w:r w:rsidR="00496606" w:rsidRPr="00EF1405">
        <w:rPr>
          <w:rFonts w:ascii="Arial" w:hAnsi="Arial" w:cs="Arial"/>
          <w:b/>
          <w:bCs/>
        </w:rPr>
        <w:t>used in the experiment</w:t>
      </w:r>
      <w:r w:rsidRPr="00EF1405">
        <w:rPr>
          <w:rFonts w:ascii="Arial" w:hAnsi="Arial" w:cs="Arial"/>
          <w:b/>
          <w:bCs/>
        </w:rPr>
        <w:t>:</w:t>
      </w:r>
      <w:r w:rsidRPr="00EF1405">
        <w:rPr>
          <w:rFonts w:ascii="Arial" w:hAnsi="Arial" w:cs="Arial"/>
        </w:rPr>
        <w:tab/>
      </w:r>
      <w:r w:rsidRPr="00EF1405">
        <w:rPr>
          <w:rFonts w:ascii="Arial" w:hAnsi="Arial" w:cs="Arial"/>
        </w:rPr>
        <w:tab/>
        <w:t>  </w:t>
      </w:r>
    </w:p>
    <w:tbl>
      <w:tblPr>
        <w:tblW w:w="83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9"/>
        <w:gridCol w:w="1604"/>
        <w:gridCol w:w="3047"/>
      </w:tblGrid>
      <w:tr w:rsidR="00EF1405" w:rsidRPr="00EF1405" w14:paraId="288FB708" w14:textId="77777777" w:rsidTr="00746862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5193F976" w14:textId="77777777" w:rsidR="00A6056A" w:rsidRPr="00EF1405" w:rsidRDefault="00A6056A" w:rsidP="007468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Substrate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34D6123D" w14:textId="77777777" w:rsidR="00A6056A" w:rsidRPr="00EF1405" w:rsidRDefault="00A6056A" w:rsidP="007468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Company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14:paraId="138676FE" w14:textId="4F6BE39A" w:rsidR="00A6056A" w:rsidRPr="00EF1405" w:rsidRDefault="00A6056A" w:rsidP="007468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Concentration/ L</w:t>
            </w:r>
          </w:p>
        </w:tc>
      </w:tr>
      <w:tr w:rsidR="00EF1405" w:rsidRPr="00EF1405" w14:paraId="7A1A893D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6D6FB2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Glucose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62C592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Duchefa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425DEF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10 g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</w:tr>
      <w:tr w:rsidR="00EF1405" w:rsidRPr="00EF1405" w14:paraId="0035408B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FED2F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Maltose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0B0002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Duchefa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0C480E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3 g</w:t>
            </w:r>
          </w:p>
        </w:tc>
      </w:tr>
      <w:tr w:rsidR="00EF1405" w:rsidRPr="00EF1405" w14:paraId="373227A5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F9C6DA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NH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4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-Tartrat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4E4F12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VWR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3C3E63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2,5 g </w:t>
            </w:r>
          </w:p>
        </w:tc>
      </w:tr>
      <w:tr w:rsidR="00EF1405" w:rsidRPr="00EF1405" w14:paraId="6FF91D36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27A9F4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(NH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4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)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2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SO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4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FB447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Merck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4024D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0,25 g </w:t>
            </w:r>
          </w:p>
        </w:tc>
      </w:tr>
      <w:tr w:rsidR="00EF1405" w:rsidRPr="00EF1405" w14:paraId="0F3A6E58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E28745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KH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2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PO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4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6C3637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Duchefa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688EC8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0,5 </w:t>
            </w:r>
          </w:p>
        </w:tc>
      </w:tr>
      <w:tr w:rsidR="00EF1405" w:rsidRPr="00EF1405" w14:paraId="4B705650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7D7B8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MgSO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4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 xml:space="preserve"> 7 H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2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O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0B9F0F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Duchefa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E1EDE5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0,15 </w:t>
            </w:r>
          </w:p>
        </w:tc>
      </w:tr>
      <w:tr w:rsidR="00EF1405" w:rsidRPr="00EF1405" w14:paraId="78A85743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AC1906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CaCl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2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 xml:space="preserve"> 2 H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en-IN"/>
                <w14:ligatures w14:val="standardContextual"/>
              </w:rPr>
              <w:t>2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O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48CC79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Merck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D9413C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0,05 </w:t>
            </w:r>
          </w:p>
        </w:tc>
      </w:tr>
      <w:tr w:rsidR="00EF1405" w:rsidRPr="00EF1405" w14:paraId="4CEF07C7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289594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NaCl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FF52DD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Merck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1ACB1F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0,025 g </w:t>
            </w:r>
          </w:p>
        </w:tc>
      </w:tr>
      <w:tr w:rsidR="00EF1405" w:rsidRPr="00EF1405" w14:paraId="0E840FE9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0A3AE2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Thiamin HCl * 0,1%ig </w:t>
            </w:r>
          </w:p>
          <w:p w14:paraId="68819E8E" w14:textId="4314E43C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(10 mg/10 ml water, sterile Filtrate)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C9F1A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Merck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608967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100 µl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</w:tr>
      <w:tr w:rsidR="00EF1405" w:rsidRPr="00EF1405" w14:paraId="6201CA16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6308CD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val="de-DE" w:eastAsia="en-IN"/>
                <w14:ligatures w14:val="standardContextual"/>
              </w:rPr>
              <w:t>FeCl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vertAlign w:val="subscript"/>
                <w:lang w:val="de-DE" w:eastAsia="en-IN"/>
                <w14:ligatures w14:val="standardContextual"/>
              </w:rPr>
              <w:t>3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val="de-DE" w:eastAsia="en-IN"/>
                <w14:ligatures w14:val="standardContextual"/>
              </w:rPr>
              <w:t xml:space="preserve"> * 1%ig </w:t>
            </w:r>
          </w:p>
          <w:p w14:paraId="2155924A" w14:textId="735833A4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de-DE"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val="de-DE" w:eastAsia="en-IN"/>
                <w14:ligatures w14:val="standardContextual"/>
              </w:rPr>
              <w:t>(1 g/100 ml Water, sterile Filtrate)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D9F76C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Merck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F5E292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1 ml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</w:tr>
      <w:tr w:rsidR="00EF1405" w:rsidRPr="00EF1405" w14:paraId="4AA35C20" w14:textId="77777777" w:rsidTr="00F447AC">
        <w:trPr>
          <w:trHeight w:val="525"/>
          <w:jc w:val="center"/>
        </w:trPr>
        <w:tc>
          <w:tcPr>
            <w:tcW w:w="3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B2A008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Gelrite 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B23E47" w14:textId="77777777" w:rsidR="00A6056A" w:rsidRPr="00EF1405" w:rsidRDefault="00A6056A" w:rsidP="00F447A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Duchefa 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C0EDF" w14:textId="77777777" w:rsidR="00A6056A" w:rsidRPr="00EF1405" w:rsidRDefault="00A6056A" w:rsidP="00F447AC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1 % 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 </w:t>
            </w:r>
          </w:p>
        </w:tc>
      </w:tr>
    </w:tbl>
    <w:p w14:paraId="78120CAA" w14:textId="77777777" w:rsidR="00A6056A" w:rsidRPr="00EF1405" w:rsidRDefault="00A6056A" w:rsidP="00A6056A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</w:pPr>
      <w:r w:rsidRPr="00EF1405"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  <w:t> </w:t>
      </w:r>
    </w:p>
    <w:p w14:paraId="677CDC2D" w14:textId="0F11C3A3" w:rsidR="00A6056A" w:rsidRPr="00EF1405" w:rsidRDefault="00BC248D" w:rsidP="00A6056A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</w:pPr>
      <w:r w:rsidRPr="00EF1405"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  <w:t xml:space="preserve">To prepare the Modified MMN-Medium </w:t>
      </w:r>
      <w:r w:rsidR="00A6056A" w:rsidRPr="00EF1405"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  <w:t xml:space="preserve">pH is set to 5.2, </w:t>
      </w:r>
      <w:r w:rsidRPr="00EF1405"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  <w:t>the medium is autoclaved and, after cooling down to</w:t>
      </w:r>
      <w:r w:rsidR="00A6056A" w:rsidRPr="00EF1405"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  <w:t xml:space="preserve"> ca. 60°C</w:t>
      </w:r>
      <w:r w:rsidRPr="00EF1405"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  <w:t xml:space="preserve"> </w:t>
      </w:r>
      <w:r w:rsidR="00A6056A" w:rsidRPr="00EF1405"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  <w:t>Thiamin-HCl and FeCl</w:t>
      </w:r>
      <w:r w:rsidR="00A6056A" w:rsidRPr="00EF1405">
        <w:rPr>
          <w:rFonts w:ascii="Arial" w:eastAsia="Times New Roman" w:hAnsi="Arial" w:cs="Arial"/>
          <w:sz w:val="24"/>
          <w:szCs w:val="24"/>
          <w:vertAlign w:val="subscript"/>
          <w:lang w:val="en-US" w:eastAsia="en-IN"/>
          <w14:ligatures w14:val="standardContextual"/>
        </w:rPr>
        <w:t xml:space="preserve">3 </w:t>
      </w:r>
      <w:r w:rsidR="00A6056A" w:rsidRPr="00EF1405"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  <w:t>are added.</w:t>
      </w:r>
    </w:p>
    <w:p w14:paraId="7BC7888C" w14:textId="77777777" w:rsidR="00A6056A" w:rsidRPr="00EF1405" w:rsidRDefault="00A6056A" w:rsidP="00A6056A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</w:pPr>
    </w:p>
    <w:p w14:paraId="7798DBB1" w14:textId="77777777" w:rsidR="00A6056A" w:rsidRPr="00EF1405" w:rsidRDefault="00A6056A" w:rsidP="00A6056A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 w:eastAsia="en-IN"/>
          <w14:ligatures w14:val="standardContextual"/>
        </w:rPr>
      </w:pPr>
    </w:p>
    <w:p w14:paraId="5DEE9542" w14:textId="5E88A04D" w:rsidR="00A6056A" w:rsidRPr="00EF1405" w:rsidRDefault="00A6056A" w:rsidP="00A6056A">
      <w:pPr>
        <w:spacing w:after="0" w:line="240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Method S2</w:t>
      </w:r>
      <w:r w:rsidRPr="00EF1405">
        <w:rPr>
          <w:rFonts w:ascii="Arial" w:hAnsi="Arial" w:cs="Arial"/>
          <w:sz w:val="24"/>
          <w:szCs w:val="24"/>
        </w:rPr>
        <w:t xml:space="preserve">. </w:t>
      </w:r>
      <w:r w:rsidRPr="00EF1405">
        <w:rPr>
          <w:rFonts w:ascii="Arial" w:hAnsi="Arial" w:cs="Arial"/>
          <w:b/>
          <w:bCs/>
          <w:sz w:val="24"/>
          <w:szCs w:val="24"/>
        </w:rPr>
        <w:t>Primer pairs used for fungal identification</w:t>
      </w:r>
      <w:r w:rsidR="00625918" w:rsidRPr="00EF1405">
        <w:rPr>
          <w:rFonts w:ascii="Arial" w:hAnsi="Arial" w:cs="Arial"/>
          <w:b/>
          <w:bCs/>
          <w:sz w:val="24"/>
          <w:szCs w:val="24"/>
        </w:rPr>
        <w:t xml:space="preserve"> </w:t>
      </w:r>
      <w:r w:rsidR="00120B9B" w:rsidRPr="00EF1405">
        <w:rPr>
          <w:rFonts w:ascii="Arial" w:hAnsi="Arial" w:cs="Arial"/>
          <w:b/>
          <w:bCs/>
          <w:sz w:val="24"/>
          <w:szCs w:val="24"/>
        </w:rPr>
        <w:fldChar w:fldCharType="begin"/>
      </w:r>
      <w:r w:rsidR="00120B9B" w:rsidRPr="00EF1405">
        <w:rPr>
          <w:rFonts w:ascii="Arial" w:hAnsi="Arial" w:cs="Arial"/>
          <w:b/>
          <w:bCs/>
          <w:sz w:val="24"/>
          <w:szCs w:val="24"/>
        </w:rPr>
        <w:instrText xml:space="preserve"> ADDIN EN.CITE &lt;EndNote&gt;&lt;Cite&gt;&lt;Author&gt;Stange&lt;/Author&gt;&lt;Year&gt;2023&lt;/Year&gt;&lt;RecNum&gt;140&lt;/RecNum&gt;&lt;DisplayText&gt;(2)&lt;/DisplayText&gt;&lt;record&gt;&lt;rec-number&gt;140&lt;/rec-number&gt;&lt;foreign-keys&gt;&lt;key app="EN" db-id="9zfew2awf2pzfoeaa53pz05x5s9vr5zxavzt" timestamp="1740066430"&gt;140&lt;/key&gt;&lt;/foreign-keys&gt;&lt;ref-type name="Journal Article"&gt;17&lt;/ref-type&gt;&lt;contributors&gt;&lt;authors&gt;&lt;author&gt;Stange, Pia&lt;/author&gt;&lt;author&gt;Seidl, Sophia&lt;/author&gt;&lt;author&gt;Karl, Tanja&lt;/author&gt;&lt;author&gt;Benz, J. Philipp&lt;/author&gt;&lt;/authors&gt;&lt;/contributors&gt;&lt;titles&gt;&lt;title&gt;Evaluation of Trichoderma isolates as biocontrol measure against Claviceps purpurea&lt;/title&gt;&lt;secondary-title&gt;European Journal of Plant Pathology&lt;/secondary-title&gt;&lt;/titles&gt;&lt;periodical&gt;&lt;full-title&gt;European Journal of Plant Pathology&lt;/full-title&gt;&lt;/periodical&gt;&lt;pages&gt;651-675&lt;/pages&gt;&lt;volume&gt;167&lt;/volume&gt;&lt;number&gt;4&lt;/number&gt;&lt;dates&gt;&lt;year&gt;2023&lt;/year&gt;&lt;pub-dates&gt;&lt;date&gt;2023/12/01&lt;/date&gt;&lt;/pub-dates&gt;&lt;/dates&gt;&lt;isbn&gt;1573-8469&lt;/isbn&gt;&lt;urls&gt;&lt;related-urls&gt;&lt;url&gt;https://doi.org/10.1007/s10658-023-02716-w&lt;/url&gt;&lt;/related-urls&gt;&lt;/urls&gt;&lt;electronic-resource-num&gt;10.1007/s10658-023-02716-w&lt;/electronic-resource-num&gt;&lt;/record&gt;&lt;/Cite&gt;&lt;/EndNote&gt;</w:instrText>
      </w:r>
      <w:r w:rsidR="00120B9B" w:rsidRPr="00EF1405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120B9B" w:rsidRPr="00EF1405">
        <w:rPr>
          <w:rFonts w:ascii="Arial" w:hAnsi="Arial" w:cs="Arial"/>
          <w:b/>
          <w:bCs/>
          <w:noProof/>
          <w:sz w:val="24"/>
          <w:szCs w:val="24"/>
        </w:rPr>
        <w:t>(</w:t>
      </w:r>
      <w:hyperlink w:anchor="_ENREF_2" w:tooltip="Stange, 2023 #140" w:history="1">
        <w:r w:rsidR="00120B9B" w:rsidRPr="00EF1405">
          <w:rPr>
            <w:rFonts w:ascii="Arial" w:hAnsi="Arial" w:cs="Arial"/>
            <w:b/>
            <w:bCs/>
            <w:noProof/>
            <w:sz w:val="24"/>
            <w:szCs w:val="24"/>
          </w:rPr>
          <w:t>2</w:t>
        </w:r>
      </w:hyperlink>
      <w:r w:rsidR="00120B9B" w:rsidRPr="00EF1405">
        <w:rPr>
          <w:rFonts w:ascii="Arial" w:hAnsi="Arial" w:cs="Arial"/>
          <w:b/>
          <w:bCs/>
          <w:noProof/>
          <w:sz w:val="24"/>
          <w:szCs w:val="24"/>
        </w:rPr>
        <w:t>)</w:t>
      </w:r>
      <w:r w:rsidR="00120B9B" w:rsidRPr="00EF1405">
        <w:rPr>
          <w:rFonts w:ascii="Arial" w:hAnsi="Arial" w:cs="Arial"/>
          <w:b/>
          <w:bCs/>
          <w:sz w:val="24"/>
          <w:szCs w:val="24"/>
        </w:rPr>
        <w:fldChar w:fldCharType="end"/>
      </w:r>
      <w:r w:rsidRPr="00EF1405">
        <w:rPr>
          <w:rFonts w:ascii="Arial" w:hAnsi="Arial" w:cs="Arial"/>
          <w:b/>
          <w:bCs/>
          <w:sz w:val="24"/>
          <w:szCs w:val="24"/>
        </w:rPr>
        <w:t>:</w:t>
      </w:r>
    </w:p>
    <w:p w14:paraId="7D3ADA5C" w14:textId="77777777" w:rsidR="00A6056A" w:rsidRPr="00EF1405" w:rsidRDefault="00A6056A" w:rsidP="00A6056A">
      <w:pPr>
        <w:spacing w:after="0" w:line="240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175"/>
        <w:gridCol w:w="3683"/>
        <w:gridCol w:w="2675"/>
      </w:tblGrid>
      <w:tr w:rsidR="00EF1405" w:rsidRPr="00EF1405" w14:paraId="48A1168D" w14:textId="77777777" w:rsidTr="00746862">
        <w:trPr>
          <w:trHeight w:val="286"/>
        </w:trPr>
        <w:tc>
          <w:tcPr>
            <w:tcW w:w="2175" w:type="dxa"/>
            <w:shd w:val="clear" w:color="auto" w:fill="BFBFBF" w:themeFill="background1" w:themeFillShade="BF"/>
          </w:tcPr>
          <w:p w14:paraId="6A310167" w14:textId="24493B0D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Target</w:t>
            </w:r>
          </w:p>
        </w:tc>
        <w:tc>
          <w:tcPr>
            <w:tcW w:w="3683" w:type="dxa"/>
            <w:shd w:val="clear" w:color="auto" w:fill="BFBFBF" w:themeFill="background1" w:themeFillShade="BF"/>
          </w:tcPr>
          <w:p w14:paraId="750FC8B9" w14:textId="19801593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Primer sequence (5’-3’)</w:t>
            </w:r>
          </w:p>
        </w:tc>
        <w:tc>
          <w:tcPr>
            <w:tcW w:w="2675" w:type="dxa"/>
            <w:shd w:val="clear" w:color="auto" w:fill="BFBFBF" w:themeFill="background1" w:themeFillShade="BF"/>
          </w:tcPr>
          <w:p w14:paraId="79944828" w14:textId="1FFEFFA1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Reference</w:t>
            </w:r>
          </w:p>
        </w:tc>
      </w:tr>
      <w:tr w:rsidR="00EF1405" w:rsidRPr="00EF1405" w14:paraId="03912AB0" w14:textId="77777777" w:rsidTr="00746862">
        <w:trPr>
          <w:trHeight w:val="286"/>
        </w:trPr>
        <w:tc>
          <w:tcPr>
            <w:tcW w:w="2175" w:type="dxa"/>
          </w:tcPr>
          <w:p w14:paraId="66EAE7FA" w14:textId="22B7F6D8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ITS 1</w:t>
            </w:r>
          </w:p>
        </w:tc>
        <w:tc>
          <w:tcPr>
            <w:tcW w:w="3683" w:type="dxa"/>
          </w:tcPr>
          <w:p w14:paraId="5CD249F8" w14:textId="2E61E779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TCCGTAGGTGAACCTGCGG</w:t>
            </w:r>
          </w:p>
        </w:tc>
        <w:tc>
          <w:tcPr>
            <w:tcW w:w="2675" w:type="dxa"/>
            <w:vMerge w:val="restart"/>
          </w:tcPr>
          <w:p w14:paraId="0A6C9B5E" w14:textId="1BD972BB" w:rsidR="00A6056A" w:rsidRPr="00EF1405" w:rsidRDefault="00120B9B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begin"/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instrText xml:space="preserve"> ADDIN EN.CITE &lt;EndNote&gt;&lt;Cite&gt;&lt;Author&gt;White&lt;/Author&gt;&lt;Year&gt;1990&lt;/Year&gt;&lt;RecNum&gt;148&lt;/RecNum&gt;&lt;DisplayText&gt;(3)&lt;/DisplayText&gt;&lt;record&gt;&lt;rec-number&gt;148&lt;/rec-number&gt;&lt;foreign-keys&gt;&lt;key app="EN" db-id="9zfew2awf2pzfoeaa53pz05x5s9vr5zxavzt" timestamp="1740069735"&gt;148&lt;/key&gt;&lt;/foreign-keys&gt;&lt;ref-type name="Book Section"&gt;5&lt;/ref-type&gt;&lt;contributors&gt;&lt;authors&gt;&lt;author&gt;White, T. J.&lt;/author&gt;&lt;author&gt;Bruns, T.&lt;/author&gt;&lt;author&gt;Lee, S.&lt;/author&gt;&lt;author&gt;Taylor, J.&lt;/author&gt;&lt;/authors&gt;&lt;secondary-authors&gt;&lt;author&gt;Innis, Michael A.&lt;/author&gt;&lt;author&gt;Gelfand, David H.&lt;/author&gt;&lt;author&gt;Sninsky, John J.&lt;/author&gt;&lt;author&gt;White, Thomas J.&lt;/author&gt;&lt;/secondary-authors&gt;&lt;/contributors&gt;&lt;titles&gt;&lt;title&gt;38 - AMPLIFICATION AND DIRECT SEQUENCING OF FUNGAL RIBOSOMAL RNA GENES FOR PHYLOGENETICS&lt;/title&gt;&lt;secondary-title&gt;PCR Protocols&lt;/secondary-title&gt;&lt;/titles&gt;&lt;pages&gt;315-322&lt;/pages&gt;&lt;dates&gt;&lt;year&gt;1990&lt;/year&gt;&lt;pub-dates&gt;&lt;date&gt;1990/01/01/&lt;/date&gt;&lt;/pub-dates&gt;&lt;/dates&gt;&lt;pub-location&gt;San Diego&lt;/pub-location&gt;&lt;publisher&gt;Academic Press&lt;/publisher&gt;&lt;isbn&gt;978-0-12-372180-8&lt;/isbn&gt;&lt;urls&gt;&lt;related-urls&gt;&lt;url&gt;https://www.sciencedirect.com/science/article/pii/B9780123721808500421&lt;/url&gt;&lt;/related-urls&gt;&lt;/urls&gt;&lt;electronic-resource-num&gt;https://doi.org/10.1016/B978-0-12-372180-8.50042-1&lt;/electronic-resource-num&gt;&lt;/record&gt;&lt;/Cite&gt;&lt;/EndNote&gt;</w:instrTex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separate"/>
            </w:r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(</w:t>
            </w:r>
            <w:hyperlink w:anchor="_ENREF_3" w:tooltip="White, 1990 #148" w:history="1">
              <w:r w:rsidRPr="00EF1405">
                <w:rPr>
                  <w:rFonts w:ascii="Arial" w:eastAsia="Times New Roman" w:hAnsi="Arial" w:cs="Arial"/>
                  <w:noProof/>
                  <w:sz w:val="24"/>
                  <w:szCs w:val="24"/>
                  <w:lang w:eastAsia="en-IN"/>
                  <w14:ligatures w14:val="standardContextual"/>
                </w:rPr>
                <w:t>3</w:t>
              </w:r>
            </w:hyperlink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)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end"/>
            </w:r>
          </w:p>
        </w:tc>
      </w:tr>
      <w:tr w:rsidR="00EF1405" w:rsidRPr="00EF1405" w14:paraId="0C2248FF" w14:textId="77777777" w:rsidTr="00746862">
        <w:trPr>
          <w:trHeight w:val="286"/>
        </w:trPr>
        <w:tc>
          <w:tcPr>
            <w:tcW w:w="2175" w:type="dxa"/>
          </w:tcPr>
          <w:p w14:paraId="731F44A0" w14:textId="3A868CCF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ITS 4</w:t>
            </w:r>
          </w:p>
        </w:tc>
        <w:tc>
          <w:tcPr>
            <w:tcW w:w="3683" w:type="dxa"/>
          </w:tcPr>
          <w:p w14:paraId="1198B227" w14:textId="5E33926D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TCCTCCGCTTATTGATATGC</w:t>
            </w:r>
          </w:p>
        </w:tc>
        <w:tc>
          <w:tcPr>
            <w:tcW w:w="2675" w:type="dxa"/>
            <w:vMerge/>
          </w:tcPr>
          <w:p w14:paraId="29F737BE" w14:textId="77777777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</w:p>
        </w:tc>
      </w:tr>
      <w:tr w:rsidR="00EF1405" w:rsidRPr="00EF1405" w14:paraId="08F31C24" w14:textId="77777777" w:rsidTr="00746862">
        <w:trPr>
          <w:trHeight w:val="286"/>
        </w:trPr>
        <w:tc>
          <w:tcPr>
            <w:tcW w:w="2175" w:type="dxa"/>
          </w:tcPr>
          <w:p w14:paraId="1A57115E" w14:textId="1DF5DD8E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de-DE"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val="de-DE" w:eastAsia="en-IN"/>
                <w14:ligatures w14:val="standardContextual"/>
              </w:rPr>
              <w:t>EF1</w:t>
            </w:r>
          </w:p>
        </w:tc>
        <w:tc>
          <w:tcPr>
            <w:tcW w:w="3683" w:type="dxa"/>
          </w:tcPr>
          <w:p w14:paraId="1941F581" w14:textId="4080EBC2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ATGGGTAAGGARGACAAGAC</w:t>
            </w:r>
          </w:p>
        </w:tc>
        <w:tc>
          <w:tcPr>
            <w:tcW w:w="2675" w:type="dxa"/>
            <w:vMerge w:val="restart"/>
          </w:tcPr>
          <w:p w14:paraId="12740BBD" w14:textId="2AF3CB81" w:rsidR="00A6056A" w:rsidRPr="00EF1405" w:rsidRDefault="00120B9B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begin"/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instrText xml:space="preserve"> ADDIN EN.CITE &lt;EndNote&gt;&lt;Cite&gt;&lt;Author&gt;O’Donnell&lt;/Author&gt;&lt;Year&gt;1998&lt;/Year&gt;&lt;RecNum&gt;149&lt;/RecNum&gt;&lt;DisplayText&gt;(4)&lt;/DisplayText&gt;&lt;record&gt;&lt;rec-number&gt;149&lt;/rec-number&gt;&lt;foreign-keys&gt;&lt;key app="EN" db-id="9zfew2awf2pzfoeaa53pz05x5s9vr5zxavzt" timestamp="1740069745"&gt;149&lt;/key&gt;&lt;/foreign-keys&gt;&lt;ref-type name="Journal Article"&gt;17&lt;/ref-type&gt;&lt;contributors&gt;&lt;authors&gt;&lt;author&gt;O’Donnell, Kerry&lt;/author&gt;&lt;author&gt;Kistler, H. Corby&lt;/author&gt;&lt;author&gt;Cigelnik, Elizabeth&lt;/author&gt;&lt;author&gt;Ploetz, Randy C.&lt;/author&gt;&lt;/authors&gt;&lt;/contributors&gt;&lt;titles&gt;&lt;title&gt;Multiple evolutionary origins of the fungus causing Panama disease of banana: Concordant evidence from nuclear and mitochondrial gene genealogies&lt;/title&gt;&lt;secondary-title&gt;Proceedings of the National Academy of Sciences&lt;/secondary-title&gt;&lt;/titles&gt;&lt;periodical&gt;&lt;full-title&gt;Proceedings of the National Academy of Sciences&lt;/full-title&gt;&lt;/periodical&gt;&lt;pages&gt;2044-2049&lt;/pages&gt;&lt;volume&gt;95&lt;/volume&gt;&lt;number&gt;5&lt;/number&gt;&lt;dates&gt;&lt;year&gt;1998&lt;/year&gt;&lt;pub-dates&gt;&lt;date&gt;1998/03/03&lt;/date&gt;&lt;/pub-dates&gt;&lt;/dates&gt;&lt;publisher&gt;Proceedings of the National Academy of Sciences&lt;/publisher&gt;&lt;urls&gt;&lt;related-urls&gt;&lt;url&gt;https://doi.org/10.1073/pnas.95.5.2044&lt;/url&gt;&lt;/related-urls&gt;&lt;/urls&gt;&lt;electronic-resource-num&gt;10.1073/pnas.95.5.2044&lt;/electronic-resource-num&gt;&lt;access-date&gt;2025/02/20&lt;/access-date&gt;&lt;/record&gt;&lt;/Cite&gt;&lt;/EndNote&gt;</w:instrTex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separate"/>
            </w:r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(</w:t>
            </w:r>
            <w:hyperlink w:anchor="_ENREF_4" w:tooltip="O’Donnell, 1998 #149" w:history="1">
              <w:r w:rsidRPr="00EF1405">
                <w:rPr>
                  <w:rFonts w:ascii="Arial" w:eastAsia="Times New Roman" w:hAnsi="Arial" w:cs="Arial"/>
                  <w:noProof/>
                  <w:sz w:val="24"/>
                  <w:szCs w:val="24"/>
                  <w:lang w:eastAsia="en-IN"/>
                  <w14:ligatures w14:val="standardContextual"/>
                </w:rPr>
                <w:t>4</w:t>
              </w:r>
            </w:hyperlink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)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end"/>
            </w:r>
          </w:p>
        </w:tc>
      </w:tr>
      <w:tr w:rsidR="00EF1405" w:rsidRPr="00EF1405" w14:paraId="268EDB8E" w14:textId="77777777" w:rsidTr="00746862">
        <w:trPr>
          <w:trHeight w:val="286"/>
        </w:trPr>
        <w:tc>
          <w:tcPr>
            <w:tcW w:w="2175" w:type="dxa"/>
          </w:tcPr>
          <w:p w14:paraId="718B59AE" w14:textId="1F2664AF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EF2</w:t>
            </w:r>
          </w:p>
        </w:tc>
        <w:tc>
          <w:tcPr>
            <w:tcW w:w="3683" w:type="dxa"/>
          </w:tcPr>
          <w:p w14:paraId="09FC68CB" w14:textId="56E55BE5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GGARGTACCAGTSATCATGTT</w:t>
            </w:r>
          </w:p>
        </w:tc>
        <w:tc>
          <w:tcPr>
            <w:tcW w:w="2675" w:type="dxa"/>
            <w:vMerge/>
          </w:tcPr>
          <w:p w14:paraId="334CDB89" w14:textId="77777777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</w:p>
        </w:tc>
      </w:tr>
      <w:tr w:rsidR="00EF1405" w:rsidRPr="00EF1405" w14:paraId="58C91B5E" w14:textId="77777777" w:rsidTr="00746862">
        <w:trPr>
          <w:trHeight w:val="286"/>
        </w:trPr>
        <w:tc>
          <w:tcPr>
            <w:tcW w:w="2175" w:type="dxa"/>
          </w:tcPr>
          <w:p w14:paraId="5189A6AF" w14:textId="4F0392BD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fRPB2-5f</w:t>
            </w:r>
          </w:p>
        </w:tc>
        <w:tc>
          <w:tcPr>
            <w:tcW w:w="3683" w:type="dxa"/>
          </w:tcPr>
          <w:p w14:paraId="28CC6815" w14:textId="46F23248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GAYGAYMGWGATCAYTTYGG</w:t>
            </w:r>
          </w:p>
        </w:tc>
        <w:tc>
          <w:tcPr>
            <w:tcW w:w="2675" w:type="dxa"/>
            <w:vMerge w:val="restart"/>
          </w:tcPr>
          <w:p w14:paraId="44C1C5AB" w14:textId="0B9C668E" w:rsidR="00A6056A" w:rsidRPr="00EF1405" w:rsidRDefault="00120B9B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begin"/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instrText xml:space="preserve"> ADDIN EN.CITE &lt;EndNote&gt;&lt;Cite&gt;&lt;Author&gt;Liu&lt;/Author&gt;&lt;Year&gt;1999&lt;/Year&gt;&lt;RecNum&gt;150&lt;/RecNum&gt;&lt;DisplayText&gt;(5)&lt;/DisplayText&gt;&lt;record&gt;&lt;rec-number&gt;150&lt;/rec-number&gt;&lt;foreign-keys&gt;&lt;key app="EN" db-id="9zfew2awf2pzfoeaa53pz05x5s9vr5zxavzt" timestamp="1740069754"&gt;150&lt;/key&gt;&lt;/foreign-keys&gt;&lt;ref-type name="Journal Article"&gt;17&lt;/ref-type&gt;&lt;contributors&gt;&lt;authors&gt;&lt;author&gt;Liu, Y. J.&lt;/author&gt;&lt;author&gt;Whelen, S.&lt;/author&gt;&lt;author&gt;Hall, B. D.&lt;/author&gt;&lt;/authors&gt;&lt;/contributors&gt;&lt;titles&gt;&lt;title&gt;Phylogenetic relationships among ascomycetes: evidence from an RNA polymerse II subunit&lt;/title&gt;&lt;secondary-title&gt;Molecular Biology and Evolution&lt;/secondary-title&gt;&lt;/titles&gt;&lt;periodical&gt;&lt;full-title&gt;Molecular Biology and Evolution&lt;/full-title&gt;&lt;/periodical&gt;&lt;pages&gt;1799-1808&lt;/pages&gt;&lt;volume&gt;16&lt;/volume&gt;&lt;number&gt;12&lt;/number&gt;&lt;dates&gt;&lt;year&gt;1999&lt;/year&gt;&lt;/dates&gt;&lt;isbn&gt;0737-4038&lt;/isbn&gt;&lt;urls&gt;&lt;related-urls&gt;&lt;url&gt;https://doi.org/10.1093/oxfordjournals.molbev.a026092&lt;/url&gt;&lt;/related-urls&gt;&lt;/urls&gt;&lt;electronic-resource-num&gt;10.1093/oxfordjournals.molbev.a026092&lt;/electronic-resource-num&gt;&lt;access-date&gt;2/20/2025&lt;/access-date&gt;&lt;/record&gt;&lt;/Cite&gt;&lt;/EndNote&gt;</w:instrTex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separate"/>
            </w:r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(</w:t>
            </w:r>
            <w:hyperlink w:anchor="_ENREF_5" w:tooltip="Liu, 1999 #150" w:history="1">
              <w:r w:rsidRPr="00EF1405">
                <w:rPr>
                  <w:rFonts w:ascii="Arial" w:eastAsia="Times New Roman" w:hAnsi="Arial" w:cs="Arial"/>
                  <w:noProof/>
                  <w:sz w:val="24"/>
                  <w:szCs w:val="24"/>
                  <w:lang w:eastAsia="en-IN"/>
                  <w14:ligatures w14:val="standardContextual"/>
                </w:rPr>
                <w:t>5</w:t>
              </w:r>
            </w:hyperlink>
            <w:r w:rsidRPr="00EF1405">
              <w:rPr>
                <w:rFonts w:ascii="Arial" w:eastAsia="Times New Roman" w:hAnsi="Arial" w:cs="Arial"/>
                <w:noProof/>
                <w:sz w:val="24"/>
                <w:szCs w:val="24"/>
                <w:lang w:eastAsia="en-IN"/>
                <w14:ligatures w14:val="standardContextual"/>
              </w:rPr>
              <w:t>)</w:t>
            </w: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fldChar w:fldCharType="end"/>
            </w:r>
          </w:p>
        </w:tc>
      </w:tr>
      <w:tr w:rsidR="00746862" w:rsidRPr="00EF1405" w14:paraId="15377959" w14:textId="77777777" w:rsidTr="00746862">
        <w:trPr>
          <w:trHeight w:val="286"/>
        </w:trPr>
        <w:tc>
          <w:tcPr>
            <w:tcW w:w="2175" w:type="dxa"/>
          </w:tcPr>
          <w:p w14:paraId="362BD4B8" w14:textId="49DC36CA" w:rsidR="00A6056A" w:rsidRPr="00EF1405" w:rsidRDefault="00A6056A" w:rsidP="00746862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  <w14:ligatures w14:val="standardContextual"/>
              </w:rPr>
              <w:t>fRPB2-7cr</w:t>
            </w:r>
          </w:p>
        </w:tc>
        <w:tc>
          <w:tcPr>
            <w:tcW w:w="3683" w:type="dxa"/>
          </w:tcPr>
          <w:p w14:paraId="4A8C5C14" w14:textId="5180404B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  <w:r w:rsidRPr="00EF1405"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  <w:t>CCCATRGCTTGTYYRCCCAT</w:t>
            </w:r>
          </w:p>
        </w:tc>
        <w:tc>
          <w:tcPr>
            <w:tcW w:w="2675" w:type="dxa"/>
            <w:vMerge/>
          </w:tcPr>
          <w:p w14:paraId="05B53ED1" w14:textId="77777777" w:rsidR="00A6056A" w:rsidRPr="00EF1405" w:rsidRDefault="00A6056A" w:rsidP="00746862">
            <w:pPr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IN"/>
                <w14:ligatures w14:val="standardContextual"/>
              </w:rPr>
            </w:pPr>
          </w:p>
        </w:tc>
      </w:tr>
    </w:tbl>
    <w:p w14:paraId="1B25C529" w14:textId="77777777" w:rsidR="00A6056A" w:rsidRPr="00EF1405" w:rsidRDefault="00A6056A" w:rsidP="0074686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en-IN"/>
          <w14:ligatures w14:val="standardContextual"/>
        </w:rPr>
      </w:pPr>
    </w:p>
    <w:p w14:paraId="33D340C1" w14:textId="77777777" w:rsidR="00746862" w:rsidRPr="00EF1405" w:rsidRDefault="00746862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9F8696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FABD93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02AE8BF" w14:textId="53FAE39C" w:rsidR="007F4467" w:rsidRPr="00EF1405" w:rsidRDefault="008C0CD0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Method S</w:t>
      </w:r>
      <w:r w:rsidR="00746862" w:rsidRPr="00EF1405">
        <w:rPr>
          <w:rFonts w:ascii="Arial" w:hAnsi="Arial" w:cs="Arial"/>
          <w:b/>
          <w:bCs/>
          <w:sz w:val="24"/>
          <w:szCs w:val="24"/>
        </w:rPr>
        <w:t>3</w:t>
      </w:r>
      <w:r w:rsidR="007F4467" w:rsidRPr="00EF1405">
        <w:rPr>
          <w:rFonts w:ascii="Arial" w:hAnsi="Arial" w:cs="Arial"/>
          <w:b/>
          <w:bCs/>
          <w:sz w:val="24"/>
          <w:szCs w:val="24"/>
        </w:rPr>
        <w:t xml:space="preserve">: Detailed </w:t>
      </w:r>
      <w:r w:rsidR="00205BA0" w:rsidRPr="00EF1405">
        <w:rPr>
          <w:rFonts w:ascii="Arial" w:hAnsi="Arial" w:cs="Arial"/>
          <w:b/>
          <w:bCs/>
          <w:sz w:val="24"/>
          <w:szCs w:val="24"/>
        </w:rPr>
        <w:t xml:space="preserve">extraction protocols (A) and </w:t>
      </w:r>
      <w:r w:rsidR="007F4467" w:rsidRPr="00EF1405">
        <w:rPr>
          <w:rFonts w:ascii="Arial" w:hAnsi="Arial" w:cs="Arial"/>
          <w:b/>
          <w:bCs/>
          <w:sz w:val="24"/>
          <w:szCs w:val="24"/>
        </w:rPr>
        <w:t>parameters</w:t>
      </w:r>
      <w:r w:rsidR="00205BA0" w:rsidRPr="00EF1405">
        <w:rPr>
          <w:rFonts w:ascii="Arial" w:hAnsi="Arial" w:cs="Arial"/>
          <w:b/>
          <w:bCs/>
          <w:sz w:val="24"/>
          <w:szCs w:val="24"/>
        </w:rPr>
        <w:t xml:space="preserve"> (B)</w:t>
      </w:r>
      <w:r w:rsidR="007F4467" w:rsidRPr="00EF1405">
        <w:rPr>
          <w:rFonts w:ascii="Arial" w:hAnsi="Arial" w:cs="Arial"/>
          <w:b/>
          <w:bCs/>
          <w:sz w:val="24"/>
          <w:szCs w:val="24"/>
        </w:rPr>
        <w:t xml:space="preserve"> of the methods used for non-targeted metabolomics using an ultra-performance liquid chromatography (UPLC) system coupled with ultra-high resolution (UHR) tandem quadrupole/time-of-flight (QqToF) mass spectrometry (MS):</w:t>
      </w:r>
    </w:p>
    <w:p w14:paraId="109DA011" w14:textId="698C5020" w:rsidR="00205BA0" w:rsidRPr="00EF1405" w:rsidRDefault="00205BA0" w:rsidP="000C144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 xml:space="preserve">For the extraction process, 800 µL of a cold (5°C) mixture of methanol: 2-propanol: water (in a ratio 1:1:1, v/v/v) extraction solvent was added to 25 mg of mycelium and freeze-dried media. This solvent contained 50 µL of an internal standard (IS) mixture (Supplementary Methods Table S3). The samples were gently mixed in a 2 mL polypropylene tube for 1 minute. These mixtures were then ultrasonicated for 10 min in a water bath held at approximately 5°C. After sonication, the solution was centrifuged at 10g for 10 minutes at 4°C. This step resulted in the collection of 640 µL of supernatant. The collected supernatant was then subjected to drying using a SpeedVac system (Univapo 150H, Uniequip, Planegg, Germany). The resulting residue was reconstituted in 400 µL of </w:t>
      </w:r>
      <w:r w:rsidR="00BC248D" w:rsidRPr="00EF1405">
        <w:rPr>
          <w:rFonts w:ascii="Arial" w:hAnsi="Arial" w:cs="Arial"/>
          <w:sz w:val="24"/>
          <w:szCs w:val="24"/>
        </w:rPr>
        <w:t xml:space="preserve"> </w:t>
      </w:r>
      <w:r w:rsidRPr="00EF1405">
        <w:rPr>
          <w:rFonts w:ascii="Arial" w:hAnsi="Arial" w:cs="Arial"/>
          <w:sz w:val="24"/>
          <w:szCs w:val="24"/>
        </w:rPr>
        <w:t xml:space="preserve">50% (v/v) acetonitrile in water. After a mixing step of 1 min and subsequent centrifugation at 10 g for 10 min at 5°C, 300 µL of supernatant was carefully transferred into 350 µL amber glass vials (following </w:t>
      </w:r>
      <w:r w:rsidR="00120B9B" w:rsidRPr="00EF1405">
        <w:rPr>
          <w:rFonts w:ascii="Arial" w:hAnsi="Arial" w:cs="Arial"/>
          <w:sz w:val="24"/>
          <w:szCs w:val="24"/>
        </w:rPr>
        <w:fldChar w:fldCharType="begin"/>
      </w:r>
      <w:r w:rsidR="00120B9B" w:rsidRPr="00EF1405">
        <w:rPr>
          <w:rFonts w:ascii="Arial" w:hAnsi="Arial" w:cs="Arial"/>
          <w:sz w:val="24"/>
          <w:szCs w:val="24"/>
        </w:rPr>
        <w:instrText xml:space="preserve"> ADDIN EN.CITE &lt;EndNote&gt;&lt;Cite&gt;&lt;Author&gt;Bertić&lt;/Author&gt;&lt;Year&gt;2021&lt;/Year&gt;&lt;RecNum&gt;85&lt;/RecNum&gt;&lt;DisplayText&gt;(6)&lt;/DisplayText&gt;&lt;record&gt;&lt;rec-number&gt;85&lt;/rec-number&gt;&lt;foreign-keys&gt;&lt;key app="EN" db-id="9zfew2awf2pzfoeaa53pz05x5s9vr5zxavzt" timestamp="1714475899"&gt;85&lt;/key&gt;&lt;/foreign-keys&gt;&lt;ref-type name="Journal Article"&gt;17&lt;/ref-type&gt;&lt;contributors&gt;&lt;authors&gt;&lt;author&gt;Bertić, Marko&lt;/author&gt;&lt;author&gt;Schroeder, Hilke&lt;/author&gt;&lt;author&gt;Kersten, Birgit&lt;/author&gt;&lt;author&gt;Fladung, Matthias&lt;/author&gt;&lt;author&gt;Orgel, Franziska&lt;/author&gt;&lt;author&gt;Buegger, Franz&lt;/author&gt;&lt;author&gt;Schnitzler, Jörg-Peter&lt;/author&gt;&lt;author&gt;Ghirardo, Andrea&lt;/author&gt;&lt;/authors&gt;&lt;/contributors&gt;&lt;titles&gt;&lt;title&gt;European oak chemical diversity – from ecotypes to herbivore resistance&lt;/title&gt;&lt;secondary-title&gt;New Phytologist&lt;/secondary-title&gt;&lt;/titles&gt;&lt;periodical&gt;&lt;full-title&gt;New Phytologist&lt;/full-title&gt;&lt;/periodical&gt;&lt;pages&gt;818-834&lt;/pages&gt;&lt;volume&gt;232&lt;/volume&gt;&lt;number&gt;2&lt;/number&gt;&lt;keywords&gt;&lt;keyword&gt;adaptation&lt;/keyword&gt;&lt;keyword&gt;biomarker&lt;/keyword&gt;&lt;keyword&gt;chemotype&lt;/keyword&gt;&lt;keyword&gt;eco-metabolomics&lt;/keyword&gt;&lt;keyword&gt;ecotype&lt;/keyword&gt;&lt;keyword&gt;flavonoids&lt;/keyword&gt;&lt;keyword&gt;Quercus robur&lt;/keyword&gt;&lt;keyword&gt;Tortrix viridana&lt;/keyword&gt;&lt;/keywords&gt;&lt;dates&gt;&lt;year&gt;2021&lt;/year&gt;&lt;pub-dates&gt;&lt;date&gt;2021/10/01&lt;/date&gt;&lt;/pub-dates&gt;&lt;/dates&gt;&lt;publisher&gt;John Wiley &amp;amp; Sons, Ltd&lt;/publisher&gt;&lt;isbn&gt;0028-646X&lt;/isbn&gt;&lt;urls&gt;&lt;related-urls&gt;&lt;url&gt;https://doi.org/10.1111/nph.17608&lt;/url&gt;&lt;/related-urls&gt;&lt;/urls&gt;&lt;electronic-resource-num&gt;https://doi.org/10.1111/nph.17608&lt;/electronic-resource-num&gt;&lt;access-date&gt;2024/04/30&lt;/access-date&gt;&lt;/record&gt;&lt;/Cite&gt;&lt;/EndNote&gt;</w:instrText>
      </w:r>
      <w:r w:rsidR="00120B9B" w:rsidRPr="00EF1405">
        <w:rPr>
          <w:rFonts w:ascii="Arial" w:hAnsi="Arial" w:cs="Arial"/>
          <w:sz w:val="24"/>
          <w:szCs w:val="24"/>
        </w:rPr>
        <w:fldChar w:fldCharType="separate"/>
      </w:r>
      <w:r w:rsidR="00120B9B" w:rsidRPr="00EF1405">
        <w:rPr>
          <w:rFonts w:ascii="Arial" w:hAnsi="Arial" w:cs="Arial"/>
          <w:noProof/>
          <w:sz w:val="24"/>
          <w:szCs w:val="24"/>
        </w:rPr>
        <w:t>(</w:t>
      </w:r>
      <w:hyperlink w:anchor="_ENREF_6" w:tooltip="Bertić, 2021 #85" w:history="1">
        <w:r w:rsidR="00120B9B" w:rsidRPr="00EF1405">
          <w:rPr>
            <w:rFonts w:ascii="Arial" w:hAnsi="Arial" w:cs="Arial"/>
            <w:noProof/>
            <w:sz w:val="24"/>
            <w:szCs w:val="24"/>
          </w:rPr>
          <w:t>6</w:t>
        </w:r>
      </w:hyperlink>
      <w:r w:rsidR="00120B9B" w:rsidRPr="00EF1405">
        <w:rPr>
          <w:rFonts w:ascii="Arial" w:hAnsi="Arial" w:cs="Arial"/>
          <w:noProof/>
          <w:sz w:val="24"/>
          <w:szCs w:val="24"/>
        </w:rPr>
        <w:t>)</w:t>
      </w:r>
      <w:r w:rsidR="00120B9B" w:rsidRPr="00EF1405">
        <w:rPr>
          <w:rFonts w:ascii="Arial" w:hAnsi="Arial" w:cs="Arial"/>
          <w:sz w:val="24"/>
          <w:szCs w:val="24"/>
        </w:rPr>
        <w:fldChar w:fldCharType="end"/>
      </w:r>
      <w:r w:rsidRPr="00EF1405">
        <w:rPr>
          <w:rFonts w:ascii="Arial" w:hAnsi="Arial" w:cs="Arial"/>
          <w:sz w:val="24"/>
          <w:szCs w:val="24"/>
        </w:rPr>
        <w:t xml:space="preserve">). </w:t>
      </w:r>
      <w:r w:rsidR="007F4467" w:rsidRPr="00EF1405">
        <w:rPr>
          <w:rFonts w:ascii="Arial" w:hAnsi="Arial" w:cs="Arial"/>
          <w:sz w:val="24"/>
          <w:szCs w:val="24"/>
        </w:rPr>
        <w:t>The instrumentation comprises an Ultimate 3000RS UPLC system (Thermo Fisher, Bremen, Germany), a Bruker Impact II QqToF mass spectrometer, and an Apollo II electrospray ionisation (ESI) source (Bruker Daltonic, Bremen, Germany)</w:t>
      </w:r>
      <w:r w:rsidR="00625918" w:rsidRPr="00EF1405">
        <w:rPr>
          <w:rFonts w:ascii="Arial" w:hAnsi="Arial" w:cs="Arial"/>
          <w:sz w:val="24"/>
          <w:szCs w:val="24"/>
        </w:rPr>
        <w:t xml:space="preserve"> </w:t>
      </w:r>
      <w:r w:rsidR="00120B9B" w:rsidRPr="00EF1405">
        <w:rPr>
          <w:rFonts w:ascii="Arial" w:hAnsi="Arial" w:cs="Arial"/>
          <w:sz w:val="24"/>
          <w:szCs w:val="24"/>
        </w:rPr>
        <w:fldChar w:fldCharType="begin"/>
      </w:r>
      <w:r w:rsidR="00120B9B" w:rsidRPr="00EF1405">
        <w:rPr>
          <w:rFonts w:ascii="Arial" w:hAnsi="Arial" w:cs="Arial"/>
          <w:sz w:val="24"/>
          <w:szCs w:val="24"/>
        </w:rPr>
        <w:instrText xml:space="preserve"> ADDIN EN.CITE &lt;EndNote&gt;&lt;Cite&gt;&lt;Author&gt;Bertić&lt;/Author&gt;&lt;Year&gt;2021&lt;/Year&gt;&lt;RecNum&gt;85&lt;/RecNum&gt;&lt;DisplayText&gt;(6)&lt;/DisplayText&gt;&lt;record&gt;&lt;rec-number&gt;85&lt;/rec-number&gt;&lt;foreign-keys&gt;&lt;key app="EN" db-id="9zfew2awf2pzfoeaa53pz05x5s9vr5zxavzt" timestamp="1714475899"&gt;85&lt;/key&gt;&lt;/foreign-keys&gt;&lt;ref-type name="Journal Article"&gt;17&lt;/ref-type&gt;&lt;contributors&gt;&lt;authors&gt;&lt;author&gt;Bertić, Marko&lt;/author&gt;&lt;author&gt;Schroeder, Hilke&lt;/author&gt;&lt;author&gt;Kersten, Birgit&lt;/author&gt;&lt;author&gt;Fladung, Matthias&lt;/author&gt;&lt;author&gt;Orgel, Franziska&lt;/author&gt;&lt;author&gt;Buegger, Franz&lt;/author&gt;&lt;author&gt;Schnitzler, Jörg-Peter&lt;/author&gt;&lt;author&gt;Ghirardo, Andrea&lt;/author&gt;&lt;/authors&gt;&lt;/contributors&gt;&lt;titles&gt;&lt;title&gt;European oak chemical diversity – from ecotypes to herbivore resistance&lt;/title&gt;&lt;secondary-title&gt;New Phytologist&lt;/secondary-title&gt;&lt;/titles&gt;&lt;periodical&gt;&lt;full-title&gt;New Phytologist&lt;/full-title&gt;&lt;/periodical&gt;&lt;pages&gt;818-834&lt;/pages&gt;&lt;volume&gt;232&lt;/volume&gt;&lt;number&gt;2&lt;/number&gt;&lt;keywords&gt;&lt;keyword&gt;adaptation&lt;/keyword&gt;&lt;keyword&gt;biomarker&lt;/keyword&gt;&lt;keyword&gt;chemotype&lt;/keyword&gt;&lt;keyword&gt;eco-metabolomics&lt;/keyword&gt;&lt;keyword&gt;ecotype&lt;/keyword&gt;&lt;keyword&gt;flavonoids&lt;/keyword&gt;&lt;keyword&gt;Quercus robur&lt;/keyword&gt;&lt;keyword&gt;Tortrix viridana&lt;/keyword&gt;&lt;/keywords&gt;&lt;dates&gt;&lt;year&gt;2021&lt;/year&gt;&lt;pub-dates&gt;&lt;date&gt;2021/10/01&lt;/date&gt;&lt;/pub-dates&gt;&lt;/dates&gt;&lt;publisher&gt;John Wiley &amp;amp; Sons, Ltd&lt;/publisher&gt;&lt;isbn&gt;0028-646X&lt;/isbn&gt;&lt;urls&gt;&lt;related-urls&gt;&lt;url&gt;https://doi.org/10.1111/nph.17608&lt;/url&gt;&lt;/related-urls&gt;&lt;/urls&gt;&lt;electronic-resource-num&gt;https://doi.org/10.1111/nph.17608&lt;/electronic-resource-num&gt;&lt;access-date&gt;2024/04/30&lt;/access-date&gt;&lt;/record&gt;&lt;/Cite&gt;&lt;/EndNote&gt;</w:instrText>
      </w:r>
      <w:r w:rsidR="00120B9B" w:rsidRPr="00EF1405">
        <w:rPr>
          <w:rFonts w:ascii="Arial" w:hAnsi="Arial" w:cs="Arial"/>
          <w:sz w:val="24"/>
          <w:szCs w:val="24"/>
        </w:rPr>
        <w:fldChar w:fldCharType="separate"/>
      </w:r>
      <w:r w:rsidR="00120B9B" w:rsidRPr="00EF1405">
        <w:rPr>
          <w:rFonts w:ascii="Arial" w:hAnsi="Arial" w:cs="Arial"/>
          <w:noProof/>
          <w:sz w:val="24"/>
          <w:szCs w:val="24"/>
        </w:rPr>
        <w:t>(</w:t>
      </w:r>
      <w:hyperlink w:anchor="_ENREF_6" w:tooltip="Bertić, 2021 #85" w:history="1">
        <w:r w:rsidR="00120B9B" w:rsidRPr="00EF1405">
          <w:rPr>
            <w:rFonts w:ascii="Arial" w:hAnsi="Arial" w:cs="Arial"/>
            <w:noProof/>
            <w:sz w:val="24"/>
            <w:szCs w:val="24"/>
          </w:rPr>
          <w:t>6</w:t>
        </w:r>
      </w:hyperlink>
      <w:r w:rsidR="00120B9B" w:rsidRPr="00EF1405">
        <w:rPr>
          <w:rFonts w:ascii="Arial" w:hAnsi="Arial" w:cs="Arial"/>
          <w:noProof/>
          <w:sz w:val="24"/>
          <w:szCs w:val="24"/>
        </w:rPr>
        <w:t>)</w:t>
      </w:r>
      <w:r w:rsidR="00120B9B" w:rsidRPr="00EF1405">
        <w:rPr>
          <w:rFonts w:ascii="Arial" w:hAnsi="Arial" w:cs="Arial"/>
          <w:sz w:val="24"/>
          <w:szCs w:val="24"/>
        </w:rPr>
        <w:fldChar w:fldCharType="end"/>
      </w:r>
      <w:r w:rsidR="007F4467" w:rsidRPr="00EF1405">
        <w:rPr>
          <w:rFonts w:ascii="Arial" w:hAnsi="Arial" w:cs="Arial"/>
          <w:sz w:val="24"/>
          <w:szCs w:val="24"/>
        </w:rPr>
        <w:t>.</w:t>
      </w:r>
    </w:p>
    <w:p w14:paraId="7FFF8936" w14:textId="4006C04E" w:rsidR="008C0CD0" w:rsidRPr="00EF1405" w:rsidRDefault="008C0CD0" w:rsidP="00205BA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 xml:space="preserve">The following solvents </w:t>
      </w:r>
      <w:r w:rsidR="00C64FC8" w:rsidRPr="00EF1405">
        <w:rPr>
          <w:rFonts w:ascii="Arial" w:hAnsi="Arial" w:cs="Arial"/>
          <w:sz w:val="24"/>
          <w:szCs w:val="24"/>
        </w:rPr>
        <w:t xml:space="preserve">(Sigma-Aldrich, Taufkirchen, Germany) </w:t>
      </w:r>
      <w:r w:rsidRPr="00EF1405">
        <w:rPr>
          <w:rFonts w:ascii="Arial" w:hAnsi="Arial" w:cs="Arial"/>
          <w:sz w:val="24"/>
          <w:szCs w:val="24"/>
        </w:rPr>
        <w:t>were used for elution: solvent A (</w:t>
      </w:r>
      <w:r w:rsidR="001345A3" w:rsidRPr="00EF1405">
        <w:rPr>
          <w:rFonts w:ascii="Arial" w:hAnsi="Arial" w:cs="Arial"/>
          <w:sz w:val="24"/>
          <w:szCs w:val="24"/>
        </w:rPr>
        <w:t>W</w:t>
      </w:r>
      <w:r w:rsidRPr="00EF1405">
        <w:rPr>
          <w:rFonts w:ascii="Arial" w:hAnsi="Arial" w:cs="Arial"/>
          <w:sz w:val="24"/>
          <w:szCs w:val="24"/>
        </w:rPr>
        <w:t xml:space="preserve">ater </w:t>
      </w:r>
      <w:r w:rsidR="001345A3" w:rsidRPr="00EF1405">
        <w:rPr>
          <w:rFonts w:ascii="Arial" w:hAnsi="Arial" w:cs="Arial"/>
          <w:sz w:val="24"/>
          <w:szCs w:val="24"/>
        </w:rPr>
        <w:t xml:space="preserve">(Lichrosolv®) </w:t>
      </w:r>
      <w:r w:rsidRPr="00EF1405">
        <w:rPr>
          <w:rFonts w:ascii="Arial" w:hAnsi="Arial" w:cs="Arial"/>
          <w:sz w:val="24"/>
          <w:szCs w:val="24"/>
        </w:rPr>
        <w:t xml:space="preserve">with 99.9% (v/v) </w:t>
      </w:r>
      <w:r w:rsidR="001345A3" w:rsidRPr="00EF1405">
        <w:rPr>
          <w:rFonts w:ascii="Arial" w:hAnsi="Arial" w:cs="Arial"/>
          <w:sz w:val="24"/>
          <w:szCs w:val="24"/>
        </w:rPr>
        <w:t>F</w:t>
      </w:r>
      <w:r w:rsidRPr="00EF1405">
        <w:rPr>
          <w:rFonts w:ascii="Arial" w:hAnsi="Arial" w:cs="Arial"/>
          <w:sz w:val="24"/>
          <w:szCs w:val="24"/>
        </w:rPr>
        <w:t>ormic acid</w:t>
      </w:r>
      <w:r w:rsidR="001345A3" w:rsidRPr="00EF1405">
        <w:rPr>
          <w:rFonts w:ascii="Arial" w:hAnsi="Arial" w:cs="Arial"/>
          <w:sz w:val="24"/>
          <w:szCs w:val="24"/>
        </w:rPr>
        <w:t xml:space="preserve"> (Lichropur®</w:t>
      </w:r>
      <w:r w:rsidRPr="00EF1405">
        <w:rPr>
          <w:rFonts w:ascii="Arial" w:hAnsi="Arial" w:cs="Arial"/>
          <w:sz w:val="24"/>
          <w:szCs w:val="24"/>
        </w:rPr>
        <w:t>) and solvent B (</w:t>
      </w:r>
      <w:r w:rsidR="001345A3" w:rsidRPr="00EF1405">
        <w:rPr>
          <w:rFonts w:ascii="Arial" w:hAnsi="Arial" w:cs="Arial"/>
          <w:sz w:val="24"/>
          <w:szCs w:val="24"/>
        </w:rPr>
        <w:t>A</w:t>
      </w:r>
      <w:r w:rsidRPr="00EF1405">
        <w:rPr>
          <w:rFonts w:ascii="Arial" w:hAnsi="Arial" w:cs="Arial"/>
          <w:sz w:val="24"/>
          <w:szCs w:val="24"/>
        </w:rPr>
        <w:t>cetonitrile</w:t>
      </w:r>
      <w:r w:rsidR="001345A3" w:rsidRPr="00EF1405">
        <w:rPr>
          <w:rFonts w:ascii="Arial" w:hAnsi="Arial" w:cs="Arial"/>
          <w:sz w:val="24"/>
          <w:szCs w:val="24"/>
        </w:rPr>
        <w:t xml:space="preserve"> (Honeywell®)</w:t>
      </w:r>
      <w:r w:rsidRPr="00EF1405">
        <w:rPr>
          <w:rFonts w:ascii="Arial" w:hAnsi="Arial" w:cs="Arial"/>
          <w:sz w:val="24"/>
          <w:szCs w:val="24"/>
        </w:rPr>
        <w:t xml:space="preserve"> with 99.9% (v/v) </w:t>
      </w:r>
      <w:r w:rsidR="001345A3" w:rsidRPr="00EF1405">
        <w:rPr>
          <w:rFonts w:ascii="Arial" w:hAnsi="Arial" w:cs="Arial"/>
          <w:sz w:val="24"/>
          <w:szCs w:val="24"/>
        </w:rPr>
        <w:t>F</w:t>
      </w:r>
      <w:r w:rsidRPr="00EF1405">
        <w:rPr>
          <w:rFonts w:ascii="Arial" w:hAnsi="Arial" w:cs="Arial"/>
          <w:sz w:val="24"/>
          <w:szCs w:val="24"/>
        </w:rPr>
        <w:t>ormic acid</w:t>
      </w:r>
      <w:r w:rsidR="001345A3" w:rsidRPr="00EF1405">
        <w:rPr>
          <w:rFonts w:ascii="Arial" w:hAnsi="Arial" w:cs="Arial"/>
          <w:sz w:val="24"/>
          <w:szCs w:val="24"/>
        </w:rPr>
        <w:t xml:space="preserve"> (Lichropur®)</w:t>
      </w:r>
      <w:r w:rsidRPr="00EF1405">
        <w:rPr>
          <w:rFonts w:ascii="Arial" w:hAnsi="Arial" w:cs="Arial"/>
          <w:sz w:val="24"/>
          <w:szCs w:val="24"/>
        </w:rPr>
        <w:t xml:space="preserve">). </w:t>
      </w:r>
    </w:p>
    <w:p w14:paraId="093FDFF8" w14:textId="481C2ECB" w:rsidR="008C0CD0" w:rsidRPr="00EF1405" w:rsidRDefault="008C0CD0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 xml:space="preserve">The gradient program for reverse-phase liquid chromatography (RPLC) </w:t>
      </w:r>
      <w:r w:rsidR="001345A3" w:rsidRPr="00EF1405">
        <w:rPr>
          <w:rFonts w:ascii="Arial" w:hAnsi="Arial" w:cs="Arial"/>
          <w:b/>
          <w:bCs/>
          <w:sz w:val="24"/>
          <w:szCs w:val="24"/>
        </w:rPr>
        <w:t>using an Acquity UPLC® BEH C18 (1.7µm) column</w:t>
      </w:r>
      <w:r w:rsidR="00E47C32" w:rsidRPr="00EF1405">
        <w:rPr>
          <w:rFonts w:ascii="Arial" w:hAnsi="Arial" w:cs="Arial"/>
          <w:b/>
          <w:bCs/>
          <w:sz w:val="24"/>
          <w:szCs w:val="24"/>
        </w:rPr>
        <w:t xml:space="preserve"> (Water Cooperation, </w:t>
      </w:r>
      <w:r w:rsidR="00C64FC8" w:rsidRPr="00EF1405">
        <w:rPr>
          <w:rFonts w:ascii="Arial" w:hAnsi="Arial" w:cs="Arial"/>
          <w:b/>
          <w:bCs/>
          <w:sz w:val="24"/>
          <w:szCs w:val="24"/>
        </w:rPr>
        <w:t>Eschborn, Germany)</w:t>
      </w:r>
      <w:r w:rsidR="001345A3" w:rsidRPr="00EF1405">
        <w:rPr>
          <w:rFonts w:ascii="Arial" w:hAnsi="Arial" w:cs="Arial"/>
          <w:b/>
          <w:bCs/>
          <w:sz w:val="24"/>
          <w:szCs w:val="24"/>
        </w:rPr>
        <w:t xml:space="preserve"> with a dimension of 2.1x 150 mm </w:t>
      </w:r>
      <w:r w:rsidRPr="00EF1405">
        <w:rPr>
          <w:rFonts w:ascii="Arial" w:hAnsi="Arial" w:cs="Arial"/>
          <w:b/>
          <w:bCs/>
          <w:sz w:val="24"/>
          <w:szCs w:val="24"/>
        </w:rPr>
        <w:t xml:space="preserve">was as follows: </w:t>
      </w:r>
    </w:p>
    <w:p w14:paraId="727FF09A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- 0-1 min: 95% A (isocratic),</w:t>
      </w:r>
    </w:p>
    <w:p w14:paraId="313E3709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- 1-15 min: 95-70% A,</w:t>
      </w:r>
    </w:p>
    <w:p w14:paraId="3AD22E1C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- 15-17 min: 70-20% A,</w:t>
      </w:r>
    </w:p>
    <w:p w14:paraId="2C3FB9D8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- 17-20 min: 20% A (isocratic),</w:t>
      </w:r>
    </w:p>
    <w:p w14:paraId="23C96CDC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- 20-22 min: 20-0.5% A,</w:t>
      </w:r>
    </w:p>
    <w:p w14:paraId="01620227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- 22-27 min: 0.5% A (isocratic),</w:t>
      </w:r>
    </w:p>
    <w:p w14:paraId="27F9378F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- 27-29 min: 0.5-95% A,</w:t>
      </w:r>
    </w:p>
    <w:p w14:paraId="745C547B" w14:textId="311AD4FE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- 29-31 min: 95% A (isocratic).</w:t>
      </w:r>
    </w:p>
    <w:p w14:paraId="1521D5DB" w14:textId="12FB5F72" w:rsidR="008C0CD0" w:rsidRPr="00EF1405" w:rsidRDefault="008C0CD0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For hydrophilic interaction liquid chromatography (HILIC) separation</w:t>
      </w:r>
      <w:r w:rsidR="001345A3" w:rsidRPr="00EF1405">
        <w:rPr>
          <w:rFonts w:ascii="Arial" w:hAnsi="Arial" w:cs="Arial"/>
          <w:b/>
          <w:bCs/>
          <w:sz w:val="24"/>
          <w:szCs w:val="24"/>
        </w:rPr>
        <w:t xml:space="preserve"> using an Acquity UPLC® BEH AMIDE column (1.7µm) </w:t>
      </w:r>
      <w:r w:rsidR="00C64FC8" w:rsidRPr="00EF1405">
        <w:rPr>
          <w:rFonts w:ascii="Arial" w:hAnsi="Arial" w:cs="Arial"/>
          <w:b/>
          <w:bCs/>
          <w:sz w:val="24"/>
          <w:szCs w:val="24"/>
        </w:rPr>
        <w:t xml:space="preserve">(Water Cooperation) </w:t>
      </w:r>
      <w:r w:rsidR="001345A3" w:rsidRPr="00EF1405">
        <w:rPr>
          <w:rFonts w:ascii="Arial" w:hAnsi="Arial" w:cs="Arial"/>
          <w:b/>
          <w:bCs/>
          <w:sz w:val="24"/>
          <w:szCs w:val="24"/>
        </w:rPr>
        <w:t>with a dimension of 2.1x 100 mm</w:t>
      </w:r>
      <w:r w:rsidRPr="00EF1405">
        <w:rPr>
          <w:rFonts w:ascii="Arial" w:hAnsi="Arial" w:cs="Arial"/>
          <w:b/>
          <w:bCs/>
          <w:sz w:val="24"/>
          <w:szCs w:val="24"/>
        </w:rPr>
        <w:t>, the gradient applied was:</w:t>
      </w:r>
    </w:p>
    <w:p w14:paraId="4E15E24A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- 0-1 min: 5% A (isocratic),</w:t>
      </w:r>
    </w:p>
    <w:p w14:paraId="3896FF69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- 1-16 min: 5-30% A,</w:t>
      </w:r>
    </w:p>
    <w:p w14:paraId="13D12069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- 16-18 min: 30-80% A,</w:t>
      </w:r>
    </w:p>
    <w:p w14:paraId="58D517A3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- 18-19 min: 80% A (isocratic),</w:t>
      </w:r>
    </w:p>
    <w:p w14:paraId="01F8AA9A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- 19-20 min: 80-95% A,</w:t>
      </w:r>
    </w:p>
    <w:p w14:paraId="3BB57604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- 20-21 min: 95-4.5% A.</w:t>
      </w:r>
    </w:p>
    <w:p w14:paraId="502923FE" w14:textId="17B0119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In both methods, the flow rate was maintained at 0.4 mL/min, with the column temperature set at 40°C throughout the separation process. The injection volume was 5 µL.</w:t>
      </w:r>
    </w:p>
    <w:p w14:paraId="55569E7D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 xml:space="preserve">Mass calibration was performed using a mixture containing 50 mL water, 50 mL 2-propanol, 1 mL NaOH, and 200 µL formic acid. </w:t>
      </w:r>
    </w:p>
    <w:p w14:paraId="770B0BBB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The mass spectrometer (MS) operated in both positive (+) and negative (-) ionization modes, with the following parameters:</w:t>
      </w:r>
    </w:p>
    <w:p w14:paraId="7DCDFB77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Nebulizer pressure: 2.0 bar,</w:t>
      </w:r>
    </w:p>
    <w:p w14:paraId="62351238" w14:textId="12B179E0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Dry gas flow: 8.0 L</w:t>
      </w:r>
      <w:r w:rsidR="00C64FC8" w:rsidRPr="00EF1405">
        <w:rPr>
          <w:rFonts w:ascii="Arial" w:hAnsi="Arial" w:cs="Arial"/>
          <w:sz w:val="24"/>
          <w:szCs w:val="24"/>
        </w:rPr>
        <w:t xml:space="preserve"> </w:t>
      </w:r>
      <w:r w:rsidRPr="00EF1405">
        <w:rPr>
          <w:rFonts w:ascii="Arial" w:hAnsi="Arial" w:cs="Arial"/>
          <w:sz w:val="24"/>
          <w:szCs w:val="24"/>
        </w:rPr>
        <w:t>min</w:t>
      </w:r>
      <w:r w:rsidR="00C64FC8" w:rsidRPr="00EF1405">
        <w:rPr>
          <w:rFonts w:ascii="Arial" w:hAnsi="Arial" w:cs="Arial"/>
          <w:sz w:val="24"/>
          <w:szCs w:val="24"/>
          <w:vertAlign w:val="superscript"/>
        </w:rPr>
        <w:t>-1</w:t>
      </w:r>
      <w:r w:rsidRPr="00EF1405">
        <w:rPr>
          <w:rFonts w:ascii="Arial" w:hAnsi="Arial" w:cs="Arial"/>
          <w:sz w:val="24"/>
          <w:szCs w:val="24"/>
        </w:rPr>
        <w:t>,</w:t>
      </w:r>
    </w:p>
    <w:p w14:paraId="2908D047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Dry gas temperature: 200°C,</w:t>
      </w:r>
    </w:p>
    <w:p w14:paraId="522AF6C7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Capillary voltage: 4500 V for (+) and 3500 V for (-),</w:t>
      </w:r>
    </w:p>
    <w:p w14:paraId="554A18F8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Endplate offset: 500 V,</w:t>
      </w:r>
    </w:p>
    <w:p w14:paraId="16ACB26B" w14:textId="77777777" w:rsidR="008C0CD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>- Mass range: 20–2000 m/z.</w:t>
      </w:r>
    </w:p>
    <w:p w14:paraId="174090B5" w14:textId="0E8B647A" w:rsidR="00205BA0" w:rsidRPr="00EF1405" w:rsidRDefault="008C0CD0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sz w:val="24"/>
          <w:szCs w:val="24"/>
        </w:rPr>
        <w:t xml:space="preserve">For fragmentation studies and metabolite identification, tandem mass spectrometry (MS/MS) was performed using the auto MS/MS acquisition mode, with </w:t>
      </w:r>
      <w:r w:rsidR="007F4467" w:rsidRPr="00EF1405">
        <w:rPr>
          <w:rFonts w:ascii="Arial" w:hAnsi="Arial" w:cs="Arial"/>
          <w:sz w:val="24"/>
          <w:szCs w:val="24"/>
        </w:rPr>
        <w:t xml:space="preserve">the </w:t>
      </w:r>
      <w:r w:rsidRPr="00EF1405">
        <w:rPr>
          <w:rFonts w:ascii="Arial" w:hAnsi="Arial" w:cs="Arial"/>
          <w:sz w:val="24"/>
          <w:szCs w:val="24"/>
        </w:rPr>
        <w:t>smart exclusion for precursor selection. A precursor was selected for MS/MS when the difference between the rolling average of the set number of spectra and the actual spectra exceeded an absolute threshold of 1000 counts. Collision energies ranged from 5 to 20 eV for ion fragmentation in the collision cell.</w:t>
      </w:r>
    </w:p>
    <w:p w14:paraId="01493F20" w14:textId="4A4BDB8F" w:rsidR="008C0CD0" w:rsidRPr="00EF1405" w:rsidRDefault="007F4467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Method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 xml:space="preserve"> S</w:t>
      </w:r>
      <w:r w:rsidR="00746862" w:rsidRPr="00EF1405">
        <w:rPr>
          <w:rFonts w:ascii="Arial" w:hAnsi="Arial" w:cs="Arial"/>
          <w:b/>
          <w:bCs/>
          <w:sz w:val="24"/>
          <w:szCs w:val="24"/>
        </w:rPr>
        <w:t>4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>. LC-MS data processing parameters in Metaboscape 4.0</w:t>
      </w:r>
      <w:r w:rsidR="001345A3" w:rsidRPr="00EF1405">
        <w:rPr>
          <w:rFonts w:ascii="Arial" w:hAnsi="Arial" w:cs="Arial"/>
          <w:b/>
          <w:bCs/>
          <w:sz w:val="24"/>
          <w:szCs w:val="24"/>
        </w:rPr>
        <w:t>®</w:t>
      </w:r>
      <w:r w:rsidR="00C64FC8" w:rsidRPr="00EF1405">
        <w:rPr>
          <w:rFonts w:ascii="Arial" w:hAnsi="Arial" w:cs="Arial"/>
          <w:b/>
          <w:bCs/>
          <w:sz w:val="24"/>
          <w:szCs w:val="24"/>
        </w:rPr>
        <w:t xml:space="preserve"> (Bruker Daltonics)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Style w:val="ListTable6Colorful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F1405" w:rsidRPr="00EF1405" w14:paraId="6D43C8D0" w14:textId="77777777" w:rsidTr="00DE02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72075057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Peak detection</w:t>
            </w:r>
          </w:p>
        </w:tc>
        <w:tc>
          <w:tcPr>
            <w:tcW w:w="3021" w:type="dxa"/>
          </w:tcPr>
          <w:p w14:paraId="1DA20FC5" w14:textId="77777777" w:rsidR="008C0CD0" w:rsidRPr="00EF1405" w:rsidRDefault="008C0CD0" w:rsidP="00DE023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EF1405" w:rsidRPr="00EF1405" w14:paraId="1A773D6C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5C7BC201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Intensity threshold/spectra</w:t>
            </w:r>
          </w:p>
        </w:tc>
        <w:tc>
          <w:tcPr>
            <w:tcW w:w="3021" w:type="dxa"/>
          </w:tcPr>
          <w:p w14:paraId="12CE96AE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1000</w:t>
            </w:r>
          </w:p>
        </w:tc>
      </w:tr>
      <w:tr w:rsidR="00EF1405" w:rsidRPr="00EF1405" w14:paraId="2550AF5F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6B7C1227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Minimum peak length /spectra</w:t>
            </w:r>
          </w:p>
        </w:tc>
        <w:tc>
          <w:tcPr>
            <w:tcW w:w="3021" w:type="dxa"/>
          </w:tcPr>
          <w:p w14:paraId="11D14BAC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7</w:t>
            </w:r>
          </w:p>
        </w:tc>
      </w:tr>
      <w:tr w:rsidR="00EF1405" w:rsidRPr="00EF1405" w14:paraId="75DAEE73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23649798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Feature signal</w:t>
            </w:r>
          </w:p>
        </w:tc>
        <w:tc>
          <w:tcPr>
            <w:tcW w:w="3021" w:type="dxa"/>
          </w:tcPr>
          <w:p w14:paraId="65187204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Area</w:t>
            </w:r>
          </w:p>
        </w:tc>
      </w:tr>
      <w:tr w:rsidR="00EF1405" w:rsidRPr="00EF1405" w14:paraId="7C6DC471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6AFA9A4D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Recursive Feature extraction</w:t>
            </w:r>
          </w:p>
        </w:tc>
        <w:tc>
          <w:tcPr>
            <w:tcW w:w="3021" w:type="dxa"/>
          </w:tcPr>
          <w:p w14:paraId="2AFE64CD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EF1405" w:rsidRPr="00EF1405" w14:paraId="61795F40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1A161731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Minimum peak length recursive/spectra</w:t>
            </w:r>
          </w:p>
        </w:tc>
        <w:tc>
          <w:tcPr>
            <w:tcW w:w="3021" w:type="dxa"/>
          </w:tcPr>
          <w:p w14:paraId="5C847B41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6</w:t>
            </w:r>
          </w:p>
        </w:tc>
      </w:tr>
      <w:tr w:rsidR="00EF1405" w:rsidRPr="00EF1405" w14:paraId="41DDEEFB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08481702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Minimum number of features for extraction</w:t>
            </w:r>
          </w:p>
        </w:tc>
        <w:tc>
          <w:tcPr>
            <w:tcW w:w="3021" w:type="dxa"/>
          </w:tcPr>
          <w:p w14:paraId="50A76BC3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2/5</w:t>
            </w:r>
          </w:p>
        </w:tc>
      </w:tr>
      <w:tr w:rsidR="00EF1405" w:rsidRPr="00EF1405" w14:paraId="68019CC6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7A25F689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Presence of features in minimum number of analyses</w:t>
            </w:r>
          </w:p>
        </w:tc>
        <w:tc>
          <w:tcPr>
            <w:tcW w:w="3021" w:type="dxa"/>
          </w:tcPr>
          <w:p w14:paraId="1D6FE06E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2/5</w:t>
            </w:r>
          </w:p>
        </w:tc>
      </w:tr>
      <w:tr w:rsidR="00EF1405" w:rsidRPr="00EF1405" w14:paraId="5AA44CE1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20E83657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MS/MS import method</w:t>
            </w:r>
          </w:p>
        </w:tc>
        <w:tc>
          <w:tcPr>
            <w:tcW w:w="3021" w:type="dxa"/>
          </w:tcPr>
          <w:p w14:paraId="07797C5A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Average</w:t>
            </w:r>
          </w:p>
        </w:tc>
      </w:tr>
      <w:tr w:rsidR="00EF1405" w:rsidRPr="00EF1405" w14:paraId="7222A5AC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41" w:type="dxa"/>
            <w:gridSpan w:val="2"/>
          </w:tcPr>
          <w:p w14:paraId="6C2638D0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EIC correlation</w:t>
            </w:r>
          </w:p>
        </w:tc>
        <w:tc>
          <w:tcPr>
            <w:tcW w:w="3021" w:type="dxa"/>
          </w:tcPr>
          <w:p w14:paraId="115E850B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0.7</w:t>
            </w:r>
          </w:p>
        </w:tc>
      </w:tr>
      <w:tr w:rsidR="00EF1405" w:rsidRPr="00EF1405" w14:paraId="592F26A6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363ABDE8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Ionization mode</w:t>
            </w:r>
          </w:p>
        </w:tc>
        <w:tc>
          <w:tcPr>
            <w:tcW w:w="3021" w:type="dxa"/>
          </w:tcPr>
          <w:p w14:paraId="06944207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Positive mode</w:t>
            </w:r>
          </w:p>
        </w:tc>
        <w:tc>
          <w:tcPr>
            <w:tcW w:w="3021" w:type="dxa"/>
          </w:tcPr>
          <w:p w14:paraId="00B5CABB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Negative mode</w:t>
            </w:r>
          </w:p>
        </w:tc>
      </w:tr>
      <w:tr w:rsidR="00EF1405" w:rsidRPr="00EF1405" w14:paraId="27C47482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00EA896C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Primary ion</w:t>
            </w:r>
          </w:p>
        </w:tc>
        <w:tc>
          <w:tcPr>
            <w:tcW w:w="3021" w:type="dxa"/>
          </w:tcPr>
          <w:p w14:paraId="40A6AE61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[M+H]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3021" w:type="dxa"/>
          </w:tcPr>
          <w:p w14:paraId="557C9747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[M-H]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</w:p>
        </w:tc>
      </w:tr>
      <w:tr w:rsidR="00EF1405" w:rsidRPr="00EF1405" w14:paraId="4E42CE39" w14:textId="77777777" w:rsidTr="00DE023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36B6606A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Seed ions</w:t>
            </w:r>
          </w:p>
        </w:tc>
        <w:tc>
          <w:tcPr>
            <w:tcW w:w="3021" w:type="dxa"/>
          </w:tcPr>
          <w:p w14:paraId="0D9D9D66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[M+Na]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,[M+K]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3021" w:type="dxa"/>
          </w:tcPr>
          <w:p w14:paraId="72AC1231" w14:textId="77777777" w:rsidR="008C0CD0" w:rsidRPr="00EF1405" w:rsidRDefault="008C0CD0" w:rsidP="00DE023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[M+Cl]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</w:p>
        </w:tc>
      </w:tr>
      <w:tr w:rsidR="00EF1405" w:rsidRPr="00EF1405" w14:paraId="2F2BCEB4" w14:textId="77777777" w:rsidTr="00DE02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73EE3440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Common ions</w:t>
            </w:r>
          </w:p>
        </w:tc>
        <w:tc>
          <w:tcPr>
            <w:tcW w:w="3021" w:type="dxa"/>
          </w:tcPr>
          <w:p w14:paraId="14576966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[M-H20+H]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,</w:t>
            </w:r>
          </w:p>
          <w:p w14:paraId="78732220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[2M+H]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,</w:t>
            </w:r>
          </w:p>
          <w:p w14:paraId="73F12F0A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[M+H+CH3CN]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3021" w:type="dxa"/>
          </w:tcPr>
          <w:p w14:paraId="06A697EF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[M-H20+H]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,</w:t>
            </w:r>
          </w:p>
          <w:p w14:paraId="401F64B2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[2M+H]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,</w:t>
            </w:r>
          </w:p>
          <w:p w14:paraId="0F66D556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[M-H+CH3CN]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</w:p>
          <w:p w14:paraId="77130175" w14:textId="77777777" w:rsidR="008C0CD0" w:rsidRPr="00EF1405" w:rsidRDefault="008C0CD0" w:rsidP="00DE023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F1405">
              <w:rPr>
                <w:rFonts w:ascii="Arial" w:hAnsi="Arial" w:cs="Arial"/>
                <w:color w:val="auto"/>
                <w:sz w:val="24"/>
                <w:szCs w:val="24"/>
              </w:rPr>
              <w:t>[M-H+HCOOH]</w:t>
            </w:r>
            <w:r w:rsidRPr="00EF1405">
              <w:rPr>
                <w:rFonts w:ascii="Arial" w:hAnsi="Arial" w:cs="Arial"/>
                <w:color w:val="auto"/>
                <w:sz w:val="24"/>
                <w:szCs w:val="24"/>
                <w:vertAlign w:val="superscript"/>
              </w:rPr>
              <w:t>-</w:t>
            </w:r>
          </w:p>
        </w:tc>
      </w:tr>
    </w:tbl>
    <w:p w14:paraId="200AC5C1" w14:textId="77777777" w:rsidR="007F4467" w:rsidRPr="00EF1405" w:rsidRDefault="007F4467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086C8E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6B5D21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3E94BD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482D12" w14:textId="77777777" w:rsidR="00496606" w:rsidRPr="00EF1405" w:rsidRDefault="00496606" w:rsidP="008C0CD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D780D32" w14:textId="49190D09" w:rsidR="008C0CD0" w:rsidRPr="00EF1405" w:rsidRDefault="007F4467" w:rsidP="008C0CD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Method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 xml:space="preserve"> S</w:t>
      </w:r>
      <w:r w:rsidR="00746862" w:rsidRPr="00EF1405">
        <w:rPr>
          <w:rFonts w:ascii="Arial" w:hAnsi="Arial" w:cs="Arial"/>
          <w:b/>
          <w:bCs/>
          <w:sz w:val="24"/>
          <w:szCs w:val="24"/>
        </w:rPr>
        <w:t>5</w:t>
      </w:r>
      <w:r w:rsidR="008C0CD0" w:rsidRPr="00EF1405">
        <w:rPr>
          <w:rFonts w:ascii="Arial" w:hAnsi="Arial" w:cs="Arial"/>
          <w:sz w:val="24"/>
          <w:szCs w:val="24"/>
        </w:rPr>
        <w:t xml:space="preserve">. 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 xml:space="preserve">List of internal standards </w:t>
      </w:r>
      <w:r w:rsidR="00C64FC8" w:rsidRPr="00EF1405">
        <w:rPr>
          <w:rFonts w:ascii="Arial" w:hAnsi="Arial" w:cs="Arial"/>
          <w:b/>
          <w:bCs/>
          <w:sz w:val="24"/>
          <w:szCs w:val="24"/>
        </w:rPr>
        <w:t xml:space="preserve">(Sigma-Aldrich) </w:t>
      </w:r>
      <w:r w:rsidR="008C0CD0" w:rsidRPr="00EF1405">
        <w:rPr>
          <w:rFonts w:ascii="Arial" w:hAnsi="Arial" w:cs="Arial"/>
          <w:b/>
          <w:bCs/>
          <w:sz w:val="24"/>
          <w:szCs w:val="24"/>
        </w:rPr>
        <w:t>used for normalisation:</w:t>
      </w:r>
    </w:p>
    <w:tbl>
      <w:tblPr>
        <w:tblStyle w:val="ListTable2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417"/>
        <w:gridCol w:w="912"/>
      </w:tblGrid>
      <w:tr w:rsidR="00EF1405" w:rsidRPr="00EF1405" w14:paraId="0DACC532" w14:textId="77777777" w:rsidTr="00D0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219EFDF9" w14:textId="77777777" w:rsidR="008C0CD0" w:rsidRPr="00EF1405" w:rsidRDefault="008C0CD0" w:rsidP="00DE023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Internal standard</w:t>
            </w:r>
          </w:p>
        </w:tc>
        <w:tc>
          <w:tcPr>
            <w:tcW w:w="1417" w:type="dxa"/>
          </w:tcPr>
          <w:p w14:paraId="6B8205E2" w14:textId="77777777" w:rsidR="008C0CD0" w:rsidRPr="00EF1405" w:rsidRDefault="008C0CD0" w:rsidP="00DE023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Neutral Mass</w:t>
            </w:r>
          </w:p>
        </w:tc>
        <w:tc>
          <w:tcPr>
            <w:tcW w:w="912" w:type="dxa"/>
          </w:tcPr>
          <w:p w14:paraId="7628936D" w14:textId="77777777" w:rsidR="008C0CD0" w:rsidRPr="00EF1405" w:rsidRDefault="008C0CD0" w:rsidP="00DE023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Mode</w:t>
            </w:r>
          </w:p>
        </w:tc>
      </w:tr>
      <w:tr w:rsidR="00EF1405" w:rsidRPr="00EF1405" w14:paraId="6C1B7697" w14:textId="77777777" w:rsidTr="00D0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3815C7BC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Bergapten</w:t>
            </w:r>
          </w:p>
        </w:tc>
        <w:tc>
          <w:tcPr>
            <w:tcW w:w="1417" w:type="dxa"/>
          </w:tcPr>
          <w:p w14:paraId="369C5675" w14:textId="77777777" w:rsidR="008C0CD0" w:rsidRPr="00EF1405" w:rsidRDefault="008C0CD0" w:rsidP="00DE023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216.04</w:t>
            </w:r>
          </w:p>
        </w:tc>
        <w:tc>
          <w:tcPr>
            <w:tcW w:w="912" w:type="dxa"/>
          </w:tcPr>
          <w:p w14:paraId="26AD9435" w14:textId="77777777" w:rsidR="008C0CD0" w:rsidRPr="00EF1405" w:rsidRDefault="008C0CD0" w:rsidP="00DE023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EF1405" w:rsidRPr="00EF1405" w14:paraId="1F3CF978" w14:textId="77777777" w:rsidTr="00D01A0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74A167AD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Plumbagin</w:t>
            </w:r>
          </w:p>
        </w:tc>
        <w:tc>
          <w:tcPr>
            <w:tcW w:w="1417" w:type="dxa"/>
          </w:tcPr>
          <w:p w14:paraId="6F135C8B" w14:textId="77777777" w:rsidR="008C0CD0" w:rsidRPr="00EF1405" w:rsidRDefault="008C0CD0" w:rsidP="00DE023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188.05</w:t>
            </w:r>
          </w:p>
        </w:tc>
        <w:tc>
          <w:tcPr>
            <w:tcW w:w="912" w:type="dxa"/>
          </w:tcPr>
          <w:p w14:paraId="54D234B5" w14:textId="77777777" w:rsidR="008C0CD0" w:rsidRPr="00EF1405" w:rsidRDefault="008C0CD0" w:rsidP="00DE023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+</w:t>
            </w:r>
          </w:p>
        </w:tc>
      </w:tr>
      <w:tr w:rsidR="00EF1405" w:rsidRPr="00EF1405" w14:paraId="7EE66085" w14:textId="77777777" w:rsidTr="00D0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013B31C9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Dihydrocaffeic acid</w:t>
            </w:r>
          </w:p>
        </w:tc>
        <w:tc>
          <w:tcPr>
            <w:tcW w:w="1417" w:type="dxa"/>
          </w:tcPr>
          <w:p w14:paraId="56F1A08B" w14:textId="77777777" w:rsidR="008C0CD0" w:rsidRPr="00EF1405" w:rsidRDefault="008C0CD0" w:rsidP="00DE023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182.06</w:t>
            </w:r>
          </w:p>
        </w:tc>
        <w:tc>
          <w:tcPr>
            <w:tcW w:w="912" w:type="dxa"/>
          </w:tcPr>
          <w:p w14:paraId="0EA8DB01" w14:textId="77777777" w:rsidR="008C0CD0" w:rsidRPr="00EF1405" w:rsidRDefault="008C0CD0" w:rsidP="00DE023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F1405" w:rsidRPr="00EF1405" w14:paraId="2B876F29" w14:textId="77777777" w:rsidTr="00D01A0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6711C021" w14:textId="77777777" w:rsidR="008C0CD0" w:rsidRPr="00EF1405" w:rsidRDefault="008C0CD0" w:rsidP="00DE023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3,4-dihydromandelic acid</w:t>
            </w:r>
          </w:p>
        </w:tc>
        <w:tc>
          <w:tcPr>
            <w:tcW w:w="1417" w:type="dxa"/>
          </w:tcPr>
          <w:p w14:paraId="2F04AEE5" w14:textId="77777777" w:rsidR="008C0CD0" w:rsidRPr="00EF1405" w:rsidRDefault="008C0CD0" w:rsidP="00DE023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184.04</w:t>
            </w:r>
          </w:p>
        </w:tc>
        <w:tc>
          <w:tcPr>
            <w:tcW w:w="912" w:type="dxa"/>
          </w:tcPr>
          <w:p w14:paraId="61B65929" w14:textId="77777777" w:rsidR="008C0CD0" w:rsidRPr="00EF1405" w:rsidRDefault="008C0CD0" w:rsidP="00DE023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F140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53DDCB4E" w14:textId="77777777" w:rsidR="00205BA0" w:rsidRPr="00EF1405" w:rsidRDefault="00205BA0" w:rsidP="00205BA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BF2FBD" w14:textId="3623B8AF" w:rsidR="00120B9B" w:rsidRPr="00EF1405" w:rsidRDefault="00625918" w:rsidP="00120B9B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t>References:</w:t>
      </w:r>
    </w:p>
    <w:p w14:paraId="4330050E" w14:textId="77777777" w:rsidR="00120B9B" w:rsidRPr="00EF1405" w:rsidRDefault="00120B9B" w:rsidP="00120B9B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fldChar w:fldCharType="begin"/>
      </w:r>
      <w:r w:rsidRPr="00EF1405">
        <w:rPr>
          <w:rFonts w:ascii="Arial" w:hAnsi="Arial" w:cs="Arial"/>
          <w:b/>
          <w:bCs/>
          <w:sz w:val="24"/>
          <w:szCs w:val="24"/>
          <w:lang w:val="de-DE"/>
        </w:rPr>
        <w:instrText xml:space="preserve"> ADDIN EN.REFLIST </w:instrText>
      </w:r>
      <w:r w:rsidRPr="00EF1405">
        <w:rPr>
          <w:rFonts w:ascii="Arial" w:hAnsi="Arial" w:cs="Arial"/>
          <w:b/>
          <w:bCs/>
          <w:sz w:val="24"/>
          <w:szCs w:val="24"/>
        </w:rPr>
        <w:fldChar w:fldCharType="separate"/>
      </w:r>
      <w:bookmarkStart w:id="1" w:name="_ENREF_1"/>
      <w:r w:rsidRPr="00EF1405">
        <w:rPr>
          <w:rFonts w:ascii="Arial" w:hAnsi="Arial" w:cs="Arial"/>
          <w:sz w:val="24"/>
          <w:szCs w:val="24"/>
          <w:lang w:val="de-DE"/>
        </w:rPr>
        <w:t>1.</w:t>
      </w:r>
      <w:r w:rsidRPr="00EF1405">
        <w:rPr>
          <w:rFonts w:ascii="Arial" w:hAnsi="Arial" w:cs="Arial"/>
          <w:sz w:val="24"/>
          <w:szCs w:val="24"/>
          <w:lang w:val="de-DE"/>
        </w:rPr>
        <w:tab/>
        <w:t xml:space="preserve">Müller A, Faubert P, Hagen M, zu Castell W, Polle A, Schnitzler J-P, et al. </w:t>
      </w:r>
      <w:r w:rsidRPr="00EF1405">
        <w:rPr>
          <w:rFonts w:ascii="Arial" w:hAnsi="Arial" w:cs="Arial"/>
          <w:sz w:val="24"/>
          <w:szCs w:val="24"/>
        </w:rPr>
        <w:t>Volatile profiles of fungi – Chemotyping of species and ecological functions. Fungal Genetics and Biology. 2013;54:25-33.</w:t>
      </w:r>
      <w:bookmarkEnd w:id="1"/>
    </w:p>
    <w:p w14:paraId="665837FE" w14:textId="77777777" w:rsidR="00120B9B" w:rsidRPr="00EF1405" w:rsidRDefault="00120B9B" w:rsidP="00120B9B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bookmarkStart w:id="2" w:name="_ENREF_2"/>
      <w:r w:rsidRPr="00EF1405">
        <w:rPr>
          <w:rFonts w:ascii="Arial" w:hAnsi="Arial" w:cs="Arial"/>
          <w:sz w:val="24"/>
          <w:szCs w:val="24"/>
        </w:rPr>
        <w:t>2.</w:t>
      </w:r>
      <w:r w:rsidRPr="00EF1405">
        <w:rPr>
          <w:rFonts w:ascii="Arial" w:hAnsi="Arial" w:cs="Arial"/>
          <w:sz w:val="24"/>
          <w:szCs w:val="24"/>
        </w:rPr>
        <w:tab/>
        <w:t>Stange P, Seidl S, Karl T, Benz JP. Evaluation of Trichoderma isolates as biocontrol measure against Claviceps purpurea. European Journal of Plant Pathology. 2023;167(4):651-75.</w:t>
      </w:r>
      <w:bookmarkEnd w:id="2"/>
    </w:p>
    <w:p w14:paraId="3F5245C5" w14:textId="77777777" w:rsidR="00120B9B" w:rsidRPr="00EF1405" w:rsidRDefault="00120B9B" w:rsidP="00120B9B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bookmarkStart w:id="3" w:name="_ENREF_3"/>
      <w:r w:rsidRPr="00EF1405">
        <w:rPr>
          <w:rFonts w:ascii="Arial" w:hAnsi="Arial" w:cs="Arial"/>
          <w:sz w:val="24"/>
          <w:szCs w:val="24"/>
        </w:rPr>
        <w:t>3.</w:t>
      </w:r>
      <w:r w:rsidRPr="00EF1405">
        <w:rPr>
          <w:rFonts w:ascii="Arial" w:hAnsi="Arial" w:cs="Arial"/>
          <w:sz w:val="24"/>
          <w:szCs w:val="24"/>
        </w:rPr>
        <w:tab/>
        <w:t>White TJ, Bruns T, Lee S, Taylor J. 38 - AMPLIFICATION AND DIRECT SEQUENCING OF FUNGAL RIBOSOMAL RNA GENES FOR PHYLOGENETICS. In: Innis MA, Gelfand DH, Sninsky JJ, White TJ, editors. PCR Protocols. San Diego: Academic Press; 1990. p. 315-22.</w:t>
      </w:r>
      <w:bookmarkEnd w:id="3"/>
    </w:p>
    <w:p w14:paraId="7B6D7604" w14:textId="77777777" w:rsidR="00120B9B" w:rsidRPr="00EF1405" w:rsidRDefault="00120B9B" w:rsidP="00120B9B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bookmarkStart w:id="4" w:name="_ENREF_4"/>
      <w:r w:rsidRPr="00EF1405">
        <w:rPr>
          <w:rFonts w:ascii="Arial" w:hAnsi="Arial" w:cs="Arial"/>
          <w:sz w:val="24"/>
          <w:szCs w:val="24"/>
        </w:rPr>
        <w:t>4.</w:t>
      </w:r>
      <w:r w:rsidRPr="00EF1405">
        <w:rPr>
          <w:rFonts w:ascii="Arial" w:hAnsi="Arial" w:cs="Arial"/>
          <w:sz w:val="24"/>
          <w:szCs w:val="24"/>
        </w:rPr>
        <w:tab/>
        <w:t>O’Donnell K, Kistler HC, Cigelnik E, Ploetz RC. Multiple evolutionary origins of the fungus causing Panama disease of banana: Concordant evidence from nuclear and mitochondrial gene genealogies. Proceedings of the National Academy of Sciences. 1998;95(5):2044-9.</w:t>
      </w:r>
      <w:bookmarkEnd w:id="4"/>
    </w:p>
    <w:p w14:paraId="4F64203B" w14:textId="77777777" w:rsidR="00120B9B" w:rsidRPr="00EF1405" w:rsidRDefault="00120B9B" w:rsidP="00120B9B">
      <w:pPr>
        <w:pStyle w:val="EndNoteBibliography"/>
        <w:spacing w:after="0" w:line="480" w:lineRule="auto"/>
        <w:rPr>
          <w:rFonts w:ascii="Arial" w:hAnsi="Arial" w:cs="Arial"/>
          <w:sz w:val="24"/>
          <w:szCs w:val="24"/>
        </w:rPr>
      </w:pPr>
      <w:bookmarkStart w:id="5" w:name="_ENREF_5"/>
      <w:r w:rsidRPr="00EF1405">
        <w:rPr>
          <w:rFonts w:ascii="Arial" w:hAnsi="Arial" w:cs="Arial"/>
          <w:sz w:val="24"/>
          <w:szCs w:val="24"/>
        </w:rPr>
        <w:t>5.</w:t>
      </w:r>
      <w:r w:rsidRPr="00EF1405">
        <w:rPr>
          <w:rFonts w:ascii="Arial" w:hAnsi="Arial" w:cs="Arial"/>
          <w:sz w:val="24"/>
          <w:szCs w:val="24"/>
        </w:rPr>
        <w:tab/>
        <w:t>Liu YJ, Whelen S, Hall BD. Phylogenetic relationships among ascomycetes: evidence from an RNA polymerse II subunit. Molecular Biology and Evolution. 1999;16(12):1799-808.</w:t>
      </w:r>
      <w:bookmarkEnd w:id="5"/>
    </w:p>
    <w:p w14:paraId="4C2DF415" w14:textId="77777777" w:rsidR="00120B9B" w:rsidRPr="00EF1405" w:rsidRDefault="00120B9B" w:rsidP="00120B9B">
      <w:pPr>
        <w:pStyle w:val="EndNoteBibliography"/>
        <w:spacing w:line="480" w:lineRule="auto"/>
        <w:rPr>
          <w:rFonts w:ascii="Arial" w:hAnsi="Arial" w:cs="Arial"/>
          <w:sz w:val="24"/>
          <w:szCs w:val="24"/>
        </w:rPr>
      </w:pPr>
      <w:bookmarkStart w:id="6" w:name="_ENREF_6"/>
      <w:r w:rsidRPr="00EF1405">
        <w:rPr>
          <w:rFonts w:ascii="Arial" w:hAnsi="Arial" w:cs="Arial"/>
          <w:sz w:val="24"/>
          <w:szCs w:val="24"/>
        </w:rPr>
        <w:t>6.</w:t>
      </w:r>
      <w:r w:rsidRPr="00EF1405">
        <w:rPr>
          <w:rFonts w:ascii="Arial" w:hAnsi="Arial" w:cs="Arial"/>
          <w:sz w:val="24"/>
          <w:szCs w:val="24"/>
        </w:rPr>
        <w:tab/>
        <w:t>Bertić M, Schroeder H, Kersten B, Fladung M, Orgel F, Buegger F, et al. European oak chemical diversity – from ecotypes to herbivore resistance. New Phytologist. 2021;232(2):818-34.</w:t>
      </w:r>
      <w:bookmarkEnd w:id="6"/>
    </w:p>
    <w:p w14:paraId="56066BC0" w14:textId="4F3555EB" w:rsidR="00625918" w:rsidRPr="00EF1405" w:rsidRDefault="00120B9B" w:rsidP="00120B9B">
      <w:pPr>
        <w:pStyle w:val="ListParagraph"/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405">
        <w:rPr>
          <w:rFonts w:ascii="Arial" w:hAnsi="Arial" w:cs="Arial"/>
          <w:b/>
          <w:bCs/>
          <w:sz w:val="24"/>
          <w:szCs w:val="24"/>
        </w:rPr>
        <w:fldChar w:fldCharType="end"/>
      </w:r>
    </w:p>
    <w:sectPr w:rsidR="00625918" w:rsidRPr="00EF1405" w:rsidSect="00EF1405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AD1B1" w14:textId="77777777" w:rsidR="0004786D" w:rsidRDefault="0004786D" w:rsidP="007F4467">
      <w:pPr>
        <w:spacing w:after="0" w:line="240" w:lineRule="auto"/>
      </w:pPr>
      <w:r>
        <w:separator/>
      </w:r>
    </w:p>
  </w:endnote>
  <w:endnote w:type="continuationSeparator" w:id="0">
    <w:p w14:paraId="1C895F58" w14:textId="77777777" w:rsidR="0004786D" w:rsidRDefault="0004786D" w:rsidP="007F4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5576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0DBDE" w14:textId="0E6BA243" w:rsidR="007F4467" w:rsidRDefault="007F44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C7E584" w14:textId="77777777" w:rsidR="007F4467" w:rsidRDefault="007F44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EC119" w14:textId="77777777" w:rsidR="0004786D" w:rsidRDefault="0004786D" w:rsidP="007F4467">
      <w:pPr>
        <w:spacing w:after="0" w:line="240" w:lineRule="auto"/>
      </w:pPr>
      <w:r>
        <w:separator/>
      </w:r>
    </w:p>
  </w:footnote>
  <w:footnote w:type="continuationSeparator" w:id="0">
    <w:p w14:paraId="0CBC7F69" w14:textId="77777777" w:rsidR="0004786D" w:rsidRDefault="0004786D" w:rsidP="007F4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FACB0" w14:textId="5D9BB87B" w:rsidR="00D01A08" w:rsidRPr="00D01A08" w:rsidRDefault="00D01A08" w:rsidP="00D01A08">
    <w:pPr>
      <w:spacing w:line="360" w:lineRule="auto"/>
      <w:jc w:val="right"/>
      <w:rPr>
        <w:rFonts w:ascii="Arial" w:hAnsi="Arial" w:cs="Arial"/>
        <w:sz w:val="28"/>
        <w:szCs w:val="28"/>
      </w:rPr>
    </w:pPr>
    <w:r w:rsidRPr="00D01A08">
      <w:rPr>
        <w:rFonts w:ascii="Arial" w:hAnsi="Arial" w:cs="Arial"/>
        <w:sz w:val="28"/>
        <w:szCs w:val="28"/>
      </w:rPr>
      <w:t>Supplementary Methods</w:t>
    </w:r>
  </w:p>
  <w:p w14:paraId="6B1679E0" w14:textId="4143B5A1" w:rsidR="00D01A08" w:rsidRDefault="00D01A08">
    <w:pPr>
      <w:pStyle w:val="Header"/>
    </w:pPr>
  </w:p>
  <w:p w14:paraId="44B074AF" w14:textId="77777777" w:rsidR="00D01A08" w:rsidRDefault="00D01A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97906"/>
    <w:multiLevelType w:val="hybridMultilevel"/>
    <w:tmpl w:val="5FC44D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64A36"/>
    <w:multiLevelType w:val="hybridMultilevel"/>
    <w:tmpl w:val="A10007B8"/>
    <w:lvl w:ilvl="0" w:tplc="848A393C">
      <w:start w:val="1"/>
      <w:numFmt w:val="upp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revisionView w:markup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9zfew2awf2pzfoeaa53pz05x5s9vr5zxavzt&quot;&gt;My EndNote Library&lt;record-ids&gt;&lt;item&gt;81&lt;/item&gt;&lt;item&gt;85&lt;/item&gt;&lt;item&gt;140&lt;/item&gt;&lt;item&gt;148&lt;/item&gt;&lt;item&gt;149&lt;/item&gt;&lt;item&gt;150&lt;/item&gt;&lt;/record-ids&gt;&lt;/item&gt;&lt;/Libraries&gt;"/>
  </w:docVars>
  <w:rsids>
    <w:rsidRoot w:val="008C0CD0"/>
    <w:rsid w:val="0004786D"/>
    <w:rsid w:val="000B25B4"/>
    <w:rsid w:val="000C1446"/>
    <w:rsid w:val="00120B9B"/>
    <w:rsid w:val="001345A3"/>
    <w:rsid w:val="001B56B3"/>
    <w:rsid w:val="00205BA0"/>
    <w:rsid w:val="00250047"/>
    <w:rsid w:val="002C7DD2"/>
    <w:rsid w:val="00323B9F"/>
    <w:rsid w:val="003908C9"/>
    <w:rsid w:val="003F6AC2"/>
    <w:rsid w:val="00496606"/>
    <w:rsid w:val="005C5FC7"/>
    <w:rsid w:val="00625918"/>
    <w:rsid w:val="00633AAB"/>
    <w:rsid w:val="00685C77"/>
    <w:rsid w:val="006A518A"/>
    <w:rsid w:val="00746862"/>
    <w:rsid w:val="00771128"/>
    <w:rsid w:val="007F4467"/>
    <w:rsid w:val="00816553"/>
    <w:rsid w:val="008C0CD0"/>
    <w:rsid w:val="009F1FBA"/>
    <w:rsid w:val="00A334D3"/>
    <w:rsid w:val="00A6056A"/>
    <w:rsid w:val="00A64FCC"/>
    <w:rsid w:val="00B00F20"/>
    <w:rsid w:val="00B369DF"/>
    <w:rsid w:val="00BB3716"/>
    <w:rsid w:val="00BC248D"/>
    <w:rsid w:val="00BE5DD8"/>
    <w:rsid w:val="00C64FC8"/>
    <w:rsid w:val="00C832D2"/>
    <w:rsid w:val="00CA3410"/>
    <w:rsid w:val="00D01A08"/>
    <w:rsid w:val="00D9271D"/>
    <w:rsid w:val="00E47C32"/>
    <w:rsid w:val="00E84932"/>
    <w:rsid w:val="00E94A22"/>
    <w:rsid w:val="00EF1405"/>
    <w:rsid w:val="00F12F20"/>
    <w:rsid w:val="00F30C5A"/>
    <w:rsid w:val="00F4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515A2C"/>
  <w15:chartTrackingRefBased/>
  <w15:docId w15:val="{D57E6EF8-24B6-4AE5-9841-EE5B68582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CD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6Colorful">
    <w:name w:val="List Table 6 Colorful"/>
    <w:basedOn w:val="TableNormal"/>
    <w:uiPriority w:val="51"/>
    <w:rsid w:val="008C0CD0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8C0CD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F4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467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F4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467"/>
    <w:rPr>
      <w:kern w:val="0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rsid w:val="001B5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1B56B3"/>
    <w:rPr>
      <w:color w:val="0000FF"/>
      <w:u w:val="single"/>
    </w:rPr>
  </w:style>
  <w:style w:type="character" w:customStyle="1" w:styleId="NormalWebChar">
    <w:name w:val="Normal (Web) Char"/>
    <w:basedOn w:val="DefaultParagraphFont"/>
    <w:link w:val="NormalWeb"/>
    <w:uiPriority w:val="99"/>
    <w:rsid w:val="001B56B3"/>
    <w:rPr>
      <w:rFonts w:ascii="Times New Roman" w:eastAsia="Times New Roman" w:hAnsi="Times New Roman" w:cs="Times New Roman"/>
      <w:kern w:val="0"/>
      <w:sz w:val="24"/>
      <w:szCs w:val="24"/>
      <w:lang w:eastAsia="en-IN"/>
    </w:rPr>
  </w:style>
  <w:style w:type="paragraph" w:customStyle="1" w:styleId="paragraph">
    <w:name w:val="paragraph"/>
    <w:basedOn w:val="Normal"/>
    <w:link w:val="paragraphChar"/>
    <w:rsid w:val="00205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  <w14:ligatures w14:val="standardContextual"/>
    </w:rPr>
  </w:style>
  <w:style w:type="character" w:customStyle="1" w:styleId="normaltextrun">
    <w:name w:val="normaltextrun"/>
    <w:basedOn w:val="DefaultParagraphFont"/>
    <w:rsid w:val="00205BA0"/>
  </w:style>
  <w:style w:type="character" w:customStyle="1" w:styleId="tabchar">
    <w:name w:val="tabchar"/>
    <w:basedOn w:val="DefaultParagraphFont"/>
    <w:rsid w:val="00205BA0"/>
  </w:style>
  <w:style w:type="character" w:customStyle="1" w:styleId="eop">
    <w:name w:val="eop"/>
    <w:basedOn w:val="DefaultParagraphFont"/>
    <w:rsid w:val="00205BA0"/>
  </w:style>
  <w:style w:type="paragraph" w:styleId="ListParagraph">
    <w:name w:val="List Paragraph"/>
    <w:basedOn w:val="Normal"/>
    <w:uiPriority w:val="34"/>
    <w:qFormat/>
    <w:rsid w:val="00205BA0"/>
    <w:pPr>
      <w:ind w:left="720"/>
      <w:contextualSpacing/>
    </w:pPr>
  </w:style>
  <w:style w:type="table" w:styleId="TableGrid">
    <w:name w:val="Table Grid"/>
    <w:basedOn w:val="TableNormal"/>
    <w:uiPriority w:val="39"/>
    <w:rsid w:val="00A60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120B9B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paragraphChar">
    <w:name w:val="paragraph Char"/>
    <w:basedOn w:val="DefaultParagraphFont"/>
    <w:link w:val="paragraph"/>
    <w:rsid w:val="00120B9B"/>
    <w:rPr>
      <w:rFonts w:ascii="Times New Roman" w:eastAsia="Times New Roman" w:hAnsi="Times New Roman" w:cs="Times New Roman"/>
      <w:kern w:val="0"/>
      <w:sz w:val="24"/>
      <w:szCs w:val="24"/>
      <w:lang w:eastAsia="en-IN"/>
    </w:rPr>
  </w:style>
  <w:style w:type="character" w:customStyle="1" w:styleId="EndNoteBibliographyTitleChar">
    <w:name w:val="EndNote Bibliography Title Char"/>
    <w:basedOn w:val="paragraphChar"/>
    <w:link w:val="EndNoteBibliographyTitle"/>
    <w:rsid w:val="00120B9B"/>
    <w:rPr>
      <w:rFonts w:ascii="Calibri" w:eastAsia="Times New Roman" w:hAnsi="Calibri" w:cs="Calibri"/>
      <w:noProof/>
      <w:kern w:val="0"/>
      <w:sz w:val="24"/>
      <w:szCs w:val="24"/>
      <w:lang w:val="en-US" w:eastAsia="en-IN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120B9B"/>
    <w:pPr>
      <w:spacing w:line="240" w:lineRule="auto"/>
      <w:jc w:val="both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paragraphChar"/>
    <w:link w:val="EndNoteBibliography"/>
    <w:rsid w:val="00120B9B"/>
    <w:rPr>
      <w:rFonts w:ascii="Calibri" w:eastAsia="Times New Roman" w:hAnsi="Calibri" w:cs="Calibri"/>
      <w:noProof/>
      <w:kern w:val="0"/>
      <w:sz w:val="24"/>
      <w:szCs w:val="24"/>
      <w:lang w:val="en-US" w:eastAsia="en-IN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20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54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7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5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31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5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20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5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0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8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9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7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25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3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45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4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2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36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6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1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7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1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07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2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0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7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9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4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4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4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4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9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7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76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6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4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5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2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0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3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1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22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72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9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9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82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9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2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26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8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3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71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5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0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3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99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14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05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85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1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8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aria.rosenkranz@biologie.uni-regens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16089</Characters>
  <Application>Microsoft Office Word</Application>
  <DocSecurity>0</DocSecurity>
  <Lines>134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Prasath Balaji Sivaprakasam Padmanaban</dc:creator>
  <cp:keywords/>
  <dc:description/>
  <cp:lastModifiedBy>Durga  Ramu</cp:lastModifiedBy>
  <cp:revision>7</cp:revision>
  <dcterms:created xsi:type="dcterms:W3CDTF">2024-11-28T11:55:00Z</dcterms:created>
  <dcterms:modified xsi:type="dcterms:W3CDTF">2025-07-13T06:45:00Z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1e9348ad-8c40-4e39-baef-a77d9c9efaf6</vt:lpwstr>
  </property>
</Properties>
</file>