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color w:val="000000"/>
        </w:rPr>
      </w:pPr>
      <w:r>
        <w:rPr>
          <w:rFonts w:ascii="Cambria" w:hAnsi="Cambria"/>
          <w:color w:val="000000"/>
          <w:sz w:val="28"/>
          <w:szCs w:val="28"/>
        </w:rPr>
        <w:t>Supplementary information for:</w:t>
      </w:r>
    </w:p>
    <w:p>
      <w:pPr>
        <w:pStyle w:val="Normal"/>
        <w:bidi w:val="0"/>
        <w:jc w:val="start"/>
        <w:rPr>
          <w:color w:val="000000"/>
          <w:sz w:val="28"/>
          <w:szCs w:val="28"/>
        </w:rPr>
      </w:pPr>
      <w:r>
        <w:rPr>
          <w:color w:val="000000"/>
          <w:sz w:val="28"/>
          <w:szCs w:val="28"/>
        </w:rPr>
      </w:r>
    </w:p>
    <w:p>
      <w:pPr>
        <w:pStyle w:val="Normal"/>
        <w:bidi w:val="0"/>
        <w:spacing w:lineRule="auto" w:line="240" w:before="0" w:after="0"/>
        <w:jc w:val="start"/>
        <w:rPr>
          <w:color w:val="FF0000"/>
          <w:sz w:val="28"/>
          <w:szCs w:val="28"/>
        </w:rPr>
      </w:pPr>
      <w:r>
        <w:rPr>
          <w:rFonts w:ascii="Cambria" w:hAnsi="Cambria"/>
          <w:color w:val="000000"/>
          <w:sz w:val="28"/>
          <w:szCs w:val="28"/>
          <w:shd w:fill="auto" w:val="clear"/>
        </w:rPr>
        <w:t>Road-Traffic Emissions of Ultrafine Particles and Elemental Black Carbon in Six Northern European Cities</w:t>
      </w:r>
    </w:p>
    <w:p>
      <w:pPr>
        <w:pStyle w:val="Normal"/>
        <w:bidi w:val="0"/>
        <w:spacing w:lineRule="auto" w:line="240" w:before="0" w:after="0"/>
        <w:jc w:val="start"/>
        <w:rPr>
          <w:color w:val="FF0000"/>
          <w:sz w:val="28"/>
          <w:szCs w:val="28"/>
        </w:rPr>
      </w:pPr>
      <w:r>
        <w:rPr>
          <w:color w:val="FF0000"/>
          <w:sz w:val="28"/>
          <w:szCs w:val="28"/>
        </w:rPr>
      </w:r>
    </w:p>
    <w:p>
      <w:pPr>
        <w:pStyle w:val="Normal"/>
        <w:bidi w:val="0"/>
        <w:jc w:val="both"/>
        <w:rPr>
          <w:rFonts w:ascii="Cambria" w:hAnsi="Cambria" w:eastAsia="Calibri" w:cs="Arial"/>
          <w:color w:themeColor="dark2" w:val="000000"/>
          <w:vertAlign w:val="superscript"/>
          <w:lang w:val="es-ES"/>
        </w:rPr>
      </w:pPr>
      <w:r>
        <w:rPr>
          <w:color w:val="000000"/>
          <w:lang w:val="es-ES"/>
        </w:rPr>
        <w:t>Simonas Kecorius</w:t>
      </w:r>
      <w:bookmarkStart w:id="0" w:name="_Int_ax6dHXfO_Copy_1"/>
      <w:r>
        <w:rPr>
          <w:color w:val="000000"/>
          <w:vertAlign w:val="superscript"/>
          <w:lang w:val="es-ES"/>
        </w:rPr>
        <w:t>a,b,c*</w:t>
      </w:r>
      <w:bookmarkEnd w:id="0"/>
      <w:r>
        <w:rPr>
          <w:color w:val="000000"/>
          <w:lang w:val="es-ES"/>
        </w:rPr>
        <w:t>, Leizel Madueño</w:t>
      </w:r>
      <w:r>
        <w:rPr>
          <w:color w:val="000000"/>
          <w:vertAlign w:val="superscript"/>
          <w:lang w:val="es-ES"/>
        </w:rPr>
        <w:t>d</w:t>
      </w:r>
      <w:r>
        <w:rPr>
          <w:color w:val="000000"/>
          <w:lang w:val="es-ES"/>
        </w:rPr>
        <w:t>, Kristina Plauškaitė</w:t>
      </w:r>
      <w:r>
        <w:rPr>
          <w:color w:val="000000"/>
          <w:vertAlign w:val="superscript"/>
          <w:lang w:val="es-ES"/>
        </w:rPr>
        <w:t>a</w:t>
      </w:r>
      <w:r>
        <w:rPr>
          <w:color w:val="000000"/>
          <w:lang w:val="es-ES"/>
        </w:rPr>
        <w:t>, Steigvilė Byčenkienė</w:t>
      </w:r>
      <w:r>
        <w:rPr>
          <w:color w:val="000000"/>
          <w:vertAlign w:val="superscript"/>
          <w:lang w:val="es-ES"/>
        </w:rPr>
        <w:t>a</w:t>
      </w:r>
      <w:r>
        <w:rPr>
          <w:color w:val="000000"/>
          <w:lang w:val="es-ES"/>
        </w:rPr>
        <w:t>, Mario Lovri</w:t>
      </w:r>
      <w:r>
        <w:rPr>
          <w:rFonts w:eastAsia="Calibri" w:cs="Arial" w:ascii="Cambria" w:hAnsi="Cambria"/>
          <w:color w:val="000000"/>
          <w:shd w:fill="FFFFFF" w:val="clear"/>
          <w:lang w:val="hr-HR"/>
        </w:rPr>
        <w:t>ć</w:t>
      </w:r>
      <w:r>
        <w:rPr>
          <w:color w:val="000000"/>
          <w:vertAlign w:val="superscript"/>
          <w:lang w:val="es-ES"/>
        </w:rPr>
        <w:t>e,f</w:t>
      </w:r>
      <w:r>
        <w:rPr>
          <w:color w:val="000000"/>
          <w:lang w:val="es-ES"/>
        </w:rPr>
        <w:t>, Valentino Petri</w:t>
      </w:r>
      <w:r>
        <w:rPr>
          <w:rFonts w:eastAsia="Calibri" w:cs="Arial" w:ascii="Cambria" w:hAnsi="Cambria"/>
          <w:color w:val="000000"/>
          <w:shd w:fill="FFFFFF" w:val="clear"/>
          <w:lang w:val="hr-HR"/>
        </w:rPr>
        <w:t>ć</w:t>
      </w:r>
      <w:r>
        <w:rPr>
          <w:color w:val="000000"/>
          <w:vertAlign w:val="superscript"/>
          <w:lang w:val="es-ES"/>
        </w:rPr>
        <w:t>f,g</w:t>
      </w:r>
      <w:r>
        <w:rPr>
          <w:color w:themeColor="dark2" w:val="000000"/>
          <w:lang w:val="es-ES"/>
        </w:rPr>
        <w:t>, Manuel Carranza-García</w:t>
      </w:r>
      <w:r>
        <w:rPr>
          <w:color w:themeColor="dark2" w:val="000000"/>
          <w:vertAlign w:val="superscript"/>
          <w:lang w:val="es-ES"/>
        </w:rPr>
        <w:t>h</w:t>
      </w:r>
      <w:r>
        <w:rPr>
          <w:color w:themeColor="dark2" w:val="000000"/>
          <w:lang w:val="es-ES"/>
        </w:rPr>
        <w:t>, Manuel J. Jiménez-Navarro</w:t>
      </w:r>
      <w:r>
        <w:rPr>
          <w:color w:themeColor="dark2" w:val="000000"/>
          <w:vertAlign w:val="superscript"/>
          <w:lang w:val="es-ES"/>
        </w:rPr>
        <w:t>h</w:t>
      </w:r>
      <w:r>
        <w:rPr>
          <w:color w:themeColor="dark2" w:val="000000"/>
          <w:lang w:val="es-ES"/>
        </w:rPr>
        <w:t>, María del Mar Martínez-Ballesteros</w:t>
      </w:r>
      <w:r>
        <w:rPr>
          <w:color w:themeColor="dark2" w:val="000000"/>
          <w:vertAlign w:val="superscript"/>
          <w:lang w:val="es-ES"/>
        </w:rPr>
        <w:t>h</w:t>
      </w:r>
      <w:r>
        <w:rPr>
          <w:color w:val="000000"/>
          <w:lang w:val="es-ES"/>
        </w:rPr>
        <w:t>, and Gaudentas Kecorius</w:t>
      </w:r>
      <w:r>
        <w:rPr>
          <w:color w:themeColor="dark2" w:val="000000"/>
          <w:vertAlign w:val="superscript"/>
          <w:lang w:val="es-ES"/>
        </w:rPr>
        <w:t>i</w:t>
      </w:r>
    </w:p>
    <w:p>
      <w:pPr>
        <w:pStyle w:val="Normal"/>
        <w:bidi w:val="0"/>
        <w:spacing w:lineRule="auto" w:line="240" w:before="0" w:after="0"/>
        <w:jc w:val="start"/>
        <w:rPr>
          <w:rFonts w:ascii="Arial" w:hAnsi="Arial" w:eastAsia="Calibri" w:cs="Arial"/>
          <w:sz w:val="20"/>
          <w:szCs w:val="20"/>
          <w:shd w:fill="FFFFFF" w:val="clear"/>
          <w:vertAlign w:val="superscript"/>
        </w:rPr>
      </w:pPr>
      <w:r>
        <w:rPr>
          <w:rFonts w:eastAsia="Calibri" w:cs="Arial" w:ascii="Arial" w:hAnsi="Arial"/>
          <w:sz w:val="20"/>
          <w:szCs w:val="20"/>
          <w:shd w:fill="FFFFFF" w:val="clear"/>
          <w:vertAlign w:val="superscript"/>
        </w:rPr>
      </w:r>
    </w:p>
    <w:p>
      <w:pPr>
        <w:pStyle w:val="Normal"/>
        <w:bidi w:val="0"/>
        <w:jc w:val="both"/>
        <w:rPr/>
      </w:pPr>
      <w:r>
        <w:rPr>
          <w:rFonts w:ascii="Cambria" w:hAnsi="Cambria"/>
          <w:color w:val="000000"/>
          <w:sz w:val="20"/>
          <w:szCs w:val="20"/>
          <w:vertAlign w:val="superscript"/>
        </w:rPr>
        <w:t>a</w:t>
      </w:r>
      <w:r>
        <w:rPr>
          <w:sz w:val="20"/>
        </w:rPr>
        <w:t>Center for Physical Sciences and Technology, Vilnius, Lithuania</w:t>
      </w:r>
      <w:r>
        <w:rPr/>
        <w:t xml:space="preserve"> </w:t>
      </w:r>
    </w:p>
    <w:p>
      <w:pPr>
        <w:pStyle w:val="Normal"/>
        <w:bidi w:val="0"/>
        <w:jc w:val="both"/>
        <w:rPr>
          <w:rFonts w:ascii="Cambria" w:hAnsi="Cambria"/>
          <w:color w:val="000000"/>
          <w:sz w:val="20"/>
          <w:szCs w:val="20"/>
        </w:rPr>
      </w:pPr>
      <w:r>
        <w:rPr>
          <w:rFonts w:ascii="Cambria" w:hAnsi="Cambria"/>
          <w:color w:val="000000"/>
          <w:sz w:val="20"/>
          <w:szCs w:val="20"/>
          <w:vertAlign w:val="superscript"/>
          <w:lang w:val="lt-LT"/>
        </w:rPr>
        <w:t>b</w:t>
      </w:r>
      <w:r>
        <w:rPr>
          <w:rFonts w:ascii="Cambria" w:hAnsi="Cambria"/>
          <w:color w:val="000000"/>
          <w:sz w:val="20"/>
          <w:szCs w:val="20"/>
        </w:rPr>
        <w:t xml:space="preserve">Institute of Epidemiology, Helmholtz Zentrum München, Neuherberg, Germany </w:t>
      </w:r>
    </w:p>
    <w:p>
      <w:pPr>
        <w:pStyle w:val="Normal"/>
        <w:bidi w:val="0"/>
        <w:jc w:val="both"/>
        <w:rPr>
          <w:rFonts w:ascii="Cambria" w:hAnsi="Cambria"/>
          <w:color w:val="000000"/>
          <w:sz w:val="20"/>
          <w:szCs w:val="20"/>
        </w:rPr>
      </w:pPr>
      <w:r>
        <w:rPr>
          <w:rFonts w:ascii="Cambria" w:hAnsi="Cambria"/>
          <w:color w:val="000000"/>
          <w:sz w:val="20"/>
          <w:szCs w:val="20"/>
          <w:vertAlign w:val="superscript"/>
        </w:rPr>
        <w:t>c</w:t>
      </w:r>
      <w:r>
        <w:rPr>
          <w:rFonts w:ascii="Cambria" w:hAnsi="Cambria"/>
          <w:color w:val="000000"/>
          <w:sz w:val="20"/>
          <w:szCs w:val="20"/>
        </w:rPr>
        <w:t>Augsburg University, Augsburg, Germany</w:t>
      </w:r>
    </w:p>
    <w:p>
      <w:pPr>
        <w:pStyle w:val="Normal"/>
        <w:bidi w:val="0"/>
        <w:jc w:val="both"/>
        <w:rPr>
          <w:rFonts w:ascii="Cambria" w:hAnsi="Cambria"/>
          <w:color w:val="000000"/>
          <w:sz w:val="20"/>
          <w:szCs w:val="20"/>
        </w:rPr>
      </w:pPr>
      <w:r>
        <w:rPr>
          <w:rFonts w:ascii="Cambria" w:hAnsi="Cambria"/>
          <w:color w:val="000000"/>
          <w:sz w:val="20"/>
          <w:szCs w:val="20"/>
          <w:vertAlign w:val="superscript"/>
          <w:lang w:val="lt-LT"/>
        </w:rPr>
        <w:t>d</w:t>
      </w:r>
      <w:r>
        <w:rPr>
          <w:rFonts w:ascii="Cambria" w:hAnsi="Cambria"/>
          <w:color w:val="000000"/>
          <w:sz w:val="20"/>
          <w:szCs w:val="20"/>
        </w:rPr>
        <w:t>Leibniz</w:t>
        <w:noBreakHyphen/>
        <w:t>Institute for Tropospheric Research, Leipzig, Germany</w:t>
      </w:r>
    </w:p>
    <w:p>
      <w:pPr>
        <w:pStyle w:val="Normal"/>
        <w:bidi w:val="0"/>
        <w:jc w:val="both"/>
        <w:rPr>
          <w:rFonts w:ascii="Cambria" w:hAnsi="Cambria"/>
          <w:color w:val="000000"/>
          <w:sz w:val="20"/>
          <w:szCs w:val="20"/>
        </w:rPr>
      </w:pPr>
      <w:r>
        <w:rPr>
          <w:rFonts w:ascii="Cambria" w:hAnsi="Cambria"/>
          <w:color w:val="000000"/>
          <w:sz w:val="20"/>
          <w:szCs w:val="20"/>
          <w:vertAlign w:val="superscript"/>
          <w:lang w:val="lt-LT"/>
        </w:rPr>
        <w:t>e</w:t>
      </w:r>
      <w:r>
        <w:rPr>
          <w:rFonts w:ascii="Cambria" w:hAnsi="Cambria"/>
          <w:color w:val="000000"/>
          <w:sz w:val="20"/>
          <w:szCs w:val="20"/>
          <w:lang w:val="lt-LT"/>
        </w:rPr>
        <w:t>I</w:t>
      </w:r>
      <w:r>
        <w:rPr>
          <w:rFonts w:ascii="Cambria" w:hAnsi="Cambria"/>
          <w:color w:val="000000"/>
          <w:sz w:val="20"/>
          <w:szCs w:val="20"/>
        </w:rPr>
        <w:t>nstitute for Anthropological Research, Zagreb, Croatia</w:t>
      </w:r>
    </w:p>
    <w:p>
      <w:pPr>
        <w:pStyle w:val="Standard"/>
        <w:jc w:val="both"/>
        <w:rPr/>
      </w:pPr>
      <w:r>
        <w:rPr>
          <w:rFonts w:ascii="Cambria" w:hAnsi="Cambria"/>
          <w:color w:val="000000"/>
          <w:sz w:val="20"/>
          <w:szCs w:val="20"/>
          <w:vertAlign w:val="superscript"/>
          <w:lang w:val="lt-LT"/>
        </w:rPr>
        <w:t>f</w:t>
      </w:r>
      <w:r>
        <w:rPr>
          <w:rFonts w:ascii="Cambria" w:hAnsi="Cambria"/>
          <w:color w:val="000000"/>
          <w:sz w:val="20"/>
          <w:szCs w:val="20"/>
          <w:lang w:val="lt-LT"/>
        </w:rPr>
        <w:t>Lisbon Council, Brussels, Belgium</w:t>
      </w:r>
    </w:p>
    <w:p>
      <w:pPr>
        <w:pStyle w:val="Normal"/>
        <w:bidi w:val="0"/>
        <w:jc w:val="both"/>
        <w:rPr>
          <w:lang w:val="es-ES"/>
        </w:rPr>
      </w:pPr>
      <w:r>
        <w:rPr>
          <w:rFonts w:ascii="Cambria" w:hAnsi="Cambria"/>
          <w:color w:val="000000"/>
          <w:sz w:val="20"/>
          <w:szCs w:val="20"/>
          <w:vertAlign w:val="superscript"/>
          <w:lang w:val="lt-LT"/>
        </w:rPr>
        <w:t>g</w:t>
      </w:r>
      <w:r>
        <w:rPr>
          <w:rFonts w:ascii="Cambria" w:hAnsi="Cambria"/>
          <w:color w:val="000000"/>
          <w:sz w:val="20"/>
          <w:szCs w:val="20"/>
          <w:lang w:val="lt-LT"/>
        </w:rPr>
        <w:t>Ascalia d.o.o., Čakovec, Croatia</w:t>
      </w:r>
    </w:p>
    <w:p>
      <w:pPr>
        <w:pStyle w:val="Normal"/>
        <w:bidi w:val="0"/>
        <w:jc w:val="both"/>
        <w:rPr/>
      </w:pPr>
      <w:r>
        <w:rPr>
          <w:rFonts w:ascii="Cambria" w:hAnsi="Cambria"/>
          <w:color w:val="000000"/>
          <w:sz w:val="20"/>
          <w:szCs w:val="20"/>
          <w:vertAlign w:val="superscript"/>
          <w:lang w:val="lt-LT"/>
        </w:rPr>
        <w:t>h</w:t>
      </w:r>
      <w:r>
        <w:rPr>
          <w:rFonts w:ascii="Cambria" w:hAnsi="Cambria"/>
          <w:color w:val="000000"/>
          <w:sz w:val="20"/>
          <w:szCs w:val="20"/>
          <w:lang w:val="lt-LT"/>
        </w:rPr>
        <w:t>University of Seville, Seville, Spain</w:t>
      </w:r>
    </w:p>
    <w:p>
      <w:pPr>
        <w:pStyle w:val="Normal"/>
        <w:bidi w:val="0"/>
        <w:jc w:val="both"/>
        <w:rPr>
          <w:rFonts w:eastAsia="Calibri" w:cs="Arial"/>
          <w:position w:val="0"/>
          <w:sz w:val="20"/>
          <w:sz w:val="20"/>
          <w:szCs w:val="20"/>
          <w:shd w:fill="FFFFFF" w:val="clear"/>
          <w:vertAlign w:val="baseline"/>
          <w:lang w:val="lt-LT"/>
        </w:rPr>
      </w:pPr>
      <w:r>
        <w:rPr>
          <w:rFonts w:ascii="Cambria" w:hAnsi="Cambria"/>
          <w:color w:val="000000"/>
          <w:sz w:val="20"/>
          <w:szCs w:val="20"/>
          <w:vertAlign w:val="superscript"/>
          <w:lang w:val="lt-LT"/>
        </w:rPr>
        <w:t>i</w:t>
      </w:r>
      <w:r>
        <w:rPr>
          <w:sz w:val="20"/>
          <w:szCs w:val="20"/>
        </w:rPr>
        <w:t>Private Researcher, Kupiškis, Lithuania</w:t>
      </w:r>
    </w:p>
    <w:p>
      <w:pPr>
        <w:pStyle w:val="Normal"/>
        <w:widowControl/>
        <w:suppressAutoHyphens w:val="true"/>
        <w:bidi w:val="0"/>
        <w:spacing w:lineRule="auto" w:line="259" w:before="0" w:after="0"/>
        <w:jc w:val="both"/>
        <w:rPr>
          <w:rFonts w:ascii="Segoe UI" w:hAnsi="Segoe UI" w:eastAsia="Calibri" w:cs="Segoe UI"/>
          <w:color w:val="000000"/>
          <w:sz w:val="16"/>
          <w:szCs w:val="16"/>
          <w:shd w:fill="F7F7F8" w:val="clear"/>
        </w:rPr>
      </w:pPr>
      <w:r>
        <w:rPr>
          <w:rFonts w:eastAsia="Calibri" w:cs="Segoe UI" w:ascii="Segoe UI" w:hAnsi="Segoe UI"/>
          <w:color w:val="000000"/>
          <w:sz w:val="16"/>
          <w:szCs w:val="16"/>
          <w:shd w:fill="F7F7F8" w:val="clear"/>
        </w:rPr>
      </w:r>
    </w:p>
    <w:p>
      <w:pPr>
        <w:pStyle w:val="Normal"/>
        <w:bidi w:val="0"/>
        <w:jc w:val="start"/>
        <w:rPr>
          <w:color w:val="000000"/>
        </w:rPr>
      </w:pPr>
      <w:r>
        <w:rPr>
          <w:rFonts w:cs="Arial" w:ascii="Cambria" w:hAnsi="Cambria"/>
          <w:color w:val="000000"/>
          <w:sz w:val="20"/>
        </w:rPr>
        <w:t>*</w:t>
      </w:r>
      <w:r>
        <w:rPr>
          <w:rFonts w:cs="Arial" w:ascii="Cambria" w:hAnsi="Cambria"/>
          <w:i/>
          <w:color w:val="000000"/>
          <w:sz w:val="20"/>
        </w:rPr>
        <w:t xml:space="preserve"> Correspondence to:</w:t>
      </w:r>
      <w:r>
        <w:rPr>
          <w:rFonts w:cs="Arial" w:ascii="Cambria" w:hAnsi="Cambria"/>
          <w:color w:val="000000"/>
          <w:sz w:val="20"/>
        </w:rPr>
        <w:t xml:space="preserve"> Simonas Kecorius</w:t>
      </w:r>
    </w:p>
    <w:p>
      <w:pPr>
        <w:pStyle w:val="Normal"/>
        <w:bidi w:val="0"/>
        <w:jc w:val="start"/>
        <w:rPr/>
      </w:pPr>
      <w:r>
        <w:rPr>
          <w:rFonts w:cs="Arial" w:ascii="Cambria" w:hAnsi="Cambria"/>
          <w:color w:val="000000"/>
          <w:sz w:val="20"/>
        </w:rPr>
        <w:t xml:space="preserve">Email: </w:t>
      </w:r>
      <w:r>
        <w:rPr>
          <w:rStyle w:val="Hyperlink"/>
          <w:rFonts w:cs="Arial" w:ascii="Cambria" w:hAnsi="Cambria"/>
          <w:color w:val="000000"/>
          <w:sz w:val="20"/>
        </w:rPr>
        <w:t>simonas.kecorius@helmholtz-munich.de</w:t>
      </w:r>
    </w:p>
    <w:p>
      <w:pPr>
        <w:pStyle w:val="Normal"/>
        <w:bidi w:val="0"/>
        <w:jc w:val="start"/>
        <w:rPr>
          <w:rFonts w:ascii="Segoe UI" w:hAnsi="Segoe UI" w:cs="Segoe UI"/>
          <w:color w:val="000000"/>
          <w:shd w:fill="F7F7F8" w:val="clear"/>
        </w:rPr>
      </w:pPr>
      <w:r>
        <w:rPr>
          <w:rFonts w:cs="Segoe UI" w:ascii="Segoe UI" w:hAnsi="Segoe UI"/>
          <w:color w:val="000000"/>
          <w:shd w:fill="F7F7F8" w:val="clear"/>
        </w:rPr>
      </w:r>
    </w:p>
    <w:p>
      <w:pPr>
        <w:pStyle w:val="Normal"/>
        <w:bidi w:val="0"/>
        <w:spacing w:before="0" w:after="0"/>
        <w:jc w:val="start"/>
        <w:rPr>
          <w:color w:val="000000"/>
        </w:rPr>
      </w:pPr>
      <w:r>
        <w:rPr>
          <w:rFonts w:cs="Arial" w:ascii="Cambria" w:hAnsi="Cambria"/>
          <w:b/>
          <w:color w:val="000000"/>
          <w:sz w:val="20"/>
        </w:rPr>
        <w:t>This PDF file includes:</w:t>
      </w:r>
    </w:p>
    <w:p>
      <w:pPr>
        <w:pStyle w:val="Normal"/>
        <w:bidi w:val="0"/>
        <w:spacing w:before="0" w:after="0"/>
        <w:jc w:val="start"/>
        <w:rPr>
          <w:rFonts w:ascii="Arial" w:hAnsi="Arial" w:cs="Arial"/>
          <w:color w:val="000000"/>
          <w:sz w:val="20"/>
        </w:rPr>
      </w:pPr>
      <w:r>
        <w:rPr>
          <w:rFonts w:cs="Arial" w:ascii="Arial" w:hAnsi="Arial"/>
          <w:color w:val="000000"/>
          <w:sz w:val="20"/>
        </w:rPr>
      </w:r>
    </w:p>
    <w:p>
      <w:pPr>
        <w:pStyle w:val="Normal"/>
        <w:bidi w:val="0"/>
        <w:spacing w:before="0" w:after="0"/>
        <w:ind w:start="720"/>
        <w:jc w:val="start"/>
        <w:rPr>
          <w:color w:val="000000"/>
        </w:rPr>
      </w:pPr>
      <w:r>
        <w:rPr>
          <w:rFonts w:cs="Arial" w:ascii="Cambria" w:hAnsi="Cambria"/>
          <w:color w:val="000000"/>
          <w:sz w:val="20"/>
        </w:rPr>
        <w:t>Supplementary text</w:t>
      </w:r>
    </w:p>
    <w:p>
      <w:pPr>
        <w:pStyle w:val="Normal"/>
        <w:bidi w:val="0"/>
        <w:spacing w:before="0" w:after="0"/>
        <w:ind w:start="720"/>
        <w:jc w:val="start"/>
        <w:rPr>
          <w:color w:val="000000"/>
        </w:rPr>
      </w:pPr>
      <w:r>
        <w:rPr>
          <w:rFonts w:cs="Arial" w:ascii="Cambria" w:hAnsi="Cambria"/>
          <w:color w:val="000000"/>
          <w:sz w:val="20"/>
        </w:rPr>
        <w:t xml:space="preserve">Figures S1 to S6 </w:t>
      </w:r>
    </w:p>
    <w:p>
      <w:pPr>
        <w:pStyle w:val="Normal"/>
        <w:bidi w:val="0"/>
        <w:spacing w:before="0" w:after="0"/>
        <w:ind w:start="720"/>
        <w:jc w:val="start"/>
        <w:rPr>
          <w:color w:val="000000"/>
        </w:rPr>
      </w:pPr>
      <w:r>
        <w:rPr>
          <w:rFonts w:cs="Arial" w:ascii="Cambria" w:hAnsi="Cambria"/>
          <w:color w:val="000000"/>
          <w:sz w:val="20"/>
        </w:rPr>
        <w:t>Table T1</w:t>
      </w:r>
    </w:p>
    <w:p>
      <w:pPr>
        <w:pStyle w:val="Normal"/>
        <w:bidi w:val="0"/>
        <w:spacing w:before="0" w:after="0"/>
        <w:ind w:start="720"/>
        <w:jc w:val="start"/>
        <w:rPr>
          <w:color w:val="000000"/>
        </w:rPr>
      </w:pPr>
      <w:r>
        <w:rPr>
          <w:rFonts w:cs="Arial" w:ascii="Cambria" w:hAnsi="Cambria"/>
          <w:color w:val="000000"/>
          <w:sz w:val="20"/>
        </w:rPr>
        <w:t>References</w:t>
      </w:r>
    </w:p>
    <w:p>
      <w:pPr>
        <w:pStyle w:val="Normal"/>
        <w:bidi w:val="0"/>
        <w:spacing w:before="0" w:after="0"/>
        <w:ind w:start="720"/>
        <w:jc w:val="start"/>
        <w:rPr>
          <w:color w:val="000000"/>
        </w:rPr>
      </w:pPr>
      <w:r>
        <w:rPr>
          <w:rFonts w:cs="Arial" w:ascii="Cambria" w:hAnsi="Cambria"/>
          <w:color w:val="000000"/>
          <w:sz w:val="20"/>
        </w:rPr>
        <w:t>Legends for Movies 0</w:t>
      </w:r>
    </w:p>
    <w:p>
      <w:pPr>
        <w:pStyle w:val="Normal"/>
        <w:bidi w:val="0"/>
        <w:spacing w:before="0" w:after="0"/>
        <w:ind w:start="720"/>
        <w:jc w:val="start"/>
        <w:rPr>
          <w:color w:val="000000"/>
        </w:rPr>
      </w:pPr>
      <w:r>
        <w:rPr>
          <w:rFonts w:cs="Arial" w:ascii="Cambria" w:hAnsi="Cambria"/>
          <w:color w:val="000000"/>
          <w:sz w:val="20"/>
        </w:rPr>
        <w:t>Legends for Datasets 0</w:t>
      </w:r>
    </w:p>
    <w:p>
      <w:pPr>
        <w:pStyle w:val="Normal"/>
        <w:bidi w:val="0"/>
        <w:spacing w:before="0" w:after="0"/>
        <w:ind w:start="720"/>
        <w:jc w:val="start"/>
        <w:rPr>
          <w:color w:val="000000"/>
        </w:rPr>
      </w:pPr>
      <w:r>
        <w:rPr>
          <w:color w:val="000000"/>
        </w:rPr>
      </w:r>
    </w:p>
    <w:p>
      <w:pPr>
        <w:pStyle w:val="Normal"/>
        <w:bidi w:val="0"/>
        <w:spacing w:before="0" w:after="0"/>
        <w:jc w:val="start"/>
        <w:rPr>
          <w:rFonts w:ascii="Arial" w:hAnsi="Arial" w:cs="Arial"/>
          <w:color w:val="000000"/>
          <w:sz w:val="20"/>
        </w:rPr>
      </w:pPr>
      <w:r>
        <w:rPr>
          <w:rFonts w:cs="Arial" w:ascii="Arial" w:hAnsi="Arial"/>
          <w:color w:val="000000"/>
          <w:sz w:val="20"/>
        </w:rPr>
      </w:r>
    </w:p>
    <w:p>
      <w:pPr>
        <w:pStyle w:val="Normal"/>
        <w:bidi w:val="0"/>
        <w:spacing w:before="0" w:after="0"/>
        <w:jc w:val="start"/>
        <w:rPr>
          <w:color w:val="000000"/>
        </w:rPr>
      </w:pPr>
      <w:r>
        <w:rPr>
          <w:rFonts w:cs="Arial" w:ascii="Cambria" w:hAnsi="Cambria"/>
          <w:b/>
          <w:color w:val="000000"/>
          <w:sz w:val="20"/>
        </w:rPr>
        <w:t xml:space="preserve">Other supplementary materials for this manuscript include the following: </w:t>
      </w:r>
    </w:p>
    <w:p>
      <w:pPr>
        <w:pStyle w:val="Normal"/>
        <w:bidi w:val="0"/>
        <w:spacing w:before="0" w:after="0"/>
        <w:jc w:val="start"/>
        <w:rPr>
          <w:rFonts w:ascii="Arial" w:hAnsi="Arial" w:cs="Arial"/>
          <w:color w:val="000000"/>
          <w:sz w:val="20"/>
        </w:rPr>
      </w:pPr>
      <w:r>
        <w:rPr>
          <w:rFonts w:cs="Arial" w:ascii="Arial" w:hAnsi="Arial"/>
          <w:color w:val="000000"/>
          <w:sz w:val="20"/>
        </w:rPr>
      </w:r>
    </w:p>
    <w:p>
      <w:pPr>
        <w:pStyle w:val="Normal"/>
        <w:tabs>
          <w:tab w:val="clear" w:pos="709"/>
          <w:tab w:val="left" w:pos="2421" w:leader="none"/>
        </w:tabs>
        <w:bidi w:val="0"/>
        <w:spacing w:before="0" w:after="0"/>
        <w:ind w:start="720"/>
        <w:jc w:val="start"/>
        <w:rPr>
          <w:color w:val="000000"/>
        </w:rPr>
      </w:pPr>
      <w:r>
        <w:rPr>
          <w:rFonts w:cs="Arial" w:ascii="Cambria" w:hAnsi="Cambria"/>
          <w:color w:val="000000"/>
          <w:sz w:val="20"/>
        </w:rPr>
        <w:t>Movies</w:t>
        <w:tab/>
        <w:t>0</w:t>
      </w:r>
    </w:p>
    <w:p>
      <w:pPr>
        <w:pStyle w:val="Normal"/>
        <w:tabs>
          <w:tab w:val="clear" w:pos="709"/>
          <w:tab w:val="left" w:pos="2421" w:leader="none"/>
        </w:tabs>
        <w:bidi w:val="0"/>
        <w:spacing w:before="0" w:after="0"/>
        <w:ind w:start="720"/>
        <w:jc w:val="start"/>
        <w:rPr>
          <w:color w:val="000000"/>
        </w:rPr>
      </w:pPr>
      <w:r>
        <w:rPr>
          <w:rFonts w:cs="Arial" w:ascii="Cambria" w:hAnsi="Cambria"/>
          <w:color w:val="000000"/>
          <w:sz w:val="20"/>
        </w:rPr>
        <w:t xml:space="preserve">Datasets </w:t>
        <w:tab/>
        <w:t>0</w:t>
      </w:r>
    </w:p>
    <w:p>
      <w:pPr>
        <w:pStyle w:val="Normal"/>
        <w:bidi w:val="0"/>
        <w:spacing w:before="0" w:after="0"/>
        <w:jc w:val="start"/>
        <w:rPr>
          <w:rFonts w:ascii="Arial" w:hAnsi="Arial" w:cs="Arial"/>
          <w:color w:val="000000"/>
          <w:sz w:val="20"/>
        </w:rPr>
      </w:pPr>
      <w:r>
        <w:rPr>
          <w:rFonts w:cs="Arial" w:ascii="Arial" w:hAnsi="Arial"/>
          <w:color w:val="000000"/>
          <w:sz w:val="20"/>
        </w:rPr>
      </w:r>
    </w:p>
    <w:p>
      <w:pPr>
        <w:pStyle w:val="Normal"/>
        <w:bidi w:val="0"/>
        <w:spacing w:before="0" w:after="0"/>
        <w:jc w:val="start"/>
        <w:rPr>
          <w:rFonts w:ascii="Arial" w:hAnsi="Arial" w:cs="Arial"/>
          <w:color w:val="000000"/>
          <w:sz w:val="20"/>
        </w:rPr>
      </w:pPr>
      <w:r>
        <w:rPr>
          <w:rFonts w:cs="Arial" w:ascii="Arial" w:hAnsi="Arial"/>
          <w:color w:val="000000"/>
          <w:sz w:val="20"/>
        </w:rPr>
      </w:r>
    </w:p>
    <w:p>
      <w:pPr>
        <w:pStyle w:val="Normal"/>
        <w:bidi w:val="0"/>
        <w:spacing w:before="0" w:after="0"/>
        <w:jc w:val="start"/>
        <w:rPr>
          <w:rFonts w:ascii="Arial" w:hAnsi="Arial" w:cs="Arial"/>
          <w:color w:val="000000"/>
          <w:sz w:val="20"/>
        </w:rPr>
      </w:pPr>
      <w:r>
        <w:rPr>
          <w:rFonts w:cs="Arial" w:ascii="Arial" w:hAnsi="Arial"/>
          <w:color w:val="000000"/>
          <w:sz w:val="20"/>
        </w:rPr>
      </w:r>
    </w:p>
    <w:p>
      <w:pPr>
        <w:pStyle w:val="Normal"/>
        <w:bidi w:val="0"/>
        <w:spacing w:before="0" w:after="0"/>
        <w:jc w:val="start"/>
        <w:rPr>
          <w:rFonts w:ascii="Arial" w:hAnsi="Arial" w:cs="Arial"/>
          <w:color w:val="000000"/>
          <w:sz w:val="20"/>
        </w:rPr>
      </w:pPr>
      <w:r>
        <w:rPr>
          <w:rFonts w:cs="Arial" w:ascii="Arial" w:hAnsi="Arial"/>
          <w:color w:val="000000"/>
          <w:sz w:val="20"/>
        </w:rPr>
      </w:r>
    </w:p>
    <w:p>
      <w:pPr>
        <w:pStyle w:val="Normal"/>
        <w:bidi w:val="0"/>
        <w:spacing w:before="0" w:after="0"/>
        <w:jc w:val="start"/>
        <w:rPr>
          <w:rFonts w:ascii="Arial" w:hAnsi="Arial" w:cs="Arial"/>
          <w:color w:val="000000"/>
          <w:sz w:val="20"/>
        </w:rPr>
      </w:pPr>
      <w:r>
        <w:rPr>
          <w:rFonts w:cs="Arial" w:ascii="Arial" w:hAnsi="Arial"/>
          <w:color w:val="000000"/>
          <w:sz w:val="20"/>
        </w:rPr>
      </w:r>
    </w:p>
    <w:p>
      <w:pPr>
        <w:pStyle w:val="TOC1"/>
        <w:tabs>
          <w:tab w:val="clear" w:pos="709"/>
          <w:tab w:val="right" w:pos="9062" w:leader="dot"/>
        </w:tabs>
        <w:bidi w:val="0"/>
        <w:spacing w:lineRule="auto" w:line="360" w:before="0" w:after="0"/>
        <w:jc w:val="start"/>
        <w:rPr/>
      </w:pPr>
      <w:hyperlink w:anchor="_Toc89689868">
        <w:r>
          <w:rPr>
            <w:rStyle w:val="Hyperlink"/>
            <w:rFonts w:cs="Arial" w:ascii="Cambria" w:hAnsi="Cambria"/>
            <w:b/>
            <w:color w:val="000000"/>
            <w:sz w:val="20"/>
          </w:rPr>
          <w:t>Supplementary Information Text</w:t>
        </w:r>
        <w:r>
          <w:rPr>
            <w:rStyle w:val="Hyperlink"/>
            <w:rFonts w:cs="Arial" w:ascii="Cambria" w:hAnsi="Cambria"/>
            <w:b/>
            <w:vanish/>
            <w:color w:val="000000"/>
            <w:sz w:val="20"/>
          </w:rPr>
          <w:tab/>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rPr>
            <w:webHidden/>
          </w:rPr>
          <w:fldChar w:fldCharType="begin"/>
        </w:r>
        <w:r>
          <w:rPr>
            <w:webHidden/>
          </w:rPr>
          <w:instrText xml:space="preserve">PAGEREF _Toc89689868 \h</w:instrText>
        </w:r>
        <w:r>
          <w:rPr>
            <w:webHidden/>
          </w:rPr>
          <w:fldChar w:fldCharType="separate"/>
        </w:r>
        <w:r>
          <w:rPr>
            <w:rStyle w:val="Hyperlink"/>
            <w:rFonts w:cs="Arial" w:ascii="Cambria" w:hAnsi="Cambria"/>
            <w:b/>
            <w:vanish/>
            <w:color w:themeColor="hyperlink" w:val="000000"/>
            <w:sz w:val="20"/>
          </w:rPr>
          <w:fldChar w:fldCharType="begin"/>
        </w:r>
        <w:r>
          <w:rPr>
            <w:webHidden/>
          </w:rPr>
          <w:fldChar w:fldCharType="end"/>
        </w:r>
        <w:r>
          <w:rPr>
            <w:rStyle w:val="Hyperlink"/>
            <w:sz w:val="20"/>
            <w:b/>
            <w:vanish/>
            <w:rFonts w:cs="Arial" w:ascii="Cambria" w:hAnsi="Cambria"/>
            <w:color w:themeColor="hyperlink" w:val="000000"/>
          </w:rPr>
          <w:instrText xml:space="preserve"> PAGEREF _Toc89689868 \h </w:instrText>
        </w:r>
        <w:r>
          <w:rPr>
            <w:rStyle w:val="Hyperlink"/>
            <w:sz w:val="20"/>
            <w:b/>
            <w:vanish/>
            <w:rFonts w:cs="Arial" w:ascii="Cambria" w:hAnsi="Cambria"/>
            <w:color w:themeColor="hyperlink" w:val="000000"/>
          </w:rPr>
          <w:fldChar w:fldCharType="separate"/>
        </w:r>
        <w:r>
          <w:rPr>
            <w:rStyle w:val="Hyperlink"/>
            <w:sz w:val="20"/>
            <w:b/>
            <w:vanish/>
            <w:rFonts w:cs="Arial" w:ascii="Cambria" w:hAnsi="Cambria"/>
            <w:color w:themeColor="hyperlink" w:val="000000"/>
          </w:rPr>
          <w:t>Error: Reference source not found</w:t>
        </w:r>
        <w:r>
          <w:rPr>
            <w:rStyle w:val="Hyperlink"/>
            <w:sz w:val="20"/>
            <w:b/>
            <w:vanish/>
            <w:rFonts w:cs="Arial" w:ascii="Cambria" w:hAnsi="Cambria"/>
            <w:color w:themeColor="hyperlink" w:val="000000"/>
          </w:rPr>
          <w:fldChar w:fldCharType="end"/>
        </w:r>
      </w:hyperlink>
    </w:p>
    <w:p>
      <w:pPr>
        <w:pStyle w:val="TOC1"/>
        <w:tabs>
          <w:tab w:val="clear" w:pos="709"/>
          <w:tab w:val="right" w:pos="9062" w:leader="dot"/>
        </w:tabs>
        <w:bidi w:val="0"/>
        <w:spacing w:lineRule="auto" w:line="360" w:before="0" w:after="0"/>
        <w:jc w:val="start"/>
        <w:rPr/>
      </w:pPr>
      <w:hyperlink w:anchor="_Toc89689869">
        <w:r>
          <w:rPr>
            <w:rStyle w:val="Hyperlink"/>
            <w:rFonts w:cs="Arial" w:ascii="Cambria" w:hAnsi="Cambria"/>
            <w:b/>
            <w:color w:val="000000"/>
            <w:sz w:val="20"/>
          </w:rPr>
          <w:t>Supplementary Information Figures</w:t>
        </w:r>
        <w:r>
          <w:rPr>
            <w:rStyle w:val="Hyperlink"/>
            <w:rFonts w:cs="Arial" w:ascii="Cambria" w:hAnsi="Cambria"/>
            <w:b/>
            <w:vanish/>
            <w:color w:val="000000"/>
            <w:sz w:val="20"/>
          </w:rPr>
          <w:tab/>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rPr>
            <w:webHidden/>
          </w:rPr>
          <w:fldChar w:fldCharType="begin"/>
        </w:r>
        <w:r>
          <w:rPr>
            <w:webHidden/>
          </w:rPr>
          <w:instrText xml:space="preserve">PAGEREF _Toc89689869 \h</w:instrText>
        </w:r>
        <w:r>
          <w:rPr>
            <w:webHidden/>
          </w:rPr>
          <w:fldChar w:fldCharType="separate"/>
        </w:r>
        <w:r>
          <w:rPr>
            <w:rStyle w:val="Hyperlink"/>
            <w:rFonts w:cs="Arial" w:ascii="Cambria" w:hAnsi="Cambria"/>
            <w:b/>
            <w:vanish/>
            <w:color w:themeColor="hyperlink" w:val="000000"/>
            <w:sz w:val="20"/>
          </w:rPr>
          <w:fldChar w:fldCharType="begin"/>
        </w:r>
        <w:r>
          <w:rPr>
            <w:webHidden/>
          </w:rPr>
          <w:fldChar w:fldCharType="end"/>
        </w:r>
        <w:r>
          <w:rPr>
            <w:rStyle w:val="Hyperlink"/>
            <w:sz w:val="20"/>
            <w:b/>
            <w:vanish/>
            <w:rFonts w:cs="Arial" w:ascii="Cambria" w:hAnsi="Cambria"/>
            <w:color w:themeColor="hyperlink" w:val="000000"/>
          </w:rPr>
          <w:instrText xml:space="preserve"> PAGEREF _Toc89689869 \h </w:instrText>
        </w:r>
        <w:r>
          <w:rPr>
            <w:rStyle w:val="Hyperlink"/>
            <w:sz w:val="20"/>
            <w:b/>
            <w:vanish/>
            <w:rFonts w:cs="Arial" w:ascii="Cambria" w:hAnsi="Cambria"/>
            <w:color w:themeColor="hyperlink" w:val="000000"/>
          </w:rPr>
          <w:fldChar w:fldCharType="separate"/>
        </w:r>
        <w:r>
          <w:rPr>
            <w:rStyle w:val="Hyperlink"/>
            <w:sz w:val="20"/>
            <w:b/>
            <w:vanish/>
            <w:rFonts w:cs="Arial" w:ascii="Cambria" w:hAnsi="Cambria"/>
            <w:color w:themeColor="hyperlink" w:val="000000"/>
          </w:rPr>
          <w:t>Error: Reference source not found</w:t>
        </w:r>
        <w:r>
          <w:rPr>
            <w:rStyle w:val="Hyperlink"/>
            <w:sz w:val="20"/>
            <w:b/>
            <w:vanish/>
            <w:rFonts w:cs="Arial" w:ascii="Cambria" w:hAnsi="Cambria"/>
            <w:color w:themeColor="hyperlink" w:val="000000"/>
          </w:rPr>
          <w:fldChar w:fldCharType="end"/>
        </w:r>
      </w:hyperlink>
    </w:p>
    <w:p>
      <w:pPr>
        <w:pStyle w:val="TOC1"/>
        <w:tabs>
          <w:tab w:val="clear" w:pos="709"/>
          <w:tab w:val="right" w:pos="9062" w:leader="dot"/>
        </w:tabs>
        <w:bidi w:val="0"/>
        <w:spacing w:lineRule="auto" w:line="360" w:before="0" w:after="0"/>
        <w:jc w:val="start"/>
        <w:rPr/>
      </w:pPr>
      <w:hyperlink w:anchor="_Toc89689870">
        <w:r>
          <w:rPr>
            <w:rStyle w:val="Hyperlink"/>
            <w:rFonts w:cs="Arial" w:ascii="Cambria" w:hAnsi="Cambria"/>
            <w:b/>
            <w:color w:val="000000"/>
            <w:sz w:val="20"/>
          </w:rPr>
          <w:t>Supplementary Information Tables</w:t>
        </w:r>
        <w:r>
          <w:rPr>
            <w:rStyle w:val="Hyperlink"/>
            <w:rFonts w:cs="Arial" w:ascii="Cambria" w:hAnsi="Cambria"/>
            <w:b/>
            <w:vanish/>
            <w:color w:val="000000"/>
            <w:sz w:val="20"/>
          </w:rPr>
          <w:tab/>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fldChar w:fldCharType="begin"/>
        </w:r>
        <w:r>
          <w:rPr>
            <w:rStyle w:val="Hyperlink"/>
            <w:sz w:val="20"/>
            <w:b/>
            <w:vanish/>
            <w:rFonts w:cs="Arial" w:ascii="Cambria" w:hAnsi="Cambria"/>
          </w:rPr>
        </w:r>
        <w:r>
          <w:rPr>
            <w:rStyle w:val="Hyperlink"/>
            <w:rFonts w:cs="Arial" w:ascii="Cambria" w:hAnsi="Cambria"/>
            <w:b/>
            <w:vanish/>
            <w:sz w:val="20"/>
          </w:rPr>
        </w:r>
        <w:r>
          <w:rPr>
            <w:rStyle w:val="Hyperlink"/>
            <w:sz w:val="20"/>
            <w:b/>
            <w:vanish/>
            <w:rFonts w:cs="Arial" w:ascii="Cambria" w:hAnsi="Cambria"/>
          </w:rPr>
          <w:fldChar w:fldCharType="separate"/>
        </w:r>
        <w:r>
          <w:rPr>
            <w:rStyle w:val="Hyperlink"/>
            <w:rFonts w:cs="Arial" w:ascii="Cambria" w:hAnsi="Cambria"/>
            <w:b/>
            <w:vanish/>
            <w:sz w:val="20"/>
          </w:rPr>
        </w:r>
        <w:r>
          <w:rPr>
            <w:rStyle w:val="Hyperlink"/>
            <w:rFonts w:cs="Arial" w:ascii="Cambria" w:hAnsi="Cambria"/>
            <w:b/>
            <w:vanish/>
            <w:sz w:val="20"/>
          </w:rPr>
        </w:r>
        <w:r>
          <w:rPr>
            <w:rStyle w:val="Hyperlink"/>
            <w:sz w:val="20"/>
            <w:b/>
            <w:vanish/>
            <w:rFonts w:cs="Arial" w:ascii="Cambria" w:hAnsi="Cambria"/>
          </w:rPr>
          <w:fldChar w:fldCharType="end"/>
        </w:r>
        <w:r>
          <w:rPr>
            <w:webHidden/>
          </w:rPr>
          <w:fldChar w:fldCharType="begin"/>
        </w:r>
        <w:r>
          <w:rPr>
            <w:webHidden/>
          </w:rPr>
          <w:instrText xml:space="preserve">PAGEREF _Toc89689870 \h</w:instrText>
        </w:r>
        <w:r>
          <w:rPr>
            <w:webHidden/>
          </w:rPr>
          <w:fldChar w:fldCharType="separate"/>
        </w:r>
        <w:r>
          <w:rPr>
            <w:rStyle w:val="Hyperlink"/>
            <w:rFonts w:cs="Arial" w:ascii="Cambria" w:hAnsi="Cambria"/>
            <w:b/>
            <w:vanish/>
            <w:color w:themeColor="hyperlink" w:val="000000"/>
            <w:sz w:val="20"/>
          </w:rPr>
          <w:fldChar w:fldCharType="begin"/>
        </w:r>
        <w:r>
          <w:rPr>
            <w:webHidden/>
          </w:rPr>
          <w:fldChar w:fldCharType="end"/>
        </w:r>
        <w:r>
          <w:rPr>
            <w:rStyle w:val="Hyperlink"/>
            <w:sz w:val="20"/>
            <w:b/>
            <w:vanish/>
            <w:rFonts w:cs="Arial" w:ascii="Cambria" w:hAnsi="Cambria"/>
            <w:color w:themeColor="hyperlink" w:val="000000"/>
          </w:rPr>
          <w:instrText xml:space="preserve"> PAGEREF _Toc89689870 \h </w:instrText>
        </w:r>
        <w:r>
          <w:rPr>
            <w:rStyle w:val="Hyperlink"/>
            <w:sz w:val="20"/>
            <w:b/>
            <w:vanish/>
            <w:rFonts w:cs="Arial" w:ascii="Cambria" w:hAnsi="Cambria"/>
            <w:color w:themeColor="hyperlink" w:val="000000"/>
          </w:rPr>
          <w:fldChar w:fldCharType="separate"/>
        </w:r>
        <w:r>
          <w:rPr>
            <w:rStyle w:val="Hyperlink"/>
            <w:sz w:val="20"/>
            <w:b/>
            <w:vanish/>
            <w:rFonts w:cs="Arial" w:ascii="Cambria" w:hAnsi="Cambria"/>
            <w:color w:themeColor="hyperlink" w:val="000000"/>
          </w:rPr>
          <w:t>Error: Reference source not found</w:t>
        </w:r>
        <w:r>
          <w:rPr>
            <w:rStyle w:val="Hyperlink"/>
            <w:sz w:val="20"/>
            <w:b/>
            <w:vanish/>
            <w:rFonts w:cs="Arial" w:ascii="Cambria" w:hAnsi="Cambria"/>
            <w:color w:themeColor="hyperlink" w:val="000000"/>
          </w:rPr>
          <w:fldChar w:fldCharType="end"/>
        </w:r>
      </w:hyperlink>
    </w:p>
    <w:p>
      <w:pPr>
        <w:pStyle w:val="TOC1"/>
        <w:tabs>
          <w:tab w:val="clear" w:pos="709"/>
          <w:tab w:val="right" w:pos="9062" w:leader="dot"/>
        </w:tabs>
        <w:bidi w:val="0"/>
        <w:spacing w:lineRule="auto" w:line="360" w:before="0" w:after="0"/>
        <w:jc w:val="start"/>
        <w:rPr>
          <w:rStyle w:val="Hyperlink"/>
          <w:rFonts w:ascii="Cambria" w:hAnsi="Cambria" w:cs="Arial"/>
          <w:b/>
          <w:vanish/>
          <w:color w:themeColor="hyperlink" w:val="000000"/>
          <w:sz w:val="20"/>
        </w:rPr>
      </w:pPr>
      <w:r>
        <w:rPr>
          <w:rFonts w:cs="Arial" w:ascii="Cambria" w:hAnsi="Cambria"/>
          <w:b/>
          <w:vanish/>
          <w:color w:themeColor="hyperlink" w:val="000000"/>
          <w:sz w:val="20"/>
        </w:rPr>
      </w:r>
    </w:p>
    <w:p>
      <w:pPr>
        <w:pStyle w:val="Normal"/>
        <w:tabs>
          <w:tab w:val="clear" w:pos="709"/>
          <w:tab w:val="right" w:pos="9062" w:leader="dot"/>
        </w:tabs>
        <w:bidi w:val="0"/>
        <w:spacing w:lineRule="auto" w:line="360" w:before="0" w:after="0"/>
        <w:jc w:val="start"/>
        <w:rPr>
          <w:rStyle w:val="Hyperlink"/>
          <w:rFonts w:ascii="Cambria" w:hAnsi="Cambria" w:cs="Arial"/>
          <w:b/>
          <w:vanish/>
          <w:color w:themeColor="hyperlink" w:val="000000"/>
          <w:sz w:val="20"/>
        </w:rPr>
      </w:pPr>
      <w:r>
        <w:rPr>
          <w:rFonts w:cs="Arial" w:ascii="Cambria" w:hAnsi="Cambria"/>
          <w:b/>
          <w:vanish/>
          <w:color w:themeColor="hyperlink" w:val="000000"/>
          <w:sz w:val="20"/>
        </w:rPr>
      </w:r>
    </w:p>
    <w:p>
      <w:pPr>
        <w:pStyle w:val="Normal"/>
        <w:bidi w:val="0"/>
        <w:jc w:val="start"/>
        <w:rPr>
          <w:rFonts w:ascii="Segoe UI" w:hAnsi="Segoe UI" w:cs="Segoe UI"/>
          <w:color w:val="000000"/>
          <w:shd w:fill="F7F7F8" w:val="clear"/>
        </w:rPr>
      </w:pPr>
      <w:r>
        <w:rPr>
          <w:rFonts w:cs="Segoe UI" w:ascii="Segoe UI" w:hAnsi="Segoe UI"/>
          <w:color w:val="000000"/>
          <w:shd w:fill="F7F7F8" w:val="clear"/>
        </w:rPr>
      </w:r>
    </w:p>
    <w:p>
      <w:pPr>
        <w:pStyle w:val="TOC1"/>
        <w:bidi w:val="0"/>
        <w:jc w:val="start"/>
        <w:rPr>
          <w:rStyle w:val="Hyperlink"/>
          <w:rFonts w:ascii="Cambria" w:hAnsi="Cambria" w:eastAsia="Calibri" w:cs="Arial"/>
          <w:b/>
          <w:bCs/>
          <w:color w:val="000000"/>
          <w:kern w:val="0"/>
          <w:sz w:val="24"/>
          <w:szCs w:val="24"/>
          <w:u w:val="none"/>
          <w:lang w:val="en-US" w:eastAsia="en-US" w:bidi="ar-SA"/>
        </w:rPr>
      </w:pPr>
      <w:r>
        <w:rPr>
          <w:rFonts w:eastAsia="Calibri" w:cs="Arial" w:ascii="Cambria" w:hAnsi="Cambria"/>
          <w:b/>
          <w:bCs/>
          <w:color w:val="000000"/>
          <w:kern w:val="0"/>
          <w:sz w:val="24"/>
          <w:szCs w:val="24"/>
          <w:u w:val="none"/>
          <w:lang w:val="en-US" w:eastAsia="en-US" w:bidi="ar-SA"/>
        </w:rPr>
      </w:r>
      <w:r>
        <w:br w:type="page"/>
      </w:r>
    </w:p>
    <w:p>
      <w:pPr>
        <w:pStyle w:val="TOC1"/>
        <w:bidi w:val="0"/>
        <w:spacing w:before="0" w:after="0"/>
        <w:jc w:val="start"/>
        <w:rPr/>
      </w:pPr>
      <w:r>
        <w:rPr>
          <w:rStyle w:val="Hyperlink"/>
          <w:rFonts w:eastAsia="Calibri" w:cs="Arial" w:ascii="Cambria" w:hAnsi="Cambria"/>
          <w:b/>
          <w:bCs/>
          <w:color w:val="000000"/>
          <w:kern w:val="0"/>
          <w:sz w:val="24"/>
          <w:szCs w:val="24"/>
          <w:u w:val="none"/>
          <w:lang w:val="en-US" w:eastAsia="en-US" w:bidi="ar-SA"/>
        </w:rPr>
        <w:t>Supplementary Information Text</w:t>
      </w:r>
    </w:p>
    <w:p>
      <w:pPr>
        <w:pStyle w:val="BodyText"/>
        <w:bidi w:val="0"/>
        <w:spacing w:lineRule="auto" w:line="240" w:before="0" w:after="0"/>
        <w:jc w:val="both"/>
        <w:rPr>
          <w:rFonts w:ascii="Cambria" w:hAnsi="Cambria" w:eastAsia="Calibri" w:cs="Segoe UI"/>
          <w:b/>
          <w:bCs/>
          <w:color w:val="000000"/>
          <w:sz w:val="24"/>
          <w:szCs w:val="22"/>
          <w:shd w:fill="auto" w:val="clear"/>
          <w:lang w:val="en-US" w:eastAsia="en-US"/>
        </w:rPr>
      </w:pPr>
      <w:r>
        <w:rPr>
          <w:rFonts w:eastAsia="Calibri" w:cs="Segoe UI" w:ascii="Cambria" w:hAnsi="Cambria"/>
          <w:b/>
          <w:bCs/>
          <w:color w:val="000000"/>
          <w:sz w:val="24"/>
          <w:szCs w:val="22"/>
          <w:shd w:fill="auto" w:val="clear"/>
          <w:lang w:val="en-US" w:eastAsia="en-US"/>
        </w:rPr>
        <w:t>Custom algorithm for pollutant concentration peak detection</w:t>
      </w:r>
    </w:p>
    <w:p>
      <w:pPr>
        <w:pStyle w:val="Normal"/>
        <w:bidi w:val="0"/>
        <w:jc w:val="both"/>
        <w:rPr>
          <w:color w:val="000000"/>
        </w:rPr>
      </w:pPr>
      <w:r>
        <w:rPr>
          <w:color w:val="000000"/>
        </w:rPr>
      </w:r>
    </w:p>
    <w:p>
      <w:pPr>
        <w:pStyle w:val="BodyText"/>
        <w:bidi w:val="0"/>
        <w:spacing w:lineRule="auto" w:line="240" w:before="0" w:after="0"/>
        <w:jc w:val="both"/>
        <w:rPr>
          <w:rFonts w:ascii="Cambria" w:hAnsi="Cambria"/>
          <w:color w:val="000000"/>
        </w:rPr>
      </w:pPr>
      <w:r>
        <w:rPr>
          <w:rFonts w:eastAsia="Calibri" w:cs="Segoe UI" w:ascii="Cambria" w:hAnsi="Cambria"/>
          <w:b w:val="false"/>
          <w:bCs w:val="false"/>
          <w:color w:val="000000"/>
          <w:sz w:val="24"/>
          <w:szCs w:val="22"/>
          <w:shd w:fill="auto" w:val="clear"/>
          <w:lang w:val="en-US" w:eastAsia="en-US"/>
        </w:rPr>
        <w:t xml:space="preserve">The algorithm first approximates the first derivative of the smoothed time series, </w:t>
      </w:r>
      <w:r>
        <w:rPr/>
      </w:r>
      <m:oMath xmlns:m="http://schemas.openxmlformats.org/officeDocument/2006/math">
        <m:r>
          <m:t xml:space="preserve">f</m:t>
        </m:r>
        <m:d>
          <m:dPr>
            <m:begChr m:val="("/>
            <m:endChr m:val=")"/>
          </m:dPr>
          <m:e>
            <m:r>
              <m:t xml:space="preserve">t</m:t>
            </m:r>
          </m:e>
        </m:d>
      </m:oMath>
      <w:r>
        <w:rPr>
          <w:rFonts w:eastAsia="Calibri" w:cs="Segoe UI" w:ascii="Cambria" w:hAnsi="Cambria"/>
          <w:b w:val="false"/>
          <w:bCs w:val="false"/>
          <w:color w:val="000000"/>
          <w:sz w:val="24"/>
          <w:szCs w:val="22"/>
          <w:shd w:fill="auto" w:val="clear"/>
          <w:lang w:val="en-US" w:eastAsia="en-US"/>
        </w:rPr>
        <w:t xml:space="preserve">, by computing finite differences between consecutive observations. A local maximum is identified when this derivative changes sign from positive to negative, which in discrete terms corresponds to finding an index iii at which the difference in the signs of the derivatives (i.e., </w:t>
      </w:r>
      <w:r>
        <w:rPr/>
      </w:r>
      <m:oMath xmlns:m="http://schemas.openxmlformats.org/officeDocument/2006/math">
        <m:r>
          <m:t xml:space="preserve">sign</m:t>
        </m:r>
        <m:d>
          <m:dPr>
            <m:begChr m:val="("/>
            <m:endChr m:val=")"/>
          </m:dPr>
          <m:e>
            <m:r>
              <m:t xml:space="preserve">f</m:t>
            </m:r>
            <m:d>
              <m:dPr>
                <m:begChr m:val="("/>
                <m:endChr m:val=")"/>
              </m:dPr>
              <m:e>
                <m:r>
                  <m:t xml:space="preserve">i</m:t>
                </m:r>
                <m:r>
                  <m:t xml:space="preserve">+</m:t>
                </m:r>
                <m:r>
                  <m:t xml:space="preserve">1</m:t>
                </m:r>
              </m:e>
            </m:d>
            <m:r>
              <m:t xml:space="preserve">−</m:t>
            </m:r>
            <m:r>
              <m:t xml:space="preserve">f</m:t>
            </m:r>
            <m:d>
              <m:dPr>
                <m:begChr m:val="("/>
                <m:endChr m:val=")"/>
              </m:dPr>
              <m:e>
                <m:r>
                  <m:t xml:space="preserve">i</m:t>
                </m:r>
              </m:e>
            </m:d>
          </m:e>
        </m:d>
      </m:oMath>
      <w:r>
        <w:rPr>
          <w:rFonts w:eastAsia="Calibri" w:cs="Segoe UI" w:ascii="Cambria" w:hAnsi="Cambria"/>
          <w:b w:val="false"/>
          <w:bCs w:val="false"/>
          <w:color w:val="000000"/>
          <w:sz w:val="24"/>
          <w:szCs w:val="22"/>
          <w:shd w:fill="auto" w:val="clear"/>
          <w:lang w:val="en-US" w:eastAsia="en-US"/>
        </w:rPr>
        <w:t xml:space="preserve">) equals −2. In other words, a candidate peak is located at </w:t>
      </w:r>
      <w:r>
        <w:rPr>
          <w:rFonts w:eastAsia="Calibri" w:cs="Segoe UI" w:ascii="Cambria" w:hAnsi="Cambria"/>
          <w:b w:val="false"/>
          <w:bCs w:val="false"/>
          <w:i/>
          <w:iCs/>
          <w:color w:val="000000"/>
          <w:sz w:val="24"/>
          <w:szCs w:val="22"/>
          <w:shd w:fill="auto" w:val="clear"/>
          <w:lang w:val="en-US" w:eastAsia="en-US"/>
        </w:rPr>
        <w:t>i</w:t>
      </w:r>
      <w:r>
        <w:rPr>
          <w:rFonts w:eastAsia="Calibri" w:cs="Segoe UI" w:ascii="Cambria" w:hAnsi="Cambria"/>
          <w:b w:val="false"/>
          <w:bCs w:val="false"/>
          <w:color w:val="000000"/>
          <w:sz w:val="24"/>
          <w:szCs w:val="22"/>
          <w:shd w:fill="auto" w:val="clear"/>
          <w:lang w:val="en-US" w:eastAsia="en-US"/>
        </w:rPr>
        <w:t xml:space="preserve"> if </w:t>
      </w:r>
      <w:r>
        <w:rPr/>
      </w:r>
      <m:oMath xmlns:m="http://schemas.openxmlformats.org/officeDocument/2006/math">
        <m:r>
          <m:t xml:space="preserve">sign</m:t>
        </m:r>
        <m:d>
          <m:dPr>
            <m:begChr m:val="("/>
            <m:endChr m:val=")"/>
          </m:dPr>
          <m:e>
            <m:r>
              <m:t xml:space="preserve">f</m:t>
            </m:r>
            <m:d>
              <m:dPr>
                <m:begChr m:val="("/>
                <m:endChr m:val=")"/>
              </m:dPr>
              <m:e>
                <m:r>
                  <m:t xml:space="preserve">i</m:t>
                </m:r>
              </m:e>
            </m:d>
            <m:r>
              <m:t xml:space="preserve">−</m:t>
            </m:r>
            <m:r>
              <m:t xml:space="preserve">f</m:t>
            </m:r>
            <m:d>
              <m:dPr>
                <m:begChr m:val="("/>
                <m:endChr m:val=")"/>
              </m:dPr>
              <m:e>
                <m:r>
                  <m:t xml:space="preserve">i</m:t>
                </m:r>
                <m:r>
                  <m:t xml:space="preserve">−</m:t>
                </m:r>
                <m:r>
                  <m:t xml:space="preserve">1</m:t>
                </m:r>
              </m:e>
            </m:d>
          </m:e>
        </m:d>
        <m:r>
          <m:t xml:space="preserve">=</m:t>
        </m:r>
        <m:r>
          <m:t xml:space="preserve">+</m:t>
        </m:r>
        <m:r>
          <m:t xml:space="preserve">1</m:t>
        </m:r>
      </m:oMath>
      <w:r>
        <w:rPr>
          <w:rFonts w:eastAsia="Calibri" w:cs="Segoe UI" w:ascii="Cambria" w:hAnsi="Cambria"/>
          <w:b w:val="false"/>
          <w:bCs w:val="false"/>
          <w:color w:val="000000"/>
          <w:sz w:val="24"/>
          <w:szCs w:val="22"/>
          <w:shd w:fill="auto" w:val="clear"/>
          <w:lang w:val="en-US" w:eastAsia="en-US"/>
        </w:rPr>
        <w:t xml:space="preserve"> and </w:t>
      </w:r>
      <w:r>
        <w:rPr/>
      </w:r>
      <m:oMath xmlns:m="http://schemas.openxmlformats.org/officeDocument/2006/math">
        <m:r>
          <m:t xml:space="preserve">sign</m:t>
        </m:r>
        <m:d>
          <m:dPr>
            <m:begChr m:val="("/>
            <m:endChr m:val=")"/>
          </m:dPr>
          <m:e>
            <m:r>
              <m:t xml:space="preserve">f</m:t>
            </m:r>
            <m:d>
              <m:dPr>
                <m:begChr m:val="("/>
                <m:endChr m:val=")"/>
              </m:dPr>
              <m:e>
                <m:r>
                  <m:t xml:space="preserve">i</m:t>
                </m:r>
                <m:r>
                  <m:t xml:space="preserve">+</m:t>
                </m:r>
                <m:r>
                  <m:t xml:space="preserve">1</m:t>
                </m:r>
              </m:e>
            </m:d>
            <m:r>
              <m:t xml:space="preserve">−</m:t>
            </m:r>
            <m:r>
              <m:t xml:space="preserve">f</m:t>
            </m:r>
            <m:d>
              <m:dPr>
                <m:begChr m:val="("/>
                <m:endChr m:val=")"/>
              </m:dPr>
              <m:e>
                <m:r>
                  <m:t xml:space="preserve">i</m:t>
                </m:r>
              </m:e>
            </m:d>
          </m:e>
        </m:d>
        <m:r>
          <m:t xml:space="preserve">=</m:t>
        </m:r>
        <m:r>
          <m:t xml:space="preserve">−</m:t>
        </m:r>
        <m:r>
          <m:t xml:space="preserve">1</m:t>
        </m:r>
      </m:oMath>
      <w:r>
        <w:rPr>
          <w:rFonts w:eastAsia="Calibri" w:cs="Segoe UI" w:ascii="Cambria" w:hAnsi="Cambria"/>
          <w:b w:val="false"/>
          <w:bCs w:val="false"/>
          <w:color w:val="000000"/>
          <w:sz w:val="24"/>
          <w:szCs w:val="22"/>
          <w:shd w:fill="auto" w:val="clear"/>
          <w:lang w:val="en-US" w:eastAsia="en-US"/>
        </w:rPr>
        <w:t xml:space="preserve">. </w:t>
      </w:r>
      <w:r>
        <w:rPr>
          <w:rFonts w:eastAsia="Calibri" w:cs="Segoe UI" w:ascii="Cambria" w:hAnsi="Cambria"/>
          <w:b w:val="false"/>
          <w:bCs w:val="false"/>
          <w:color w:val="000000"/>
          <w:sz w:val="24"/>
          <w:szCs w:val="24"/>
          <w:shd w:fill="auto" w:val="clear"/>
          <w:lang w:val="en-US" w:eastAsia="en-US"/>
        </w:rPr>
        <w:t xml:space="preserve">Only candidate peaks with values exceeding a predefined threshold are retained. Next, the algorithm performs a sequential temporal filtering to ensure that peaks are sufficiently separated. For each candidate peak, the time difference from the most recently accepted peak is calculated. If the gap is less than a minimum required duration, the algorithm compares the peak values and retains only the higher of the two. This ensures that closely spaced fluctuations—likely due to noise—do not produce redundant peak detection. For each accepted peak, the algorithm then delineates the "plateau" surrounding it by examining the local behavior of </w:t>
      </w:r>
      <w:r>
        <w:rPr/>
      </w:r>
      <m:oMath xmlns:m="http://schemas.openxmlformats.org/officeDocument/2006/math">
        <m:r>
          <m:t xml:space="preserve">f</m:t>
        </m:r>
        <m:d>
          <m:dPr>
            <m:begChr m:val="("/>
            <m:endChr m:val=")"/>
          </m:dPr>
          <m:e>
            <m:r>
              <m:t xml:space="preserve">t</m:t>
            </m:r>
          </m:e>
        </m:d>
      </m:oMath>
      <w:r>
        <w:rPr>
          <w:rFonts w:eastAsia="Calibri" w:cs="Segoe UI" w:ascii="Cambria" w:hAnsi="Cambria"/>
          <w:b w:val="false"/>
          <w:bCs w:val="false"/>
          <w:color w:val="000000"/>
          <w:sz w:val="24"/>
          <w:szCs w:val="24"/>
          <w:shd w:fill="auto" w:val="clear"/>
          <w:lang w:val="en-US" w:eastAsia="en-US"/>
        </w:rPr>
        <w:t xml:space="preserve"> within specified intervals extending backward and forward in time. Mathematically, starting from the peak at index </w:t>
      </w:r>
      <w:r>
        <w:rPr>
          <w:rFonts w:eastAsia="Calibri" w:cs="Segoe UI" w:ascii="Cambria" w:hAnsi="Cambria"/>
          <w:b w:val="false"/>
          <w:bCs w:val="false"/>
          <w:i/>
          <w:iCs/>
          <w:color w:val="000000"/>
          <w:sz w:val="24"/>
          <w:szCs w:val="24"/>
          <w:shd w:fill="auto" w:val="clear"/>
          <w:lang w:val="en-US" w:eastAsia="en-US"/>
        </w:rPr>
        <w:t>i</w:t>
      </w:r>
      <w:r>
        <w:rPr>
          <w:rFonts w:eastAsia="Calibri" w:cs="Segoe UI" w:ascii="Cambria" w:hAnsi="Cambria"/>
          <w:b w:val="false"/>
          <w:bCs w:val="false"/>
          <w:color w:val="000000"/>
          <w:sz w:val="24"/>
          <w:szCs w:val="24"/>
          <w:shd w:fill="auto" w:val="clear"/>
          <w:lang w:val="en-US" w:eastAsia="en-US"/>
        </w:rPr>
        <w:t xml:space="preserve">, the algorithm searches backward until it finds an index </w:t>
      </w:r>
      <w:r>
        <w:rPr>
          <w:rFonts w:eastAsia="Calibri" w:cs="Segoe UI" w:ascii="Cambria" w:hAnsi="Cambria"/>
          <w:b w:val="false"/>
          <w:bCs w:val="false"/>
          <w:i/>
          <w:iCs/>
          <w:color w:val="000000"/>
          <w:sz w:val="24"/>
          <w:szCs w:val="24"/>
          <w:shd w:fill="auto" w:val="clear"/>
          <w:lang w:val="en-US" w:eastAsia="en-US"/>
        </w:rPr>
        <w:t>j</w:t>
      </w:r>
      <w:r>
        <w:rPr>
          <w:rFonts w:eastAsia="Calibri" w:cs="Segoe UI" w:ascii="Cambria" w:hAnsi="Cambria"/>
          <w:b w:val="false"/>
          <w:bCs w:val="false"/>
          <w:color w:val="000000"/>
          <w:sz w:val="24"/>
          <w:szCs w:val="24"/>
          <w:shd w:fill="auto" w:val="clear"/>
          <w:lang w:val="en-US" w:eastAsia="en-US"/>
        </w:rPr>
        <w:t xml:space="preserve"> where the condition </w:t>
      </w:r>
      <w:r>
        <w:rPr/>
      </w:r>
      <m:oMath xmlns:m="http://schemas.openxmlformats.org/officeDocument/2006/math">
        <m:r>
          <m:t xml:space="preserve">f</m:t>
        </m:r>
        <m:d>
          <m:dPr>
            <m:begChr m:val="("/>
            <m:endChr m:val=")"/>
          </m:dPr>
          <m:e>
            <m:r>
              <m:t xml:space="preserve">j</m:t>
            </m:r>
          </m:e>
        </m:d>
        <m:r>
          <m:t xml:space="preserve">&lt;</m:t>
        </m:r>
        <m:r>
          <m:t xml:space="preserve">f</m:t>
        </m:r>
        <m:d>
          <m:dPr>
            <m:begChr m:val="("/>
            <m:endChr m:val=")"/>
          </m:dPr>
          <m:e>
            <m:r>
              <m:t xml:space="preserve">j</m:t>
            </m:r>
            <m:r>
              <m:t xml:space="preserve">−</m:t>
            </m:r>
            <m:r>
              <m:t xml:space="preserve">1</m:t>
            </m:r>
          </m:e>
        </m:d>
      </m:oMath>
      <w:r>
        <w:rPr>
          <w:rFonts w:eastAsia="Calibri" w:cs="Segoe UI" w:ascii="Cambria" w:hAnsi="Cambria"/>
          <w:b w:val="false"/>
          <w:bCs w:val="false"/>
          <w:color w:val="000000"/>
          <w:sz w:val="24"/>
          <w:szCs w:val="24"/>
          <w:shd w:fill="auto" w:val="clear"/>
          <w:lang w:val="en-US" w:eastAsia="en-US"/>
        </w:rPr>
        <w:t xml:space="preserve"> holds, marking the beginning of the plateau. Similarly, it searches forward until it encounters an index </w:t>
      </w:r>
      <w:r>
        <w:rPr>
          <w:rFonts w:eastAsia="Calibri" w:cs="Segoe UI" w:ascii="Cambria" w:hAnsi="Cambria"/>
          <w:b w:val="false"/>
          <w:bCs w:val="false"/>
          <w:i/>
          <w:iCs/>
          <w:color w:val="000000"/>
          <w:sz w:val="24"/>
          <w:szCs w:val="24"/>
          <w:shd w:fill="auto" w:val="clear"/>
          <w:lang w:val="en-US" w:eastAsia="en-US"/>
        </w:rPr>
        <w:t>k</w:t>
      </w:r>
      <w:r>
        <w:rPr>
          <w:rFonts w:eastAsia="Calibri" w:cs="Segoe UI" w:ascii="Cambria" w:hAnsi="Cambria"/>
          <w:b w:val="false"/>
          <w:bCs w:val="false"/>
          <w:color w:val="000000"/>
          <w:sz w:val="24"/>
          <w:szCs w:val="24"/>
          <w:shd w:fill="auto" w:val="clear"/>
          <w:lang w:val="en-US" w:eastAsia="en-US"/>
        </w:rPr>
        <w:t xml:space="preserve"> such that </w:t>
      </w:r>
      <w:r>
        <w:rPr/>
      </w:r>
      <m:oMath xmlns:m="http://schemas.openxmlformats.org/officeDocument/2006/math">
        <m:r>
          <m:t xml:space="preserve">f</m:t>
        </m:r>
        <m:d>
          <m:dPr>
            <m:begChr m:val="("/>
            <m:endChr m:val=")"/>
          </m:dPr>
          <m:e>
            <m:r>
              <m:t xml:space="preserve">k</m:t>
            </m:r>
          </m:e>
        </m:d>
        <m:r>
          <m:t xml:space="preserve">&lt;</m:t>
        </m:r>
        <m:r>
          <m:t xml:space="preserve">f</m:t>
        </m:r>
        <m:d>
          <m:dPr>
            <m:begChr m:val="("/>
            <m:endChr m:val=")"/>
          </m:dPr>
          <m:e>
            <m:r>
              <m:t xml:space="preserve">k</m:t>
            </m:r>
            <m:r>
              <m:t xml:space="preserve">+</m:t>
            </m:r>
            <m:r>
              <m:t xml:space="preserve">1</m:t>
            </m:r>
          </m:e>
        </m:d>
      </m:oMath>
      <w:r>
        <w:rPr>
          <w:rFonts w:eastAsia="Calibri" w:cs="Segoe UI" w:ascii="Cambria" w:hAnsi="Cambria"/>
          <w:b w:val="false"/>
          <w:bCs w:val="false"/>
          <w:color w:val="000000"/>
          <w:sz w:val="24"/>
          <w:szCs w:val="24"/>
          <w:shd w:fill="auto" w:val="clear"/>
          <w:lang w:val="en-US" w:eastAsia="en-US"/>
        </w:rPr>
        <w:t xml:space="preserve">, defining the end of the plateau. These indices </w:t>
      </w:r>
      <w:r>
        <w:rPr>
          <w:rFonts w:eastAsia="Calibri" w:cs="Segoe UI" w:ascii="Cambria" w:hAnsi="Cambria"/>
          <w:b w:val="false"/>
          <w:bCs w:val="false"/>
          <w:i/>
          <w:iCs/>
          <w:color w:val="000000"/>
          <w:sz w:val="24"/>
          <w:szCs w:val="24"/>
          <w:shd w:fill="auto" w:val="clear"/>
          <w:lang w:val="en-US" w:eastAsia="en-US"/>
        </w:rPr>
        <w:t>j</w:t>
      </w:r>
      <w:r>
        <w:rPr>
          <w:rFonts w:eastAsia="Calibri" w:cs="Segoe UI" w:ascii="Cambria" w:hAnsi="Cambria"/>
          <w:b w:val="false"/>
          <w:bCs w:val="false"/>
          <w:color w:val="000000"/>
          <w:sz w:val="24"/>
          <w:szCs w:val="24"/>
          <w:shd w:fill="auto" w:val="clear"/>
          <w:lang w:val="en-US" w:eastAsia="en-US"/>
        </w:rPr>
        <w:t xml:space="preserve"> and </w:t>
      </w:r>
      <w:r>
        <w:rPr>
          <w:rFonts w:eastAsia="Calibri" w:cs="Segoe UI" w:ascii="Cambria" w:hAnsi="Cambria"/>
          <w:b w:val="false"/>
          <w:bCs w:val="false"/>
          <w:i/>
          <w:iCs/>
          <w:color w:val="000000"/>
          <w:sz w:val="24"/>
          <w:szCs w:val="24"/>
          <w:shd w:fill="auto" w:val="clear"/>
          <w:lang w:val="en-US" w:eastAsia="en-US"/>
        </w:rPr>
        <w:t>k</w:t>
      </w:r>
      <w:r>
        <w:rPr>
          <w:rFonts w:eastAsia="Calibri" w:cs="Segoe UI" w:ascii="Cambria" w:hAnsi="Cambria"/>
          <w:b w:val="false"/>
          <w:bCs w:val="false"/>
          <w:color w:val="000000"/>
          <w:sz w:val="24"/>
          <w:szCs w:val="24"/>
          <w:shd w:fill="auto" w:val="clear"/>
          <w:lang w:val="en-US" w:eastAsia="en-US"/>
        </w:rPr>
        <w:t xml:space="preserve"> represent the temporal boundaries over which the peak remains elevated. Finally, the method extracts the profile of each peak by collecting the values from the plateau start to the plateau end and compiles key information such as the peak time, peak value, plateau boundaries, and duration (the time interval between the boundaries). This extraction yields detailed descriptions of the identified peaks, which are then used for further statistical analysis.</w:t>
      </w:r>
    </w:p>
    <w:p>
      <w:pPr>
        <w:pStyle w:val="BodyText"/>
        <w:bidi w:val="0"/>
        <w:spacing w:lineRule="auto" w:line="240" w:before="0" w:after="0"/>
        <w:jc w:val="both"/>
        <w:rPr>
          <w:rFonts w:eastAsia="Calibri" w:cs="Segoe UI"/>
          <w:b w:val="false"/>
          <w:bCs w:val="false"/>
          <w:color w:val="000000"/>
          <w:sz w:val="22"/>
          <w:szCs w:val="22"/>
          <w:shd w:fill="auto" w:val="clear"/>
          <w:lang w:val="en-US" w:eastAsia="en-US"/>
        </w:rPr>
      </w:pPr>
      <w:r>
        <w:rPr>
          <w:rFonts w:eastAsia="Calibri" w:cs="Segoe UI"/>
          <w:b w:val="false"/>
          <w:bCs w:val="false"/>
          <w:color w:val="000000"/>
          <w:sz w:val="22"/>
          <w:szCs w:val="22"/>
          <w:shd w:fill="auto" w:val="clear"/>
          <w:lang w:val="en-US" w:eastAsia="en-US"/>
        </w:rPr>
      </w:r>
    </w:p>
    <w:p>
      <w:pPr>
        <w:pStyle w:val="BodyText"/>
        <w:widowControl/>
        <w:suppressAutoHyphens w:val="true"/>
        <w:overflowPunct w:val="true"/>
        <w:bidi w:val="0"/>
        <w:spacing w:lineRule="auto" w:line="240" w:before="0" w:after="0"/>
        <w:jc w:val="both"/>
        <w:rPr>
          <w:rFonts w:ascii="Cambria" w:hAnsi="Cambria" w:eastAsia="Calibri" w:cs="Segoe UI"/>
          <w:b/>
          <w:bCs/>
          <w:color w:val="000000"/>
          <w:kern w:val="2"/>
          <w:sz w:val="24"/>
          <w:szCs w:val="22"/>
          <w:shd w:fill="auto" w:val="clear"/>
          <w:lang w:val="en-US" w:eastAsia="en-US" w:bidi="hi-IN"/>
        </w:rPr>
      </w:pPr>
      <w:r>
        <w:rPr>
          <w:rFonts w:eastAsia="Calibri" w:cs="Segoe UI" w:ascii="Cambria" w:hAnsi="Cambria"/>
          <w:b/>
          <w:bCs/>
          <w:color w:val="000000"/>
          <w:kern w:val="2"/>
          <w:sz w:val="24"/>
          <w:szCs w:val="22"/>
          <w:shd w:fill="auto" w:val="clear"/>
          <w:lang w:val="en-US" w:eastAsia="en-US" w:bidi="hi-IN"/>
        </w:rPr>
        <w:t>Absorption Ångström exponent (AAE)</w:t>
      </w:r>
    </w:p>
    <w:p>
      <w:pPr>
        <w:pStyle w:val="BodyText"/>
        <w:widowControl/>
        <w:suppressAutoHyphens w:val="true"/>
        <w:overflowPunct w:val="true"/>
        <w:bidi w:val="0"/>
        <w:spacing w:lineRule="auto" w:line="240" w:before="0" w:after="0"/>
        <w:jc w:val="both"/>
        <w:rPr>
          <w:rFonts w:ascii="Cambria" w:hAnsi="Cambria" w:eastAsia="Calibri" w:cs="Segoe UI"/>
          <w:b/>
          <w:bCs/>
          <w:color w:val="000000"/>
          <w:kern w:val="2"/>
          <w:sz w:val="24"/>
          <w:szCs w:val="22"/>
          <w:shd w:fill="auto" w:val="clear"/>
          <w:lang w:val="en-US" w:eastAsia="en-US" w:bidi="hi-IN"/>
        </w:rPr>
      </w:pPr>
      <w:r>
        <w:rPr>
          <w:rFonts w:eastAsia="Calibri" w:cs="Segoe UI" w:ascii="Cambria" w:hAnsi="Cambria"/>
          <w:b/>
          <w:bCs/>
          <w:color w:val="000000"/>
          <w:kern w:val="2"/>
          <w:sz w:val="24"/>
          <w:szCs w:val="22"/>
          <w:shd w:fill="auto" w:val="clear"/>
          <w:lang w:val="en-US" w:eastAsia="en-US" w:bidi="hi-IN"/>
        </w:rPr>
      </w:r>
    </w:p>
    <w:p>
      <w:pPr>
        <w:pStyle w:val="BodyText"/>
        <w:widowControl/>
        <w:suppressAutoHyphens w:val="true"/>
        <w:overflowPunct w:val="true"/>
        <w:bidi w:val="0"/>
        <w:spacing w:lineRule="auto" w:line="240" w:before="0" w:after="0"/>
        <w:jc w:val="both"/>
        <w:rPr>
          <w:rFonts w:ascii="Cambria" w:hAnsi="Cambria" w:eastAsia="Calibri" w:cs="Segoe UI"/>
          <w:b w:val="false"/>
          <w:bCs w:val="false"/>
          <w:color w:val="000000"/>
          <w:kern w:val="2"/>
          <w:sz w:val="24"/>
          <w:szCs w:val="24"/>
          <w:shd w:fill="auto" w:val="clear"/>
          <w:lang w:val="en-US" w:eastAsia="en-US" w:bidi="hi-IN"/>
        </w:rPr>
      </w:pPr>
      <w:r>
        <w:rPr>
          <w:rFonts w:eastAsia="Calibri" w:cs="Segoe UI" w:ascii="Cambria" w:hAnsi="Cambria"/>
          <w:b w:val="false"/>
          <w:bCs w:val="false"/>
          <w:color w:val="000000"/>
          <w:kern w:val="2"/>
          <w:sz w:val="24"/>
          <w:szCs w:val="24"/>
          <w:shd w:fill="auto" w:val="clear"/>
          <w:lang w:val="en-US" w:eastAsia="en-US" w:bidi="hi-IN"/>
        </w:rPr>
        <w:t>The absorption Angstrom exponent (AAE) is a measure used in atmospheric science to show how much light aerosols absorb at different wavelengths. It helps to understand how the absorption changes as the wavelength of light varies, which is key for identifying what kind of aerosols are present (Saarikoski et al., 2021). The calculation of AAE involves measuring the absorption coefficients at two different wavelengths and applying the formula (Vijay et al., 2024):</w:t>
      </w:r>
    </w:p>
    <w:p>
      <w:pPr>
        <w:pStyle w:val="BodyText"/>
        <w:widowControl/>
        <w:suppressAutoHyphens w:val="true"/>
        <w:overflowPunct w:val="true"/>
        <w:bidi w:val="0"/>
        <w:spacing w:lineRule="auto" w:line="240" w:before="0" w:after="0"/>
        <w:jc w:val="both"/>
        <w:rPr>
          <w:rFonts w:ascii="Cambria" w:hAnsi="Cambria" w:eastAsia="Calibri" w:cs="Segoe UI"/>
          <w:b w:val="false"/>
          <w:bCs w:val="false"/>
          <w:color w:val="000000"/>
          <w:kern w:val="2"/>
          <w:sz w:val="24"/>
          <w:szCs w:val="24"/>
          <w:shd w:fill="auto" w:val="clear"/>
          <w:lang w:val="en-US" w:eastAsia="en-US" w:bidi="hi-IN"/>
        </w:rPr>
      </w:pPr>
      <w:r>
        <w:rPr>
          <w:rFonts w:eastAsia="Calibri" w:cs="Segoe UI" w:ascii="Cambria" w:hAnsi="Cambria"/>
          <w:b w:val="false"/>
          <w:bCs w:val="false"/>
          <w:color w:val="000000"/>
          <w:kern w:val="2"/>
          <w:sz w:val="24"/>
          <w:szCs w:val="24"/>
          <w:shd w:fill="auto" w:val="clear"/>
          <w:lang w:val="en-US" w:eastAsia="en-US" w:bidi="hi-IN"/>
        </w:rPr>
      </w:r>
    </w:p>
    <w:p>
      <w:pPr>
        <w:pStyle w:val="BodyText"/>
        <w:widowControl/>
        <w:suppressAutoHyphens w:val="true"/>
        <w:overflowPunct w:val="true"/>
        <w:bidi w:val="0"/>
        <w:spacing w:lineRule="auto" w:line="240" w:before="0" w:after="0"/>
        <w:jc w:val="both"/>
        <w:rPr>
          <w:color w:val="000000"/>
        </w:rPr>
      </w:pPr>
      <w:r>
        <w:rPr/>
      </w:r>
      <m:oMath xmlns:m="http://schemas.openxmlformats.org/officeDocument/2006/math">
        <m:r>
          <m:t xml:space="preserve">AAE</m:t>
        </m:r>
        <m:r>
          <m:t xml:space="preserve">=</m:t>
        </m:r>
        <m:r>
          <m:t xml:space="preserve">−</m:t>
        </m:r>
        <m:f>
          <m:num>
            <m:r>
              <m:t xml:space="preserve">ln</m:t>
            </m:r>
            <m:d>
              <m:dPr>
                <m:begChr m:val="("/>
                <m:endChr m:val=")"/>
              </m:dPr>
              <m:e>
                <m:f>
                  <m:num>
                    <m:sSub>
                      <m:e>
                        <m:r>
                          <m:t xml:space="preserve">b</m:t>
                        </m:r>
                      </m:e>
                      <m:sub>
                        <m:r>
                          <m:t xml:space="preserve">ab</m:t>
                        </m:r>
                        <m:r>
                          <m:t xml:space="preserve">,</m:t>
                        </m:r>
                        <m:sSub>
                          <m:e>
                            <m:r>
                              <m:t xml:space="preserve">λ</m:t>
                            </m:r>
                          </m:e>
                          <m:sub>
                            <m:r>
                              <m:t xml:space="preserve">1</m:t>
                            </m:r>
                          </m:sub>
                        </m:sSub>
                      </m:sub>
                    </m:sSub>
                  </m:num>
                  <m:den>
                    <m:sSub>
                      <m:e>
                        <m:r>
                          <m:t xml:space="preserve">b</m:t>
                        </m:r>
                      </m:e>
                      <m:sub>
                        <m:r>
                          <m:t xml:space="preserve">ab</m:t>
                        </m:r>
                        <m:r>
                          <m:t xml:space="preserve">,</m:t>
                        </m:r>
                        <m:sSub>
                          <m:e>
                            <m:r>
                              <m:t xml:space="preserve">λ</m:t>
                            </m:r>
                          </m:e>
                          <m:sub>
                            <m:r>
                              <m:t xml:space="preserve">2</m:t>
                            </m:r>
                          </m:sub>
                        </m:sSub>
                      </m:sub>
                    </m:sSub>
                  </m:den>
                </m:f>
              </m:e>
            </m:d>
          </m:num>
          <m:den>
            <m:r>
              <m:t xml:space="preserve">ln</m:t>
            </m:r>
            <m:d>
              <m:dPr>
                <m:begChr m:val="("/>
                <m:endChr m:val=")"/>
              </m:dPr>
              <m:e>
                <m:f>
                  <m:num>
                    <m:sSub>
                      <m:e>
                        <m:r>
                          <m:t xml:space="preserve">λ</m:t>
                        </m:r>
                      </m:e>
                      <m:sub>
                        <m:r>
                          <m:t xml:space="preserve">1</m:t>
                        </m:r>
                      </m:sub>
                    </m:sSub>
                  </m:num>
                  <m:den>
                    <m:sSub>
                      <m:e>
                        <m:r>
                          <m:t xml:space="preserve">λ</m:t>
                        </m:r>
                      </m:e>
                      <m:sub>
                        <m:r>
                          <m:t xml:space="preserve">2</m:t>
                        </m:r>
                      </m:sub>
                    </m:sSub>
                  </m:den>
                </m:f>
              </m:e>
            </m:d>
          </m:den>
        </m:f>
      </m:oMath>
      <w:r>
        <w:rPr>
          <w:rFonts w:eastAsia="Calibri" w:cs="Segoe UI" w:ascii="Cambria" w:hAnsi="Cambria"/>
          <w:b w:val="false"/>
          <w:bCs w:val="false"/>
          <w:color w:val="000000"/>
          <w:kern w:val="2"/>
          <w:sz w:val="24"/>
          <w:szCs w:val="24"/>
          <w:shd w:fill="auto" w:val="clear"/>
          <w:lang w:val="en-US" w:eastAsia="en-US" w:bidi="hi-IN"/>
        </w:rPr>
        <w:t xml:space="preserve">, </w:t>
        <w:tab/>
        <w:t>(1)</w:t>
      </w:r>
    </w:p>
    <w:p>
      <w:pPr>
        <w:pStyle w:val="BodyText"/>
        <w:widowControl/>
        <w:suppressAutoHyphens w:val="true"/>
        <w:overflowPunct w:val="true"/>
        <w:bidi w:val="0"/>
        <w:spacing w:lineRule="auto" w:line="240" w:before="0" w:after="0"/>
        <w:jc w:val="both"/>
        <w:rPr>
          <w:color w:val="000000"/>
        </w:rPr>
      </w:pPr>
      <w:r>
        <w:rPr>
          <w:rFonts w:eastAsia="Calibri" w:cs="Segoe UI" w:ascii="Cambria" w:hAnsi="Cambria"/>
          <w:b w:val="false"/>
          <w:bCs w:val="false"/>
          <w:color w:val="000000"/>
          <w:kern w:val="2"/>
          <w:sz w:val="24"/>
          <w:szCs w:val="24"/>
          <w:shd w:fill="auto" w:val="clear"/>
          <w:lang w:val="en-US" w:eastAsia="en-US" w:bidi="hi-IN"/>
        </w:rPr>
        <w:t>where b</w:t>
      </w:r>
      <w:r>
        <w:rPr>
          <w:rFonts w:eastAsia="Calibri" w:cs="Segoe UI" w:ascii="Cambria" w:hAnsi="Cambria"/>
          <w:b w:val="false"/>
          <w:bCs w:val="false"/>
          <w:color w:val="000000"/>
          <w:kern w:val="2"/>
          <w:sz w:val="24"/>
          <w:szCs w:val="24"/>
          <w:shd w:fill="auto" w:val="clear"/>
          <w:vertAlign w:val="subscript"/>
          <w:lang w:val="en-US" w:eastAsia="en-US" w:bidi="hi-IN"/>
        </w:rPr>
        <w:t>ab,</w:t>
      </w:r>
      <w:r>
        <w:rPr>
          <w:rFonts w:eastAsia="Symbol" w:cs="Symbol" w:ascii="Symbol" w:hAnsi="Symbol"/>
          <w:b w:val="false"/>
          <w:bCs w:val="false"/>
          <w:color w:val="000000"/>
          <w:kern w:val="2"/>
          <w:sz w:val="24"/>
          <w:szCs w:val="24"/>
          <w:shd w:fill="auto" w:val="clear"/>
          <w:vertAlign w:val="subscript"/>
          <w:lang w:val="en-US" w:eastAsia="en-US" w:bidi="hi-IN"/>
        </w:rPr>
        <w:sym w:font="Symbol" w:char="f06c"/>
      </w:r>
      <w:r>
        <w:rPr>
          <w:rFonts w:eastAsia="Calibri" w:cs="Segoe UI" w:ascii="Cambria" w:hAnsi="Cambria"/>
          <w:b w:val="false"/>
          <w:bCs w:val="false"/>
          <w:color w:val="000000"/>
          <w:kern w:val="2"/>
          <w:sz w:val="24"/>
          <w:szCs w:val="24"/>
          <w:shd w:fill="auto" w:val="clear"/>
          <w:vertAlign w:val="subscript"/>
          <w:lang w:val="en-US" w:eastAsia="en-US" w:bidi="hi-IN"/>
        </w:rPr>
        <w:t>1</w:t>
      </w:r>
      <w:r>
        <w:rPr>
          <w:rFonts w:eastAsia="Calibri" w:cs="Segoe UI" w:ascii="Cambria" w:hAnsi="Cambria"/>
          <w:b w:val="false"/>
          <w:bCs w:val="false"/>
          <w:color w:val="000000"/>
          <w:kern w:val="2"/>
          <w:sz w:val="24"/>
          <w:szCs w:val="24"/>
          <w:shd w:fill="auto" w:val="clear"/>
          <w:lang w:val="en-US" w:eastAsia="en-US" w:bidi="hi-IN"/>
        </w:rPr>
        <w:t xml:space="preserve"> and b</w:t>
      </w:r>
      <w:r>
        <w:rPr>
          <w:rFonts w:eastAsia="Calibri" w:cs="Segoe UI" w:ascii="Cambria" w:hAnsi="Cambria"/>
          <w:b w:val="false"/>
          <w:bCs w:val="false"/>
          <w:color w:val="000000"/>
          <w:kern w:val="2"/>
          <w:sz w:val="24"/>
          <w:szCs w:val="24"/>
          <w:shd w:fill="auto" w:val="clear"/>
          <w:vertAlign w:val="subscript"/>
          <w:lang w:val="en-US" w:eastAsia="en-US" w:bidi="hi-IN"/>
        </w:rPr>
        <w:t>ab,</w:t>
      </w:r>
      <w:r>
        <w:rPr>
          <w:rFonts w:eastAsia="Symbol" w:cs="Symbol" w:ascii="Symbol" w:hAnsi="Symbol"/>
          <w:b w:val="false"/>
          <w:bCs w:val="false"/>
          <w:color w:val="000000"/>
          <w:kern w:val="2"/>
          <w:sz w:val="24"/>
          <w:szCs w:val="24"/>
          <w:shd w:fill="auto" w:val="clear"/>
          <w:vertAlign w:val="subscript"/>
          <w:lang w:val="en-US" w:eastAsia="en-US" w:bidi="hi-IN"/>
        </w:rPr>
        <w:sym w:font="Symbol" w:char="f06c"/>
      </w:r>
      <w:r>
        <w:rPr>
          <w:rFonts w:eastAsia="Calibri" w:cs="Segoe UI" w:ascii="Cambria" w:hAnsi="Cambria"/>
          <w:b w:val="false"/>
          <w:bCs w:val="false"/>
          <w:color w:val="000000"/>
          <w:kern w:val="2"/>
          <w:sz w:val="24"/>
          <w:szCs w:val="24"/>
          <w:shd w:fill="auto" w:val="clear"/>
          <w:vertAlign w:val="subscript"/>
          <w:lang w:val="en-US" w:eastAsia="en-US" w:bidi="hi-IN"/>
        </w:rPr>
        <w:t>2</w:t>
      </w:r>
      <w:r>
        <w:rPr>
          <w:rFonts w:eastAsia="Calibri" w:cs="Segoe UI" w:ascii="Cambria" w:hAnsi="Cambria"/>
          <w:b w:val="false"/>
          <w:bCs w:val="false"/>
          <w:color w:val="000000"/>
          <w:kern w:val="2"/>
          <w:sz w:val="24"/>
          <w:szCs w:val="24"/>
          <w:shd w:fill="auto" w:val="clear"/>
          <w:lang w:val="en-US" w:eastAsia="en-US" w:bidi="hi-IN"/>
        </w:rPr>
        <w:t xml:space="preserve"> are light absorption coefficients at two respective wavelengths </w:t>
      </w:r>
      <w:r>
        <w:rPr>
          <w:rFonts w:eastAsia="Symbol" w:cs="Symbol" w:ascii="Symbol" w:hAnsi="Symbol"/>
          <w:b w:val="false"/>
          <w:bCs w:val="false"/>
          <w:color w:val="000000"/>
          <w:kern w:val="2"/>
          <w:sz w:val="24"/>
          <w:szCs w:val="24"/>
          <w:shd w:fill="auto" w:val="clear"/>
          <w:lang w:val="en-US" w:eastAsia="en-US" w:bidi="hi-IN"/>
        </w:rPr>
        <w:sym w:font="Symbol" w:char="f06c"/>
      </w:r>
      <w:r>
        <w:rPr>
          <w:rFonts w:eastAsia="Calibri" w:cs="Segoe UI" w:ascii="Cambria" w:hAnsi="Cambria"/>
          <w:b w:val="false"/>
          <w:bCs w:val="false"/>
          <w:color w:val="000000"/>
          <w:kern w:val="2"/>
          <w:sz w:val="24"/>
          <w:szCs w:val="24"/>
          <w:shd w:fill="auto" w:val="clear"/>
          <w:vertAlign w:val="subscript"/>
          <w:lang w:val="en-US" w:eastAsia="en-US" w:bidi="hi-IN"/>
        </w:rPr>
        <w:t>1</w:t>
      </w:r>
      <w:r>
        <w:rPr>
          <w:rFonts w:eastAsia="Calibri" w:cs="Segoe UI" w:ascii="Cambria" w:hAnsi="Cambria"/>
          <w:b w:val="false"/>
          <w:bCs w:val="false"/>
          <w:color w:val="000000"/>
          <w:kern w:val="2"/>
          <w:sz w:val="24"/>
          <w:szCs w:val="24"/>
          <w:shd w:fill="auto" w:val="clear"/>
          <w:lang w:val="en-US" w:eastAsia="en-US" w:bidi="hi-IN"/>
        </w:rPr>
        <w:t xml:space="preserve"> and </w:t>
      </w:r>
      <w:r>
        <w:rPr>
          <w:rFonts w:eastAsia="Symbol" w:cs="Symbol" w:ascii="Symbol" w:hAnsi="Symbol"/>
          <w:b w:val="false"/>
          <w:bCs w:val="false"/>
          <w:color w:val="000000"/>
          <w:kern w:val="2"/>
          <w:sz w:val="24"/>
          <w:szCs w:val="24"/>
          <w:shd w:fill="auto" w:val="clear"/>
          <w:lang w:val="en-US" w:eastAsia="en-US" w:bidi="hi-IN"/>
        </w:rPr>
        <w:sym w:font="Symbol" w:char="f06c"/>
      </w:r>
      <w:r>
        <w:rPr>
          <w:rFonts w:eastAsia="Calibri" w:cs="Segoe UI" w:ascii="Cambria" w:hAnsi="Cambria"/>
          <w:b w:val="false"/>
          <w:bCs w:val="false"/>
          <w:color w:val="000000"/>
          <w:kern w:val="2"/>
          <w:sz w:val="24"/>
          <w:szCs w:val="24"/>
          <w:shd w:fill="auto" w:val="clear"/>
          <w:vertAlign w:val="subscript"/>
          <w:lang w:val="en-US" w:eastAsia="en-US" w:bidi="hi-IN"/>
        </w:rPr>
        <w:t>2</w:t>
      </w:r>
      <w:r>
        <w:rPr>
          <w:rFonts w:eastAsia="Calibri" w:cs="Segoe UI" w:ascii="Cambria" w:hAnsi="Cambria"/>
          <w:b w:val="false"/>
          <w:bCs w:val="false"/>
          <w:color w:val="000000"/>
          <w:kern w:val="2"/>
          <w:sz w:val="24"/>
          <w:szCs w:val="24"/>
          <w:shd w:fill="auto" w:val="clear"/>
          <w:lang w:val="en-US" w:eastAsia="en-US" w:bidi="hi-IN"/>
        </w:rPr>
        <w:t xml:space="preserve"> (in this study it is 470 and 880 nm). The light absorption coefficients were calculated as:</w:t>
      </w:r>
    </w:p>
    <w:p>
      <w:pPr>
        <w:pStyle w:val="BodyText"/>
        <w:widowControl/>
        <w:suppressAutoHyphens w:val="true"/>
        <w:overflowPunct w:val="true"/>
        <w:bidi w:val="0"/>
        <w:spacing w:lineRule="auto" w:line="240" w:before="0" w:after="0"/>
        <w:jc w:val="both"/>
        <w:rPr>
          <w:rFonts w:ascii="Cambria" w:hAnsi="Cambria" w:eastAsia="Times New Roman" w:cs="Arial" w:cstheme="minorAscii"/>
          <w:b w:val="false"/>
          <w:bCs w:val="false"/>
          <w:color w:val="000000"/>
          <w:kern w:val="0"/>
          <w:sz w:val="24"/>
          <w:szCs w:val="24"/>
          <w:shd w:fill="auto" w:val="clear"/>
          <w:lang w:val="en-US" w:eastAsia="en-US" w:bidi="ar-SA"/>
        </w:rPr>
      </w:pPr>
      <w:r>
        <w:rPr>
          <w:rFonts w:eastAsia="Times New Roman" w:cs="Arial" w:cstheme="minorAscii" w:ascii="Cambria" w:hAnsi="Cambria"/>
          <w:b w:val="false"/>
          <w:bCs w:val="false"/>
          <w:color w:val="000000"/>
          <w:kern w:val="0"/>
          <w:sz w:val="24"/>
          <w:szCs w:val="24"/>
          <w:shd w:fill="auto" w:val="clear"/>
          <w:lang w:val="en-US" w:eastAsia="en-US" w:bidi="ar-SA"/>
        </w:rPr>
      </w:r>
    </w:p>
    <w:p>
      <w:pPr>
        <w:pStyle w:val="BodyText"/>
        <w:widowControl/>
        <w:tabs>
          <w:tab w:val="clear" w:pos="709"/>
          <w:tab w:val="left" w:pos="8642" w:leader="none"/>
        </w:tabs>
        <w:suppressAutoHyphens w:val="true"/>
        <w:overflowPunct w:val="true"/>
        <w:bidi w:val="0"/>
        <w:spacing w:lineRule="auto" w:line="240" w:before="0" w:after="0"/>
        <w:jc w:val="both"/>
        <w:rPr>
          <w:color w:val="000000"/>
        </w:rPr>
      </w:pPr>
      <w:r>
        <w:rPr/>
      </w:r>
      <m:oMath xmlns:m="http://schemas.openxmlformats.org/officeDocument/2006/math">
        <m:sSub>
          <m:e>
            <m:r>
              <m:t xml:space="preserve">b</m:t>
            </m:r>
          </m:e>
          <m:sub>
            <m:r>
              <m:t xml:space="preserve">ab</m:t>
            </m:r>
            <m:r>
              <m:t xml:space="preserve">,</m:t>
            </m:r>
            <m:sSub>
              <m:e>
                <m:r>
                  <m:t xml:space="preserve">λ</m:t>
                </m:r>
              </m:e>
              <m:sub>
                <m:r>
                  <m:t xml:space="preserve">1</m:t>
                </m:r>
              </m:sub>
            </m:sSub>
          </m:sub>
        </m:sSub>
        <m:r>
          <m:t xml:space="preserve">=</m:t>
        </m:r>
        <m:r>
          <m:t xml:space="preserve">LAC</m:t>
        </m:r>
        <m:d>
          <m:dPr>
            <m:begChr m:val="("/>
            <m:endChr m:val=")"/>
          </m:dPr>
          <m:e>
            <m:sSub>
              <m:e>
                <m:r>
                  <m:t xml:space="preserve">λ</m:t>
                </m:r>
              </m:e>
              <m:sub>
                <m:r>
                  <m:t xml:space="preserve">1</m:t>
                </m:r>
              </m:sub>
            </m:sSub>
          </m:e>
        </m:d>
        <m:r>
          <m:t xml:space="preserve">×</m:t>
        </m:r>
        <m:sSub>
          <m:e>
            <m:r>
              <m:t xml:space="preserve">MAC</m:t>
            </m:r>
          </m:e>
          <m:sub>
            <m:sSub>
              <m:e>
                <m:r>
                  <m:t xml:space="preserve">λ</m:t>
                </m:r>
              </m:e>
              <m:sub>
                <m:r>
                  <m:t xml:space="preserve">1</m:t>
                </m:r>
              </m:sub>
            </m:sSub>
          </m:sub>
        </m:sSub>
      </m:oMath>
      <w:r>
        <w:rPr>
          <w:rFonts w:eastAsia="Times New Roman" w:cs="Arial" w:ascii="Cambria" w:hAnsi="Cambria" w:cstheme="minorAscii"/>
          <w:b w:val="false"/>
          <w:bCs w:val="false"/>
          <w:color w:val="000000"/>
          <w:kern w:val="0"/>
          <w:sz w:val="24"/>
          <w:szCs w:val="24"/>
          <w:shd w:fill="auto" w:val="clear"/>
          <w:lang w:val="en-US" w:eastAsia="en-US" w:bidi="ar-SA"/>
        </w:rPr>
        <w:t xml:space="preserve">, </w:t>
        <w:tab/>
        <w:t>(2)</w:t>
      </w:r>
    </w:p>
    <w:p>
      <w:pPr>
        <w:pStyle w:val="BodyText"/>
        <w:widowControl/>
        <w:tabs>
          <w:tab w:val="clear" w:pos="709"/>
          <w:tab w:val="left" w:pos="8663" w:leader="none"/>
        </w:tabs>
        <w:suppressAutoHyphens w:val="true"/>
        <w:overflowPunct w:val="true"/>
        <w:bidi w:val="0"/>
        <w:spacing w:lineRule="auto" w:line="240" w:before="0" w:after="0"/>
        <w:jc w:val="both"/>
        <w:rPr>
          <w:color w:val="000000"/>
        </w:rPr>
      </w:pPr>
      <w:r>
        <w:rPr/>
      </w:r>
      <m:oMath xmlns:m="http://schemas.openxmlformats.org/officeDocument/2006/math">
        <m:sSub>
          <m:e>
            <m:r>
              <m:t xml:space="preserve">b</m:t>
            </m:r>
          </m:e>
          <m:sub>
            <m:r>
              <m:t xml:space="preserve">ab</m:t>
            </m:r>
            <m:r>
              <m:t xml:space="preserve">,</m:t>
            </m:r>
            <m:sSub>
              <m:e>
                <m:r>
                  <m:t xml:space="preserve">λ</m:t>
                </m:r>
              </m:e>
              <m:sub>
                <m:r>
                  <m:t xml:space="preserve">1</m:t>
                </m:r>
              </m:sub>
            </m:sSub>
          </m:sub>
        </m:sSub>
        <m:r>
          <m:t xml:space="preserve">=</m:t>
        </m:r>
        <m:r>
          <m:t xml:space="preserve">LAC</m:t>
        </m:r>
        <m:d>
          <m:dPr>
            <m:begChr m:val="("/>
            <m:endChr m:val=")"/>
          </m:dPr>
          <m:e>
            <m:sSub>
              <m:e>
                <m:r>
                  <m:t xml:space="preserve">λ</m:t>
                </m:r>
              </m:e>
              <m:sub>
                <m:r>
                  <m:t xml:space="preserve">1</m:t>
                </m:r>
              </m:sub>
            </m:sSub>
          </m:e>
        </m:d>
        <m:r>
          <m:t xml:space="preserve">×</m:t>
        </m:r>
        <m:sSub>
          <m:e>
            <m:r>
              <m:t xml:space="preserve">MAC</m:t>
            </m:r>
          </m:e>
          <m:sub>
            <m:sSub>
              <m:e>
                <m:r>
                  <m:t xml:space="preserve">λ</m:t>
                </m:r>
              </m:e>
              <m:sub>
                <m:r>
                  <m:t xml:space="preserve">1</m:t>
                </m:r>
              </m:sub>
            </m:sSub>
          </m:sub>
        </m:sSub>
      </m:oMath>
      <w:r>
        <w:rPr>
          <w:rFonts w:eastAsia="Times New Roman" w:cs="Arial" w:ascii="Cambria" w:hAnsi="Cambria" w:cstheme="minorAscii"/>
          <w:b w:val="false"/>
          <w:bCs w:val="false"/>
          <w:color w:val="000000"/>
          <w:kern w:val="0"/>
          <w:sz w:val="24"/>
          <w:szCs w:val="24"/>
          <w:shd w:fill="auto" w:val="clear"/>
          <w:lang w:val="en-US" w:eastAsia="en-US" w:bidi="ar-SA"/>
        </w:rPr>
        <w:t xml:space="preserve">, </w:t>
        <w:tab/>
        <w:t>(3)</w:t>
      </w:r>
    </w:p>
    <w:p>
      <w:pPr>
        <w:pStyle w:val="BodyText"/>
        <w:widowControl/>
        <w:suppressAutoHyphens w:val="true"/>
        <w:overflowPunct w:val="true"/>
        <w:bidi w:val="0"/>
        <w:spacing w:lineRule="auto" w:line="240" w:before="0" w:after="0"/>
        <w:jc w:val="both"/>
        <w:rPr>
          <w:rFonts w:ascii="Cambria" w:hAnsi="Cambria" w:eastAsia="Times New Roman" w:cs="Arial" w:cstheme="minorAscii"/>
          <w:b w:val="false"/>
          <w:bCs w:val="false"/>
          <w:color w:val="000000"/>
          <w:kern w:val="0"/>
          <w:sz w:val="24"/>
          <w:szCs w:val="24"/>
          <w:shd w:fill="auto" w:val="clear"/>
          <w:lang w:val="en-US" w:eastAsia="en-US" w:bidi="ar-SA"/>
        </w:rPr>
      </w:pPr>
      <w:r>
        <w:rPr>
          <w:rFonts w:eastAsia="Times New Roman" w:cs="Arial" w:cstheme="minorAscii" w:ascii="Cambria" w:hAnsi="Cambria"/>
          <w:b w:val="false"/>
          <w:bCs w:val="false"/>
          <w:color w:val="000000"/>
          <w:kern w:val="0"/>
          <w:sz w:val="24"/>
          <w:szCs w:val="24"/>
          <w:shd w:fill="auto" w:val="clear"/>
          <w:lang w:val="en-US" w:eastAsia="en-US" w:bidi="ar-SA"/>
        </w:rPr>
      </w:r>
    </w:p>
    <w:p>
      <w:pPr>
        <w:pStyle w:val="BodyText"/>
        <w:widowControl/>
        <w:suppressAutoHyphens w:val="true"/>
        <w:overflowPunct w:val="true"/>
        <w:bidi w:val="0"/>
        <w:spacing w:lineRule="auto" w:line="240" w:before="0" w:after="0"/>
        <w:jc w:val="both"/>
        <w:rPr>
          <w:rFonts w:ascii="Cambria" w:hAnsi="Cambria" w:eastAsia="Times New Roman" w:cs="Arial" w:cstheme="minorAscii"/>
          <w:b w:val="false"/>
          <w:bCs w:val="false"/>
          <w:color w:val="0070C0"/>
          <w:kern w:val="0"/>
          <w:sz w:val="24"/>
          <w:szCs w:val="24"/>
          <w:shd w:fill="auto" w:val="clear"/>
          <w:lang w:val="en-US" w:eastAsia="en-US" w:bidi="ar-SA"/>
        </w:rPr>
      </w:pPr>
      <w:r>
        <w:rPr>
          <w:rFonts w:eastAsia="Times New Roman" w:cs="Arial" w:ascii="Cambria" w:hAnsi="Cambria" w:cstheme="minorAscii"/>
          <w:b w:val="false"/>
          <w:bCs w:val="false"/>
          <w:color w:val="000000"/>
          <w:kern w:val="0"/>
          <w:sz w:val="24"/>
          <w:szCs w:val="24"/>
          <w:shd w:fill="auto" w:val="clear"/>
          <w:lang w:val="en-US" w:eastAsia="en-US" w:bidi="ar-SA"/>
        </w:rPr>
        <w:t>where LAC(</w:t>
      </w:r>
      <w:r>
        <w:rPr>
          <w:rFonts w:eastAsia="Symbol" w:cs="Symbol" w:ascii="Symbol" w:hAnsi="Symbol"/>
          <w:b w:val="false"/>
          <w:bCs w:val="false"/>
          <w:color w:val="000000"/>
          <w:kern w:val="2"/>
          <w:sz w:val="24"/>
          <w:szCs w:val="22"/>
          <w:shd w:fill="auto" w:val="clear"/>
          <w:lang w:val="en-US" w:eastAsia="en-US" w:bidi="hi-IN"/>
        </w:rPr>
        <w:sym w:font="Symbol" w:char="f06c"/>
      </w:r>
      <w:r>
        <w:rPr>
          <w:rFonts w:eastAsia="Calibri" w:cs="Segoe UI" w:ascii="Cambria" w:hAnsi="Cambria"/>
          <w:b w:val="false"/>
          <w:bCs w:val="false"/>
          <w:color w:val="000000"/>
          <w:kern w:val="2"/>
          <w:sz w:val="24"/>
          <w:szCs w:val="22"/>
          <w:shd w:fill="auto" w:val="clear"/>
          <w:vertAlign w:val="subscript"/>
          <w:lang w:val="en-US" w:eastAsia="en-US" w:bidi="hi-IN"/>
        </w:rPr>
        <w:t>1</w:t>
      </w:r>
      <w:r>
        <w:rPr>
          <w:rFonts w:eastAsia="Times New Roman" w:cs="Arial" w:ascii="Cambria" w:hAnsi="Cambria" w:cstheme="minorAscii"/>
          <w:b w:val="false"/>
          <w:bCs w:val="false"/>
          <w:color w:val="000000"/>
          <w:kern w:val="0"/>
          <w:sz w:val="24"/>
          <w:szCs w:val="24"/>
          <w:shd w:fill="auto" w:val="clear"/>
          <w:lang w:val="en-US" w:eastAsia="en-US" w:bidi="ar-SA"/>
        </w:rPr>
        <w:t>) and MAC</w:t>
      </w:r>
      <w:r>
        <w:rPr>
          <w:rFonts w:eastAsia="Symbol" w:cs="Symbol" w:ascii="Symbol" w:hAnsi="Symbol"/>
          <w:b w:val="false"/>
          <w:bCs w:val="false"/>
          <w:color w:val="000000"/>
          <w:kern w:val="2"/>
          <w:sz w:val="24"/>
          <w:szCs w:val="22"/>
          <w:shd w:fill="auto" w:val="clear"/>
          <w:vertAlign w:val="subscript"/>
          <w:lang w:val="en-US" w:eastAsia="en-US" w:bidi="hi-IN"/>
        </w:rPr>
        <w:sym w:font="Symbol" w:char="f06c"/>
      </w:r>
      <w:r>
        <w:rPr>
          <w:rFonts w:eastAsia="Calibri" w:cs="Segoe UI" w:ascii="Cambria" w:hAnsi="Cambria"/>
          <w:b w:val="false"/>
          <w:bCs w:val="false"/>
          <w:color w:val="000000"/>
          <w:kern w:val="2"/>
          <w:sz w:val="24"/>
          <w:szCs w:val="22"/>
          <w:shd w:fill="auto" w:val="clear"/>
          <w:vertAlign w:val="subscript"/>
          <w:lang w:val="en-US" w:eastAsia="en-US" w:bidi="hi-IN"/>
        </w:rPr>
        <w:t>1</w:t>
      </w:r>
      <w:r>
        <w:rPr>
          <w:rFonts w:eastAsia="Calibri" w:cs="Segoe UI" w:ascii="Cambria" w:hAnsi="Cambria"/>
          <w:b w:val="false"/>
          <w:bCs w:val="false"/>
          <w:color w:val="000000"/>
          <w:kern w:val="2"/>
          <w:position w:val="0"/>
          <w:sz w:val="24"/>
          <w:sz w:val="24"/>
          <w:szCs w:val="22"/>
          <w:shd w:fill="auto" w:val="clear"/>
          <w:vertAlign w:val="baseline"/>
          <w:lang w:val="en-US" w:eastAsia="en-US" w:bidi="hi-IN"/>
        </w:rPr>
        <w:t xml:space="preserve">, as well as </w:t>
      </w:r>
      <w:r>
        <w:rPr>
          <w:rFonts w:eastAsia="Times New Roman" w:cs="Arial" w:ascii="Cambria" w:hAnsi="Cambria" w:cstheme="minorAscii"/>
          <w:b w:val="false"/>
          <w:bCs w:val="false"/>
          <w:color w:val="000000"/>
          <w:kern w:val="0"/>
          <w:position w:val="0"/>
          <w:sz w:val="24"/>
          <w:sz w:val="24"/>
          <w:szCs w:val="24"/>
          <w:shd w:fill="auto" w:val="clear"/>
          <w:vertAlign w:val="baseline"/>
          <w:lang w:val="en-US" w:eastAsia="en-US" w:bidi="ar-SA"/>
        </w:rPr>
        <w:t>LAC(</w:t>
      </w:r>
      <w:r>
        <w:rPr>
          <w:rFonts w:eastAsia="Symbol" w:cs="Symbol" w:ascii="Symbol" w:hAnsi="Symbol"/>
          <w:b w:val="false"/>
          <w:bCs w:val="false"/>
          <w:color w:val="000000"/>
          <w:kern w:val="2"/>
          <w:position w:val="0"/>
          <w:sz w:val="24"/>
          <w:sz w:val="24"/>
          <w:szCs w:val="22"/>
          <w:shd w:fill="auto" w:val="clear"/>
          <w:vertAlign w:val="baseline"/>
          <w:lang w:val="en-US" w:eastAsia="en-US" w:bidi="hi-IN"/>
        </w:rPr>
        <w:sym w:font="Symbol" w:char="f06c"/>
      </w:r>
      <w:r>
        <w:rPr>
          <w:rFonts w:eastAsia="Calibri" w:cs="Segoe UI" w:ascii="Cambria" w:hAnsi="Cambria"/>
          <w:b w:val="false"/>
          <w:bCs w:val="false"/>
          <w:color w:val="000000"/>
          <w:kern w:val="2"/>
          <w:sz w:val="24"/>
          <w:szCs w:val="22"/>
          <w:shd w:fill="auto" w:val="clear"/>
          <w:vertAlign w:val="subscript"/>
          <w:lang w:val="en-US" w:eastAsia="en-US" w:bidi="hi-IN"/>
        </w:rPr>
        <w:t>2</w:t>
      </w:r>
      <w:r>
        <w:rPr>
          <w:rFonts w:eastAsia="Times New Roman" w:cs="Arial" w:ascii="Cambria" w:hAnsi="Cambria" w:cstheme="minorAscii"/>
          <w:b w:val="false"/>
          <w:bCs w:val="false"/>
          <w:color w:val="000000"/>
          <w:kern w:val="0"/>
          <w:position w:val="0"/>
          <w:sz w:val="24"/>
          <w:sz w:val="24"/>
          <w:szCs w:val="24"/>
          <w:shd w:fill="auto" w:val="clear"/>
          <w:vertAlign w:val="baseline"/>
          <w:lang w:val="en-US" w:eastAsia="en-US" w:bidi="ar-SA"/>
        </w:rPr>
        <w:t>) and MAC</w:t>
      </w:r>
      <w:r>
        <w:rPr>
          <w:rFonts w:eastAsia="Symbol" w:cs="Symbol" w:ascii="Symbol" w:hAnsi="Symbol"/>
          <w:b w:val="false"/>
          <w:bCs w:val="false"/>
          <w:color w:val="000000"/>
          <w:kern w:val="2"/>
          <w:sz w:val="24"/>
          <w:szCs w:val="22"/>
          <w:shd w:fill="auto" w:val="clear"/>
          <w:vertAlign w:val="subscript"/>
          <w:lang w:val="en-US" w:eastAsia="en-US" w:bidi="hi-IN"/>
        </w:rPr>
        <w:sym w:font="Symbol" w:char="f06c"/>
      </w:r>
      <w:r>
        <w:rPr>
          <w:rFonts w:eastAsia="Calibri" w:cs="Segoe UI" w:ascii="Cambria" w:hAnsi="Cambria"/>
          <w:b w:val="false"/>
          <w:bCs w:val="false"/>
          <w:color w:val="000000"/>
          <w:kern w:val="2"/>
          <w:sz w:val="24"/>
          <w:szCs w:val="22"/>
          <w:shd w:fill="auto" w:val="clear"/>
          <w:vertAlign w:val="subscript"/>
          <w:lang w:val="en-US" w:eastAsia="en-US" w:bidi="hi-IN"/>
        </w:rPr>
        <w:t>2</w:t>
      </w:r>
      <w:r>
        <w:rPr>
          <w:rFonts w:eastAsia="Calibri" w:cs="Segoe UI" w:ascii="Cambria" w:hAnsi="Cambria"/>
          <w:b w:val="false"/>
          <w:bCs w:val="false"/>
          <w:color w:val="000000"/>
          <w:kern w:val="2"/>
          <w:position w:val="0"/>
          <w:sz w:val="24"/>
          <w:sz w:val="24"/>
          <w:szCs w:val="22"/>
          <w:shd w:fill="auto" w:val="clear"/>
          <w:vertAlign w:val="baseline"/>
          <w:lang w:val="en-US" w:eastAsia="en-US" w:bidi="hi-IN"/>
        </w:rPr>
        <w:t xml:space="preserve"> are light absorbing carbonaceous (LAC) aerosol mass concentrations and mass absorption coefficients (MAC) at corresponding wavelengths (</w:t>
      </w:r>
      <w:r>
        <w:rPr>
          <w:rFonts w:eastAsia="Times New Roman" w:cs="Arial" w:ascii="Cambria" w:hAnsi="Cambria" w:cstheme="minorAscii"/>
          <w:b w:val="false"/>
          <w:bCs w:val="false"/>
          <w:color w:val="000000"/>
          <w:kern w:val="0"/>
          <w:position w:val="0"/>
          <w:sz w:val="24"/>
          <w:sz w:val="24"/>
          <w:szCs w:val="24"/>
          <w:shd w:fill="auto" w:val="clear"/>
          <w:vertAlign w:val="baseline"/>
          <w:lang w:val="en-US" w:eastAsia="en-US" w:bidi="ar-SA"/>
        </w:rPr>
        <w:t>MAC</w:t>
      </w:r>
      <w:r>
        <w:rPr>
          <w:rFonts w:eastAsia="Calibri" w:cs="Segoe UI" w:ascii="Cambria" w:hAnsi="Cambria"/>
          <w:b w:val="false"/>
          <w:bCs w:val="false"/>
          <w:color w:val="000000"/>
          <w:kern w:val="2"/>
          <w:sz w:val="24"/>
          <w:szCs w:val="22"/>
          <w:shd w:fill="auto" w:val="clear"/>
          <w:vertAlign w:val="subscript"/>
          <w:lang w:val="en-US" w:eastAsia="en-US" w:bidi="hi-IN"/>
        </w:rPr>
        <w:t>470nm</w:t>
      </w:r>
      <w:r>
        <w:rPr>
          <w:rFonts w:eastAsia="Calibri" w:cs="Segoe UI" w:ascii="Cambria" w:hAnsi="Cambria"/>
          <w:b w:val="false"/>
          <w:bCs w:val="false"/>
          <w:color w:val="000000"/>
          <w:kern w:val="2"/>
          <w:position w:val="0"/>
          <w:sz w:val="24"/>
          <w:sz w:val="24"/>
          <w:szCs w:val="22"/>
          <w:shd w:fill="auto" w:val="clear"/>
          <w:vertAlign w:val="baseline"/>
          <w:lang w:val="en-US" w:eastAsia="en-US" w:bidi="hi-IN"/>
        </w:rPr>
        <w:t xml:space="preserve"> = 14.69 and </w:t>
      </w:r>
      <w:r>
        <w:rPr>
          <w:rFonts w:eastAsia="Times New Roman" w:cs="Arial" w:ascii="Cambria" w:hAnsi="Cambria" w:cstheme="minorAscii"/>
          <w:b w:val="false"/>
          <w:bCs w:val="false"/>
          <w:color w:val="000000"/>
          <w:kern w:val="0"/>
          <w:position w:val="0"/>
          <w:sz w:val="24"/>
          <w:sz w:val="24"/>
          <w:szCs w:val="24"/>
          <w:shd w:fill="auto" w:val="clear"/>
          <w:vertAlign w:val="baseline"/>
          <w:lang w:val="en-US" w:eastAsia="en-US" w:bidi="ar-SA"/>
        </w:rPr>
        <w:t>MAC</w:t>
      </w:r>
      <w:r>
        <w:rPr>
          <w:rFonts w:eastAsia="Times New Roman" w:cs="Arial" w:ascii="Cambria" w:hAnsi="Cambria" w:cstheme="minorAscii"/>
          <w:b w:val="false"/>
          <w:bCs w:val="false"/>
          <w:color w:val="000000"/>
          <w:kern w:val="0"/>
          <w:sz w:val="24"/>
          <w:szCs w:val="24"/>
          <w:shd w:fill="auto" w:val="clear"/>
          <w:vertAlign w:val="subscript"/>
          <w:lang w:val="en-US" w:eastAsia="en-US" w:bidi="ar-SA"/>
        </w:rPr>
        <w:t>880</w:t>
      </w:r>
      <w:r>
        <w:rPr>
          <w:rFonts w:eastAsia="Calibri" w:cs="Segoe UI" w:ascii="Cambria" w:hAnsi="Cambria"/>
          <w:b w:val="false"/>
          <w:bCs w:val="false"/>
          <w:color w:val="000000"/>
          <w:kern w:val="2"/>
          <w:sz w:val="24"/>
          <w:szCs w:val="22"/>
          <w:shd w:fill="auto" w:val="clear"/>
          <w:vertAlign w:val="subscript"/>
          <w:lang w:val="en-US" w:eastAsia="en-US" w:bidi="hi-IN"/>
        </w:rPr>
        <w:t>nm</w:t>
      </w:r>
      <w:r>
        <w:rPr>
          <w:rFonts w:eastAsia="Calibri" w:cs="Segoe UI" w:ascii="Cambria" w:hAnsi="Cambria"/>
          <w:b w:val="false"/>
          <w:bCs w:val="false"/>
          <w:color w:val="000000"/>
          <w:kern w:val="2"/>
          <w:position w:val="0"/>
          <w:sz w:val="24"/>
          <w:sz w:val="24"/>
          <w:szCs w:val="22"/>
          <w:shd w:fill="auto" w:val="clear"/>
          <w:vertAlign w:val="baseline"/>
          <w:lang w:val="en-US" w:eastAsia="en-US" w:bidi="hi-IN"/>
        </w:rPr>
        <w:t xml:space="preserve"> = 7.78 m</w:t>
      </w:r>
      <w:r>
        <w:rPr>
          <w:rFonts w:eastAsia="Calibri" w:cs="Segoe UI" w:ascii="Cambria" w:hAnsi="Cambria"/>
          <w:b w:val="false"/>
          <w:bCs w:val="false"/>
          <w:color w:val="000000"/>
          <w:kern w:val="2"/>
          <w:sz w:val="24"/>
          <w:szCs w:val="22"/>
          <w:shd w:fill="auto" w:val="clear"/>
          <w:vertAlign w:val="superscript"/>
          <w:lang w:val="en-US" w:eastAsia="en-US" w:bidi="hi-IN"/>
        </w:rPr>
        <w:t>2</w:t>
      </w:r>
      <w:r>
        <w:rPr>
          <w:rFonts w:eastAsia="Calibri" w:cs="Segoe UI" w:ascii="Cambria" w:hAnsi="Cambria"/>
          <w:b w:val="false"/>
          <w:bCs w:val="false"/>
          <w:color w:val="000000"/>
          <w:kern w:val="2"/>
          <w:position w:val="0"/>
          <w:sz w:val="24"/>
          <w:sz w:val="24"/>
          <w:szCs w:val="22"/>
          <w:shd w:fill="auto" w:val="clear"/>
          <w:vertAlign w:val="baseline"/>
          <w:lang w:val="en-US" w:eastAsia="en-US" w:bidi="hi-IN"/>
        </w:rPr>
        <w:t>g</w:t>
      </w:r>
      <w:r>
        <w:rPr>
          <w:rFonts w:eastAsia="Calibri" w:cs="Segoe UI" w:ascii="Cambria" w:hAnsi="Cambria"/>
          <w:b w:val="false"/>
          <w:bCs w:val="false"/>
          <w:color w:val="000000"/>
          <w:kern w:val="2"/>
          <w:sz w:val="24"/>
          <w:szCs w:val="22"/>
          <w:shd w:fill="auto" w:val="clear"/>
          <w:vertAlign w:val="superscript"/>
          <w:lang w:val="en-US" w:eastAsia="en-US" w:bidi="hi-IN"/>
        </w:rPr>
        <w:t>-1</w:t>
      </w:r>
      <w:r>
        <w:rPr>
          <w:rFonts w:eastAsia="Calibri" w:cs="Segoe UI" w:ascii="Cambria" w:hAnsi="Cambria"/>
          <w:b w:val="false"/>
          <w:bCs w:val="false"/>
          <w:color w:val="000000"/>
          <w:kern w:val="2"/>
          <w:position w:val="0"/>
          <w:sz w:val="24"/>
          <w:sz w:val="24"/>
          <w:szCs w:val="22"/>
          <w:shd w:fill="auto" w:val="clear"/>
          <w:vertAlign w:val="baseline"/>
          <w:lang w:val="en-US" w:eastAsia="en-US" w:bidi="hi-IN"/>
        </w:rPr>
        <w:t xml:space="preserve">). </w:t>
      </w:r>
      <w:r>
        <w:rPr>
          <w:rFonts w:eastAsia="Calibri" w:cs="Segoe UI" w:ascii="Cambria" w:hAnsi="Cambria"/>
          <w:b w:val="false"/>
          <w:bCs w:val="false"/>
          <w:color w:val="000000"/>
          <w:kern w:val="2"/>
          <w:sz w:val="24"/>
          <w:szCs w:val="22"/>
          <w:shd w:fill="auto" w:val="clear"/>
          <w:lang w:val="en-US" w:eastAsia="en-US" w:bidi="hi-IN"/>
        </w:rPr>
        <w:t>The eBC mass concentration attributable to traffic-related emissions (eBC</w:t>
      </w:r>
      <w:r>
        <w:rPr>
          <w:rFonts w:eastAsia="Calibri" w:cs="Segoe UI" w:ascii="Cambria" w:hAnsi="Cambria"/>
          <w:b w:val="false"/>
          <w:bCs w:val="false"/>
          <w:color w:val="000000"/>
          <w:kern w:val="2"/>
          <w:sz w:val="24"/>
          <w:szCs w:val="22"/>
          <w:shd w:fill="auto" w:val="clear"/>
          <w:vertAlign w:val="subscript"/>
          <w:lang w:val="en-US" w:eastAsia="en-US" w:bidi="hi-IN"/>
        </w:rPr>
        <w:t>FF</w:t>
      </w:r>
      <w:r>
        <w:rPr>
          <w:rFonts w:eastAsia="Calibri" w:cs="Segoe UI" w:ascii="Cambria" w:hAnsi="Cambria"/>
          <w:b w:val="false"/>
          <w:bCs w:val="false"/>
          <w:color w:val="000000"/>
          <w:kern w:val="2"/>
          <w:sz w:val="24"/>
          <w:szCs w:val="22"/>
          <w:shd w:fill="auto" w:val="clear"/>
          <w:lang w:val="en-US" w:eastAsia="en-US" w:bidi="hi-IN"/>
        </w:rPr>
        <w:t xml:space="preserve">) were calculated using: </w:t>
      </w:r>
    </w:p>
    <w:p>
      <w:pPr>
        <w:pStyle w:val="BodyText"/>
        <w:widowControl/>
        <w:suppressAutoHyphens w:val="true"/>
        <w:overflowPunct w:val="true"/>
        <w:bidi w:val="0"/>
        <w:spacing w:lineRule="auto" w:line="240" w:before="0" w:after="0"/>
        <w:jc w:val="both"/>
        <w:rPr>
          <w:rFonts w:ascii="Cambria" w:hAnsi="Cambria" w:eastAsia="Calibri" w:cs="Segoe UI"/>
          <w:b w:val="false"/>
          <w:bCs w:val="false"/>
          <w:color w:val="000000"/>
          <w:kern w:val="2"/>
          <w:sz w:val="24"/>
          <w:szCs w:val="22"/>
          <w:shd w:fill="auto" w:val="clear"/>
          <w:lang w:val="en-US" w:eastAsia="en-US" w:bidi="hi-IN"/>
        </w:rPr>
      </w:pPr>
      <w:r>
        <w:rPr>
          <w:rFonts w:eastAsia="Calibri" w:cs="Segoe UI" w:ascii="Cambria" w:hAnsi="Cambria"/>
          <w:b w:val="false"/>
          <w:bCs w:val="false"/>
          <w:color w:val="000000"/>
          <w:kern w:val="2"/>
          <w:sz w:val="24"/>
          <w:szCs w:val="22"/>
          <w:shd w:fill="auto" w:val="clear"/>
          <w:lang w:val="en-US" w:eastAsia="en-US" w:bidi="hi-IN"/>
        </w:rPr>
      </w:r>
    </w:p>
    <w:p>
      <w:pPr>
        <w:pStyle w:val="BodyText"/>
        <w:widowControl/>
        <w:tabs>
          <w:tab w:val="clear" w:pos="709"/>
          <w:tab w:val="left" w:pos="8642" w:leader="none"/>
        </w:tabs>
        <w:suppressAutoHyphens w:val="true"/>
        <w:overflowPunct w:val="true"/>
        <w:bidi w:val="0"/>
        <w:spacing w:lineRule="auto" w:line="240" w:before="0" w:after="0"/>
        <w:jc w:val="both"/>
        <w:rPr>
          <w:color w:val="000000"/>
        </w:rPr>
      </w:pPr>
      <w:r>
        <w:rPr/>
      </w:r>
      <m:oMath xmlns:m="http://schemas.openxmlformats.org/officeDocument/2006/math">
        <m:sSub>
          <m:e>
            <m:r>
              <m:t xml:space="preserve">b</m:t>
            </m:r>
          </m:e>
          <m:sub>
            <m:r>
              <m:t xml:space="preserve">ab</m:t>
            </m:r>
            <m:r>
              <m:t xml:space="preserve">FF</m:t>
            </m:r>
          </m:sub>
        </m:sSub>
        <m:r>
          <m:t xml:space="preserve">=</m:t>
        </m:r>
        <m:f>
          <m:num>
            <m:sSub>
              <m:e>
                <m:r>
                  <m:t xml:space="preserve">b</m:t>
                </m:r>
              </m:e>
              <m:sub>
                <m:r>
                  <m:t xml:space="preserve">ab</m:t>
                </m:r>
              </m:sub>
            </m:sSub>
            <m:d>
              <m:dPr>
                <m:begChr m:val="("/>
                <m:endChr m:val=")"/>
              </m:dPr>
              <m:e>
                <m:sSub>
                  <m:e>
                    <m:r>
                      <m:t xml:space="preserve">λ</m:t>
                    </m:r>
                  </m:e>
                  <m:sub>
                    <m:r>
                      <m:t xml:space="preserve">1</m:t>
                    </m:r>
                  </m:sub>
                </m:sSub>
              </m:e>
            </m:d>
            <m:r>
              <m:t xml:space="preserve">−</m:t>
            </m:r>
            <m:sSub>
              <m:e>
                <m:r>
                  <m:t xml:space="preserve">b</m:t>
                </m:r>
              </m:e>
              <m:sub>
                <m:r>
                  <m:t xml:space="preserve">ab</m:t>
                </m:r>
              </m:sub>
            </m:sSub>
            <m:d>
              <m:dPr>
                <m:begChr m:val="("/>
                <m:endChr m:val=")"/>
              </m:dPr>
              <m:e>
                <m:sSub>
                  <m:e>
                    <m:r>
                      <m:t xml:space="preserve">λ</m:t>
                    </m:r>
                  </m:e>
                  <m:sub>
                    <m:r>
                      <m:t xml:space="preserve">1</m:t>
                    </m:r>
                  </m:sub>
                </m:sSub>
              </m:e>
            </m:d>
            <m:r>
              <m:t xml:space="preserve">×</m:t>
            </m:r>
            <m:sSup>
              <m:e>
                <m:d>
                  <m:dPr>
                    <m:begChr m:val="("/>
                    <m:endChr m:val=")"/>
                  </m:dPr>
                  <m:e>
                    <m:f>
                      <m:num>
                        <m:sSub>
                          <m:e>
                            <m:r>
                              <m:t xml:space="preserve">λ</m:t>
                            </m:r>
                          </m:e>
                          <m:sub>
                            <m:r>
                              <m:t xml:space="preserve">1</m:t>
                            </m:r>
                          </m:sub>
                        </m:sSub>
                      </m:num>
                      <m:den>
                        <m:sSub>
                          <m:e>
                            <m:r>
                              <m:t xml:space="preserve">λ</m:t>
                            </m:r>
                          </m:e>
                          <m:sub>
                            <m:r>
                              <m:t xml:space="preserve">2</m:t>
                            </m:r>
                          </m:sub>
                        </m:sSub>
                      </m:den>
                    </m:f>
                  </m:e>
                </m:d>
              </m:e>
              <m:sup>
                <m:r>
                  <m:t xml:space="preserve">−</m:t>
                </m:r>
                <m:sSub>
                  <m:e>
                    <m:r>
                      <m:t xml:space="preserve">AAE</m:t>
                    </m:r>
                  </m:e>
                  <m:sub>
                    <m:r>
                      <m:t xml:space="preserve">BB</m:t>
                    </m:r>
                  </m:sub>
                </m:sSub>
              </m:sup>
            </m:sSup>
          </m:num>
          <m:den>
            <m:sSup>
              <m:e>
                <m:d>
                  <m:dPr>
                    <m:begChr m:val="("/>
                    <m:endChr m:val=")"/>
                  </m:dPr>
                  <m:e>
                    <m:f>
                      <m:num>
                        <m:sSub>
                          <m:e>
                            <m:r>
                              <m:t xml:space="preserve">λ</m:t>
                            </m:r>
                          </m:e>
                          <m:sub>
                            <m:r>
                              <m:t xml:space="preserve">1</m:t>
                            </m:r>
                          </m:sub>
                        </m:sSub>
                      </m:num>
                      <m:den>
                        <m:sSub>
                          <m:e>
                            <m:r>
                              <m:t xml:space="preserve">λ</m:t>
                            </m:r>
                          </m:e>
                          <m:sub>
                            <m:r>
                              <m:t xml:space="preserve">2</m:t>
                            </m:r>
                          </m:sub>
                        </m:sSub>
                      </m:den>
                    </m:f>
                  </m:e>
                </m:d>
              </m:e>
              <m:sup>
                <m:r>
                  <m:t xml:space="preserve">−</m:t>
                </m:r>
                <m:sSub>
                  <m:e>
                    <m:r>
                      <m:t xml:space="preserve">AAE</m:t>
                    </m:r>
                  </m:e>
                  <m:sub>
                    <m:r>
                      <m:t xml:space="preserve">FF</m:t>
                    </m:r>
                  </m:sub>
                </m:sSub>
              </m:sup>
            </m:sSup>
            <m:r>
              <m:t xml:space="preserve">−</m:t>
            </m:r>
            <m:sSup>
              <m:e>
                <m:d>
                  <m:dPr>
                    <m:begChr m:val="("/>
                    <m:endChr m:val=")"/>
                  </m:dPr>
                  <m:e>
                    <m:f>
                      <m:num>
                        <m:sSub>
                          <m:e>
                            <m:r>
                              <m:t xml:space="preserve">λ</m:t>
                            </m:r>
                          </m:e>
                          <m:sub>
                            <m:r>
                              <m:t xml:space="preserve">1</m:t>
                            </m:r>
                          </m:sub>
                        </m:sSub>
                      </m:num>
                      <m:den>
                        <m:sSub>
                          <m:e>
                            <m:r>
                              <m:t xml:space="preserve">λ</m:t>
                            </m:r>
                          </m:e>
                          <m:sub>
                            <m:r>
                              <m:t xml:space="preserve">2</m:t>
                            </m:r>
                          </m:sub>
                        </m:sSub>
                      </m:den>
                    </m:f>
                  </m:e>
                </m:d>
              </m:e>
              <m:sup>
                <m:r>
                  <m:t xml:space="preserve">−</m:t>
                </m:r>
                <m:sSub>
                  <m:e>
                    <m:r>
                      <m:t xml:space="preserve">AAE</m:t>
                    </m:r>
                  </m:e>
                  <m:sub>
                    <m:r>
                      <m:t xml:space="preserve">BB</m:t>
                    </m:r>
                  </m:sub>
                </m:sSub>
              </m:sup>
            </m:sSup>
          </m:den>
        </m:f>
      </m:oMath>
      <w:r>
        <w:rPr>
          <w:rFonts w:eastAsia="Calibri" w:cs="Segoe UI" w:ascii="Cambria" w:hAnsi="Cambria"/>
          <w:b w:val="false"/>
          <w:bCs w:val="false"/>
          <w:color w:val="000000"/>
          <w:kern w:val="2"/>
          <w:sz w:val="24"/>
          <w:szCs w:val="22"/>
          <w:shd w:fill="auto" w:val="clear"/>
          <w:lang w:val="en-US" w:eastAsia="en-US" w:bidi="hi-IN"/>
        </w:rPr>
        <w:t xml:space="preserve">, </w:t>
        <w:tab/>
        <w:t>(4)</w:t>
      </w:r>
    </w:p>
    <w:p>
      <w:pPr>
        <w:pStyle w:val="BodyText"/>
        <w:widowControl/>
        <w:suppressAutoHyphens w:val="true"/>
        <w:overflowPunct w:val="true"/>
        <w:bidi w:val="0"/>
        <w:spacing w:lineRule="auto" w:line="240" w:before="0" w:after="0"/>
        <w:jc w:val="both"/>
        <w:rPr>
          <w:color w:val="000000"/>
        </w:rPr>
      </w:pPr>
      <w:r>
        <w:rPr>
          <w:rFonts w:eastAsia="Calibri" w:cs="Segoe UI" w:ascii="Cambria" w:hAnsi="Cambria"/>
          <w:b w:val="false"/>
          <w:bCs w:val="false"/>
          <w:color w:val="000000"/>
          <w:kern w:val="2"/>
          <w:sz w:val="24"/>
          <w:szCs w:val="22"/>
          <w:shd w:fill="auto" w:val="clear"/>
          <w:lang w:val="en-US" w:eastAsia="en-US" w:bidi="hi-IN"/>
        </w:rPr>
        <w:t>where AAE</w:t>
      </w:r>
      <w:r>
        <w:rPr>
          <w:rFonts w:eastAsia="Calibri" w:cs="Segoe UI" w:ascii="Cambria" w:hAnsi="Cambria"/>
          <w:b w:val="false"/>
          <w:bCs w:val="false"/>
          <w:color w:val="000000"/>
          <w:kern w:val="2"/>
          <w:sz w:val="24"/>
          <w:szCs w:val="22"/>
          <w:shd w:fill="auto" w:val="clear"/>
          <w:vertAlign w:val="subscript"/>
          <w:lang w:val="en-US" w:eastAsia="en-US" w:bidi="hi-IN"/>
        </w:rPr>
        <w:t>FF</w:t>
      </w:r>
      <w:r>
        <w:rPr>
          <w:rFonts w:eastAsia="Calibri" w:cs="Segoe UI" w:ascii="Cambria" w:hAnsi="Cambria"/>
          <w:b w:val="false"/>
          <w:bCs w:val="false"/>
          <w:color w:val="000000"/>
          <w:kern w:val="2"/>
          <w:sz w:val="24"/>
          <w:szCs w:val="22"/>
          <w:shd w:fill="auto" w:val="clear"/>
          <w:lang w:val="en-US" w:eastAsia="en-US" w:bidi="hi-IN"/>
        </w:rPr>
        <w:t xml:space="preserve"> and AAE</w:t>
      </w:r>
      <w:r>
        <w:rPr>
          <w:rFonts w:eastAsia="Calibri" w:cs="Segoe UI" w:ascii="Cambria" w:hAnsi="Cambria"/>
          <w:b w:val="false"/>
          <w:bCs w:val="false"/>
          <w:color w:val="000000"/>
          <w:kern w:val="2"/>
          <w:sz w:val="24"/>
          <w:szCs w:val="22"/>
          <w:shd w:fill="auto" w:val="clear"/>
          <w:vertAlign w:val="subscript"/>
          <w:lang w:val="en-US" w:eastAsia="en-US" w:bidi="hi-IN"/>
        </w:rPr>
        <w:t>BB</w:t>
      </w:r>
      <w:r>
        <w:rPr>
          <w:rFonts w:eastAsia="Calibri" w:cs="Segoe UI" w:ascii="Cambria" w:hAnsi="Cambria"/>
          <w:b w:val="false"/>
          <w:bCs w:val="false"/>
          <w:color w:val="000000"/>
          <w:kern w:val="2"/>
          <w:sz w:val="24"/>
          <w:szCs w:val="22"/>
          <w:shd w:fill="auto" w:val="clear"/>
          <w:lang w:val="en-US" w:eastAsia="en-US" w:bidi="hi-IN"/>
        </w:rPr>
        <w:t xml:space="preserve"> were chose as 1 and 2, based on Saarikoski et al. (2021) and </w:t>
      </w:r>
      <w:r>
        <w:rPr>
          <w:rFonts w:eastAsia="Times New Roman" w:cs="Arial" w:ascii="Cambria" w:hAnsi="Cambria" w:cstheme="minorHAnsi"/>
          <w:b w:val="false"/>
          <w:bCs w:val="false"/>
          <w:color w:val="000000"/>
          <w:kern w:val="2"/>
          <w:sz w:val="24"/>
          <w:szCs w:val="24"/>
          <w:shd w:fill="auto" w:val="clear"/>
          <w:lang w:val="en-US" w:eastAsia="en-US" w:bidi="hi-IN"/>
        </w:rPr>
        <w:t xml:space="preserve">Minderytė et al. (2023). </w:t>
      </w:r>
      <w:r>
        <w:rPr>
          <w:rFonts w:eastAsia="Times New Roman" w:cs="Arial" w:ascii="Calibri" w:hAnsi="Calibri" w:cstheme="minorAscii"/>
          <w:b w:val="false"/>
          <w:bCs w:val="false"/>
          <w:color w:val="000000"/>
          <w:kern w:val="0"/>
          <w:sz w:val="24"/>
          <w:szCs w:val="24"/>
          <w:lang w:val="en-US" w:eastAsia="en-US" w:bidi="ar-SA"/>
        </w:rPr>
        <w:t>The median AAE values and fossil fuel-related eBC mass fractions (eBC</w:t>
      </w:r>
      <w:r>
        <w:rPr>
          <w:rFonts w:eastAsia="Times New Roman" w:cs="Arial" w:ascii="Calibri" w:hAnsi="Calibri" w:cstheme="minorAscii"/>
          <w:b w:val="false"/>
          <w:bCs w:val="false"/>
          <w:color w:val="000000"/>
          <w:kern w:val="0"/>
          <w:sz w:val="24"/>
          <w:szCs w:val="24"/>
          <w:vertAlign w:val="subscript"/>
          <w:lang w:val="en-US" w:eastAsia="en-US" w:bidi="ar-SA"/>
        </w:rPr>
        <w:t>FF</w:t>
      </w:r>
      <w:r>
        <w:rPr>
          <w:rFonts w:eastAsia="Times New Roman" w:cs="Arial" w:ascii="Calibri" w:hAnsi="Calibri" w:cstheme="minorAscii"/>
          <w:b w:val="false"/>
          <w:bCs w:val="false"/>
          <w:color w:val="000000"/>
          <w:kern w:val="0"/>
          <w:sz w:val="24"/>
          <w:szCs w:val="24"/>
          <w:lang w:val="en-US" w:eastAsia="en-US" w:bidi="ar-SA"/>
        </w:rPr>
        <w:t>) for each city are as follows:</w:t>
      </w:r>
    </w:p>
    <w:p>
      <w:pPr>
        <w:pStyle w:val="Normal"/>
        <w:spacing w:lineRule="auto" w:line="240" w:before="0" w:after="0"/>
        <w:jc w:val="both"/>
        <w:rPr>
          <w:rFonts w:eastAsia="Times New Roman" w:cs="Arial" w:cstheme="minorHAnsi"/>
          <w:b w:val="false"/>
          <w:bCs/>
          <w:color w:val="000000"/>
          <w:sz w:val="24"/>
          <w:szCs w:val="24"/>
          <w:highlight w:val="none"/>
          <w:shd w:fill="FFFF00" w:val="clear"/>
        </w:rPr>
      </w:pPr>
      <w:r>
        <w:rPr>
          <w:rFonts w:eastAsia="Times New Roman" w:cs="Arial" w:cstheme="minorHAnsi"/>
          <w:b w:val="false"/>
          <w:bCs/>
          <w:color w:val="000000"/>
          <w:sz w:val="24"/>
          <w:szCs w:val="24"/>
          <w:shd w:fill="FFFF00" w:val="clear"/>
        </w:rPr>
      </w:r>
    </w:p>
    <w:tbl>
      <w:tblPr>
        <w:tblW w:w="9150" w:type="dxa"/>
        <w:jc w:val="start"/>
        <w:tblInd w:w="-5" w:type="dxa"/>
        <w:tblLayout w:type="fixed"/>
        <w:tblCellMar>
          <w:top w:w="55" w:type="dxa"/>
          <w:start w:w="55" w:type="dxa"/>
          <w:bottom w:w="55" w:type="dxa"/>
          <w:end w:w="55" w:type="dxa"/>
        </w:tblCellMar>
      </w:tblPr>
      <w:tblGrid>
        <w:gridCol w:w="1137"/>
        <w:gridCol w:w="2070"/>
        <w:gridCol w:w="1893"/>
        <w:gridCol w:w="2157"/>
        <w:gridCol w:w="1893"/>
      </w:tblGrid>
      <w:tr>
        <w:trPr/>
        <w:tc>
          <w:tcPr>
            <w:tcW w:w="1137" w:type="dxa"/>
            <w:tcBorders>
              <w:top w:val="single" w:sz="4" w:space="0" w:color="000000"/>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City</w:t>
            </w:r>
          </w:p>
        </w:tc>
        <w:tc>
          <w:tcPr>
            <w:tcW w:w="2070" w:type="dxa"/>
            <w:tcBorders>
              <w:top w:val="single" w:sz="4" w:space="0" w:color="000000"/>
              <w:start w:val="single" w:sz="4" w:space="0" w:color="000000"/>
              <w:bottom w:val="single" w:sz="4" w:space="0" w:color="000000"/>
            </w:tcBorders>
          </w:tcPr>
          <w:p>
            <w:pPr>
              <w:pStyle w:val="Normal"/>
              <w:spacing w:lineRule="auto" w:line="240" w:before="0" w:after="0"/>
              <w:jc w:val="both"/>
              <w:rPr>
                <w:color w:val="000000"/>
              </w:rPr>
            </w:pPr>
            <w:r>
              <w:rPr>
                <w:rFonts w:eastAsia="Times New Roman" w:cs="Arial" w:cstheme="minorHAnsi"/>
                <w:b w:val="false"/>
                <w:bCs/>
                <w:color w:val="000000"/>
                <w:sz w:val="24"/>
                <w:szCs w:val="24"/>
                <w:shd w:fill="auto" w:val="clear"/>
              </w:rPr>
              <w:t xml:space="preserve">AAE </w:t>
            </w:r>
            <w:r>
              <w:rPr>
                <w:rFonts w:eastAsia="Times New Roman" w:cs="Arial" w:cstheme="minorHAnsi"/>
                <w:b w:val="false"/>
                <w:bCs/>
                <w:color w:val="000000"/>
                <w:sz w:val="24"/>
                <w:szCs w:val="24"/>
                <w:shd w:fill="auto" w:val="clear"/>
                <w:lang w:val="lt-LT"/>
              </w:rPr>
              <w:t>(</w:t>
            </w:r>
            <w:r>
              <w:rPr>
                <w:rFonts w:eastAsia="Symbol" w:cs="Symbol" w:ascii="Symbol" w:hAnsi="Symbol"/>
                <w:b w:val="false"/>
                <w:bCs/>
                <w:color w:val="000000"/>
                <w:sz w:val="24"/>
                <w:szCs w:val="24"/>
                <w:shd w:fill="auto" w:val="clear"/>
                <w:lang w:val="lt-LT"/>
              </w:rPr>
              <w:t></w:t>
            </w:r>
            <w:r>
              <w:rPr>
                <w:rFonts w:eastAsia="Times New Roman" w:cs="Arial" w:ascii="Calibri" w:hAnsi="Calibri" w:cstheme="minorHAnsi"/>
                <w:b w:val="false"/>
                <w:bCs/>
                <w:color w:val="000000"/>
                <w:sz w:val="24"/>
                <w:szCs w:val="24"/>
                <w:shd w:fill="auto" w:val="clear"/>
                <w:lang w:val="lt-LT"/>
              </w:rPr>
              <w:t xml:space="preserve"> </w:t>
            </w:r>
            <w:r>
              <w:rPr>
                <w:rFonts w:eastAsia="Times New Roman" w:cs="Arial" w:ascii="Calibri" w:hAnsi="Calibri" w:cstheme="minorHAnsi"/>
                <w:b w:val="false"/>
                <w:bCs/>
                <w:color w:val="000000"/>
                <w:sz w:val="24"/>
                <w:szCs w:val="24"/>
                <w:shd w:fill="auto" w:val="clear"/>
                <w:lang w:val="en-US"/>
              </w:rPr>
              <w:t>= 470 - 880)</w:t>
            </w:r>
            <w:r>
              <w:rPr>
                <w:rFonts w:eastAsia="Times New Roman" w:cs="Arial" w:cstheme="minorHAnsi"/>
                <w:b w:val="false"/>
                <w:bCs/>
                <w:color w:val="000000"/>
                <w:sz w:val="24"/>
                <w:szCs w:val="24"/>
                <w:shd w:fill="auto" w:val="clear"/>
                <w:lang w:val="lt-LT"/>
              </w:rPr>
              <w:t xml:space="preserve">, </w:t>
            </w:r>
            <w:r>
              <w:rPr>
                <w:rFonts w:eastAsia="Times New Roman" w:cs="Arial" w:cstheme="minorHAnsi"/>
                <w:b w:val="false"/>
                <w:bCs/>
                <w:color w:val="000000"/>
                <w:sz w:val="24"/>
                <w:szCs w:val="24"/>
                <w:shd w:fill="auto" w:val="clear"/>
                <w:lang w:val="en-US"/>
              </w:rPr>
              <w:t>background aerosol</w:t>
            </w:r>
          </w:p>
        </w:tc>
        <w:tc>
          <w:tcPr>
            <w:tcW w:w="1893" w:type="dxa"/>
            <w:tcBorders>
              <w:top w:val="single" w:sz="4" w:space="0" w:color="000000"/>
              <w:start w:val="single" w:sz="4" w:space="0" w:color="000000"/>
              <w:bottom w:val="single" w:sz="4" w:space="0" w:color="000000"/>
            </w:tcBorders>
          </w:tcPr>
          <w:p>
            <w:pPr>
              <w:pStyle w:val="TableContents"/>
              <w:spacing w:lineRule="auto" w:line="240" w:before="0" w:after="0"/>
              <w:rPr>
                <w:color w:val="000000"/>
              </w:rPr>
            </w:pPr>
            <w:r>
              <w:rPr>
                <w:color w:val="000000"/>
                <w:shd w:fill="auto" w:val="clear"/>
                <w:lang w:val="en-US"/>
              </w:rPr>
              <w:t>eBC</w:t>
            </w:r>
            <w:r>
              <w:rPr>
                <w:color w:val="000000"/>
                <w:shd w:fill="auto" w:val="clear"/>
                <w:vertAlign w:val="subscript"/>
                <w:lang w:val="en-US"/>
              </w:rPr>
              <w:t>FF</w:t>
            </w:r>
            <w:r>
              <w:rPr>
                <w:color w:val="000000"/>
                <w:shd w:fill="auto" w:val="clear"/>
                <w:lang w:val="en-US"/>
              </w:rPr>
              <w:t xml:space="preserve"> (</w:t>
            </w:r>
            <w:r>
              <w:rPr>
                <w:color w:val="000000"/>
                <w:shd w:fill="auto" w:val="clear"/>
                <w:lang w:val="lt-LT"/>
              </w:rPr>
              <w:t>%</w:t>
            </w:r>
            <w:r>
              <w:rPr>
                <w:color w:val="000000"/>
                <w:shd w:fill="auto" w:val="clear"/>
                <w:lang w:val="en-US"/>
              </w:rPr>
              <w:t>)</w:t>
            </w:r>
            <w:r>
              <w:rPr>
                <w:color w:val="000000"/>
                <w:shd w:fill="auto" w:val="clear"/>
                <w:lang w:val="lt-LT"/>
              </w:rPr>
              <w:t xml:space="preserve">, </w:t>
            </w:r>
            <w:r>
              <w:rPr>
                <w:color w:val="000000"/>
                <w:shd w:fill="auto" w:val="clear"/>
                <w:lang w:val="en-US"/>
              </w:rPr>
              <w:t>background aerosol</w:t>
            </w:r>
          </w:p>
        </w:tc>
        <w:tc>
          <w:tcPr>
            <w:tcW w:w="2157" w:type="dxa"/>
            <w:tcBorders>
              <w:top w:val="single" w:sz="4" w:space="0" w:color="000000"/>
              <w:start w:val="single" w:sz="4" w:space="0" w:color="000000"/>
              <w:bottom w:val="single" w:sz="4" w:space="0" w:color="000000"/>
            </w:tcBorders>
          </w:tcPr>
          <w:p>
            <w:pPr>
              <w:pStyle w:val="Normal"/>
              <w:spacing w:lineRule="auto" w:line="240" w:before="0" w:after="0"/>
              <w:jc w:val="both"/>
              <w:rPr>
                <w:color w:val="000000"/>
              </w:rPr>
            </w:pPr>
            <w:r>
              <w:rPr>
                <w:rFonts w:eastAsia="Times New Roman" w:cs="Arial" w:cstheme="minorHAnsi"/>
                <w:b w:val="false"/>
                <w:bCs/>
                <w:color w:val="000000"/>
                <w:sz w:val="24"/>
                <w:szCs w:val="24"/>
                <w:shd w:fill="auto" w:val="clear"/>
                <w:lang w:val="lt-LT"/>
              </w:rPr>
              <w:t>AAE (</w:t>
            </w:r>
            <w:r>
              <w:rPr>
                <w:rFonts w:eastAsia="Symbol" w:cs="Symbol" w:ascii="Symbol" w:hAnsi="Symbol"/>
                <w:b w:val="false"/>
                <w:bCs/>
                <w:color w:val="000000"/>
                <w:sz w:val="24"/>
                <w:szCs w:val="24"/>
                <w:shd w:fill="auto" w:val="clear"/>
                <w:lang w:val="lt-LT"/>
              </w:rPr>
              <w:t></w:t>
            </w:r>
            <w:r>
              <w:rPr>
                <w:rFonts w:eastAsia="Times New Roman" w:cs="Arial" w:ascii="Calibri" w:hAnsi="Calibri" w:cstheme="minorHAnsi"/>
                <w:b w:val="false"/>
                <w:bCs/>
                <w:color w:val="000000"/>
                <w:sz w:val="24"/>
                <w:szCs w:val="24"/>
                <w:shd w:fill="auto" w:val="clear"/>
                <w:lang w:val="lt-LT"/>
              </w:rPr>
              <w:t xml:space="preserve"> </w:t>
            </w:r>
            <w:r>
              <w:rPr>
                <w:rFonts w:eastAsia="Times New Roman" w:cs="Arial" w:ascii="Calibri" w:hAnsi="Calibri" w:cstheme="minorHAnsi"/>
                <w:b w:val="false"/>
                <w:bCs/>
                <w:color w:val="000000"/>
                <w:sz w:val="24"/>
                <w:szCs w:val="24"/>
                <w:shd w:fill="auto" w:val="clear"/>
                <w:lang w:val="en-US"/>
              </w:rPr>
              <w:t>= 470 - 880)</w:t>
            </w:r>
            <w:r>
              <w:rPr>
                <w:rFonts w:eastAsia="Times New Roman" w:cs="Arial" w:cstheme="minorHAnsi"/>
                <w:b w:val="false"/>
                <w:bCs/>
                <w:color w:val="000000"/>
                <w:sz w:val="24"/>
                <w:szCs w:val="24"/>
                <w:shd w:fill="auto" w:val="clear"/>
                <w:lang w:val="lt-LT"/>
              </w:rPr>
              <w:t xml:space="preserve">, </w:t>
            </w:r>
            <w:r>
              <w:rPr>
                <w:rFonts w:eastAsia="Times New Roman" w:cs="Arial" w:cstheme="minorHAnsi"/>
                <w:b w:val="false"/>
                <w:bCs/>
                <w:color w:val="000000"/>
                <w:sz w:val="24"/>
                <w:szCs w:val="24"/>
                <w:shd w:fill="auto" w:val="clear"/>
                <w:lang w:val="en-US"/>
              </w:rPr>
              <w:t>tailpipe emission</w:t>
            </w:r>
          </w:p>
        </w:tc>
        <w:tc>
          <w:tcPr>
            <w:tcW w:w="1893" w:type="dxa"/>
            <w:tcBorders>
              <w:top w:val="single" w:sz="4" w:space="0" w:color="000000"/>
              <w:start w:val="single" w:sz="4" w:space="0" w:color="000000"/>
              <w:bottom w:val="single" w:sz="4" w:space="0" w:color="000000"/>
              <w:end w:val="single" w:sz="4" w:space="0" w:color="000000"/>
            </w:tcBorders>
          </w:tcPr>
          <w:p>
            <w:pPr>
              <w:pStyle w:val="TableContents"/>
              <w:spacing w:lineRule="auto" w:line="240" w:before="0" w:after="0"/>
              <w:rPr>
                <w:color w:val="000000"/>
              </w:rPr>
            </w:pPr>
            <w:r>
              <w:rPr>
                <w:color w:val="000000"/>
                <w:shd w:fill="auto" w:val="clear"/>
                <w:lang w:val="en-US"/>
              </w:rPr>
              <w:t>eBC</w:t>
            </w:r>
            <w:r>
              <w:rPr>
                <w:color w:val="000000"/>
                <w:shd w:fill="auto" w:val="clear"/>
                <w:vertAlign w:val="subscript"/>
                <w:lang w:val="en-US"/>
              </w:rPr>
              <w:t>FF</w:t>
            </w:r>
            <w:r>
              <w:rPr>
                <w:color w:val="000000"/>
                <w:shd w:fill="auto" w:val="clear"/>
                <w:lang w:val="en-US"/>
              </w:rPr>
              <w:t xml:space="preserve"> (</w:t>
            </w:r>
            <w:r>
              <w:rPr>
                <w:color w:val="000000"/>
                <w:shd w:fill="auto" w:val="clear"/>
                <w:lang w:val="lt-LT"/>
              </w:rPr>
              <w:t>%</w:t>
            </w:r>
            <w:r>
              <w:rPr>
                <w:color w:val="000000"/>
                <w:shd w:fill="auto" w:val="clear"/>
                <w:lang w:val="en-US"/>
              </w:rPr>
              <w:t>)</w:t>
            </w:r>
            <w:r>
              <w:rPr>
                <w:color w:val="000000"/>
                <w:shd w:fill="auto" w:val="clear"/>
                <w:lang w:val="lt-LT"/>
              </w:rPr>
              <w:t xml:space="preserve">, </w:t>
            </w:r>
            <w:r>
              <w:rPr>
                <w:color w:val="000000"/>
                <w:shd w:fill="auto" w:val="clear"/>
                <w:lang w:val="en-US"/>
              </w:rPr>
              <w:t>tailpipe emission</w:t>
            </w:r>
          </w:p>
        </w:tc>
      </w:tr>
      <w:tr>
        <w:trPr/>
        <w:tc>
          <w:tcPr>
            <w:tcW w:w="113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Panev</w:t>
            </w:r>
            <w:r>
              <w:rPr>
                <w:color w:val="000000"/>
                <w:shd w:fill="auto" w:val="clear"/>
                <w:lang w:val="lt-LT"/>
              </w:rPr>
              <w:t>ėžys</w:t>
            </w:r>
          </w:p>
        </w:tc>
        <w:tc>
          <w:tcPr>
            <w:tcW w:w="2070"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1.5</w:t>
            </w:r>
          </w:p>
        </w:tc>
        <w:tc>
          <w:tcPr>
            <w:tcW w:w="1893"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65</w:t>
            </w:r>
          </w:p>
        </w:tc>
        <w:tc>
          <w:tcPr>
            <w:tcW w:w="215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0.9</w:t>
            </w:r>
          </w:p>
        </w:tc>
        <w:tc>
          <w:tcPr>
            <w:tcW w:w="1893" w:type="dxa"/>
            <w:tcBorders>
              <w:start w:val="single" w:sz="4" w:space="0" w:color="000000"/>
              <w:bottom w:val="single" w:sz="4" w:space="0" w:color="000000"/>
              <w:end w:val="single" w:sz="4" w:space="0" w:color="000000"/>
            </w:tcBorders>
          </w:tcPr>
          <w:p>
            <w:pPr>
              <w:pStyle w:val="TableContents"/>
              <w:spacing w:lineRule="auto" w:line="240" w:before="0" w:after="0"/>
              <w:rPr>
                <w:color w:val="000000"/>
              </w:rPr>
            </w:pPr>
            <w:r>
              <w:rPr>
                <w:color w:val="000000"/>
                <w:shd w:fill="auto" w:val="clear"/>
              </w:rPr>
              <w:t>78</w:t>
            </w:r>
          </w:p>
        </w:tc>
      </w:tr>
      <w:tr>
        <w:trPr/>
        <w:tc>
          <w:tcPr>
            <w:tcW w:w="113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lang w:val="lt-LT"/>
              </w:rPr>
              <w:t>Alytus</w:t>
            </w:r>
          </w:p>
        </w:tc>
        <w:tc>
          <w:tcPr>
            <w:tcW w:w="2070"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1.6</w:t>
            </w:r>
          </w:p>
        </w:tc>
        <w:tc>
          <w:tcPr>
            <w:tcW w:w="1893"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65</w:t>
            </w:r>
          </w:p>
        </w:tc>
        <w:tc>
          <w:tcPr>
            <w:tcW w:w="215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0.8</w:t>
            </w:r>
          </w:p>
        </w:tc>
        <w:tc>
          <w:tcPr>
            <w:tcW w:w="1893" w:type="dxa"/>
            <w:tcBorders>
              <w:start w:val="single" w:sz="4" w:space="0" w:color="000000"/>
              <w:bottom w:val="single" w:sz="4" w:space="0" w:color="000000"/>
              <w:end w:val="single" w:sz="4" w:space="0" w:color="000000"/>
            </w:tcBorders>
          </w:tcPr>
          <w:p>
            <w:pPr>
              <w:pStyle w:val="TableContents"/>
              <w:spacing w:lineRule="auto" w:line="240" w:before="0" w:after="0"/>
              <w:rPr>
                <w:color w:val="000000"/>
              </w:rPr>
            </w:pPr>
            <w:r>
              <w:rPr>
                <w:color w:val="000000"/>
                <w:shd w:fill="auto" w:val="clear"/>
              </w:rPr>
              <w:t>76</w:t>
            </w:r>
          </w:p>
        </w:tc>
      </w:tr>
      <w:tr>
        <w:trPr/>
        <w:tc>
          <w:tcPr>
            <w:tcW w:w="113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lang w:val="lt-LT"/>
              </w:rPr>
              <w:t>Šiauliai</w:t>
            </w:r>
          </w:p>
        </w:tc>
        <w:tc>
          <w:tcPr>
            <w:tcW w:w="2070"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1.6</w:t>
            </w:r>
          </w:p>
        </w:tc>
        <w:tc>
          <w:tcPr>
            <w:tcW w:w="1893"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64</w:t>
            </w:r>
          </w:p>
        </w:tc>
        <w:tc>
          <w:tcPr>
            <w:tcW w:w="215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0.8</w:t>
            </w:r>
          </w:p>
        </w:tc>
        <w:tc>
          <w:tcPr>
            <w:tcW w:w="1893" w:type="dxa"/>
            <w:tcBorders>
              <w:start w:val="single" w:sz="4" w:space="0" w:color="000000"/>
              <w:bottom w:val="single" w:sz="4" w:space="0" w:color="000000"/>
              <w:end w:val="single" w:sz="4" w:space="0" w:color="000000"/>
            </w:tcBorders>
          </w:tcPr>
          <w:p>
            <w:pPr>
              <w:pStyle w:val="TableContents"/>
              <w:spacing w:lineRule="auto" w:line="240" w:before="0" w:after="0"/>
              <w:rPr>
                <w:color w:val="000000"/>
              </w:rPr>
            </w:pPr>
            <w:r>
              <w:rPr>
                <w:color w:val="000000"/>
                <w:shd w:fill="auto" w:val="clear"/>
              </w:rPr>
              <w:t>79</w:t>
            </w:r>
          </w:p>
        </w:tc>
      </w:tr>
      <w:tr>
        <w:trPr/>
        <w:tc>
          <w:tcPr>
            <w:tcW w:w="113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lang w:val="lt-LT"/>
              </w:rPr>
              <w:t>Klaipėda</w:t>
            </w:r>
          </w:p>
        </w:tc>
        <w:tc>
          <w:tcPr>
            <w:tcW w:w="2070"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1.5</w:t>
            </w:r>
          </w:p>
        </w:tc>
        <w:tc>
          <w:tcPr>
            <w:tcW w:w="1893"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66</w:t>
            </w:r>
          </w:p>
        </w:tc>
        <w:tc>
          <w:tcPr>
            <w:tcW w:w="215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0.8</w:t>
            </w:r>
          </w:p>
        </w:tc>
        <w:tc>
          <w:tcPr>
            <w:tcW w:w="1893" w:type="dxa"/>
            <w:tcBorders>
              <w:start w:val="single" w:sz="4" w:space="0" w:color="000000"/>
              <w:bottom w:val="single" w:sz="4" w:space="0" w:color="000000"/>
              <w:end w:val="single" w:sz="4" w:space="0" w:color="000000"/>
            </w:tcBorders>
          </w:tcPr>
          <w:p>
            <w:pPr>
              <w:pStyle w:val="TableContents"/>
              <w:spacing w:lineRule="auto" w:line="240" w:before="0" w:after="0"/>
              <w:rPr>
                <w:color w:val="000000"/>
              </w:rPr>
            </w:pPr>
            <w:r>
              <w:rPr>
                <w:color w:val="000000"/>
                <w:shd w:fill="auto" w:val="clear"/>
              </w:rPr>
              <w:t>78</w:t>
            </w:r>
          </w:p>
        </w:tc>
      </w:tr>
      <w:tr>
        <w:trPr/>
        <w:tc>
          <w:tcPr>
            <w:tcW w:w="113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lang w:val="lt-LT"/>
              </w:rPr>
              <w:t>Kaunas</w:t>
            </w:r>
          </w:p>
        </w:tc>
        <w:tc>
          <w:tcPr>
            <w:tcW w:w="2070"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1.4</w:t>
            </w:r>
          </w:p>
        </w:tc>
        <w:tc>
          <w:tcPr>
            <w:tcW w:w="1893"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70</w:t>
            </w:r>
          </w:p>
        </w:tc>
        <w:tc>
          <w:tcPr>
            <w:tcW w:w="215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0.8</w:t>
            </w:r>
          </w:p>
        </w:tc>
        <w:tc>
          <w:tcPr>
            <w:tcW w:w="1893" w:type="dxa"/>
            <w:tcBorders>
              <w:start w:val="single" w:sz="4" w:space="0" w:color="000000"/>
              <w:bottom w:val="single" w:sz="4" w:space="0" w:color="000000"/>
              <w:end w:val="single" w:sz="4" w:space="0" w:color="000000"/>
            </w:tcBorders>
          </w:tcPr>
          <w:p>
            <w:pPr>
              <w:pStyle w:val="TableContents"/>
              <w:spacing w:lineRule="auto" w:line="240" w:before="0" w:after="0"/>
              <w:rPr>
                <w:color w:val="000000"/>
              </w:rPr>
            </w:pPr>
            <w:r>
              <w:rPr>
                <w:color w:val="000000"/>
                <w:shd w:fill="auto" w:val="clear"/>
              </w:rPr>
              <w:t>77</w:t>
            </w:r>
          </w:p>
        </w:tc>
      </w:tr>
      <w:tr>
        <w:trPr/>
        <w:tc>
          <w:tcPr>
            <w:tcW w:w="113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lang w:val="lt-LT"/>
              </w:rPr>
              <w:t>Vilnius</w:t>
            </w:r>
          </w:p>
        </w:tc>
        <w:tc>
          <w:tcPr>
            <w:tcW w:w="2070"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1.2</w:t>
            </w:r>
          </w:p>
        </w:tc>
        <w:tc>
          <w:tcPr>
            <w:tcW w:w="1893"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79</w:t>
            </w:r>
          </w:p>
        </w:tc>
        <w:tc>
          <w:tcPr>
            <w:tcW w:w="2157" w:type="dxa"/>
            <w:tcBorders>
              <w:start w:val="single" w:sz="4" w:space="0" w:color="000000"/>
              <w:bottom w:val="single" w:sz="4" w:space="0" w:color="000000"/>
            </w:tcBorders>
          </w:tcPr>
          <w:p>
            <w:pPr>
              <w:pStyle w:val="TableContents"/>
              <w:spacing w:lineRule="auto" w:line="240" w:before="0" w:after="0"/>
              <w:rPr>
                <w:color w:val="000000"/>
              </w:rPr>
            </w:pPr>
            <w:r>
              <w:rPr>
                <w:color w:val="000000"/>
                <w:shd w:fill="auto" w:val="clear"/>
              </w:rPr>
              <w:t>0.7</w:t>
            </w:r>
          </w:p>
        </w:tc>
        <w:tc>
          <w:tcPr>
            <w:tcW w:w="1893" w:type="dxa"/>
            <w:tcBorders>
              <w:start w:val="single" w:sz="4" w:space="0" w:color="000000"/>
              <w:bottom w:val="single" w:sz="4" w:space="0" w:color="000000"/>
              <w:end w:val="single" w:sz="4" w:space="0" w:color="000000"/>
            </w:tcBorders>
          </w:tcPr>
          <w:p>
            <w:pPr>
              <w:pStyle w:val="TableContents"/>
              <w:spacing w:lineRule="auto" w:line="240" w:before="0" w:after="0"/>
              <w:rPr>
                <w:color w:val="000000"/>
              </w:rPr>
            </w:pPr>
            <w:r>
              <w:rPr>
                <w:color w:val="000000"/>
                <w:shd w:fill="auto" w:val="clear"/>
              </w:rPr>
              <w:t>79</w:t>
            </w:r>
          </w:p>
        </w:tc>
      </w:tr>
    </w:tbl>
    <w:p>
      <w:pPr>
        <w:pStyle w:val="Normal"/>
        <w:spacing w:lineRule="auto" w:line="240" w:before="0" w:after="0"/>
        <w:jc w:val="both"/>
        <w:rPr>
          <w:rFonts w:eastAsia="Times New Roman" w:cs="Arial" w:cstheme="minorHAnsi"/>
          <w:b w:val="false"/>
          <w:bCs/>
          <w:color w:val="000000"/>
          <w:sz w:val="24"/>
          <w:szCs w:val="24"/>
          <w:highlight w:val="none"/>
          <w:shd w:fill="FFFF00" w:val="clear"/>
        </w:rPr>
      </w:pPr>
      <w:r>
        <w:rPr>
          <w:rFonts w:eastAsia="Times New Roman" w:cs="Arial" w:cstheme="minorHAnsi"/>
          <w:b w:val="false"/>
          <w:bCs/>
          <w:color w:val="000000"/>
          <w:sz w:val="24"/>
          <w:szCs w:val="24"/>
          <w:shd w:fill="FFFF00" w:val="clear"/>
        </w:rPr>
      </w:r>
    </w:p>
    <w:p>
      <w:pPr>
        <w:pStyle w:val="BodyText"/>
        <w:widowControl/>
        <w:suppressAutoHyphens w:val="true"/>
        <w:bidi w:val="0"/>
        <w:spacing w:lineRule="auto" w:line="240" w:before="0" w:after="0"/>
        <w:jc w:val="both"/>
        <w:rPr>
          <w:color w:val="000000"/>
        </w:rPr>
      </w:pPr>
      <w:r>
        <w:rPr>
          <w:rFonts w:eastAsia="Times New Roman" w:cs="Arial" w:ascii="Calibri" w:hAnsi="Calibri" w:cstheme="minorAscii"/>
          <w:b w:val="false"/>
          <w:bCs w:val="false"/>
          <w:color w:val="000000"/>
          <w:kern w:val="0"/>
          <w:sz w:val="24"/>
          <w:szCs w:val="24"/>
          <w:lang w:bidi="ar-SA"/>
        </w:rPr>
        <w:t>In Lithuania, the AAE values for background aerosol range from 1.2 to 1.6, while vehicle-following (tailpipe) samples showed values between 0.7 and 0.9. These values are consistent with literature reports and suggest a mix of fresh and aged combustion particles. AAE values below 1 can arise from several factors. As noted by Schuster et al. (2006), AAE values less than one indicate the presence of large particles such as dust or sea salt. Similarly, Yu et al. (2016) observed that AAE values below unity may be attributed to coarse-mode particles, including resuspended dust or sea salt. Moreover, aging and coating of soot particles can reduce AAE. Gyawali et al. (2012) reported that coated black carbon particles can result in AAEs ranging from 0.7 to 1.0, underscoring the role of atmospheric processing in altering spectral absorption properties. In this context, the observed AAE values below 1 in urban environments can be interpreted as a combination of aged/coated fossil-fuel-derived BC and contributions from non-exhaust sources such as resuspended dust. Background AAE values of 1.2–1.6, together with eBC</w:t>
      </w:r>
      <w:r>
        <w:rPr>
          <w:rFonts w:eastAsia="Times New Roman" w:cs="Arial" w:ascii="Calibri" w:hAnsi="Calibri" w:cstheme="minorAscii"/>
          <w:b w:val="false"/>
          <w:bCs w:val="false"/>
          <w:color w:val="000000"/>
          <w:kern w:val="0"/>
          <w:sz w:val="24"/>
          <w:szCs w:val="24"/>
          <w:vertAlign w:val="subscript"/>
          <w:lang w:bidi="ar-SA"/>
        </w:rPr>
        <w:t>FF</w:t>
      </w:r>
      <w:r>
        <w:rPr>
          <w:rFonts w:eastAsia="Times New Roman" w:cs="Arial" w:ascii="Calibri" w:hAnsi="Calibri" w:cstheme="minorAscii"/>
          <w:b w:val="false"/>
          <w:bCs w:val="false"/>
          <w:color w:val="000000"/>
          <w:kern w:val="0"/>
          <w:sz w:val="24"/>
          <w:szCs w:val="24"/>
          <w:lang w:bidi="ar-SA"/>
        </w:rPr>
        <w:t xml:space="preserve"> mass fractions of 64–79%, indicate a dominant contribution from fossil-fuel combustion, with some influence from particle aging and urban aerosol mixing. </w:t>
      </w:r>
      <w:r>
        <w:br w:type="page"/>
      </w:r>
    </w:p>
    <w:p>
      <w:pPr>
        <w:pStyle w:val="TOC1"/>
        <w:bidi w:val="0"/>
        <w:spacing w:before="0" w:after="0"/>
        <w:jc w:val="start"/>
        <w:rPr/>
      </w:pPr>
      <w:r>
        <w:rPr>
          <w:rStyle w:val="Hyperlink"/>
          <w:rFonts w:eastAsia="Calibri" w:cs="Arial" w:ascii="Cambria" w:hAnsi="Cambria"/>
          <w:b/>
          <w:bCs/>
          <w:color w:val="000000"/>
          <w:kern w:val="0"/>
          <w:sz w:val="24"/>
          <w:szCs w:val="24"/>
          <w:u w:val="none"/>
          <w:shd w:fill="auto" w:val="clear"/>
          <w:lang w:val="en-US" w:eastAsia="en-US" w:bidi="ar-SA"/>
        </w:rPr>
        <w:t>Supplementary Information Figures</w:t>
      </w:r>
    </w:p>
    <w:p>
      <w:pPr>
        <w:pStyle w:val="Normal"/>
        <w:bidi w:val="0"/>
        <w:jc w:val="start"/>
        <w:rPr>
          <w:rStyle w:val="Hyperlink"/>
          <w:rFonts w:ascii="Cambria" w:hAnsi="Cambria" w:eastAsia="Calibri" w:cs="Arial"/>
          <w:b/>
          <w:bCs/>
          <w:color w:val="000000"/>
          <w:kern w:val="0"/>
          <w:sz w:val="24"/>
          <w:szCs w:val="24"/>
          <w:u w:val="none"/>
          <w:shd w:fill="auto" w:val="clear"/>
          <w:lang w:val="en-US" w:eastAsia="en-US" w:bidi="ar-SA"/>
        </w:rPr>
      </w:pPr>
      <w:r>
        <w:rPr>
          <w:rFonts w:eastAsia="Calibri" w:cs="Arial" w:ascii="Cambria" w:hAnsi="Cambria"/>
          <w:b/>
          <w:bCs/>
          <w:color w:val="000000"/>
          <w:kern w:val="0"/>
          <w:sz w:val="24"/>
          <w:szCs w:val="24"/>
          <w:u w:val="none"/>
          <w:shd w:fill="auto" w:val="clear"/>
          <w:lang w:val="en-US" w:eastAsia="en-US" w:bidi="ar-SA"/>
        </w:rPr>
      </w:r>
    </w:p>
    <w:p>
      <w:pPr>
        <w:pStyle w:val="Normal"/>
        <w:bidi w:val="0"/>
        <w:jc w:val="both"/>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732145" cy="2932430"/>
            <wp:effectExtent l="0" t="0" r="0" b="0"/>
            <wp:wrapTopAndBottom/>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5732145" cy="2932430"/>
                    </a:xfrm>
                    <a:prstGeom prst="rect">
                      <a:avLst/>
                    </a:prstGeom>
                    <a:noFill/>
                  </pic:spPr>
                </pic:pic>
              </a:graphicData>
            </a:graphic>
          </wp:anchor>
        </w:drawing>
      </w:r>
      <w:r>
        <w:rPr>
          <w:rStyle w:val="Hyperlink"/>
          <w:rFonts w:eastAsia="Calibri" w:cs="Arial" w:ascii="Cambria" w:hAnsi="Cambria"/>
          <w:b w:val="false"/>
          <w:bCs w:val="false"/>
          <w:color w:val="000000"/>
          <w:kern w:val="0"/>
          <w:sz w:val="24"/>
          <w:szCs w:val="24"/>
          <w:u w:val="none"/>
          <w:shd w:fill="auto" w:val="clear"/>
          <w:lang w:val="en-US" w:eastAsia="en-US" w:bidi="ar-SA"/>
        </w:rPr>
        <w:t xml:space="preserve">Fig. S1. </w:t>
      </w:r>
      <w:r>
        <w:rPr>
          <w:rStyle w:val="Hyperlink"/>
          <w:rFonts w:eastAsia="Calibri" w:cs="Segoe UI" w:ascii="Cambria" w:hAnsi="Cambria"/>
          <w:b w:val="false"/>
          <w:bCs w:val="false"/>
          <w:color w:val="000000"/>
          <w:kern w:val="0"/>
          <w:sz w:val="24"/>
          <w:szCs w:val="24"/>
          <w:u w:val="none"/>
          <w:shd w:fill="auto" w:val="clear"/>
          <w:lang w:val="en-US" w:eastAsia="en-US" w:bidi="ar-SA"/>
        </w:rPr>
        <w:t xml:space="preserve">Average vehicular fleet flow per minute across six Lithuanian cities, derived from video footage recorded by the onboard camera during mobile measurement campaigns. Calculations are based on the specific hours of the day when measurements were performed. Error bars indicate one standard deviation. </w:t>
      </w:r>
      <w:r>
        <w:br w:type="page"/>
      </w:r>
    </w:p>
    <w:p>
      <w:pPr>
        <w:pStyle w:val="Normal"/>
        <w:bidi w:val="0"/>
        <w:spacing w:before="0" w:after="0"/>
        <w:jc w:val="center"/>
        <w:rPr>
          <w:rStyle w:val="Hyperlink"/>
          <w:rFonts w:ascii="Cambria" w:hAnsi="Cambria" w:eastAsia="Calibri" w:cs="Arial"/>
          <w:b w:val="false"/>
          <w:bCs w:val="false"/>
          <w:color w:val="000000"/>
          <w:kern w:val="0"/>
          <w:sz w:val="24"/>
          <w:szCs w:val="24"/>
          <w:u w:val="none"/>
          <w:shd w:fill="auto" w:val="clear"/>
          <w:lang w:val="lt-LT" w:eastAsia="en-US" w:bidi="ar-SA"/>
        </w:rPr>
      </w:pPr>
      <w:r>
        <w:rPr>
          <w:rFonts w:eastAsia="Calibri" w:cs="Arial" w:ascii="Cambria" w:hAnsi="Cambria"/>
          <w:b w:val="false"/>
          <w:bCs w:val="false"/>
          <w:color w:val="000000"/>
          <w:kern w:val="0"/>
          <w:sz w:val="24"/>
          <w:szCs w:val="24"/>
          <w:u w:val="none"/>
          <w:shd w:fill="auto" w:val="clear"/>
          <w:lang w:val="lt-LT" w:eastAsia="en-US" w:bidi="ar-SA"/>
        </w:rPr>
      </w:r>
    </w:p>
    <w:p>
      <w:pPr>
        <w:pStyle w:val="Normal"/>
        <w:bidi w:val="0"/>
        <w:jc w:val="both"/>
        <w:rPr/>
      </w:pPr>
      <w: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591810" cy="2860675"/>
            <wp:effectExtent l="0" t="0" r="0" b="0"/>
            <wp:wrapTopAndBottom/>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tretch>
                      <a:fillRect/>
                    </a:stretch>
                  </pic:blipFill>
                  <pic:spPr bwMode="auto">
                    <a:xfrm>
                      <a:off x="0" y="0"/>
                      <a:ext cx="5591810" cy="2860675"/>
                    </a:xfrm>
                    <a:prstGeom prst="rect">
                      <a:avLst/>
                    </a:prstGeom>
                    <a:noFill/>
                  </pic:spPr>
                </pic:pic>
              </a:graphicData>
            </a:graphic>
          </wp:anchor>
        </w:drawing>
      </w:r>
      <w:r>
        <w:rPr>
          <w:rStyle w:val="Hyperlink"/>
          <w:rFonts w:eastAsia="Calibri" w:cs="Arial" w:ascii="Cambria" w:hAnsi="Cambria"/>
          <w:b w:val="false"/>
          <w:bCs w:val="false"/>
          <w:color w:val="000000"/>
          <w:kern w:val="0"/>
          <w:sz w:val="24"/>
          <w:szCs w:val="24"/>
          <w:u w:val="none"/>
          <w:shd w:fill="auto" w:val="clear"/>
          <w:lang w:val="en-US" w:eastAsia="en-US" w:bidi="ar-SA"/>
        </w:rPr>
        <w:t xml:space="preserve">Fig. S2. </w:t>
      </w:r>
      <w:r>
        <w:rPr>
          <w:rStyle w:val="Hyperlink"/>
          <w:rFonts w:eastAsia="Calibri" w:cs="Segoe UI" w:ascii="Cambria" w:hAnsi="Cambria"/>
          <w:b w:val="false"/>
          <w:bCs w:val="false"/>
          <w:color w:val="000000"/>
          <w:kern w:val="0"/>
          <w:sz w:val="24"/>
          <w:szCs w:val="24"/>
          <w:u w:val="none"/>
          <w:shd w:fill="auto" w:val="clear"/>
          <w:lang w:val="en-US" w:eastAsia="en-US" w:bidi="ar-SA"/>
        </w:rPr>
        <w:t xml:space="preserve">Average truck fleet flow per minute across six Lithuanian cities, derived from video footage recorded by the onboard camera during mobile measurement campaigns. Calculations are based on the specific hours of the day when measurements were performed. Error bars indicate one standard deviation. </w:t>
      </w:r>
      <w:r>
        <w:br w:type="page"/>
      </w:r>
    </w:p>
    <w:p>
      <w:pPr>
        <w:pStyle w:val="Normal"/>
        <w:bidi w:val="0"/>
        <w:spacing w:before="0" w:after="0"/>
        <w:jc w:val="both"/>
        <w:rPr/>
      </w:pPr>
      <w: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377180" cy="2750820"/>
            <wp:effectExtent l="0" t="0" r="0" b="0"/>
            <wp:wrapTopAndBottom/>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tretch>
                      <a:fillRect/>
                    </a:stretch>
                  </pic:blipFill>
                  <pic:spPr bwMode="auto">
                    <a:xfrm>
                      <a:off x="0" y="0"/>
                      <a:ext cx="5377180" cy="2750820"/>
                    </a:xfrm>
                    <a:prstGeom prst="rect">
                      <a:avLst/>
                    </a:prstGeom>
                    <a:noFill/>
                  </pic:spPr>
                </pic:pic>
              </a:graphicData>
            </a:graphic>
          </wp:anchor>
        </w:drawing>
      </w:r>
      <w:r>
        <w:rPr>
          <w:rStyle w:val="Hyperlink"/>
          <w:rFonts w:eastAsia="Calibri" w:cs="Arial" w:ascii="Cambria" w:hAnsi="Cambria"/>
          <w:b w:val="false"/>
          <w:bCs w:val="false"/>
          <w:color w:val="000000"/>
          <w:kern w:val="0"/>
          <w:sz w:val="24"/>
          <w:szCs w:val="24"/>
          <w:u w:val="none"/>
          <w:shd w:fill="auto" w:val="clear"/>
          <w:lang w:val="en-US" w:eastAsia="en-US" w:bidi="ar-SA"/>
        </w:rPr>
        <w:t xml:space="preserve">Fig. S3. </w:t>
      </w:r>
      <w:r>
        <w:rPr>
          <w:rStyle w:val="Hyperlink"/>
          <w:rFonts w:eastAsia="Calibri" w:cs="Segoe UI" w:ascii="Cambria" w:hAnsi="Cambria"/>
          <w:b w:val="false"/>
          <w:bCs w:val="false"/>
          <w:color w:val="000000"/>
          <w:kern w:val="0"/>
          <w:sz w:val="24"/>
          <w:szCs w:val="24"/>
          <w:u w:val="none"/>
          <w:shd w:fill="auto" w:val="clear"/>
          <w:lang w:val="en-US" w:eastAsia="en-US" w:bidi="ar-SA"/>
        </w:rPr>
        <w:t xml:space="preserve">Average bus fleet flow per minute across six Lithuanian cities, derived from video footage recorded by the onboard camera during mobile measurement campaigns. Calculations are based on the specific hours of the day when measurements were performed. Error bars indicate one standard deviation. </w:t>
      </w:r>
      <w:r>
        <w:br w:type="page"/>
      </w:r>
    </w:p>
    <w:p>
      <w:pPr>
        <w:pStyle w:val="Normal"/>
        <w:bidi w:val="0"/>
        <w:spacing w:before="0" w:after="0"/>
        <w:jc w:val="both"/>
        <w:rPr/>
      </w:pPr>
      <w: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332220" cy="3068320"/>
            <wp:effectExtent l="0" t="0" r="0" b="0"/>
            <wp:wrapSquare wrapText="largest"/>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tretch>
                      <a:fillRect/>
                    </a:stretch>
                  </pic:blipFill>
                  <pic:spPr bwMode="auto">
                    <a:xfrm>
                      <a:off x="0" y="0"/>
                      <a:ext cx="6332220" cy="3068320"/>
                    </a:xfrm>
                    <a:prstGeom prst="rect">
                      <a:avLst/>
                    </a:prstGeom>
                    <a:noFill/>
                  </pic:spPr>
                </pic:pic>
              </a:graphicData>
            </a:graphic>
          </wp:anchor>
        </w:drawing>
      </w:r>
      <w:r>
        <w:rPr>
          <w:rStyle w:val="Hyperlink"/>
          <w:rFonts w:eastAsia="Calibri" w:cs="Segoe UI" w:ascii="Cambria" w:hAnsi="Cambria"/>
          <w:b w:val="false"/>
          <w:bCs w:val="false"/>
          <w:color w:val="000000"/>
          <w:kern w:val="0"/>
          <w:sz w:val="24"/>
          <w:szCs w:val="24"/>
          <w:u w:val="none"/>
          <w:shd w:fill="auto" w:val="clear"/>
          <w:lang w:val="en-US" w:eastAsia="en-US" w:bidi="ar-SA"/>
        </w:rPr>
        <w:t>Fig. S4. Median pollutant plume profiles showing increases in ultrafine particle number concentration derived from the difference between total and background pollutant concentrations across six Lithuanian cities.</w:t>
      </w:r>
      <w:r>
        <w:br w:type="page"/>
      </w:r>
    </w:p>
    <w:p>
      <w:pPr>
        <w:pStyle w:val="Normal"/>
        <w:bidi w:val="0"/>
        <w:spacing w:before="0" w:after="0"/>
        <w:jc w:val="both"/>
        <w:rPr/>
      </w:pPr>
      <w: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6332220" cy="3035935"/>
            <wp:effectExtent l="0" t="0" r="0" b="0"/>
            <wp:wrapSquare wrapText="largest"/>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tretch>
                      <a:fillRect/>
                    </a:stretch>
                  </pic:blipFill>
                  <pic:spPr bwMode="auto">
                    <a:xfrm>
                      <a:off x="0" y="0"/>
                      <a:ext cx="6332220" cy="3035935"/>
                    </a:xfrm>
                    <a:prstGeom prst="rect">
                      <a:avLst/>
                    </a:prstGeom>
                    <a:noFill/>
                  </pic:spPr>
                </pic:pic>
              </a:graphicData>
            </a:graphic>
          </wp:anchor>
        </w:drawing>
      </w:r>
      <w:r>
        <w:rPr>
          <w:rStyle w:val="Hyperlink"/>
          <w:rFonts w:eastAsia="Calibri" w:cs="Segoe UI" w:ascii="Cambria" w:hAnsi="Cambria"/>
          <w:b w:val="false"/>
          <w:bCs w:val="false"/>
          <w:color w:val="000000"/>
          <w:kern w:val="0"/>
          <w:sz w:val="24"/>
          <w:szCs w:val="24"/>
          <w:u w:val="none"/>
          <w:shd w:fill="auto" w:val="clear"/>
          <w:lang w:val="en-US" w:eastAsia="en-US" w:bidi="ar-SA"/>
        </w:rPr>
        <w:t>Fig. S5. Median pollutant plume profiles showing increases in accumulation mode particle number concentration derived from the difference between total and background pollutant concentrations across six Lithuanian cities.</w:t>
      </w:r>
      <w:r>
        <w:br w:type="page"/>
      </w:r>
    </w:p>
    <w:p>
      <w:pPr>
        <w:pStyle w:val="Normal"/>
        <w:bidi w:val="0"/>
        <w:spacing w:before="0" w:after="0"/>
        <w:jc w:val="both"/>
        <w:rPr/>
      </w:pPr>
      <w: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6332220" cy="3042920"/>
            <wp:effectExtent l="0" t="0" r="0" b="0"/>
            <wp:wrapSquare wrapText="largest"/>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tretch>
                      <a:fillRect/>
                    </a:stretch>
                  </pic:blipFill>
                  <pic:spPr bwMode="auto">
                    <a:xfrm>
                      <a:off x="0" y="0"/>
                      <a:ext cx="6332220" cy="3042920"/>
                    </a:xfrm>
                    <a:prstGeom prst="rect">
                      <a:avLst/>
                    </a:prstGeom>
                    <a:noFill/>
                  </pic:spPr>
                </pic:pic>
              </a:graphicData>
            </a:graphic>
          </wp:anchor>
        </w:drawing>
      </w:r>
      <w:r>
        <w:rPr>
          <w:rStyle w:val="Hyperlink"/>
          <w:rFonts w:eastAsia="Calibri" w:cs="Segoe UI" w:ascii="Cambria" w:hAnsi="Cambria"/>
          <w:b w:val="false"/>
          <w:bCs w:val="false"/>
          <w:color w:val="000000"/>
          <w:kern w:val="0"/>
          <w:sz w:val="24"/>
          <w:szCs w:val="24"/>
          <w:u w:val="none"/>
          <w:shd w:fill="auto" w:val="clear"/>
          <w:lang w:val="en-US" w:eastAsia="en-US" w:bidi="ar-SA"/>
        </w:rPr>
        <w:t>Fig. S6. Median pollutant plume profiles showing increases in coarse mode particle number concentration derived from the difference between total and background pollutant concentrations across six Lithuanian cities.</w:t>
      </w:r>
      <w:r>
        <w:br w:type="page"/>
      </w:r>
    </w:p>
    <w:p>
      <w:pPr>
        <w:pStyle w:val="TOC1"/>
        <w:bidi w:val="0"/>
        <w:spacing w:before="0" w:after="0"/>
        <w:jc w:val="start"/>
        <w:rPr/>
      </w:pPr>
      <w:r>
        <w:rPr>
          <w:rStyle w:val="Hyperlink"/>
          <w:rFonts w:eastAsia="Calibri" w:cs="Arial" w:ascii="Cambria" w:hAnsi="Cambria"/>
          <w:b/>
          <w:bCs/>
          <w:color w:val="000000"/>
          <w:kern w:val="0"/>
          <w:sz w:val="24"/>
          <w:szCs w:val="24"/>
          <w:u w:val="none"/>
          <w:lang w:val="en-US" w:eastAsia="en-US" w:bidi="ar-SA"/>
        </w:rPr>
        <w:t>Supplementary Information Tables</w:t>
      </w:r>
    </w:p>
    <w:p>
      <w:pPr>
        <w:pStyle w:val="BodyText"/>
        <w:bidi w:val="0"/>
        <w:spacing w:lineRule="auto" w:line="240" w:before="0" w:after="0"/>
        <w:jc w:val="both"/>
        <w:rPr>
          <w:rFonts w:eastAsia="Calibri" w:cs="Segoe UI"/>
          <w:b w:val="false"/>
          <w:bCs w:val="false"/>
          <w:color w:val="000000"/>
          <w:sz w:val="22"/>
          <w:szCs w:val="22"/>
          <w:shd w:fill="auto" w:val="clear"/>
          <w:lang w:val="en-US" w:eastAsia="en-US"/>
        </w:rPr>
      </w:pPr>
      <w:r>
        <w:rPr>
          <w:rFonts w:eastAsia="Calibri" w:cs="Segoe UI"/>
          <w:b w:val="false"/>
          <w:bCs w:val="false"/>
          <w:color w:val="000000"/>
          <w:sz w:val="22"/>
          <w:szCs w:val="22"/>
          <w:shd w:fill="auto" w:val="clear"/>
          <w:lang w:val="en-US" w:eastAsia="en-US"/>
        </w:rPr>
      </w:r>
    </w:p>
    <w:p>
      <w:pPr>
        <w:pStyle w:val="Normal"/>
        <w:bidi w:val="0"/>
        <w:spacing w:lineRule="auto" w:line="240" w:before="0" w:after="0"/>
        <w:jc w:val="both"/>
        <w:rPr/>
      </w:pPr>
      <w:r>
        <w:rPr>
          <w:rFonts w:cs="Segoe UI" w:ascii="Cambria" w:hAnsi="Cambria"/>
          <w:b w:val="false"/>
          <w:bCs w:val="false"/>
          <w:i w:val="false"/>
          <w:iCs w:val="false"/>
          <w:color w:val="000000"/>
          <w:sz w:val="24"/>
          <w:szCs w:val="24"/>
          <w:shd w:fill="auto" w:val="clear"/>
          <w:lang w:val="lt-LT" w:eastAsia="en-US"/>
        </w:rPr>
        <w:t xml:space="preserve">Table T1. </w:t>
      </w:r>
      <w:r>
        <w:rPr>
          <w:rStyle w:val="Emphasis"/>
          <w:rFonts w:ascii="Cambria" w:hAnsi="Cambria"/>
          <w:i w:val="false"/>
          <w:iCs w:val="false"/>
          <w:color w:val="000000"/>
          <w:sz w:val="24"/>
          <w:szCs w:val="24"/>
          <w:lang w:val="lt-LT"/>
        </w:rPr>
        <w:t>Exponentially modified Gaussian f</w:t>
      </w:r>
      <w:r>
        <w:rPr>
          <w:rStyle w:val="Emphasis"/>
          <w:rFonts w:ascii="Cambria" w:hAnsi="Cambria"/>
          <w:i w:val="false"/>
          <w:iCs w:val="false"/>
          <w:color w:val="000000"/>
          <w:sz w:val="24"/>
          <w:szCs w:val="24"/>
        </w:rPr>
        <w:t xml:space="preserve">it </w:t>
      </w:r>
      <w:r>
        <w:rPr>
          <w:rStyle w:val="Emphasis"/>
          <w:rFonts w:ascii="Cambria" w:hAnsi="Cambria"/>
          <w:i w:val="false"/>
          <w:iCs w:val="false"/>
          <w:color w:val="000000"/>
          <w:sz w:val="24"/>
          <w:szCs w:val="24"/>
          <w:lang w:val="lt-LT"/>
        </w:rPr>
        <w:t>p</w:t>
      </w:r>
      <w:r>
        <w:rPr>
          <w:rStyle w:val="Emphasis"/>
          <w:rFonts w:ascii="Cambria" w:hAnsi="Cambria"/>
          <w:i w:val="false"/>
          <w:iCs w:val="false"/>
          <w:color w:val="000000"/>
          <w:sz w:val="24"/>
          <w:szCs w:val="24"/>
        </w:rPr>
        <w:t>arameters (</w:t>
      </w:r>
      <w:r>
        <w:rPr>
          <w:rStyle w:val="Emphasis"/>
          <w:rFonts w:ascii="Cambria" w:hAnsi="Cambria"/>
          <w:i w:val="false"/>
          <w:iCs w:val="false"/>
          <w:color w:val="000000"/>
          <w:sz w:val="24"/>
          <w:szCs w:val="24"/>
          <w:lang w:val="lt-LT"/>
        </w:rPr>
        <w:t>a</w:t>
      </w:r>
      <w:r>
        <w:rPr>
          <w:rStyle w:val="Emphasis"/>
          <w:rFonts w:ascii="Cambria" w:hAnsi="Cambria"/>
          <w:i w:val="false"/>
          <w:iCs w:val="false"/>
          <w:color w:val="000000"/>
          <w:sz w:val="24"/>
          <w:szCs w:val="24"/>
        </w:rPr>
        <w:t xml:space="preserve">mplitude A, </w:t>
      </w:r>
      <w:r>
        <w:rPr>
          <w:rStyle w:val="Emphasis"/>
          <w:rFonts w:ascii="Cambria" w:hAnsi="Cambria"/>
          <w:i w:val="false"/>
          <w:iCs w:val="false"/>
          <w:color w:val="000000"/>
          <w:sz w:val="24"/>
          <w:szCs w:val="24"/>
          <w:lang w:val="lt-LT"/>
        </w:rPr>
        <w:t>l</w:t>
      </w:r>
      <w:r>
        <w:rPr>
          <w:rStyle w:val="Emphasis"/>
          <w:rFonts w:ascii="Cambria" w:hAnsi="Cambria"/>
          <w:i w:val="false"/>
          <w:iCs w:val="false"/>
          <w:color w:val="000000"/>
          <w:sz w:val="24"/>
          <w:szCs w:val="24"/>
        </w:rPr>
        <w:t xml:space="preserve">ocation μ, Gaussian </w:t>
      </w:r>
      <w:r>
        <w:rPr>
          <w:rStyle w:val="Emphasis"/>
          <w:rFonts w:ascii="Cambria" w:hAnsi="Cambria"/>
          <w:i w:val="false"/>
          <w:iCs w:val="false"/>
          <w:color w:val="000000"/>
          <w:sz w:val="24"/>
          <w:szCs w:val="24"/>
          <w:lang w:val="lt-LT"/>
        </w:rPr>
        <w:t>width</w:t>
      </w:r>
      <w:r>
        <w:rPr>
          <w:rStyle w:val="Emphasis"/>
          <w:rFonts w:ascii="Cambria" w:hAnsi="Cambria"/>
          <w:i w:val="false"/>
          <w:iCs w:val="false"/>
          <w:color w:val="000000"/>
          <w:sz w:val="24"/>
          <w:szCs w:val="24"/>
        </w:rPr>
        <w:t xml:space="preserve"> σ, and </w:t>
      </w:r>
      <w:r>
        <w:rPr>
          <w:rStyle w:val="Emphasis"/>
          <w:rFonts w:ascii="Cambria" w:hAnsi="Cambria"/>
          <w:i w:val="false"/>
          <w:iCs w:val="false"/>
          <w:color w:val="000000"/>
          <w:sz w:val="24"/>
          <w:szCs w:val="24"/>
          <w:lang w:val="lt-LT"/>
        </w:rPr>
        <w:t>e</w:t>
      </w:r>
      <w:r>
        <w:rPr>
          <w:rStyle w:val="Emphasis"/>
          <w:rFonts w:ascii="Cambria" w:hAnsi="Cambria"/>
          <w:i w:val="false"/>
          <w:iCs w:val="false"/>
          <w:color w:val="000000"/>
          <w:sz w:val="24"/>
          <w:szCs w:val="24"/>
        </w:rPr>
        <w:t xml:space="preserve">xponential </w:t>
      </w:r>
      <w:r>
        <w:rPr>
          <w:rStyle w:val="Emphasis"/>
          <w:rFonts w:ascii="Cambria" w:hAnsi="Cambria"/>
          <w:i w:val="false"/>
          <w:iCs w:val="false"/>
          <w:color w:val="000000"/>
          <w:sz w:val="24"/>
          <w:szCs w:val="24"/>
          <w:lang w:val="lt-LT"/>
        </w:rPr>
        <w:t>d</w:t>
      </w:r>
      <w:r>
        <w:rPr>
          <w:rStyle w:val="Emphasis"/>
          <w:rFonts w:ascii="Cambria" w:hAnsi="Cambria"/>
          <w:i w:val="false"/>
          <w:iCs w:val="false"/>
          <w:color w:val="000000"/>
          <w:sz w:val="24"/>
          <w:szCs w:val="24"/>
        </w:rPr>
        <w:t xml:space="preserve">ecay λ) for </w:t>
      </w:r>
      <w:r>
        <w:rPr>
          <w:rStyle w:val="Emphasis"/>
          <w:rFonts w:ascii="Cambria" w:hAnsi="Cambria"/>
          <w:i w:val="false"/>
          <w:iCs w:val="false"/>
          <w:color w:val="000000"/>
          <w:sz w:val="24"/>
          <w:szCs w:val="24"/>
          <w:lang w:val="lt-LT"/>
        </w:rPr>
        <w:t>t</w:t>
      </w:r>
      <w:r>
        <w:rPr>
          <w:rStyle w:val="Emphasis"/>
          <w:rFonts w:ascii="Cambria" w:hAnsi="Cambria"/>
          <w:i w:val="false"/>
          <w:iCs w:val="false"/>
          <w:color w:val="000000"/>
          <w:sz w:val="24"/>
          <w:szCs w:val="24"/>
        </w:rPr>
        <w:t xml:space="preserve">otal (PNC), </w:t>
      </w:r>
      <w:r>
        <w:rPr>
          <w:rStyle w:val="Emphasis"/>
          <w:rFonts w:ascii="Cambria" w:hAnsi="Cambria"/>
          <w:i w:val="false"/>
          <w:iCs w:val="false"/>
          <w:color w:val="000000"/>
          <w:sz w:val="24"/>
          <w:szCs w:val="24"/>
          <w:lang w:val="lt-LT"/>
        </w:rPr>
        <w:t>u</w:t>
      </w:r>
      <w:r>
        <w:rPr>
          <w:rStyle w:val="Emphasis"/>
          <w:rFonts w:ascii="Cambria" w:hAnsi="Cambria"/>
          <w:i w:val="false"/>
          <w:iCs w:val="false"/>
          <w:color w:val="000000"/>
          <w:sz w:val="24"/>
          <w:szCs w:val="24"/>
        </w:rPr>
        <w:t xml:space="preserve">ltrafine (UFP), </w:t>
      </w:r>
      <w:r>
        <w:rPr>
          <w:rStyle w:val="Emphasis"/>
          <w:rFonts w:ascii="Cambria" w:hAnsi="Cambria"/>
          <w:i w:val="false"/>
          <w:iCs w:val="false"/>
          <w:color w:val="000000"/>
          <w:sz w:val="24"/>
          <w:szCs w:val="24"/>
          <w:lang w:val="lt-LT"/>
        </w:rPr>
        <w:t>a</w:t>
      </w:r>
      <w:r>
        <w:rPr>
          <w:rStyle w:val="Emphasis"/>
          <w:rFonts w:ascii="Cambria" w:hAnsi="Cambria"/>
          <w:i w:val="false"/>
          <w:iCs w:val="false"/>
          <w:color w:val="000000"/>
          <w:sz w:val="24"/>
          <w:szCs w:val="24"/>
        </w:rPr>
        <w:t xml:space="preserve">ccumulation </w:t>
      </w:r>
      <w:r>
        <w:rPr>
          <w:rStyle w:val="Emphasis"/>
          <w:rFonts w:ascii="Cambria" w:hAnsi="Cambria"/>
          <w:i w:val="false"/>
          <w:iCs w:val="false"/>
          <w:color w:val="000000"/>
          <w:sz w:val="24"/>
          <w:szCs w:val="24"/>
          <w:lang w:val="lt-LT"/>
        </w:rPr>
        <w:t>(ACCU) and coarse (COARSE) m</w:t>
      </w:r>
      <w:r>
        <w:rPr>
          <w:rStyle w:val="Emphasis"/>
          <w:rFonts w:ascii="Cambria" w:hAnsi="Cambria"/>
          <w:i w:val="false"/>
          <w:iCs w:val="false"/>
          <w:color w:val="000000"/>
          <w:sz w:val="24"/>
          <w:szCs w:val="24"/>
        </w:rPr>
        <w:t xml:space="preserve">ode </w:t>
      </w:r>
      <w:r>
        <w:rPr>
          <w:rStyle w:val="Emphasis"/>
          <w:rFonts w:ascii="Cambria" w:hAnsi="Cambria"/>
          <w:i w:val="false"/>
          <w:iCs w:val="false"/>
          <w:color w:val="000000"/>
          <w:sz w:val="24"/>
          <w:szCs w:val="24"/>
          <w:lang w:val="lt-LT"/>
        </w:rPr>
        <w:t>p</w:t>
      </w:r>
      <w:r>
        <w:rPr>
          <w:rStyle w:val="Emphasis"/>
          <w:rFonts w:ascii="Cambria" w:hAnsi="Cambria"/>
          <w:i w:val="false"/>
          <w:iCs w:val="false"/>
          <w:color w:val="000000"/>
          <w:sz w:val="24"/>
          <w:szCs w:val="24"/>
        </w:rPr>
        <w:t xml:space="preserve">article </w:t>
      </w:r>
      <w:r>
        <w:rPr>
          <w:rStyle w:val="Emphasis"/>
          <w:rFonts w:ascii="Cambria" w:hAnsi="Cambria"/>
          <w:i w:val="false"/>
          <w:iCs w:val="false"/>
          <w:color w:val="000000"/>
          <w:sz w:val="24"/>
          <w:szCs w:val="24"/>
          <w:lang w:val="lt-LT"/>
        </w:rPr>
        <w:t>n</w:t>
      </w:r>
      <w:r>
        <w:rPr>
          <w:rStyle w:val="Emphasis"/>
          <w:rFonts w:ascii="Cambria" w:hAnsi="Cambria"/>
          <w:i w:val="false"/>
          <w:iCs w:val="false"/>
          <w:color w:val="000000"/>
          <w:sz w:val="24"/>
          <w:szCs w:val="24"/>
        </w:rPr>
        <w:t xml:space="preserve">umber </w:t>
      </w:r>
      <w:r>
        <w:rPr>
          <w:rStyle w:val="Emphasis"/>
          <w:rFonts w:ascii="Cambria" w:hAnsi="Cambria"/>
          <w:i w:val="false"/>
          <w:iCs w:val="false"/>
          <w:color w:val="000000"/>
          <w:sz w:val="24"/>
          <w:szCs w:val="24"/>
          <w:lang w:val="lt-LT"/>
        </w:rPr>
        <w:t>c</w:t>
      </w:r>
      <w:r>
        <w:rPr>
          <w:rStyle w:val="Emphasis"/>
          <w:rFonts w:ascii="Cambria" w:hAnsi="Cambria"/>
          <w:i w:val="false"/>
          <w:iCs w:val="false"/>
          <w:color w:val="000000"/>
          <w:sz w:val="24"/>
          <w:szCs w:val="24"/>
        </w:rPr>
        <w:t>oncentration,</w:t>
      </w:r>
      <w:r>
        <w:rPr>
          <w:rStyle w:val="Emphasis"/>
          <w:rFonts w:ascii="Cambria" w:hAnsi="Cambria"/>
          <w:i w:val="false"/>
          <w:iCs w:val="false"/>
          <w:color w:val="000000"/>
          <w:sz w:val="24"/>
          <w:szCs w:val="24"/>
          <w:lang w:val="lt-LT"/>
        </w:rPr>
        <w:t xml:space="preserve"> as well as e</w:t>
      </w:r>
      <w:r>
        <w:rPr>
          <w:rStyle w:val="Emphasis"/>
          <w:rFonts w:ascii="Cambria" w:hAnsi="Cambria"/>
          <w:i w:val="false"/>
          <w:iCs w:val="false"/>
          <w:color w:val="000000"/>
          <w:sz w:val="24"/>
          <w:szCs w:val="24"/>
        </w:rPr>
        <w:t xml:space="preserve">quivalent </w:t>
      </w:r>
      <w:r>
        <w:rPr>
          <w:rStyle w:val="Emphasis"/>
          <w:rFonts w:ascii="Cambria" w:hAnsi="Cambria"/>
          <w:i w:val="false"/>
          <w:iCs w:val="false"/>
          <w:color w:val="000000"/>
          <w:sz w:val="24"/>
          <w:szCs w:val="24"/>
          <w:lang w:val="lt-LT"/>
        </w:rPr>
        <w:t>b</w:t>
      </w:r>
      <w:r>
        <w:rPr>
          <w:rStyle w:val="Emphasis"/>
          <w:rFonts w:ascii="Cambria" w:hAnsi="Cambria"/>
          <w:i w:val="false"/>
          <w:iCs w:val="false"/>
          <w:color w:val="000000"/>
          <w:sz w:val="24"/>
          <w:szCs w:val="24"/>
        </w:rPr>
        <w:t xml:space="preserve">lack </w:t>
      </w:r>
      <w:r>
        <w:rPr>
          <w:rStyle w:val="Emphasis"/>
          <w:rFonts w:ascii="Cambria" w:hAnsi="Cambria"/>
          <w:i w:val="false"/>
          <w:iCs w:val="false"/>
          <w:color w:val="000000"/>
          <w:sz w:val="24"/>
          <w:szCs w:val="24"/>
          <w:lang w:val="lt-LT"/>
        </w:rPr>
        <w:t>c</w:t>
      </w:r>
      <w:r>
        <w:rPr>
          <w:rStyle w:val="Emphasis"/>
          <w:rFonts w:ascii="Cambria" w:hAnsi="Cambria"/>
          <w:i w:val="false"/>
          <w:iCs w:val="false"/>
          <w:color w:val="000000"/>
          <w:sz w:val="24"/>
          <w:szCs w:val="24"/>
        </w:rPr>
        <w:t xml:space="preserve">arbon (eBC) </w:t>
      </w:r>
      <w:r>
        <w:rPr>
          <w:rStyle w:val="Emphasis"/>
          <w:rFonts w:ascii="Cambria" w:hAnsi="Cambria"/>
          <w:i w:val="false"/>
          <w:iCs w:val="false"/>
          <w:color w:val="000000"/>
          <w:sz w:val="24"/>
          <w:szCs w:val="24"/>
          <w:lang w:val="lt-LT"/>
        </w:rPr>
        <w:t>a</w:t>
      </w:r>
      <w:r>
        <w:rPr>
          <w:rStyle w:val="Emphasis"/>
          <w:rFonts w:ascii="Cambria" w:hAnsi="Cambria"/>
          <w:i w:val="false"/>
          <w:iCs w:val="false"/>
          <w:color w:val="000000"/>
          <w:sz w:val="24"/>
          <w:szCs w:val="24"/>
        </w:rPr>
        <w:t xml:space="preserve">cross </w:t>
      </w:r>
      <w:r>
        <w:rPr>
          <w:rStyle w:val="Emphasis"/>
          <w:rFonts w:ascii="Cambria" w:hAnsi="Cambria"/>
          <w:i w:val="false"/>
          <w:iCs w:val="false"/>
          <w:color w:val="000000"/>
          <w:sz w:val="24"/>
          <w:szCs w:val="24"/>
          <w:lang w:val="lt-LT"/>
        </w:rPr>
        <w:t>s</w:t>
      </w:r>
      <w:r>
        <w:rPr>
          <w:rStyle w:val="Emphasis"/>
          <w:rFonts w:ascii="Cambria" w:hAnsi="Cambria"/>
          <w:i w:val="false"/>
          <w:iCs w:val="false"/>
          <w:color w:val="000000"/>
          <w:sz w:val="24"/>
          <w:szCs w:val="24"/>
        </w:rPr>
        <w:t xml:space="preserve">ix Lithuanian </w:t>
      </w:r>
      <w:r>
        <w:rPr>
          <w:rStyle w:val="Emphasis"/>
          <w:rFonts w:ascii="Cambria" w:hAnsi="Cambria"/>
          <w:i w:val="false"/>
          <w:iCs w:val="false"/>
          <w:color w:val="000000"/>
          <w:sz w:val="24"/>
          <w:szCs w:val="24"/>
          <w:lang w:val="lt-LT"/>
        </w:rPr>
        <w:t>c</w:t>
      </w:r>
      <w:r>
        <w:rPr>
          <w:rStyle w:val="Emphasis"/>
          <w:rFonts w:ascii="Cambria" w:hAnsi="Cambria"/>
          <w:i w:val="false"/>
          <w:iCs w:val="false"/>
          <w:color w:val="000000"/>
          <w:sz w:val="24"/>
          <w:szCs w:val="24"/>
        </w:rPr>
        <w:t>ities.</w:t>
      </w:r>
    </w:p>
    <w:tbl>
      <w:tblPr>
        <w:tblW w:w="5000" w:type="pct"/>
        <w:jc w:val="start"/>
        <w:tblInd w:w="0" w:type="dxa"/>
        <w:tblLayout w:type="fixed"/>
        <w:tblCellMar>
          <w:top w:w="0" w:type="dxa"/>
          <w:start w:w="0" w:type="dxa"/>
          <w:bottom w:w="0" w:type="dxa"/>
          <w:end w:w="0" w:type="dxa"/>
        </w:tblCellMar>
      </w:tblPr>
      <w:tblGrid>
        <w:gridCol w:w="2488"/>
        <w:gridCol w:w="928"/>
        <w:gridCol w:w="2814"/>
        <w:gridCol w:w="1247"/>
        <w:gridCol w:w="1246"/>
        <w:gridCol w:w="1248"/>
      </w:tblGrid>
      <w:tr>
        <w:trPr/>
        <w:tc>
          <w:tcPr>
            <w:tcW w:w="2488" w:type="dxa"/>
            <w:tcBorders>
              <w:top w:val="single" w:sz="6" w:space="0" w:color="000000"/>
              <w:bottom w:val="single" w:sz="6" w:space="0" w:color="000000"/>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City</w:t>
            </w:r>
          </w:p>
        </w:tc>
        <w:tc>
          <w:tcPr>
            <w:tcW w:w="928" w:type="dxa"/>
            <w:tcBorders>
              <w:top w:val="single" w:sz="6" w:space="0" w:color="000000"/>
              <w:bottom w:val="single" w:sz="6" w:space="0" w:color="000000"/>
            </w:tcBorders>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Pollutant</w:t>
            </w:r>
          </w:p>
        </w:tc>
        <w:tc>
          <w:tcPr>
            <w:tcW w:w="6555" w:type="dxa"/>
            <w:gridSpan w:val="4"/>
            <w:tcBorders>
              <w:top w:val="single" w:sz="6" w:space="0" w:color="000000"/>
              <w:bottom w:val="single" w:sz="6" w:space="0" w:color="000000"/>
            </w:tcBorders>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Fit parameters</w:t>
            </w:r>
          </w:p>
        </w:tc>
      </w:tr>
      <w:tr>
        <w:trPr/>
        <w:tc>
          <w:tcPr>
            <w:tcW w:w="248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r>
          </w:p>
        </w:tc>
        <w:tc>
          <w:tcPr>
            <w:tcW w:w="2814" w:type="dxa"/>
            <w:tcBorders/>
            <w:vAlign w:val="center"/>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A</w:t>
            </w:r>
          </w:p>
        </w:tc>
        <w:tc>
          <w:tcPr>
            <w:tcW w:w="1247" w:type="dxa"/>
            <w:tcBorders/>
            <w:vAlign w:val="center"/>
          </w:tcPr>
          <w:p>
            <w:pPr>
              <w:pStyle w:val="TableContents"/>
              <w:bidi w:val="0"/>
              <w:jc w:val="center"/>
              <w:rPr>
                <w:rFonts w:ascii="Symbol" w:hAnsi="Symbol" w:eastAsia="Symbol" w:cs="Symbol"/>
                <w:b w:val="false"/>
                <w:bCs w:val="false"/>
                <w:i w:val="false"/>
                <w:i w:val="false"/>
                <w:iCs w:val="false"/>
                <w:strike w:val="false"/>
                <w:dstrike w:val="false"/>
                <w:outline w:val="false"/>
                <w:shadow w:val="false"/>
                <w:color w:val="000000"/>
                <w:sz w:val="20"/>
                <w:szCs w:val="20"/>
                <w:u w:val="none"/>
              </w:rPr>
            </w:pPr>
            <w:r>
              <w:rPr>
                <w:rFonts w:eastAsia="Symbol" w:cs="Symbol" w:ascii="Symbol" w:hAnsi="Symbol"/>
                <w:b w:val="false"/>
                <w:bCs w:val="false"/>
                <w:i w:val="false"/>
                <w:iCs w:val="false"/>
                <w:strike w:val="false"/>
                <w:dstrike w:val="false"/>
                <w:outline w:val="false"/>
                <w:shadow w:val="false"/>
                <w:color w:val="000000"/>
                <w:sz w:val="20"/>
                <w:szCs w:val="20"/>
                <w:u w:val="none"/>
              </w:rPr>
              <w:sym w:font="Symbol" w:char="f06d"/>
            </w:r>
          </w:p>
        </w:tc>
        <w:tc>
          <w:tcPr>
            <w:tcW w:w="1246" w:type="dxa"/>
            <w:tcBorders/>
            <w:vAlign w:val="center"/>
          </w:tcPr>
          <w:p>
            <w:pPr>
              <w:pStyle w:val="TableContents"/>
              <w:bidi w:val="0"/>
              <w:jc w:val="center"/>
              <w:rPr>
                <w:rFonts w:ascii="Symbol" w:hAnsi="Symbol" w:eastAsia="Symbol" w:cs="Symbol"/>
                <w:b w:val="false"/>
                <w:bCs w:val="false"/>
                <w:i w:val="false"/>
                <w:i w:val="false"/>
                <w:iCs w:val="false"/>
                <w:strike w:val="false"/>
                <w:dstrike w:val="false"/>
                <w:outline w:val="false"/>
                <w:shadow w:val="false"/>
                <w:color w:val="000000"/>
                <w:sz w:val="20"/>
                <w:szCs w:val="20"/>
                <w:u w:val="none"/>
              </w:rPr>
            </w:pPr>
            <w:r>
              <w:rPr>
                <w:rFonts w:eastAsia="Symbol" w:cs="Symbol" w:ascii="Symbol" w:hAnsi="Symbol"/>
                <w:b w:val="false"/>
                <w:bCs w:val="false"/>
                <w:i w:val="false"/>
                <w:iCs w:val="false"/>
                <w:strike w:val="false"/>
                <w:dstrike w:val="false"/>
                <w:outline w:val="false"/>
                <w:shadow w:val="false"/>
                <w:color w:val="000000"/>
                <w:sz w:val="20"/>
                <w:szCs w:val="20"/>
                <w:u w:val="none"/>
              </w:rPr>
              <w:sym w:font="Symbol" w:char="f073"/>
            </w:r>
          </w:p>
        </w:tc>
        <w:tc>
          <w:tcPr>
            <w:tcW w:w="1248" w:type="dxa"/>
            <w:tcBorders/>
            <w:vAlign w:val="center"/>
          </w:tcPr>
          <w:p>
            <w:pPr>
              <w:pStyle w:val="TableContents"/>
              <w:bidi w:val="0"/>
              <w:jc w:val="center"/>
              <w:rPr>
                <w:rFonts w:ascii="Symbol" w:hAnsi="Symbol" w:eastAsia="Symbol" w:cs="Symbol"/>
                <w:b w:val="false"/>
                <w:bCs w:val="false"/>
                <w:i w:val="false"/>
                <w:i w:val="false"/>
                <w:iCs w:val="false"/>
                <w:strike w:val="false"/>
                <w:dstrike w:val="false"/>
                <w:outline w:val="false"/>
                <w:shadow w:val="false"/>
                <w:color w:val="000000"/>
                <w:sz w:val="20"/>
                <w:szCs w:val="20"/>
                <w:u w:val="none"/>
              </w:rPr>
            </w:pPr>
            <w:r>
              <w:rPr>
                <w:rFonts w:eastAsia="Symbol" w:cs="Symbol" w:ascii="Symbol" w:hAnsi="Symbol"/>
                <w:b w:val="false"/>
                <w:bCs w:val="false"/>
                <w:i w:val="false"/>
                <w:iCs w:val="false"/>
                <w:strike w:val="false"/>
                <w:dstrike w:val="false"/>
                <w:outline w:val="false"/>
                <w:shadow w:val="false"/>
                <w:color w:val="000000"/>
                <w:sz w:val="20"/>
                <w:szCs w:val="20"/>
                <w:u w:val="none"/>
              </w:rPr>
              <w:sym w:font="Symbol" w:char="f06c"/>
            </w:r>
          </w:p>
        </w:tc>
      </w:tr>
      <w:tr>
        <w:trPr/>
        <w:tc>
          <w:tcPr>
            <w:tcW w:w="2488" w:type="dxa"/>
            <w:vMerge w:val="restart"/>
            <w:tcBorders/>
            <w:vAlign w:val="center"/>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Pane</w:t>
            </w:r>
            <w:r>
              <w:rPr>
                <w:rFonts w:cs="Segoe UI" w:ascii="Cambria" w:hAnsi="Cambria"/>
                <w:b w:val="false"/>
                <w:bCs w:val="false"/>
                <w:i w:val="false"/>
                <w:iCs w:val="false"/>
                <w:strike w:val="false"/>
                <w:dstrike w:val="false"/>
                <w:outline w:val="false"/>
                <w:shadow w:val="false"/>
                <w:color w:val="000000"/>
                <w:sz w:val="20"/>
                <w:szCs w:val="20"/>
                <w:u w:val="none"/>
                <w:lang w:val="lt-LT"/>
              </w:rPr>
              <w:t>vėžys</w:t>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PNC</w:t>
            </w:r>
          </w:p>
        </w:tc>
        <w:tc>
          <w:tcPr>
            <w:tcW w:w="2814" w:type="dxa"/>
            <w:tcBorders/>
          </w:tcPr>
          <w:p>
            <w:pPr>
              <w:pStyle w:val="TableContents"/>
              <w:bidi w:val="0"/>
              <w:jc w:val="end"/>
              <w:rPr>
                <w:rFonts w:ascii="Cambria" w:hAnsi="Cambria"/>
                <w:sz w:val="20"/>
                <w:szCs w:val="20"/>
              </w:rPr>
            </w:pPr>
            <w:r>
              <w:rPr>
                <w:rFonts w:ascii="Cambria" w:hAnsi="Cambria"/>
                <w:sz w:val="20"/>
                <w:szCs w:val="20"/>
              </w:rPr>
              <w:t>532242</w:t>
            </w:r>
          </w:p>
        </w:tc>
        <w:tc>
          <w:tcPr>
            <w:tcW w:w="1247" w:type="dxa"/>
            <w:tcBorders/>
          </w:tcPr>
          <w:p>
            <w:pPr>
              <w:pStyle w:val="TableContents"/>
              <w:bidi w:val="0"/>
              <w:jc w:val="end"/>
              <w:rPr>
                <w:rFonts w:ascii="Cambria" w:hAnsi="Cambria"/>
                <w:sz w:val="20"/>
                <w:szCs w:val="20"/>
              </w:rPr>
            </w:pPr>
            <w:r>
              <w:rPr>
                <w:rFonts w:ascii="Cambria" w:hAnsi="Cambria"/>
                <w:sz w:val="20"/>
                <w:szCs w:val="20"/>
              </w:rPr>
              <w:t>10.5</w:t>
            </w:r>
          </w:p>
        </w:tc>
        <w:tc>
          <w:tcPr>
            <w:tcW w:w="1246" w:type="dxa"/>
            <w:tcBorders/>
          </w:tcPr>
          <w:p>
            <w:pPr>
              <w:pStyle w:val="TableContents"/>
              <w:bidi w:val="0"/>
              <w:jc w:val="end"/>
              <w:rPr>
                <w:rFonts w:ascii="Cambria" w:hAnsi="Cambria"/>
                <w:sz w:val="20"/>
                <w:szCs w:val="20"/>
              </w:rPr>
            </w:pPr>
            <w:r>
              <w:rPr>
                <w:rFonts w:ascii="Cambria" w:hAnsi="Cambria"/>
                <w:sz w:val="20"/>
                <w:szCs w:val="20"/>
              </w:rPr>
              <w:t>1.83</w:t>
            </w:r>
          </w:p>
        </w:tc>
        <w:tc>
          <w:tcPr>
            <w:tcW w:w="1248" w:type="dxa"/>
            <w:tcBorders/>
          </w:tcPr>
          <w:p>
            <w:pPr>
              <w:pStyle w:val="TableContents"/>
              <w:bidi w:val="0"/>
              <w:jc w:val="end"/>
              <w:rPr>
                <w:rFonts w:ascii="Cambria" w:hAnsi="Cambria"/>
                <w:sz w:val="20"/>
                <w:szCs w:val="20"/>
              </w:rPr>
            </w:pPr>
            <w:r>
              <w:rPr>
                <w:rFonts w:ascii="Cambria" w:hAnsi="Cambria"/>
                <w:sz w:val="20"/>
                <w:szCs w:val="20"/>
              </w:rPr>
              <w:t>0.49</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UFP</w:t>
            </w:r>
          </w:p>
        </w:tc>
        <w:tc>
          <w:tcPr>
            <w:tcW w:w="2814" w:type="dxa"/>
            <w:tcBorders/>
          </w:tcPr>
          <w:p>
            <w:pPr>
              <w:pStyle w:val="TableContents"/>
              <w:bidi w:val="0"/>
              <w:jc w:val="end"/>
              <w:rPr>
                <w:rFonts w:ascii="Cambria" w:hAnsi="Cambria"/>
                <w:sz w:val="20"/>
                <w:szCs w:val="20"/>
              </w:rPr>
            </w:pPr>
            <w:r>
              <w:rPr>
                <w:rFonts w:ascii="Cambria" w:hAnsi="Cambria"/>
                <w:sz w:val="20"/>
                <w:szCs w:val="20"/>
              </w:rPr>
              <w:t>528412</w:t>
            </w:r>
          </w:p>
        </w:tc>
        <w:tc>
          <w:tcPr>
            <w:tcW w:w="1247" w:type="dxa"/>
            <w:tcBorders/>
          </w:tcPr>
          <w:p>
            <w:pPr>
              <w:pStyle w:val="TableContents"/>
              <w:bidi w:val="0"/>
              <w:jc w:val="end"/>
              <w:rPr>
                <w:rFonts w:ascii="Cambria" w:hAnsi="Cambria"/>
                <w:sz w:val="20"/>
                <w:szCs w:val="20"/>
              </w:rPr>
            </w:pPr>
            <w:r>
              <w:rPr>
                <w:rFonts w:ascii="Cambria" w:hAnsi="Cambria"/>
                <w:sz w:val="20"/>
                <w:szCs w:val="20"/>
              </w:rPr>
              <w:t>10.46</w:t>
            </w:r>
          </w:p>
        </w:tc>
        <w:tc>
          <w:tcPr>
            <w:tcW w:w="1246" w:type="dxa"/>
            <w:tcBorders/>
          </w:tcPr>
          <w:p>
            <w:pPr>
              <w:pStyle w:val="TableContents"/>
              <w:bidi w:val="0"/>
              <w:jc w:val="end"/>
              <w:rPr>
                <w:rFonts w:ascii="Cambria" w:hAnsi="Cambria"/>
                <w:sz w:val="20"/>
                <w:szCs w:val="20"/>
              </w:rPr>
            </w:pPr>
            <w:r>
              <w:rPr>
                <w:rFonts w:ascii="Cambria" w:hAnsi="Cambria"/>
                <w:sz w:val="20"/>
                <w:szCs w:val="20"/>
              </w:rPr>
              <w:t>1.86</w:t>
            </w:r>
          </w:p>
        </w:tc>
        <w:tc>
          <w:tcPr>
            <w:tcW w:w="1248" w:type="dxa"/>
            <w:tcBorders/>
          </w:tcPr>
          <w:p>
            <w:pPr>
              <w:pStyle w:val="TableContents"/>
              <w:bidi w:val="0"/>
              <w:jc w:val="end"/>
              <w:rPr>
                <w:rFonts w:ascii="Cambria" w:hAnsi="Cambria"/>
                <w:sz w:val="20"/>
                <w:szCs w:val="20"/>
              </w:rPr>
            </w:pPr>
            <w:r>
              <w:rPr>
                <w:rFonts w:ascii="Cambria" w:hAnsi="Cambria"/>
                <w:sz w:val="20"/>
                <w:szCs w:val="20"/>
              </w:rPr>
              <w:t>0.47</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ACCU</w:t>
            </w:r>
          </w:p>
        </w:tc>
        <w:tc>
          <w:tcPr>
            <w:tcW w:w="2814" w:type="dxa"/>
            <w:tcBorders/>
          </w:tcPr>
          <w:p>
            <w:pPr>
              <w:pStyle w:val="TableContents"/>
              <w:bidi w:val="0"/>
              <w:jc w:val="end"/>
              <w:rPr>
                <w:rFonts w:ascii="Cambria" w:hAnsi="Cambria"/>
                <w:sz w:val="20"/>
                <w:szCs w:val="20"/>
              </w:rPr>
            </w:pPr>
            <w:r>
              <w:rPr>
                <w:rFonts w:ascii="Cambria" w:hAnsi="Cambria"/>
                <w:sz w:val="20"/>
                <w:szCs w:val="20"/>
              </w:rPr>
              <w:t>41780</w:t>
            </w:r>
          </w:p>
        </w:tc>
        <w:tc>
          <w:tcPr>
            <w:tcW w:w="1247" w:type="dxa"/>
            <w:tcBorders/>
          </w:tcPr>
          <w:p>
            <w:pPr>
              <w:pStyle w:val="TableContents"/>
              <w:bidi w:val="0"/>
              <w:jc w:val="end"/>
              <w:rPr>
                <w:rFonts w:ascii="Cambria" w:hAnsi="Cambria"/>
                <w:sz w:val="20"/>
                <w:szCs w:val="20"/>
              </w:rPr>
            </w:pPr>
            <w:r>
              <w:rPr>
                <w:rFonts w:ascii="Cambria" w:hAnsi="Cambria"/>
                <w:sz w:val="20"/>
                <w:szCs w:val="20"/>
              </w:rPr>
              <w:t>12.33</w:t>
            </w:r>
          </w:p>
        </w:tc>
        <w:tc>
          <w:tcPr>
            <w:tcW w:w="1246" w:type="dxa"/>
            <w:tcBorders/>
          </w:tcPr>
          <w:p>
            <w:pPr>
              <w:pStyle w:val="TableContents"/>
              <w:bidi w:val="0"/>
              <w:jc w:val="end"/>
              <w:rPr>
                <w:rFonts w:ascii="Cambria" w:hAnsi="Cambria"/>
                <w:sz w:val="20"/>
                <w:szCs w:val="20"/>
              </w:rPr>
            </w:pPr>
            <w:r>
              <w:rPr>
                <w:rFonts w:ascii="Cambria" w:hAnsi="Cambria"/>
                <w:sz w:val="20"/>
                <w:szCs w:val="20"/>
              </w:rPr>
              <w:t>1.96</w:t>
            </w:r>
          </w:p>
        </w:tc>
        <w:tc>
          <w:tcPr>
            <w:tcW w:w="1248" w:type="dxa"/>
            <w:tcBorders/>
          </w:tcPr>
          <w:p>
            <w:pPr>
              <w:pStyle w:val="TableContents"/>
              <w:bidi w:val="0"/>
              <w:jc w:val="end"/>
              <w:rPr>
                <w:rFonts w:ascii="Cambria" w:hAnsi="Cambria"/>
                <w:sz w:val="20"/>
                <w:szCs w:val="20"/>
              </w:rPr>
            </w:pPr>
            <w:r>
              <w:rPr>
                <w:rFonts w:ascii="Cambria" w:hAnsi="Cambria"/>
                <w:sz w:val="20"/>
                <w:szCs w:val="20"/>
              </w:rPr>
              <w:t>0.46</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COARSE</w:t>
            </w:r>
          </w:p>
        </w:tc>
        <w:tc>
          <w:tcPr>
            <w:tcW w:w="2814" w:type="dxa"/>
            <w:tcBorders/>
          </w:tcPr>
          <w:p>
            <w:pPr>
              <w:pStyle w:val="TableContents"/>
              <w:bidi w:val="0"/>
              <w:jc w:val="end"/>
              <w:rPr>
                <w:rFonts w:ascii="Cambria" w:hAnsi="Cambria"/>
                <w:sz w:val="20"/>
                <w:szCs w:val="20"/>
              </w:rPr>
            </w:pPr>
            <w:r>
              <w:rPr>
                <w:rFonts w:ascii="Cambria" w:hAnsi="Cambria"/>
                <w:sz w:val="20"/>
                <w:szCs w:val="20"/>
              </w:rPr>
              <w:t>186</w:t>
            </w:r>
          </w:p>
        </w:tc>
        <w:tc>
          <w:tcPr>
            <w:tcW w:w="1247" w:type="dxa"/>
            <w:tcBorders/>
          </w:tcPr>
          <w:p>
            <w:pPr>
              <w:pStyle w:val="TableContents"/>
              <w:bidi w:val="0"/>
              <w:jc w:val="end"/>
              <w:rPr>
                <w:rFonts w:ascii="Cambria" w:hAnsi="Cambria"/>
                <w:sz w:val="20"/>
                <w:szCs w:val="20"/>
              </w:rPr>
            </w:pPr>
            <w:r>
              <w:rPr>
                <w:rFonts w:ascii="Cambria" w:hAnsi="Cambria"/>
                <w:sz w:val="20"/>
                <w:szCs w:val="20"/>
              </w:rPr>
              <w:t>3.89</w:t>
            </w:r>
          </w:p>
        </w:tc>
        <w:tc>
          <w:tcPr>
            <w:tcW w:w="1246" w:type="dxa"/>
            <w:tcBorders/>
          </w:tcPr>
          <w:p>
            <w:pPr>
              <w:pStyle w:val="TableContents"/>
              <w:bidi w:val="0"/>
              <w:jc w:val="end"/>
              <w:rPr>
                <w:rFonts w:ascii="Cambria" w:hAnsi="Cambria"/>
                <w:sz w:val="20"/>
                <w:szCs w:val="20"/>
              </w:rPr>
            </w:pPr>
            <w:r>
              <w:rPr>
                <w:rFonts w:ascii="Cambria" w:hAnsi="Cambria"/>
                <w:sz w:val="20"/>
                <w:szCs w:val="20"/>
              </w:rPr>
              <w:t>1.67</w:t>
            </w:r>
          </w:p>
        </w:tc>
        <w:tc>
          <w:tcPr>
            <w:tcW w:w="1248" w:type="dxa"/>
            <w:tcBorders/>
          </w:tcPr>
          <w:p>
            <w:pPr>
              <w:pStyle w:val="TableContents"/>
              <w:bidi w:val="0"/>
              <w:jc w:val="end"/>
              <w:rPr>
                <w:rFonts w:ascii="Cambria" w:hAnsi="Cambria"/>
                <w:sz w:val="20"/>
                <w:szCs w:val="20"/>
              </w:rPr>
            </w:pPr>
            <w:r>
              <w:rPr>
                <w:rFonts w:ascii="Cambria" w:hAnsi="Cambria"/>
                <w:sz w:val="20"/>
                <w:szCs w:val="20"/>
              </w:rPr>
              <w:t>21.14</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eBC</w:t>
            </w:r>
          </w:p>
        </w:tc>
        <w:tc>
          <w:tcPr>
            <w:tcW w:w="2814" w:type="dxa"/>
            <w:tcBorders/>
          </w:tcPr>
          <w:p>
            <w:pPr>
              <w:pStyle w:val="TableContents"/>
              <w:bidi w:val="0"/>
              <w:jc w:val="end"/>
              <w:rPr>
                <w:rFonts w:ascii="Cambria" w:hAnsi="Cambria"/>
                <w:sz w:val="20"/>
                <w:szCs w:val="20"/>
              </w:rPr>
            </w:pPr>
            <w:r>
              <w:rPr>
                <w:rFonts w:ascii="Cambria" w:hAnsi="Cambria"/>
                <w:sz w:val="20"/>
                <w:szCs w:val="20"/>
              </w:rPr>
              <w:t>164408</w:t>
            </w:r>
          </w:p>
        </w:tc>
        <w:tc>
          <w:tcPr>
            <w:tcW w:w="1247" w:type="dxa"/>
            <w:tcBorders/>
          </w:tcPr>
          <w:p>
            <w:pPr>
              <w:pStyle w:val="TableContents"/>
              <w:bidi w:val="0"/>
              <w:jc w:val="end"/>
              <w:rPr>
                <w:rFonts w:ascii="Cambria" w:hAnsi="Cambria"/>
                <w:sz w:val="20"/>
                <w:szCs w:val="20"/>
              </w:rPr>
            </w:pPr>
            <w:r>
              <w:rPr>
                <w:rFonts w:ascii="Cambria" w:hAnsi="Cambria"/>
                <w:sz w:val="20"/>
                <w:szCs w:val="20"/>
              </w:rPr>
              <w:t>15.33</w:t>
            </w:r>
          </w:p>
        </w:tc>
        <w:tc>
          <w:tcPr>
            <w:tcW w:w="1246" w:type="dxa"/>
            <w:tcBorders/>
          </w:tcPr>
          <w:p>
            <w:pPr>
              <w:pStyle w:val="TableContents"/>
              <w:bidi w:val="0"/>
              <w:jc w:val="end"/>
              <w:rPr>
                <w:rFonts w:ascii="Cambria" w:hAnsi="Cambria"/>
                <w:sz w:val="20"/>
                <w:szCs w:val="20"/>
              </w:rPr>
            </w:pPr>
            <w:r>
              <w:rPr>
                <w:rFonts w:ascii="Cambria" w:hAnsi="Cambria"/>
                <w:sz w:val="20"/>
                <w:szCs w:val="20"/>
              </w:rPr>
              <w:t>3.63</w:t>
            </w:r>
          </w:p>
        </w:tc>
        <w:tc>
          <w:tcPr>
            <w:tcW w:w="1248" w:type="dxa"/>
            <w:tcBorders/>
          </w:tcPr>
          <w:p>
            <w:pPr>
              <w:pStyle w:val="TableContents"/>
              <w:bidi w:val="0"/>
              <w:jc w:val="end"/>
              <w:rPr>
                <w:rFonts w:ascii="Cambria" w:hAnsi="Cambria"/>
                <w:sz w:val="20"/>
                <w:szCs w:val="20"/>
              </w:rPr>
            </w:pPr>
            <w:r>
              <w:rPr>
                <w:rFonts w:ascii="Cambria" w:hAnsi="Cambria"/>
                <w:sz w:val="20"/>
                <w:szCs w:val="20"/>
              </w:rPr>
              <w:t>0.11</w:t>
            </w:r>
          </w:p>
        </w:tc>
      </w:tr>
      <w:tr>
        <w:trPr/>
        <w:tc>
          <w:tcPr>
            <w:tcW w:w="2488" w:type="dxa"/>
            <w:vMerge w:val="restart"/>
            <w:tcBorders/>
            <w:vAlign w:val="center"/>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lang w:val="lt-LT"/>
              </w:rPr>
            </w:pPr>
            <w:r>
              <w:rPr>
                <w:rFonts w:cs="Segoe UI" w:ascii="Cambria" w:hAnsi="Cambria"/>
                <w:b w:val="false"/>
                <w:bCs w:val="false"/>
                <w:i w:val="false"/>
                <w:iCs w:val="false"/>
                <w:strike w:val="false"/>
                <w:dstrike w:val="false"/>
                <w:outline w:val="false"/>
                <w:shadow w:val="false"/>
                <w:color w:val="000000"/>
                <w:sz w:val="20"/>
                <w:szCs w:val="20"/>
                <w:u w:val="none"/>
                <w:lang w:val="lt-LT"/>
              </w:rPr>
              <w:t>Alytus</w:t>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PNC</w:t>
            </w:r>
          </w:p>
        </w:tc>
        <w:tc>
          <w:tcPr>
            <w:tcW w:w="2814" w:type="dxa"/>
            <w:tcBorders/>
          </w:tcPr>
          <w:p>
            <w:pPr>
              <w:pStyle w:val="TableContents"/>
              <w:bidi w:val="0"/>
              <w:jc w:val="end"/>
              <w:rPr>
                <w:rFonts w:ascii="Cambria" w:hAnsi="Cambria"/>
                <w:sz w:val="20"/>
                <w:szCs w:val="20"/>
              </w:rPr>
            </w:pPr>
            <w:r>
              <w:rPr>
                <w:rFonts w:ascii="Cambria" w:hAnsi="Cambria"/>
                <w:sz w:val="20"/>
                <w:szCs w:val="20"/>
              </w:rPr>
              <w:t>466228</w:t>
            </w:r>
          </w:p>
        </w:tc>
        <w:tc>
          <w:tcPr>
            <w:tcW w:w="1247" w:type="dxa"/>
            <w:tcBorders/>
          </w:tcPr>
          <w:p>
            <w:pPr>
              <w:pStyle w:val="TableContents"/>
              <w:bidi w:val="0"/>
              <w:jc w:val="end"/>
              <w:rPr>
                <w:rFonts w:ascii="Cambria" w:hAnsi="Cambria"/>
                <w:sz w:val="20"/>
                <w:szCs w:val="20"/>
              </w:rPr>
            </w:pPr>
            <w:r>
              <w:rPr>
                <w:rFonts w:ascii="Cambria" w:hAnsi="Cambria"/>
                <w:sz w:val="20"/>
                <w:szCs w:val="20"/>
              </w:rPr>
              <w:t>10.8</w:t>
            </w:r>
          </w:p>
        </w:tc>
        <w:tc>
          <w:tcPr>
            <w:tcW w:w="1246" w:type="dxa"/>
            <w:tcBorders/>
          </w:tcPr>
          <w:p>
            <w:pPr>
              <w:pStyle w:val="TableContents"/>
              <w:bidi w:val="0"/>
              <w:jc w:val="end"/>
              <w:rPr>
                <w:rFonts w:ascii="Cambria" w:hAnsi="Cambria"/>
                <w:sz w:val="20"/>
                <w:szCs w:val="20"/>
              </w:rPr>
            </w:pPr>
            <w:r>
              <w:rPr>
                <w:rFonts w:ascii="Cambria" w:hAnsi="Cambria"/>
                <w:sz w:val="20"/>
                <w:szCs w:val="20"/>
              </w:rPr>
              <w:t>1.79</w:t>
            </w:r>
          </w:p>
        </w:tc>
        <w:tc>
          <w:tcPr>
            <w:tcW w:w="1248" w:type="dxa"/>
            <w:tcBorders/>
          </w:tcPr>
          <w:p>
            <w:pPr>
              <w:pStyle w:val="TableContents"/>
              <w:bidi w:val="0"/>
              <w:jc w:val="end"/>
              <w:rPr>
                <w:rFonts w:ascii="Cambria" w:hAnsi="Cambria"/>
                <w:sz w:val="20"/>
                <w:szCs w:val="20"/>
              </w:rPr>
            </w:pPr>
            <w:r>
              <w:rPr>
                <w:rFonts w:ascii="Cambria" w:hAnsi="Cambria"/>
                <w:sz w:val="20"/>
                <w:szCs w:val="20"/>
              </w:rPr>
              <w:t>0.63</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UFP</w:t>
            </w:r>
          </w:p>
        </w:tc>
        <w:tc>
          <w:tcPr>
            <w:tcW w:w="2814" w:type="dxa"/>
            <w:tcBorders/>
          </w:tcPr>
          <w:p>
            <w:pPr>
              <w:pStyle w:val="TableContents"/>
              <w:bidi w:val="0"/>
              <w:jc w:val="end"/>
              <w:rPr>
                <w:rFonts w:ascii="Cambria" w:hAnsi="Cambria"/>
                <w:sz w:val="20"/>
                <w:szCs w:val="20"/>
              </w:rPr>
            </w:pPr>
            <w:r>
              <w:rPr>
                <w:rFonts w:ascii="Cambria" w:hAnsi="Cambria"/>
                <w:sz w:val="20"/>
                <w:szCs w:val="20"/>
              </w:rPr>
              <w:t>485400</w:t>
            </w:r>
          </w:p>
        </w:tc>
        <w:tc>
          <w:tcPr>
            <w:tcW w:w="1247" w:type="dxa"/>
            <w:tcBorders/>
          </w:tcPr>
          <w:p>
            <w:pPr>
              <w:pStyle w:val="TableContents"/>
              <w:bidi w:val="0"/>
              <w:jc w:val="end"/>
              <w:rPr>
                <w:rFonts w:ascii="Cambria" w:hAnsi="Cambria"/>
                <w:sz w:val="20"/>
                <w:szCs w:val="20"/>
              </w:rPr>
            </w:pPr>
            <w:r>
              <w:rPr>
                <w:rFonts w:ascii="Cambria" w:hAnsi="Cambria"/>
                <w:sz w:val="20"/>
                <w:szCs w:val="20"/>
              </w:rPr>
              <w:t>10.79</w:t>
            </w:r>
          </w:p>
        </w:tc>
        <w:tc>
          <w:tcPr>
            <w:tcW w:w="1246" w:type="dxa"/>
            <w:tcBorders/>
          </w:tcPr>
          <w:p>
            <w:pPr>
              <w:pStyle w:val="TableContents"/>
              <w:bidi w:val="0"/>
              <w:jc w:val="end"/>
              <w:rPr>
                <w:rFonts w:ascii="Cambria" w:hAnsi="Cambria"/>
                <w:sz w:val="20"/>
                <w:szCs w:val="20"/>
              </w:rPr>
            </w:pPr>
            <w:r>
              <w:rPr>
                <w:rFonts w:ascii="Cambria" w:hAnsi="Cambria"/>
                <w:sz w:val="20"/>
                <w:szCs w:val="20"/>
              </w:rPr>
              <w:t>1.77</w:t>
            </w:r>
          </w:p>
        </w:tc>
        <w:tc>
          <w:tcPr>
            <w:tcW w:w="1248" w:type="dxa"/>
            <w:tcBorders/>
          </w:tcPr>
          <w:p>
            <w:pPr>
              <w:pStyle w:val="TableContents"/>
              <w:bidi w:val="0"/>
              <w:jc w:val="end"/>
              <w:rPr>
                <w:rFonts w:ascii="Cambria" w:hAnsi="Cambria"/>
                <w:sz w:val="20"/>
                <w:szCs w:val="20"/>
              </w:rPr>
            </w:pPr>
            <w:r>
              <w:rPr>
                <w:rFonts w:ascii="Cambria" w:hAnsi="Cambria"/>
                <w:sz w:val="20"/>
                <w:szCs w:val="20"/>
              </w:rPr>
              <w:t>0.64</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ACCU</w:t>
            </w:r>
          </w:p>
        </w:tc>
        <w:tc>
          <w:tcPr>
            <w:tcW w:w="2814" w:type="dxa"/>
            <w:tcBorders/>
          </w:tcPr>
          <w:p>
            <w:pPr>
              <w:pStyle w:val="TableContents"/>
              <w:bidi w:val="0"/>
              <w:jc w:val="end"/>
              <w:rPr>
                <w:rFonts w:ascii="Cambria" w:hAnsi="Cambria"/>
                <w:sz w:val="20"/>
                <w:szCs w:val="20"/>
              </w:rPr>
            </w:pPr>
            <w:r>
              <w:rPr>
                <w:rFonts w:ascii="Cambria" w:hAnsi="Cambria"/>
                <w:sz w:val="20"/>
                <w:szCs w:val="20"/>
              </w:rPr>
              <w:t>35962</w:t>
            </w:r>
          </w:p>
        </w:tc>
        <w:tc>
          <w:tcPr>
            <w:tcW w:w="1247" w:type="dxa"/>
            <w:tcBorders/>
          </w:tcPr>
          <w:p>
            <w:pPr>
              <w:pStyle w:val="TableContents"/>
              <w:bidi w:val="0"/>
              <w:jc w:val="end"/>
              <w:rPr>
                <w:rFonts w:ascii="Cambria" w:hAnsi="Cambria"/>
                <w:sz w:val="20"/>
                <w:szCs w:val="20"/>
              </w:rPr>
            </w:pPr>
            <w:r>
              <w:rPr>
                <w:rFonts w:ascii="Cambria" w:hAnsi="Cambria"/>
                <w:sz w:val="20"/>
                <w:szCs w:val="20"/>
              </w:rPr>
              <w:t>12.43</w:t>
            </w:r>
          </w:p>
        </w:tc>
        <w:tc>
          <w:tcPr>
            <w:tcW w:w="1246" w:type="dxa"/>
            <w:tcBorders/>
          </w:tcPr>
          <w:p>
            <w:pPr>
              <w:pStyle w:val="TableContents"/>
              <w:bidi w:val="0"/>
              <w:jc w:val="end"/>
              <w:rPr>
                <w:rFonts w:ascii="Cambria" w:hAnsi="Cambria"/>
                <w:sz w:val="20"/>
                <w:szCs w:val="20"/>
              </w:rPr>
            </w:pPr>
            <w:r>
              <w:rPr>
                <w:rFonts w:ascii="Cambria" w:hAnsi="Cambria"/>
                <w:sz w:val="20"/>
                <w:szCs w:val="20"/>
              </w:rPr>
              <w:t>1.88</w:t>
            </w:r>
          </w:p>
        </w:tc>
        <w:tc>
          <w:tcPr>
            <w:tcW w:w="1248" w:type="dxa"/>
            <w:tcBorders/>
          </w:tcPr>
          <w:p>
            <w:pPr>
              <w:pStyle w:val="TableContents"/>
              <w:bidi w:val="0"/>
              <w:jc w:val="end"/>
              <w:rPr>
                <w:rFonts w:ascii="Cambria" w:hAnsi="Cambria"/>
                <w:sz w:val="20"/>
                <w:szCs w:val="20"/>
              </w:rPr>
            </w:pPr>
            <w:r>
              <w:rPr>
                <w:rFonts w:ascii="Cambria" w:hAnsi="Cambria"/>
                <w:sz w:val="20"/>
                <w:szCs w:val="20"/>
              </w:rPr>
              <w:t>0.46</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COARSE</w:t>
            </w:r>
          </w:p>
        </w:tc>
        <w:tc>
          <w:tcPr>
            <w:tcW w:w="2814" w:type="dxa"/>
            <w:tcBorders/>
          </w:tcPr>
          <w:p>
            <w:pPr>
              <w:pStyle w:val="TableContents"/>
              <w:bidi w:val="0"/>
              <w:jc w:val="end"/>
              <w:rPr>
                <w:rFonts w:ascii="Cambria" w:hAnsi="Cambria"/>
                <w:sz w:val="20"/>
                <w:szCs w:val="20"/>
              </w:rPr>
            </w:pPr>
            <w:r>
              <w:rPr>
                <w:rFonts w:ascii="Cambria" w:hAnsi="Cambria"/>
                <w:sz w:val="20"/>
                <w:szCs w:val="20"/>
              </w:rPr>
              <w:t>178</w:t>
            </w:r>
          </w:p>
        </w:tc>
        <w:tc>
          <w:tcPr>
            <w:tcW w:w="1247" w:type="dxa"/>
            <w:tcBorders/>
          </w:tcPr>
          <w:p>
            <w:pPr>
              <w:pStyle w:val="TableContents"/>
              <w:bidi w:val="0"/>
              <w:jc w:val="end"/>
              <w:rPr>
                <w:rFonts w:ascii="Cambria" w:hAnsi="Cambria"/>
                <w:sz w:val="20"/>
                <w:szCs w:val="20"/>
              </w:rPr>
            </w:pPr>
            <w:r>
              <w:rPr>
                <w:rFonts w:ascii="Cambria" w:hAnsi="Cambria"/>
                <w:sz w:val="20"/>
                <w:szCs w:val="20"/>
              </w:rPr>
              <w:t>3.45</w:t>
            </w:r>
          </w:p>
        </w:tc>
        <w:tc>
          <w:tcPr>
            <w:tcW w:w="1246" w:type="dxa"/>
            <w:tcBorders/>
          </w:tcPr>
          <w:p>
            <w:pPr>
              <w:pStyle w:val="TableContents"/>
              <w:bidi w:val="0"/>
              <w:jc w:val="end"/>
              <w:rPr>
                <w:rFonts w:ascii="Cambria" w:hAnsi="Cambria"/>
                <w:sz w:val="20"/>
                <w:szCs w:val="20"/>
              </w:rPr>
            </w:pPr>
            <w:r>
              <w:rPr>
                <w:rFonts w:ascii="Cambria" w:hAnsi="Cambria"/>
                <w:sz w:val="20"/>
                <w:szCs w:val="20"/>
              </w:rPr>
              <w:t>1.6</w:t>
            </w:r>
          </w:p>
        </w:tc>
        <w:tc>
          <w:tcPr>
            <w:tcW w:w="1248" w:type="dxa"/>
            <w:tcBorders/>
          </w:tcPr>
          <w:p>
            <w:pPr>
              <w:pStyle w:val="TableContents"/>
              <w:bidi w:val="0"/>
              <w:jc w:val="end"/>
              <w:rPr>
                <w:rFonts w:ascii="Cambria" w:hAnsi="Cambria"/>
                <w:sz w:val="20"/>
                <w:szCs w:val="20"/>
              </w:rPr>
            </w:pPr>
            <w:r>
              <w:rPr>
                <w:rFonts w:ascii="Cambria" w:hAnsi="Cambria"/>
                <w:sz w:val="20"/>
                <w:szCs w:val="20"/>
              </w:rPr>
              <w:t>2.74</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eBC</w:t>
            </w:r>
          </w:p>
        </w:tc>
        <w:tc>
          <w:tcPr>
            <w:tcW w:w="2814" w:type="dxa"/>
            <w:tcBorders/>
          </w:tcPr>
          <w:p>
            <w:pPr>
              <w:pStyle w:val="TableContents"/>
              <w:bidi w:val="0"/>
              <w:jc w:val="end"/>
              <w:rPr>
                <w:rFonts w:ascii="Cambria" w:hAnsi="Cambria"/>
                <w:sz w:val="20"/>
                <w:szCs w:val="20"/>
              </w:rPr>
            </w:pPr>
            <w:r>
              <w:rPr>
                <w:rFonts w:ascii="Cambria" w:hAnsi="Cambria"/>
                <w:sz w:val="20"/>
                <w:szCs w:val="20"/>
              </w:rPr>
              <w:t>130856</w:t>
            </w:r>
          </w:p>
        </w:tc>
        <w:tc>
          <w:tcPr>
            <w:tcW w:w="1247" w:type="dxa"/>
            <w:tcBorders/>
          </w:tcPr>
          <w:p>
            <w:pPr>
              <w:pStyle w:val="TableContents"/>
              <w:bidi w:val="0"/>
              <w:jc w:val="end"/>
              <w:rPr>
                <w:rFonts w:ascii="Cambria" w:hAnsi="Cambria"/>
                <w:sz w:val="20"/>
                <w:szCs w:val="20"/>
              </w:rPr>
            </w:pPr>
            <w:r>
              <w:rPr>
                <w:rFonts w:ascii="Cambria" w:hAnsi="Cambria"/>
                <w:sz w:val="20"/>
                <w:szCs w:val="20"/>
              </w:rPr>
              <w:t>14.96</w:t>
            </w:r>
          </w:p>
        </w:tc>
        <w:tc>
          <w:tcPr>
            <w:tcW w:w="1246" w:type="dxa"/>
            <w:tcBorders/>
          </w:tcPr>
          <w:p>
            <w:pPr>
              <w:pStyle w:val="TableContents"/>
              <w:bidi w:val="0"/>
              <w:jc w:val="end"/>
              <w:rPr>
                <w:rFonts w:ascii="Cambria" w:hAnsi="Cambria"/>
                <w:sz w:val="20"/>
                <w:szCs w:val="20"/>
              </w:rPr>
            </w:pPr>
            <w:r>
              <w:rPr>
                <w:rFonts w:ascii="Cambria" w:hAnsi="Cambria"/>
                <w:sz w:val="20"/>
                <w:szCs w:val="20"/>
              </w:rPr>
              <w:t>3.52</w:t>
            </w:r>
          </w:p>
        </w:tc>
        <w:tc>
          <w:tcPr>
            <w:tcW w:w="1248" w:type="dxa"/>
            <w:tcBorders/>
          </w:tcPr>
          <w:p>
            <w:pPr>
              <w:pStyle w:val="TableContents"/>
              <w:bidi w:val="0"/>
              <w:jc w:val="end"/>
              <w:rPr>
                <w:rFonts w:ascii="Cambria" w:hAnsi="Cambria"/>
                <w:sz w:val="20"/>
                <w:szCs w:val="20"/>
              </w:rPr>
            </w:pPr>
            <w:r>
              <w:rPr>
                <w:rFonts w:ascii="Cambria" w:hAnsi="Cambria"/>
                <w:sz w:val="20"/>
                <w:szCs w:val="20"/>
              </w:rPr>
              <w:t>0.1</w:t>
            </w:r>
          </w:p>
        </w:tc>
      </w:tr>
      <w:tr>
        <w:trPr/>
        <w:tc>
          <w:tcPr>
            <w:tcW w:w="2488" w:type="dxa"/>
            <w:vMerge w:val="restart"/>
            <w:tcBorders/>
            <w:vAlign w:val="center"/>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lang w:val="lt-LT"/>
              </w:rPr>
            </w:pPr>
            <w:r>
              <w:rPr>
                <w:rFonts w:cs="Segoe UI" w:ascii="Cambria" w:hAnsi="Cambria"/>
                <w:b w:val="false"/>
                <w:bCs w:val="false"/>
                <w:i w:val="false"/>
                <w:iCs w:val="false"/>
                <w:strike w:val="false"/>
                <w:dstrike w:val="false"/>
                <w:outline w:val="false"/>
                <w:shadow w:val="false"/>
                <w:color w:val="000000"/>
                <w:sz w:val="20"/>
                <w:szCs w:val="20"/>
                <w:u w:val="none"/>
                <w:lang w:val="lt-LT"/>
              </w:rPr>
              <w:t>Šiauliai</w:t>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PNC</w:t>
            </w:r>
          </w:p>
        </w:tc>
        <w:tc>
          <w:tcPr>
            <w:tcW w:w="2814" w:type="dxa"/>
            <w:tcBorders/>
          </w:tcPr>
          <w:p>
            <w:pPr>
              <w:pStyle w:val="TableContents"/>
              <w:bidi w:val="0"/>
              <w:jc w:val="end"/>
              <w:rPr>
                <w:rFonts w:ascii="Cambria" w:hAnsi="Cambria"/>
                <w:sz w:val="20"/>
                <w:szCs w:val="20"/>
              </w:rPr>
            </w:pPr>
            <w:r>
              <w:rPr>
                <w:rFonts w:ascii="Cambria" w:hAnsi="Cambria"/>
                <w:sz w:val="20"/>
                <w:szCs w:val="20"/>
              </w:rPr>
              <w:t>441648</w:t>
            </w:r>
          </w:p>
        </w:tc>
        <w:tc>
          <w:tcPr>
            <w:tcW w:w="1247" w:type="dxa"/>
            <w:tcBorders/>
          </w:tcPr>
          <w:p>
            <w:pPr>
              <w:pStyle w:val="TableContents"/>
              <w:bidi w:val="0"/>
              <w:jc w:val="end"/>
              <w:rPr>
                <w:rFonts w:ascii="Cambria" w:hAnsi="Cambria"/>
                <w:sz w:val="20"/>
                <w:szCs w:val="20"/>
              </w:rPr>
            </w:pPr>
            <w:r>
              <w:rPr>
                <w:rFonts w:ascii="Cambria" w:hAnsi="Cambria"/>
                <w:sz w:val="20"/>
                <w:szCs w:val="20"/>
              </w:rPr>
              <w:t>10.64</w:t>
            </w:r>
          </w:p>
        </w:tc>
        <w:tc>
          <w:tcPr>
            <w:tcW w:w="1246" w:type="dxa"/>
            <w:tcBorders/>
          </w:tcPr>
          <w:p>
            <w:pPr>
              <w:pStyle w:val="TableContents"/>
              <w:bidi w:val="0"/>
              <w:jc w:val="end"/>
              <w:rPr>
                <w:rFonts w:ascii="Cambria" w:hAnsi="Cambria"/>
                <w:sz w:val="20"/>
                <w:szCs w:val="20"/>
              </w:rPr>
            </w:pPr>
            <w:r>
              <w:rPr>
                <w:rFonts w:ascii="Cambria" w:hAnsi="Cambria"/>
                <w:sz w:val="20"/>
                <w:szCs w:val="20"/>
              </w:rPr>
              <w:t>1.94</w:t>
            </w:r>
          </w:p>
        </w:tc>
        <w:tc>
          <w:tcPr>
            <w:tcW w:w="1248" w:type="dxa"/>
            <w:tcBorders/>
          </w:tcPr>
          <w:p>
            <w:pPr>
              <w:pStyle w:val="TableContents"/>
              <w:bidi w:val="0"/>
              <w:jc w:val="end"/>
              <w:rPr>
                <w:rFonts w:ascii="Cambria" w:hAnsi="Cambria"/>
                <w:sz w:val="20"/>
                <w:szCs w:val="20"/>
              </w:rPr>
            </w:pPr>
            <w:r>
              <w:rPr>
                <w:rFonts w:ascii="Cambria" w:hAnsi="Cambria"/>
                <w:sz w:val="20"/>
                <w:szCs w:val="20"/>
              </w:rPr>
              <w:t>0.53</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UFP</w:t>
            </w:r>
          </w:p>
        </w:tc>
        <w:tc>
          <w:tcPr>
            <w:tcW w:w="2814" w:type="dxa"/>
            <w:tcBorders/>
          </w:tcPr>
          <w:p>
            <w:pPr>
              <w:pStyle w:val="TableContents"/>
              <w:bidi w:val="0"/>
              <w:jc w:val="end"/>
              <w:rPr>
                <w:rFonts w:ascii="Cambria" w:hAnsi="Cambria"/>
                <w:sz w:val="20"/>
                <w:szCs w:val="20"/>
              </w:rPr>
            </w:pPr>
            <w:r>
              <w:rPr>
                <w:rFonts w:ascii="Cambria" w:hAnsi="Cambria"/>
                <w:sz w:val="20"/>
                <w:szCs w:val="20"/>
              </w:rPr>
              <w:t>454221</w:t>
            </w:r>
          </w:p>
        </w:tc>
        <w:tc>
          <w:tcPr>
            <w:tcW w:w="1247" w:type="dxa"/>
            <w:tcBorders/>
          </w:tcPr>
          <w:p>
            <w:pPr>
              <w:pStyle w:val="TableContents"/>
              <w:bidi w:val="0"/>
              <w:jc w:val="end"/>
              <w:rPr>
                <w:rFonts w:ascii="Cambria" w:hAnsi="Cambria"/>
                <w:sz w:val="20"/>
                <w:szCs w:val="20"/>
              </w:rPr>
            </w:pPr>
            <w:r>
              <w:rPr>
                <w:rFonts w:ascii="Cambria" w:hAnsi="Cambria"/>
                <w:sz w:val="20"/>
                <w:szCs w:val="20"/>
              </w:rPr>
              <w:t>10.52</w:t>
            </w:r>
          </w:p>
        </w:tc>
        <w:tc>
          <w:tcPr>
            <w:tcW w:w="1246" w:type="dxa"/>
            <w:tcBorders/>
          </w:tcPr>
          <w:p>
            <w:pPr>
              <w:pStyle w:val="TableContents"/>
              <w:bidi w:val="0"/>
              <w:jc w:val="end"/>
              <w:rPr>
                <w:rFonts w:ascii="Cambria" w:hAnsi="Cambria"/>
                <w:sz w:val="20"/>
                <w:szCs w:val="20"/>
              </w:rPr>
            </w:pPr>
            <w:r>
              <w:rPr>
                <w:rFonts w:ascii="Cambria" w:hAnsi="Cambria"/>
                <w:sz w:val="20"/>
                <w:szCs w:val="20"/>
              </w:rPr>
              <w:t>1.91</w:t>
            </w:r>
          </w:p>
        </w:tc>
        <w:tc>
          <w:tcPr>
            <w:tcW w:w="1248" w:type="dxa"/>
            <w:tcBorders/>
          </w:tcPr>
          <w:p>
            <w:pPr>
              <w:pStyle w:val="TableContents"/>
              <w:bidi w:val="0"/>
              <w:jc w:val="end"/>
              <w:rPr>
                <w:rFonts w:ascii="Cambria" w:hAnsi="Cambria"/>
                <w:sz w:val="20"/>
                <w:szCs w:val="20"/>
              </w:rPr>
            </w:pPr>
            <w:r>
              <w:rPr>
                <w:rFonts w:ascii="Cambria" w:hAnsi="Cambria"/>
                <w:sz w:val="20"/>
                <w:szCs w:val="20"/>
              </w:rPr>
              <w:t>0.51</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ACCU</w:t>
            </w:r>
          </w:p>
        </w:tc>
        <w:tc>
          <w:tcPr>
            <w:tcW w:w="2814" w:type="dxa"/>
            <w:tcBorders/>
          </w:tcPr>
          <w:p>
            <w:pPr>
              <w:pStyle w:val="TableContents"/>
              <w:bidi w:val="0"/>
              <w:jc w:val="end"/>
              <w:rPr>
                <w:rFonts w:ascii="Cambria" w:hAnsi="Cambria"/>
                <w:sz w:val="20"/>
                <w:szCs w:val="20"/>
              </w:rPr>
            </w:pPr>
            <w:r>
              <w:rPr>
                <w:rFonts w:ascii="Cambria" w:hAnsi="Cambria"/>
                <w:sz w:val="20"/>
                <w:szCs w:val="20"/>
              </w:rPr>
              <w:t>38102</w:t>
            </w:r>
          </w:p>
        </w:tc>
        <w:tc>
          <w:tcPr>
            <w:tcW w:w="1247" w:type="dxa"/>
            <w:tcBorders/>
          </w:tcPr>
          <w:p>
            <w:pPr>
              <w:pStyle w:val="TableContents"/>
              <w:bidi w:val="0"/>
              <w:jc w:val="end"/>
              <w:rPr>
                <w:rFonts w:ascii="Cambria" w:hAnsi="Cambria"/>
                <w:sz w:val="20"/>
                <w:szCs w:val="20"/>
              </w:rPr>
            </w:pPr>
            <w:r>
              <w:rPr>
                <w:rFonts w:ascii="Cambria" w:hAnsi="Cambria"/>
                <w:sz w:val="20"/>
                <w:szCs w:val="20"/>
              </w:rPr>
              <w:t>12.2</w:t>
            </w:r>
          </w:p>
        </w:tc>
        <w:tc>
          <w:tcPr>
            <w:tcW w:w="1246" w:type="dxa"/>
            <w:tcBorders/>
          </w:tcPr>
          <w:p>
            <w:pPr>
              <w:pStyle w:val="TableContents"/>
              <w:bidi w:val="0"/>
              <w:jc w:val="end"/>
              <w:rPr>
                <w:rFonts w:ascii="Cambria" w:hAnsi="Cambria"/>
                <w:sz w:val="20"/>
                <w:szCs w:val="20"/>
              </w:rPr>
            </w:pPr>
            <w:r>
              <w:rPr>
                <w:rFonts w:ascii="Cambria" w:hAnsi="Cambria"/>
                <w:sz w:val="20"/>
                <w:szCs w:val="20"/>
              </w:rPr>
              <w:t>1.99</w:t>
            </w:r>
          </w:p>
        </w:tc>
        <w:tc>
          <w:tcPr>
            <w:tcW w:w="1248" w:type="dxa"/>
            <w:tcBorders/>
          </w:tcPr>
          <w:p>
            <w:pPr>
              <w:pStyle w:val="TableContents"/>
              <w:bidi w:val="0"/>
              <w:jc w:val="end"/>
              <w:rPr>
                <w:rFonts w:ascii="Cambria" w:hAnsi="Cambria"/>
                <w:sz w:val="20"/>
                <w:szCs w:val="20"/>
              </w:rPr>
            </w:pPr>
            <w:r>
              <w:rPr>
                <w:rFonts w:ascii="Cambria" w:hAnsi="Cambria"/>
                <w:sz w:val="20"/>
                <w:szCs w:val="20"/>
              </w:rPr>
              <w:t>0.42</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COARSE</w:t>
            </w:r>
          </w:p>
        </w:tc>
        <w:tc>
          <w:tcPr>
            <w:tcW w:w="2814" w:type="dxa"/>
            <w:tcBorders/>
          </w:tcPr>
          <w:p>
            <w:pPr>
              <w:pStyle w:val="TableContents"/>
              <w:bidi w:val="0"/>
              <w:jc w:val="end"/>
              <w:rPr>
                <w:rFonts w:ascii="Cambria" w:hAnsi="Cambria"/>
                <w:sz w:val="20"/>
                <w:szCs w:val="20"/>
              </w:rPr>
            </w:pPr>
            <w:r>
              <w:rPr>
                <w:rFonts w:ascii="Cambria" w:hAnsi="Cambria"/>
                <w:sz w:val="20"/>
                <w:szCs w:val="20"/>
              </w:rPr>
              <w:t>167</w:t>
            </w:r>
          </w:p>
        </w:tc>
        <w:tc>
          <w:tcPr>
            <w:tcW w:w="1247" w:type="dxa"/>
            <w:tcBorders/>
          </w:tcPr>
          <w:p>
            <w:pPr>
              <w:pStyle w:val="TableContents"/>
              <w:bidi w:val="0"/>
              <w:jc w:val="end"/>
              <w:rPr>
                <w:rFonts w:ascii="Cambria" w:hAnsi="Cambria"/>
                <w:sz w:val="20"/>
                <w:szCs w:val="20"/>
              </w:rPr>
            </w:pPr>
            <w:r>
              <w:rPr>
                <w:rFonts w:ascii="Cambria" w:hAnsi="Cambria"/>
                <w:sz w:val="20"/>
                <w:szCs w:val="20"/>
              </w:rPr>
              <w:t>3.75</w:t>
            </w:r>
          </w:p>
        </w:tc>
        <w:tc>
          <w:tcPr>
            <w:tcW w:w="1246" w:type="dxa"/>
            <w:tcBorders/>
          </w:tcPr>
          <w:p>
            <w:pPr>
              <w:pStyle w:val="TableContents"/>
              <w:bidi w:val="0"/>
              <w:jc w:val="end"/>
              <w:rPr>
                <w:rFonts w:ascii="Cambria" w:hAnsi="Cambria"/>
                <w:sz w:val="20"/>
                <w:szCs w:val="20"/>
              </w:rPr>
            </w:pPr>
            <w:r>
              <w:rPr>
                <w:rFonts w:ascii="Cambria" w:hAnsi="Cambria"/>
                <w:sz w:val="20"/>
                <w:szCs w:val="20"/>
              </w:rPr>
              <w:t>1.66</w:t>
            </w:r>
          </w:p>
        </w:tc>
        <w:tc>
          <w:tcPr>
            <w:tcW w:w="1248" w:type="dxa"/>
            <w:tcBorders/>
          </w:tcPr>
          <w:p>
            <w:pPr>
              <w:pStyle w:val="TableContents"/>
              <w:bidi w:val="0"/>
              <w:jc w:val="end"/>
              <w:rPr>
                <w:rFonts w:ascii="Cambria" w:hAnsi="Cambria"/>
                <w:sz w:val="20"/>
                <w:szCs w:val="20"/>
              </w:rPr>
            </w:pPr>
            <w:r>
              <w:rPr>
                <w:rFonts w:ascii="Cambria" w:hAnsi="Cambria"/>
                <w:sz w:val="20"/>
                <w:szCs w:val="20"/>
              </w:rPr>
              <w:t>7.16</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eBC</w:t>
            </w:r>
          </w:p>
        </w:tc>
        <w:tc>
          <w:tcPr>
            <w:tcW w:w="2814" w:type="dxa"/>
            <w:tcBorders/>
          </w:tcPr>
          <w:p>
            <w:pPr>
              <w:pStyle w:val="TableContents"/>
              <w:bidi w:val="0"/>
              <w:jc w:val="end"/>
              <w:rPr>
                <w:rFonts w:ascii="Cambria" w:hAnsi="Cambria"/>
                <w:sz w:val="20"/>
                <w:szCs w:val="20"/>
              </w:rPr>
            </w:pPr>
            <w:r>
              <w:rPr>
                <w:rFonts w:ascii="Cambria" w:hAnsi="Cambria"/>
                <w:sz w:val="20"/>
                <w:szCs w:val="20"/>
              </w:rPr>
              <w:t>144583</w:t>
            </w:r>
          </w:p>
        </w:tc>
        <w:tc>
          <w:tcPr>
            <w:tcW w:w="1247" w:type="dxa"/>
            <w:tcBorders/>
          </w:tcPr>
          <w:p>
            <w:pPr>
              <w:pStyle w:val="TableContents"/>
              <w:bidi w:val="0"/>
              <w:jc w:val="end"/>
              <w:rPr>
                <w:rFonts w:ascii="Cambria" w:hAnsi="Cambria"/>
                <w:sz w:val="20"/>
                <w:szCs w:val="20"/>
              </w:rPr>
            </w:pPr>
            <w:r>
              <w:rPr>
                <w:rFonts w:ascii="Cambria" w:hAnsi="Cambria"/>
                <w:sz w:val="20"/>
                <w:szCs w:val="20"/>
              </w:rPr>
              <w:t>15</w:t>
            </w:r>
          </w:p>
        </w:tc>
        <w:tc>
          <w:tcPr>
            <w:tcW w:w="1246" w:type="dxa"/>
            <w:tcBorders/>
          </w:tcPr>
          <w:p>
            <w:pPr>
              <w:pStyle w:val="TableContents"/>
              <w:bidi w:val="0"/>
              <w:jc w:val="end"/>
              <w:rPr>
                <w:rFonts w:ascii="Cambria" w:hAnsi="Cambria"/>
                <w:sz w:val="20"/>
                <w:szCs w:val="20"/>
              </w:rPr>
            </w:pPr>
            <w:r>
              <w:rPr>
                <w:rFonts w:ascii="Cambria" w:hAnsi="Cambria"/>
                <w:sz w:val="20"/>
                <w:szCs w:val="20"/>
              </w:rPr>
              <w:t>3.56</w:t>
            </w:r>
          </w:p>
        </w:tc>
        <w:tc>
          <w:tcPr>
            <w:tcW w:w="1248" w:type="dxa"/>
            <w:tcBorders/>
          </w:tcPr>
          <w:p>
            <w:pPr>
              <w:pStyle w:val="TableContents"/>
              <w:bidi w:val="0"/>
              <w:jc w:val="end"/>
              <w:rPr>
                <w:rFonts w:ascii="Cambria" w:hAnsi="Cambria"/>
                <w:sz w:val="20"/>
                <w:szCs w:val="20"/>
              </w:rPr>
            </w:pPr>
            <w:r>
              <w:rPr>
                <w:rFonts w:ascii="Cambria" w:hAnsi="Cambria"/>
                <w:sz w:val="20"/>
                <w:szCs w:val="20"/>
              </w:rPr>
              <w:t>0.1</w:t>
            </w:r>
          </w:p>
        </w:tc>
      </w:tr>
      <w:tr>
        <w:trPr/>
        <w:tc>
          <w:tcPr>
            <w:tcW w:w="2488" w:type="dxa"/>
            <w:vMerge w:val="restart"/>
            <w:tcBorders/>
            <w:vAlign w:val="center"/>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lang w:val="lt-LT"/>
              </w:rPr>
            </w:pPr>
            <w:r>
              <w:rPr>
                <w:rFonts w:cs="Segoe UI" w:ascii="Cambria" w:hAnsi="Cambria"/>
                <w:b w:val="false"/>
                <w:bCs w:val="false"/>
                <w:i w:val="false"/>
                <w:iCs w:val="false"/>
                <w:strike w:val="false"/>
                <w:dstrike w:val="false"/>
                <w:outline w:val="false"/>
                <w:shadow w:val="false"/>
                <w:color w:val="000000"/>
                <w:sz w:val="20"/>
                <w:szCs w:val="20"/>
                <w:u w:val="none"/>
                <w:lang w:val="lt-LT"/>
              </w:rPr>
              <w:t>Klaipėda</w:t>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PNC</w:t>
            </w:r>
          </w:p>
        </w:tc>
        <w:tc>
          <w:tcPr>
            <w:tcW w:w="2814" w:type="dxa"/>
            <w:tcBorders/>
          </w:tcPr>
          <w:p>
            <w:pPr>
              <w:pStyle w:val="TableContents"/>
              <w:bidi w:val="0"/>
              <w:jc w:val="end"/>
              <w:rPr>
                <w:rFonts w:ascii="Cambria" w:hAnsi="Cambria"/>
                <w:sz w:val="20"/>
                <w:szCs w:val="20"/>
              </w:rPr>
            </w:pPr>
            <w:r>
              <w:rPr>
                <w:rFonts w:ascii="Cambria" w:hAnsi="Cambria"/>
                <w:sz w:val="20"/>
                <w:szCs w:val="20"/>
              </w:rPr>
              <w:t>485426</w:t>
            </w:r>
          </w:p>
        </w:tc>
        <w:tc>
          <w:tcPr>
            <w:tcW w:w="1247" w:type="dxa"/>
            <w:tcBorders/>
          </w:tcPr>
          <w:p>
            <w:pPr>
              <w:pStyle w:val="TableContents"/>
              <w:bidi w:val="0"/>
              <w:jc w:val="end"/>
              <w:rPr>
                <w:rFonts w:ascii="Cambria" w:hAnsi="Cambria"/>
                <w:sz w:val="20"/>
                <w:szCs w:val="20"/>
              </w:rPr>
            </w:pPr>
            <w:r>
              <w:rPr>
                <w:rFonts w:ascii="Cambria" w:hAnsi="Cambria"/>
                <w:sz w:val="20"/>
                <w:szCs w:val="20"/>
              </w:rPr>
              <w:t>10.38</w:t>
            </w:r>
          </w:p>
        </w:tc>
        <w:tc>
          <w:tcPr>
            <w:tcW w:w="1246" w:type="dxa"/>
            <w:tcBorders/>
          </w:tcPr>
          <w:p>
            <w:pPr>
              <w:pStyle w:val="TableContents"/>
              <w:bidi w:val="0"/>
              <w:jc w:val="end"/>
              <w:rPr>
                <w:rFonts w:ascii="Cambria" w:hAnsi="Cambria"/>
                <w:sz w:val="20"/>
                <w:szCs w:val="20"/>
              </w:rPr>
            </w:pPr>
            <w:r>
              <w:rPr>
                <w:rFonts w:ascii="Cambria" w:hAnsi="Cambria"/>
                <w:sz w:val="20"/>
                <w:szCs w:val="20"/>
              </w:rPr>
              <w:t>1.94</w:t>
            </w:r>
          </w:p>
        </w:tc>
        <w:tc>
          <w:tcPr>
            <w:tcW w:w="1248" w:type="dxa"/>
            <w:tcBorders/>
          </w:tcPr>
          <w:p>
            <w:pPr>
              <w:pStyle w:val="TableContents"/>
              <w:bidi w:val="0"/>
              <w:jc w:val="end"/>
              <w:rPr>
                <w:rFonts w:ascii="Cambria" w:hAnsi="Cambria"/>
                <w:sz w:val="20"/>
                <w:szCs w:val="20"/>
              </w:rPr>
            </w:pPr>
            <w:r>
              <w:rPr>
                <w:rFonts w:ascii="Cambria" w:hAnsi="Cambria"/>
                <w:sz w:val="20"/>
                <w:szCs w:val="20"/>
              </w:rPr>
              <w:t>0.45</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UFP</w:t>
            </w:r>
          </w:p>
        </w:tc>
        <w:tc>
          <w:tcPr>
            <w:tcW w:w="2814" w:type="dxa"/>
            <w:tcBorders/>
          </w:tcPr>
          <w:p>
            <w:pPr>
              <w:pStyle w:val="TableContents"/>
              <w:bidi w:val="0"/>
              <w:jc w:val="end"/>
              <w:rPr>
                <w:rFonts w:ascii="Cambria" w:hAnsi="Cambria"/>
                <w:sz w:val="20"/>
                <w:szCs w:val="20"/>
              </w:rPr>
            </w:pPr>
            <w:r>
              <w:rPr>
                <w:rFonts w:ascii="Cambria" w:hAnsi="Cambria"/>
                <w:sz w:val="20"/>
                <w:szCs w:val="20"/>
              </w:rPr>
              <w:t>464873</w:t>
            </w:r>
          </w:p>
        </w:tc>
        <w:tc>
          <w:tcPr>
            <w:tcW w:w="1247" w:type="dxa"/>
            <w:tcBorders/>
          </w:tcPr>
          <w:p>
            <w:pPr>
              <w:pStyle w:val="TableContents"/>
              <w:bidi w:val="0"/>
              <w:jc w:val="end"/>
              <w:rPr>
                <w:rFonts w:ascii="Cambria" w:hAnsi="Cambria"/>
                <w:sz w:val="20"/>
                <w:szCs w:val="20"/>
              </w:rPr>
            </w:pPr>
            <w:r>
              <w:rPr>
                <w:rFonts w:ascii="Cambria" w:hAnsi="Cambria"/>
                <w:sz w:val="20"/>
                <w:szCs w:val="20"/>
              </w:rPr>
              <w:t>10.34</w:t>
            </w:r>
          </w:p>
        </w:tc>
        <w:tc>
          <w:tcPr>
            <w:tcW w:w="1246" w:type="dxa"/>
            <w:tcBorders/>
          </w:tcPr>
          <w:p>
            <w:pPr>
              <w:pStyle w:val="TableContents"/>
              <w:bidi w:val="0"/>
              <w:jc w:val="end"/>
              <w:rPr>
                <w:rFonts w:ascii="Cambria" w:hAnsi="Cambria"/>
                <w:sz w:val="20"/>
                <w:szCs w:val="20"/>
              </w:rPr>
            </w:pPr>
            <w:r>
              <w:rPr>
                <w:rFonts w:ascii="Cambria" w:hAnsi="Cambria"/>
                <w:sz w:val="20"/>
                <w:szCs w:val="20"/>
              </w:rPr>
              <w:t>1.97</w:t>
            </w:r>
          </w:p>
        </w:tc>
        <w:tc>
          <w:tcPr>
            <w:tcW w:w="1248" w:type="dxa"/>
            <w:tcBorders/>
          </w:tcPr>
          <w:p>
            <w:pPr>
              <w:pStyle w:val="TableContents"/>
              <w:bidi w:val="0"/>
              <w:jc w:val="end"/>
              <w:rPr>
                <w:rFonts w:ascii="Cambria" w:hAnsi="Cambria"/>
                <w:sz w:val="20"/>
                <w:szCs w:val="20"/>
              </w:rPr>
            </w:pPr>
            <w:r>
              <w:rPr>
                <w:rFonts w:ascii="Cambria" w:hAnsi="Cambria"/>
                <w:sz w:val="20"/>
                <w:szCs w:val="20"/>
              </w:rPr>
              <w:t>0.44</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ACCU</w:t>
            </w:r>
          </w:p>
        </w:tc>
        <w:tc>
          <w:tcPr>
            <w:tcW w:w="2814" w:type="dxa"/>
            <w:tcBorders/>
          </w:tcPr>
          <w:p>
            <w:pPr>
              <w:pStyle w:val="TableContents"/>
              <w:bidi w:val="0"/>
              <w:jc w:val="end"/>
              <w:rPr>
                <w:rFonts w:ascii="Cambria" w:hAnsi="Cambria"/>
                <w:sz w:val="20"/>
                <w:szCs w:val="20"/>
              </w:rPr>
            </w:pPr>
            <w:r>
              <w:rPr>
                <w:rFonts w:ascii="Cambria" w:hAnsi="Cambria"/>
                <w:sz w:val="20"/>
                <w:szCs w:val="20"/>
              </w:rPr>
              <w:t>42276</w:t>
            </w:r>
          </w:p>
        </w:tc>
        <w:tc>
          <w:tcPr>
            <w:tcW w:w="1247" w:type="dxa"/>
            <w:tcBorders/>
          </w:tcPr>
          <w:p>
            <w:pPr>
              <w:pStyle w:val="TableContents"/>
              <w:bidi w:val="0"/>
              <w:jc w:val="end"/>
              <w:rPr>
                <w:rFonts w:ascii="Cambria" w:hAnsi="Cambria"/>
                <w:sz w:val="20"/>
                <w:szCs w:val="20"/>
              </w:rPr>
            </w:pPr>
            <w:r>
              <w:rPr>
                <w:rFonts w:ascii="Cambria" w:hAnsi="Cambria"/>
                <w:sz w:val="20"/>
                <w:szCs w:val="20"/>
              </w:rPr>
              <w:t>12.27</w:t>
            </w:r>
          </w:p>
        </w:tc>
        <w:tc>
          <w:tcPr>
            <w:tcW w:w="1246" w:type="dxa"/>
            <w:tcBorders/>
          </w:tcPr>
          <w:p>
            <w:pPr>
              <w:pStyle w:val="TableContents"/>
              <w:bidi w:val="0"/>
              <w:jc w:val="end"/>
              <w:rPr>
                <w:rFonts w:ascii="Cambria" w:hAnsi="Cambria"/>
                <w:sz w:val="20"/>
                <w:szCs w:val="20"/>
              </w:rPr>
            </w:pPr>
            <w:r>
              <w:rPr>
                <w:rFonts w:ascii="Cambria" w:hAnsi="Cambria"/>
                <w:sz w:val="20"/>
                <w:szCs w:val="20"/>
              </w:rPr>
              <w:t>2.02</w:t>
            </w:r>
          </w:p>
        </w:tc>
        <w:tc>
          <w:tcPr>
            <w:tcW w:w="1248" w:type="dxa"/>
            <w:tcBorders/>
          </w:tcPr>
          <w:p>
            <w:pPr>
              <w:pStyle w:val="TableContents"/>
              <w:bidi w:val="0"/>
              <w:jc w:val="end"/>
              <w:rPr>
                <w:rFonts w:ascii="Cambria" w:hAnsi="Cambria"/>
                <w:sz w:val="20"/>
                <w:szCs w:val="20"/>
              </w:rPr>
            </w:pPr>
            <w:r>
              <w:rPr>
                <w:rFonts w:ascii="Cambria" w:hAnsi="Cambria"/>
                <w:sz w:val="20"/>
                <w:szCs w:val="20"/>
              </w:rPr>
              <w:t>0.44</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COARSE</w:t>
            </w:r>
          </w:p>
        </w:tc>
        <w:tc>
          <w:tcPr>
            <w:tcW w:w="2814" w:type="dxa"/>
            <w:tcBorders/>
          </w:tcPr>
          <w:p>
            <w:pPr>
              <w:pStyle w:val="TableContents"/>
              <w:bidi w:val="0"/>
              <w:jc w:val="end"/>
              <w:rPr>
                <w:rFonts w:ascii="Cambria" w:hAnsi="Cambria"/>
                <w:sz w:val="20"/>
                <w:szCs w:val="20"/>
              </w:rPr>
            </w:pPr>
            <w:r>
              <w:rPr>
                <w:rFonts w:ascii="Cambria" w:hAnsi="Cambria"/>
                <w:sz w:val="20"/>
                <w:szCs w:val="20"/>
              </w:rPr>
              <w:t>168</w:t>
            </w:r>
          </w:p>
        </w:tc>
        <w:tc>
          <w:tcPr>
            <w:tcW w:w="1247" w:type="dxa"/>
            <w:tcBorders/>
          </w:tcPr>
          <w:p>
            <w:pPr>
              <w:pStyle w:val="TableContents"/>
              <w:bidi w:val="0"/>
              <w:jc w:val="end"/>
              <w:rPr>
                <w:rFonts w:ascii="Cambria" w:hAnsi="Cambria"/>
                <w:sz w:val="20"/>
                <w:szCs w:val="20"/>
              </w:rPr>
            </w:pPr>
            <w:r>
              <w:rPr>
                <w:rFonts w:ascii="Cambria" w:hAnsi="Cambria"/>
                <w:sz w:val="20"/>
                <w:szCs w:val="20"/>
              </w:rPr>
              <w:t>3.94</w:t>
            </w:r>
          </w:p>
        </w:tc>
        <w:tc>
          <w:tcPr>
            <w:tcW w:w="1246" w:type="dxa"/>
            <w:tcBorders/>
          </w:tcPr>
          <w:p>
            <w:pPr>
              <w:pStyle w:val="TableContents"/>
              <w:bidi w:val="0"/>
              <w:jc w:val="end"/>
              <w:rPr>
                <w:rFonts w:ascii="Cambria" w:hAnsi="Cambria"/>
                <w:sz w:val="20"/>
                <w:szCs w:val="20"/>
              </w:rPr>
            </w:pPr>
            <w:r>
              <w:rPr>
                <w:rFonts w:ascii="Cambria" w:hAnsi="Cambria"/>
                <w:sz w:val="20"/>
                <w:szCs w:val="20"/>
              </w:rPr>
              <w:t>1.58</w:t>
            </w:r>
          </w:p>
        </w:tc>
        <w:tc>
          <w:tcPr>
            <w:tcW w:w="1248" w:type="dxa"/>
            <w:tcBorders/>
          </w:tcPr>
          <w:p>
            <w:pPr>
              <w:pStyle w:val="TableContents"/>
              <w:bidi w:val="0"/>
              <w:jc w:val="end"/>
              <w:rPr>
                <w:rFonts w:ascii="Cambria" w:hAnsi="Cambria"/>
                <w:sz w:val="20"/>
                <w:szCs w:val="20"/>
              </w:rPr>
            </w:pPr>
            <w:r>
              <w:rPr>
                <w:rFonts w:ascii="Cambria" w:hAnsi="Cambria"/>
                <w:sz w:val="20"/>
                <w:szCs w:val="20"/>
              </w:rPr>
              <w:t>22.22</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eBC</w:t>
            </w:r>
          </w:p>
        </w:tc>
        <w:tc>
          <w:tcPr>
            <w:tcW w:w="2814" w:type="dxa"/>
            <w:tcBorders/>
          </w:tcPr>
          <w:p>
            <w:pPr>
              <w:pStyle w:val="TableContents"/>
              <w:bidi w:val="0"/>
              <w:jc w:val="end"/>
              <w:rPr>
                <w:rFonts w:ascii="Cambria" w:hAnsi="Cambria"/>
                <w:sz w:val="20"/>
                <w:szCs w:val="20"/>
              </w:rPr>
            </w:pPr>
            <w:r>
              <w:rPr>
                <w:rFonts w:ascii="Cambria" w:hAnsi="Cambria"/>
                <w:sz w:val="20"/>
                <w:szCs w:val="20"/>
              </w:rPr>
              <w:t>145600</w:t>
            </w:r>
          </w:p>
        </w:tc>
        <w:tc>
          <w:tcPr>
            <w:tcW w:w="1247" w:type="dxa"/>
            <w:tcBorders/>
          </w:tcPr>
          <w:p>
            <w:pPr>
              <w:pStyle w:val="TableContents"/>
              <w:bidi w:val="0"/>
              <w:jc w:val="end"/>
              <w:rPr>
                <w:rFonts w:ascii="Cambria" w:hAnsi="Cambria"/>
                <w:sz w:val="20"/>
                <w:szCs w:val="20"/>
              </w:rPr>
            </w:pPr>
            <w:r>
              <w:rPr>
                <w:rFonts w:ascii="Cambria" w:hAnsi="Cambria"/>
                <w:sz w:val="20"/>
                <w:szCs w:val="20"/>
              </w:rPr>
              <w:t>15.12</w:t>
            </w:r>
          </w:p>
        </w:tc>
        <w:tc>
          <w:tcPr>
            <w:tcW w:w="1246" w:type="dxa"/>
            <w:tcBorders/>
          </w:tcPr>
          <w:p>
            <w:pPr>
              <w:pStyle w:val="TableContents"/>
              <w:bidi w:val="0"/>
              <w:jc w:val="end"/>
              <w:rPr>
                <w:rFonts w:ascii="Cambria" w:hAnsi="Cambria"/>
                <w:sz w:val="20"/>
                <w:szCs w:val="20"/>
              </w:rPr>
            </w:pPr>
            <w:r>
              <w:rPr>
                <w:rFonts w:ascii="Cambria" w:hAnsi="Cambria"/>
                <w:sz w:val="20"/>
                <w:szCs w:val="20"/>
              </w:rPr>
              <w:t>3.71</w:t>
            </w:r>
          </w:p>
        </w:tc>
        <w:tc>
          <w:tcPr>
            <w:tcW w:w="1248" w:type="dxa"/>
            <w:tcBorders/>
          </w:tcPr>
          <w:p>
            <w:pPr>
              <w:pStyle w:val="TableContents"/>
              <w:bidi w:val="0"/>
              <w:jc w:val="end"/>
              <w:rPr>
                <w:rFonts w:ascii="Cambria" w:hAnsi="Cambria"/>
                <w:sz w:val="20"/>
                <w:szCs w:val="20"/>
              </w:rPr>
            </w:pPr>
            <w:r>
              <w:rPr>
                <w:rFonts w:ascii="Cambria" w:hAnsi="Cambria"/>
                <w:sz w:val="20"/>
                <w:szCs w:val="20"/>
              </w:rPr>
              <w:t>0.1</w:t>
            </w:r>
          </w:p>
        </w:tc>
      </w:tr>
      <w:tr>
        <w:trPr/>
        <w:tc>
          <w:tcPr>
            <w:tcW w:w="2488" w:type="dxa"/>
            <w:vMerge w:val="restart"/>
            <w:tcBorders/>
            <w:vAlign w:val="center"/>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lang w:val="lt-LT"/>
              </w:rPr>
            </w:pPr>
            <w:r>
              <w:rPr>
                <w:rFonts w:cs="Segoe UI" w:ascii="Cambria" w:hAnsi="Cambria"/>
                <w:b w:val="false"/>
                <w:bCs w:val="false"/>
                <w:i w:val="false"/>
                <w:iCs w:val="false"/>
                <w:strike w:val="false"/>
                <w:dstrike w:val="false"/>
                <w:outline w:val="false"/>
                <w:shadow w:val="false"/>
                <w:color w:val="000000"/>
                <w:sz w:val="20"/>
                <w:szCs w:val="20"/>
                <w:u w:val="none"/>
                <w:lang w:val="lt-LT"/>
              </w:rPr>
              <w:t>Kaunas</w:t>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PNC</w:t>
            </w:r>
          </w:p>
        </w:tc>
        <w:tc>
          <w:tcPr>
            <w:tcW w:w="2814" w:type="dxa"/>
            <w:tcBorders/>
          </w:tcPr>
          <w:p>
            <w:pPr>
              <w:pStyle w:val="TableContents"/>
              <w:bidi w:val="0"/>
              <w:jc w:val="end"/>
              <w:rPr>
                <w:rFonts w:ascii="Cambria" w:hAnsi="Cambria"/>
                <w:sz w:val="20"/>
                <w:szCs w:val="20"/>
              </w:rPr>
            </w:pPr>
            <w:r>
              <w:rPr>
                <w:rFonts w:ascii="Cambria" w:hAnsi="Cambria"/>
                <w:sz w:val="20"/>
                <w:szCs w:val="20"/>
              </w:rPr>
              <w:t>534428</w:t>
            </w:r>
          </w:p>
        </w:tc>
        <w:tc>
          <w:tcPr>
            <w:tcW w:w="1247" w:type="dxa"/>
            <w:tcBorders/>
          </w:tcPr>
          <w:p>
            <w:pPr>
              <w:pStyle w:val="TableContents"/>
              <w:bidi w:val="0"/>
              <w:jc w:val="end"/>
              <w:rPr>
                <w:rFonts w:ascii="Cambria" w:hAnsi="Cambria"/>
                <w:sz w:val="20"/>
                <w:szCs w:val="20"/>
              </w:rPr>
            </w:pPr>
            <w:r>
              <w:rPr>
                <w:rFonts w:ascii="Cambria" w:hAnsi="Cambria"/>
                <w:sz w:val="20"/>
                <w:szCs w:val="20"/>
              </w:rPr>
              <w:t>10.12</w:t>
            </w:r>
          </w:p>
        </w:tc>
        <w:tc>
          <w:tcPr>
            <w:tcW w:w="1246" w:type="dxa"/>
            <w:tcBorders/>
          </w:tcPr>
          <w:p>
            <w:pPr>
              <w:pStyle w:val="TableContents"/>
              <w:bidi w:val="0"/>
              <w:jc w:val="end"/>
              <w:rPr>
                <w:rFonts w:ascii="Cambria" w:hAnsi="Cambria"/>
                <w:sz w:val="20"/>
                <w:szCs w:val="20"/>
              </w:rPr>
            </w:pPr>
            <w:r>
              <w:rPr>
                <w:rFonts w:ascii="Cambria" w:hAnsi="Cambria"/>
                <w:sz w:val="20"/>
                <w:szCs w:val="20"/>
              </w:rPr>
              <w:t>2.03</w:t>
            </w:r>
          </w:p>
        </w:tc>
        <w:tc>
          <w:tcPr>
            <w:tcW w:w="1248" w:type="dxa"/>
            <w:tcBorders/>
          </w:tcPr>
          <w:p>
            <w:pPr>
              <w:pStyle w:val="TableContents"/>
              <w:bidi w:val="0"/>
              <w:jc w:val="end"/>
              <w:rPr>
                <w:rFonts w:ascii="Cambria" w:hAnsi="Cambria"/>
                <w:sz w:val="20"/>
                <w:szCs w:val="20"/>
              </w:rPr>
            </w:pPr>
            <w:r>
              <w:rPr>
                <w:rFonts w:ascii="Cambria" w:hAnsi="Cambria"/>
                <w:sz w:val="20"/>
                <w:szCs w:val="20"/>
              </w:rPr>
              <w:t>0.36</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UFP</w:t>
            </w:r>
          </w:p>
        </w:tc>
        <w:tc>
          <w:tcPr>
            <w:tcW w:w="2814" w:type="dxa"/>
            <w:tcBorders/>
          </w:tcPr>
          <w:p>
            <w:pPr>
              <w:pStyle w:val="TableContents"/>
              <w:bidi w:val="0"/>
              <w:jc w:val="end"/>
              <w:rPr>
                <w:rFonts w:ascii="Cambria" w:hAnsi="Cambria"/>
                <w:sz w:val="20"/>
                <w:szCs w:val="20"/>
              </w:rPr>
            </w:pPr>
            <w:r>
              <w:rPr>
                <w:rFonts w:ascii="Cambria" w:hAnsi="Cambria"/>
                <w:sz w:val="20"/>
                <w:szCs w:val="20"/>
              </w:rPr>
              <w:t>524129</w:t>
            </w:r>
          </w:p>
        </w:tc>
        <w:tc>
          <w:tcPr>
            <w:tcW w:w="1247" w:type="dxa"/>
            <w:tcBorders/>
          </w:tcPr>
          <w:p>
            <w:pPr>
              <w:pStyle w:val="TableContents"/>
              <w:bidi w:val="0"/>
              <w:jc w:val="end"/>
              <w:rPr>
                <w:rFonts w:ascii="Cambria" w:hAnsi="Cambria"/>
                <w:sz w:val="20"/>
                <w:szCs w:val="20"/>
              </w:rPr>
            </w:pPr>
            <w:r>
              <w:rPr>
                <w:rFonts w:ascii="Cambria" w:hAnsi="Cambria"/>
                <w:sz w:val="20"/>
                <w:szCs w:val="20"/>
              </w:rPr>
              <w:t>10.19</w:t>
            </w:r>
          </w:p>
        </w:tc>
        <w:tc>
          <w:tcPr>
            <w:tcW w:w="1246" w:type="dxa"/>
            <w:tcBorders/>
          </w:tcPr>
          <w:p>
            <w:pPr>
              <w:pStyle w:val="TableContents"/>
              <w:bidi w:val="0"/>
              <w:jc w:val="end"/>
              <w:rPr>
                <w:rFonts w:ascii="Cambria" w:hAnsi="Cambria"/>
                <w:sz w:val="20"/>
                <w:szCs w:val="20"/>
              </w:rPr>
            </w:pPr>
            <w:r>
              <w:rPr>
                <w:rFonts w:ascii="Cambria" w:hAnsi="Cambria"/>
                <w:sz w:val="20"/>
                <w:szCs w:val="20"/>
              </w:rPr>
              <w:t>2.05</w:t>
            </w:r>
          </w:p>
        </w:tc>
        <w:tc>
          <w:tcPr>
            <w:tcW w:w="1248" w:type="dxa"/>
            <w:tcBorders/>
          </w:tcPr>
          <w:p>
            <w:pPr>
              <w:pStyle w:val="TableContents"/>
              <w:bidi w:val="0"/>
              <w:jc w:val="end"/>
              <w:rPr>
                <w:rFonts w:ascii="Cambria" w:hAnsi="Cambria"/>
                <w:sz w:val="20"/>
                <w:szCs w:val="20"/>
              </w:rPr>
            </w:pPr>
            <w:r>
              <w:rPr>
                <w:rFonts w:ascii="Cambria" w:hAnsi="Cambria"/>
                <w:sz w:val="20"/>
                <w:szCs w:val="20"/>
              </w:rPr>
              <w:t>0.38</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ACCU</w:t>
            </w:r>
          </w:p>
        </w:tc>
        <w:tc>
          <w:tcPr>
            <w:tcW w:w="2814" w:type="dxa"/>
            <w:tcBorders/>
          </w:tcPr>
          <w:p>
            <w:pPr>
              <w:pStyle w:val="TableContents"/>
              <w:bidi w:val="0"/>
              <w:jc w:val="end"/>
              <w:rPr>
                <w:rFonts w:ascii="Cambria" w:hAnsi="Cambria"/>
                <w:sz w:val="20"/>
                <w:szCs w:val="20"/>
              </w:rPr>
            </w:pPr>
            <w:r>
              <w:rPr>
                <w:rFonts w:ascii="Cambria" w:hAnsi="Cambria"/>
                <w:sz w:val="20"/>
                <w:szCs w:val="20"/>
              </w:rPr>
              <w:t>44632</w:t>
            </w:r>
          </w:p>
        </w:tc>
        <w:tc>
          <w:tcPr>
            <w:tcW w:w="1247" w:type="dxa"/>
            <w:tcBorders/>
          </w:tcPr>
          <w:p>
            <w:pPr>
              <w:pStyle w:val="TableContents"/>
              <w:bidi w:val="0"/>
              <w:jc w:val="end"/>
              <w:rPr>
                <w:rFonts w:ascii="Cambria" w:hAnsi="Cambria"/>
                <w:sz w:val="20"/>
                <w:szCs w:val="20"/>
              </w:rPr>
            </w:pPr>
            <w:r>
              <w:rPr>
                <w:rFonts w:ascii="Cambria" w:hAnsi="Cambria"/>
                <w:sz w:val="20"/>
                <w:szCs w:val="20"/>
              </w:rPr>
              <w:t>12.06</w:t>
            </w:r>
          </w:p>
        </w:tc>
        <w:tc>
          <w:tcPr>
            <w:tcW w:w="1246" w:type="dxa"/>
            <w:tcBorders/>
          </w:tcPr>
          <w:p>
            <w:pPr>
              <w:pStyle w:val="TableContents"/>
              <w:bidi w:val="0"/>
              <w:jc w:val="end"/>
              <w:rPr>
                <w:rFonts w:ascii="Cambria" w:hAnsi="Cambria"/>
                <w:sz w:val="20"/>
                <w:szCs w:val="20"/>
              </w:rPr>
            </w:pPr>
            <w:r>
              <w:rPr>
                <w:rFonts w:ascii="Cambria" w:hAnsi="Cambria"/>
                <w:sz w:val="20"/>
                <w:szCs w:val="20"/>
              </w:rPr>
              <w:t>1.94</w:t>
            </w:r>
          </w:p>
        </w:tc>
        <w:tc>
          <w:tcPr>
            <w:tcW w:w="1248" w:type="dxa"/>
            <w:tcBorders/>
          </w:tcPr>
          <w:p>
            <w:pPr>
              <w:pStyle w:val="TableContents"/>
              <w:bidi w:val="0"/>
              <w:jc w:val="end"/>
              <w:rPr>
                <w:rFonts w:ascii="Cambria" w:hAnsi="Cambria"/>
                <w:sz w:val="20"/>
                <w:szCs w:val="20"/>
              </w:rPr>
            </w:pPr>
            <w:r>
              <w:rPr>
                <w:rFonts w:ascii="Cambria" w:hAnsi="Cambria"/>
                <w:sz w:val="20"/>
                <w:szCs w:val="20"/>
              </w:rPr>
              <w:t>0.35</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COARSE</w:t>
            </w:r>
          </w:p>
        </w:tc>
        <w:tc>
          <w:tcPr>
            <w:tcW w:w="2814" w:type="dxa"/>
            <w:tcBorders/>
          </w:tcPr>
          <w:p>
            <w:pPr>
              <w:pStyle w:val="TableContents"/>
              <w:bidi w:val="0"/>
              <w:jc w:val="end"/>
              <w:rPr>
                <w:rFonts w:ascii="Cambria" w:hAnsi="Cambria"/>
                <w:sz w:val="20"/>
                <w:szCs w:val="20"/>
              </w:rPr>
            </w:pPr>
            <w:r>
              <w:rPr>
                <w:rFonts w:ascii="Cambria" w:hAnsi="Cambria"/>
                <w:sz w:val="20"/>
                <w:szCs w:val="20"/>
              </w:rPr>
              <w:t>165</w:t>
            </w:r>
          </w:p>
        </w:tc>
        <w:tc>
          <w:tcPr>
            <w:tcW w:w="1247" w:type="dxa"/>
            <w:tcBorders/>
          </w:tcPr>
          <w:p>
            <w:pPr>
              <w:pStyle w:val="TableContents"/>
              <w:bidi w:val="0"/>
              <w:jc w:val="end"/>
              <w:rPr>
                <w:rFonts w:ascii="Cambria" w:hAnsi="Cambria"/>
                <w:sz w:val="20"/>
                <w:szCs w:val="20"/>
              </w:rPr>
            </w:pPr>
            <w:r>
              <w:rPr>
                <w:rFonts w:ascii="Cambria" w:hAnsi="Cambria"/>
                <w:sz w:val="20"/>
                <w:szCs w:val="20"/>
              </w:rPr>
              <w:t>4.02</w:t>
            </w:r>
          </w:p>
        </w:tc>
        <w:tc>
          <w:tcPr>
            <w:tcW w:w="1246" w:type="dxa"/>
            <w:tcBorders/>
          </w:tcPr>
          <w:p>
            <w:pPr>
              <w:pStyle w:val="TableContents"/>
              <w:bidi w:val="0"/>
              <w:jc w:val="end"/>
              <w:rPr>
                <w:rFonts w:ascii="Cambria" w:hAnsi="Cambria"/>
                <w:sz w:val="20"/>
                <w:szCs w:val="20"/>
              </w:rPr>
            </w:pPr>
            <w:r>
              <w:rPr>
                <w:rFonts w:ascii="Cambria" w:hAnsi="Cambria"/>
                <w:sz w:val="20"/>
                <w:szCs w:val="20"/>
              </w:rPr>
              <w:t>1.55</w:t>
            </w:r>
          </w:p>
        </w:tc>
        <w:tc>
          <w:tcPr>
            <w:tcW w:w="1248" w:type="dxa"/>
            <w:tcBorders/>
          </w:tcPr>
          <w:p>
            <w:pPr>
              <w:pStyle w:val="TableContents"/>
              <w:bidi w:val="0"/>
              <w:jc w:val="end"/>
              <w:rPr>
                <w:rFonts w:ascii="Cambria" w:hAnsi="Cambria"/>
                <w:sz w:val="20"/>
                <w:szCs w:val="20"/>
              </w:rPr>
            </w:pPr>
            <w:r>
              <w:rPr>
                <w:rFonts w:ascii="Cambria" w:hAnsi="Cambria"/>
                <w:sz w:val="20"/>
                <w:szCs w:val="20"/>
              </w:rPr>
              <w:t>22.55</w:t>
            </w:r>
          </w:p>
        </w:tc>
      </w:tr>
      <w:tr>
        <w:trPr/>
        <w:tc>
          <w:tcPr>
            <w:tcW w:w="2488" w:type="dxa"/>
            <w:vMerge w:val="continue"/>
            <w:tcBorders/>
            <w:vAlign w:val="center"/>
          </w:tcPr>
          <w:p>
            <w:pPr>
              <w:pStyle w:val="Normal"/>
              <w:bidi w:val="0"/>
              <w:jc w:val="start"/>
              <w:rPr/>
            </w:pPr>
            <w:r>
              <w:rPr/>
            </w:r>
          </w:p>
        </w:tc>
        <w:tc>
          <w:tcPr>
            <w:tcW w:w="928" w:type="dxa"/>
            <w:tcBorders/>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eBC</w:t>
            </w:r>
          </w:p>
        </w:tc>
        <w:tc>
          <w:tcPr>
            <w:tcW w:w="2814" w:type="dxa"/>
            <w:tcBorders/>
          </w:tcPr>
          <w:p>
            <w:pPr>
              <w:pStyle w:val="TableContents"/>
              <w:bidi w:val="0"/>
              <w:jc w:val="end"/>
              <w:rPr>
                <w:rFonts w:ascii="Cambria" w:hAnsi="Cambria"/>
                <w:sz w:val="20"/>
                <w:szCs w:val="20"/>
              </w:rPr>
            </w:pPr>
            <w:r>
              <w:rPr>
                <w:rFonts w:ascii="Cambria" w:hAnsi="Cambria"/>
                <w:sz w:val="20"/>
                <w:szCs w:val="20"/>
              </w:rPr>
              <w:t>161992</w:t>
            </w:r>
          </w:p>
        </w:tc>
        <w:tc>
          <w:tcPr>
            <w:tcW w:w="1247" w:type="dxa"/>
            <w:tcBorders/>
          </w:tcPr>
          <w:p>
            <w:pPr>
              <w:pStyle w:val="TableContents"/>
              <w:bidi w:val="0"/>
              <w:jc w:val="end"/>
              <w:rPr>
                <w:rFonts w:ascii="Cambria" w:hAnsi="Cambria"/>
                <w:sz w:val="20"/>
                <w:szCs w:val="20"/>
              </w:rPr>
            </w:pPr>
            <w:r>
              <w:rPr>
                <w:rFonts w:ascii="Cambria" w:hAnsi="Cambria"/>
                <w:sz w:val="20"/>
                <w:szCs w:val="20"/>
              </w:rPr>
              <w:t>14.73</w:t>
            </w:r>
          </w:p>
        </w:tc>
        <w:tc>
          <w:tcPr>
            <w:tcW w:w="1246" w:type="dxa"/>
            <w:tcBorders/>
          </w:tcPr>
          <w:p>
            <w:pPr>
              <w:pStyle w:val="TableContents"/>
              <w:bidi w:val="0"/>
              <w:jc w:val="end"/>
              <w:rPr>
                <w:rFonts w:ascii="Cambria" w:hAnsi="Cambria"/>
                <w:sz w:val="20"/>
                <w:szCs w:val="20"/>
              </w:rPr>
            </w:pPr>
            <w:r>
              <w:rPr>
                <w:rFonts w:ascii="Cambria" w:hAnsi="Cambria"/>
                <w:sz w:val="20"/>
                <w:szCs w:val="20"/>
              </w:rPr>
              <w:t>4.22</w:t>
            </w:r>
          </w:p>
        </w:tc>
        <w:tc>
          <w:tcPr>
            <w:tcW w:w="1248" w:type="dxa"/>
            <w:tcBorders/>
          </w:tcPr>
          <w:p>
            <w:pPr>
              <w:pStyle w:val="TableContents"/>
              <w:bidi w:val="0"/>
              <w:jc w:val="end"/>
              <w:rPr>
                <w:rFonts w:ascii="Cambria" w:hAnsi="Cambria"/>
                <w:sz w:val="20"/>
                <w:szCs w:val="20"/>
              </w:rPr>
            </w:pPr>
            <w:r>
              <w:rPr>
                <w:rFonts w:ascii="Cambria" w:hAnsi="Cambria"/>
                <w:sz w:val="20"/>
                <w:szCs w:val="20"/>
              </w:rPr>
              <w:t>0.1</w:t>
            </w:r>
          </w:p>
        </w:tc>
      </w:tr>
      <w:tr>
        <w:trPr/>
        <w:tc>
          <w:tcPr>
            <w:tcW w:w="2488" w:type="dxa"/>
            <w:vMerge w:val="restart"/>
            <w:tcBorders/>
            <w:vAlign w:val="center"/>
          </w:tcPr>
          <w:p>
            <w:pPr>
              <w:pStyle w:val="TableContents"/>
              <w:bidi w:val="0"/>
              <w:jc w:val="center"/>
              <w:rPr>
                <w:rFonts w:ascii="Cambria" w:hAnsi="Cambria" w:cs="Segoe UI"/>
                <w:b w:val="false"/>
                <w:bCs w:val="false"/>
                <w:i w:val="false"/>
                <w:i w:val="false"/>
                <w:iCs w:val="false"/>
                <w:strike w:val="false"/>
                <w:dstrike w:val="false"/>
                <w:outline w:val="false"/>
                <w:shadow w:val="false"/>
                <w:color w:val="000000"/>
                <w:sz w:val="20"/>
                <w:szCs w:val="20"/>
                <w:u w:val="none"/>
                <w:lang w:val="lt-LT"/>
              </w:rPr>
            </w:pPr>
            <w:r>
              <w:rPr>
                <w:rFonts w:cs="Segoe UI" w:ascii="Cambria" w:hAnsi="Cambria"/>
                <w:b w:val="false"/>
                <w:bCs w:val="false"/>
                <w:i w:val="false"/>
                <w:iCs w:val="false"/>
                <w:strike w:val="false"/>
                <w:dstrike w:val="false"/>
                <w:outline w:val="false"/>
                <w:shadow w:val="false"/>
                <w:color w:val="000000"/>
                <w:sz w:val="20"/>
                <w:szCs w:val="20"/>
                <w:u w:val="none"/>
                <w:lang w:val="lt-LT"/>
              </w:rPr>
              <w:t>Vilnius</w:t>
            </w:r>
          </w:p>
        </w:tc>
        <w:tc>
          <w:tcPr>
            <w:tcW w:w="928" w:type="dxa"/>
            <w:tcBorders/>
            <w:vAlign w:val="center"/>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PNC</w:t>
            </w:r>
          </w:p>
        </w:tc>
        <w:tc>
          <w:tcPr>
            <w:tcW w:w="2814" w:type="dxa"/>
            <w:tcBorders/>
            <w:vAlign w:val="center"/>
          </w:tcPr>
          <w:p>
            <w:pPr>
              <w:pStyle w:val="TableContents"/>
              <w:bidi w:val="0"/>
              <w:jc w:val="end"/>
              <w:rPr>
                <w:rFonts w:ascii="Cambria" w:hAnsi="Cambria"/>
                <w:sz w:val="20"/>
                <w:szCs w:val="20"/>
              </w:rPr>
            </w:pPr>
            <w:r>
              <w:rPr>
                <w:rFonts w:ascii="Cambria" w:hAnsi="Cambria"/>
                <w:sz w:val="20"/>
                <w:szCs w:val="20"/>
              </w:rPr>
              <w:t>606305</w:t>
            </w:r>
          </w:p>
        </w:tc>
        <w:tc>
          <w:tcPr>
            <w:tcW w:w="1247" w:type="dxa"/>
            <w:tcBorders/>
            <w:vAlign w:val="center"/>
          </w:tcPr>
          <w:p>
            <w:pPr>
              <w:pStyle w:val="TableContents"/>
              <w:bidi w:val="0"/>
              <w:jc w:val="end"/>
              <w:rPr>
                <w:rFonts w:ascii="Cambria" w:hAnsi="Cambria"/>
                <w:sz w:val="20"/>
                <w:szCs w:val="20"/>
              </w:rPr>
            </w:pPr>
            <w:r>
              <w:rPr>
                <w:rFonts w:ascii="Cambria" w:hAnsi="Cambria"/>
                <w:sz w:val="20"/>
                <w:szCs w:val="20"/>
              </w:rPr>
              <w:t>10.06</w:t>
            </w:r>
          </w:p>
        </w:tc>
        <w:tc>
          <w:tcPr>
            <w:tcW w:w="1246" w:type="dxa"/>
            <w:tcBorders/>
            <w:vAlign w:val="center"/>
          </w:tcPr>
          <w:p>
            <w:pPr>
              <w:pStyle w:val="TableContents"/>
              <w:bidi w:val="0"/>
              <w:jc w:val="end"/>
              <w:rPr>
                <w:rFonts w:ascii="Cambria" w:hAnsi="Cambria"/>
                <w:sz w:val="20"/>
                <w:szCs w:val="20"/>
              </w:rPr>
            </w:pPr>
            <w:r>
              <w:rPr>
                <w:rFonts w:ascii="Cambria" w:hAnsi="Cambria"/>
                <w:sz w:val="20"/>
                <w:szCs w:val="20"/>
              </w:rPr>
              <w:t>2.02</w:t>
            </w:r>
          </w:p>
        </w:tc>
        <w:tc>
          <w:tcPr>
            <w:tcW w:w="1248" w:type="dxa"/>
            <w:tcBorders/>
            <w:vAlign w:val="center"/>
          </w:tcPr>
          <w:p>
            <w:pPr>
              <w:pStyle w:val="TableContents"/>
              <w:bidi w:val="0"/>
              <w:jc w:val="end"/>
              <w:rPr>
                <w:rFonts w:ascii="Cambria" w:hAnsi="Cambria"/>
                <w:sz w:val="20"/>
                <w:szCs w:val="20"/>
              </w:rPr>
            </w:pPr>
            <w:r>
              <w:rPr>
                <w:rFonts w:ascii="Cambria" w:hAnsi="Cambria"/>
                <w:sz w:val="20"/>
                <w:szCs w:val="20"/>
              </w:rPr>
              <w:t>0.35</w:t>
            </w:r>
          </w:p>
        </w:tc>
      </w:tr>
      <w:tr>
        <w:trPr/>
        <w:tc>
          <w:tcPr>
            <w:tcW w:w="2488" w:type="dxa"/>
            <w:vMerge w:val="continue"/>
            <w:tcBorders/>
            <w:vAlign w:val="center"/>
          </w:tcPr>
          <w:p>
            <w:pPr>
              <w:pStyle w:val="Normal"/>
              <w:bidi w:val="0"/>
              <w:jc w:val="start"/>
              <w:rPr/>
            </w:pPr>
            <w:r>
              <w:rPr/>
            </w:r>
          </w:p>
        </w:tc>
        <w:tc>
          <w:tcPr>
            <w:tcW w:w="928" w:type="dxa"/>
            <w:tcBorders/>
            <w:vAlign w:val="center"/>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UFP</w:t>
            </w:r>
          </w:p>
        </w:tc>
        <w:tc>
          <w:tcPr>
            <w:tcW w:w="2814" w:type="dxa"/>
            <w:tcBorders/>
            <w:vAlign w:val="center"/>
          </w:tcPr>
          <w:p>
            <w:pPr>
              <w:pStyle w:val="TableContents"/>
              <w:bidi w:val="0"/>
              <w:jc w:val="end"/>
              <w:rPr>
                <w:rFonts w:ascii="Cambria" w:hAnsi="Cambria"/>
                <w:sz w:val="20"/>
                <w:szCs w:val="20"/>
              </w:rPr>
            </w:pPr>
            <w:r>
              <w:rPr>
                <w:rFonts w:ascii="Cambria" w:hAnsi="Cambria"/>
                <w:sz w:val="20"/>
                <w:szCs w:val="20"/>
              </w:rPr>
              <w:t>613444</w:t>
            </w:r>
          </w:p>
        </w:tc>
        <w:tc>
          <w:tcPr>
            <w:tcW w:w="1247" w:type="dxa"/>
            <w:tcBorders/>
            <w:vAlign w:val="center"/>
          </w:tcPr>
          <w:p>
            <w:pPr>
              <w:pStyle w:val="TableContents"/>
              <w:bidi w:val="0"/>
              <w:jc w:val="end"/>
              <w:rPr>
                <w:rFonts w:ascii="Cambria" w:hAnsi="Cambria"/>
                <w:sz w:val="20"/>
                <w:szCs w:val="20"/>
              </w:rPr>
            </w:pPr>
            <w:r>
              <w:rPr>
                <w:rFonts w:ascii="Cambria" w:hAnsi="Cambria"/>
                <w:sz w:val="20"/>
                <w:szCs w:val="20"/>
              </w:rPr>
              <w:t>10.07</w:t>
            </w:r>
          </w:p>
        </w:tc>
        <w:tc>
          <w:tcPr>
            <w:tcW w:w="1246" w:type="dxa"/>
            <w:tcBorders/>
            <w:vAlign w:val="center"/>
          </w:tcPr>
          <w:p>
            <w:pPr>
              <w:pStyle w:val="TableContents"/>
              <w:bidi w:val="0"/>
              <w:jc w:val="end"/>
              <w:rPr>
                <w:rFonts w:ascii="Cambria" w:hAnsi="Cambria"/>
                <w:sz w:val="20"/>
                <w:szCs w:val="20"/>
              </w:rPr>
            </w:pPr>
            <w:r>
              <w:rPr>
                <w:rFonts w:ascii="Cambria" w:hAnsi="Cambria"/>
                <w:sz w:val="20"/>
                <w:szCs w:val="20"/>
              </w:rPr>
              <w:t>1.99</w:t>
            </w:r>
          </w:p>
        </w:tc>
        <w:tc>
          <w:tcPr>
            <w:tcW w:w="1248" w:type="dxa"/>
            <w:tcBorders/>
            <w:vAlign w:val="center"/>
          </w:tcPr>
          <w:p>
            <w:pPr>
              <w:pStyle w:val="TableContents"/>
              <w:bidi w:val="0"/>
              <w:jc w:val="end"/>
              <w:rPr>
                <w:rFonts w:ascii="Cambria" w:hAnsi="Cambria"/>
                <w:sz w:val="20"/>
                <w:szCs w:val="20"/>
              </w:rPr>
            </w:pPr>
            <w:r>
              <w:rPr>
                <w:rFonts w:ascii="Cambria" w:hAnsi="Cambria"/>
                <w:sz w:val="20"/>
                <w:szCs w:val="20"/>
              </w:rPr>
              <w:t>0.36</w:t>
            </w:r>
          </w:p>
        </w:tc>
      </w:tr>
      <w:tr>
        <w:trPr/>
        <w:tc>
          <w:tcPr>
            <w:tcW w:w="2488" w:type="dxa"/>
            <w:vMerge w:val="continue"/>
            <w:tcBorders/>
            <w:vAlign w:val="center"/>
          </w:tcPr>
          <w:p>
            <w:pPr>
              <w:pStyle w:val="Normal"/>
              <w:bidi w:val="0"/>
              <w:jc w:val="start"/>
              <w:rPr/>
            </w:pPr>
            <w:r>
              <w:rPr/>
            </w:r>
          </w:p>
        </w:tc>
        <w:tc>
          <w:tcPr>
            <w:tcW w:w="928" w:type="dxa"/>
            <w:tcBorders/>
            <w:vAlign w:val="center"/>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ACCU</w:t>
            </w:r>
          </w:p>
        </w:tc>
        <w:tc>
          <w:tcPr>
            <w:tcW w:w="2814" w:type="dxa"/>
            <w:tcBorders/>
            <w:vAlign w:val="center"/>
          </w:tcPr>
          <w:p>
            <w:pPr>
              <w:pStyle w:val="TableContents"/>
              <w:bidi w:val="0"/>
              <w:jc w:val="end"/>
              <w:rPr>
                <w:rFonts w:ascii="Cambria" w:hAnsi="Cambria"/>
                <w:sz w:val="20"/>
                <w:szCs w:val="20"/>
              </w:rPr>
            </w:pPr>
            <w:r>
              <w:rPr>
                <w:rFonts w:ascii="Cambria" w:hAnsi="Cambria"/>
                <w:sz w:val="20"/>
                <w:szCs w:val="20"/>
              </w:rPr>
              <w:t>49983</w:t>
            </w:r>
          </w:p>
        </w:tc>
        <w:tc>
          <w:tcPr>
            <w:tcW w:w="1247" w:type="dxa"/>
            <w:tcBorders/>
            <w:vAlign w:val="center"/>
          </w:tcPr>
          <w:p>
            <w:pPr>
              <w:pStyle w:val="TableContents"/>
              <w:bidi w:val="0"/>
              <w:jc w:val="end"/>
              <w:rPr>
                <w:rFonts w:ascii="Cambria" w:hAnsi="Cambria"/>
                <w:sz w:val="20"/>
                <w:szCs w:val="20"/>
              </w:rPr>
            </w:pPr>
            <w:r>
              <w:rPr>
                <w:rFonts w:ascii="Cambria" w:hAnsi="Cambria"/>
                <w:sz w:val="20"/>
                <w:szCs w:val="20"/>
              </w:rPr>
              <w:t>12.27</w:t>
            </w:r>
          </w:p>
        </w:tc>
        <w:tc>
          <w:tcPr>
            <w:tcW w:w="1246" w:type="dxa"/>
            <w:tcBorders/>
            <w:vAlign w:val="center"/>
          </w:tcPr>
          <w:p>
            <w:pPr>
              <w:pStyle w:val="TableContents"/>
              <w:bidi w:val="0"/>
              <w:jc w:val="end"/>
              <w:rPr>
                <w:rFonts w:ascii="Cambria" w:hAnsi="Cambria"/>
                <w:sz w:val="20"/>
                <w:szCs w:val="20"/>
              </w:rPr>
            </w:pPr>
            <w:r>
              <w:rPr>
                <w:rFonts w:ascii="Cambria" w:hAnsi="Cambria"/>
                <w:sz w:val="20"/>
                <w:szCs w:val="20"/>
              </w:rPr>
              <w:t>2.05</w:t>
            </w:r>
          </w:p>
        </w:tc>
        <w:tc>
          <w:tcPr>
            <w:tcW w:w="1248" w:type="dxa"/>
            <w:tcBorders/>
            <w:vAlign w:val="center"/>
          </w:tcPr>
          <w:p>
            <w:pPr>
              <w:pStyle w:val="TableContents"/>
              <w:bidi w:val="0"/>
              <w:jc w:val="end"/>
              <w:rPr>
                <w:rFonts w:ascii="Cambria" w:hAnsi="Cambria"/>
                <w:sz w:val="20"/>
                <w:szCs w:val="20"/>
              </w:rPr>
            </w:pPr>
            <w:r>
              <w:rPr>
                <w:rFonts w:ascii="Cambria" w:hAnsi="Cambria"/>
                <w:sz w:val="20"/>
                <w:szCs w:val="20"/>
              </w:rPr>
              <w:t>0.41</w:t>
            </w:r>
          </w:p>
        </w:tc>
      </w:tr>
      <w:tr>
        <w:trPr/>
        <w:tc>
          <w:tcPr>
            <w:tcW w:w="2488" w:type="dxa"/>
            <w:vMerge w:val="continue"/>
            <w:tcBorders/>
            <w:vAlign w:val="center"/>
          </w:tcPr>
          <w:p>
            <w:pPr>
              <w:pStyle w:val="Normal"/>
              <w:bidi w:val="0"/>
              <w:jc w:val="start"/>
              <w:rPr/>
            </w:pPr>
            <w:r>
              <w:rPr/>
            </w:r>
          </w:p>
        </w:tc>
        <w:tc>
          <w:tcPr>
            <w:tcW w:w="928" w:type="dxa"/>
            <w:tcBorders/>
            <w:vAlign w:val="center"/>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COARSE</w:t>
            </w:r>
          </w:p>
        </w:tc>
        <w:tc>
          <w:tcPr>
            <w:tcW w:w="2814" w:type="dxa"/>
            <w:tcBorders/>
            <w:vAlign w:val="center"/>
          </w:tcPr>
          <w:p>
            <w:pPr>
              <w:pStyle w:val="TableContents"/>
              <w:bidi w:val="0"/>
              <w:jc w:val="end"/>
              <w:rPr>
                <w:rFonts w:ascii="Cambria" w:hAnsi="Cambria"/>
                <w:sz w:val="20"/>
                <w:szCs w:val="20"/>
              </w:rPr>
            </w:pPr>
            <w:r>
              <w:rPr>
                <w:rFonts w:ascii="Cambria" w:hAnsi="Cambria"/>
                <w:sz w:val="20"/>
                <w:szCs w:val="20"/>
              </w:rPr>
              <w:t>190</w:t>
            </w:r>
          </w:p>
        </w:tc>
        <w:tc>
          <w:tcPr>
            <w:tcW w:w="1247" w:type="dxa"/>
            <w:tcBorders/>
            <w:vAlign w:val="center"/>
          </w:tcPr>
          <w:p>
            <w:pPr>
              <w:pStyle w:val="TableContents"/>
              <w:bidi w:val="0"/>
              <w:jc w:val="end"/>
              <w:rPr>
                <w:rFonts w:ascii="Cambria" w:hAnsi="Cambria"/>
                <w:sz w:val="20"/>
                <w:szCs w:val="20"/>
              </w:rPr>
            </w:pPr>
            <w:r>
              <w:rPr>
                <w:rFonts w:ascii="Cambria" w:hAnsi="Cambria"/>
                <w:sz w:val="20"/>
                <w:szCs w:val="20"/>
              </w:rPr>
              <w:t>3.87</w:t>
            </w:r>
          </w:p>
        </w:tc>
        <w:tc>
          <w:tcPr>
            <w:tcW w:w="1246" w:type="dxa"/>
            <w:tcBorders/>
            <w:vAlign w:val="center"/>
          </w:tcPr>
          <w:p>
            <w:pPr>
              <w:pStyle w:val="TableContents"/>
              <w:bidi w:val="0"/>
              <w:jc w:val="end"/>
              <w:rPr>
                <w:rFonts w:ascii="Cambria" w:hAnsi="Cambria"/>
                <w:sz w:val="20"/>
                <w:szCs w:val="20"/>
              </w:rPr>
            </w:pPr>
            <w:r>
              <w:rPr>
                <w:rFonts w:ascii="Cambria" w:hAnsi="Cambria"/>
                <w:sz w:val="20"/>
                <w:szCs w:val="20"/>
              </w:rPr>
              <w:t>1.61</w:t>
            </w:r>
          </w:p>
        </w:tc>
        <w:tc>
          <w:tcPr>
            <w:tcW w:w="1248" w:type="dxa"/>
            <w:tcBorders/>
            <w:vAlign w:val="center"/>
          </w:tcPr>
          <w:p>
            <w:pPr>
              <w:pStyle w:val="TableContents"/>
              <w:bidi w:val="0"/>
              <w:jc w:val="end"/>
              <w:rPr>
                <w:rFonts w:ascii="Cambria" w:hAnsi="Cambria"/>
                <w:sz w:val="20"/>
                <w:szCs w:val="20"/>
              </w:rPr>
            </w:pPr>
            <w:r>
              <w:rPr>
                <w:rFonts w:ascii="Cambria" w:hAnsi="Cambria"/>
                <w:sz w:val="20"/>
                <w:szCs w:val="20"/>
              </w:rPr>
              <w:t>20.92</w:t>
            </w:r>
          </w:p>
        </w:tc>
      </w:tr>
      <w:tr>
        <w:trPr/>
        <w:tc>
          <w:tcPr>
            <w:tcW w:w="2488" w:type="dxa"/>
            <w:vMerge w:val="continue"/>
            <w:tcBorders/>
            <w:vAlign w:val="center"/>
          </w:tcPr>
          <w:p>
            <w:pPr>
              <w:pStyle w:val="Normal"/>
              <w:bidi w:val="0"/>
              <w:jc w:val="start"/>
              <w:rPr/>
            </w:pPr>
            <w:r>
              <w:rPr/>
            </w:r>
          </w:p>
        </w:tc>
        <w:tc>
          <w:tcPr>
            <w:tcW w:w="928" w:type="dxa"/>
            <w:tcBorders/>
            <w:vAlign w:val="center"/>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t>eBC</w:t>
            </w:r>
          </w:p>
        </w:tc>
        <w:tc>
          <w:tcPr>
            <w:tcW w:w="2814" w:type="dxa"/>
            <w:tcBorders/>
            <w:vAlign w:val="center"/>
          </w:tcPr>
          <w:p>
            <w:pPr>
              <w:pStyle w:val="TableContents"/>
              <w:bidi w:val="0"/>
              <w:jc w:val="end"/>
              <w:rPr>
                <w:rFonts w:ascii="Cambria" w:hAnsi="Cambria"/>
                <w:sz w:val="20"/>
                <w:szCs w:val="20"/>
              </w:rPr>
            </w:pPr>
            <w:r>
              <w:rPr>
                <w:rFonts w:ascii="Cambria" w:hAnsi="Cambria"/>
                <w:sz w:val="20"/>
                <w:szCs w:val="20"/>
              </w:rPr>
              <w:t>185527</w:t>
            </w:r>
          </w:p>
        </w:tc>
        <w:tc>
          <w:tcPr>
            <w:tcW w:w="1247" w:type="dxa"/>
            <w:tcBorders/>
            <w:vAlign w:val="center"/>
          </w:tcPr>
          <w:p>
            <w:pPr>
              <w:pStyle w:val="TableContents"/>
              <w:bidi w:val="0"/>
              <w:jc w:val="end"/>
              <w:rPr>
                <w:rFonts w:ascii="Cambria" w:hAnsi="Cambria"/>
                <w:sz w:val="20"/>
                <w:szCs w:val="20"/>
              </w:rPr>
            </w:pPr>
            <w:r>
              <w:rPr>
                <w:rFonts w:ascii="Cambria" w:hAnsi="Cambria"/>
                <w:sz w:val="20"/>
                <w:szCs w:val="20"/>
              </w:rPr>
              <w:t>14.5</w:t>
            </w:r>
          </w:p>
        </w:tc>
        <w:tc>
          <w:tcPr>
            <w:tcW w:w="1246" w:type="dxa"/>
            <w:tcBorders/>
            <w:vAlign w:val="center"/>
          </w:tcPr>
          <w:p>
            <w:pPr>
              <w:pStyle w:val="TableContents"/>
              <w:bidi w:val="0"/>
              <w:jc w:val="end"/>
              <w:rPr>
                <w:rFonts w:ascii="Cambria" w:hAnsi="Cambria"/>
                <w:sz w:val="20"/>
                <w:szCs w:val="20"/>
              </w:rPr>
            </w:pPr>
            <w:r>
              <w:rPr>
                <w:rFonts w:ascii="Cambria" w:hAnsi="Cambria"/>
                <w:sz w:val="20"/>
                <w:szCs w:val="20"/>
              </w:rPr>
              <w:t>3.56</w:t>
            </w:r>
          </w:p>
        </w:tc>
        <w:tc>
          <w:tcPr>
            <w:tcW w:w="1248" w:type="dxa"/>
            <w:tcBorders/>
            <w:vAlign w:val="center"/>
          </w:tcPr>
          <w:p>
            <w:pPr>
              <w:pStyle w:val="TableContents"/>
              <w:bidi w:val="0"/>
              <w:jc w:val="end"/>
              <w:rPr>
                <w:rFonts w:ascii="Cambria" w:hAnsi="Cambria"/>
                <w:sz w:val="20"/>
                <w:szCs w:val="20"/>
              </w:rPr>
            </w:pPr>
            <w:r>
              <w:rPr>
                <w:rFonts w:ascii="Cambria" w:hAnsi="Cambria"/>
                <w:sz w:val="20"/>
                <w:szCs w:val="20"/>
              </w:rPr>
              <w:t>0.09</w:t>
            </w:r>
          </w:p>
        </w:tc>
      </w:tr>
      <w:tr>
        <w:trPr/>
        <w:tc>
          <w:tcPr>
            <w:tcW w:w="2488" w:type="dxa"/>
            <w:tcBorders>
              <w:bottom w:val="single" w:sz="6" w:space="0" w:color="000000"/>
            </w:tcBorders>
            <w:vAlign w:val="center"/>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r>
          </w:p>
        </w:tc>
        <w:tc>
          <w:tcPr>
            <w:tcW w:w="928" w:type="dxa"/>
            <w:tcBorders>
              <w:bottom w:val="single" w:sz="6" w:space="0" w:color="000000"/>
            </w:tcBorders>
            <w:vAlign w:val="center"/>
          </w:tcPr>
          <w:p>
            <w:pPr>
              <w:pStyle w:val="TableContents"/>
              <w:bidi w:val="0"/>
              <w:jc w:val="start"/>
              <w:rPr>
                <w:rFonts w:ascii="Cambria" w:hAnsi="Cambria" w:cs="Segoe UI"/>
                <w:b w:val="false"/>
                <w:bCs w:val="false"/>
                <w:i w:val="false"/>
                <w:i w:val="false"/>
                <w:iCs w:val="false"/>
                <w:strike w:val="false"/>
                <w:dstrike w:val="false"/>
                <w:outline w:val="false"/>
                <w:shadow w:val="false"/>
                <w:color w:val="000000"/>
                <w:sz w:val="20"/>
                <w:szCs w:val="20"/>
                <w:u w:val="none"/>
              </w:rPr>
            </w:pPr>
            <w:r>
              <w:rPr>
                <w:rFonts w:cs="Segoe UI" w:ascii="Cambria" w:hAnsi="Cambria"/>
                <w:b w:val="false"/>
                <w:bCs w:val="false"/>
                <w:i w:val="false"/>
                <w:iCs w:val="false"/>
                <w:strike w:val="false"/>
                <w:dstrike w:val="false"/>
                <w:outline w:val="false"/>
                <w:shadow w:val="false"/>
                <w:color w:val="000000"/>
                <w:sz w:val="20"/>
                <w:szCs w:val="20"/>
                <w:u w:val="none"/>
              </w:rPr>
            </w:r>
          </w:p>
        </w:tc>
        <w:tc>
          <w:tcPr>
            <w:tcW w:w="2814" w:type="dxa"/>
            <w:tcBorders>
              <w:bottom w:val="single" w:sz="6" w:space="0" w:color="000000"/>
            </w:tcBorders>
            <w:vAlign w:val="center"/>
          </w:tcPr>
          <w:p>
            <w:pPr>
              <w:pStyle w:val="TableContents"/>
              <w:bidi w:val="0"/>
              <w:jc w:val="end"/>
              <w:rPr>
                <w:rFonts w:ascii="Cambria" w:hAnsi="Cambria"/>
                <w:sz w:val="20"/>
                <w:szCs w:val="20"/>
              </w:rPr>
            </w:pPr>
            <w:r>
              <w:rPr>
                <w:rFonts w:ascii="Cambria" w:hAnsi="Cambria"/>
                <w:sz w:val="20"/>
                <w:szCs w:val="20"/>
              </w:rPr>
            </w:r>
          </w:p>
        </w:tc>
        <w:tc>
          <w:tcPr>
            <w:tcW w:w="1247" w:type="dxa"/>
            <w:tcBorders>
              <w:bottom w:val="single" w:sz="6" w:space="0" w:color="000000"/>
            </w:tcBorders>
            <w:vAlign w:val="center"/>
          </w:tcPr>
          <w:p>
            <w:pPr>
              <w:pStyle w:val="TableContents"/>
              <w:bidi w:val="0"/>
              <w:jc w:val="end"/>
              <w:rPr>
                <w:rFonts w:ascii="Cambria" w:hAnsi="Cambria"/>
                <w:sz w:val="20"/>
                <w:szCs w:val="20"/>
              </w:rPr>
            </w:pPr>
            <w:r>
              <w:rPr>
                <w:rFonts w:ascii="Cambria" w:hAnsi="Cambria"/>
                <w:sz w:val="20"/>
                <w:szCs w:val="20"/>
              </w:rPr>
            </w:r>
          </w:p>
        </w:tc>
        <w:tc>
          <w:tcPr>
            <w:tcW w:w="1246" w:type="dxa"/>
            <w:tcBorders>
              <w:bottom w:val="single" w:sz="6" w:space="0" w:color="000000"/>
            </w:tcBorders>
            <w:vAlign w:val="center"/>
          </w:tcPr>
          <w:p>
            <w:pPr>
              <w:pStyle w:val="TableContents"/>
              <w:bidi w:val="0"/>
              <w:jc w:val="end"/>
              <w:rPr>
                <w:rFonts w:ascii="Cambria" w:hAnsi="Cambria"/>
                <w:sz w:val="20"/>
                <w:szCs w:val="20"/>
              </w:rPr>
            </w:pPr>
            <w:r>
              <w:rPr>
                <w:rFonts w:ascii="Cambria" w:hAnsi="Cambria"/>
                <w:sz w:val="20"/>
                <w:szCs w:val="20"/>
              </w:rPr>
            </w:r>
          </w:p>
        </w:tc>
        <w:tc>
          <w:tcPr>
            <w:tcW w:w="1248" w:type="dxa"/>
            <w:tcBorders>
              <w:bottom w:val="single" w:sz="6" w:space="0" w:color="000000"/>
            </w:tcBorders>
            <w:vAlign w:val="center"/>
          </w:tcPr>
          <w:p>
            <w:pPr>
              <w:pStyle w:val="TableContents"/>
              <w:bidi w:val="0"/>
              <w:jc w:val="end"/>
              <w:rPr>
                <w:rFonts w:ascii="Cambria" w:hAnsi="Cambria"/>
                <w:sz w:val="20"/>
                <w:szCs w:val="20"/>
              </w:rPr>
            </w:pPr>
            <w:r>
              <w:rPr>
                <w:rFonts w:ascii="Cambria" w:hAnsi="Cambria"/>
                <w:sz w:val="20"/>
                <w:szCs w:val="20"/>
              </w:rPr>
            </w:r>
          </w:p>
        </w:tc>
      </w:tr>
    </w:tbl>
    <w:p>
      <w:pPr>
        <w:pStyle w:val="Normal"/>
        <w:bidi w:val="0"/>
        <w:spacing w:lineRule="auto" w:line="240" w:before="0" w:after="0"/>
        <w:jc w:val="start"/>
        <w:rPr>
          <w:rFonts w:ascii="Cambria" w:hAnsi="Cambria" w:cs="Segoe UI"/>
          <w:b w:val="false"/>
          <w:bCs w:val="false"/>
          <w:color w:val="000000"/>
          <w:szCs w:val="22"/>
          <w:shd w:fill="auto" w:val="clear"/>
          <w:lang w:val="en-US" w:eastAsia="en-US"/>
        </w:rPr>
      </w:pPr>
      <w:r>
        <w:rPr>
          <w:rFonts w:cs="Segoe UI" w:ascii="Cambria" w:hAnsi="Cambria"/>
          <w:b w:val="false"/>
          <w:bCs w:val="false"/>
          <w:color w:val="000000"/>
          <w:szCs w:val="22"/>
          <w:shd w:fill="auto" w:val="clear"/>
          <w:lang w:val="en-US" w:eastAsia="en-US"/>
        </w:rPr>
      </w:r>
    </w:p>
    <w:p>
      <w:pPr>
        <w:pStyle w:val="Normal"/>
        <w:bidi w:val="0"/>
        <w:spacing w:lineRule="auto" w:line="240" w:before="0" w:after="0"/>
        <w:jc w:val="start"/>
        <w:rPr>
          <w:rFonts w:cs="Segoe UI"/>
          <w:b w:val="false"/>
          <w:bCs w:val="false"/>
          <w:color w:val="000000"/>
          <w:sz w:val="24"/>
          <w:szCs w:val="24"/>
          <w:shd w:fill="auto" w:val="clear"/>
          <w:lang w:val="en-US" w:eastAsia="en-US"/>
        </w:rPr>
      </w:pPr>
      <w:r>
        <w:rPr>
          <w:rFonts w:cs="Segoe UI"/>
          <w:b w:val="false"/>
          <w:bCs w:val="false"/>
          <w:color w:val="000000"/>
          <w:sz w:val="24"/>
          <w:szCs w:val="24"/>
          <w:shd w:fill="auto" w:val="clear"/>
          <w:lang w:val="en-US" w:eastAsia="en-US"/>
        </w:rPr>
      </w:r>
      <w:r>
        <w:br w:type="page"/>
      </w:r>
    </w:p>
    <w:p>
      <w:pPr>
        <w:pStyle w:val="TOC1"/>
        <w:bidi w:val="0"/>
        <w:spacing w:before="0" w:after="0"/>
        <w:jc w:val="start"/>
        <w:rPr/>
      </w:pPr>
      <w:r>
        <w:rPr>
          <w:rStyle w:val="Hyperlink"/>
          <w:rFonts w:eastAsia="Calibri" w:cs="Arial" w:ascii="Cambria" w:hAnsi="Cambria"/>
          <w:b/>
          <w:bCs/>
          <w:color w:val="000000"/>
          <w:kern w:val="0"/>
          <w:u w:val="none"/>
          <w:lang w:bidi="ar-SA"/>
        </w:rPr>
        <w:t>References</w:t>
      </w:r>
    </w:p>
    <w:p>
      <w:pPr>
        <w:pStyle w:val="Normal"/>
        <w:bidi w:val="0"/>
        <w:spacing w:before="0" w:after="0"/>
        <w:jc w:val="start"/>
        <w:rPr>
          <w:rFonts w:ascii="Cambria" w:hAnsi="Cambria" w:eastAsia="Calibri" w:cs="Arial"/>
          <w:b/>
          <w:bCs/>
          <w:color w:val="000000"/>
          <w:kern w:val="0"/>
          <w:u w:val="none"/>
          <w:lang w:bidi="ar-SA"/>
        </w:rPr>
      </w:pPr>
      <w:r>
        <w:rPr>
          <w:rFonts w:eastAsia="Calibri" w:cs="Arial" w:ascii="Cambria" w:hAnsi="Cambria"/>
          <w:b/>
          <w:bCs/>
          <w:color w:val="000000"/>
          <w:kern w:val="0"/>
          <w:u w:val="none"/>
          <w:lang w:bidi="ar-SA"/>
        </w:rPr>
      </w:r>
    </w:p>
    <w:p>
      <w:pPr>
        <w:pStyle w:val="Normal"/>
        <w:widowControl/>
        <w:suppressAutoHyphens w:val="true"/>
        <w:overflowPunct w:val="true"/>
        <w:bidi w:val="0"/>
        <w:spacing w:lineRule="auto" w:line="240" w:before="0" w:after="0"/>
        <w:ind w:hanging="180" w:start="180" w:end="0"/>
        <w:jc w:val="both"/>
        <w:rPr>
          <w:color w:val="000000"/>
        </w:rPr>
      </w:pPr>
      <w:r>
        <w:rPr>
          <w:rFonts w:eastAsia="Times New Roman" w:cs="Arial" w:ascii="Cambria" w:hAnsi="Cambria" w:cstheme="minorHAnsi"/>
          <w:b w:val="false"/>
          <w:bCs w:val="false"/>
          <w:color w:val="000000"/>
          <w:sz w:val="24"/>
          <w:szCs w:val="24"/>
          <w:shd w:fill="auto" w:val="clear"/>
        </w:rPr>
        <w:t xml:space="preserve">Gyawali, M., Arnott, W.P., Zaveri, R.A., Song, C., Moosmüller, H., Liu, L., Mishchenko, M.I., Chen, L.W., Green, M.C., Watson, J.G. and Chow, J.C., 2012. Photoacoustic optical properties at UV, VIS, and near IR wavelengths for laboratory generated and winter time ambient urban aerosols. </w:t>
      </w:r>
      <w:r>
        <w:rPr>
          <w:rFonts w:eastAsia="Times New Roman" w:cs="Arial" w:ascii="Cambria" w:hAnsi="Cambria" w:cstheme="minorHAnsi"/>
          <w:b w:val="false"/>
          <w:bCs w:val="false"/>
          <w:i/>
          <w:color w:val="000000"/>
          <w:sz w:val="24"/>
          <w:szCs w:val="24"/>
          <w:shd w:fill="auto" w:val="clear"/>
        </w:rPr>
        <w:t>Atmospheric Chemistry and Physics</w:t>
      </w:r>
      <w:r>
        <w:rPr>
          <w:rFonts w:eastAsia="Times New Roman" w:cs="Arial" w:ascii="Cambria" w:hAnsi="Cambria" w:cstheme="minorHAnsi"/>
          <w:b w:val="false"/>
          <w:bCs w:val="false"/>
          <w:color w:val="000000"/>
          <w:sz w:val="24"/>
          <w:szCs w:val="24"/>
          <w:shd w:fill="auto" w:val="clear"/>
        </w:rPr>
        <w:t xml:space="preserve">, </w:t>
      </w:r>
      <w:r>
        <w:rPr>
          <w:rFonts w:eastAsia="Times New Roman" w:cs="Arial" w:ascii="Cambria" w:hAnsi="Cambria" w:cstheme="minorHAnsi"/>
          <w:b w:val="false"/>
          <w:bCs w:val="false"/>
          <w:i/>
          <w:color w:val="000000"/>
          <w:sz w:val="24"/>
          <w:szCs w:val="24"/>
          <w:shd w:fill="auto" w:val="clear"/>
        </w:rPr>
        <w:t>12</w:t>
      </w:r>
      <w:r>
        <w:rPr>
          <w:rFonts w:eastAsia="Times New Roman" w:cs="Arial" w:ascii="Cambria" w:hAnsi="Cambria" w:cstheme="minorHAnsi"/>
          <w:b w:val="false"/>
          <w:bCs w:val="false"/>
          <w:color w:val="000000"/>
          <w:sz w:val="24"/>
          <w:szCs w:val="24"/>
          <w:shd w:fill="auto" w:val="clear"/>
        </w:rPr>
        <w:t>(5), pp.2587-2601.</w:t>
      </w:r>
    </w:p>
    <w:p>
      <w:pPr>
        <w:pStyle w:val="Normal"/>
        <w:widowControl/>
        <w:suppressAutoHyphens w:val="true"/>
        <w:overflowPunct w:val="true"/>
        <w:bidi w:val="0"/>
        <w:spacing w:lineRule="auto" w:line="240" w:before="0" w:after="0"/>
        <w:ind w:hanging="180" w:start="180" w:end="0"/>
        <w:jc w:val="both"/>
        <w:rPr>
          <w:color w:val="000000"/>
        </w:rPr>
      </w:pPr>
      <w:r>
        <w:rPr>
          <w:rFonts w:eastAsia="Times New Roman" w:cs="Arial" w:ascii="Cambria" w:hAnsi="Cambria" w:cstheme="minorHAnsi"/>
          <w:b w:val="false"/>
          <w:bCs w:val="false"/>
          <w:color w:val="000000"/>
          <w:sz w:val="24"/>
          <w:szCs w:val="24"/>
          <w:shd w:fill="auto" w:val="clear"/>
        </w:rPr>
        <w:t xml:space="preserve">Minderytė, A., Ugboma, E.A., Montoro, F.F.M., Stachlewska, I.S. and Byčenkienė, S., 2023. Impact of long-range transport on black carbon source contribution and optical aerosol properties in two urban environments. </w:t>
      </w:r>
      <w:r>
        <w:rPr>
          <w:rFonts w:eastAsia="Times New Roman" w:cs="Arial" w:ascii="Cambria" w:hAnsi="Cambria" w:cstheme="minorHAnsi"/>
          <w:b w:val="false"/>
          <w:bCs w:val="false"/>
          <w:i/>
          <w:color w:val="000000"/>
          <w:sz w:val="24"/>
          <w:szCs w:val="24"/>
          <w:shd w:fill="auto" w:val="clear"/>
        </w:rPr>
        <w:t>Heliyon</w:t>
      </w:r>
      <w:r>
        <w:rPr>
          <w:rFonts w:eastAsia="Times New Roman" w:cs="Arial" w:ascii="Cambria" w:hAnsi="Cambria" w:cstheme="minorHAnsi"/>
          <w:b w:val="false"/>
          <w:bCs w:val="false"/>
          <w:color w:val="000000"/>
          <w:sz w:val="24"/>
          <w:szCs w:val="24"/>
          <w:shd w:fill="auto" w:val="clear"/>
        </w:rPr>
        <w:t xml:space="preserve">, </w:t>
      </w:r>
      <w:r>
        <w:rPr>
          <w:rFonts w:eastAsia="Times New Roman" w:cs="Arial" w:ascii="Cambria" w:hAnsi="Cambria" w:cstheme="minorHAnsi"/>
          <w:b w:val="false"/>
          <w:bCs w:val="false"/>
          <w:i/>
          <w:color w:val="000000"/>
          <w:sz w:val="24"/>
          <w:szCs w:val="24"/>
          <w:shd w:fill="auto" w:val="clear"/>
        </w:rPr>
        <w:t>9</w:t>
      </w:r>
      <w:r>
        <w:rPr>
          <w:rFonts w:eastAsia="Times New Roman" w:cs="Arial" w:ascii="Cambria" w:hAnsi="Cambria" w:cstheme="minorHAnsi"/>
          <w:b w:val="false"/>
          <w:bCs w:val="false"/>
          <w:color w:val="000000"/>
          <w:sz w:val="24"/>
          <w:szCs w:val="24"/>
          <w:shd w:fill="auto" w:val="clear"/>
        </w:rPr>
        <w:t>(9).</w:t>
      </w:r>
    </w:p>
    <w:p>
      <w:pPr>
        <w:pStyle w:val="Normal"/>
        <w:widowControl/>
        <w:suppressAutoHyphens w:val="true"/>
        <w:overflowPunct w:val="true"/>
        <w:bidi w:val="0"/>
        <w:spacing w:lineRule="auto" w:line="240" w:before="0" w:after="0"/>
        <w:ind w:hanging="180" w:start="180" w:end="0"/>
        <w:jc w:val="both"/>
        <w:rPr/>
      </w:pPr>
      <w:r>
        <w:rPr>
          <w:rStyle w:val="Hyperlink"/>
          <w:rFonts w:eastAsia="Calibri" w:cs="Segoe UI" w:ascii="Cambria" w:hAnsi="Cambria"/>
          <w:b w:val="false"/>
          <w:bCs w:val="false"/>
          <w:color w:val="000000"/>
          <w:kern w:val="2"/>
          <w:sz w:val="24"/>
          <w:szCs w:val="24"/>
          <w:u w:val="none"/>
          <w:shd w:fill="auto" w:val="clear"/>
          <w:lang w:val="en-US" w:eastAsia="en-US" w:bidi="hi-IN"/>
        </w:rPr>
        <w:t xml:space="preserve">Saarikoski, S., Niemi, J.V., Aurela, M., Pirjola, L., Kousa, A., Rönkkö, T. and Timonen, H., 2021. Sources of black carbon at residential and traffic environments obtained by two source apportionment methods. </w:t>
      </w:r>
      <w:r>
        <w:rPr>
          <w:rStyle w:val="Hyperlink"/>
          <w:rFonts w:eastAsia="Calibri" w:cs="Segoe UI" w:ascii="Cambria" w:hAnsi="Cambria"/>
          <w:b w:val="false"/>
          <w:bCs w:val="false"/>
          <w:i/>
          <w:color w:val="000000"/>
          <w:kern w:val="2"/>
          <w:sz w:val="24"/>
          <w:szCs w:val="24"/>
          <w:u w:val="none"/>
          <w:shd w:fill="auto" w:val="clear"/>
          <w:lang w:val="en-US" w:eastAsia="en-US" w:bidi="hi-IN"/>
        </w:rPr>
        <w:t>Atmospheric chemistry and physics</w:t>
      </w:r>
      <w:r>
        <w:rPr>
          <w:rStyle w:val="Hyperlink"/>
          <w:rFonts w:eastAsia="Calibri" w:cs="Segoe UI" w:ascii="Cambria" w:hAnsi="Cambria"/>
          <w:b w:val="false"/>
          <w:bCs w:val="false"/>
          <w:color w:val="000000"/>
          <w:kern w:val="2"/>
          <w:sz w:val="24"/>
          <w:szCs w:val="24"/>
          <w:u w:val="none"/>
          <w:shd w:fill="auto" w:val="clear"/>
          <w:lang w:val="en-US" w:eastAsia="en-US" w:bidi="hi-IN"/>
        </w:rPr>
        <w:t xml:space="preserve">, </w:t>
      </w:r>
      <w:r>
        <w:rPr>
          <w:rStyle w:val="Hyperlink"/>
          <w:rFonts w:eastAsia="Calibri" w:cs="Segoe UI" w:ascii="Cambria" w:hAnsi="Cambria"/>
          <w:b w:val="false"/>
          <w:bCs w:val="false"/>
          <w:i/>
          <w:color w:val="000000"/>
          <w:kern w:val="2"/>
          <w:sz w:val="24"/>
          <w:szCs w:val="24"/>
          <w:u w:val="none"/>
          <w:shd w:fill="auto" w:val="clear"/>
          <w:lang w:val="en-US" w:eastAsia="en-US" w:bidi="hi-IN"/>
        </w:rPr>
        <w:t>21</w:t>
      </w:r>
      <w:r>
        <w:rPr>
          <w:rStyle w:val="Hyperlink"/>
          <w:rFonts w:eastAsia="Calibri" w:cs="Segoe UI" w:ascii="Cambria" w:hAnsi="Cambria"/>
          <w:b w:val="false"/>
          <w:bCs w:val="false"/>
          <w:color w:val="000000"/>
          <w:kern w:val="2"/>
          <w:sz w:val="24"/>
          <w:szCs w:val="24"/>
          <w:u w:val="none"/>
          <w:shd w:fill="auto" w:val="clear"/>
          <w:lang w:val="en-US" w:eastAsia="en-US" w:bidi="hi-IN"/>
        </w:rPr>
        <w:t>(19), pp.14851-14869.</w:t>
      </w:r>
    </w:p>
    <w:p>
      <w:pPr>
        <w:pStyle w:val="BodyText"/>
        <w:widowControl/>
        <w:suppressAutoHyphens w:val="true"/>
        <w:overflowPunct w:val="true"/>
        <w:bidi w:val="0"/>
        <w:spacing w:lineRule="auto" w:line="240" w:before="0" w:after="0"/>
        <w:ind w:hanging="180" w:start="180" w:end="0"/>
        <w:jc w:val="both"/>
        <w:rPr/>
      </w:pPr>
      <w:r>
        <w:rPr>
          <w:rStyle w:val="Hyperlink"/>
          <w:rFonts w:eastAsia="Times New Roman" w:cs="Arial" w:ascii="Cambria" w:hAnsi="Cambria" w:cstheme="minorHAnsi"/>
          <w:b w:val="false"/>
          <w:bCs w:val="false"/>
          <w:color w:val="000000"/>
          <w:sz w:val="24"/>
          <w:szCs w:val="24"/>
          <w:u w:val="none"/>
          <w:shd w:fill="auto" w:val="clear"/>
        </w:rPr>
        <w:t xml:space="preserve">Schuster, G.L., Dubovik, O. and Holben, B.N., 2006. Angstrom exponent and bimodal aerosol size distributions. </w:t>
      </w:r>
      <w:r>
        <w:rPr>
          <w:rStyle w:val="Hyperlink"/>
          <w:rFonts w:eastAsia="Times New Roman" w:cs="Arial" w:ascii="Cambria" w:hAnsi="Cambria" w:cstheme="minorHAnsi"/>
          <w:b w:val="false"/>
          <w:bCs w:val="false"/>
          <w:i/>
          <w:color w:val="000000"/>
          <w:sz w:val="24"/>
          <w:szCs w:val="24"/>
          <w:u w:val="none"/>
          <w:shd w:fill="auto" w:val="clear"/>
        </w:rPr>
        <w:t>Journal of Geophysical Research: Atmospheres</w:t>
      </w:r>
      <w:r>
        <w:rPr>
          <w:rStyle w:val="Hyperlink"/>
          <w:rFonts w:eastAsia="Times New Roman" w:cs="Arial" w:ascii="Cambria" w:hAnsi="Cambria" w:cstheme="minorHAnsi"/>
          <w:b w:val="false"/>
          <w:bCs w:val="false"/>
          <w:color w:val="000000"/>
          <w:sz w:val="24"/>
          <w:szCs w:val="24"/>
          <w:u w:val="none"/>
          <w:shd w:fill="auto" w:val="clear"/>
        </w:rPr>
        <w:t xml:space="preserve">, </w:t>
      </w:r>
      <w:r>
        <w:rPr>
          <w:rStyle w:val="Hyperlink"/>
          <w:rFonts w:eastAsia="Times New Roman" w:cs="Arial" w:ascii="Cambria" w:hAnsi="Cambria" w:cstheme="minorHAnsi"/>
          <w:b w:val="false"/>
          <w:bCs w:val="false"/>
          <w:i/>
          <w:color w:val="000000"/>
          <w:sz w:val="24"/>
          <w:szCs w:val="24"/>
          <w:u w:val="none"/>
          <w:shd w:fill="auto" w:val="clear"/>
        </w:rPr>
        <w:t>111</w:t>
      </w:r>
      <w:r>
        <w:rPr>
          <w:rStyle w:val="Hyperlink"/>
          <w:rFonts w:eastAsia="Times New Roman" w:cs="Arial" w:ascii="Cambria" w:hAnsi="Cambria" w:cstheme="minorHAnsi"/>
          <w:b w:val="false"/>
          <w:bCs w:val="false"/>
          <w:color w:val="000000"/>
          <w:sz w:val="24"/>
          <w:szCs w:val="24"/>
          <w:u w:val="none"/>
          <w:shd w:fill="auto" w:val="clear"/>
        </w:rPr>
        <w:t xml:space="preserve">(D7). </w:t>
      </w:r>
    </w:p>
    <w:p>
      <w:pPr>
        <w:pStyle w:val="Normal"/>
        <w:widowControl/>
        <w:suppressAutoHyphens w:val="true"/>
        <w:overflowPunct w:val="true"/>
        <w:bidi w:val="0"/>
        <w:spacing w:lineRule="auto" w:line="240" w:before="0" w:after="0"/>
        <w:ind w:hanging="180" w:start="180" w:end="0"/>
        <w:jc w:val="both"/>
        <w:rPr>
          <w:color w:val="000000"/>
        </w:rPr>
      </w:pPr>
      <w:r>
        <w:rPr>
          <w:rFonts w:eastAsia="Times New Roman" w:cs="Arial" w:ascii="Cambria" w:hAnsi="Cambria" w:cstheme="minorAscii"/>
          <w:b w:val="false"/>
          <w:bCs w:val="false"/>
          <w:color w:val="000000"/>
          <w:kern w:val="0"/>
          <w:sz w:val="24"/>
          <w:szCs w:val="24"/>
          <w:shd w:fill="auto" w:val="clear"/>
          <w:lang w:val="en-US" w:eastAsia="en-US" w:bidi="ar-SA"/>
        </w:rPr>
        <w:t xml:space="preserve">Vijay, S., Schöbitz, L., Chilunga, H.K. and Tilley, E., 2024. Absorption Ångström exponent values to identify light-absorbing carbonaceous aerosol sources in Blantyre, Malawi. </w:t>
      </w:r>
      <w:r>
        <w:rPr>
          <w:rFonts w:eastAsia="Times New Roman" w:cs="Arial" w:ascii="Cambria" w:hAnsi="Cambria" w:cstheme="minorAscii"/>
          <w:b w:val="false"/>
          <w:bCs w:val="false"/>
          <w:i/>
          <w:color w:val="000000"/>
          <w:kern w:val="0"/>
          <w:sz w:val="24"/>
          <w:szCs w:val="24"/>
          <w:shd w:fill="auto" w:val="clear"/>
          <w:lang w:val="en-US" w:eastAsia="en-US" w:bidi="ar-SA"/>
        </w:rPr>
        <w:t>Aerosol and Air Quality Research</w:t>
      </w:r>
      <w:r>
        <w:rPr>
          <w:rFonts w:eastAsia="Times New Roman" w:cs="Arial" w:ascii="Cambria" w:hAnsi="Cambria" w:cstheme="minorAscii"/>
          <w:b w:val="false"/>
          <w:bCs w:val="false"/>
          <w:color w:val="000000"/>
          <w:kern w:val="0"/>
          <w:sz w:val="24"/>
          <w:szCs w:val="24"/>
          <w:shd w:fill="auto" w:val="clear"/>
          <w:lang w:val="en-US" w:eastAsia="en-US" w:bidi="ar-SA"/>
        </w:rPr>
        <w:t xml:space="preserve">, </w:t>
      </w:r>
      <w:r>
        <w:rPr>
          <w:rFonts w:eastAsia="Times New Roman" w:cs="Arial" w:ascii="Cambria" w:hAnsi="Cambria" w:cstheme="minorAscii"/>
          <w:b w:val="false"/>
          <w:bCs w:val="false"/>
          <w:i/>
          <w:color w:val="000000"/>
          <w:kern w:val="0"/>
          <w:sz w:val="24"/>
          <w:szCs w:val="24"/>
          <w:shd w:fill="auto" w:val="clear"/>
          <w:lang w:val="en-US" w:eastAsia="en-US" w:bidi="ar-SA"/>
        </w:rPr>
        <w:t>24</w:t>
      </w:r>
      <w:r>
        <w:rPr>
          <w:rFonts w:eastAsia="Times New Roman" w:cs="Arial" w:ascii="Cambria" w:hAnsi="Cambria" w:cstheme="minorAscii"/>
          <w:b w:val="false"/>
          <w:bCs w:val="false"/>
          <w:color w:val="000000"/>
          <w:kern w:val="0"/>
          <w:sz w:val="24"/>
          <w:szCs w:val="24"/>
          <w:shd w:fill="auto" w:val="clear"/>
          <w:lang w:val="en-US" w:eastAsia="en-US" w:bidi="ar-SA"/>
        </w:rPr>
        <w:t>(11), pp.1-16.</w:t>
      </w:r>
    </w:p>
    <w:p>
      <w:pPr>
        <w:pStyle w:val="Normal"/>
        <w:widowControl/>
        <w:suppressAutoHyphens w:val="true"/>
        <w:overflowPunct w:val="true"/>
        <w:bidi w:val="0"/>
        <w:spacing w:lineRule="auto" w:line="240" w:before="0" w:after="0"/>
        <w:ind w:hanging="180" w:start="180" w:end="0"/>
        <w:jc w:val="both"/>
        <w:rPr>
          <w:color w:val="000000"/>
        </w:rPr>
      </w:pPr>
      <w:r>
        <w:rPr>
          <w:rFonts w:eastAsia="Times New Roman" w:cs="Arial" w:ascii="Cambria" w:hAnsi="Cambria" w:cstheme="minorHAnsi"/>
          <w:b w:val="false"/>
          <w:bCs w:val="false"/>
          <w:color w:val="000000"/>
          <w:sz w:val="24"/>
          <w:szCs w:val="24"/>
          <w:shd w:fill="auto" w:val="clear"/>
        </w:rPr>
        <w:t xml:space="preserve">Yu, X., Wang, T., Liu, C. and Pu, L., 2016. Numerical studies on a severe dust storm in East Asia using WRF-Chem. </w:t>
      </w:r>
      <w:r>
        <w:rPr>
          <w:rFonts w:eastAsia="Times New Roman" w:cs="Arial" w:ascii="Cambria" w:hAnsi="Cambria" w:cstheme="minorHAnsi"/>
          <w:b w:val="false"/>
          <w:bCs w:val="false"/>
          <w:i/>
          <w:color w:val="000000"/>
          <w:sz w:val="24"/>
          <w:szCs w:val="24"/>
          <w:shd w:fill="auto" w:val="clear"/>
        </w:rPr>
        <w:t>Atmospheric and Climate Sciences</w:t>
      </w:r>
      <w:r>
        <w:rPr>
          <w:rFonts w:eastAsia="Times New Roman" w:cs="Arial" w:ascii="Cambria" w:hAnsi="Cambria" w:cstheme="minorHAnsi"/>
          <w:b w:val="false"/>
          <w:bCs w:val="false"/>
          <w:color w:val="000000"/>
          <w:sz w:val="24"/>
          <w:szCs w:val="24"/>
          <w:shd w:fill="auto" w:val="clear"/>
        </w:rPr>
        <w:t xml:space="preserve">, </w:t>
      </w:r>
      <w:r>
        <w:rPr>
          <w:rFonts w:eastAsia="Times New Roman" w:cs="Arial" w:ascii="Cambria" w:hAnsi="Cambria" w:cstheme="minorHAnsi"/>
          <w:b w:val="false"/>
          <w:bCs w:val="false"/>
          <w:i/>
          <w:color w:val="000000"/>
          <w:sz w:val="24"/>
          <w:szCs w:val="24"/>
          <w:shd w:fill="auto" w:val="clear"/>
        </w:rPr>
        <w:t>7</w:t>
      </w:r>
      <w:r>
        <w:rPr>
          <w:rFonts w:eastAsia="Times New Roman" w:cs="Arial" w:ascii="Cambria" w:hAnsi="Cambria" w:cstheme="minorHAnsi"/>
          <w:b w:val="false"/>
          <w:bCs w:val="false"/>
          <w:color w:val="000000"/>
          <w:sz w:val="24"/>
          <w:szCs w:val="24"/>
          <w:shd w:fill="auto" w:val="clear"/>
        </w:rPr>
        <w:t>(1), pp.92-116.</w:t>
      </w:r>
    </w:p>
    <w:p>
      <w:pPr>
        <w:pStyle w:val="Normal"/>
        <w:spacing w:lineRule="auto" w:line="240"/>
        <w:jc w:val="both"/>
        <w:rPr>
          <w:rFonts w:eastAsia="Times New Roman" w:cs="Arial" w:cstheme="minorHAnsi"/>
          <w:bCs/>
          <w:color w:val="000000"/>
          <w:sz w:val="24"/>
          <w:szCs w:val="24"/>
          <w:shd w:fill="FFFF00" w:val="clear"/>
        </w:rPr>
      </w:pPr>
      <w:r>
        <w:rPr>
          <w:rFonts w:eastAsia="Times New Roman" w:cs="Arial" w:cstheme="minorHAnsi"/>
          <w:bCs/>
          <w:color w:val="000000"/>
          <w:sz w:val="24"/>
          <w:szCs w:val="24"/>
          <w:shd w:fill="FFFF00" w:val="clear"/>
        </w:rPr>
      </w:r>
    </w:p>
    <w:p>
      <w:pPr>
        <w:pStyle w:val="Normal"/>
        <w:spacing w:lineRule="auto" w:line="240"/>
        <w:jc w:val="both"/>
        <w:rPr>
          <w:rFonts w:eastAsia="Times New Roman" w:cs="Arial" w:cstheme="minorHAnsi"/>
          <w:bCs/>
          <w:color w:val="000000"/>
          <w:sz w:val="24"/>
          <w:szCs w:val="24"/>
          <w:shd w:fill="FFFF00" w:val="clear"/>
        </w:rPr>
      </w:pPr>
      <w:r>
        <w:rPr>
          <w:rFonts w:eastAsia="Times New Roman" w:cs="Arial" w:cstheme="minorHAnsi"/>
          <w:bCs/>
          <w:color w:val="000000"/>
          <w:sz w:val="24"/>
          <w:szCs w:val="24"/>
          <w:shd w:fill="FFFF00" w:val="clear"/>
        </w:rPr>
      </w:r>
    </w:p>
    <w:p>
      <w:pPr>
        <w:pStyle w:val="BodyText"/>
        <w:bidi w:val="0"/>
        <w:spacing w:lineRule="auto" w:line="240" w:before="0" w:after="0"/>
        <w:jc w:val="both"/>
        <w:rPr>
          <w:rFonts w:cs="Arial"/>
          <w:b w:val="false"/>
          <w:bCs w:val="false"/>
          <w:color w:val="000000"/>
          <w:sz w:val="22"/>
          <w:szCs w:val="22"/>
          <w:shd w:fill="auto" w:val="clear"/>
          <w:lang w:val="en-US" w:eastAsia="en-US"/>
        </w:rPr>
      </w:pPr>
      <w:r>
        <w:rPr>
          <w:rFonts w:cs="Arial"/>
          <w:b w:val="false"/>
          <w:bCs w:val="false"/>
          <w:color w:val="000000"/>
          <w:sz w:val="22"/>
          <w:szCs w:val="22"/>
          <w:shd w:fill="auto" w:val="clear"/>
          <w:lang w:val="en-US" w:eastAsia="en-US"/>
        </w:rPr>
      </w:r>
    </w:p>
    <w:p>
      <w:pPr>
        <w:pStyle w:val="Normal"/>
        <w:widowControl/>
        <w:suppressAutoHyphens w:val="true"/>
        <w:overflowPunct w:val="true"/>
        <w:bidi w:val="0"/>
        <w:spacing w:lineRule="auto" w:line="240" w:before="0" w:after="0"/>
        <w:jc w:val="both"/>
        <w:rPr>
          <w:rFonts w:ascii="Cambria" w:hAnsi="Cambria" w:eastAsia="Calibri" w:cs="Segoe UI"/>
          <w:b/>
          <w:bCs/>
          <w:color w:val="000000"/>
          <w:kern w:val="2"/>
          <w:sz w:val="24"/>
          <w:szCs w:val="22"/>
          <w:u w:val="none"/>
          <w:shd w:fill="auto" w:val="clear"/>
          <w:lang w:val="en-US" w:eastAsia="en-US" w:bidi="hi-IN"/>
        </w:rPr>
      </w:pPr>
      <w:r>
        <w:rPr>
          <w:rFonts w:eastAsia="Calibri" w:cs="Segoe UI" w:ascii="Cambria" w:hAnsi="Cambria"/>
          <w:b/>
          <w:bCs/>
          <w:color w:val="000000"/>
          <w:kern w:val="2"/>
          <w:sz w:val="24"/>
          <w:szCs w:val="22"/>
          <w:u w:val="none"/>
          <w:shd w:fill="auto" w:val="clear"/>
          <w:lang w:val="en-US" w:eastAsia="en-US" w:bidi="hi-IN"/>
        </w:rPr>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urier New">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Palatino Linotype">
    <w:charset w:val="00" w:characterSet="windows-1252"/>
    <w:family w:val="roman"/>
    <w:pitch w:val="variable"/>
  </w:font>
  <w:font w:name="Calibri">
    <w:charset w:val="00" w:characterSet="windows-1252"/>
    <w:family w:val="roman"/>
    <w:pitch w:val="variable"/>
  </w:font>
  <w:font w:name="Liberation Mono">
    <w:altName w:val="Courier New"/>
    <w:charset w:val="00" w:characterSet="windows-1252"/>
    <w:family w:val="roman"/>
    <w:pitch w:val="variable"/>
  </w:font>
  <w:font w:name="Cambria">
    <w:charset w:val="00" w:characterSet="windows-1252"/>
    <w:family w:val="roman"/>
    <w:pitch w:val="variable"/>
  </w:font>
  <w:font w:name="Segoe UI">
    <w:charset w:val="00" w:characterSet="windows-1252"/>
    <w:family w:val="roman"/>
    <w:pitch w:val="variable"/>
  </w:font>
  <w:font w:name="Symbol">
    <w:charset w:val="00" w:characterSet="windows-1252"/>
    <w:family w:val="roman"/>
    <w:pitch w:val="variable"/>
  </w:font>
</w:fonts>
</file>

<file path=word/settings.xml><?xml version="1.0" encoding="utf-8"?>
<w:settings xmlns:w="http://schemas.openxmlformats.org/wordprocessingml/2006/main">
  <w:zoom w:percent="9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Heading1">
    <w:name w:val="heading 1"/>
    <w:basedOn w:val="Normal"/>
    <w:next w:val="Normal"/>
    <w:qFormat/>
    <w:pPr>
      <w:keepNext w:val="true"/>
      <w:spacing w:before="240" w:after="60"/>
      <w:outlineLvl w:val="0"/>
    </w:pPr>
    <w:rPr>
      <w:b/>
      <w:bCs/>
      <w:kern w:val="2"/>
      <w:szCs w:val="24"/>
    </w:rPr>
  </w:style>
  <w:style w:type="paragraph" w:styleId="Heading2">
    <w:name w:val="heading 2"/>
    <w:basedOn w:val="Normal"/>
    <w:qFormat/>
    <w:pPr>
      <w:spacing w:lineRule="auto" w:line="240" w:before="280" w:after="280"/>
      <w:outlineLvl w:val="1"/>
    </w:pPr>
    <w:rPr>
      <w:rFonts w:ascii="Times New Roman" w:hAnsi="Times New Roman" w:eastAsia="Times New Roman" w:cs="Times New Roman"/>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paragraph" w:styleId="Heading4">
    <w:name w:val="heading 4"/>
    <w:basedOn w:val="Heading"/>
    <w:next w:val="BodyText"/>
    <w:qFormat/>
    <w:pPr>
      <w:spacing w:before="120" w:after="120"/>
      <w:outlineLvl w:val="3"/>
    </w:pPr>
    <w:rPr>
      <w:rFonts w:ascii="Liberation Serif" w:hAnsi="Liberation Serif" w:eastAsia="NSimSun" w:cs="Lucida Sans"/>
      <w:b/>
      <w:bCs/>
      <w:sz w:val="24"/>
      <w:szCs w:val="24"/>
    </w:rPr>
  </w:style>
  <w:style w:type="character" w:styleId="Hyperlink">
    <w:name w:val="Hyperlink"/>
    <w:rPr>
      <w:color w:val="000080"/>
      <w:u w:val="single"/>
    </w:rPr>
  </w:style>
  <w:style w:type="character" w:styleId="PlaceholderText">
    <w:name w:val="Placeholder Text"/>
    <w:qFormat/>
    <w:rPr>
      <w:rFonts w:ascii="Times New Roman" w:hAnsi="Times New Roman" w:eastAsia="Times New Roman" w:cs="Times New Roman"/>
      <w:color w:val="808080"/>
      <w:sz w:val="24"/>
      <w:szCs w:val="24"/>
    </w:rPr>
  </w:style>
  <w:style w:type="character" w:styleId="HeaderChar">
    <w:name w:val="Header Char"/>
    <w:qFormat/>
    <w:rPr>
      <w:rFonts w:ascii="Times New Roman" w:hAnsi="Times New Roman" w:eastAsia="Times New Roman" w:cs="Times New Roman"/>
      <w:color w:val="000000"/>
      <w:sz w:val="24"/>
      <w:szCs w:val="24"/>
    </w:rPr>
  </w:style>
  <w:style w:type="character" w:styleId="LineNumber">
    <w:name w:val="line number"/>
    <w:rPr/>
  </w:style>
  <w:style w:type="character" w:styleId="FollowedHyperlink">
    <w:name w:val="FollowedHyperlink"/>
    <w:basedOn w:val="DefaultParagraphFont"/>
    <w:rPr>
      <w:color w:val="954F72"/>
      <w:u w:val="single"/>
    </w:rPr>
  </w:style>
  <w:style w:type="character" w:styleId="Heading2Char">
    <w:name w:val="Heading 2 Char"/>
    <w:basedOn w:val="DefaultParagraphFont"/>
    <w:qFormat/>
    <w:rPr>
      <w:rFonts w:ascii="Times New Roman" w:hAnsi="Times New Roman" w:eastAsia="Times New Roman" w:cs="Times New Roman"/>
      <w:b/>
      <w:bCs/>
      <w:sz w:val="36"/>
      <w:szCs w:val="36"/>
    </w:rPr>
  </w:style>
  <w:style w:type="character" w:styleId="gnd-iwgdn2b">
    <w:name w:val="gnd-iwgdn2b"/>
    <w:basedOn w:val="DefaultParagraphFont"/>
    <w:qFormat/>
    <w:rPr/>
  </w:style>
  <w:style w:type="character" w:styleId="Emphasis">
    <w:name w:val="Emphasis"/>
    <w:basedOn w:val="DefaultParagraphFont"/>
    <w:qFormat/>
    <w:rPr>
      <w:i/>
      <w:iCs/>
    </w:rPr>
  </w:style>
  <w:style w:type="character" w:styleId="hljs-punctuation">
    <w:name w:val="hljs-punctuation"/>
    <w:basedOn w:val="DefaultParagraphFont"/>
    <w:qFormat/>
    <w:rPr/>
  </w:style>
  <w:style w:type="character" w:styleId="hljs-builtin">
    <w:name w:val="hljs-built_in"/>
    <w:basedOn w:val="DefaultParagraphFont"/>
    <w:qFormat/>
    <w:rPr/>
  </w:style>
  <w:style w:type="character" w:styleId="hljs-operator">
    <w:name w:val="hljs-operator"/>
    <w:basedOn w:val="DefaultParagraphFont"/>
    <w:qFormat/>
    <w:rPr/>
  </w:style>
  <w:style w:type="character" w:styleId="gnd-iwgdh3b">
    <w:name w:val="gnd-iwgdh3b"/>
    <w:basedOn w:val="DefaultParagraphFont"/>
    <w:qFormat/>
    <w:rPr/>
  </w:style>
  <w:style w:type="character" w:styleId="HTMLPreformattedChar">
    <w:name w:val="HTML Preformatted Char"/>
    <w:basedOn w:val="DefaultParagraphFont"/>
    <w:qFormat/>
    <w:rPr>
      <w:rFonts w:ascii="Courier New" w:hAnsi="Courier New" w:eastAsia="Times New Roman" w:cs="Courier New"/>
      <w:sz w:val="20"/>
      <w:szCs w:val="20"/>
    </w:rPr>
  </w:style>
  <w:style w:type="character" w:styleId="UnresolvedMention">
    <w:name w:val="Unresolved Mention"/>
    <w:basedOn w:val="DefaultParagraphFont"/>
    <w:qFormat/>
    <w:rPr>
      <w:color w:val="605E5C"/>
      <w:shd w:fill="E1DFDD" w:val="clear"/>
    </w:rPr>
  </w:style>
  <w:style w:type="character" w:styleId="DefaultParagraphFont">
    <w:name w:val="Default Paragraph Font"/>
    <w:qFormat/>
    <w:rPr/>
  </w:style>
  <w:style w:type="character" w:styleId="Strong">
    <w:name w:val="Strong"/>
    <w:qFormat/>
    <w:rPr>
      <w:b/>
      <w:bCs/>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FrameContents">
    <w:name w:val="Frame Contents"/>
    <w:basedOn w:val="Normal"/>
    <w:qFormat/>
    <w:pPr/>
    <w:rPr/>
  </w:style>
  <w:style w:type="paragraph" w:styleId="MDPI16affiliation">
    <w:name w:val="MDPI_1.6_affiliation"/>
    <w:qFormat/>
    <w:pPr>
      <w:widowControl/>
      <w:suppressAutoHyphens w:val="true"/>
      <w:overflowPunct w:val="true"/>
      <w:bidi w:val="0"/>
      <w:spacing w:lineRule="atLeast" w:line="200" w:before="0" w:after="0"/>
      <w:ind w:hanging="198" w:start="2806"/>
      <w:jc w:val="start"/>
    </w:pPr>
    <w:rPr>
      <w:rFonts w:ascii="Palatino Linotype" w:hAnsi="Palatino Linotype" w:eastAsia="Times New Roman" w:cs="Times New Roman"/>
      <w:color w:val="000000"/>
      <w:kern w:val="0"/>
      <w:sz w:val="16"/>
      <w:szCs w:val="18"/>
      <w:lang w:val="en-US" w:eastAsia="de-DE" w:bidi="en-US"/>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Header">
    <w:name w:val="header"/>
    <w:basedOn w:val="HeaderandFooter"/>
    <w:pPr>
      <w:suppressLineNumbers/>
    </w:pPr>
    <w:rPr/>
  </w:style>
  <w:style w:type="paragraph" w:styleId="Footer">
    <w:name w:val="footer"/>
    <w:basedOn w:val="HeaderandFooter"/>
    <w:pPr>
      <w:suppressLineNumbers/>
    </w:pPr>
    <w:rPr/>
  </w:style>
  <w:style w:type="paragraph" w:styleId="SMHeading">
    <w:name w:val="SM Heading"/>
    <w:basedOn w:val="Heading1"/>
    <w:qFormat/>
    <w:pPr/>
    <w:rPr/>
  </w:style>
  <w:style w:type="paragraph" w:styleId="TOC1">
    <w:name w:val="toc 1"/>
    <w:basedOn w:val="Normal"/>
    <w:next w:val="Normal"/>
    <w:pPr/>
    <w:rPr/>
  </w:style>
  <w:style w:type="paragraph" w:styleId="Revision">
    <w:name w:val="Revision"/>
    <w:qFormat/>
    <w:pPr>
      <w:widowControl/>
      <w:suppressAutoHyphens w:val="false"/>
      <w:overflowPunct w:val="true"/>
      <w:bidi w:val="0"/>
      <w:spacing w:before="0" w:after="0"/>
      <w:jc w:val="start"/>
    </w:pPr>
    <w:rPr>
      <w:rFonts w:ascii="Calibri" w:hAnsi="Calibri" w:eastAsia="Calibri" w:cs="Lucida Sans"/>
      <w:color w:val="auto"/>
      <w:kern w:val="0"/>
      <w:sz w:val="22"/>
      <w:szCs w:val="22"/>
      <w:lang w:val="en-US" w:eastAsia="en-US" w:bidi="ar-SA"/>
    </w:rPr>
  </w:style>
  <w:style w:type="paragraph" w:styleId="TableHeading">
    <w:name w:val="Table Heading"/>
    <w:basedOn w:val="TableContents"/>
    <w:qFormat/>
    <w:pPr>
      <w:jc w:val="center"/>
    </w:pPr>
    <w:rPr>
      <w:b/>
      <w:bCs/>
    </w:rPr>
  </w:style>
  <w:style w:type="paragraph" w:styleId="FrameContentsuser">
    <w:name w:val="Frame Contents (user)"/>
    <w:basedOn w:val="Normal"/>
    <w:qFormat/>
    <w:pPr/>
    <w:rPr/>
  </w:style>
  <w:style w:type="paragraph" w:styleId="msonormal">
    <w:name w:val="msonormal"/>
    <w:basedOn w:val="Normal"/>
    <w:qFormat/>
    <w:pPr>
      <w:spacing w:lineRule="auto" w:line="240" w:before="280" w:after="280"/>
    </w:pPr>
    <w:rPr>
      <w:rFonts w:ascii="Times New Roman" w:hAnsi="Times New Roman" w:eastAsia="Times New Roman" w:cs="Times New Roman"/>
      <w:sz w:val="24"/>
      <w:szCs w:val="24"/>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ListParagraph">
    <w:name w:val="List Paragraph"/>
    <w:basedOn w:val="Normal"/>
    <w:qFormat/>
    <w:pPr>
      <w:spacing w:before="0" w:after="160"/>
      <w:ind w:start="720"/>
      <w:contextualSpacing/>
    </w:pPr>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caption1">
    <w:name w:val="caption1"/>
    <w:basedOn w:val="Normal"/>
    <w:qFormat/>
    <w:pPr>
      <w:suppressLineNumbers/>
      <w:spacing w:before="120" w:after="120"/>
    </w:pPr>
    <w:rPr>
      <w:rFonts w:cs="Lucida Sans"/>
      <w:i/>
      <w:iCs/>
      <w:sz w:val="24"/>
      <w:szCs w:val="24"/>
    </w:rPr>
  </w:style>
  <w:style w:type="paragraph" w:styleId="PreformattedText">
    <w:name w:val="Preformatted Text"/>
    <w:basedOn w:val="Normal"/>
    <w:qFormat/>
    <w:pPr>
      <w:spacing w:before="0" w:after="0"/>
    </w:pPr>
    <w:rPr>
      <w:rFonts w:ascii="Liberation Mono" w:hAnsi="Liberation Mono" w:eastAsia="NSimSun" w:cs="Liberation Mono"/>
      <w:sz w:val="20"/>
      <w:szCs w:val="20"/>
    </w:rPr>
  </w:style>
  <w:style w:type="paragraph" w:styleId="Standard">
    <w:name w:val="Standard"/>
    <w:qFormat/>
    <w:pPr>
      <w:widowControl/>
      <w:suppressAutoHyphens w:val="true"/>
      <w:overflowPunct w:val="true"/>
      <w:bidi w:val="0"/>
      <w:spacing w:before="0" w:after="0"/>
      <w:jc w:val="start"/>
      <w:textAlignment w:val="baseline"/>
    </w:pPr>
    <w:rPr>
      <w:rFonts w:ascii="Liberation Serif" w:hAnsi="Liberation Serif" w:eastAsia="NSimSun" w:cs="Lucida Sans"/>
      <w:color w:val="auto"/>
      <w:kern w:val="2"/>
      <w:sz w:val="24"/>
      <w:szCs w:val="24"/>
      <w:lang w:val="en-US" w:eastAsia="zh-CN" w:bidi="hi-IN"/>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extbody">
    <w:name w:val="Text body"/>
    <w:basedOn w:val="Standard"/>
    <w:qFormat/>
    <w:pPr>
      <w:spacing w:lineRule="auto" w:line="276" w:before="0" w:after="140"/>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104</TotalTime>
  <Application>LibreOffice/25.2.4.3$Windows_X86_64 LibreOffice_project/33e196637044ead23f5c3226cde09b47731f7e27</Application>
  <AppVersion>15.0000</AppVersion>
  <Pages>11</Pages>
  <Words>1546</Words>
  <Characters>8742</Characters>
  <CharactersWithSpaces>10032</CharactersWithSpaces>
  <Paragraphs>254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2025-03-23T11:06:39Z</dcterms:created>
  <dc:creator/>
  <dc:description/>
  <dc:language>en-US</dc:language>
  <cp:lastModifiedBy/>
  <cp:lastPrinted>2025-05-12T22:41:01Z</cp:lastPrinted>
  <dcterms:modified xsi:type="dcterms:W3CDTF">2025-07-21T08:27:40Z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