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B068" w14:textId="1818F6C5" w:rsidR="003C0BBE" w:rsidRDefault="003C0BBE" w:rsidP="007D7133">
      <w:pPr>
        <w:suppressLineNumbers/>
        <w:spacing w:after="160" w:line="360" w:lineRule="auto"/>
        <w:jc w:val="both"/>
        <w:rPr>
          <w:rFonts w:eastAsia="Calibri" w:cstheme="minorHAnsi"/>
          <w:b/>
          <w:kern w:val="0"/>
          <w:sz w:val="22"/>
          <w:szCs w:val="22"/>
          <w:lang w:val="en-US"/>
        </w:rPr>
      </w:pPr>
      <w:r w:rsidRPr="00CC035D">
        <w:rPr>
          <w:rFonts w:eastAsia="Calibri" w:cstheme="minorHAnsi"/>
          <w:b/>
          <w:kern w:val="0"/>
          <w:sz w:val="22"/>
          <w:szCs w:val="22"/>
          <w:lang w:val="en-US"/>
        </w:rPr>
        <w:t xml:space="preserve">Hypertension and Kidney Dysfunction Despite Long-Term Remission of Cushing’s Syndrome </w:t>
      </w:r>
    </w:p>
    <w:p w14:paraId="53726690" w14:textId="6BCAF12D" w:rsidR="00867FFD" w:rsidRPr="00DB6987" w:rsidRDefault="007D7133" w:rsidP="00DB6987">
      <w:pPr>
        <w:suppressLineNumbers/>
        <w:spacing w:after="160" w:line="360" w:lineRule="auto"/>
        <w:jc w:val="both"/>
        <w:rPr>
          <w:rFonts w:eastAsia="Calibri" w:cstheme="minorHAnsi"/>
          <w:kern w:val="0"/>
          <w:sz w:val="22"/>
          <w:szCs w:val="22"/>
          <w:lang w:val="en-US"/>
        </w:rPr>
      </w:pP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Katrin Ritzel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Vanessa </w:t>
      </w:r>
      <w:proofErr w:type="spellStart"/>
      <w:r w:rsidRPr="009C32BC">
        <w:rPr>
          <w:rFonts w:eastAsia="Calibri" w:cstheme="minorHAnsi"/>
          <w:kern w:val="0"/>
          <w:sz w:val="22"/>
          <w:szCs w:val="22"/>
          <w:lang w:val="en-US"/>
        </w:rPr>
        <w:t>Fedtke</w:t>
      </w:r>
      <w:proofErr w:type="spellEnd"/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</w:t>
      </w:r>
      <w:r>
        <w:rPr>
          <w:rFonts w:eastAsia="Calibri" w:cstheme="minorHAnsi"/>
          <w:kern w:val="0"/>
          <w:sz w:val="22"/>
          <w:szCs w:val="22"/>
          <w:lang w:val="en-US"/>
        </w:rPr>
        <w:t xml:space="preserve">Cornelia Then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>
        <w:rPr>
          <w:rFonts w:eastAsia="Calibri" w:cstheme="minorHAnsi"/>
          <w:kern w:val="0"/>
          <w:sz w:val="22"/>
          <w:szCs w:val="22"/>
          <w:lang w:val="en-US"/>
        </w:rPr>
        <w:t xml:space="preserve">, 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Elisabeth Nowak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Frederick Vogel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Leah Braun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Stephanie Zopp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Petra Zimmermann </w:t>
      </w:r>
      <w:r w:rsidRPr="009C32BC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2</w:t>
      </w:r>
      <w:r w:rsidRPr="009C32BC">
        <w:rPr>
          <w:rFonts w:eastAsia="Calibri" w:cstheme="minorHAnsi"/>
          <w:kern w:val="0"/>
          <w:sz w:val="22"/>
          <w:szCs w:val="22"/>
          <w:lang w:val="en-US"/>
        </w:rPr>
        <w:t xml:space="preserve">, </w:t>
      </w:r>
      <w:r w:rsidRPr="00AE70F0">
        <w:rPr>
          <w:rFonts w:eastAsia="Calibri" w:cstheme="minorHAnsi"/>
          <w:kern w:val="0"/>
          <w:sz w:val="22"/>
          <w:szCs w:val="22"/>
          <w:lang w:val="en-US"/>
        </w:rPr>
        <w:t>Annette Peters</w:t>
      </w:r>
      <w:r>
        <w:rPr>
          <w:rFonts w:eastAsia="Calibri" w:cstheme="minorHAnsi"/>
          <w:kern w:val="0"/>
          <w:sz w:val="22"/>
          <w:szCs w:val="22"/>
          <w:lang w:val="en-US"/>
        </w:rPr>
        <w:t xml:space="preserve"> </w:t>
      </w:r>
      <w:r w:rsidRPr="002035B0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3,4,5</w:t>
      </w:r>
      <w:r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,6</w:t>
      </w:r>
      <w:r>
        <w:rPr>
          <w:rFonts w:eastAsia="Calibri" w:cstheme="minorHAnsi"/>
          <w:kern w:val="0"/>
          <w:sz w:val="22"/>
          <w:szCs w:val="22"/>
          <w:lang w:val="en-US"/>
        </w:rPr>
        <w:t xml:space="preserve">, </w:t>
      </w:r>
      <w:r w:rsidRPr="00F32C4D">
        <w:rPr>
          <w:rFonts w:eastAsia="Calibri" w:cstheme="minorHAnsi"/>
          <w:kern w:val="0"/>
          <w:sz w:val="22"/>
          <w:szCs w:val="22"/>
          <w:lang w:val="en-US"/>
        </w:rPr>
        <w:t xml:space="preserve">Margit 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Heier 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3, 11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, Birgit </w:t>
      </w:r>
      <w:proofErr w:type="spellStart"/>
      <w:r w:rsidRPr="003D1822">
        <w:rPr>
          <w:rFonts w:eastAsia="Calibri" w:cstheme="minorHAnsi"/>
          <w:kern w:val="0"/>
          <w:sz w:val="22"/>
          <w:szCs w:val="22"/>
          <w:lang w:val="en-US"/>
        </w:rPr>
        <w:t>Linkohr</w:t>
      </w:r>
      <w:proofErr w:type="spellEnd"/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 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3,4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, Michael Roden 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6,7,8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, Martin </w:t>
      </w:r>
      <w:proofErr w:type="spellStart"/>
      <w:r w:rsidRPr="003D1822">
        <w:rPr>
          <w:rFonts w:eastAsia="Calibri" w:cstheme="minorHAnsi"/>
          <w:kern w:val="0"/>
          <w:sz w:val="22"/>
          <w:szCs w:val="22"/>
          <w:lang w:val="en-US"/>
        </w:rPr>
        <w:t>Bidlingmaier</w:t>
      </w:r>
      <w:proofErr w:type="spellEnd"/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 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>, Felix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 xml:space="preserve"> </w:t>
      </w:r>
      <w:proofErr w:type="spellStart"/>
      <w:r w:rsidRPr="003D1822">
        <w:rPr>
          <w:rFonts w:eastAsia="Calibri" w:cstheme="minorHAnsi"/>
          <w:kern w:val="0"/>
          <w:sz w:val="22"/>
          <w:szCs w:val="22"/>
          <w:lang w:val="en-US"/>
        </w:rPr>
        <w:t>Beuschlein</w:t>
      </w:r>
      <w:proofErr w:type="spellEnd"/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 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1,9,10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 xml:space="preserve">, Martin Reincke </w:t>
      </w:r>
      <w:r w:rsidRPr="003D1822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>1</w:t>
      </w:r>
      <w:r w:rsidRPr="003D1822">
        <w:rPr>
          <w:rFonts w:eastAsia="Calibri" w:cstheme="minorHAnsi"/>
          <w:kern w:val="0"/>
          <w:sz w:val="22"/>
          <w:szCs w:val="22"/>
          <w:lang w:val="en-US"/>
        </w:rPr>
        <w:t>, German</w:t>
      </w:r>
      <w:r w:rsidRPr="00F32C4D">
        <w:rPr>
          <w:rFonts w:eastAsia="Calibri" w:cstheme="minorHAnsi"/>
          <w:kern w:val="0"/>
          <w:sz w:val="22"/>
          <w:szCs w:val="22"/>
          <w:lang w:val="en-US"/>
        </w:rPr>
        <w:t xml:space="preserve"> Rubinstein </w:t>
      </w:r>
      <w:r w:rsidRPr="00F32C4D">
        <w:rPr>
          <w:rFonts w:eastAsia="Calibri" w:cstheme="minorHAnsi"/>
          <w:kern w:val="0"/>
          <w:sz w:val="22"/>
          <w:szCs w:val="22"/>
          <w:vertAlign w:val="superscript"/>
          <w:lang w:val="en-US"/>
        </w:rPr>
        <w:t xml:space="preserve">1 </w:t>
      </w:r>
    </w:p>
    <w:p w14:paraId="54B464F4" w14:textId="712E258D" w:rsidR="00A23974" w:rsidRDefault="00867FFD" w:rsidP="002C167D">
      <w:pPr>
        <w:rPr>
          <w:b/>
          <w:bCs/>
          <w:sz w:val="22"/>
          <w:szCs w:val="22"/>
          <w:u w:val="single"/>
          <w:lang w:val="en-US"/>
        </w:rPr>
      </w:pPr>
      <w:r w:rsidRPr="00867FFD">
        <w:rPr>
          <w:b/>
          <w:bCs/>
          <w:sz w:val="22"/>
          <w:szCs w:val="22"/>
          <w:u w:val="single"/>
          <w:lang w:val="en-US"/>
        </w:rPr>
        <w:t>Supplemental Data:</w:t>
      </w:r>
    </w:p>
    <w:p w14:paraId="712B5538" w14:textId="77777777" w:rsidR="002C167D" w:rsidRPr="002C167D" w:rsidRDefault="002C167D" w:rsidP="002C167D">
      <w:pPr>
        <w:rPr>
          <w:b/>
          <w:bCs/>
          <w:sz w:val="22"/>
          <w:szCs w:val="22"/>
          <w:u w:val="single"/>
          <w:lang w:val="en-US"/>
        </w:rPr>
      </w:pPr>
    </w:p>
    <w:p w14:paraId="2791CB72" w14:textId="1015D12E" w:rsidR="00A23974" w:rsidRPr="00DA7F1F" w:rsidRDefault="00A23974" w:rsidP="00A23974">
      <w:pPr>
        <w:spacing w:line="480" w:lineRule="auto"/>
        <w:jc w:val="both"/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t>Supplemental Text 1: T</w:t>
      </w:r>
      <w:r w:rsidRPr="00DA7F1F">
        <w:rPr>
          <w:rFonts w:cstheme="minorHAnsi"/>
          <w:b/>
          <w:bCs/>
          <w:sz w:val="22"/>
          <w:szCs w:val="22"/>
          <w:lang w:val="en-US"/>
        </w:rPr>
        <w:t>reatment of CS</w:t>
      </w:r>
      <w:r>
        <w:rPr>
          <w:rFonts w:cstheme="minorHAnsi"/>
          <w:b/>
          <w:bCs/>
          <w:sz w:val="22"/>
          <w:szCs w:val="22"/>
          <w:lang w:val="en-US"/>
        </w:rPr>
        <w:t xml:space="preserve"> </w:t>
      </w:r>
    </w:p>
    <w:p w14:paraId="6689BCBF" w14:textId="63934927" w:rsidR="00385188" w:rsidRDefault="00A23974" w:rsidP="00A23974">
      <w:pPr>
        <w:spacing w:line="48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 xml:space="preserve">Almost all patients with CD were treated by transsphenoidal surgical resection (TSS) of the pituitary tumor (n = </w:t>
      </w:r>
      <w:r w:rsidR="0099614C">
        <w:rPr>
          <w:rFonts w:cstheme="minorHAnsi"/>
          <w:sz w:val="22"/>
          <w:szCs w:val="22"/>
          <w:lang w:val="en-US"/>
        </w:rPr>
        <w:t>5</w:t>
      </w:r>
      <w:r w:rsidR="009C0557">
        <w:rPr>
          <w:rFonts w:cstheme="minorHAnsi"/>
          <w:sz w:val="22"/>
          <w:szCs w:val="22"/>
          <w:lang w:val="en-US"/>
        </w:rPr>
        <w:t>1</w:t>
      </w:r>
      <w:r>
        <w:rPr>
          <w:rFonts w:cstheme="minorHAnsi"/>
          <w:sz w:val="22"/>
          <w:szCs w:val="22"/>
          <w:lang w:val="en-US"/>
        </w:rPr>
        <w:t xml:space="preserve">), and one patient received bilateral adrenalectomy (BADX) as first line therapy. From </w:t>
      </w:r>
      <w:r w:rsidR="0099614C">
        <w:rPr>
          <w:rFonts w:cstheme="minorHAnsi"/>
          <w:sz w:val="22"/>
          <w:szCs w:val="22"/>
          <w:lang w:val="en-US"/>
        </w:rPr>
        <w:t>5</w:t>
      </w:r>
      <w:r w:rsidR="009C0557">
        <w:rPr>
          <w:rFonts w:cstheme="minorHAnsi"/>
          <w:sz w:val="22"/>
          <w:szCs w:val="22"/>
          <w:lang w:val="en-US"/>
        </w:rPr>
        <w:t>2</w:t>
      </w:r>
      <w:r>
        <w:rPr>
          <w:rFonts w:cstheme="minorHAnsi"/>
          <w:sz w:val="22"/>
          <w:szCs w:val="22"/>
          <w:lang w:val="en-US"/>
        </w:rPr>
        <w:t xml:space="preserve"> patients with CD, </w:t>
      </w:r>
      <w:r w:rsidR="0099614C">
        <w:rPr>
          <w:rFonts w:cstheme="minorHAnsi"/>
          <w:sz w:val="22"/>
          <w:szCs w:val="22"/>
          <w:lang w:val="en-US"/>
        </w:rPr>
        <w:t>3</w:t>
      </w:r>
      <w:r w:rsidR="009C0557">
        <w:rPr>
          <w:rFonts w:cstheme="minorHAnsi"/>
          <w:sz w:val="22"/>
          <w:szCs w:val="22"/>
          <w:lang w:val="en-US"/>
        </w:rPr>
        <w:t>1</w:t>
      </w:r>
      <w:r>
        <w:rPr>
          <w:rFonts w:cstheme="minorHAnsi"/>
          <w:sz w:val="22"/>
          <w:szCs w:val="22"/>
          <w:lang w:val="en-US"/>
        </w:rPr>
        <w:t xml:space="preserve"> patients had remission after initial therapy, while 2</w:t>
      </w:r>
      <w:r w:rsidR="0099614C">
        <w:rPr>
          <w:rFonts w:cstheme="minorHAnsi"/>
          <w:sz w:val="22"/>
          <w:szCs w:val="22"/>
          <w:lang w:val="en-US"/>
        </w:rPr>
        <w:t>1</w:t>
      </w:r>
      <w:r>
        <w:rPr>
          <w:rFonts w:cstheme="minorHAnsi"/>
          <w:sz w:val="22"/>
          <w:szCs w:val="22"/>
          <w:lang w:val="en-US"/>
        </w:rPr>
        <w:t xml:space="preserve"> patients needed additional treatment lines after TSS due to persistent disease. Repeat TSS was applied in 1</w:t>
      </w:r>
      <w:r w:rsidR="00BA15A5">
        <w:rPr>
          <w:rFonts w:cstheme="minorHAnsi"/>
          <w:sz w:val="22"/>
          <w:szCs w:val="22"/>
          <w:lang w:val="en-US"/>
        </w:rPr>
        <w:t>6</w:t>
      </w:r>
      <w:r>
        <w:rPr>
          <w:rFonts w:cstheme="minorHAnsi"/>
          <w:sz w:val="22"/>
          <w:szCs w:val="22"/>
          <w:lang w:val="en-US"/>
        </w:rPr>
        <w:t xml:space="preserve"> patients, radiation in </w:t>
      </w:r>
      <w:r w:rsidR="00BA15A5">
        <w:rPr>
          <w:rFonts w:cstheme="minorHAnsi"/>
          <w:sz w:val="22"/>
          <w:szCs w:val="22"/>
          <w:lang w:val="en-US"/>
        </w:rPr>
        <w:t>9</w:t>
      </w:r>
      <w:r>
        <w:rPr>
          <w:rFonts w:cstheme="minorHAnsi"/>
          <w:sz w:val="22"/>
          <w:szCs w:val="22"/>
          <w:lang w:val="en-US"/>
        </w:rPr>
        <w:t xml:space="preserve"> patients, BADX was used in 1</w:t>
      </w:r>
      <w:r w:rsidR="00BA15A5">
        <w:rPr>
          <w:rFonts w:cstheme="minorHAnsi"/>
          <w:sz w:val="22"/>
          <w:szCs w:val="22"/>
          <w:lang w:val="en-US"/>
        </w:rPr>
        <w:t>0</w:t>
      </w:r>
      <w:r>
        <w:rPr>
          <w:rFonts w:cstheme="minorHAnsi"/>
          <w:sz w:val="22"/>
          <w:szCs w:val="22"/>
          <w:lang w:val="en-US"/>
        </w:rPr>
        <w:t xml:space="preserve"> patients and 4 patients received medical treatment </w:t>
      </w:r>
      <w:r w:rsidR="00BA15A5">
        <w:rPr>
          <w:rFonts w:cstheme="minorHAnsi"/>
          <w:sz w:val="22"/>
          <w:szCs w:val="22"/>
          <w:lang w:val="en-US"/>
        </w:rPr>
        <w:t xml:space="preserve">as a bridging before </w:t>
      </w:r>
      <w:r w:rsidR="001D1CE9">
        <w:rPr>
          <w:rFonts w:cstheme="minorHAnsi"/>
          <w:sz w:val="22"/>
          <w:szCs w:val="22"/>
          <w:lang w:val="en-US"/>
        </w:rPr>
        <w:t xml:space="preserve">finally </w:t>
      </w:r>
      <w:r w:rsidR="00BA15A5">
        <w:rPr>
          <w:rFonts w:cstheme="minorHAnsi"/>
          <w:sz w:val="22"/>
          <w:szCs w:val="22"/>
          <w:lang w:val="en-US"/>
        </w:rPr>
        <w:t>achieving</w:t>
      </w:r>
      <w:r>
        <w:rPr>
          <w:rFonts w:cstheme="minorHAnsi"/>
          <w:sz w:val="22"/>
          <w:szCs w:val="22"/>
          <w:lang w:val="en-US"/>
        </w:rPr>
        <w:t xml:space="preserve"> biochemical control.</w:t>
      </w:r>
      <w:r w:rsidR="005E6FEC">
        <w:rPr>
          <w:rFonts w:cstheme="minorHAnsi"/>
          <w:sz w:val="22"/>
          <w:szCs w:val="22"/>
          <w:lang w:val="en-US"/>
        </w:rPr>
        <w:t xml:space="preserve"> </w:t>
      </w:r>
      <w:r>
        <w:rPr>
          <w:rFonts w:cstheme="minorHAnsi"/>
          <w:sz w:val="22"/>
          <w:szCs w:val="22"/>
          <w:lang w:val="en-US"/>
        </w:rPr>
        <w:t xml:space="preserve">Removal of the ACTH producing tumor was first-line treatment in </w:t>
      </w:r>
      <w:r w:rsidR="001D1CE9">
        <w:rPr>
          <w:rFonts w:cstheme="minorHAnsi"/>
          <w:sz w:val="22"/>
          <w:szCs w:val="22"/>
          <w:lang w:val="en-US"/>
        </w:rPr>
        <w:t>6</w:t>
      </w:r>
      <w:r>
        <w:rPr>
          <w:rFonts w:cstheme="minorHAnsi"/>
          <w:sz w:val="22"/>
          <w:szCs w:val="22"/>
          <w:lang w:val="en-US"/>
        </w:rPr>
        <w:t xml:space="preserve"> patients with ECS while 2 patients underwent </w:t>
      </w:r>
      <w:r w:rsidR="001D1CE9">
        <w:rPr>
          <w:rFonts w:cstheme="minorHAnsi"/>
          <w:sz w:val="22"/>
          <w:szCs w:val="22"/>
          <w:lang w:val="en-US"/>
        </w:rPr>
        <w:t xml:space="preserve">first-line </w:t>
      </w:r>
      <w:r>
        <w:rPr>
          <w:rFonts w:cstheme="minorHAnsi"/>
          <w:sz w:val="22"/>
          <w:szCs w:val="22"/>
          <w:lang w:val="en-US"/>
        </w:rPr>
        <w:t>BADX</w:t>
      </w:r>
      <w:r w:rsidR="001D1CE9">
        <w:rPr>
          <w:rFonts w:cstheme="minorHAnsi"/>
          <w:sz w:val="22"/>
          <w:szCs w:val="22"/>
          <w:lang w:val="en-US"/>
        </w:rPr>
        <w:t xml:space="preserve"> before an ectopic tumor was discovered</w:t>
      </w:r>
      <w:r>
        <w:rPr>
          <w:rFonts w:cstheme="minorHAnsi"/>
          <w:sz w:val="22"/>
          <w:szCs w:val="22"/>
          <w:lang w:val="en-US"/>
        </w:rPr>
        <w:t xml:space="preserve">. </w:t>
      </w:r>
    </w:p>
    <w:p w14:paraId="2014EAEF" w14:textId="36D6B926" w:rsidR="001D1CE9" w:rsidRDefault="00A23974" w:rsidP="00A23974">
      <w:pPr>
        <w:spacing w:line="480" w:lineRule="auto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 xml:space="preserve">In patients with ACS, </w:t>
      </w:r>
      <w:r w:rsidR="001D1CE9">
        <w:rPr>
          <w:rFonts w:cstheme="minorHAnsi"/>
          <w:sz w:val="22"/>
          <w:szCs w:val="22"/>
          <w:lang w:val="en-US"/>
        </w:rPr>
        <w:t xml:space="preserve">17 </w:t>
      </w:r>
      <w:r>
        <w:rPr>
          <w:rFonts w:cstheme="minorHAnsi"/>
          <w:sz w:val="22"/>
          <w:szCs w:val="22"/>
          <w:lang w:val="en-US"/>
        </w:rPr>
        <w:t xml:space="preserve">patients with unilateral adenoma received adrenalectomy. Patients with bilateral hyperplasia received adrenalectomy of the dominant side (n= </w:t>
      </w:r>
      <w:r w:rsidR="001D1CE9">
        <w:rPr>
          <w:rFonts w:cstheme="minorHAnsi"/>
          <w:sz w:val="22"/>
          <w:szCs w:val="22"/>
          <w:lang w:val="en-US"/>
        </w:rPr>
        <w:t>2</w:t>
      </w:r>
      <w:r>
        <w:rPr>
          <w:rFonts w:cstheme="minorHAnsi"/>
          <w:sz w:val="22"/>
          <w:szCs w:val="22"/>
          <w:lang w:val="en-US"/>
        </w:rPr>
        <w:t xml:space="preserve">) and BADX (n= 2). </w:t>
      </w:r>
    </w:p>
    <w:p w14:paraId="1DF8F4D8" w14:textId="246A361C" w:rsidR="00DB6987" w:rsidRPr="00DB6987" w:rsidRDefault="00A23974" w:rsidP="00DB6987">
      <w:pPr>
        <w:spacing w:line="480" w:lineRule="auto"/>
        <w:jc w:val="both"/>
        <w:rPr>
          <w:rFonts w:cstheme="minorHAnsi"/>
          <w:sz w:val="22"/>
          <w:szCs w:val="22"/>
          <w:lang w:val="en-US"/>
        </w:rPr>
      </w:pPr>
      <w:r w:rsidRPr="009C0557">
        <w:rPr>
          <w:rFonts w:cstheme="minorHAnsi"/>
          <w:sz w:val="22"/>
          <w:szCs w:val="22"/>
          <w:lang w:val="en-US"/>
        </w:rPr>
        <w:t xml:space="preserve">Median </w:t>
      </w:r>
      <w:r w:rsidR="00C96DD0" w:rsidRPr="009C0557">
        <w:rPr>
          <w:rFonts w:cstheme="minorHAnsi"/>
          <w:sz w:val="22"/>
          <w:szCs w:val="22"/>
          <w:lang w:val="en-US"/>
        </w:rPr>
        <w:t xml:space="preserve">duration </w:t>
      </w:r>
      <w:r w:rsidRPr="009C0557">
        <w:rPr>
          <w:rFonts w:cstheme="minorHAnsi"/>
          <w:sz w:val="22"/>
          <w:szCs w:val="22"/>
          <w:lang w:val="en-US"/>
        </w:rPr>
        <w:t xml:space="preserve">of </w:t>
      </w:r>
      <w:r w:rsidR="00C96DD0" w:rsidRPr="009C0557">
        <w:rPr>
          <w:rFonts w:cstheme="minorHAnsi"/>
          <w:sz w:val="22"/>
          <w:szCs w:val="22"/>
          <w:lang w:val="en-US"/>
        </w:rPr>
        <w:t>uncontrolle</w:t>
      </w:r>
      <w:r w:rsidR="003D1822" w:rsidRPr="009C0557">
        <w:rPr>
          <w:rFonts w:cstheme="minorHAnsi"/>
          <w:sz w:val="22"/>
          <w:szCs w:val="22"/>
          <w:lang w:val="en-US"/>
        </w:rPr>
        <w:t>d</w:t>
      </w:r>
      <w:r w:rsidR="00C96DD0" w:rsidRPr="009C0557">
        <w:rPr>
          <w:rFonts w:cstheme="minorHAnsi"/>
          <w:sz w:val="22"/>
          <w:szCs w:val="22"/>
          <w:lang w:val="en-US"/>
        </w:rPr>
        <w:t xml:space="preserve"> </w:t>
      </w:r>
      <w:r w:rsidRPr="009C0557">
        <w:rPr>
          <w:rFonts w:cstheme="minorHAnsi"/>
          <w:sz w:val="22"/>
          <w:szCs w:val="22"/>
          <w:lang w:val="en-US"/>
        </w:rPr>
        <w:t>hypercortisolism from confirmation of the diagnosis until remission was 1</w:t>
      </w:r>
      <w:r w:rsidR="001D4FFE" w:rsidRPr="009C0557">
        <w:rPr>
          <w:rFonts w:cstheme="minorHAnsi"/>
          <w:sz w:val="22"/>
          <w:szCs w:val="22"/>
          <w:lang w:val="en-US"/>
        </w:rPr>
        <w:t>0</w:t>
      </w:r>
      <w:r w:rsidRPr="009C0557">
        <w:rPr>
          <w:rFonts w:cstheme="minorHAnsi"/>
          <w:sz w:val="22"/>
          <w:szCs w:val="22"/>
          <w:lang w:val="en-US"/>
        </w:rPr>
        <w:t>.</w:t>
      </w:r>
      <w:r w:rsidR="001D4FFE" w:rsidRPr="009C0557">
        <w:rPr>
          <w:rFonts w:cstheme="minorHAnsi"/>
          <w:sz w:val="22"/>
          <w:szCs w:val="22"/>
          <w:lang w:val="en-US"/>
        </w:rPr>
        <w:t>3</w:t>
      </w:r>
      <w:r w:rsidRPr="009C0557">
        <w:rPr>
          <w:rFonts w:cstheme="minorHAnsi"/>
          <w:sz w:val="22"/>
          <w:szCs w:val="22"/>
          <w:lang w:val="en-US"/>
        </w:rPr>
        <w:t xml:space="preserve"> weeks (5.</w:t>
      </w:r>
      <w:r w:rsidR="001D4FFE" w:rsidRPr="009C0557">
        <w:rPr>
          <w:rFonts w:cstheme="minorHAnsi"/>
          <w:sz w:val="22"/>
          <w:szCs w:val="22"/>
          <w:lang w:val="en-US"/>
        </w:rPr>
        <w:t>6</w:t>
      </w:r>
      <w:r w:rsidRPr="009C0557">
        <w:rPr>
          <w:rFonts w:cstheme="minorHAnsi"/>
          <w:sz w:val="22"/>
          <w:szCs w:val="22"/>
          <w:lang w:val="en-US"/>
        </w:rPr>
        <w:t>-</w:t>
      </w:r>
      <w:r w:rsidR="001D4FFE" w:rsidRPr="009C0557">
        <w:rPr>
          <w:rFonts w:cstheme="minorHAnsi"/>
          <w:sz w:val="22"/>
          <w:szCs w:val="22"/>
          <w:lang w:val="en-US"/>
        </w:rPr>
        <w:t>42</w:t>
      </w:r>
      <w:r w:rsidRPr="009C0557">
        <w:rPr>
          <w:rFonts w:cstheme="minorHAnsi"/>
          <w:sz w:val="22"/>
          <w:szCs w:val="22"/>
          <w:lang w:val="en-US"/>
        </w:rPr>
        <w:t>.</w:t>
      </w:r>
      <w:r w:rsidR="001D4FFE" w:rsidRPr="009C0557">
        <w:rPr>
          <w:rFonts w:cstheme="minorHAnsi"/>
          <w:sz w:val="22"/>
          <w:szCs w:val="22"/>
          <w:lang w:val="en-US"/>
        </w:rPr>
        <w:t>6</w:t>
      </w:r>
      <w:r w:rsidRPr="009C0557">
        <w:rPr>
          <w:rFonts w:cstheme="minorHAnsi"/>
          <w:sz w:val="22"/>
          <w:szCs w:val="22"/>
          <w:lang w:val="en-US"/>
        </w:rPr>
        <w:t xml:space="preserve">). </w:t>
      </w:r>
      <w:r w:rsidR="00C96DD0" w:rsidRPr="009C0557">
        <w:rPr>
          <w:rFonts w:cstheme="minorHAnsi"/>
          <w:sz w:val="22"/>
          <w:szCs w:val="22"/>
          <w:lang w:val="en-US"/>
        </w:rPr>
        <w:t>Median t</w:t>
      </w:r>
      <w:r w:rsidRPr="009C0557">
        <w:rPr>
          <w:rFonts w:cstheme="minorHAnsi"/>
          <w:sz w:val="22"/>
          <w:szCs w:val="22"/>
          <w:lang w:val="en-US"/>
        </w:rPr>
        <w:t>ime from self-reported first symptoms until remission was 1</w:t>
      </w:r>
      <w:r w:rsidR="001D4FFE" w:rsidRPr="009C0557">
        <w:rPr>
          <w:rFonts w:cstheme="minorHAnsi"/>
          <w:sz w:val="22"/>
          <w:szCs w:val="22"/>
          <w:lang w:val="en-US"/>
        </w:rPr>
        <w:t>18</w:t>
      </w:r>
      <w:r w:rsidR="00C96DD0" w:rsidRPr="009C0557">
        <w:rPr>
          <w:rFonts w:cstheme="minorHAnsi"/>
          <w:sz w:val="22"/>
          <w:szCs w:val="22"/>
          <w:lang w:val="en-US"/>
        </w:rPr>
        <w:t>.</w:t>
      </w:r>
      <w:r w:rsidR="001D4FFE" w:rsidRPr="009C0557">
        <w:rPr>
          <w:rFonts w:cstheme="minorHAnsi"/>
          <w:sz w:val="22"/>
          <w:szCs w:val="22"/>
          <w:lang w:val="en-US"/>
        </w:rPr>
        <w:t>4</w:t>
      </w:r>
      <w:r w:rsidRPr="009C0557">
        <w:rPr>
          <w:rFonts w:cstheme="minorHAnsi"/>
          <w:sz w:val="22"/>
          <w:szCs w:val="22"/>
          <w:lang w:val="en-US"/>
        </w:rPr>
        <w:t xml:space="preserve"> weeks (</w:t>
      </w:r>
      <w:r w:rsidR="001D4FFE" w:rsidRPr="009C0557">
        <w:rPr>
          <w:rFonts w:cstheme="minorHAnsi"/>
          <w:sz w:val="22"/>
          <w:szCs w:val="22"/>
          <w:lang w:val="en-US"/>
        </w:rPr>
        <w:t>5</w:t>
      </w:r>
      <w:r w:rsidRPr="009C0557">
        <w:rPr>
          <w:rFonts w:cstheme="minorHAnsi"/>
          <w:sz w:val="22"/>
          <w:szCs w:val="22"/>
          <w:lang w:val="en-US"/>
        </w:rPr>
        <w:t>3.</w:t>
      </w:r>
      <w:r w:rsidR="001D4FFE" w:rsidRPr="009C0557">
        <w:rPr>
          <w:rFonts w:cstheme="minorHAnsi"/>
          <w:sz w:val="22"/>
          <w:szCs w:val="22"/>
          <w:lang w:val="en-US"/>
        </w:rPr>
        <w:t>4</w:t>
      </w:r>
      <w:r w:rsidR="003D1822" w:rsidRPr="009C0557">
        <w:rPr>
          <w:rFonts w:cstheme="minorHAnsi"/>
          <w:sz w:val="22"/>
          <w:szCs w:val="22"/>
          <w:lang w:val="en-US"/>
        </w:rPr>
        <w:t>-</w:t>
      </w:r>
      <w:r w:rsidR="001D4FFE" w:rsidRPr="009C0557">
        <w:rPr>
          <w:rFonts w:cstheme="minorHAnsi"/>
          <w:sz w:val="22"/>
          <w:szCs w:val="22"/>
          <w:lang w:val="en-US"/>
        </w:rPr>
        <w:t>263</w:t>
      </w:r>
      <w:r w:rsidRPr="009C0557">
        <w:rPr>
          <w:rFonts w:cstheme="minorHAnsi"/>
          <w:sz w:val="22"/>
          <w:szCs w:val="22"/>
          <w:lang w:val="en-US"/>
        </w:rPr>
        <w:t>.</w:t>
      </w:r>
      <w:r w:rsidR="001D4FFE" w:rsidRPr="009C0557">
        <w:rPr>
          <w:rFonts w:cstheme="minorHAnsi"/>
          <w:sz w:val="22"/>
          <w:szCs w:val="22"/>
          <w:lang w:val="en-US"/>
        </w:rPr>
        <w:t>7</w:t>
      </w:r>
      <w:r w:rsidRPr="009C0557">
        <w:rPr>
          <w:rFonts w:cstheme="minorHAnsi"/>
          <w:sz w:val="22"/>
          <w:szCs w:val="22"/>
          <w:lang w:val="en-US"/>
        </w:rPr>
        <w:t xml:space="preserve">). </w:t>
      </w:r>
      <w:r w:rsidR="00C96DD0" w:rsidRPr="009C0557">
        <w:rPr>
          <w:rFonts w:cstheme="minorHAnsi"/>
          <w:sz w:val="22"/>
          <w:szCs w:val="22"/>
          <w:lang w:val="en-US"/>
        </w:rPr>
        <w:t xml:space="preserve">Median </w:t>
      </w:r>
      <w:r w:rsidRPr="009C0557">
        <w:rPr>
          <w:rFonts w:cstheme="minorHAnsi"/>
          <w:sz w:val="22"/>
          <w:szCs w:val="22"/>
          <w:lang w:val="en-US"/>
        </w:rPr>
        <w:t xml:space="preserve">follow-up </w:t>
      </w:r>
      <w:r w:rsidR="00C96DD0" w:rsidRPr="009C0557">
        <w:rPr>
          <w:rFonts w:cstheme="minorHAnsi"/>
          <w:sz w:val="22"/>
          <w:szCs w:val="22"/>
          <w:lang w:val="en-US"/>
        </w:rPr>
        <w:t xml:space="preserve">time </w:t>
      </w:r>
      <w:r w:rsidRPr="009C0557">
        <w:rPr>
          <w:rFonts w:cstheme="minorHAnsi"/>
          <w:sz w:val="22"/>
          <w:szCs w:val="22"/>
          <w:lang w:val="en-US"/>
        </w:rPr>
        <w:t xml:space="preserve">was </w:t>
      </w:r>
      <w:r w:rsidR="001A1CCD" w:rsidRPr="009C0557">
        <w:rPr>
          <w:rFonts w:cstheme="minorHAnsi"/>
          <w:sz w:val="22"/>
          <w:szCs w:val="22"/>
          <w:lang w:val="en-US"/>
        </w:rPr>
        <w:t>9</w:t>
      </w:r>
      <w:r w:rsidR="000371B9" w:rsidRPr="009C0557">
        <w:rPr>
          <w:rFonts w:cstheme="minorHAnsi"/>
          <w:sz w:val="22"/>
          <w:szCs w:val="22"/>
          <w:lang w:val="en-US"/>
        </w:rPr>
        <w:t>6</w:t>
      </w:r>
      <w:r w:rsidRPr="009C0557">
        <w:rPr>
          <w:rFonts w:cstheme="minorHAnsi"/>
          <w:sz w:val="22"/>
          <w:szCs w:val="22"/>
          <w:lang w:val="en-US"/>
        </w:rPr>
        <w:t xml:space="preserve"> months (8</w:t>
      </w:r>
      <w:r w:rsidR="000371B9" w:rsidRPr="009C0557">
        <w:rPr>
          <w:rFonts w:cstheme="minorHAnsi"/>
          <w:sz w:val="22"/>
          <w:szCs w:val="22"/>
          <w:lang w:val="en-US"/>
        </w:rPr>
        <w:t>0</w:t>
      </w:r>
      <w:r w:rsidRPr="009C0557">
        <w:rPr>
          <w:rFonts w:cstheme="minorHAnsi"/>
          <w:sz w:val="22"/>
          <w:szCs w:val="22"/>
          <w:lang w:val="en-US"/>
        </w:rPr>
        <w:t xml:space="preserve">-16). </w:t>
      </w:r>
    </w:p>
    <w:p w14:paraId="4FAA8D00" w14:textId="580B68FA" w:rsidR="00DB6987" w:rsidRPr="001659EE" w:rsidRDefault="00DB6987" w:rsidP="00A23974">
      <w:pPr>
        <w:spacing w:line="480" w:lineRule="auto"/>
        <w:jc w:val="both"/>
        <w:rPr>
          <w:rFonts w:cstheme="minorHAnsi"/>
          <w:b/>
          <w:bCs/>
          <w:sz w:val="22"/>
          <w:szCs w:val="22"/>
          <w:highlight w:val="yellow"/>
          <w:lang w:val="en-US"/>
        </w:rPr>
      </w:pPr>
      <w:r w:rsidRPr="001659EE">
        <w:rPr>
          <w:rFonts w:cstheme="minorHAnsi"/>
          <w:b/>
          <w:bCs/>
          <w:sz w:val="22"/>
          <w:szCs w:val="22"/>
          <w:highlight w:val="yellow"/>
          <w:lang w:val="en-US"/>
        </w:rPr>
        <w:t xml:space="preserve">Supplemental Text 2: Antidiabetic treatment </w:t>
      </w:r>
    </w:p>
    <w:p w14:paraId="03DE3373" w14:textId="7768BF96" w:rsidR="00DB6987" w:rsidRDefault="00DB6987" w:rsidP="00A23974">
      <w:pPr>
        <w:spacing w:line="480" w:lineRule="auto"/>
        <w:jc w:val="both"/>
        <w:rPr>
          <w:rFonts w:cstheme="minorHAnsi"/>
          <w:sz w:val="22"/>
          <w:szCs w:val="22"/>
          <w:lang w:val="en-US"/>
        </w:rPr>
      </w:pPr>
      <w:r w:rsidRPr="001659EE">
        <w:rPr>
          <w:rFonts w:cstheme="minorHAnsi"/>
          <w:sz w:val="22"/>
          <w:szCs w:val="22"/>
          <w:highlight w:val="yellow"/>
          <w:lang w:val="en-US"/>
        </w:rPr>
        <w:t>At baseline, prior to the treatment of hypercortisolism, 19.1% of patients were receiving antidiabetic medications. Among them, 70% were treated with insulin, 60% with metformin, 30% with a DPP-4 inhibitor, and only 10% with an SGLT-2 inhibitor. After 7 years, 14.5% of patients were on antidiabetic therapy, with the same distribution: 70% on insulin, 60% on metformin, 30% on a DPP-4 inhibitor, and 10% on an SGLT-2 inhibitor. At 14 years following remission, 9.1% of the patients continued to receive antidiabetic treatment, and all of them received metformin.</w:t>
      </w:r>
    </w:p>
    <w:p w14:paraId="2376AFBC" w14:textId="555962A7" w:rsidR="002C167D" w:rsidRDefault="002C167D">
      <w:pPr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br w:type="page"/>
      </w:r>
    </w:p>
    <w:p w14:paraId="1B44B7D2" w14:textId="77777777" w:rsidR="005E6FEC" w:rsidRDefault="005E6FEC" w:rsidP="008D743A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992"/>
      </w:tblGrid>
      <w:tr w:rsidR="008D743A" w:rsidRPr="009A2CA4" w14:paraId="5D8FFD21" w14:textId="77777777" w:rsidTr="0099487D">
        <w:tc>
          <w:tcPr>
            <w:tcW w:w="3114" w:type="dxa"/>
            <w:vAlign w:val="center"/>
          </w:tcPr>
          <w:p w14:paraId="3E66A8D6" w14:textId="7ECFA4E9" w:rsidR="008D743A" w:rsidRPr="009A2CA4" w:rsidRDefault="00A83802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B</w:t>
            </w:r>
            <w:r w:rsidR="005E6034" w:rsidRPr="009A2CA4">
              <w:rPr>
                <w:sz w:val="22"/>
                <w:szCs w:val="22"/>
                <w:lang w:val="en-US"/>
              </w:rPr>
              <w:t>aseline</w:t>
            </w:r>
            <w:r w:rsidRPr="009A2CA4">
              <w:rPr>
                <w:sz w:val="22"/>
                <w:szCs w:val="22"/>
                <w:lang w:val="en-US"/>
              </w:rPr>
              <w:t xml:space="preserve"> (before treatment)</w:t>
            </w:r>
          </w:p>
        </w:tc>
        <w:tc>
          <w:tcPr>
            <w:tcW w:w="1984" w:type="dxa"/>
            <w:vAlign w:val="center"/>
          </w:tcPr>
          <w:p w14:paraId="2ED0F8B6" w14:textId="7EF7D66C" w:rsidR="008D743A" w:rsidRPr="009A2CA4" w:rsidRDefault="008D743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C</w:t>
            </w:r>
            <w:r w:rsidR="001959B8" w:rsidRPr="009A2CA4">
              <w:rPr>
                <w:sz w:val="22"/>
                <w:szCs w:val="22"/>
                <w:lang w:val="en-US"/>
              </w:rPr>
              <w:t>U</w:t>
            </w:r>
            <w:r w:rsidRPr="009A2CA4">
              <w:rPr>
                <w:sz w:val="22"/>
                <w:szCs w:val="22"/>
                <w:lang w:val="en-US"/>
              </w:rPr>
              <w:t>S</w:t>
            </w:r>
            <w:r w:rsidR="001959B8" w:rsidRPr="009A2CA4">
              <w:rPr>
                <w:sz w:val="22"/>
                <w:szCs w:val="22"/>
                <w:lang w:val="en-US"/>
              </w:rPr>
              <w:t>H</w:t>
            </w:r>
          </w:p>
          <w:p w14:paraId="036800C6" w14:textId="4ABFE5E9" w:rsidR="001959B8" w:rsidRPr="009A2CA4" w:rsidRDefault="001959B8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 xml:space="preserve">n= </w:t>
            </w:r>
            <w:r w:rsidR="005071A2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985" w:type="dxa"/>
            <w:vAlign w:val="center"/>
          </w:tcPr>
          <w:p w14:paraId="1AD4BBB3" w14:textId="6424ABBA" w:rsidR="008D743A" w:rsidRPr="009A2CA4" w:rsidRDefault="008D743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KOR</w:t>
            </w:r>
            <w:r w:rsidR="001D5C2A" w:rsidRPr="009A2CA4">
              <w:rPr>
                <w:sz w:val="22"/>
                <w:szCs w:val="22"/>
                <w:lang w:val="en-US"/>
              </w:rPr>
              <w:t>A</w:t>
            </w:r>
          </w:p>
          <w:p w14:paraId="47F2560A" w14:textId="71E55940" w:rsidR="001959B8" w:rsidRPr="009A2CA4" w:rsidRDefault="001959B8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n=</w:t>
            </w:r>
            <w:r w:rsidR="005071A2">
              <w:rPr>
                <w:sz w:val="22"/>
                <w:szCs w:val="22"/>
                <w:lang w:val="en-US"/>
              </w:rPr>
              <w:t>283</w:t>
            </w:r>
          </w:p>
        </w:tc>
        <w:tc>
          <w:tcPr>
            <w:tcW w:w="992" w:type="dxa"/>
            <w:vAlign w:val="center"/>
          </w:tcPr>
          <w:p w14:paraId="36DB9A9F" w14:textId="62B8FA02" w:rsidR="008D743A" w:rsidRPr="009A2CA4" w:rsidRDefault="008D743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P value</w:t>
            </w:r>
          </w:p>
        </w:tc>
      </w:tr>
      <w:tr w:rsidR="008D743A" w:rsidRPr="009A2CA4" w14:paraId="0F9F0740" w14:textId="77777777" w:rsidTr="0099487D">
        <w:tc>
          <w:tcPr>
            <w:tcW w:w="3114" w:type="dxa"/>
          </w:tcPr>
          <w:p w14:paraId="77EEC5D5" w14:textId="5BBC4417" w:rsidR="008D743A" w:rsidRPr="001C19CF" w:rsidRDefault="00793189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BP</w:t>
            </w:r>
            <w:r w:rsidR="001959B8" w:rsidRPr="001C19CF">
              <w:rPr>
                <w:sz w:val="22"/>
                <w:szCs w:val="22"/>
                <w:lang w:val="en-US"/>
              </w:rPr>
              <w:t xml:space="preserve"> syst</w:t>
            </w:r>
            <w:r w:rsidR="00C43AD7" w:rsidRPr="001C19CF">
              <w:rPr>
                <w:sz w:val="22"/>
                <w:szCs w:val="22"/>
                <w:lang w:val="en-US"/>
              </w:rPr>
              <w:t>.</w:t>
            </w:r>
            <w:r w:rsidR="001959B8" w:rsidRPr="001C19CF">
              <w:rPr>
                <w:sz w:val="22"/>
                <w:szCs w:val="22"/>
                <w:lang w:val="en-US"/>
              </w:rPr>
              <w:t xml:space="preserve"> mmHg</w:t>
            </w:r>
          </w:p>
        </w:tc>
        <w:tc>
          <w:tcPr>
            <w:tcW w:w="1984" w:type="dxa"/>
            <w:vAlign w:val="center"/>
          </w:tcPr>
          <w:p w14:paraId="1E287D55" w14:textId="6AC07964" w:rsidR="008D743A" w:rsidRPr="001C19CF" w:rsidRDefault="00472C8D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1</w:t>
            </w:r>
            <w:r w:rsidR="001959B8" w:rsidRPr="001C19CF">
              <w:rPr>
                <w:sz w:val="22"/>
                <w:szCs w:val="22"/>
                <w:lang w:val="en-US"/>
              </w:rPr>
              <w:t>4</w:t>
            </w:r>
            <w:r w:rsidR="00CB5655" w:rsidRPr="001C19CF">
              <w:rPr>
                <w:sz w:val="22"/>
                <w:szCs w:val="22"/>
                <w:lang w:val="en-US"/>
              </w:rPr>
              <w:t>8</w:t>
            </w:r>
            <w:r w:rsidR="0099487D">
              <w:rPr>
                <w:sz w:val="22"/>
                <w:szCs w:val="22"/>
                <w:lang w:val="en-US"/>
              </w:rPr>
              <w:t>.0</w:t>
            </w:r>
            <w:r w:rsidR="001959B8" w:rsidRPr="001C19CF">
              <w:rPr>
                <w:sz w:val="22"/>
                <w:szCs w:val="22"/>
                <w:lang w:val="en-US"/>
              </w:rPr>
              <w:t xml:space="preserve"> (130</w:t>
            </w:r>
            <w:r w:rsidR="0099487D">
              <w:rPr>
                <w:sz w:val="22"/>
                <w:szCs w:val="22"/>
                <w:lang w:val="en-US"/>
              </w:rPr>
              <w:t>.0</w:t>
            </w:r>
            <w:r w:rsidR="001959B8" w:rsidRPr="001C19CF">
              <w:rPr>
                <w:sz w:val="22"/>
                <w:szCs w:val="22"/>
                <w:lang w:val="en-US"/>
              </w:rPr>
              <w:t>-1</w:t>
            </w:r>
            <w:r w:rsidR="001C19CF" w:rsidRPr="001C19CF">
              <w:rPr>
                <w:sz w:val="22"/>
                <w:szCs w:val="22"/>
                <w:lang w:val="en-US"/>
              </w:rPr>
              <w:t>60</w:t>
            </w:r>
            <w:r w:rsidR="0099487D">
              <w:rPr>
                <w:sz w:val="22"/>
                <w:szCs w:val="22"/>
                <w:lang w:val="en-US"/>
              </w:rPr>
              <w:t>.0</w:t>
            </w:r>
            <w:r w:rsidR="001959B8" w:rsidRPr="001C19C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125CF096" w14:textId="0683A5A8" w:rsidR="008D743A" w:rsidRPr="001C19CF" w:rsidRDefault="001959B8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1</w:t>
            </w:r>
            <w:r w:rsidR="001C19CF" w:rsidRPr="001C19CF">
              <w:rPr>
                <w:sz w:val="22"/>
                <w:szCs w:val="22"/>
                <w:lang w:val="en-US"/>
              </w:rPr>
              <w:t>20</w:t>
            </w:r>
            <w:r w:rsidR="0099487D">
              <w:rPr>
                <w:sz w:val="22"/>
                <w:szCs w:val="22"/>
                <w:lang w:val="en-US"/>
              </w:rPr>
              <w:t>.0</w:t>
            </w:r>
            <w:r w:rsidRPr="001C19CF">
              <w:rPr>
                <w:sz w:val="22"/>
                <w:szCs w:val="22"/>
                <w:lang w:val="en-US"/>
              </w:rPr>
              <w:t xml:space="preserve"> </w:t>
            </w:r>
            <w:r w:rsidR="00C43AD7" w:rsidRPr="001C19CF">
              <w:rPr>
                <w:sz w:val="22"/>
                <w:szCs w:val="22"/>
                <w:lang w:val="en-US"/>
              </w:rPr>
              <w:t>(10</w:t>
            </w:r>
            <w:r w:rsidR="00EC40C8" w:rsidRPr="001C19CF">
              <w:rPr>
                <w:sz w:val="22"/>
                <w:szCs w:val="22"/>
                <w:lang w:val="en-US"/>
              </w:rPr>
              <w:t>8</w:t>
            </w:r>
            <w:r w:rsidR="001C19CF" w:rsidRPr="001C19CF">
              <w:rPr>
                <w:sz w:val="22"/>
                <w:szCs w:val="22"/>
                <w:lang w:val="en-US"/>
              </w:rPr>
              <w:t>.5</w:t>
            </w:r>
            <w:r w:rsidR="00C43AD7" w:rsidRPr="001C19CF">
              <w:rPr>
                <w:sz w:val="22"/>
                <w:szCs w:val="22"/>
                <w:lang w:val="en-US"/>
              </w:rPr>
              <w:t>-130</w:t>
            </w:r>
            <w:r w:rsidR="001C19CF" w:rsidRPr="001C19CF">
              <w:rPr>
                <w:sz w:val="22"/>
                <w:szCs w:val="22"/>
                <w:lang w:val="en-US"/>
              </w:rPr>
              <w:t>.5</w:t>
            </w:r>
            <w:r w:rsidR="00C43AD7" w:rsidRPr="001C19C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128661A4" w14:textId="3F6E0761" w:rsidR="008D743A" w:rsidRPr="001C19CF" w:rsidRDefault="005863A6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8D743A" w:rsidRPr="009A2CA4" w14:paraId="20C9E30E" w14:textId="77777777" w:rsidTr="0099487D">
        <w:tc>
          <w:tcPr>
            <w:tcW w:w="3114" w:type="dxa"/>
          </w:tcPr>
          <w:p w14:paraId="62E5E203" w14:textId="2959688C" w:rsidR="008D743A" w:rsidRPr="005440F8" w:rsidRDefault="00793189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BP</w:t>
            </w:r>
            <w:r w:rsidR="001959B8" w:rsidRPr="005440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43AD7" w:rsidRPr="005440F8">
              <w:rPr>
                <w:sz w:val="22"/>
                <w:szCs w:val="22"/>
                <w:lang w:val="en-US"/>
              </w:rPr>
              <w:t>diast</w:t>
            </w:r>
            <w:proofErr w:type="spellEnd"/>
            <w:r w:rsidR="00C43AD7" w:rsidRPr="005440F8">
              <w:rPr>
                <w:sz w:val="22"/>
                <w:szCs w:val="22"/>
                <w:lang w:val="en-US"/>
              </w:rPr>
              <w:t xml:space="preserve">. </w:t>
            </w:r>
            <w:r w:rsidR="001959B8" w:rsidRPr="005440F8">
              <w:rPr>
                <w:sz w:val="22"/>
                <w:szCs w:val="22"/>
                <w:lang w:val="en-US"/>
              </w:rPr>
              <w:t>mmHg</w:t>
            </w:r>
          </w:p>
        </w:tc>
        <w:tc>
          <w:tcPr>
            <w:tcW w:w="1984" w:type="dxa"/>
            <w:vAlign w:val="center"/>
          </w:tcPr>
          <w:p w14:paraId="281C7D09" w14:textId="263C8354" w:rsidR="008D743A" w:rsidRPr="005440F8" w:rsidRDefault="00C27ED7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90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472C8D" w:rsidRPr="005440F8">
              <w:rPr>
                <w:sz w:val="22"/>
                <w:szCs w:val="22"/>
                <w:lang w:val="en-US"/>
              </w:rPr>
              <w:t xml:space="preserve"> (</w:t>
            </w:r>
            <w:r w:rsidRPr="005440F8">
              <w:rPr>
                <w:sz w:val="22"/>
                <w:szCs w:val="22"/>
                <w:lang w:val="en-US"/>
              </w:rPr>
              <w:t>80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472C8D" w:rsidRPr="005440F8">
              <w:rPr>
                <w:sz w:val="22"/>
                <w:szCs w:val="22"/>
                <w:lang w:val="en-US"/>
              </w:rPr>
              <w:t>-</w:t>
            </w:r>
            <w:r w:rsidRPr="005440F8">
              <w:rPr>
                <w:sz w:val="22"/>
                <w:szCs w:val="22"/>
                <w:lang w:val="en-US"/>
              </w:rPr>
              <w:t>100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472C8D"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7F583FB" w14:textId="1244DA0A" w:rsidR="008D743A" w:rsidRPr="005440F8" w:rsidRDefault="00C27ED7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7</w:t>
            </w:r>
            <w:r w:rsidR="00EC40C8" w:rsidRPr="005440F8">
              <w:rPr>
                <w:sz w:val="22"/>
                <w:szCs w:val="22"/>
                <w:lang w:val="en-US"/>
              </w:rPr>
              <w:t>7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472C8D" w:rsidRPr="005440F8">
              <w:rPr>
                <w:sz w:val="22"/>
                <w:szCs w:val="22"/>
                <w:lang w:val="en-US"/>
              </w:rPr>
              <w:t xml:space="preserve"> (</w:t>
            </w:r>
            <w:r w:rsidRPr="005440F8">
              <w:rPr>
                <w:sz w:val="22"/>
                <w:szCs w:val="22"/>
                <w:lang w:val="en-US"/>
              </w:rPr>
              <w:t>71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472C8D" w:rsidRPr="005440F8">
              <w:rPr>
                <w:sz w:val="22"/>
                <w:szCs w:val="22"/>
                <w:lang w:val="en-US"/>
              </w:rPr>
              <w:t>-</w:t>
            </w:r>
            <w:r w:rsidR="00212389" w:rsidRPr="005440F8">
              <w:rPr>
                <w:sz w:val="22"/>
                <w:szCs w:val="22"/>
                <w:lang w:val="en-US"/>
              </w:rPr>
              <w:t>8</w:t>
            </w:r>
            <w:r w:rsidR="00EC40C8" w:rsidRPr="005440F8">
              <w:rPr>
                <w:sz w:val="22"/>
                <w:szCs w:val="22"/>
                <w:lang w:val="en-US"/>
              </w:rPr>
              <w:t>4</w:t>
            </w:r>
            <w:r w:rsidR="0099487D" w:rsidRPr="005440F8">
              <w:rPr>
                <w:sz w:val="22"/>
                <w:szCs w:val="22"/>
                <w:lang w:val="en-US"/>
              </w:rPr>
              <w:t>.5</w:t>
            </w:r>
            <w:r w:rsidR="00472C8D"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50D5197C" w14:textId="258FA72C" w:rsidR="008D743A" w:rsidRPr="005440F8" w:rsidRDefault="00C27ED7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C27ED7" w:rsidRPr="009A2CA4" w14:paraId="200717E3" w14:textId="77777777" w:rsidTr="0099487D">
        <w:tc>
          <w:tcPr>
            <w:tcW w:w="3114" w:type="dxa"/>
          </w:tcPr>
          <w:p w14:paraId="7C18553E" w14:textId="187BD2C8" w:rsidR="00C27ED7" w:rsidRPr="00FD4265" w:rsidRDefault="00C27ED7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Heart</w:t>
            </w:r>
            <w:r w:rsidR="003A29C9" w:rsidRPr="00FD4265">
              <w:rPr>
                <w:sz w:val="22"/>
                <w:szCs w:val="22"/>
                <w:lang w:val="en-US"/>
              </w:rPr>
              <w:t xml:space="preserve"> </w:t>
            </w:r>
            <w:r w:rsidRPr="00FD4265">
              <w:rPr>
                <w:sz w:val="22"/>
                <w:szCs w:val="22"/>
                <w:lang w:val="en-US"/>
              </w:rPr>
              <w:t>rate bpm</w:t>
            </w:r>
          </w:p>
        </w:tc>
        <w:tc>
          <w:tcPr>
            <w:tcW w:w="1984" w:type="dxa"/>
            <w:vAlign w:val="center"/>
          </w:tcPr>
          <w:p w14:paraId="4C8B1E77" w14:textId="572BF65D" w:rsidR="00C27ED7" w:rsidRPr="005440F8" w:rsidRDefault="005863A6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7</w:t>
            </w:r>
            <w:r w:rsidR="0099487D" w:rsidRPr="005440F8">
              <w:rPr>
                <w:sz w:val="22"/>
                <w:szCs w:val="22"/>
                <w:lang w:val="en-US"/>
              </w:rPr>
              <w:t>8.0</w:t>
            </w:r>
            <w:r w:rsidR="00C27ED7" w:rsidRPr="005440F8">
              <w:rPr>
                <w:sz w:val="22"/>
                <w:szCs w:val="22"/>
                <w:lang w:val="en-US"/>
              </w:rPr>
              <w:t xml:space="preserve"> (</w:t>
            </w:r>
            <w:r w:rsidRPr="005440F8">
              <w:rPr>
                <w:sz w:val="22"/>
                <w:szCs w:val="22"/>
                <w:lang w:val="en-US"/>
              </w:rPr>
              <w:t>68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EC40C8" w:rsidRPr="005440F8">
              <w:rPr>
                <w:sz w:val="22"/>
                <w:szCs w:val="22"/>
                <w:lang w:val="en-US"/>
              </w:rPr>
              <w:t xml:space="preserve"> </w:t>
            </w:r>
            <w:r w:rsidR="00C27ED7" w:rsidRPr="005440F8">
              <w:rPr>
                <w:sz w:val="22"/>
                <w:szCs w:val="22"/>
                <w:lang w:val="en-US"/>
              </w:rPr>
              <w:t>-</w:t>
            </w:r>
            <w:r w:rsidRPr="005440F8">
              <w:rPr>
                <w:sz w:val="22"/>
                <w:szCs w:val="22"/>
                <w:lang w:val="en-US"/>
              </w:rPr>
              <w:t>8</w:t>
            </w:r>
            <w:r w:rsidR="0099487D" w:rsidRPr="005440F8">
              <w:rPr>
                <w:sz w:val="22"/>
                <w:szCs w:val="22"/>
                <w:lang w:val="en-US"/>
              </w:rPr>
              <w:t>4</w:t>
            </w:r>
            <w:r w:rsidRPr="005440F8">
              <w:rPr>
                <w:sz w:val="22"/>
                <w:szCs w:val="22"/>
                <w:lang w:val="en-US"/>
              </w:rPr>
              <w:t>.</w:t>
            </w:r>
            <w:r w:rsidR="0099487D" w:rsidRPr="005440F8">
              <w:rPr>
                <w:sz w:val="22"/>
                <w:szCs w:val="22"/>
                <w:lang w:val="en-US"/>
              </w:rPr>
              <w:t>0</w:t>
            </w:r>
            <w:r w:rsidR="00C27ED7"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101C8749" w14:textId="08232C4E" w:rsidR="00C27ED7" w:rsidRPr="005440F8" w:rsidRDefault="005863A6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7</w:t>
            </w:r>
            <w:r w:rsidR="0099487D" w:rsidRPr="005440F8">
              <w:rPr>
                <w:sz w:val="22"/>
                <w:szCs w:val="22"/>
                <w:lang w:val="en-US"/>
              </w:rPr>
              <w:t>2.0</w:t>
            </w:r>
            <w:r w:rsidR="00C27ED7" w:rsidRPr="005440F8">
              <w:rPr>
                <w:sz w:val="22"/>
                <w:szCs w:val="22"/>
                <w:lang w:val="en-US"/>
              </w:rPr>
              <w:t xml:space="preserve"> (</w:t>
            </w:r>
            <w:r w:rsidRPr="005440F8">
              <w:rPr>
                <w:sz w:val="22"/>
                <w:szCs w:val="22"/>
                <w:lang w:val="en-US"/>
              </w:rPr>
              <w:t>6</w:t>
            </w:r>
            <w:r w:rsidR="00EC40C8" w:rsidRPr="005440F8">
              <w:rPr>
                <w:sz w:val="22"/>
                <w:szCs w:val="22"/>
                <w:lang w:val="en-US"/>
              </w:rPr>
              <w:t>6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C27ED7" w:rsidRPr="005440F8">
              <w:rPr>
                <w:sz w:val="22"/>
                <w:szCs w:val="22"/>
                <w:lang w:val="en-US"/>
              </w:rPr>
              <w:t>-</w:t>
            </w:r>
            <w:r w:rsidRPr="005440F8">
              <w:rPr>
                <w:sz w:val="22"/>
                <w:szCs w:val="22"/>
                <w:lang w:val="en-US"/>
              </w:rPr>
              <w:t>7</w:t>
            </w:r>
            <w:r w:rsidR="0099487D" w:rsidRPr="005440F8">
              <w:rPr>
                <w:sz w:val="22"/>
                <w:szCs w:val="22"/>
                <w:lang w:val="en-US"/>
              </w:rPr>
              <w:t>9.0</w:t>
            </w:r>
            <w:r w:rsidR="00C27ED7"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317EBD02" w14:textId="16AC05B9" w:rsidR="00C27ED7" w:rsidRPr="005440F8" w:rsidRDefault="005863A6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0.00</w:t>
            </w:r>
            <w:r w:rsidR="0099487D" w:rsidRPr="005440F8">
              <w:rPr>
                <w:sz w:val="22"/>
                <w:szCs w:val="22"/>
                <w:lang w:val="en-US"/>
              </w:rPr>
              <w:t>70</w:t>
            </w:r>
          </w:p>
        </w:tc>
      </w:tr>
      <w:tr w:rsidR="008D743A" w:rsidRPr="009A2CA4" w14:paraId="7B52AB7B" w14:textId="77777777" w:rsidTr="0099487D">
        <w:tc>
          <w:tcPr>
            <w:tcW w:w="3114" w:type="dxa"/>
          </w:tcPr>
          <w:p w14:paraId="4B2C1A95" w14:textId="678D134B" w:rsidR="008D743A" w:rsidRPr="00FD4265" w:rsidRDefault="001959B8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GFR m</w:t>
            </w:r>
            <w:r w:rsidR="00A75004" w:rsidRPr="00FD4265">
              <w:rPr>
                <w:sz w:val="22"/>
                <w:szCs w:val="22"/>
                <w:lang w:val="en-US"/>
              </w:rPr>
              <w:t>l</w:t>
            </w:r>
            <w:r w:rsidRPr="00FD4265">
              <w:rPr>
                <w:sz w:val="22"/>
                <w:szCs w:val="22"/>
                <w:lang w:val="en-US"/>
              </w:rPr>
              <w:t>/min</w:t>
            </w:r>
            <w:r w:rsidR="00746461" w:rsidRPr="00FD4265">
              <w:rPr>
                <w:sz w:val="22"/>
                <w:szCs w:val="22"/>
                <w:lang w:val="en-US"/>
              </w:rPr>
              <w:t>/1.73m</w:t>
            </w:r>
            <w:r w:rsidR="00746461" w:rsidRPr="00FD4265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7604AC07" w14:textId="7312BF30" w:rsidR="008D743A" w:rsidRPr="00FD4265" w:rsidRDefault="00AF74E7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8</w:t>
            </w:r>
            <w:r w:rsidR="005440F8" w:rsidRPr="00FD4265">
              <w:rPr>
                <w:sz w:val="22"/>
                <w:szCs w:val="22"/>
                <w:lang w:val="en-US"/>
              </w:rPr>
              <w:t>6</w:t>
            </w:r>
            <w:r w:rsidRPr="00FD4265">
              <w:rPr>
                <w:sz w:val="22"/>
                <w:szCs w:val="22"/>
                <w:lang w:val="en-US"/>
              </w:rPr>
              <w:t>.1</w:t>
            </w:r>
            <w:r w:rsidR="000A4061" w:rsidRPr="00FD4265">
              <w:rPr>
                <w:sz w:val="22"/>
                <w:szCs w:val="22"/>
                <w:lang w:val="en-US"/>
              </w:rPr>
              <w:t xml:space="preserve"> </w:t>
            </w:r>
            <w:r w:rsidR="000A3D02" w:rsidRPr="00FD4265">
              <w:rPr>
                <w:sz w:val="22"/>
                <w:szCs w:val="22"/>
                <w:lang w:val="en-US"/>
              </w:rPr>
              <w:t>(</w:t>
            </w:r>
            <w:r w:rsidRPr="00FD4265">
              <w:rPr>
                <w:sz w:val="22"/>
                <w:szCs w:val="22"/>
                <w:lang w:val="en-US"/>
              </w:rPr>
              <w:t>7</w:t>
            </w:r>
            <w:r w:rsidR="005440F8" w:rsidRPr="00FD4265">
              <w:rPr>
                <w:sz w:val="22"/>
                <w:szCs w:val="22"/>
                <w:lang w:val="en-US"/>
              </w:rPr>
              <w:t>3</w:t>
            </w:r>
            <w:r w:rsidR="00FD3B6E" w:rsidRPr="00FD4265">
              <w:rPr>
                <w:sz w:val="22"/>
                <w:szCs w:val="22"/>
                <w:lang w:val="en-US"/>
              </w:rPr>
              <w:t>.</w:t>
            </w:r>
            <w:r w:rsidRPr="00FD4265">
              <w:rPr>
                <w:sz w:val="22"/>
                <w:szCs w:val="22"/>
                <w:lang w:val="en-US"/>
              </w:rPr>
              <w:t>3</w:t>
            </w:r>
            <w:r w:rsidR="000A3D02" w:rsidRPr="00FD4265">
              <w:rPr>
                <w:sz w:val="22"/>
                <w:szCs w:val="22"/>
                <w:lang w:val="en-US"/>
              </w:rPr>
              <w:t>-</w:t>
            </w:r>
            <w:r w:rsidR="005440F8" w:rsidRPr="00FD4265">
              <w:rPr>
                <w:sz w:val="22"/>
                <w:szCs w:val="22"/>
                <w:lang w:val="en-US"/>
              </w:rPr>
              <w:t>100</w:t>
            </w:r>
            <w:r w:rsidRPr="00FD4265">
              <w:rPr>
                <w:sz w:val="22"/>
                <w:szCs w:val="22"/>
                <w:lang w:val="en-US"/>
              </w:rPr>
              <w:t>.</w:t>
            </w:r>
            <w:r w:rsidR="005440F8" w:rsidRPr="00FD4265">
              <w:rPr>
                <w:sz w:val="22"/>
                <w:szCs w:val="22"/>
                <w:lang w:val="en-US"/>
              </w:rPr>
              <w:t>5</w:t>
            </w:r>
            <w:r w:rsidR="000A3D02"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C4889F2" w14:textId="5A7A627C" w:rsidR="008D743A" w:rsidRPr="00FD4265" w:rsidRDefault="00440E0D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97</w:t>
            </w:r>
            <w:r w:rsidR="005440F8" w:rsidRPr="00FD4265">
              <w:rPr>
                <w:sz w:val="22"/>
                <w:szCs w:val="22"/>
                <w:lang w:val="en-US"/>
              </w:rPr>
              <w:t>.4</w:t>
            </w:r>
            <w:r w:rsidR="000A4061" w:rsidRPr="00FD4265">
              <w:rPr>
                <w:sz w:val="22"/>
                <w:szCs w:val="22"/>
                <w:lang w:val="en-US"/>
              </w:rPr>
              <w:t xml:space="preserve"> </w:t>
            </w:r>
            <w:r w:rsidR="000A3D02" w:rsidRPr="00FD4265">
              <w:rPr>
                <w:sz w:val="22"/>
                <w:szCs w:val="22"/>
                <w:lang w:val="en-US"/>
              </w:rPr>
              <w:t>(</w:t>
            </w:r>
            <w:r w:rsidR="00EC40C8" w:rsidRPr="00FD4265">
              <w:rPr>
                <w:sz w:val="22"/>
                <w:szCs w:val="22"/>
                <w:lang w:val="en-US"/>
              </w:rPr>
              <w:t>8</w:t>
            </w:r>
            <w:r w:rsidR="005440F8" w:rsidRPr="00FD4265">
              <w:rPr>
                <w:sz w:val="22"/>
                <w:szCs w:val="22"/>
                <w:lang w:val="en-US"/>
              </w:rPr>
              <w:t>3</w:t>
            </w:r>
            <w:r w:rsidRPr="00FD4265">
              <w:rPr>
                <w:sz w:val="22"/>
                <w:szCs w:val="22"/>
                <w:lang w:val="en-US"/>
              </w:rPr>
              <w:t>.</w:t>
            </w:r>
            <w:r w:rsidR="005440F8" w:rsidRPr="00FD4265">
              <w:rPr>
                <w:sz w:val="22"/>
                <w:szCs w:val="22"/>
                <w:lang w:val="en-US"/>
              </w:rPr>
              <w:t>4</w:t>
            </w:r>
            <w:r w:rsidR="000A4061" w:rsidRPr="00FD4265">
              <w:rPr>
                <w:sz w:val="22"/>
                <w:szCs w:val="22"/>
                <w:lang w:val="en-US"/>
              </w:rPr>
              <w:t>-</w:t>
            </w:r>
            <w:r w:rsidRPr="00FD4265">
              <w:rPr>
                <w:sz w:val="22"/>
                <w:szCs w:val="22"/>
                <w:lang w:val="en-US"/>
              </w:rPr>
              <w:t>10</w:t>
            </w:r>
            <w:r w:rsidR="005440F8" w:rsidRPr="00FD4265">
              <w:rPr>
                <w:sz w:val="22"/>
                <w:szCs w:val="22"/>
                <w:lang w:val="en-US"/>
              </w:rPr>
              <w:t>6</w:t>
            </w:r>
            <w:r w:rsidRPr="00FD4265">
              <w:rPr>
                <w:sz w:val="22"/>
                <w:szCs w:val="22"/>
                <w:lang w:val="en-US"/>
              </w:rPr>
              <w:t>.</w:t>
            </w:r>
            <w:r w:rsidR="005440F8" w:rsidRPr="00FD4265">
              <w:rPr>
                <w:sz w:val="22"/>
                <w:szCs w:val="22"/>
                <w:lang w:val="en-US"/>
              </w:rPr>
              <w:t>8</w:t>
            </w:r>
            <w:r w:rsidR="000A4061"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75E0D710" w14:textId="1ECC0A8D" w:rsidR="008D743A" w:rsidRPr="00FD4265" w:rsidRDefault="00FD3B6E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0</w:t>
            </w:r>
            <w:r w:rsidR="00CA6B15" w:rsidRPr="00FD4265">
              <w:rPr>
                <w:sz w:val="22"/>
                <w:szCs w:val="22"/>
                <w:lang w:val="en-US"/>
              </w:rPr>
              <w:t>.00</w:t>
            </w:r>
            <w:r w:rsidR="00FD4265" w:rsidRPr="00FD4265">
              <w:rPr>
                <w:sz w:val="22"/>
                <w:szCs w:val="22"/>
                <w:lang w:val="en-US"/>
              </w:rPr>
              <w:t>52</w:t>
            </w:r>
          </w:p>
        </w:tc>
      </w:tr>
      <w:tr w:rsidR="008D743A" w:rsidRPr="009A2CA4" w14:paraId="4B309ADA" w14:textId="77777777" w:rsidTr="0099487D">
        <w:tc>
          <w:tcPr>
            <w:tcW w:w="3114" w:type="dxa"/>
          </w:tcPr>
          <w:p w14:paraId="086E3F8E" w14:textId="73564063" w:rsidR="008D743A" w:rsidRPr="00F123DF" w:rsidRDefault="00A83802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 xml:space="preserve">Prevalence of </w:t>
            </w:r>
            <w:r w:rsidR="001959B8" w:rsidRPr="00F123DF">
              <w:rPr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1984" w:type="dxa"/>
            <w:vAlign w:val="center"/>
          </w:tcPr>
          <w:p w14:paraId="0888E748" w14:textId="1388AF6D" w:rsidR="008D743A" w:rsidRPr="00F123DF" w:rsidRDefault="001D5C2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8</w:t>
            </w:r>
            <w:r w:rsidR="00CB5655" w:rsidRPr="00F123DF">
              <w:rPr>
                <w:sz w:val="22"/>
                <w:szCs w:val="22"/>
                <w:lang w:val="en-US"/>
              </w:rPr>
              <w:t>4</w:t>
            </w:r>
            <w:r w:rsidR="0081447D"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9</w:t>
            </w:r>
            <w:r w:rsidR="0081447D"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071D6D95" w14:textId="50BFE04D" w:rsidR="008D743A" w:rsidRPr="00F123DF" w:rsidRDefault="0081447D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2</w:t>
            </w:r>
            <w:r w:rsidR="00F123DF" w:rsidRPr="00F123DF">
              <w:rPr>
                <w:sz w:val="22"/>
                <w:szCs w:val="22"/>
                <w:lang w:val="en-US"/>
              </w:rPr>
              <w:t>3</w:t>
            </w:r>
            <w:r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9</w:t>
            </w:r>
            <w:r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0F0197FE" w14:textId="2FD6D761" w:rsidR="008D743A" w:rsidRPr="00F123DF" w:rsidRDefault="001D5C2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&lt; 0.0001</w:t>
            </w:r>
          </w:p>
        </w:tc>
      </w:tr>
      <w:tr w:rsidR="00381FAE" w:rsidRPr="009A2CA4" w14:paraId="63B3D24E" w14:textId="77777777" w:rsidTr="0099487D">
        <w:tc>
          <w:tcPr>
            <w:tcW w:w="3114" w:type="dxa"/>
          </w:tcPr>
          <w:p w14:paraId="5A44F82A" w14:textId="6E634DF6" w:rsidR="00381FAE" w:rsidRPr="00F123DF" w:rsidRDefault="001D5C2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U</w:t>
            </w:r>
            <w:r w:rsidR="001959B8" w:rsidRPr="00F123DF">
              <w:rPr>
                <w:sz w:val="22"/>
                <w:szCs w:val="22"/>
                <w:lang w:val="en-US"/>
              </w:rPr>
              <w:t xml:space="preserve">ncontrolled </w:t>
            </w:r>
            <w:r w:rsidRPr="00F123DF">
              <w:rPr>
                <w:sz w:val="22"/>
                <w:szCs w:val="22"/>
                <w:lang w:val="en-US"/>
              </w:rPr>
              <w:t>h</w:t>
            </w:r>
            <w:r w:rsidR="001959B8" w:rsidRPr="00F123DF">
              <w:rPr>
                <w:sz w:val="22"/>
                <w:szCs w:val="22"/>
                <w:lang w:val="en-US"/>
              </w:rPr>
              <w:t>ypertension</w:t>
            </w:r>
          </w:p>
        </w:tc>
        <w:tc>
          <w:tcPr>
            <w:tcW w:w="1984" w:type="dxa"/>
            <w:vAlign w:val="center"/>
          </w:tcPr>
          <w:p w14:paraId="22F14DCF" w14:textId="6DBD8450" w:rsidR="00381FAE" w:rsidRPr="005852A5" w:rsidRDefault="00F123DF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68</w:t>
            </w:r>
            <w:r w:rsidR="001D5C2A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7</w:t>
            </w:r>
            <w:r w:rsidR="00407D82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1E42BCEB" w14:textId="377860C8" w:rsidR="00381FAE" w:rsidRPr="005852A5" w:rsidRDefault="001D5C2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1</w:t>
            </w:r>
            <w:r w:rsidR="00EC40C8" w:rsidRPr="005852A5">
              <w:rPr>
                <w:sz w:val="22"/>
                <w:szCs w:val="22"/>
                <w:lang w:val="en-US"/>
              </w:rPr>
              <w:t>8</w:t>
            </w:r>
            <w:r w:rsidR="00AA5869" w:rsidRPr="005852A5">
              <w:rPr>
                <w:sz w:val="22"/>
                <w:szCs w:val="22"/>
                <w:lang w:val="en-US"/>
              </w:rPr>
              <w:t>.</w:t>
            </w:r>
            <w:r w:rsidR="00F123DF" w:rsidRPr="005852A5">
              <w:rPr>
                <w:sz w:val="22"/>
                <w:szCs w:val="22"/>
                <w:lang w:val="en-US"/>
              </w:rPr>
              <w:t>5</w:t>
            </w:r>
            <w:r w:rsidR="00AA586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01563820" w14:textId="3149B35A" w:rsidR="00381FAE" w:rsidRPr="005852A5" w:rsidRDefault="00CB05D4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&lt; 0.0001</w:t>
            </w:r>
          </w:p>
        </w:tc>
      </w:tr>
      <w:tr w:rsidR="00381FAE" w:rsidRPr="009A2CA4" w14:paraId="2420039E" w14:textId="77777777" w:rsidTr="0099487D">
        <w:tc>
          <w:tcPr>
            <w:tcW w:w="3114" w:type="dxa"/>
          </w:tcPr>
          <w:p w14:paraId="69886515" w14:textId="0089B778" w:rsidR="00381FAE" w:rsidRPr="00F123DF" w:rsidRDefault="001959B8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Antihypertensive medication</w:t>
            </w:r>
          </w:p>
        </w:tc>
        <w:tc>
          <w:tcPr>
            <w:tcW w:w="1984" w:type="dxa"/>
            <w:vAlign w:val="center"/>
          </w:tcPr>
          <w:p w14:paraId="309AD75C" w14:textId="4490235A" w:rsidR="00381FAE" w:rsidRPr="005852A5" w:rsidRDefault="001D5C2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6</w:t>
            </w:r>
            <w:r w:rsidR="00F123DF" w:rsidRPr="005852A5">
              <w:rPr>
                <w:sz w:val="22"/>
                <w:szCs w:val="22"/>
                <w:lang w:val="en-US"/>
              </w:rPr>
              <w:t>0</w:t>
            </w:r>
            <w:r w:rsidR="007D35A1" w:rsidRPr="005852A5">
              <w:rPr>
                <w:sz w:val="22"/>
                <w:szCs w:val="22"/>
                <w:lang w:val="en-US"/>
              </w:rPr>
              <w:t>.</w:t>
            </w:r>
            <w:r w:rsidR="00F123DF" w:rsidRPr="005852A5">
              <w:rPr>
                <w:sz w:val="22"/>
                <w:szCs w:val="22"/>
                <w:lang w:val="en-US"/>
              </w:rPr>
              <w:t>8</w:t>
            </w:r>
            <w:r w:rsidR="007D35A1" w:rsidRPr="005852A5">
              <w:rPr>
                <w:sz w:val="22"/>
                <w:szCs w:val="22"/>
                <w:lang w:val="en-US"/>
              </w:rPr>
              <w:t xml:space="preserve"> </w:t>
            </w:r>
            <w:r w:rsidR="000C5A6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3F44B126" w14:textId="7986D6A5" w:rsidR="00381FAE" w:rsidRPr="005852A5" w:rsidRDefault="001D5C2A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1</w:t>
            </w:r>
            <w:r w:rsidR="00F123DF" w:rsidRPr="005852A5">
              <w:rPr>
                <w:sz w:val="22"/>
                <w:szCs w:val="22"/>
                <w:lang w:val="en-US"/>
              </w:rPr>
              <w:t>0</w:t>
            </w:r>
            <w:r w:rsidRPr="005852A5">
              <w:rPr>
                <w:sz w:val="22"/>
                <w:szCs w:val="22"/>
                <w:lang w:val="en-US"/>
              </w:rPr>
              <w:t>.</w:t>
            </w:r>
            <w:r w:rsidR="00F123DF" w:rsidRPr="005852A5">
              <w:rPr>
                <w:sz w:val="22"/>
                <w:szCs w:val="22"/>
                <w:lang w:val="en-US"/>
              </w:rPr>
              <w:t>7</w:t>
            </w:r>
            <w:r w:rsidR="00B115CD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494CD8A5" w14:textId="7C8C66E7" w:rsidR="00381FAE" w:rsidRPr="005852A5" w:rsidRDefault="00540DD1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&lt; 0.0001</w:t>
            </w:r>
          </w:p>
        </w:tc>
      </w:tr>
      <w:tr w:rsidR="00F805F9" w:rsidRPr="009A2CA4" w14:paraId="79FE761A" w14:textId="77777777" w:rsidTr="0099487D">
        <w:tc>
          <w:tcPr>
            <w:tcW w:w="3114" w:type="dxa"/>
          </w:tcPr>
          <w:p w14:paraId="7CF780C0" w14:textId="38DDCE4F" w:rsidR="00F805F9" w:rsidRPr="005071A2" w:rsidRDefault="00FD0FE9" w:rsidP="00E67E2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Possible c</w:t>
            </w:r>
            <w:r w:rsidR="00F805F9" w:rsidRPr="005852A5">
              <w:rPr>
                <w:sz w:val="22"/>
                <w:szCs w:val="22"/>
                <w:lang w:val="en-US"/>
              </w:rPr>
              <w:t>hronic kidney disease (GFR&lt; 60ml/min</w:t>
            </w:r>
            <w:r w:rsidR="004B3DC3" w:rsidRPr="005852A5">
              <w:rPr>
                <w:sz w:val="22"/>
                <w:szCs w:val="22"/>
                <w:lang w:val="en-US"/>
              </w:rPr>
              <w:t>/1.73m</w:t>
            </w:r>
            <w:r w:rsidR="004B3DC3" w:rsidRPr="005852A5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="00F805F9" w:rsidRPr="005852A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Align w:val="center"/>
          </w:tcPr>
          <w:p w14:paraId="3E133ED6" w14:textId="3295F399" w:rsidR="00F805F9" w:rsidRPr="005852A5" w:rsidRDefault="005852A5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9</w:t>
            </w:r>
            <w:r w:rsidR="00F805F9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6</w:t>
            </w:r>
            <w:r w:rsidR="00F805F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035E5F9A" w14:textId="7C28A0AD" w:rsidR="00F805F9" w:rsidRPr="005852A5" w:rsidRDefault="00EC40C8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2</w:t>
            </w:r>
            <w:r w:rsidR="00F805F9" w:rsidRPr="005852A5">
              <w:rPr>
                <w:sz w:val="22"/>
                <w:szCs w:val="22"/>
                <w:lang w:val="en-US"/>
              </w:rPr>
              <w:t>.</w:t>
            </w:r>
            <w:r w:rsidR="005852A5" w:rsidRPr="005852A5">
              <w:rPr>
                <w:sz w:val="22"/>
                <w:szCs w:val="22"/>
                <w:lang w:val="en-US"/>
              </w:rPr>
              <w:t>9</w:t>
            </w:r>
            <w:r w:rsidR="00F805F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568651D7" w14:textId="7E7BDC36" w:rsidR="00F805F9" w:rsidRPr="005852A5" w:rsidRDefault="00F805F9" w:rsidP="00E67E21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0.0</w:t>
            </w:r>
            <w:r w:rsidR="005852A5" w:rsidRPr="005852A5">
              <w:rPr>
                <w:sz w:val="22"/>
                <w:szCs w:val="22"/>
                <w:lang w:val="en-US"/>
              </w:rPr>
              <w:t>417</w:t>
            </w:r>
          </w:p>
        </w:tc>
      </w:tr>
    </w:tbl>
    <w:p w14:paraId="25088C9E" w14:textId="77777777" w:rsidR="008D743A" w:rsidRPr="009A2CA4" w:rsidRDefault="008D743A" w:rsidP="008D743A">
      <w:pPr>
        <w:rPr>
          <w:lang w:val="en-US"/>
        </w:rPr>
      </w:pPr>
    </w:p>
    <w:p w14:paraId="50C5D5F1" w14:textId="290397F2" w:rsidR="008D743A" w:rsidRPr="009A2CA4" w:rsidRDefault="001D5C2A" w:rsidP="002C167D">
      <w:pPr>
        <w:spacing w:line="360" w:lineRule="auto"/>
        <w:rPr>
          <w:sz w:val="22"/>
          <w:szCs w:val="22"/>
          <w:lang w:val="en-US"/>
        </w:rPr>
      </w:pPr>
      <w:r w:rsidRPr="009A2CA4">
        <w:rPr>
          <w:b/>
          <w:bCs/>
          <w:sz w:val="22"/>
          <w:szCs w:val="22"/>
          <w:u w:val="single"/>
          <w:lang w:val="en-US"/>
        </w:rPr>
        <w:t>Suppl</w:t>
      </w:r>
      <w:r w:rsidR="004A19F3" w:rsidRPr="009A2CA4">
        <w:rPr>
          <w:b/>
          <w:bCs/>
          <w:sz w:val="22"/>
          <w:szCs w:val="22"/>
          <w:u w:val="single"/>
          <w:lang w:val="en-US"/>
        </w:rPr>
        <w:t>emental</w:t>
      </w:r>
      <w:r w:rsidRPr="009A2CA4">
        <w:rPr>
          <w:b/>
          <w:bCs/>
          <w:sz w:val="22"/>
          <w:szCs w:val="22"/>
          <w:u w:val="single"/>
          <w:lang w:val="en-US"/>
        </w:rPr>
        <w:t xml:space="preserve"> </w:t>
      </w:r>
      <w:r w:rsidR="008D743A" w:rsidRPr="009A2CA4">
        <w:rPr>
          <w:b/>
          <w:bCs/>
          <w:sz w:val="22"/>
          <w:szCs w:val="22"/>
          <w:u w:val="single"/>
          <w:lang w:val="en-US"/>
        </w:rPr>
        <w:t xml:space="preserve">Table </w:t>
      </w:r>
      <w:r w:rsidR="005E6FEC" w:rsidRPr="009A2CA4">
        <w:rPr>
          <w:b/>
          <w:bCs/>
          <w:sz w:val="22"/>
          <w:szCs w:val="22"/>
          <w:u w:val="single"/>
          <w:lang w:val="en-US"/>
        </w:rPr>
        <w:t>2</w:t>
      </w:r>
      <w:r w:rsidR="004A19F3" w:rsidRPr="009A2CA4">
        <w:rPr>
          <w:b/>
          <w:bCs/>
          <w:sz w:val="22"/>
          <w:szCs w:val="22"/>
          <w:u w:val="single"/>
          <w:lang w:val="en-US"/>
        </w:rPr>
        <w:t>:</w:t>
      </w:r>
      <w:r w:rsidR="008D743A" w:rsidRPr="009A2CA4">
        <w:rPr>
          <w:sz w:val="22"/>
          <w:szCs w:val="22"/>
          <w:lang w:val="en-US"/>
        </w:rPr>
        <w:t xml:space="preserve"> </w:t>
      </w:r>
      <w:r w:rsidR="00C3151B" w:rsidRPr="009A2CA4">
        <w:rPr>
          <w:sz w:val="22"/>
          <w:szCs w:val="22"/>
          <w:lang w:val="en-US"/>
        </w:rPr>
        <w:t xml:space="preserve">Blood pressure data at baseline </w:t>
      </w:r>
      <w:r w:rsidR="004A19F3" w:rsidRPr="009A2CA4">
        <w:rPr>
          <w:sz w:val="22"/>
          <w:szCs w:val="22"/>
          <w:lang w:val="en-US"/>
        </w:rPr>
        <w:t xml:space="preserve">before treatment </w:t>
      </w:r>
      <w:r w:rsidR="000662A3" w:rsidRPr="009A2CA4">
        <w:rPr>
          <w:sz w:val="22"/>
          <w:szCs w:val="22"/>
          <w:lang w:val="en-US"/>
        </w:rPr>
        <w:t xml:space="preserve">of </w:t>
      </w:r>
      <w:r w:rsidR="008D743A" w:rsidRPr="009A2CA4">
        <w:rPr>
          <w:sz w:val="22"/>
          <w:szCs w:val="22"/>
          <w:lang w:val="en-US"/>
        </w:rPr>
        <w:t xml:space="preserve">patients with Cushing’s syndrome </w:t>
      </w:r>
      <w:r w:rsidR="00A81700" w:rsidRPr="009A2CA4">
        <w:rPr>
          <w:sz w:val="22"/>
          <w:szCs w:val="22"/>
          <w:lang w:val="en-US"/>
        </w:rPr>
        <w:t>(</w:t>
      </w:r>
      <w:r w:rsidR="00A83802" w:rsidRPr="009A2CA4">
        <w:rPr>
          <w:sz w:val="22"/>
          <w:szCs w:val="22"/>
          <w:lang w:val="en-US"/>
        </w:rPr>
        <w:t xml:space="preserve">CUSH) </w:t>
      </w:r>
      <w:r w:rsidR="004B3DC3">
        <w:rPr>
          <w:sz w:val="22"/>
          <w:szCs w:val="22"/>
          <w:lang w:val="en-US"/>
        </w:rPr>
        <w:t>compared to the</w:t>
      </w:r>
      <w:r w:rsidR="008D743A" w:rsidRPr="009A2CA4">
        <w:rPr>
          <w:sz w:val="22"/>
          <w:szCs w:val="22"/>
          <w:lang w:val="en-US"/>
        </w:rPr>
        <w:t xml:space="preserve"> control</w:t>
      </w:r>
      <w:r w:rsidR="004B3DC3">
        <w:rPr>
          <w:sz w:val="22"/>
          <w:szCs w:val="22"/>
          <w:lang w:val="en-US"/>
        </w:rPr>
        <w:t xml:space="preserve"> cohort</w:t>
      </w:r>
      <w:r w:rsidR="00C3151B" w:rsidRPr="009A2CA4">
        <w:rPr>
          <w:sz w:val="22"/>
          <w:szCs w:val="22"/>
          <w:lang w:val="en-US"/>
        </w:rPr>
        <w:t xml:space="preserve"> (KORA)</w:t>
      </w:r>
      <w:r w:rsidR="000662A3" w:rsidRPr="009A2CA4">
        <w:rPr>
          <w:sz w:val="22"/>
          <w:szCs w:val="22"/>
          <w:lang w:val="en-US"/>
        </w:rPr>
        <w:t xml:space="preserve">. Data are reported as median and IQR or </w:t>
      </w:r>
      <w:r w:rsidR="000F4605" w:rsidRPr="009A2CA4">
        <w:rPr>
          <w:sz w:val="22"/>
          <w:szCs w:val="22"/>
          <w:lang w:val="en-US"/>
        </w:rPr>
        <w:t xml:space="preserve">in </w:t>
      </w:r>
      <w:r w:rsidR="00867D94" w:rsidRPr="009A2CA4">
        <w:rPr>
          <w:sz w:val="22"/>
          <w:szCs w:val="22"/>
          <w:lang w:val="en-US"/>
        </w:rPr>
        <w:t>percentage</w:t>
      </w:r>
      <w:r w:rsidR="000662A3" w:rsidRPr="009A2CA4">
        <w:rPr>
          <w:sz w:val="22"/>
          <w:szCs w:val="22"/>
          <w:lang w:val="en-US"/>
        </w:rPr>
        <w:t>.</w:t>
      </w:r>
      <w:r w:rsidR="000F4605" w:rsidRPr="009A2CA4">
        <w:rPr>
          <w:sz w:val="22"/>
          <w:szCs w:val="22"/>
          <w:lang w:val="en-US"/>
        </w:rPr>
        <w:t xml:space="preserve"> </w:t>
      </w:r>
    </w:p>
    <w:p w14:paraId="267E7C78" w14:textId="3ED4C08F" w:rsidR="008D743A" w:rsidRPr="009A2CA4" w:rsidRDefault="000F4605" w:rsidP="002C167D">
      <w:pPr>
        <w:spacing w:line="360" w:lineRule="auto"/>
        <w:rPr>
          <w:sz w:val="22"/>
          <w:szCs w:val="22"/>
          <w:lang w:val="en-US"/>
        </w:rPr>
      </w:pPr>
      <w:r w:rsidRPr="009A2CA4">
        <w:rPr>
          <w:sz w:val="22"/>
          <w:szCs w:val="22"/>
          <w:lang w:val="en-US"/>
        </w:rPr>
        <w:t xml:space="preserve">Abbreviations: IQR: interquartile range, </w:t>
      </w:r>
      <w:r w:rsidR="004A19F3" w:rsidRPr="009A2CA4">
        <w:rPr>
          <w:sz w:val="22"/>
          <w:szCs w:val="22"/>
          <w:lang w:val="en-US"/>
        </w:rPr>
        <w:t>BP: blood pressure, mmHg</w:t>
      </w:r>
      <w:r w:rsidR="00A75004" w:rsidRPr="009A2CA4">
        <w:rPr>
          <w:sz w:val="22"/>
          <w:szCs w:val="22"/>
          <w:lang w:val="en-US"/>
        </w:rPr>
        <w:t xml:space="preserve">: </w:t>
      </w:r>
      <w:r w:rsidR="0031313E" w:rsidRPr="009A2CA4">
        <w:rPr>
          <w:sz w:val="22"/>
          <w:szCs w:val="22"/>
          <w:lang w:val="en-US"/>
        </w:rPr>
        <w:t>millimeters</w:t>
      </w:r>
      <w:r w:rsidR="00A75004" w:rsidRPr="009A2CA4">
        <w:rPr>
          <w:sz w:val="22"/>
          <w:szCs w:val="22"/>
          <w:lang w:val="en-US"/>
        </w:rPr>
        <w:t xml:space="preserve"> of mercury, bpm: beats per minute, GFR: glomerular filtration rate</w:t>
      </w:r>
      <w:r w:rsidR="006C1B16" w:rsidRPr="009A2CA4">
        <w:rPr>
          <w:sz w:val="22"/>
          <w:szCs w:val="22"/>
          <w:lang w:val="en-US"/>
        </w:rPr>
        <w:t>.</w:t>
      </w:r>
    </w:p>
    <w:p w14:paraId="02929DE3" w14:textId="0E072391" w:rsidR="00A83802" w:rsidRPr="009A2CA4" w:rsidRDefault="00A83802" w:rsidP="008D743A">
      <w:pPr>
        <w:rPr>
          <w:lang w:val="en-US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1134"/>
      </w:tblGrid>
      <w:tr w:rsidR="00F36CB7" w:rsidRPr="009A2CA4" w14:paraId="1FAD02D0" w14:textId="77777777" w:rsidTr="004B3DC3">
        <w:tc>
          <w:tcPr>
            <w:tcW w:w="3261" w:type="dxa"/>
            <w:vAlign w:val="center"/>
          </w:tcPr>
          <w:p w14:paraId="3389ED57" w14:textId="5737FD5B" w:rsidR="00F6250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Blood pressure data</w:t>
            </w:r>
          </w:p>
          <w:p w14:paraId="1F5696C1" w14:textId="59267601" w:rsidR="00F36CB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7 years</w:t>
            </w:r>
          </w:p>
        </w:tc>
        <w:tc>
          <w:tcPr>
            <w:tcW w:w="1984" w:type="dxa"/>
            <w:vAlign w:val="center"/>
          </w:tcPr>
          <w:p w14:paraId="57E23677" w14:textId="15D60908" w:rsidR="00F36CB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CUSH</w:t>
            </w:r>
          </w:p>
          <w:p w14:paraId="1C505098" w14:textId="6228D21D" w:rsidR="00F36CB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 xml:space="preserve">n= </w:t>
            </w:r>
            <w:r w:rsidR="00CF00EE" w:rsidRPr="001C19CF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985" w:type="dxa"/>
            <w:vAlign w:val="center"/>
          </w:tcPr>
          <w:p w14:paraId="50309722" w14:textId="277FBCF3" w:rsidR="00F36CB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KOR</w:t>
            </w:r>
            <w:r w:rsidR="005F2541" w:rsidRPr="001C19CF">
              <w:rPr>
                <w:sz w:val="22"/>
                <w:szCs w:val="22"/>
                <w:lang w:val="en-US"/>
              </w:rPr>
              <w:t>A</w:t>
            </w:r>
          </w:p>
          <w:p w14:paraId="7322CADD" w14:textId="1A405FD6" w:rsidR="00F36CB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n=</w:t>
            </w:r>
            <w:r w:rsidR="00CF00EE" w:rsidRPr="001C19CF">
              <w:rPr>
                <w:sz w:val="22"/>
                <w:szCs w:val="22"/>
                <w:lang w:val="en-US"/>
              </w:rPr>
              <w:t>243</w:t>
            </w:r>
          </w:p>
        </w:tc>
        <w:tc>
          <w:tcPr>
            <w:tcW w:w="1134" w:type="dxa"/>
            <w:vAlign w:val="center"/>
          </w:tcPr>
          <w:p w14:paraId="18CD867C" w14:textId="77777777" w:rsidR="00F36CB7" w:rsidRPr="001C19CF" w:rsidRDefault="00F36CB7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P value</w:t>
            </w:r>
          </w:p>
        </w:tc>
      </w:tr>
      <w:tr w:rsidR="00C42510" w:rsidRPr="009A2CA4" w14:paraId="2C1D73B8" w14:textId="77777777" w:rsidTr="004B3DC3">
        <w:tc>
          <w:tcPr>
            <w:tcW w:w="3261" w:type="dxa"/>
            <w:vAlign w:val="center"/>
          </w:tcPr>
          <w:p w14:paraId="4B51AF24" w14:textId="6A1C7D27" w:rsidR="00C42510" w:rsidRPr="001C19C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BP syst. mmHg</w:t>
            </w:r>
          </w:p>
        </w:tc>
        <w:tc>
          <w:tcPr>
            <w:tcW w:w="1984" w:type="dxa"/>
            <w:vAlign w:val="center"/>
          </w:tcPr>
          <w:p w14:paraId="17B8E028" w14:textId="0B522625" w:rsidR="00C42510" w:rsidRPr="001C19C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12</w:t>
            </w:r>
            <w:r w:rsidR="00CB5655" w:rsidRPr="001C19CF">
              <w:rPr>
                <w:sz w:val="22"/>
                <w:szCs w:val="22"/>
                <w:lang w:val="en-US"/>
              </w:rPr>
              <w:t>3</w:t>
            </w:r>
            <w:r w:rsidR="001C19CF" w:rsidRPr="001C19CF">
              <w:rPr>
                <w:sz w:val="22"/>
                <w:szCs w:val="22"/>
                <w:lang w:val="en-US"/>
              </w:rPr>
              <w:t>.5</w:t>
            </w:r>
            <w:r w:rsidRPr="001C19CF">
              <w:rPr>
                <w:sz w:val="22"/>
                <w:szCs w:val="22"/>
                <w:lang w:val="en-US"/>
              </w:rPr>
              <w:t xml:space="preserve"> (110</w:t>
            </w:r>
            <w:r w:rsidR="00CB5655" w:rsidRPr="001C19CF">
              <w:rPr>
                <w:sz w:val="22"/>
                <w:szCs w:val="22"/>
                <w:lang w:val="en-US"/>
              </w:rPr>
              <w:t>.</w:t>
            </w:r>
            <w:r w:rsidR="001C19CF" w:rsidRPr="001C19CF">
              <w:rPr>
                <w:sz w:val="22"/>
                <w:szCs w:val="22"/>
                <w:lang w:val="en-US"/>
              </w:rPr>
              <w:t>8</w:t>
            </w:r>
            <w:r w:rsidRPr="001C19CF">
              <w:rPr>
                <w:sz w:val="22"/>
                <w:szCs w:val="22"/>
                <w:lang w:val="en-US"/>
              </w:rPr>
              <w:t>-13</w:t>
            </w:r>
            <w:r w:rsidR="001C19CF" w:rsidRPr="001C19CF">
              <w:rPr>
                <w:sz w:val="22"/>
                <w:szCs w:val="22"/>
                <w:lang w:val="en-US"/>
              </w:rPr>
              <w:t>7.5</w:t>
            </w:r>
            <w:r w:rsidRPr="001C19C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A7C1D79" w14:textId="09B4E37F" w:rsidR="00C42510" w:rsidRPr="001C19C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>115.5 (104-12</w:t>
            </w:r>
            <w:r w:rsidR="001C19CF" w:rsidRPr="001C19CF">
              <w:rPr>
                <w:sz w:val="22"/>
                <w:szCs w:val="22"/>
                <w:lang w:val="en-US"/>
              </w:rPr>
              <w:t>5</w:t>
            </w:r>
            <w:r w:rsidRPr="001C19CF">
              <w:rPr>
                <w:sz w:val="22"/>
                <w:szCs w:val="22"/>
                <w:lang w:val="en-US"/>
              </w:rPr>
              <w:t>.5)</w:t>
            </w:r>
          </w:p>
        </w:tc>
        <w:tc>
          <w:tcPr>
            <w:tcW w:w="1134" w:type="dxa"/>
            <w:vAlign w:val="center"/>
          </w:tcPr>
          <w:p w14:paraId="7683749C" w14:textId="38441B43" w:rsidR="00C42510" w:rsidRPr="001C19CF" w:rsidRDefault="001C19CF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1C19CF">
              <w:rPr>
                <w:sz w:val="22"/>
                <w:szCs w:val="22"/>
                <w:lang w:val="en-US"/>
              </w:rPr>
              <w:t xml:space="preserve">   </w:t>
            </w:r>
            <w:r w:rsidR="00C42510" w:rsidRPr="001C19CF">
              <w:rPr>
                <w:sz w:val="22"/>
                <w:szCs w:val="22"/>
                <w:lang w:val="en-US"/>
              </w:rPr>
              <w:t>0.00</w:t>
            </w:r>
            <w:r w:rsidR="008F74CC" w:rsidRPr="001C19CF">
              <w:rPr>
                <w:sz w:val="22"/>
                <w:szCs w:val="22"/>
                <w:lang w:val="en-US"/>
              </w:rPr>
              <w:t>0</w:t>
            </w:r>
            <w:r w:rsidRPr="001C19CF">
              <w:rPr>
                <w:sz w:val="22"/>
                <w:szCs w:val="22"/>
                <w:lang w:val="en-US"/>
              </w:rPr>
              <w:t>2</w:t>
            </w:r>
          </w:p>
        </w:tc>
      </w:tr>
      <w:tr w:rsidR="00C42510" w:rsidRPr="009A2CA4" w14:paraId="5E0589B1" w14:textId="77777777" w:rsidTr="004B3DC3">
        <w:tc>
          <w:tcPr>
            <w:tcW w:w="3261" w:type="dxa"/>
            <w:vAlign w:val="center"/>
          </w:tcPr>
          <w:p w14:paraId="00ED14D1" w14:textId="5720DCE6" w:rsidR="00C42510" w:rsidRPr="005440F8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 xml:space="preserve">BP </w:t>
            </w:r>
            <w:proofErr w:type="spellStart"/>
            <w:r w:rsidRPr="005440F8">
              <w:rPr>
                <w:sz w:val="22"/>
                <w:szCs w:val="22"/>
                <w:lang w:val="en-US"/>
              </w:rPr>
              <w:t>diast</w:t>
            </w:r>
            <w:proofErr w:type="spellEnd"/>
            <w:r w:rsidRPr="005440F8">
              <w:rPr>
                <w:sz w:val="22"/>
                <w:szCs w:val="22"/>
                <w:lang w:val="en-US"/>
              </w:rPr>
              <w:t>. mmHg</w:t>
            </w:r>
          </w:p>
        </w:tc>
        <w:tc>
          <w:tcPr>
            <w:tcW w:w="1984" w:type="dxa"/>
            <w:vAlign w:val="center"/>
          </w:tcPr>
          <w:p w14:paraId="22444788" w14:textId="5A4660B6" w:rsidR="00C42510" w:rsidRPr="005440F8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80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Pr="005440F8">
              <w:rPr>
                <w:sz w:val="22"/>
                <w:szCs w:val="22"/>
                <w:lang w:val="en-US"/>
              </w:rPr>
              <w:t xml:space="preserve"> (7</w:t>
            </w:r>
            <w:r w:rsidR="00CB5655" w:rsidRPr="005440F8">
              <w:rPr>
                <w:sz w:val="22"/>
                <w:szCs w:val="22"/>
                <w:lang w:val="en-US"/>
              </w:rPr>
              <w:t>3.</w:t>
            </w:r>
            <w:r w:rsidR="0099487D" w:rsidRPr="005440F8">
              <w:rPr>
                <w:sz w:val="22"/>
                <w:szCs w:val="22"/>
                <w:lang w:val="en-US"/>
              </w:rPr>
              <w:t>8</w:t>
            </w:r>
            <w:r w:rsidRPr="005440F8">
              <w:rPr>
                <w:sz w:val="22"/>
                <w:szCs w:val="22"/>
                <w:lang w:val="en-US"/>
              </w:rPr>
              <w:t>-</w:t>
            </w:r>
            <w:r w:rsidR="0099487D" w:rsidRPr="005440F8">
              <w:rPr>
                <w:sz w:val="22"/>
                <w:szCs w:val="22"/>
                <w:lang w:val="en-US"/>
              </w:rPr>
              <w:t>90</w:t>
            </w:r>
            <w:r w:rsidR="00CB5655" w:rsidRPr="005440F8">
              <w:rPr>
                <w:sz w:val="22"/>
                <w:szCs w:val="22"/>
                <w:lang w:val="en-US"/>
              </w:rPr>
              <w:t>.</w:t>
            </w:r>
            <w:r w:rsidR="0099487D" w:rsidRPr="005440F8">
              <w:rPr>
                <w:sz w:val="22"/>
                <w:szCs w:val="22"/>
                <w:lang w:val="en-US"/>
              </w:rPr>
              <w:t>0</w:t>
            </w:r>
            <w:r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078E953" w14:textId="629A3605" w:rsidR="00C42510" w:rsidRPr="005440F8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72.</w:t>
            </w:r>
            <w:r w:rsidR="0099487D" w:rsidRPr="005440F8">
              <w:rPr>
                <w:sz w:val="22"/>
                <w:szCs w:val="22"/>
                <w:lang w:val="en-US"/>
              </w:rPr>
              <w:t>0</w:t>
            </w:r>
            <w:r w:rsidRPr="005440F8">
              <w:rPr>
                <w:sz w:val="22"/>
                <w:szCs w:val="22"/>
                <w:lang w:val="en-US"/>
              </w:rPr>
              <w:t xml:space="preserve"> (67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Pr="005440F8">
              <w:rPr>
                <w:sz w:val="22"/>
                <w:szCs w:val="22"/>
                <w:lang w:val="en-US"/>
              </w:rPr>
              <w:t>-79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299BEDFB" w14:textId="77777777" w:rsidR="00C42510" w:rsidRPr="005440F8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C42510" w:rsidRPr="009A2CA4" w14:paraId="40F654BC" w14:textId="77777777" w:rsidTr="004B3DC3">
        <w:tc>
          <w:tcPr>
            <w:tcW w:w="3261" w:type="dxa"/>
            <w:vAlign w:val="center"/>
          </w:tcPr>
          <w:p w14:paraId="158022C8" w14:textId="5498CEAD" w:rsidR="00C42510" w:rsidRPr="00FD4265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Heart rate bpm</w:t>
            </w:r>
          </w:p>
        </w:tc>
        <w:tc>
          <w:tcPr>
            <w:tcW w:w="1984" w:type="dxa"/>
            <w:vAlign w:val="center"/>
          </w:tcPr>
          <w:p w14:paraId="6FC31BC9" w14:textId="39299BBC" w:rsidR="00C42510" w:rsidRPr="00FD4265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7</w:t>
            </w:r>
            <w:r w:rsidR="0099487D" w:rsidRPr="00FD4265">
              <w:rPr>
                <w:sz w:val="22"/>
                <w:szCs w:val="22"/>
                <w:lang w:val="en-US"/>
              </w:rPr>
              <w:t>5.0</w:t>
            </w:r>
            <w:r w:rsidRPr="00FD4265">
              <w:rPr>
                <w:sz w:val="22"/>
                <w:szCs w:val="22"/>
                <w:lang w:val="en-US"/>
              </w:rPr>
              <w:t xml:space="preserve"> (6</w:t>
            </w:r>
            <w:r w:rsidR="008F74CC" w:rsidRPr="00FD4265">
              <w:rPr>
                <w:sz w:val="22"/>
                <w:szCs w:val="22"/>
                <w:lang w:val="en-US"/>
              </w:rPr>
              <w:t>8</w:t>
            </w:r>
            <w:r w:rsidR="0099487D" w:rsidRPr="00FD4265">
              <w:rPr>
                <w:sz w:val="22"/>
                <w:szCs w:val="22"/>
                <w:lang w:val="en-US"/>
              </w:rPr>
              <w:t>.0</w:t>
            </w:r>
            <w:r w:rsidRPr="00FD4265">
              <w:rPr>
                <w:sz w:val="22"/>
                <w:szCs w:val="22"/>
                <w:lang w:val="en-US"/>
              </w:rPr>
              <w:t>-</w:t>
            </w:r>
            <w:r w:rsidR="0099487D" w:rsidRPr="00FD4265">
              <w:rPr>
                <w:sz w:val="22"/>
                <w:szCs w:val="22"/>
                <w:lang w:val="en-US"/>
              </w:rPr>
              <w:t>83.0</w:t>
            </w:r>
            <w:r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B0DD2A6" w14:textId="14C48AE4" w:rsidR="00C42510" w:rsidRPr="00FD4265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72</w:t>
            </w:r>
            <w:r w:rsidR="0099487D" w:rsidRPr="00FD4265">
              <w:rPr>
                <w:sz w:val="22"/>
                <w:szCs w:val="22"/>
                <w:lang w:val="en-US"/>
              </w:rPr>
              <w:t>.0</w:t>
            </w:r>
            <w:r w:rsidRPr="00FD4265">
              <w:rPr>
                <w:sz w:val="22"/>
                <w:szCs w:val="22"/>
                <w:lang w:val="en-US"/>
              </w:rPr>
              <w:t xml:space="preserve"> (6</w:t>
            </w:r>
            <w:r w:rsidR="005440F8" w:rsidRPr="00FD4265">
              <w:rPr>
                <w:sz w:val="22"/>
                <w:szCs w:val="22"/>
                <w:lang w:val="en-US"/>
              </w:rPr>
              <w:t>7.0</w:t>
            </w:r>
            <w:r w:rsidRPr="00FD4265">
              <w:rPr>
                <w:sz w:val="22"/>
                <w:szCs w:val="22"/>
                <w:lang w:val="en-US"/>
              </w:rPr>
              <w:t>-7</w:t>
            </w:r>
            <w:r w:rsidR="005440F8" w:rsidRPr="00FD4265">
              <w:rPr>
                <w:sz w:val="22"/>
                <w:szCs w:val="22"/>
                <w:lang w:val="en-US"/>
              </w:rPr>
              <w:t>8.0</w:t>
            </w:r>
            <w:r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4C57020C" w14:textId="5DD90D49" w:rsidR="00C42510" w:rsidRPr="005440F8" w:rsidRDefault="00270484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 xml:space="preserve">  </w:t>
            </w:r>
            <w:r w:rsidR="00C42510" w:rsidRPr="005440F8">
              <w:rPr>
                <w:sz w:val="22"/>
                <w:szCs w:val="22"/>
                <w:lang w:val="en-US"/>
              </w:rPr>
              <w:t>0.</w:t>
            </w:r>
            <w:r w:rsidR="005440F8" w:rsidRPr="005440F8">
              <w:rPr>
                <w:sz w:val="22"/>
                <w:szCs w:val="22"/>
                <w:lang w:val="en-US"/>
              </w:rPr>
              <w:t>0771</w:t>
            </w:r>
          </w:p>
        </w:tc>
      </w:tr>
      <w:tr w:rsidR="00C42510" w:rsidRPr="009A2CA4" w14:paraId="00A47B8A" w14:textId="77777777" w:rsidTr="004B3DC3">
        <w:tc>
          <w:tcPr>
            <w:tcW w:w="3261" w:type="dxa"/>
            <w:vAlign w:val="center"/>
          </w:tcPr>
          <w:p w14:paraId="451D89FC" w14:textId="19E75346" w:rsidR="00C42510" w:rsidRPr="00FD4265" w:rsidRDefault="00746461" w:rsidP="005F2541">
            <w:pPr>
              <w:jc w:val="center"/>
              <w:rPr>
                <w:sz w:val="22"/>
                <w:szCs w:val="22"/>
              </w:rPr>
            </w:pPr>
            <w:r w:rsidRPr="00FD4265">
              <w:rPr>
                <w:sz w:val="22"/>
                <w:szCs w:val="22"/>
              </w:rPr>
              <w:t>GFR ml/min/1.73m</w:t>
            </w:r>
            <w:r w:rsidRPr="00FD426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94372A6" w14:textId="62582A43" w:rsidR="00C42510" w:rsidRPr="00FD4265" w:rsidRDefault="005440F8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81.5</w:t>
            </w:r>
            <w:r w:rsidR="008F74CC" w:rsidRPr="00FD4265">
              <w:rPr>
                <w:sz w:val="22"/>
                <w:szCs w:val="22"/>
                <w:lang w:val="en-US"/>
              </w:rPr>
              <w:t xml:space="preserve"> </w:t>
            </w:r>
            <w:r w:rsidR="00C42510" w:rsidRPr="00FD4265">
              <w:rPr>
                <w:sz w:val="22"/>
                <w:szCs w:val="22"/>
                <w:lang w:val="en-US"/>
              </w:rPr>
              <w:t>(6</w:t>
            </w:r>
            <w:r w:rsidRPr="00FD4265">
              <w:rPr>
                <w:sz w:val="22"/>
                <w:szCs w:val="22"/>
                <w:lang w:val="en-US"/>
              </w:rPr>
              <w:t>8.3</w:t>
            </w:r>
            <w:r w:rsidR="00C42510" w:rsidRPr="00FD4265">
              <w:rPr>
                <w:sz w:val="22"/>
                <w:szCs w:val="22"/>
                <w:lang w:val="en-US"/>
              </w:rPr>
              <w:t>-9</w:t>
            </w:r>
            <w:r w:rsidR="00AF74E7" w:rsidRPr="00FD4265">
              <w:rPr>
                <w:sz w:val="22"/>
                <w:szCs w:val="22"/>
                <w:lang w:val="en-US"/>
              </w:rPr>
              <w:t>1</w:t>
            </w:r>
            <w:r w:rsidRPr="00FD4265">
              <w:rPr>
                <w:sz w:val="22"/>
                <w:szCs w:val="22"/>
                <w:lang w:val="en-US"/>
              </w:rPr>
              <w:t>.0</w:t>
            </w:r>
            <w:r w:rsidR="00C42510"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B920593" w14:textId="63894863" w:rsidR="00C42510" w:rsidRPr="00FD4265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9</w:t>
            </w:r>
            <w:r w:rsidR="005440F8" w:rsidRPr="00FD4265">
              <w:rPr>
                <w:sz w:val="22"/>
                <w:szCs w:val="22"/>
                <w:lang w:val="en-US"/>
              </w:rPr>
              <w:t>3</w:t>
            </w:r>
            <w:r w:rsidRPr="00FD4265">
              <w:rPr>
                <w:sz w:val="22"/>
                <w:szCs w:val="22"/>
                <w:lang w:val="en-US"/>
              </w:rPr>
              <w:t>.</w:t>
            </w:r>
            <w:r w:rsidR="005440F8" w:rsidRPr="00FD4265">
              <w:rPr>
                <w:sz w:val="22"/>
                <w:szCs w:val="22"/>
                <w:lang w:val="en-US"/>
              </w:rPr>
              <w:t>8</w:t>
            </w:r>
            <w:r w:rsidRPr="00FD4265">
              <w:rPr>
                <w:sz w:val="22"/>
                <w:szCs w:val="22"/>
                <w:lang w:val="en-US"/>
              </w:rPr>
              <w:t xml:space="preserve"> (8</w:t>
            </w:r>
            <w:r w:rsidR="005231BF" w:rsidRPr="00FD4265">
              <w:rPr>
                <w:sz w:val="22"/>
                <w:szCs w:val="22"/>
                <w:lang w:val="en-US"/>
              </w:rPr>
              <w:t>1</w:t>
            </w:r>
            <w:r w:rsidRPr="00FD4265">
              <w:rPr>
                <w:sz w:val="22"/>
                <w:szCs w:val="22"/>
                <w:lang w:val="en-US"/>
              </w:rPr>
              <w:t>.</w:t>
            </w:r>
            <w:r w:rsidR="005231BF" w:rsidRPr="00FD4265">
              <w:rPr>
                <w:sz w:val="22"/>
                <w:szCs w:val="22"/>
                <w:lang w:val="en-US"/>
              </w:rPr>
              <w:t>3</w:t>
            </w:r>
            <w:r w:rsidRPr="00FD4265">
              <w:rPr>
                <w:sz w:val="22"/>
                <w:szCs w:val="22"/>
                <w:lang w:val="en-US"/>
              </w:rPr>
              <w:t>-10</w:t>
            </w:r>
            <w:r w:rsidR="005231BF" w:rsidRPr="00FD4265">
              <w:rPr>
                <w:sz w:val="22"/>
                <w:szCs w:val="22"/>
                <w:lang w:val="en-US"/>
              </w:rPr>
              <w:t>3</w:t>
            </w:r>
            <w:r w:rsidRPr="00FD4265">
              <w:rPr>
                <w:sz w:val="22"/>
                <w:szCs w:val="22"/>
                <w:lang w:val="en-US"/>
              </w:rPr>
              <w:t>.</w:t>
            </w:r>
            <w:r w:rsidR="005231BF" w:rsidRPr="00FD4265">
              <w:rPr>
                <w:sz w:val="22"/>
                <w:szCs w:val="22"/>
                <w:lang w:val="en-US"/>
              </w:rPr>
              <w:t>4</w:t>
            </w:r>
            <w:r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3BECA5E1" w14:textId="77777777" w:rsidR="00C42510" w:rsidRPr="009A2CA4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C42510" w:rsidRPr="009A2CA4" w14:paraId="6CAE4015" w14:textId="77777777" w:rsidTr="004B3DC3">
        <w:tc>
          <w:tcPr>
            <w:tcW w:w="3261" w:type="dxa"/>
            <w:vAlign w:val="center"/>
          </w:tcPr>
          <w:p w14:paraId="41240598" w14:textId="58C050BC" w:rsidR="00C42510" w:rsidRPr="00F123D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1984" w:type="dxa"/>
            <w:vAlign w:val="center"/>
          </w:tcPr>
          <w:p w14:paraId="1DF7755C" w14:textId="77D2F9AB" w:rsidR="00C42510" w:rsidRPr="00F123DF" w:rsidRDefault="00181281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5</w:t>
            </w:r>
            <w:r w:rsidR="00F123DF" w:rsidRPr="00F123DF">
              <w:rPr>
                <w:sz w:val="22"/>
                <w:szCs w:val="22"/>
                <w:lang w:val="en-US"/>
              </w:rPr>
              <w:t>2</w:t>
            </w:r>
            <w:r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8</w:t>
            </w:r>
            <w:r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395E00E5" w14:textId="786FB7F3" w:rsidR="00C42510" w:rsidRPr="00F123D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2</w:t>
            </w:r>
            <w:r w:rsidR="00F123DF" w:rsidRPr="00F123DF">
              <w:rPr>
                <w:sz w:val="22"/>
                <w:szCs w:val="22"/>
                <w:lang w:val="en-US"/>
              </w:rPr>
              <w:t>6</w:t>
            </w:r>
            <w:r w:rsidR="008F74CC"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3</w:t>
            </w:r>
            <w:r w:rsidR="008F74CC" w:rsidRPr="00F123DF">
              <w:rPr>
                <w:sz w:val="22"/>
                <w:szCs w:val="22"/>
                <w:lang w:val="en-US"/>
              </w:rPr>
              <w:t xml:space="preserve"> </w:t>
            </w:r>
            <w:r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14:paraId="66552D0D" w14:textId="4A3465F3" w:rsidR="00C42510" w:rsidRPr="009A2CA4" w:rsidRDefault="005F2541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9A2CA4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C42510" w:rsidRPr="009A2CA4" w14:paraId="01B96A18" w14:textId="77777777" w:rsidTr="004B3DC3">
        <w:tc>
          <w:tcPr>
            <w:tcW w:w="3261" w:type="dxa"/>
            <w:vAlign w:val="center"/>
          </w:tcPr>
          <w:p w14:paraId="73DD6933" w14:textId="68D53AEE" w:rsidR="00C42510" w:rsidRPr="00F123D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Uncontrolled hypertension</w:t>
            </w:r>
          </w:p>
        </w:tc>
        <w:tc>
          <w:tcPr>
            <w:tcW w:w="1984" w:type="dxa"/>
            <w:vAlign w:val="center"/>
          </w:tcPr>
          <w:p w14:paraId="1019C83C" w14:textId="722F4F1F" w:rsidR="00C42510" w:rsidRPr="00F123DF" w:rsidRDefault="00F123DF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33</w:t>
            </w:r>
            <w:r w:rsidR="00CB5655" w:rsidRPr="00F123DF">
              <w:rPr>
                <w:sz w:val="22"/>
                <w:szCs w:val="22"/>
                <w:lang w:val="en-US"/>
              </w:rPr>
              <w:t>.</w:t>
            </w:r>
            <w:r w:rsidRPr="00F123DF">
              <w:rPr>
                <w:sz w:val="22"/>
                <w:szCs w:val="22"/>
                <w:lang w:val="en-US"/>
              </w:rPr>
              <w:t>8</w:t>
            </w:r>
            <w:r w:rsidR="00C42510"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48235F44" w14:textId="12D711EB" w:rsidR="00C42510" w:rsidRPr="00F123DF" w:rsidRDefault="005F2541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1</w:t>
            </w:r>
            <w:r w:rsidR="008F74CC" w:rsidRPr="00F123DF">
              <w:rPr>
                <w:sz w:val="22"/>
                <w:szCs w:val="22"/>
                <w:lang w:val="en-US"/>
              </w:rPr>
              <w:t>0</w:t>
            </w:r>
            <w:r w:rsidR="00C42510"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3</w:t>
            </w:r>
            <w:r w:rsidR="00C42510"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14:paraId="100A99C2" w14:textId="6FBF76D6" w:rsidR="00C42510" w:rsidRPr="00F123DF" w:rsidRDefault="008F74CC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&lt; 0.0001</w:t>
            </w:r>
          </w:p>
        </w:tc>
      </w:tr>
      <w:tr w:rsidR="00C42510" w:rsidRPr="009A2CA4" w14:paraId="39BA206E" w14:textId="77777777" w:rsidTr="004B3DC3">
        <w:tc>
          <w:tcPr>
            <w:tcW w:w="3261" w:type="dxa"/>
            <w:vAlign w:val="center"/>
          </w:tcPr>
          <w:p w14:paraId="4127BA30" w14:textId="0886693B" w:rsidR="00C42510" w:rsidRPr="00F123D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Antihypertensive medication</w:t>
            </w:r>
          </w:p>
        </w:tc>
        <w:tc>
          <w:tcPr>
            <w:tcW w:w="1984" w:type="dxa"/>
            <w:vAlign w:val="center"/>
          </w:tcPr>
          <w:p w14:paraId="2C1EA85F" w14:textId="289E3B65" w:rsidR="00C42510" w:rsidRPr="00F123DF" w:rsidRDefault="007D35A1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4</w:t>
            </w:r>
            <w:r w:rsidR="00F123DF" w:rsidRPr="00F123DF">
              <w:rPr>
                <w:sz w:val="22"/>
                <w:szCs w:val="22"/>
                <w:lang w:val="en-US"/>
              </w:rPr>
              <w:t>0</w:t>
            </w:r>
            <w:r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6</w:t>
            </w:r>
            <w:r w:rsidR="00C42510"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2F2E0254" w14:textId="2977B0CC" w:rsidR="00C42510" w:rsidRPr="00F123DF" w:rsidRDefault="00C42510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2</w:t>
            </w:r>
            <w:r w:rsidR="00F123DF" w:rsidRPr="00F123DF">
              <w:rPr>
                <w:sz w:val="22"/>
                <w:szCs w:val="22"/>
                <w:lang w:val="en-US"/>
              </w:rPr>
              <w:t>0</w:t>
            </w:r>
            <w:r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6</w:t>
            </w:r>
            <w:r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14:paraId="131C24BD" w14:textId="6F8FA0F4" w:rsidR="00C42510" w:rsidRPr="00F123DF" w:rsidRDefault="00F123DF" w:rsidP="005F2541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 xml:space="preserve">  </w:t>
            </w:r>
            <w:r w:rsidR="00C42510" w:rsidRPr="00F123DF">
              <w:rPr>
                <w:sz w:val="22"/>
                <w:szCs w:val="22"/>
                <w:lang w:val="en-US"/>
              </w:rPr>
              <w:t xml:space="preserve"> 0.00</w:t>
            </w:r>
            <w:r w:rsidRPr="00F123DF">
              <w:rPr>
                <w:sz w:val="22"/>
                <w:szCs w:val="22"/>
                <w:lang w:val="en-US"/>
              </w:rPr>
              <w:t>18</w:t>
            </w:r>
          </w:p>
        </w:tc>
      </w:tr>
      <w:tr w:rsidR="00F805F9" w:rsidRPr="009A2CA4" w14:paraId="5B1939F3" w14:textId="77777777" w:rsidTr="004B3DC3">
        <w:tc>
          <w:tcPr>
            <w:tcW w:w="3261" w:type="dxa"/>
            <w:vAlign w:val="center"/>
          </w:tcPr>
          <w:p w14:paraId="544592F7" w14:textId="11C0ACF9" w:rsidR="00F805F9" w:rsidRPr="005852A5" w:rsidRDefault="004B3DC3" w:rsidP="00FD0FE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Possible chronic kidney disease (GFR&lt; 60ml/min/1.73m</w:t>
            </w:r>
            <w:r w:rsidRPr="005852A5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5852A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Align w:val="center"/>
          </w:tcPr>
          <w:p w14:paraId="0C23E4CD" w14:textId="20D9BD8F" w:rsidR="00F805F9" w:rsidRPr="005852A5" w:rsidRDefault="008F74CC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17</w:t>
            </w:r>
            <w:r w:rsidR="00F805F9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4</w:t>
            </w:r>
            <w:r w:rsidR="00F805F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85" w:type="dxa"/>
            <w:vAlign w:val="center"/>
          </w:tcPr>
          <w:p w14:paraId="580D427F" w14:textId="43F207FD" w:rsidR="00F805F9" w:rsidRPr="005852A5" w:rsidRDefault="00F805F9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2.</w:t>
            </w:r>
            <w:r w:rsidR="005852A5" w:rsidRPr="005852A5">
              <w:rPr>
                <w:sz w:val="22"/>
                <w:szCs w:val="22"/>
                <w:lang w:val="en-US"/>
              </w:rPr>
              <w:t>1</w:t>
            </w:r>
            <w:r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14:paraId="0FBCDA8E" w14:textId="712D80BC" w:rsidR="00F805F9" w:rsidRPr="005852A5" w:rsidRDefault="00F805F9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&lt;0.0001</w:t>
            </w:r>
          </w:p>
        </w:tc>
      </w:tr>
    </w:tbl>
    <w:p w14:paraId="69AFFBAA" w14:textId="77777777" w:rsidR="00F36CB7" w:rsidRPr="009A2CA4" w:rsidRDefault="00F36CB7" w:rsidP="008D743A">
      <w:pPr>
        <w:rPr>
          <w:lang w:val="en-US"/>
        </w:rPr>
      </w:pPr>
    </w:p>
    <w:p w14:paraId="7C3DE2B0" w14:textId="77777777" w:rsidR="004B3DC3" w:rsidRPr="009A2CA4" w:rsidRDefault="0031313E" w:rsidP="002C167D">
      <w:pPr>
        <w:spacing w:line="360" w:lineRule="auto"/>
        <w:rPr>
          <w:sz w:val="22"/>
          <w:szCs w:val="22"/>
          <w:lang w:val="en-US"/>
        </w:rPr>
      </w:pPr>
      <w:r w:rsidRPr="009A2CA4">
        <w:rPr>
          <w:b/>
          <w:bCs/>
          <w:sz w:val="22"/>
          <w:szCs w:val="22"/>
          <w:u w:val="single"/>
          <w:lang w:val="en-US"/>
        </w:rPr>
        <w:t xml:space="preserve">Supplemental Table </w:t>
      </w:r>
      <w:r w:rsidR="005E6FEC" w:rsidRPr="009A2CA4">
        <w:rPr>
          <w:b/>
          <w:bCs/>
          <w:sz w:val="22"/>
          <w:szCs w:val="22"/>
          <w:u w:val="single"/>
          <w:lang w:val="en-US"/>
        </w:rPr>
        <w:t>3</w:t>
      </w:r>
      <w:r w:rsidRPr="009A2CA4">
        <w:rPr>
          <w:b/>
          <w:bCs/>
          <w:sz w:val="22"/>
          <w:szCs w:val="22"/>
          <w:u w:val="single"/>
          <w:lang w:val="en-US"/>
        </w:rPr>
        <w:t>:</w:t>
      </w:r>
      <w:r w:rsidRPr="009A2CA4">
        <w:rPr>
          <w:sz w:val="22"/>
          <w:szCs w:val="22"/>
          <w:lang w:val="en-US"/>
        </w:rPr>
        <w:t xml:space="preserve"> Blood pressure data 7 years after treatment of </w:t>
      </w:r>
      <w:r w:rsidR="004B3DC3" w:rsidRPr="009A2CA4">
        <w:rPr>
          <w:sz w:val="22"/>
          <w:szCs w:val="22"/>
          <w:lang w:val="en-US"/>
        </w:rPr>
        <w:t xml:space="preserve">patients with Cushing’s syndrome (CUSH) </w:t>
      </w:r>
      <w:r w:rsidR="004B3DC3">
        <w:rPr>
          <w:sz w:val="22"/>
          <w:szCs w:val="22"/>
          <w:lang w:val="en-US"/>
        </w:rPr>
        <w:t>compared to the</w:t>
      </w:r>
      <w:r w:rsidR="004B3DC3" w:rsidRPr="009A2CA4">
        <w:rPr>
          <w:sz w:val="22"/>
          <w:szCs w:val="22"/>
          <w:lang w:val="en-US"/>
        </w:rPr>
        <w:t xml:space="preserve"> control</w:t>
      </w:r>
      <w:r w:rsidR="004B3DC3">
        <w:rPr>
          <w:sz w:val="22"/>
          <w:szCs w:val="22"/>
          <w:lang w:val="en-US"/>
        </w:rPr>
        <w:t xml:space="preserve"> cohort</w:t>
      </w:r>
      <w:r w:rsidR="004B3DC3" w:rsidRPr="009A2CA4">
        <w:rPr>
          <w:sz w:val="22"/>
          <w:szCs w:val="22"/>
          <w:lang w:val="en-US"/>
        </w:rPr>
        <w:t xml:space="preserve"> (KORA). Data are reported as median and IQR or in percentage. </w:t>
      </w:r>
    </w:p>
    <w:p w14:paraId="17F47AC9" w14:textId="38D660FE" w:rsidR="005E6FEC" w:rsidRPr="009A2CA4" w:rsidRDefault="004B3DC3" w:rsidP="002C167D">
      <w:pPr>
        <w:spacing w:line="360" w:lineRule="auto"/>
        <w:rPr>
          <w:sz w:val="22"/>
          <w:szCs w:val="22"/>
          <w:lang w:val="en-US"/>
        </w:rPr>
      </w:pPr>
      <w:r w:rsidRPr="009A2CA4">
        <w:rPr>
          <w:sz w:val="22"/>
          <w:szCs w:val="22"/>
          <w:lang w:val="en-US"/>
        </w:rPr>
        <w:t>Abbreviations: IQR: interquartile range, BP: blood pressure, mmHg: millimeters of mercury, bpm: beats per minute, GFR: glomerular filtration rate.</w:t>
      </w:r>
    </w:p>
    <w:p w14:paraId="7FCEF0C3" w14:textId="73BF9AD4" w:rsidR="00BF0F96" w:rsidRDefault="00BF0F96">
      <w:pPr>
        <w:rPr>
          <w:lang w:val="en-US"/>
        </w:rPr>
      </w:pPr>
      <w:r>
        <w:rPr>
          <w:lang w:val="en-US"/>
        </w:rPr>
        <w:br w:type="page"/>
      </w:r>
    </w:p>
    <w:p w14:paraId="18A3B546" w14:textId="77777777" w:rsidR="0031313E" w:rsidRPr="009A2CA4" w:rsidRDefault="0031313E" w:rsidP="008D743A">
      <w:pPr>
        <w:rPr>
          <w:lang w:val="en-US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993"/>
      </w:tblGrid>
      <w:tr w:rsidR="00F62507" w:rsidRPr="009A2CA4" w14:paraId="4C18E5DB" w14:textId="77777777" w:rsidTr="00115422">
        <w:tc>
          <w:tcPr>
            <w:tcW w:w="3261" w:type="dxa"/>
            <w:vAlign w:val="center"/>
          </w:tcPr>
          <w:p w14:paraId="7E067794" w14:textId="77777777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Blood pressure data</w:t>
            </w:r>
          </w:p>
          <w:p w14:paraId="295A0991" w14:textId="536C5505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14 years</w:t>
            </w:r>
          </w:p>
        </w:tc>
        <w:tc>
          <w:tcPr>
            <w:tcW w:w="1984" w:type="dxa"/>
            <w:vAlign w:val="center"/>
          </w:tcPr>
          <w:p w14:paraId="7E2DB88B" w14:textId="217F3635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CUSH</w:t>
            </w:r>
          </w:p>
          <w:p w14:paraId="3B0DA787" w14:textId="2087B65B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n=</w:t>
            </w:r>
            <w:r w:rsidR="00CF00EE" w:rsidRPr="005440F8">
              <w:rPr>
                <w:sz w:val="22"/>
                <w:szCs w:val="22"/>
                <w:lang w:val="en-US"/>
              </w:rPr>
              <w:t>4</w:t>
            </w:r>
            <w:r w:rsidR="0099487D" w:rsidRPr="005440F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14:paraId="15E0C9C7" w14:textId="7E6020DF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KOR</w:t>
            </w:r>
            <w:r w:rsidR="004B22A0" w:rsidRPr="005440F8">
              <w:rPr>
                <w:sz w:val="22"/>
                <w:szCs w:val="22"/>
                <w:lang w:val="en-US"/>
              </w:rPr>
              <w:t>A</w:t>
            </w:r>
          </w:p>
          <w:p w14:paraId="6BA981B3" w14:textId="734AC568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n=</w:t>
            </w:r>
            <w:r w:rsidR="00CF00EE" w:rsidRPr="005440F8">
              <w:rPr>
                <w:sz w:val="22"/>
                <w:szCs w:val="22"/>
                <w:lang w:val="en-US"/>
              </w:rPr>
              <w:t>243</w:t>
            </w:r>
          </w:p>
        </w:tc>
        <w:tc>
          <w:tcPr>
            <w:tcW w:w="993" w:type="dxa"/>
            <w:vAlign w:val="center"/>
          </w:tcPr>
          <w:p w14:paraId="60E1A8E3" w14:textId="77777777" w:rsidR="00F62507" w:rsidRPr="005440F8" w:rsidRDefault="00F6250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P value</w:t>
            </w:r>
          </w:p>
        </w:tc>
      </w:tr>
      <w:tr w:rsidR="006406F2" w:rsidRPr="009A2CA4" w14:paraId="2C6F4BAB" w14:textId="77777777" w:rsidTr="00115422">
        <w:tc>
          <w:tcPr>
            <w:tcW w:w="3261" w:type="dxa"/>
            <w:vAlign w:val="center"/>
          </w:tcPr>
          <w:p w14:paraId="7236D0C8" w14:textId="77777777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BP syst. mmHg</w:t>
            </w:r>
          </w:p>
        </w:tc>
        <w:tc>
          <w:tcPr>
            <w:tcW w:w="1984" w:type="dxa"/>
            <w:vAlign w:val="center"/>
          </w:tcPr>
          <w:p w14:paraId="3BF47AC6" w14:textId="72D918A2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1</w:t>
            </w:r>
            <w:r w:rsidR="00B12BD9" w:rsidRPr="005440F8">
              <w:rPr>
                <w:sz w:val="22"/>
                <w:szCs w:val="22"/>
                <w:lang w:val="en-US"/>
              </w:rPr>
              <w:t>2</w:t>
            </w:r>
            <w:r w:rsidR="00CB5655" w:rsidRPr="005440F8">
              <w:rPr>
                <w:sz w:val="22"/>
                <w:szCs w:val="22"/>
                <w:lang w:val="en-US"/>
              </w:rPr>
              <w:t>6</w:t>
            </w:r>
            <w:r w:rsidR="001C19CF" w:rsidRPr="005440F8">
              <w:rPr>
                <w:sz w:val="22"/>
                <w:szCs w:val="22"/>
                <w:lang w:val="en-US"/>
              </w:rPr>
              <w:t xml:space="preserve"> </w:t>
            </w:r>
            <w:r w:rsidRPr="005440F8">
              <w:rPr>
                <w:sz w:val="22"/>
                <w:szCs w:val="22"/>
                <w:lang w:val="en-US"/>
              </w:rPr>
              <w:t>(11</w:t>
            </w:r>
            <w:r w:rsidR="001C19CF" w:rsidRPr="005440F8">
              <w:rPr>
                <w:sz w:val="22"/>
                <w:szCs w:val="22"/>
                <w:lang w:val="en-US"/>
              </w:rPr>
              <w:t>7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Pr="005440F8">
              <w:rPr>
                <w:sz w:val="22"/>
                <w:szCs w:val="22"/>
                <w:lang w:val="en-US"/>
              </w:rPr>
              <w:t>-1</w:t>
            </w:r>
            <w:r w:rsidR="001C19CF" w:rsidRPr="005440F8">
              <w:rPr>
                <w:sz w:val="22"/>
                <w:szCs w:val="22"/>
                <w:lang w:val="en-US"/>
              </w:rPr>
              <w:t>40</w:t>
            </w:r>
            <w:r w:rsidRPr="005440F8">
              <w:rPr>
                <w:sz w:val="22"/>
                <w:szCs w:val="22"/>
                <w:lang w:val="en-US"/>
              </w:rPr>
              <w:t>.</w:t>
            </w:r>
            <w:r w:rsidR="001C19CF" w:rsidRPr="005440F8">
              <w:rPr>
                <w:sz w:val="22"/>
                <w:szCs w:val="22"/>
                <w:lang w:val="en-US"/>
              </w:rPr>
              <w:t>0</w:t>
            </w:r>
            <w:r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14:paraId="2D16C9FC" w14:textId="0F7935BE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11</w:t>
            </w:r>
            <w:r w:rsidR="001C19CF" w:rsidRPr="005440F8">
              <w:rPr>
                <w:sz w:val="22"/>
                <w:szCs w:val="22"/>
                <w:lang w:val="en-US"/>
              </w:rPr>
              <w:t>3</w:t>
            </w:r>
            <w:r w:rsidR="008F74CC" w:rsidRPr="005440F8">
              <w:rPr>
                <w:sz w:val="22"/>
                <w:szCs w:val="22"/>
                <w:lang w:val="en-US"/>
              </w:rPr>
              <w:t>.5</w:t>
            </w:r>
            <w:r w:rsidRPr="005440F8">
              <w:rPr>
                <w:sz w:val="22"/>
                <w:szCs w:val="22"/>
                <w:lang w:val="en-US"/>
              </w:rPr>
              <w:t xml:space="preserve"> (103.5-</w:t>
            </w:r>
            <w:r w:rsidR="008F74CC" w:rsidRPr="005440F8">
              <w:rPr>
                <w:sz w:val="22"/>
                <w:szCs w:val="22"/>
                <w:lang w:val="en-US"/>
              </w:rPr>
              <w:t>125.5</w:t>
            </w:r>
            <w:r w:rsidR="00115422"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5E4F8A08" w14:textId="4830903D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6406F2" w:rsidRPr="009A2CA4" w14:paraId="15A161B8" w14:textId="77777777" w:rsidTr="00115422">
        <w:tc>
          <w:tcPr>
            <w:tcW w:w="3261" w:type="dxa"/>
            <w:vAlign w:val="center"/>
          </w:tcPr>
          <w:p w14:paraId="44B6B524" w14:textId="77777777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 xml:space="preserve">BP </w:t>
            </w:r>
            <w:proofErr w:type="spellStart"/>
            <w:r w:rsidRPr="005440F8">
              <w:rPr>
                <w:sz w:val="22"/>
                <w:szCs w:val="22"/>
                <w:lang w:val="en-US"/>
              </w:rPr>
              <w:t>diast</w:t>
            </w:r>
            <w:proofErr w:type="spellEnd"/>
            <w:r w:rsidRPr="005440F8">
              <w:rPr>
                <w:sz w:val="22"/>
                <w:szCs w:val="22"/>
                <w:lang w:val="en-US"/>
              </w:rPr>
              <w:t>. mmHg</w:t>
            </w:r>
          </w:p>
        </w:tc>
        <w:tc>
          <w:tcPr>
            <w:tcW w:w="1984" w:type="dxa"/>
            <w:vAlign w:val="center"/>
          </w:tcPr>
          <w:p w14:paraId="304FEDA3" w14:textId="5C5801EF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8</w:t>
            </w:r>
            <w:r w:rsidR="0099487D" w:rsidRPr="005440F8">
              <w:rPr>
                <w:sz w:val="22"/>
                <w:szCs w:val="22"/>
                <w:lang w:val="en-US"/>
              </w:rPr>
              <w:t>4.0</w:t>
            </w:r>
            <w:r w:rsidRPr="005440F8">
              <w:rPr>
                <w:sz w:val="22"/>
                <w:szCs w:val="22"/>
                <w:lang w:val="en-US"/>
              </w:rPr>
              <w:t xml:space="preserve"> (75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="00212389" w:rsidRPr="005440F8">
              <w:rPr>
                <w:sz w:val="22"/>
                <w:szCs w:val="22"/>
                <w:lang w:val="en-US"/>
              </w:rPr>
              <w:t>-</w:t>
            </w:r>
            <w:r w:rsidRPr="005440F8">
              <w:rPr>
                <w:sz w:val="22"/>
                <w:szCs w:val="22"/>
                <w:lang w:val="en-US"/>
              </w:rPr>
              <w:t>8</w:t>
            </w:r>
            <w:r w:rsidR="00CB5655" w:rsidRPr="005440F8">
              <w:rPr>
                <w:sz w:val="22"/>
                <w:szCs w:val="22"/>
                <w:lang w:val="en-US"/>
              </w:rPr>
              <w:t>8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14:paraId="055C4B9A" w14:textId="7315E03F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7</w:t>
            </w:r>
            <w:r w:rsidR="0099487D" w:rsidRPr="005440F8">
              <w:rPr>
                <w:sz w:val="22"/>
                <w:szCs w:val="22"/>
                <w:lang w:val="en-US"/>
              </w:rPr>
              <w:t>0.5</w:t>
            </w:r>
            <w:r w:rsidRPr="005440F8">
              <w:rPr>
                <w:sz w:val="22"/>
                <w:szCs w:val="22"/>
                <w:lang w:val="en-US"/>
              </w:rPr>
              <w:t xml:space="preserve"> (66</w:t>
            </w:r>
            <w:r w:rsidR="0099487D" w:rsidRPr="005440F8">
              <w:rPr>
                <w:sz w:val="22"/>
                <w:szCs w:val="22"/>
                <w:lang w:val="en-US"/>
              </w:rPr>
              <w:t>.0</w:t>
            </w:r>
            <w:r w:rsidRPr="005440F8">
              <w:rPr>
                <w:sz w:val="22"/>
                <w:szCs w:val="22"/>
                <w:lang w:val="en-US"/>
              </w:rPr>
              <w:t>-77.</w:t>
            </w:r>
            <w:r w:rsidR="0099487D" w:rsidRPr="005440F8">
              <w:rPr>
                <w:sz w:val="22"/>
                <w:szCs w:val="22"/>
                <w:lang w:val="en-US"/>
              </w:rPr>
              <w:t>0</w:t>
            </w:r>
            <w:r w:rsidRPr="005440F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40CD0E10" w14:textId="77777777" w:rsidR="006406F2" w:rsidRPr="005440F8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440F8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6406F2" w:rsidRPr="009A2CA4" w14:paraId="6200AC33" w14:textId="77777777" w:rsidTr="00115422">
        <w:tc>
          <w:tcPr>
            <w:tcW w:w="3261" w:type="dxa"/>
            <w:vAlign w:val="center"/>
          </w:tcPr>
          <w:p w14:paraId="6B2E8484" w14:textId="7B70C6AB" w:rsidR="006406F2" w:rsidRPr="00FD4265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Heart</w:t>
            </w:r>
            <w:r w:rsidR="003A29C9" w:rsidRPr="00FD4265">
              <w:rPr>
                <w:sz w:val="22"/>
                <w:szCs w:val="22"/>
                <w:lang w:val="en-US"/>
              </w:rPr>
              <w:t xml:space="preserve"> </w:t>
            </w:r>
            <w:r w:rsidRPr="00FD4265">
              <w:rPr>
                <w:sz w:val="22"/>
                <w:szCs w:val="22"/>
                <w:lang w:val="en-US"/>
              </w:rPr>
              <w:t>rate bpm</w:t>
            </w:r>
          </w:p>
        </w:tc>
        <w:tc>
          <w:tcPr>
            <w:tcW w:w="1984" w:type="dxa"/>
            <w:vAlign w:val="center"/>
          </w:tcPr>
          <w:p w14:paraId="729EB064" w14:textId="6E9263B4" w:rsidR="006406F2" w:rsidRPr="00FD4265" w:rsidRDefault="003A29C9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7</w:t>
            </w:r>
            <w:r w:rsidR="005440F8" w:rsidRPr="00FD4265">
              <w:rPr>
                <w:sz w:val="22"/>
                <w:szCs w:val="22"/>
                <w:lang w:val="en-US"/>
              </w:rPr>
              <w:t>4.5</w:t>
            </w:r>
            <w:r w:rsidR="006406F2" w:rsidRPr="00FD4265">
              <w:rPr>
                <w:sz w:val="22"/>
                <w:szCs w:val="22"/>
                <w:lang w:val="en-US"/>
              </w:rPr>
              <w:t xml:space="preserve"> (</w:t>
            </w:r>
            <w:r w:rsidRPr="00FD4265">
              <w:rPr>
                <w:sz w:val="22"/>
                <w:szCs w:val="22"/>
                <w:lang w:val="en-US"/>
              </w:rPr>
              <w:t>66</w:t>
            </w:r>
            <w:r w:rsidR="005440F8" w:rsidRPr="00FD4265">
              <w:rPr>
                <w:sz w:val="22"/>
                <w:szCs w:val="22"/>
                <w:lang w:val="en-US"/>
              </w:rPr>
              <w:t>.8</w:t>
            </w:r>
            <w:r w:rsidR="006406F2" w:rsidRPr="00FD4265">
              <w:rPr>
                <w:sz w:val="22"/>
                <w:szCs w:val="22"/>
                <w:lang w:val="en-US"/>
              </w:rPr>
              <w:t>-</w:t>
            </w:r>
            <w:r w:rsidRPr="00FD4265">
              <w:rPr>
                <w:sz w:val="22"/>
                <w:szCs w:val="22"/>
                <w:lang w:val="en-US"/>
              </w:rPr>
              <w:t>8</w:t>
            </w:r>
            <w:r w:rsidR="005440F8" w:rsidRPr="00FD4265">
              <w:rPr>
                <w:sz w:val="22"/>
                <w:szCs w:val="22"/>
                <w:lang w:val="en-US"/>
              </w:rPr>
              <w:t>4</w:t>
            </w:r>
            <w:r w:rsidR="00115422" w:rsidRPr="00FD4265">
              <w:rPr>
                <w:sz w:val="22"/>
                <w:szCs w:val="22"/>
                <w:lang w:val="en-US"/>
              </w:rPr>
              <w:t>.</w:t>
            </w:r>
            <w:r w:rsidR="005440F8" w:rsidRPr="00FD4265">
              <w:rPr>
                <w:sz w:val="22"/>
                <w:szCs w:val="22"/>
                <w:lang w:val="en-US"/>
              </w:rPr>
              <w:t>0</w:t>
            </w:r>
            <w:r w:rsidR="006406F2"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14:paraId="4CE1D0A8" w14:textId="5D459580" w:rsidR="006406F2" w:rsidRPr="00FD4265" w:rsidRDefault="003A29C9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>71</w:t>
            </w:r>
            <w:r w:rsidR="005440F8" w:rsidRPr="00FD4265">
              <w:rPr>
                <w:sz w:val="22"/>
                <w:szCs w:val="22"/>
                <w:lang w:val="en-US"/>
              </w:rPr>
              <w:t xml:space="preserve">.0 </w:t>
            </w:r>
            <w:r w:rsidR="006406F2" w:rsidRPr="00FD4265">
              <w:rPr>
                <w:sz w:val="22"/>
                <w:szCs w:val="22"/>
                <w:lang w:val="en-US"/>
              </w:rPr>
              <w:t>(</w:t>
            </w:r>
            <w:r w:rsidRPr="00FD4265">
              <w:rPr>
                <w:sz w:val="22"/>
                <w:szCs w:val="22"/>
                <w:lang w:val="en-US"/>
              </w:rPr>
              <w:t>6</w:t>
            </w:r>
            <w:r w:rsidR="005440F8" w:rsidRPr="00FD4265">
              <w:rPr>
                <w:sz w:val="22"/>
                <w:szCs w:val="22"/>
                <w:lang w:val="en-US"/>
              </w:rPr>
              <w:t>6.0</w:t>
            </w:r>
            <w:r w:rsidR="006406F2" w:rsidRPr="00FD4265">
              <w:rPr>
                <w:sz w:val="22"/>
                <w:szCs w:val="22"/>
                <w:lang w:val="en-US"/>
              </w:rPr>
              <w:t>-</w:t>
            </w:r>
            <w:r w:rsidRPr="00FD4265">
              <w:rPr>
                <w:sz w:val="22"/>
                <w:szCs w:val="22"/>
                <w:lang w:val="en-US"/>
              </w:rPr>
              <w:t>7</w:t>
            </w:r>
            <w:r w:rsidR="005440F8" w:rsidRPr="00FD4265">
              <w:rPr>
                <w:sz w:val="22"/>
                <w:szCs w:val="22"/>
                <w:lang w:val="en-US"/>
              </w:rPr>
              <w:t>8.0</w:t>
            </w:r>
            <w:r w:rsidR="006406F2" w:rsidRPr="00FD426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0E0E9F44" w14:textId="7AD63709" w:rsidR="006406F2" w:rsidRPr="00FD4265" w:rsidRDefault="00083496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D4265">
              <w:rPr>
                <w:sz w:val="22"/>
                <w:szCs w:val="22"/>
                <w:lang w:val="en-US"/>
              </w:rPr>
              <w:t xml:space="preserve">  </w:t>
            </w:r>
            <w:r w:rsidR="003A29C9" w:rsidRPr="00FD4265">
              <w:rPr>
                <w:sz w:val="22"/>
                <w:szCs w:val="22"/>
                <w:lang w:val="en-US"/>
              </w:rPr>
              <w:t>0.</w:t>
            </w:r>
            <w:r w:rsidR="006406F2" w:rsidRPr="00FD4265">
              <w:rPr>
                <w:sz w:val="22"/>
                <w:szCs w:val="22"/>
                <w:lang w:val="en-US"/>
              </w:rPr>
              <w:t>0</w:t>
            </w:r>
            <w:r w:rsidR="005440F8" w:rsidRPr="00FD4265">
              <w:rPr>
                <w:sz w:val="22"/>
                <w:szCs w:val="22"/>
                <w:lang w:val="en-US"/>
              </w:rPr>
              <w:t>375</w:t>
            </w:r>
          </w:p>
        </w:tc>
      </w:tr>
      <w:tr w:rsidR="006406F2" w:rsidRPr="00F123DF" w14:paraId="54C40552" w14:textId="77777777" w:rsidTr="00115422">
        <w:tc>
          <w:tcPr>
            <w:tcW w:w="3261" w:type="dxa"/>
            <w:vAlign w:val="center"/>
          </w:tcPr>
          <w:p w14:paraId="4EDAF8B8" w14:textId="6FA05114" w:rsidR="006406F2" w:rsidRPr="00F123DF" w:rsidRDefault="00746461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GFR ml/min/1.73m</w:t>
            </w:r>
            <w:r w:rsidRPr="00F123DF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41847CAA" w14:textId="08400664" w:rsidR="006406F2" w:rsidRPr="00F123DF" w:rsidRDefault="001C7DF1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7</w:t>
            </w:r>
            <w:r w:rsidR="004466B1" w:rsidRPr="00F123DF">
              <w:rPr>
                <w:sz w:val="22"/>
                <w:szCs w:val="22"/>
                <w:lang w:val="en-US"/>
              </w:rPr>
              <w:t>4</w:t>
            </w:r>
            <w:r w:rsidRPr="00F123DF">
              <w:rPr>
                <w:sz w:val="22"/>
                <w:szCs w:val="22"/>
                <w:lang w:val="en-US"/>
              </w:rPr>
              <w:t>.</w:t>
            </w:r>
            <w:r w:rsidR="004466B1" w:rsidRPr="00F123DF">
              <w:rPr>
                <w:sz w:val="22"/>
                <w:szCs w:val="22"/>
                <w:lang w:val="en-US"/>
              </w:rPr>
              <w:t>9</w:t>
            </w:r>
            <w:r w:rsidR="006406F2" w:rsidRPr="00F123DF">
              <w:rPr>
                <w:sz w:val="22"/>
                <w:szCs w:val="22"/>
                <w:lang w:val="en-US"/>
              </w:rPr>
              <w:t xml:space="preserve"> (</w:t>
            </w:r>
            <w:r w:rsidRPr="00F123DF">
              <w:rPr>
                <w:sz w:val="22"/>
                <w:szCs w:val="22"/>
                <w:lang w:val="en-US"/>
              </w:rPr>
              <w:t>6</w:t>
            </w:r>
            <w:r w:rsidR="004466B1" w:rsidRPr="00F123DF">
              <w:rPr>
                <w:sz w:val="22"/>
                <w:szCs w:val="22"/>
                <w:lang w:val="en-US"/>
              </w:rPr>
              <w:t>6.5</w:t>
            </w:r>
            <w:r w:rsidR="006406F2" w:rsidRPr="00F123DF">
              <w:rPr>
                <w:sz w:val="22"/>
                <w:szCs w:val="22"/>
                <w:lang w:val="en-US"/>
              </w:rPr>
              <w:t>-</w:t>
            </w:r>
            <w:r w:rsidRPr="00F123DF">
              <w:rPr>
                <w:sz w:val="22"/>
                <w:szCs w:val="22"/>
                <w:lang w:val="en-US"/>
              </w:rPr>
              <w:t>85.</w:t>
            </w:r>
            <w:r w:rsidR="004466B1" w:rsidRPr="00F123DF">
              <w:rPr>
                <w:sz w:val="22"/>
                <w:szCs w:val="22"/>
                <w:lang w:val="en-US"/>
              </w:rPr>
              <w:t>5</w:t>
            </w:r>
            <w:r w:rsidR="006406F2" w:rsidRPr="00F123D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14:paraId="12AF6D16" w14:textId="4648D29A" w:rsidR="006406F2" w:rsidRPr="00F123DF" w:rsidRDefault="001C7DF1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8</w:t>
            </w:r>
            <w:r w:rsidR="00FD4265" w:rsidRPr="00F123DF">
              <w:rPr>
                <w:sz w:val="22"/>
                <w:szCs w:val="22"/>
                <w:lang w:val="en-US"/>
              </w:rPr>
              <w:t>2.8</w:t>
            </w:r>
            <w:r w:rsidR="006406F2" w:rsidRPr="00F123DF">
              <w:rPr>
                <w:sz w:val="22"/>
                <w:szCs w:val="22"/>
                <w:lang w:val="en-US"/>
              </w:rPr>
              <w:t xml:space="preserve"> (</w:t>
            </w:r>
            <w:r w:rsidRPr="00F123DF">
              <w:rPr>
                <w:sz w:val="22"/>
                <w:szCs w:val="22"/>
                <w:lang w:val="en-US"/>
              </w:rPr>
              <w:t>7</w:t>
            </w:r>
            <w:r w:rsidR="00115422" w:rsidRPr="00F123DF">
              <w:rPr>
                <w:sz w:val="22"/>
                <w:szCs w:val="22"/>
                <w:lang w:val="en-US"/>
              </w:rPr>
              <w:t>0.</w:t>
            </w:r>
            <w:r w:rsidR="00FD4265" w:rsidRPr="00F123DF">
              <w:rPr>
                <w:sz w:val="22"/>
                <w:szCs w:val="22"/>
                <w:lang w:val="en-US"/>
              </w:rPr>
              <w:t>6</w:t>
            </w:r>
            <w:r w:rsidR="006406F2" w:rsidRPr="00F123DF">
              <w:rPr>
                <w:sz w:val="22"/>
                <w:szCs w:val="22"/>
                <w:lang w:val="en-US"/>
              </w:rPr>
              <w:t>-</w:t>
            </w:r>
            <w:r w:rsidRPr="00F123DF">
              <w:rPr>
                <w:sz w:val="22"/>
                <w:szCs w:val="22"/>
                <w:lang w:val="en-US"/>
              </w:rPr>
              <w:t>9</w:t>
            </w:r>
            <w:r w:rsidR="00FD4265" w:rsidRPr="00F123DF">
              <w:rPr>
                <w:sz w:val="22"/>
                <w:szCs w:val="22"/>
                <w:lang w:val="en-US"/>
              </w:rPr>
              <w:t>3</w:t>
            </w:r>
            <w:r w:rsidRPr="00F123DF">
              <w:rPr>
                <w:sz w:val="22"/>
                <w:szCs w:val="22"/>
                <w:lang w:val="en-US"/>
              </w:rPr>
              <w:t>.</w:t>
            </w:r>
            <w:r w:rsidR="00115422" w:rsidRPr="00F123DF">
              <w:rPr>
                <w:sz w:val="22"/>
                <w:szCs w:val="22"/>
                <w:lang w:val="en-US"/>
              </w:rPr>
              <w:t>6</w:t>
            </w:r>
            <w:r w:rsidR="006406F2" w:rsidRPr="00F123D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6EF8AAF9" w14:textId="3DD2C2BB" w:rsidR="006406F2" w:rsidRPr="00F123DF" w:rsidRDefault="00083496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 xml:space="preserve">  </w:t>
            </w:r>
            <w:r w:rsidR="001C7DF1" w:rsidRPr="00F123DF">
              <w:rPr>
                <w:sz w:val="22"/>
                <w:szCs w:val="22"/>
                <w:lang w:val="en-US"/>
              </w:rPr>
              <w:t>0</w:t>
            </w:r>
            <w:r w:rsidR="006406F2" w:rsidRPr="00F123DF">
              <w:rPr>
                <w:sz w:val="22"/>
                <w:szCs w:val="22"/>
                <w:lang w:val="en-US"/>
              </w:rPr>
              <w:t>.0</w:t>
            </w:r>
            <w:r w:rsidR="00FD4265" w:rsidRPr="00F123DF">
              <w:rPr>
                <w:sz w:val="22"/>
                <w:szCs w:val="22"/>
                <w:lang w:val="en-US"/>
              </w:rPr>
              <w:t>359</w:t>
            </w:r>
          </w:p>
        </w:tc>
      </w:tr>
      <w:tr w:rsidR="006406F2" w:rsidRPr="00F123DF" w14:paraId="1BF9A97D" w14:textId="77777777" w:rsidTr="00115422">
        <w:tc>
          <w:tcPr>
            <w:tcW w:w="3261" w:type="dxa"/>
            <w:vAlign w:val="center"/>
          </w:tcPr>
          <w:p w14:paraId="7F0D0628" w14:textId="77777777" w:rsidR="006406F2" w:rsidRPr="00F123DF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1984" w:type="dxa"/>
            <w:vAlign w:val="center"/>
          </w:tcPr>
          <w:p w14:paraId="31B237E6" w14:textId="47CA0AA6" w:rsidR="006406F2" w:rsidRPr="00F123DF" w:rsidRDefault="00C77F3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4</w:t>
            </w:r>
            <w:r w:rsidR="00115422" w:rsidRPr="00F123DF">
              <w:rPr>
                <w:sz w:val="22"/>
                <w:szCs w:val="22"/>
                <w:lang w:val="en-US"/>
              </w:rPr>
              <w:t>8</w:t>
            </w:r>
            <w:r w:rsidR="006406F2"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7</w:t>
            </w:r>
            <w:r w:rsidR="006406F2"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126" w:type="dxa"/>
            <w:vAlign w:val="center"/>
          </w:tcPr>
          <w:p w14:paraId="1D1746B4" w14:textId="10B6EE7A" w:rsidR="006406F2" w:rsidRPr="00F123DF" w:rsidRDefault="00C77F3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>32</w:t>
            </w:r>
            <w:r w:rsidR="006406F2" w:rsidRPr="00F123DF">
              <w:rPr>
                <w:sz w:val="22"/>
                <w:szCs w:val="22"/>
                <w:lang w:val="en-US"/>
              </w:rPr>
              <w:t>.</w:t>
            </w:r>
            <w:r w:rsidR="00F123DF" w:rsidRPr="00F123DF">
              <w:rPr>
                <w:sz w:val="22"/>
                <w:szCs w:val="22"/>
                <w:lang w:val="en-US"/>
              </w:rPr>
              <w:t>9</w:t>
            </w:r>
            <w:r w:rsidR="006406F2" w:rsidRPr="00F123DF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21001A32" w14:textId="3D4745FC" w:rsidR="006406F2" w:rsidRPr="00F123DF" w:rsidRDefault="00083496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F123DF">
              <w:rPr>
                <w:sz w:val="22"/>
                <w:szCs w:val="22"/>
                <w:lang w:val="en-US"/>
              </w:rPr>
              <w:t xml:space="preserve">  </w:t>
            </w:r>
            <w:r w:rsidR="006406F2" w:rsidRPr="00F123DF">
              <w:rPr>
                <w:sz w:val="22"/>
                <w:szCs w:val="22"/>
                <w:lang w:val="en-US"/>
              </w:rPr>
              <w:t>0.</w:t>
            </w:r>
            <w:r w:rsidR="00115422" w:rsidRPr="00F123DF">
              <w:rPr>
                <w:sz w:val="22"/>
                <w:szCs w:val="22"/>
                <w:lang w:val="en-US"/>
              </w:rPr>
              <w:t>0</w:t>
            </w:r>
            <w:r w:rsidR="00F123DF" w:rsidRPr="00F123DF">
              <w:rPr>
                <w:sz w:val="22"/>
                <w:szCs w:val="22"/>
                <w:lang w:val="en-US"/>
              </w:rPr>
              <w:t>669</w:t>
            </w:r>
          </w:p>
        </w:tc>
      </w:tr>
      <w:tr w:rsidR="006406F2" w:rsidRPr="009A2CA4" w14:paraId="044B065B" w14:textId="77777777" w:rsidTr="00115422">
        <w:tc>
          <w:tcPr>
            <w:tcW w:w="3261" w:type="dxa"/>
            <w:vAlign w:val="center"/>
          </w:tcPr>
          <w:p w14:paraId="53E7D229" w14:textId="5D3445BC" w:rsidR="006406F2" w:rsidRPr="005852A5" w:rsidRDefault="00C42510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U</w:t>
            </w:r>
            <w:r w:rsidR="006406F2" w:rsidRPr="005852A5">
              <w:rPr>
                <w:sz w:val="22"/>
                <w:szCs w:val="22"/>
                <w:lang w:val="en-US"/>
              </w:rPr>
              <w:t xml:space="preserve">ncontrolled </w:t>
            </w:r>
            <w:r w:rsidRPr="005852A5">
              <w:rPr>
                <w:sz w:val="22"/>
                <w:szCs w:val="22"/>
                <w:lang w:val="en-US"/>
              </w:rPr>
              <w:t>h</w:t>
            </w:r>
            <w:r w:rsidR="006406F2" w:rsidRPr="005852A5">
              <w:rPr>
                <w:sz w:val="22"/>
                <w:szCs w:val="22"/>
                <w:lang w:val="en-US"/>
              </w:rPr>
              <w:t>ypertension</w:t>
            </w:r>
          </w:p>
        </w:tc>
        <w:tc>
          <w:tcPr>
            <w:tcW w:w="1984" w:type="dxa"/>
            <w:vAlign w:val="center"/>
          </w:tcPr>
          <w:p w14:paraId="7F76601C" w14:textId="6ADE44E4" w:rsidR="006406F2" w:rsidRPr="005852A5" w:rsidRDefault="00C77F37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3</w:t>
            </w:r>
            <w:r w:rsidR="00F123DF" w:rsidRPr="005852A5">
              <w:rPr>
                <w:sz w:val="22"/>
                <w:szCs w:val="22"/>
                <w:lang w:val="en-US"/>
              </w:rPr>
              <w:t>8</w:t>
            </w:r>
            <w:r w:rsidR="006406F2" w:rsidRPr="005852A5">
              <w:rPr>
                <w:sz w:val="22"/>
                <w:szCs w:val="22"/>
                <w:lang w:val="en-US"/>
              </w:rPr>
              <w:t>.</w:t>
            </w:r>
            <w:r w:rsidR="00F123DF" w:rsidRPr="005852A5">
              <w:rPr>
                <w:sz w:val="22"/>
                <w:szCs w:val="22"/>
                <w:lang w:val="en-US"/>
              </w:rPr>
              <w:t>5</w:t>
            </w:r>
            <w:r w:rsidR="006406F2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126" w:type="dxa"/>
            <w:vAlign w:val="center"/>
          </w:tcPr>
          <w:p w14:paraId="7B51FD9E" w14:textId="2A65B5CD" w:rsidR="006406F2" w:rsidRPr="005852A5" w:rsidRDefault="00F123DF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9</w:t>
            </w:r>
            <w:r w:rsidR="00F805F9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9</w:t>
            </w:r>
            <w:r w:rsidR="006406F2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137B8286" w14:textId="115CE65D" w:rsidR="006406F2" w:rsidRPr="005852A5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&lt;0.0001</w:t>
            </w:r>
          </w:p>
        </w:tc>
      </w:tr>
      <w:tr w:rsidR="006406F2" w:rsidRPr="005852A5" w14:paraId="61F0F6CB" w14:textId="77777777" w:rsidTr="00115422">
        <w:tc>
          <w:tcPr>
            <w:tcW w:w="3261" w:type="dxa"/>
            <w:vAlign w:val="center"/>
          </w:tcPr>
          <w:p w14:paraId="4D3F82F6" w14:textId="77E713CA" w:rsidR="006406F2" w:rsidRPr="005852A5" w:rsidRDefault="006406F2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Antihypertensive medication</w:t>
            </w:r>
          </w:p>
        </w:tc>
        <w:tc>
          <w:tcPr>
            <w:tcW w:w="1984" w:type="dxa"/>
            <w:vAlign w:val="center"/>
          </w:tcPr>
          <w:p w14:paraId="188FF029" w14:textId="456F005C" w:rsidR="006406F2" w:rsidRPr="005852A5" w:rsidRDefault="00F123DF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28</w:t>
            </w:r>
            <w:r w:rsidR="007D35A1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9</w:t>
            </w:r>
            <w:r w:rsidR="006406F2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126" w:type="dxa"/>
            <w:vAlign w:val="center"/>
          </w:tcPr>
          <w:p w14:paraId="64FD11BC" w14:textId="7E04393E" w:rsidR="006406F2" w:rsidRPr="005852A5" w:rsidRDefault="005852A5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30</w:t>
            </w:r>
            <w:r w:rsidR="006406F2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0</w:t>
            </w:r>
            <w:r w:rsidR="006406F2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5B9E4604" w14:textId="7D90357C" w:rsidR="006406F2" w:rsidRPr="005852A5" w:rsidRDefault="00083496" w:rsidP="00C77F37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 xml:space="preserve">  </w:t>
            </w:r>
            <w:r w:rsidR="006406F2" w:rsidRPr="005852A5">
              <w:rPr>
                <w:sz w:val="22"/>
                <w:szCs w:val="22"/>
                <w:lang w:val="en-US"/>
              </w:rPr>
              <w:t>0.</w:t>
            </w:r>
            <w:r w:rsidR="00F123DF" w:rsidRPr="005852A5">
              <w:rPr>
                <w:sz w:val="22"/>
                <w:szCs w:val="22"/>
                <w:lang w:val="en-US"/>
              </w:rPr>
              <w:t>9999</w:t>
            </w:r>
          </w:p>
        </w:tc>
      </w:tr>
      <w:tr w:rsidR="00F805F9" w:rsidRPr="009A2CA4" w14:paraId="0055AAA6" w14:textId="77777777" w:rsidTr="00115422">
        <w:tc>
          <w:tcPr>
            <w:tcW w:w="3261" w:type="dxa"/>
            <w:vAlign w:val="center"/>
          </w:tcPr>
          <w:p w14:paraId="11EA6A0F" w14:textId="3554A964" w:rsidR="00F805F9" w:rsidRPr="005852A5" w:rsidRDefault="004B3DC3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Possible chronic kidney disease (GFR&lt; 60ml/min/1.73m</w:t>
            </w:r>
            <w:r w:rsidRPr="005852A5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5852A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Align w:val="center"/>
          </w:tcPr>
          <w:p w14:paraId="68F38029" w14:textId="0C292B2A" w:rsidR="00F805F9" w:rsidRPr="005852A5" w:rsidRDefault="005852A5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16</w:t>
            </w:r>
            <w:r w:rsidR="00F805F9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2</w:t>
            </w:r>
            <w:r w:rsidR="00F805F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126" w:type="dxa"/>
            <w:vAlign w:val="center"/>
          </w:tcPr>
          <w:p w14:paraId="6088A65E" w14:textId="064A74E1" w:rsidR="00F805F9" w:rsidRPr="005852A5" w:rsidRDefault="005852A5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11</w:t>
            </w:r>
            <w:r w:rsidR="00F805F9" w:rsidRPr="005852A5">
              <w:rPr>
                <w:sz w:val="22"/>
                <w:szCs w:val="22"/>
                <w:lang w:val="en-US"/>
              </w:rPr>
              <w:t>.</w:t>
            </w:r>
            <w:r w:rsidRPr="005852A5">
              <w:rPr>
                <w:sz w:val="22"/>
                <w:szCs w:val="22"/>
                <w:lang w:val="en-US"/>
              </w:rPr>
              <w:t>5</w:t>
            </w:r>
            <w:r w:rsidR="00F805F9" w:rsidRPr="005852A5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vAlign w:val="center"/>
          </w:tcPr>
          <w:p w14:paraId="75635F8D" w14:textId="161D26EA" w:rsidR="00F805F9" w:rsidRPr="005852A5" w:rsidRDefault="00F805F9" w:rsidP="00F805F9">
            <w:pPr>
              <w:jc w:val="center"/>
              <w:rPr>
                <w:sz w:val="22"/>
                <w:szCs w:val="22"/>
                <w:lang w:val="en-US"/>
              </w:rPr>
            </w:pPr>
            <w:r w:rsidRPr="005852A5">
              <w:rPr>
                <w:sz w:val="22"/>
                <w:szCs w:val="22"/>
                <w:lang w:val="en-US"/>
              </w:rPr>
              <w:t>0.</w:t>
            </w:r>
            <w:r w:rsidR="005852A5" w:rsidRPr="005852A5">
              <w:rPr>
                <w:sz w:val="22"/>
                <w:szCs w:val="22"/>
                <w:lang w:val="en-US"/>
              </w:rPr>
              <w:t>4192</w:t>
            </w:r>
          </w:p>
        </w:tc>
      </w:tr>
    </w:tbl>
    <w:p w14:paraId="7827C914" w14:textId="77777777" w:rsidR="00F62507" w:rsidRPr="009A2CA4" w:rsidRDefault="00F62507" w:rsidP="008D743A">
      <w:pPr>
        <w:rPr>
          <w:lang w:val="en-US"/>
        </w:rPr>
      </w:pPr>
    </w:p>
    <w:p w14:paraId="790209A9" w14:textId="77777777" w:rsidR="009128D4" w:rsidRPr="009A2CA4" w:rsidRDefault="006C1B16" w:rsidP="00BF0F96">
      <w:pPr>
        <w:spacing w:line="360" w:lineRule="auto"/>
        <w:rPr>
          <w:sz w:val="22"/>
          <w:szCs w:val="22"/>
          <w:lang w:val="en-US"/>
        </w:rPr>
      </w:pPr>
      <w:r w:rsidRPr="009A2CA4">
        <w:rPr>
          <w:b/>
          <w:bCs/>
          <w:sz w:val="22"/>
          <w:szCs w:val="22"/>
          <w:u w:val="single"/>
          <w:lang w:val="en-US"/>
        </w:rPr>
        <w:t xml:space="preserve">Supplemental Table </w:t>
      </w:r>
      <w:r w:rsidR="005E6FEC" w:rsidRPr="009A2CA4">
        <w:rPr>
          <w:b/>
          <w:bCs/>
          <w:sz w:val="22"/>
          <w:szCs w:val="22"/>
          <w:u w:val="single"/>
          <w:lang w:val="en-US"/>
        </w:rPr>
        <w:t>4</w:t>
      </w:r>
      <w:r w:rsidRPr="009A2CA4">
        <w:rPr>
          <w:b/>
          <w:bCs/>
          <w:sz w:val="22"/>
          <w:szCs w:val="22"/>
          <w:u w:val="single"/>
          <w:lang w:val="en-US"/>
        </w:rPr>
        <w:t>:</w:t>
      </w:r>
      <w:r w:rsidRPr="009A2CA4">
        <w:rPr>
          <w:sz w:val="22"/>
          <w:szCs w:val="22"/>
          <w:lang w:val="en-US"/>
        </w:rPr>
        <w:t xml:space="preserve"> </w:t>
      </w:r>
      <w:r w:rsidR="00B47B46" w:rsidRPr="009A2CA4">
        <w:rPr>
          <w:sz w:val="22"/>
          <w:szCs w:val="22"/>
          <w:lang w:val="en-US"/>
        </w:rPr>
        <w:t>Blood pressure data 14 years after treatment</w:t>
      </w:r>
      <w:r w:rsidR="00B47B46" w:rsidRPr="009A2CA4">
        <w:rPr>
          <w:lang w:val="en-US"/>
        </w:rPr>
        <w:t xml:space="preserve"> of </w:t>
      </w:r>
      <w:r w:rsidR="009128D4" w:rsidRPr="009A2CA4">
        <w:rPr>
          <w:sz w:val="22"/>
          <w:szCs w:val="22"/>
          <w:lang w:val="en-US"/>
        </w:rPr>
        <w:t xml:space="preserve">patients with Cushing’s syndrome (CUSH) </w:t>
      </w:r>
      <w:r w:rsidR="009128D4">
        <w:rPr>
          <w:sz w:val="22"/>
          <w:szCs w:val="22"/>
          <w:lang w:val="en-US"/>
        </w:rPr>
        <w:t>compared to the</w:t>
      </w:r>
      <w:r w:rsidR="009128D4" w:rsidRPr="009A2CA4">
        <w:rPr>
          <w:sz w:val="22"/>
          <w:szCs w:val="22"/>
          <w:lang w:val="en-US"/>
        </w:rPr>
        <w:t xml:space="preserve"> control</w:t>
      </w:r>
      <w:r w:rsidR="009128D4">
        <w:rPr>
          <w:sz w:val="22"/>
          <w:szCs w:val="22"/>
          <w:lang w:val="en-US"/>
        </w:rPr>
        <w:t xml:space="preserve"> cohort</w:t>
      </w:r>
      <w:r w:rsidR="009128D4" w:rsidRPr="009A2CA4">
        <w:rPr>
          <w:sz w:val="22"/>
          <w:szCs w:val="22"/>
          <w:lang w:val="en-US"/>
        </w:rPr>
        <w:t xml:space="preserve"> (KORA). Data are reported as median and IQR or in percentage. </w:t>
      </w:r>
    </w:p>
    <w:p w14:paraId="5E39911A" w14:textId="77777777" w:rsidR="009128D4" w:rsidRPr="009A2CA4" w:rsidRDefault="009128D4" w:rsidP="00BF0F96">
      <w:pPr>
        <w:spacing w:line="360" w:lineRule="auto"/>
        <w:rPr>
          <w:sz w:val="22"/>
          <w:szCs w:val="22"/>
          <w:lang w:val="en-US"/>
        </w:rPr>
      </w:pPr>
      <w:r w:rsidRPr="009A2CA4">
        <w:rPr>
          <w:sz w:val="22"/>
          <w:szCs w:val="22"/>
          <w:lang w:val="en-US"/>
        </w:rPr>
        <w:t>Abbreviations: IQR: interquartile range, BP: blood pressure, mmHg: millimeters of mercury, bpm: beats per minute, GFR: glomerular filtration rate.</w:t>
      </w:r>
    </w:p>
    <w:p w14:paraId="44C7139D" w14:textId="77777777" w:rsidR="00824134" w:rsidRDefault="00824134" w:rsidP="009128D4">
      <w:pPr>
        <w:rPr>
          <w:lang w:val="en-US"/>
        </w:rPr>
      </w:pPr>
    </w:p>
    <w:p w14:paraId="01F7A533" w14:textId="02E6C45D" w:rsidR="00824134" w:rsidRDefault="00824134" w:rsidP="009128D4">
      <w:pPr>
        <w:rPr>
          <w:lang w:val="en-US"/>
        </w:rPr>
      </w:pPr>
    </w:p>
    <w:p w14:paraId="67FCBC06" w14:textId="1E32C60D" w:rsidR="00824134" w:rsidRPr="00302B9E" w:rsidRDefault="00156D50" w:rsidP="00824134">
      <w:pPr>
        <w:spacing w:line="480" w:lineRule="auto"/>
        <w:jc w:val="both"/>
        <w:rPr>
          <w:highlight w:val="yellow"/>
          <w:lang w:val="en-US"/>
        </w:rPr>
      </w:pPr>
      <w:r w:rsidRPr="00302B9E">
        <w:rPr>
          <w:noProof/>
          <w:highlight w:val="yellow"/>
          <w:lang w:val="en-US"/>
        </w:rPr>
        <w:lastRenderedPageBreak/>
        <w:drawing>
          <wp:inline distT="0" distB="0" distL="0" distR="0" wp14:anchorId="1CE4A3C9" wp14:editId="3C81DFD7">
            <wp:extent cx="3164951" cy="6384471"/>
            <wp:effectExtent l="0" t="0" r="0" b="3810"/>
            <wp:docPr id="43064128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41289" name="Grafik 4306412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0971" cy="63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5153" w14:textId="1AFC9C16" w:rsidR="00824134" w:rsidRPr="00302B9E" w:rsidRDefault="000A6670" w:rsidP="00824134">
      <w:pPr>
        <w:spacing w:line="480" w:lineRule="auto"/>
        <w:jc w:val="both"/>
        <w:rPr>
          <w:rFonts w:cstheme="minorHAnsi"/>
          <w:bCs/>
          <w:sz w:val="20"/>
          <w:szCs w:val="20"/>
          <w:highlight w:val="yellow"/>
          <w:lang w:val="en-US"/>
        </w:rPr>
      </w:pPr>
      <w:r w:rsidRPr="00302B9E">
        <w:rPr>
          <w:highlight w:val="yellow"/>
          <w:lang w:val="en-US"/>
        </w:rPr>
        <w:t xml:space="preserve"> </w:t>
      </w:r>
      <w:r w:rsidR="00824134" w:rsidRPr="00302B9E">
        <w:rPr>
          <w:b/>
          <w:bCs/>
          <w:sz w:val="22"/>
          <w:szCs w:val="22"/>
          <w:highlight w:val="yellow"/>
          <w:u w:val="single"/>
          <w:lang w:val="en-US"/>
        </w:rPr>
        <w:t xml:space="preserve">Supplemental </w:t>
      </w:r>
      <w:r w:rsidR="00824134" w:rsidRPr="00302B9E">
        <w:rPr>
          <w:rFonts w:cstheme="minorHAnsi"/>
          <w:b/>
          <w:sz w:val="22"/>
          <w:szCs w:val="22"/>
          <w:highlight w:val="yellow"/>
          <w:u w:val="single"/>
          <w:lang w:val="en-US"/>
        </w:rPr>
        <w:t>Figure 1:</w:t>
      </w:r>
      <w:r w:rsidR="00824134" w:rsidRPr="00302B9E">
        <w:rPr>
          <w:rFonts w:cstheme="minorHAnsi"/>
          <w:bCs/>
          <w:sz w:val="20"/>
          <w:szCs w:val="20"/>
          <w:highlight w:val="yellow"/>
          <w:lang w:val="en-US"/>
        </w:rPr>
        <w:t xml:space="preserve">  </w:t>
      </w:r>
    </w:p>
    <w:p w14:paraId="73018EAE" w14:textId="73677BF6" w:rsidR="00824134" w:rsidRDefault="00824134" w:rsidP="00824134">
      <w:pPr>
        <w:spacing w:line="480" w:lineRule="auto"/>
        <w:jc w:val="both"/>
        <w:rPr>
          <w:rFonts w:cstheme="minorHAnsi"/>
          <w:bCs/>
          <w:sz w:val="22"/>
          <w:szCs w:val="22"/>
          <w:lang w:val="en-US"/>
        </w:rPr>
      </w:pPr>
      <w:r w:rsidRPr="00302B9E">
        <w:rPr>
          <w:rFonts w:cstheme="minorHAnsi"/>
          <w:bCs/>
          <w:sz w:val="22"/>
          <w:szCs w:val="22"/>
          <w:highlight w:val="yellow"/>
          <w:lang w:val="en-US"/>
        </w:rPr>
        <w:t>BMI</w:t>
      </w:r>
      <w:r w:rsidR="00156D50"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 (A)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, systolic (B) and diastolic (C) blood pressure in a subgroup of patient with </w:t>
      </w:r>
      <w:r w:rsidR="00632BD7" w:rsidRPr="00302B9E">
        <w:rPr>
          <w:rFonts w:cstheme="minorHAnsi"/>
          <w:bCs/>
          <w:sz w:val="22"/>
          <w:szCs w:val="22"/>
          <w:highlight w:val="yellow"/>
          <w:lang w:val="en-US"/>
        </w:rPr>
        <w:t>adrenal insufficiency under standard replacement therapy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 </w:t>
      </w:r>
      <w:r w:rsidR="00632BD7" w:rsidRPr="00302B9E">
        <w:rPr>
          <w:rFonts w:cstheme="minorHAnsi"/>
          <w:bCs/>
          <w:sz w:val="22"/>
          <w:szCs w:val="22"/>
          <w:highlight w:val="yellow"/>
          <w:lang w:val="en-US"/>
        </w:rPr>
        <w:t>compared to patients with normal adrenal function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 at baseline, 7 years</w:t>
      </w:r>
      <w:r w:rsidR="00156D50"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 (n=36 vs. n= 45, respectively)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 and after 14 years after biochemical remission of CS</w:t>
      </w:r>
      <w:r w:rsidR="00156D50"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 </w:t>
      </w:r>
      <w:r w:rsidR="00302B9E" w:rsidRPr="00302B9E">
        <w:rPr>
          <w:rFonts w:cstheme="minorHAnsi"/>
          <w:bCs/>
          <w:sz w:val="22"/>
          <w:szCs w:val="22"/>
          <w:highlight w:val="yellow"/>
          <w:lang w:val="en-US"/>
        </w:rPr>
        <w:t>(n=20 vs. n= 22, respectively)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>.</w:t>
      </w:r>
      <w:r w:rsidRPr="00302B9E">
        <w:rPr>
          <w:sz w:val="22"/>
          <w:szCs w:val="22"/>
          <w:highlight w:val="yellow"/>
          <w:lang w:val="en-US"/>
        </w:rPr>
        <w:t xml:space="preserve"> Box plots are 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>displaying the 90/10 percentile at the whiskers, the 75/25 percentiles at the boxes, and the median in the center line.</w:t>
      </w:r>
    </w:p>
    <w:p w14:paraId="66C3F871" w14:textId="071EFE91" w:rsidR="004419BE" w:rsidRDefault="004419BE">
      <w:pPr>
        <w:rPr>
          <w:rFonts w:cstheme="minorHAnsi"/>
          <w:bCs/>
          <w:sz w:val="22"/>
          <w:szCs w:val="22"/>
          <w:highlight w:val="yellow"/>
          <w:lang w:val="en-US"/>
        </w:rPr>
      </w:pPr>
      <w:r>
        <w:rPr>
          <w:rFonts w:cstheme="minorHAnsi"/>
          <w:bCs/>
          <w:sz w:val="22"/>
          <w:szCs w:val="22"/>
          <w:highlight w:val="yellow"/>
          <w:lang w:val="en-US"/>
        </w:rPr>
        <w:br w:type="page"/>
      </w:r>
    </w:p>
    <w:p w14:paraId="5376CBBA" w14:textId="77777777" w:rsidR="0060250A" w:rsidRDefault="0060250A" w:rsidP="004419BE">
      <w:pPr>
        <w:spacing w:line="480" w:lineRule="auto"/>
        <w:jc w:val="both"/>
        <w:rPr>
          <w:b/>
          <w:bCs/>
          <w:sz w:val="22"/>
          <w:szCs w:val="22"/>
          <w:highlight w:val="yellow"/>
          <w:u w:val="single"/>
          <w:lang w:val="en-US"/>
        </w:rPr>
      </w:pPr>
    </w:p>
    <w:p w14:paraId="39593996" w14:textId="5F9742DF" w:rsidR="0060250A" w:rsidRDefault="00876080" w:rsidP="004419BE">
      <w:pPr>
        <w:spacing w:line="480" w:lineRule="auto"/>
        <w:jc w:val="both"/>
        <w:rPr>
          <w:b/>
          <w:bCs/>
          <w:sz w:val="22"/>
          <w:szCs w:val="22"/>
          <w:highlight w:val="yellow"/>
          <w:u w:val="single"/>
          <w:lang w:val="en-US"/>
        </w:rPr>
      </w:pPr>
      <w:r>
        <w:rPr>
          <w:b/>
          <w:bCs/>
          <w:noProof/>
          <w:sz w:val="22"/>
          <w:szCs w:val="22"/>
          <w:u w:val="single"/>
          <w:lang w:val="en-US"/>
        </w:rPr>
        <w:drawing>
          <wp:inline distT="0" distB="0" distL="0" distR="0" wp14:anchorId="48ED5E2C" wp14:editId="7249F017">
            <wp:extent cx="2593752" cy="6604908"/>
            <wp:effectExtent l="0" t="0" r="0" b="0"/>
            <wp:docPr id="11318131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13171" name="Grafik 1131813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1028" cy="662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4098" w14:textId="0F72920A" w:rsidR="004419BE" w:rsidRPr="00302B9E" w:rsidRDefault="004419BE" w:rsidP="004419BE">
      <w:pPr>
        <w:spacing w:line="480" w:lineRule="auto"/>
        <w:jc w:val="both"/>
        <w:rPr>
          <w:rFonts w:cstheme="minorHAnsi"/>
          <w:bCs/>
          <w:sz w:val="20"/>
          <w:szCs w:val="20"/>
          <w:highlight w:val="yellow"/>
          <w:lang w:val="en-US"/>
        </w:rPr>
      </w:pPr>
      <w:r w:rsidRPr="00302B9E">
        <w:rPr>
          <w:b/>
          <w:bCs/>
          <w:sz w:val="22"/>
          <w:szCs w:val="22"/>
          <w:highlight w:val="yellow"/>
          <w:u w:val="single"/>
          <w:lang w:val="en-US"/>
        </w:rPr>
        <w:t xml:space="preserve">Supplemental </w:t>
      </w:r>
      <w:r w:rsidRPr="00302B9E">
        <w:rPr>
          <w:rFonts w:cstheme="minorHAnsi"/>
          <w:b/>
          <w:sz w:val="22"/>
          <w:szCs w:val="22"/>
          <w:highlight w:val="yellow"/>
          <w:u w:val="single"/>
          <w:lang w:val="en-US"/>
        </w:rPr>
        <w:t xml:space="preserve">Figure </w:t>
      </w:r>
      <w:r>
        <w:rPr>
          <w:rFonts w:cstheme="minorHAnsi"/>
          <w:b/>
          <w:sz w:val="22"/>
          <w:szCs w:val="22"/>
          <w:highlight w:val="yellow"/>
          <w:u w:val="single"/>
          <w:lang w:val="en-US"/>
        </w:rPr>
        <w:t>2</w:t>
      </w:r>
      <w:r w:rsidRPr="00302B9E">
        <w:rPr>
          <w:rFonts w:cstheme="minorHAnsi"/>
          <w:b/>
          <w:sz w:val="22"/>
          <w:szCs w:val="22"/>
          <w:highlight w:val="yellow"/>
          <w:u w:val="single"/>
          <w:lang w:val="en-US"/>
        </w:rPr>
        <w:t>:</w:t>
      </w:r>
      <w:r w:rsidRPr="00302B9E">
        <w:rPr>
          <w:rFonts w:cstheme="minorHAnsi"/>
          <w:bCs/>
          <w:sz w:val="20"/>
          <w:szCs w:val="20"/>
          <w:highlight w:val="yellow"/>
          <w:lang w:val="en-US"/>
        </w:rPr>
        <w:t xml:space="preserve">  </w:t>
      </w:r>
    </w:p>
    <w:p w14:paraId="3F71D059" w14:textId="405879BB" w:rsidR="004419BE" w:rsidRPr="00824134" w:rsidRDefault="004419BE" w:rsidP="004419BE">
      <w:pPr>
        <w:spacing w:line="480" w:lineRule="auto"/>
        <w:jc w:val="both"/>
        <w:rPr>
          <w:rFonts w:cstheme="minorHAnsi"/>
          <w:bCs/>
          <w:sz w:val="22"/>
          <w:szCs w:val="22"/>
          <w:lang w:val="en-US"/>
        </w:rPr>
      </w:pPr>
      <w:r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BMI (A), systolic (B) and diastolic (C) blood pressure </w:t>
      </w:r>
      <w:r>
        <w:rPr>
          <w:rFonts w:cstheme="minorHAnsi"/>
          <w:bCs/>
          <w:sz w:val="22"/>
          <w:szCs w:val="22"/>
          <w:highlight w:val="yellow"/>
          <w:lang w:val="en-US"/>
        </w:rPr>
        <w:t xml:space="preserve">and GFR (D) 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 xml:space="preserve">in subgroup of patient with </w:t>
      </w:r>
      <w:r>
        <w:rPr>
          <w:rFonts w:cstheme="minorHAnsi"/>
          <w:bCs/>
          <w:sz w:val="22"/>
          <w:szCs w:val="22"/>
          <w:highlight w:val="yellow"/>
          <w:lang w:val="en-US"/>
        </w:rPr>
        <w:t xml:space="preserve">Cushing’s disease, adrenal Cushing’s syndrome and ectopic Cushing’s syndrome 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>at baseline, 7 years  and after 14 years after biochemical remission of CS.</w:t>
      </w:r>
      <w:r w:rsidRPr="00302B9E">
        <w:rPr>
          <w:sz w:val="22"/>
          <w:szCs w:val="22"/>
          <w:highlight w:val="yellow"/>
          <w:lang w:val="en-US"/>
        </w:rPr>
        <w:t xml:space="preserve"> Box plots are </w:t>
      </w:r>
      <w:r w:rsidRPr="00302B9E">
        <w:rPr>
          <w:rFonts w:cstheme="minorHAnsi"/>
          <w:bCs/>
          <w:sz w:val="22"/>
          <w:szCs w:val="22"/>
          <w:highlight w:val="yellow"/>
          <w:lang w:val="en-US"/>
        </w:rPr>
        <w:t>displaying the 90/10 percentile at the whiskers, the 75/25 percentiles at the boxes, and the median in the center line.</w:t>
      </w:r>
    </w:p>
    <w:p w14:paraId="1440FC24" w14:textId="1DCB9C87" w:rsidR="000A6670" w:rsidRDefault="000A6670" w:rsidP="009128D4">
      <w:pPr>
        <w:rPr>
          <w:lang w:val="en-US"/>
        </w:rPr>
      </w:pPr>
    </w:p>
    <w:sectPr w:rsidR="000A6670" w:rsidSect="003C0BBE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12A4" w14:textId="77777777" w:rsidR="003809DC" w:rsidRDefault="003809DC" w:rsidP="00A96CF7">
      <w:r>
        <w:separator/>
      </w:r>
    </w:p>
  </w:endnote>
  <w:endnote w:type="continuationSeparator" w:id="0">
    <w:p w14:paraId="12055A76" w14:textId="77777777" w:rsidR="003809DC" w:rsidRDefault="003809DC" w:rsidP="00A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59202061"/>
      <w:docPartObj>
        <w:docPartGallery w:val="Page Numbers (Bottom of Page)"/>
        <w:docPartUnique/>
      </w:docPartObj>
    </w:sdtPr>
    <w:sdtContent>
      <w:p w14:paraId="65AAED05" w14:textId="4F327813" w:rsidR="00A96CF7" w:rsidRDefault="00A96CF7" w:rsidP="00A96CF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3BA85C7" w14:textId="77777777" w:rsidR="00A96CF7" w:rsidRDefault="00A96CF7" w:rsidP="00A96CF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96943324"/>
      <w:docPartObj>
        <w:docPartGallery w:val="Page Numbers (Bottom of Page)"/>
        <w:docPartUnique/>
      </w:docPartObj>
    </w:sdtPr>
    <w:sdtContent>
      <w:p w14:paraId="0E511B25" w14:textId="71591C90" w:rsidR="00A96CF7" w:rsidRDefault="00A96CF7" w:rsidP="008E5088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14:paraId="7B37FB84" w14:textId="77777777" w:rsidR="00A96CF7" w:rsidRDefault="00A96CF7" w:rsidP="00A96CF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C358" w14:textId="77777777" w:rsidR="003809DC" w:rsidRDefault="003809DC" w:rsidP="00A96CF7">
      <w:r>
        <w:separator/>
      </w:r>
    </w:p>
  </w:footnote>
  <w:footnote w:type="continuationSeparator" w:id="0">
    <w:p w14:paraId="3F6E0337" w14:textId="77777777" w:rsidR="003809DC" w:rsidRDefault="003809DC" w:rsidP="00A9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3A"/>
    <w:rsid w:val="000006FF"/>
    <w:rsid w:val="000021AD"/>
    <w:rsid w:val="000108C5"/>
    <w:rsid w:val="00010AEE"/>
    <w:rsid w:val="00021434"/>
    <w:rsid w:val="00021F0B"/>
    <w:rsid w:val="000273C8"/>
    <w:rsid w:val="00027415"/>
    <w:rsid w:val="0002759C"/>
    <w:rsid w:val="000277ED"/>
    <w:rsid w:val="00030FC9"/>
    <w:rsid w:val="000331F4"/>
    <w:rsid w:val="000359BE"/>
    <w:rsid w:val="000371B9"/>
    <w:rsid w:val="000375FC"/>
    <w:rsid w:val="00042A8B"/>
    <w:rsid w:val="00044236"/>
    <w:rsid w:val="00044335"/>
    <w:rsid w:val="0004592B"/>
    <w:rsid w:val="00051785"/>
    <w:rsid w:val="00051AC0"/>
    <w:rsid w:val="00051FBA"/>
    <w:rsid w:val="000521D1"/>
    <w:rsid w:val="00052241"/>
    <w:rsid w:val="00055106"/>
    <w:rsid w:val="00060BF8"/>
    <w:rsid w:val="00061257"/>
    <w:rsid w:val="000662A3"/>
    <w:rsid w:val="00066DA0"/>
    <w:rsid w:val="000702B4"/>
    <w:rsid w:val="00073734"/>
    <w:rsid w:val="000777D5"/>
    <w:rsid w:val="000814DE"/>
    <w:rsid w:val="0008264A"/>
    <w:rsid w:val="00083496"/>
    <w:rsid w:val="0008742F"/>
    <w:rsid w:val="0009063B"/>
    <w:rsid w:val="00090E4B"/>
    <w:rsid w:val="00092AB1"/>
    <w:rsid w:val="00092F95"/>
    <w:rsid w:val="00094264"/>
    <w:rsid w:val="00094D80"/>
    <w:rsid w:val="00095188"/>
    <w:rsid w:val="000A09D0"/>
    <w:rsid w:val="000A3907"/>
    <w:rsid w:val="000A3D02"/>
    <w:rsid w:val="000A4061"/>
    <w:rsid w:val="000A5C58"/>
    <w:rsid w:val="000A62AA"/>
    <w:rsid w:val="000A6670"/>
    <w:rsid w:val="000B1075"/>
    <w:rsid w:val="000B14BB"/>
    <w:rsid w:val="000B2251"/>
    <w:rsid w:val="000B2D9D"/>
    <w:rsid w:val="000B5DD5"/>
    <w:rsid w:val="000C5A69"/>
    <w:rsid w:val="000C5BDE"/>
    <w:rsid w:val="000D06DC"/>
    <w:rsid w:val="000D4DCC"/>
    <w:rsid w:val="000D66CB"/>
    <w:rsid w:val="000E1F7B"/>
    <w:rsid w:val="000F2F79"/>
    <w:rsid w:val="000F2FBF"/>
    <w:rsid w:val="000F4605"/>
    <w:rsid w:val="000F6890"/>
    <w:rsid w:val="000F6ADA"/>
    <w:rsid w:val="000F7A5D"/>
    <w:rsid w:val="0010081D"/>
    <w:rsid w:val="00100CD9"/>
    <w:rsid w:val="001013FD"/>
    <w:rsid w:val="00101590"/>
    <w:rsid w:val="001019FB"/>
    <w:rsid w:val="00104F7A"/>
    <w:rsid w:val="00105F54"/>
    <w:rsid w:val="00110920"/>
    <w:rsid w:val="00115422"/>
    <w:rsid w:val="00115D9C"/>
    <w:rsid w:val="0012484B"/>
    <w:rsid w:val="001263EE"/>
    <w:rsid w:val="0012780B"/>
    <w:rsid w:val="00140179"/>
    <w:rsid w:val="0014151D"/>
    <w:rsid w:val="00150E5A"/>
    <w:rsid w:val="00151966"/>
    <w:rsid w:val="00151E25"/>
    <w:rsid w:val="0015245B"/>
    <w:rsid w:val="00155901"/>
    <w:rsid w:val="00155B67"/>
    <w:rsid w:val="00156D50"/>
    <w:rsid w:val="00163B70"/>
    <w:rsid w:val="001659EE"/>
    <w:rsid w:val="00165C61"/>
    <w:rsid w:val="001666AA"/>
    <w:rsid w:val="0017387C"/>
    <w:rsid w:val="0017622F"/>
    <w:rsid w:val="00181281"/>
    <w:rsid w:val="00182000"/>
    <w:rsid w:val="00183ACB"/>
    <w:rsid w:val="00184175"/>
    <w:rsid w:val="001844D5"/>
    <w:rsid w:val="001959B8"/>
    <w:rsid w:val="001A14D7"/>
    <w:rsid w:val="001A1CCD"/>
    <w:rsid w:val="001A4881"/>
    <w:rsid w:val="001A5CEC"/>
    <w:rsid w:val="001C19CF"/>
    <w:rsid w:val="001C55F1"/>
    <w:rsid w:val="001C7DF1"/>
    <w:rsid w:val="001D1336"/>
    <w:rsid w:val="001D1CE9"/>
    <w:rsid w:val="001D23D7"/>
    <w:rsid w:val="001D4FFE"/>
    <w:rsid w:val="001D5C2A"/>
    <w:rsid w:val="001E13B5"/>
    <w:rsid w:val="001E260D"/>
    <w:rsid w:val="001E6264"/>
    <w:rsid w:val="001F0579"/>
    <w:rsid w:val="001F2243"/>
    <w:rsid w:val="00201B10"/>
    <w:rsid w:val="00203280"/>
    <w:rsid w:val="00203A92"/>
    <w:rsid w:val="00203AFF"/>
    <w:rsid w:val="00206421"/>
    <w:rsid w:val="002074E2"/>
    <w:rsid w:val="00212389"/>
    <w:rsid w:val="00213531"/>
    <w:rsid w:val="00221356"/>
    <w:rsid w:val="00221358"/>
    <w:rsid w:val="002228B4"/>
    <w:rsid w:val="00223FAE"/>
    <w:rsid w:val="00225C75"/>
    <w:rsid w:val="00231E71"/>
    <w:rsid w:val="00244EF9"/>
    <w:rsid w:val="00257155"/>
    <w:rsid w:val="00270484"/>
    <w:rsid w:val="0027599A"/>
    <w:rsid w:val="00275F9E"/>
    <w:rsid w:val="00282B92"/>
    <w:rsid w:val="00285604"/>
    <w:rsid w:val="002862BD"/>
    <w:rsid w:val="002A54A6"/>
    <w:rsid w:val="002A7151"/>
    <w:rsid w:val="002B1A64"/>
    <w:rsid w:val="002B2298"/>
    <w:rsid w:val="002B3746"/>
    <w:rsid w:val="002B4CFF"/>
    <w:rsid w:val="002B6EA2"/>
    <w:rsid w:val="002C04B2"/>
    <w:rsid w:val="002C167D"/>
    <w:rsid w:val="002C5E4D"/>
    <w:rsid w:val="002C7370"/>
    <w:rsid w:val="002D2796"/>
    <w:rsid w:val="002D345A"/>
    <w:rsid w:val="002E4425"/>
    <w:rsid w:val="002E48EC"/>
    <w:rsid w:val="002F003A"/>
    <w:rsid w:val="002F009E"/>
    <w:rsid w:val="002F2FAC"/>
    <w:rsid w:val="002F6379"/>
    <w:rsid w:val="00302A99"/>
    <w:rsid w:val="00302B9E"/>
    <w:rsid w:val="0030307C"/>
    <w:rsid w:val="0030374B"/>
    <w:rsid w:val="00304031"/>
    <w:rsid w:val="00304454"/>
    <w:rsid w:val="00304FE6"/>
    <w:rsid w:val="00310546"/>
    <w:rsid w:val="0031313E"/>
    <w:rsid w:val="00315EF0"/>
    <w:rsid w:val="00320BAF"/>
    <w:rsid w:val="00320C1F"/>
    <w:rsid w:val="00323208"/>
    <w:rsid w:val="0032494B"/>
    <w:rsid w:val="00324E34"/>
    <w:rsid w:val="00325FEA"/>
    <w:rsid w:val="003263D3"/>
    <w:rsid w:val="00332749"/>
    <w:rsid w:val="0033405A"/>
    <w:rsid w:val="00340711"/>
    <w:rsid w:val="00340B25"/>
    <w:rsid w:val="00344C76"/>
    <w:rsid w:val="00344FCF"/>
    <w:rsid w:val="003509DB"/>
    <w:rsid w:val="00351EAA"/>
    <w:rsid w:val="00354AEA"/>
    <w:rsid w:val="003563BE"/>
    <w:rsid w:val="00360B73"/>
    <w:rsid w:val="00365006"/>
    <w:rsid w:val="003673EF"/>
    <w:rsid w:val="003708A7"/>
    <w:rsid w:val="00373C12"/>
    <w:rsid w:val="00374DC2"/>
    <w:rsid w:val="003806FC"/>
    <w:rsid w:val="003809DC"/>
    <w:rsid w:val="00380D1C"/>
    <w:rsid w:val="00381FAE"/>
    <w:rsid w:val="00385188"/>
    <w:rsid w:val="003940C8"/>
    <w:rsid w:val="003A021B"/>
    <w:rsid w:val="003A28F4"/>
    <w:rsid w:val="003A29C9"/>
    <w:rsid w:val="003A457B"/>
    <w:rsid w:val="003B1732"/>
    <w:rsid w:val="003B7E41"/>
    <w:rsid w:val="003B7EA0"/>
    <w:rsid w:val="003C084C"/>
    <w:rsid w:val="003C0855"/>
    <w:rsid w:val="003C0BBE"/>
    <w:rsid w:val="003C1B6F"/>
    <w:rsid w:val="003C2CB2"/>
    <w:rsid w:val="003C35D4"/>
    <w:rsid w:val="003C4785"/>
    <w:rsid w:val="003C4CD2"/>
    <w:rsid w:val="003D1822"/>
    <w:rsid w:val="003D2B46"/>
    <w:rsid w:val="003D7706"/>
    <w:rsid w:val="003E1D76"/>
    <w:rsid w:val="003E2FCB"/>
    <w:rsid w:val="003E5EE8"/>
    <w:rsid w:val="003E602B"/>
    <w:rsid w:val="003F1932"/>
    <w:rsid w:val="003F1C7D"/>
    <w:rsid w:val="003F205E"/>
    <w:rsid w:val="003F55B3"/>
    <w:rsid w:val="003F6654"/>
    <w:rsid w:val="00405BB4"/>
    <w:rsid w:val="00405BE6"/>
    <w:rsid w:val="00407D82"/>
    <w:rsid w:val="004229BA"/>
    <w:rsid w:val="00424D20"/>
    <w:rsid w:val="004272B3"/>
    <w:rsid w:val="004326C2"/>
    <w:rsid w:val="00432DE7"/>
    <w:rsid w:val="00440E0D"/>
    <w:rsid w:val="00441417"/>
    <w:rsid w:val="004419BE"/>
    <w:rsid w:val="004424F3"/>
    <w:rsid w:val="0044306C"/>
    <w:rsid w:val="004466B1"/>
    <w:rsid w:val="004473DE"/>
    <w:rsid w:val="0045022D"/>
    <w:rsid w:val="00451006"/>
    <w:rsid w:val="0045141E"/>
    <w:rsid w:val="00454151"/>
    <w:rsid w:val="00455813"/>
    <w:rsid w:val="00456F56"/>
    <w:rsid w:val="00460DB1"/>
    <w:rsid w:val="004642DD"/>
    <w:rsid w:val="004649C7"/>
    <w:rsid w:val="00472C8D"/>
    <w:rsid w:val="00477723"/>
    <w:rsid w:val="004807F1"/>
    <w:rsid w:val="00483009"/>
    <w:rsid w:val="00494DEE"/>
    <w:rsid w:val="0049667F"/>
    <w:rsid w:val="00496BCA"/>
    <w:rsid w:val="00497716"/>
    <w:rsid w:val="004A0C58"/>
    <w:rsid w:val="004A19F3"/>
    <w:rsid w:val="004B22A0"/>
    <w:rsid w:val="004B272D"/>
    <w:rsid w:val="004B3DC3"/>
    <w:rsid w:val="004B3E6C"/>
    <w:rsid w:val="004B60A9"/>
    <w:rsid w:val="004B6B3D"/>
    <w:rsid w:val="004C14A1"/>
    <w:rsid w:val="004C17D7"/>
    <w:rsid w:val="004C7F61"/>
    <w:rsid w:val="004D1576"/>
    <w:rsid w:val="004D74CB"/>
    <w:rsid w:val="004E4ABA"/>
    <w:rsid w:val="004E5D26"/>
    <w:rsid w:val="004E725C"/>
    <w:rsid w:val="004E7422"/>
    <w:rsid w:val="004F02F1"/>
    <w:rsid w:val="004F1B3C"/>
    <w:rsid w:val="004F29A4"/>
    <w:rsid w:val="004F2ED6"/>
    <w:rsid w:val="004F3F29"/>
    <w:rsid w:val="004F5D10"/>
    <w:rsid w:val="004F7294"/>
    <w:rsid w:val="004F72A1"/>
    <w:rsid w:val="004F7CF7"/>
    <w:rsid w:val="005044C0"/>
    <w:rsid w:val="005064C8"/>
    <w:rsid w:val="005071A2"/>
    <w:rsid w:val="00507D3B"/>
    <w:rsid w:val="005113A7"/>
    <w:rsid w:val="0052032F"/>
    <w:rsid w:val="005231BF"/>
    <w:rsid w:val="00533417"/>
    <w:rsid w:val="00537404"/>
    <w:rsid w:val="00540DD1"/>
    <w:rsid w:val="00540ED4"/>
    <w:rsid w:val="005440F8"/>
    <w:rsid w:val="0054785A"/>
    <w:rsid w:val="005478A5"/>
    <w:rsid w:val="005504DE"/>
    <w:rsid w:val="005511E8"/>
    <w:rsid w:val="005520E6"/>
    <w:rsid w:val="00552FBE"/>
    <w:rsid w:val="00554168"/>
    <w:rsid w:val="0056099A"/>
    <w:rsid w:val="005649B2"/>
    <w:rsid w:val="00565BDE"/>
    <w:rsid w:val="00567F22"/>
    <w:rsid w:val="00576614"/>
    <w:rsid w:val="00580836"/>
    <w:rsid w:val="0058321C"/>
    <w:rsid w:val="00584072"/>
    <w:rsid w:val="005842EF"/>
    <w:rsid w:val="005852A5"/>
    <w:rsid w:val="005863A6"/>
    <w:rsid w:val="00586672"/>
    <w:rsid w:val="005943CE"/>
    <w:rsid w:val="00594788"/>
    <w:rsid w:val="00594EE5"/>
    <w:rsid w:val="00597326"/>
    <w:rsid w:val="005977D8"/>
    <w:rsid w:val="005A0F8C"/>
    <w:rsid w:val="005A1DFB"/>
    <w:rsid w:val="005A6EC1"/>
    <w:rsid w:val="005A7350"/>
    <w:rsid w:val="005B1D46"/>
    <w:rsid w:val="005B3C66"/>
    <w:rsid w:val="005B6031"/>
    <w:rsid w:val="005C0413"/>
    <w:rsid w:val="005C1802"/>
    <w:rsid w:val="005C2D73"/>
    <w:rsid w:val="005C3F70"/>
    <w:rsid w:val="005C55F8"/>
    <w:rsid w:val="005C6F03"/>
    <w:rsid w:val="005D07CD"/>
    <w:rsid w:val="005D6367"/>
    <w:rsid w:val="005D63AD"/>
    <w:rsid w:val="005D766D"/>
    <w:rsid w:val="005D7863"/>
    <w:rsid w:val="005E2C2D"/>
    <w:rsid w:val="005E328D"/>
    <w:rsid w:val="005E3D7F"/>
    <w:rsid w:val="005E526E"/>
    <w:rsid w:val="005E6034"/>
    <w:rsid w:val="005E6FEC"/>
    <w:rsid w:val="005E78D3"/>
    <w:rsid w:val="005F2541"/>
    <w:rsid w:val="005F2F68"/>
    <w:rsid w:val="005F5ACE"/>
    <w:rsid w:val="005F7920"/>
    <w:rsid w:val="006000A4"/>
    <w:rsid w:val="0060250A"/>
    <w:rsid w:val="00603497"/>
    <w:rsid w:val="00606F1F"/>
    <w:rsid w:val="00607CF4"/>
    <w:rsid w:val="006207F1"/>
    <w:rsid w:val="0062141B"/>
    <w:rsid w:val="006246D7"/>
    <w:rsid w:val="00632BD7"/>
    <w:rsid w:val="00633C1A"/>
    <w:rsid w:val="00636727"/>
    <w:rsid w:val="006406F2"/>
    <w:rsid w:val="00642D02"/>
    <w:rsid w:val="00643876"/>
    <w:rsid w:val="00644FA7"/>
    <w:rsid w:val="00645846"/>
    <w:rsid w:val="0065033E"/>
    <w:rsid w:val="006610C6"/>
    <w:rsid w:val="006610EC"/>
    <w:rsid w:val="00661FD3"/>
    <w:rsid w:val="00662360"/>
    <w:rsid w:val="00666959"/>
    <w:rsid w:val="006755FF"/>
    <w:rsid w:val="00686812"/>
    <w:rsid w:val="00690E22"/>
    <w:rsid w:val="00691B07"/>
    <w:rsid w:val="00694D83"/>
    <w:rsid w:val="00695549"/>
    <w:rsid w:val="00697EE6"/>
    <w:rsid w:val="006A2979"/>
    <w:rsid w:val="006A4A8E"/>
    <w:rsid w:val="006B0788"/>
    <w:rsid w:val="006C1B16"/>
    <w:rsid w:val="006D3BF6"/>
    <w:rsid w:val="006D3F27"/>
    <w:rsid w:val="006D6150"/>
    <w:rsid w:val="006D6EB6"/>
    <w:rsid w:val="006E63DE"/>
    <w:rsid w:val="006E7102"/>
    <w:rsid w:val="006F54F9"/>
    <w:rsid w:val="006F6C04"/>
    <w:rsid w:val="00700412"/>
    <w:rsid w:val="0070761B"/>
    <w:rsid w:val="007103FB"/>
    <w:rsid w:val="00711B31"/>
    <w:rsid w:val="0072059F"/>
    <w:rsid w:val="007228DF"/>
    <w:rsid w:val="00723B39"/>
    <w:rsid w:val="0073111E"/>
    <w:rsid w:val="00731317"/>
    <w:rsid w:val="007354EA"/>
    <w:rsid w:val="00742941"/>
    <w:rsid w:val="00743B9B"/>
    <w:rsid w:val="00746461"/>
    <w:rsid w:val="007525B9"/>
    <w:rsid w:val="00755D4C"/>
    <w:rsid w:val="00762FC0"/>
    <w:rsid w:val="0077049A"/>
    <w:rsid w:val="0077106E"/>
    <w:rsid w:val="007727C4"/>
    <w:rsid w:val="00785F40"/>
    <w:rsid w:val="00787E38"/>
    <w:rsid w:val="00791B3E"/>
    <w:rsid w:val="00793189"/>
    <w:rsid w:val="00795D4F"/>
    <w:rsid w:val="0079663C"/>
    <w:rsid w:val="007A2A0F"/>
    <w:rsid w:val="007A47C9"/>
    <w:rsid w:val="007A60B8"/>
    <w:rsid w:val="007B231C"/>
    <w:rsid w:val="007B2C2A"/>
    <w:rsid w:val="007B3623"/>
    <w:rsid w:val="007B5309"/>
    <w:rsid w:val="007B7AC7"/>
    <w:rsid w:val="007C286C"/>
    <w:rsid w:val="007C2D89"/>
    <w:rsid w:val="007C3C81"/>
    <w:rsid w:val="007D35A1"/>
    <w:rsid w:val="007D5B4D"/>
    <w:rsid w:val="007D7133"/>
    <w:rsid w:val="007E0048"/>
    <w:rsid w:val="007E12BC"/>
    <w:rsid w:val="007E2E44"/>
    <w:rsid w:val="007F0736"/>
    <w:rsid w:val="007F0CB5"/>
    <w:rsid w:val="007F6197"/>
    <w:rsid w:val="007F6A2F"/>
    <w:rsid w:val="008016DF"/>
    <w:rsid w:val="0081071E"/>
    <w:rsid w:val="0081447D"/>
    <w:rsid w:val="00814AFB"/>
    <w:rsid w:val="008201EA"/>
    <w:rsid w:val="0082063D"/>
    <w:rsid w:val="00824134"/>
    <w:rsid w:val="00824CD2"/>
    <w:rsid w:val="0082665D"/>
    <w:rsid w:val="00833A77"/>
    <w:rsid w:val="00836130"/>
    <w:rsid w:val="0083694F"/>
    <w:rsid w:val="00843C6A"/>
    <w:rsid w:val="008448EB"/>
    <w:rsid w:val="008468D4"/>
    <w:rsid w:val="00856759"/>
    <w:rsid w:val="0086218C"/>
    <w:rsid w:val="0086457A"/>
    <w:rsid w:val="00864A5A"/>
    <w:rsid w:val="00867D94"/>
    <w:rsid w:val="00867FFD"/>
    <w:rsid w:val="008705C5"/>
    <w:rsid w:val="00872F34"/>
    <w:rsid w:val="0087407E"/>
    <w:rsid w:val="00874339"/>
    <w:rsid w:val="00874B3C"/>
    <w:rsid w:val="00876080"/>
    <w:rsid w:val="00876A76"/>
    <w:rsid w:val="00880413"/>
    <w:rsid w:val="008807A7"/>
    <w:rsid w:val="008807FA"/>
    <w:rsid w:val="008816D3"/>
    <w:rsid w:val="00882A9E"/>
    <w:rsid w:val="00890A9A"/>
    <w:rsid w:val="0089132E"/>
    <w:rsid w:val="00891DC3"/>
    <w:rsid w:val="00892BE3"/>
    <w:rsid w:val="008931BE"/>
    <w:rsid w:val="008967DC"/>
    <w:rsid w:val="008A0AE3"/>
    <w:rsid w:val="008A239C"/>
    <w:rsid w:val="008A4644"/>
    <w:rsid w:val="008A696B"/>
    <w:rsid w:val="008B26E2"/>
    <w:rsid w:val="008D4BBD"/>
    <w:rsid w:val="008D680D"/>
    <w:rsid w:val="008D743A"/>
    <w:rsid w:val="008E1CD1"/>
    <w:rsid w:val="008E269A"/>
    <w:rsid w:val="008E339F"/>
    <w:rsid w:val="008E527D"/>
    <w:rsid w:val="008F0AE2"/>
    <w:rsid w:val="008F2163"/>
    <w:rsid w:val="008F44CD"/>
    <w:rsid w:val="008F6162"/>
    <w:rsid w:val="008F63AF"/>
    <w:rsid w:val="008F74CC"/>
    <w:rsid w:val="009006C5"/>
    <w:rsid w:val="00902BD7"/>
    <w:rsid w:val="00903567"/>
    <w:rsid w:val="00904CC2"/>
    <w:rsid w:val="00905622"/>
    <w:rsid w:val="00905F10"/>
    <w:rsid w:val="0090633F"/>
    <w:rsid w:val="009128D4"/>
    <w:rsid w:val="0091381D"/>
    <w:rsid w:val="00915E4A"/>
    <w:rsid w:val="009160A1"/>
    <w:rsid w:val="0091696D"/>
    <w:rsid w:val="009253D6"/>
    <w:rsid w:val="009273A1"/>
    <w:rsid w:val="0093298A"/>
    <w:rsid w:val="00933983"/>
    <w:rsid w:val="00947BC3"/>
    <w:rsid w:val="009541EE"/>
    <w:rsid w:val="00961D1E"/>
    <w:rsid w:val="0096309C"/>
    <w:rsid w:val="0096328D"/>
    <w:rsid w:val="00963E77"/>
    <w:rsid w:val="00970C0C"/>
    <w:rsid w:val="00974A5D"/>
    <w:rsid w:val="009754CF"/>
    <w:rsid w:val="009772AA"/>
    <w:rsid w:val="00977E6A"/>
    <w:rsid w:val="00981C02"/>
    <w:rsid w:val="0098320E"/>
    <w:rsid w:val="00983464"/>
    <w:rsid w:val="009859FF"/>
    <w:rsid w:val="00986EC5"/>
    <w:rsid w:val="00990953"/>
    <w:rsid w:val="009934CD"/>
    <w:rsid w:val="0099487D"/>
    <w:rsid w:val="0099614C"/>
    <w:rsid w:val="009A2CA4"/>
    <w:rsid w:val="009A3CA1"/>
    <w:rsid w:val="009A5EB9"/>
    <w:rsid w:val="009A6069"/>
    <w:rsid w:val="009A6649"/>
    <w:rsid w:val="009B041A"/>
    <w:rsid w:val="009B0D11"/>
    <w:rsid w:val="009B40DE"/>
    <w:rsid w:val="009B4921"/>
    <w:rsid w:val="009B582F"/>
    <w:rsid w:val="009B5CC6"/>
    <w:rsid w:val="009B7779"/>
    <w:rsid w:val="009B7ECB"/>
    <w:rsid w:val="009C0557"/>
    <w:rsid w:val="009C6158"/>
    <w:rsid w:val="009C6F02"/>
    <w:rsid w:val="009D06F6"/>
    <w:rsid w:val="009D7B87"/>
    <w:rsid w:val="009E0ED1"/>
    <w:rsid w:val="009E13D0"/>
    <w:rsid w:val="009E4867"/>
    <w:rsid w:val="009F1A0B"/>
    <w:rsid w:val="009F3F08"/>
    <w:rsid w:val="009F589F"/>
    <w:rsid w:val="009F5C2D"/>
    <w:rsid w:val="009F5FCD"/>
    <w:rsid w:val="009F67A0"/>
    <w:rsid w:val="009F6C6F"/>
    <w:rsid w:val="009F7263"/>
    <w:rsid w:val="00A00829"/>
    <w:rsid w:val="00A00EAA"/>
    <w:rsid w:val="00A02311"/>
    <w:rsid w:val="00A05030"/>
    <w:rsid w:val="00A117B5"/>
    <w:rsid w:val="00A16516"/>
    <w:rsid w:val="00A219BA"/>
    <w:rsid w:val="00A23974"/>
    <w:rsid w:val="00A24B11"/>
    <w:rsid w:val="00A254AE"/>
    <w:rsid w:val="00A25BD0"/>
    <w:rsid w:val="00A26206"/>
    <w:rsid w:val="00A2783B"/>
    <w:rsid w:val="00A37937"/>
    <w:rsid w:val="00A37D07"/>
    <w:rsid w:val="00A53449"/>
    <w:rsid w:val="00A632B1"/>
    <w:rsid w:val="00A6516E"/>
    <w:rsid w:val="00A661A9"/>
    <w:rsid w:val="00A662D6"/>
    <w:rsid w:val="00A75004"/>
    <w:rsid w:val="00A7597E"/>
    <w:rsid w:val="00A81700"/>
    <w:rsid w:val="00A81C59"/>
    <w:rsid w:val="00A83802"/>
    <w:rsid w:val="00A912CC"/>
    <w:rsid w:val="00A929DB"/>
    <w:rsid w:val="00A96CF7"/>
    <w:rsid w:val="00AA0E10"/>
    <w:rsid w:val="00AA30E1"/>
    <w:rsid w:val="00AA41F9"/>
    <w:rsid w:val="00AA5869"/>
    <w:rsid w:val="00AC25D2"/>
    <w:rsid w:val="00AC4C01"/>
    <w:rsid w:val="00AC585A"/>
    <w:rsid w:val="00AC5FD9"/>
    <w:rsid w:val="00AC7172"/>
    <w:rsid w:val="00AD63A1"/>
    <w:rsid w:val="00AD6FCC"/>
    <w:rsid w:val="00AE04ED"/>
    <w:rsid w:val="00AF49C1"/>
    <w:rsid w:val="00AF4CF9"/>
    <w:rsid w:val="00AF6224"/>
    <w:rsid w:val="00AF74E7"/>
    <w:rsid w:val="00B012F9"/>
    <w:rsid w:val="00B014E4"/>
    <w:rsid w:val="00B04FCF"/>
    <w:rsid w:val="00B05DCD"/>
    <w:rsid w:val="00B105B9"/>
    <w:rsid w:val="00B115CD"/>
    <w:rsid w:val="00B12BD9"/>
    <w:rsid w:val="00B1605C"/>
    <w:rsid w:val="00B16BB8"/>
    <w:rsid w:val="00B21064"/>
    <w:rsid w:val="00B214F9"/>
    <w:rsid w:val="00B21C29"/>
    <w:rsid w:val="00B21CB1"/>
    <w:rsid w:val="00B258C1"/>
    <w:rsid w:val="00B27D3D"/>
    <w:rsid w:val="00B32A07"/>
    <w:rsid w:val="00B3610B"/>
    <w:rsid w:val="00B3627B"/>
    <w:rsid w:val="00B37485"/>
    <w:rsid w:val="00B37F20"/>
    <w:rsid w:val="00B42509"/>
    <w:rsid w:val="00B447D5"/>
    <w:rsid w:val="00B45CFC"/>
    <w:rsid w:val="00B47B46"/>
    <w:rsid w:val="00B52A15"/>
    <w:rsid w:val="00B53BD1"/>
    <w:rsid w:val="00B53E74"/>
    <w:rsid w:val="00B56F32"/>
    <w:rsid w:val="00B6524E"/>
    <w:rsid w:val="00B71F91"/>
    <w:rsid w:val="00B769A2"/>
    <w:rsid w:val="00B76C59"/>
    <w:rsid w:val="00B76D4E"/>
    <w:rsid w:val="00B82D68"/>
    <w:rsid w:val="00B92FEE"/>
    <w:rsid w:val="00B95A88"/>
    <w:rsid w:val="00B95A8B"/>
    <w:rsid w:val="00BA077A"/>
    <w:rsid w:val="00BA15A5"/>
    <w:rsid w:val="00BA1E3E"/>
    <w:rsid w:val="00BB0473"/>
    <w:rsid w:val="00BB1801"/>
    <w:rsid w:val="00BB27ED"/>
    <w:rsid w:val="00BB6B3E"/>
    <w:rsid w:val="00BB703F"/>
    <w:rsid w:val="00BB7CDF"/>
    <w:rsid w:val="00BC5CE0"/>
    <w:rsid w:val="00BC7BF6"/>
    <w:rsid w:val="00BD7389"/>
    <w:rsid w:val="00BD7594"/>
    <w:rsid w:val="00BE4BEF"/>
    <w:rsid w:val="00BE4E34"/>
    <w:rsid w:val="00BE66C5"/>
    <w:rsid w:val="00BE66D6"/>
    <w:rsid w:val="00BF0B24"/>
    <w:rsid w:val="00BF0F96"/>
    <w:rsid w:val="00BF1DDA"/>
    <w:rsid w:val="00BF31AF"/>
    <w:rsid w:val="00BF4CC0"/>
    <w:rsid w:val="00BF4F8C"/>
    <w:rsid w:val="00BF7239"/>
    <w:rsid w:val="00C01425"/>
    <w:rsid w:val="00C122EB"/>
    <w:rsid w:val="00C236EF"/>
    <w:rsid w:val="00C25479"/>
    <w:rsid w:val="00C25CAD"/>
    <w:rsid w:val="00C27ED7"/>
    <w:rsid w:val="00C307DD"/>
    <w:rsid w:val="00C3151B"/>
    <w:rsid w:val="00C32E96"/>
    <w:rsid w:val="00C33B23"/>
    <w:rsid w:val="00C42510"/>
    <w:rsid w:val="00C427E4"/>
    <w:rsid w:val="00C42F20"/>
    <w:rsid w:val="00C43027"/>
    <w:rsid w:val="00C43AD7"/>
    <w:rsid w:val="00C45451"/>
    <w:rsid w:val="00C5392A"/>
    <w:rsid w:val="00C55D72"/>
    <w:rsid w:val="00C575C1"/>
    <w:rsid w:val="00C66E71"/>
    <w:rsid w:val="00C7274B"/>
    <w:rsid w:val="00C75094"/>
    <w:rsid w:val="00C77F37"/>
    <w:rsid w:val="00C81927"/>
    <w:rsid w:val="00C82360"/>
    <w:rsid w:val="00C86152"/>
    <w:rsid w:val="00C8706D"/>
    <w:rsid w:val="00C903B8"/>
    <w:rsid w:val="00C91006"/>
    <w:rsid w:val="00C93455"/>
    <w:rsid w:val="00C934BD"/>
    <w:rsid w:val="00C93F18"/>
    <w:rsid w:val="00C944BF"/>
    <w:rsid w:val="00C96DD0"/>
    <w:rsid w:val="00C97A36"/>
    <w:rsid w:val="00CA03BB"/>
    <w:rsid w:val="00CA3167"/>
    <w:rsid w:val="00CA49EC"/>
    <w:rsid w:val="00CA5953"/>
    <w:rsid w:val="00CA5B9B"/>
    <w:rsid w:val="00CA6B15"/>
    <w:rsid w:val="00CB05D4"/>
    <w:rsid w:val="00CB32A0"/>
    <w:rsid w:val="00CB5655"/>
    <w:rsid w:val="00CB72EF"/>
    <w:rsid w:val="00CB7D04"/>
    <w:rsid w:val="00CC219B"/>
    <w:rsid w:val="00CC7060"/>
    <w:rsid w:val="00CD1D9D"/>
    <w:rsid w:val="00CD5C7E"/>
    <w:rsid w:val="00CE151D"/>
    <w:rsid w:val="00CE5C85"/>
    <w:rsid w:val="00CF00EE"/>
    <w:rsid w:val="00CF03F9"/>
    <w:rsid w:val="00CF3905"/>
    <w:rsid w:val="00D0077B"/>
    <w:rsid w:val="00D00B5F"/>
    <w:rsid w:val="00D020BC"/>
    <w:rsid w:val="00D1209A"/>
    <w:rsid w:val="00D14450"/>
    <w:rsid w:val="00D14FAD"/>
    <w:rsid w:val="00D15B70"/>
    <w:rsid w:val="00D16177"/>
    <w:rsid w:val="00D16F8A"/>
    <w:rsid w:val="00D20222"/>
    <w:rsid w:val="00D22D96"/>
    <w:rsid w:val="00D2523F"/>
    <w:rsid w:val="00D33DFA"/>
    <w:rsid w:val="00D34D70"/>
    <w:rsid w:val="00D353AE"/>
    <w:rsid w:val="00D36355"/>
    <w:rsid w:val="00D36672"/>
    <w:rsid w:val="00D45293"/>
    <w:rsid w:val="00D45325"/>
    <w:rsid w:val="00D47E5E"/>
    <w:rsid w:val="00D6221F"/>
    <w:rsid w:val="00D628C4"/>
    <w:rsid w:val="00D62CF0"/>
    <w:rsid w:val="00D6341D"/>
    <w:rsid w:val="00D74535"/>
    <w:rsid w:val="00D80003"/>
    <w:rsid w:val="00D80B4B"/>
    <w:rsid w:val="00D830CF"/>
    <w:rsid w:val="00D848B7"/>
    <w:rsid w:val="00D84FE9"/>
    <w:rsid w:val="00D86401"/>
    <w:rsid w:val="00D86C97"/>
    <w:rsid w:val="00D91A23"/>
    <w:rsid w:val="00D93592"/>
    <w:rsid w:val="00D94207"/>
    <w:rsid w:val="00D945A5"/>
    <w:rsid w:val="00DA2E6A"/>
    <w:rsid w:val="00DA6331"/>
    <w:rsid w:val="00DA7EEC"/>
    <w:rsid w:val="00DB694C"/>
    <w:rsid w:val="00DB6987"/>
    <w:rsid w:val="00DB6B0B"/>
    <w:rsid w:val="00DC2B53"/>
    <w:rsid w:val="00DD317D"/>
    <w:rsid w:val="00DD329D"/>
    <w:rsid w:val="00DD7508"/>
    <w:rsid w:val="00DE0F02"/>
    <w:rsid w:val="00DE2109"/>
    <w:rsid w:val="00DE31E0"/>
    <w:rsid w:val="00DE3B8C"/>
    <w:rsid w:val="00DE7B65"/>
    <w:rsid w:val="00DF41F7"/>
    <w:rsid w:val="00E01BFD"/>
    <w:rsid w:val="00E02D41"/>
    <w:rsid w:val="00E06DD7"/>
    <w:rsid w:val="00E071A2"/>
    <w:rsid w:val="00E07A9F"/>
    <w:rsid w:val="00E14DF8"/>
    <w:rsid w:val="00E1770F"/>
    <w:rsid w:val="00E20260"/>
    <w:rsid w:val="00E34421"/>
    <w:rsid w:val="00E35E83"/>
    <w:rsid w:val="00E4016B"/>
    <w:rsid w:val="00E40AE3"/>
    <w:rsid w:val="00E43087"/>
    <w:rsid w:val="00E4361B"/>
    <w:rsid w:val="00E43BFB"/>
    <w:rsid w:val="00E47F40"/>
    <w:rsid w:val="00E520DB"/>
    <w:rsid w:val="00E55764"/>
    <w:rsid w:val="00E6304D"/>
    <w:rsid w:val="00E669F5"/>
    <w:rsid w:val="00E67E21"/>
    <w:rsid w:val="00E70480"/>
    <w:rsid w:val="00E70C53"/>
    <w:rsid w:val="00E76037"/>
    <w:rsid w:val="00E8140D"/>
    <w:rsid w:val="00E90162"/>
    <w:rsid w:val="00E904F2"/>
    <w:rsid w:val="00E97AE0"/>
    <w:rsid w:val="00EA0F19"/>
    <w:rsid w:val="00EA1A6C"/>
    <w:rsid w:val="00EA1FAF"/>
    <w:rsid w:val="00EA2E15"/>
    <w:rsid w:val="00EA366E"/>
    <w:rsid w:val="00EA60D9"/>
    <w:rsid w:val="00EB5326"/>
    <w:rsid w:val="00EB600D"/>
    <w:rsid w:val="00EC40C8"/>
    <w:rsid w:val="00ED04A9"/>
    <w:rsid w:val="00ED191A"/>
    <w:rsid w:val="00ED5BFD"/>
    <w:rsid w:val="00EE2090"/>
    <w:rsid w:val="00EE3C8A"/>
    <w:rsid w:val="00EF077B"/>
    <w:rsid w:val="00EF07C5"/>
    <w:rsid w:val="00EF64BD"/>
    <w:rsid w:val="00EF6ABB"/>
    <w:rsid w:val="00EF7AD5"/>
    <w:rsid w:val="00F019AD"/>
    <w:rsid w:val="00F01B0A"/>
    <w:rsid w:val="00F01BD7"/>
    <w:rsid w:val="00F123DF"/>
    <w:rsid w:val="00F253F7"/>
    <w:rsid w:val="00F2720B"/>
    <w:rsid w:val="00F32237"/>
    <w:rsid w:val="00F343DA"/>
    <w:rsid w:val="00F36CB7"/>
    <w:rsid w:val="00F42E7F"/>
    <w:rsid w:val="00F4427E"/>
    <w:rsid w:val="00F60A5C"/>
    <w:rsid w:val="00F62507"/>
    <w:rsid w:val="00F64184"/>
    <w:rsid w:val="00F6743C"/>
    <w:rsid w:val="00F67E7E"/>
    <w:rsid w:val="00F70CDD"/>
    <w:rsid w:val="00F72C91"/>
    <w:rsid w:val="00F7302C"/>
    <w:rsid w:val="00F7433A"/>
    <w:rsid w:val="00F752AE"/>
    <w:rsid w:val="00F76D16"/>
    <w:rsid w:val="00F778DE"/>
    <w:rsid w:val="00F805F9"/>
    <w:rsid w:val="00F82DF0"/>
    <w:rsid w:val="00F8652D"/>
    <w:rsid w:val="00F87028"/>
    <w:rsid w:val="00F905F1"/>
    <w:rsid w:val="00F9141E"/>
    <w:rsid w:val="00F94D44"/>
    <w:rsid w:val="00F969B0"/>
    <w:rsid w:val="00F97DB7"/>
    <w:rsid w:val="00FA185B"/>
    <w:rsid w:val="00FA418E"/>
    <w:rsid w:val="00FA4CFA"/>
    <w:rsid w:val="00FA5BAA"/>
    <w:rsid w:val="00FA6DEF"/>
    <w:rsid w:val="00FB33A9"/>
    <w:rsid w:val="00FB435B"/>
    <w:rsid w:val="00FB45C8"/>
    <w:rsid w:val="00FB582F"/>
    <w:rsid w:val="00FC2B35"/>
    <w:rsid w:val="00FD0FE9"/>
    <w:rsid w:val="00FD3B6E"/>
    <w:rsid w:val="00FD4265"/>
    <w:rsid w:val="00FD5B4E"/>
    <w:rsid w:val="00FE6488"/>
    <w:rsid w:val="00FE688B"/>
    <w:rsid w:val="00FF1B7F"/>
    <w:rsid w:val="00FF2930"/>
    <w:rsid w:val="00FF358D"/>
    <w:rsid w:val="00FF4D56"/>
    <w:rsid w:val="00FF530E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41B1"/>
  <w15:chartTrackingRefBased/>
  <w15:docId w15:val="{3E608E9C-5452-804F-AE0E-E782653F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B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D7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96C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6CF7"/>
  </w:style>
  <w:style w:type="character" w:styleId="Seitenzahl">
    <w:name w:val="page number"/>
    <w:basedOn w:val="Absatz-Standardschriftart"/>
    <w:uiPriority w:val="99"/>
    <w:semiHidden/>
    <w:unhideWhenUsed/>
    <w:rsid w:val="00A96CF7"/>
  </w:style>
  <w:style w:type="character" w:styleId="Zeilennummer">
    <w:name w:val="line number"/>
    <w:basedOn w:val="Absatz-Standardschriftart"/>
    <w:uiPriority w:val="99"/>
    <w:semiHidden/>
    <w:unhideWhenUsed/>
    <w:rsid w:val="00A96CF7"/>
  </w:style>
  <w:style w:type="paragraph" w:styleId="berarbeitung">
    <w:name w:val="Revision"/>
    <w:hidden/>
    <w:uiPriority w:val="99"/>
    <w:semiHidden/>
    <w:rsid w:val="00C96DD0"/>
  </w:style>
  <w:style w:type="character" w:styleId="Kommentarzeichen">
    <w:name w:val="annotation reference"/>
    <w:basedOn w:val="Absatz-Standardschriftart"/>
    <w:uiPriority w:val="99"/>
    <w:semiHidden/>
    <w:unhideWhenUsed/>
    <w:rsid w:val="00C96D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6D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6D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6D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6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Katrin Ritzel</cp:lastModifiedBy>
  <cp:revision>10</cp:revision>
  <dcterms:created xsi:type="dcterms:W3CDTF">2025-07-11T13:43:00Z</dcterms:created>
  <dcterms:modified xsi:type="dcterms:W3CDTF">2025-07-13T12:40:00Z</dcterms:modified>
</cp:coreProperties>
</file>