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E0B0" w14:textId="0D6B9A57" w:rsidR="00D66964" w:rsidRPr="00D66964" w:rsidRDefault="00D66964" w:rsidP="00D66964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bookmarkStart w:id="0" w:name="_Hlk189406334"/>
      <w:r w:rsidRPr="00D66964">
        <w:rPr>
          <w:rFonts w:ascii="Arial" w:eastAsia="Arial" w:hAnsi="Arial" w:cs="Arial"/>
          <w:b/>
          <w:sz w:val="24"/>
          <w:szCs w:val="24"/>
        </w:rPr>
        <w:t xml:space="preserve">Skin lipid-microbe </w:t>
      </w:r>
      <w:r>
        <w:rPr>
          <w:rFonts w:ascii="Arial" w:eastAsia="Arial" w:hAnsi="Arial" w:cs="Arial"/>
          <w:b/>
          <w:sz w:val="24"/>
          <w:szCs w:val="24"/>
        </w:rPr>
        <w:t xml:space="preserve">interplay </w:t>
      </w:r>
      <w:r w:rsidR="004846BF">
        <w:rPr>
          <w:rFonts w:ascii="Arial" w:eastAsia="Arial" w:hAnsi="Arial" w:cs="Arial"/>
          <w:b/>
          <w:sz w:val="24"/>
          <w:szCs w:val="24"/>
        </w:rPr>
        <w:t>links</w:t>
      </w:r>
      <w:r w:rsidRPr="00D66964">
        <w:rPr>
          <w:rFonts w:ascii="Arial" w:eastAsia="Arial" w:hAnsi="Arial" w:cs="Arial"/>
          <w:b/>
          <w:sz w:val="24"/>
          <w:szCs w:val="24"/>
        </w:rPr>
        <w:t xml:space="preserve"> </w:t>
      </w:r>
      <w:r w:rsidRPr="00D66964">
        <w:rPr>
          <w:rFonts w:ascii="Arial" w:eastAsia="Arial" w:hAnsi="Arial" w:cs="Arial"/>
          <w:b/>
          <w:i/>
          <w:iCs/>
          <w:sz w:val="24"/>
          <w:szCs w:val="24"/>
        </w:rPr>
        <w:t>Sta</w:t>
      </w:r>
      <w:r w:rsidR="00346FF6">
        <w:rPr>
          <w:rFonts w:ascii="Arial" w:eastAsia="Arial" w:hAnsi="Arial" w:cs="Arial"/>
          <w:b/>
          <w:i/>
          <w:iCs/>
          <w:sz w:val="24"/>
          <w:szCs w:val="24"/>
        </w:rPr>
        <w:t>phy</w:t>
      </w:r>
      <w:r w:rsidRPr="00D66964">
        <w:rPr>
          <w:rFonts w:ascii="Arial" w:eastAsia="Arial" w:hAnsi="Arial" w:cs="Arial"/>
          <w:b/>
          <w:i/>
          <w:iCs/>
          <w:sz w:val="24"/>
          <w:szCs w:val="24"/>
        </w:rPr>
        <w:t xml:space="preserve">lococcus </w:t>
      </w:r>
      <w:r>
        <w:rPr>
          <w:rFonts w:ascii="Arial" w:eastAsia="Arial" w:hAnsi="Arial" w:cs="Arial"/>
          <w:b/>
          <w:i/>
          <w:iCs/>
          <w:sz w:val="24"/>
          <w:szCs w:val="24"/>
        </w:rPr>
        <w:t>h</w:t>
      </w:r>
      <w:r w:rsidRPr="00D66964">
        <w:rPr>
          <w:rFonts w:ascii="Arial" w:eastAsia="Arial" w:hAnsi="Arial" w:cs="Arial"/>
          <w:b/>
          <w:i/>
          <w:iCs/>
          <w:sz w:val="24"/>
          <w:szCs w:val="24"/>
        </w:rPr>
        <w:t>ominis</w:t>
      </w:r>
      <w:r w:rsidRPr="00D66964">
        <w:rPr>
          <w:rFonts w:ascii="Arial" w:eastAsia="Arial" w:hAnsi="Arial" w:cs="Arial"/>
          <w:b/>
          <w:sz w:val="24"/>
          <w:szCs w:val="24"/>
        </w:rPr>
        <w:t xml:space="preserve"> </w:t>
      </w:r>
      <w:r w:rsidR="004846BF">
        <w:rPr>
          <w:rFonts w:ascii="Arial" w:eastAsia="Arial" w:hAnsi="Arial" w:cs="Arial"/>
          <w:b/>
          <w:sz w:val="24"/>
          <w:szCs w:val="24"/>
        </w:rPr>
        <w:t>to barrier control</w:t>
      </w:r>
      <w:r w:rsidRPr="00D66964">
        <w:rPr>
          <w:rFonts w:ascii="Arial" w:eastAsia="Arial" w:hAnsi="Arial" w:cs="Arial"/>
          <w:b/>
          <w:sz w:val="24"/>
          <w:szCs w:val="24"/>
        </w:rPr>
        <w:t xml:space="preserve"> in </w:t>
      </w:r>
      <w:r w:rsidR="00182145">
        <w:rPr>
          <w:rFonts w:ascii="Arial" w:eastAsia="Arial" w:hAnsi="Arial" w:cs="Arial"/>
          <w:b/>
          <w:sz w:val="24"/>
          <w:szCs w:val="24"/>
        </w:rPr>
        <w:t xml:space="preserve">adult </w:t>
      </w:r>
      <w:r w:rsidRPr="00D66964">
        <w:rPr>
          <w:rFonts w:ascii="Arial" w:eastAsia="Arial" w:hAnsi="Arial" w:cs="Arial"/>
          <w:b/>
          <w:sz w:val="24"/>
          <w:szCs w:val="24"/>
        </w:rPr>
        <w:t>atopic dermatitis</w:t>
      </w:r>
    </w:p>
    <w:p w14:paraId="7EAE5B61" w14:textId="77777777" w:rsidR="009F4915" w:rsidRDefault="009F4915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</w:p>
    <w:p w14:paraId="01F49346" w14:textId="601211C2" w:rsidR="009F4915" w:rsidRDefault="002C5C40">
      <w:pPr>
        <w:spacing w:after="0"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Short title: </w:t>
      </w:r>
      <w:proofErr w:type="spellStart"/>
      <w:r>
        <w:rPr>
          <w:rFonts w:ascii="Arial" w:eastAsia="Arial" w:hAnsi="Arial" w:cs="Arial"/>
          <w:sz w:val="24"/>
          <w:szCs w:val="24"/>
        </w:rPr>
        <w:t>Lipibiome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r w:rsidR="00182145">
        <w:rPr>
          <w:rFonts w:ascii="Arial" w:eastAsia="Arial" w:hAnsi="Arial" w:cs="Arial"/>
          <w:sz w:val="24"/>
          <w:szCs w:val="24"/>
        </w:rPr>
        <w:t xml:space="preserve">adult </w:t>
      </w:r>
      <w:r>
        <w:rPr>
          <w:rFonts w:ascii="Arial" w:eastAsia="Arial" w:hAnsi="Arial" w:cs="Arial"/>
          <w:sz w:val="24"/>
          <w:szCs w:val="24"/>
        </w:rPr>
        <w:t>atopic dermatitis</w:t>
      </w:r>
    </w:p>
    <w:p w14:paraId="1EC2A1CC" w14:textId="77777777" w:rsidR="009F4915" w:rsidRDefault="009F4915">
      <w:pPr>
        <w:spacing w:after="0" w:line="480" w:lineRule="auto"/>
        <w:rPr>
          <w:rFonts w:ascii="Arial" w:eastAsia="Arial" w:hAnsi="Arial" w:cs="Arial"/>
          <w:sz w:val="24"/>
          <w:szCs w:val="24"/>
        </w:rPr>
      </w:pPr>
    </w:p>
    <w:p w14:paraId="2BC5DFE3" w14:textId="77777777" w:rsidR="009F4915" w:rsidRDefault="002C5C40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Authors:</w:t>
      </w:r>
    </w:p>
    <w:p w14:paraId="612ACA99" w14:textId="4C00D0B5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color w:val="000000"/>
          <w:sz w:val="24"/>
          <w:szCs w:val="24"/>
        </w:rPr>
        <w:t>Madhumita Bhattacharyya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1,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3,†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 Felix Lauffer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4,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†</w:t>
      </w:r>
      <w:r>
        <w:rPr>
          <w:rFonts w:ascii="Arial" w:eastAsia="Arial" w:hAnsi="Arial" w:cs="Arial"/>
          <w:color w:val="000000"/>
          <w:sz w:val="24"/>
          <w:szCs w:val="24"/>
        </w:rPr>
        <w:t>, Manja Jargosch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,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 Kristina Frey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C76684">
        <w:rPr>
          <w:rFonts w:ascii="Arial" w:eastAsia="Arial" w:hAnsi="Arial" w:cs="Arial"/>
          <w:color w:val="000000"/>
          <w:sz w:val="24"/>
          <w:szCs w:val="24"/>
        </w:rPr>
        <w:t xml:space="preserve">Mahsa </w:t>
      </w:r>
      <w:r w:rsidR="00C66AA2">
        <w:rPr>
          <w:rFonts w:ascii="Arial" w:eastAsia="Arial" w:hAnsi="Arial" w:cs="Arial"/>
          <w:color w:val="000000"/>
          <w:sz w:val="24"/>
          <w:szCs w:val="24"/>
        </w:rPr>
        <w:t xml:space="preserve">Shahidi </w:t>
      </w:r>
      <w:r w:rsidR="00C76684">
        <w:rPr>
          <w:rFonts w:ascii="Arial" w:eastAsia="Arial" w:hAnsi="Arial" w:cs="Arial"/>
          <w:color w:val="000000"/>
          <w:sz w:val="24"/>
          <w:szCs w:val="24"/>
        </w:rPr>
        <w:t>Dadras</w:t>
      </w:r>
      <w:r w:rsidR="00C76684">
        <w:rPr>
          <w:rFonts w:ascii="Arial" w:eastAsia="Arial" w:hAnsi="Arial" w:cs="Arial"/>
          <w:color w:val="000000"/>
          <w:sz w:val="24"/>
          <w:szCs w:val="24"/>
          <w:vertAlign w:val="superscript"/>
        </w:rPr>
        <w:t>7</w:t>
      </w:r>
      <w:r w:rsidR="00C76684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717DF8">
        <w:rPr>
          <w:rFonts w:ascii="Arial" w:eastAsia="Arial" w:hAnsi="Arial" w:cs="Arial"/>
          <w:color w:val="000000"/>
          <w:sz w:val="24"/>
          <w:szCs w:val="24"/>
        </w:rPr>
        <w:t>Theresa Raunegger</w:t>
      </w:r>
      <w:r w:rsidR="00717DF8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 w:rsidR="00717DF8" w:rsidRPr="00854A81">
        <w:rPr>
          <w:rFonts w:ascii="Arial" w:eastAsia="Arial" w:hAnsi="Arial" w:cs="Arial"/>
          <w:color w:val="000000"/>
          <w:sz w:val="24"/>
          <w:szCs w:val="24"/>
          <w:vertAlign w:val="subscript"/>
        </w:rPr>
        <w:t>,</w:t>
      </w:r>
      <w:r w:rsidR="00717DF8">
        <w:rPr>
          <w:rFonts w:ascii="Arial" w:eastAsia="Arial" w:hAnsi="Arial" w:cs="Arial"/>
          <w:color w:val="000000"/>
          <w:sz w:val="24"/>
          <w:szCs w:val="24"/>
          <w:vertAlign w:val="subscript"/>
        </w:rPr>
        <w:t xml:space="preserve"> </w:t>
      </w:r>
      <w:r w:rsidR="00717DF8">
        <w:rPr>
          <w:rFonts w:ascii="Arial" w:eastAsia="Arial" w:hAnsi="Arial" w:cs="Arial"/>
          <w:color w:val="000000"/>
          <w:sz w:val="24"/>
          <w:szCs w:val="24"/>
        </w:rPr>
        <w:t>Sophia Wasserer</w:t>
      </w:r>
      <w:r w:rsidR="00717DF8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 w:rsidR="00717DF8" w:rsidRPr="00267843">
        <w:rPr>
          <w:rFonts w:ascii="Arial" w:eastAsia="Arial" w:hAnsi="Arial" w:cs="Arial"/>
          <w:color w:val="000000"/>
          <w:sz w:val="24"/>
          <w:szCs w:val="24"/>
          <w:vertAlign w:val="subscript"/>
        </w:rPr>
        <w:t>,</w:t>
      </w:r>
      <w:r w:rsidR="00717DF8">
        <w:rPr>
          <w:rFonts w:ascii="Arial" w:eastAsia="Arial" w:hAnsi="Arial" w:cs="Arial"/>
          <w:color w:val="000000"/>
          <w:sz w:val="24"/>
          <w:szCs w:val="24"/>
          <w:vertAlign w:val="subscript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>Carsten B. Schmidt-Weber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 Tilo Biedermann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 Kilian Eyerich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7,8</w:t>
      </w:r>
      <w:r>
        <w:rPr>
          <w:rFonts w:ascii="Arial" w:eastAsia="Arial" w:hAnsi="Arial" w:cs="Arial"/>
          <w:color w:val="000000"/>
          <w:sz w:val="24"/>
          <w:szCs w:val="24"/>
        </w:rPr>
        <w:t>, Stefanie Eyerich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 Claudia Traidl-Hoffmann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1,2,3</w:t>
      </w:r>
      <w:r>
        <w:rPr>
          <w:rFonts w:ascii="Arial" w:eastAsia="Arial" w:hAnsi="Arial" w:cs="Arial"/>
          <w:color w:val="000000"/>
          <w:sz w:val="24"/>
          <w:szCs w:val="24"/>
        </w:rPr>
        <w:t>, Christian Klose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 Matthias Reiger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1,2,3,†</w:t>
      </w:r>
      <w:r>
        <w:rPr>
          <w:rFonts w:ascii="Arial" w:eastAsia="Arial" w:hAnsi="Arial" w:cs="Arial"/>
          <w:color w:val="000000"/>
          <w:sz w:val="24"/>
          <w:szCs w:val="24"/>
        </w:rPr>
        <w:t>, Natalie Garzorz-Stark</w:t>
      </w:r>
      <w:r w:rsidR="00F52EC1"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,</w:t>
      </w:r>
      <w:r w:rsidR="00D66964">
        <w:rPr>
          <w:rFonts w:ascii="Arial" w:eastAsia="Arial" w:hAnsi="Arial" w:cs="Arial"/>
          <w:color w:val="000000"/>
          <w:sz w:val="24"/>
          <w:szCs w:val="24"/>
          <w:vertAlign w:val="superscript"/>
        </w:rPr>
        <w:t>7,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 xml:space="preserve">8,*,†  </w:t>
      </w:r>
    </w:p>
    <w:p w14:paraId="41AB4632" w14:textId="77777777" w:rsidR="009F4915" w:rsidRDefault="009F4915">
      <w:pPr>
        <w:spacing w:after="0" w:line="480" w:lineRule="auto"/>
        <w:rPr>
          <w:rFonts w:ascii="Arial" w:eastAsia="Arial" w:hAnsi="Arial" w:cs="Arial"/>
          <w:sz w:val="24"/>
          <w:szCs w:val="24"/>
          <w:vertAlign w:val="superscript"/>
        </w:rPr>
      </w:pPr>
    </w:p>
    <w:p w14:paraId="62B0B43E" w14:textId="77777777" w:rsidR="009F4915" w:rsidRDefault="002C5C40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Affiliations:</w:t>
      </w:r>
    </w:p>
    <w:p w14:paraId="2FFFA4B0" w14:textId="7E7F0F58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="004A047D">
        <w:rPr>
          <w:rFonts w:ascii="Arial" w:eastAsia="Arial" w:hAnsi="Arial" w:cs="Arial"/>
          <w:color w:val="000000"/>
          <w:sz w:val="24"/>
          <w:szCs w:val="24"/>
        </w:rPr>
        <w:t xml:space="preserve">Institute of </w:t>
      </w:r>
      <w:r>
        <w:rPr>
          <w:rFonts w:ascii="Arial" w:eastAsia="Arial" w:hAnsi="Arial" w:cs="Arial"/>
          <w:color w:val="000000"/>
          <w:sz w:val="24"/>
          <w:szCs w:val="24"/>
        </w:rPr>
        <w:t>Environmental Medicine Faculty of Medicine</w:t>
      </w:r>
      <w:r w:rsidR="004A047D">
        <w:rPr>
          <w:rFonts w:ascii="Arial" w:eastAsia="Arial" w:hAnsi="Arial" w:cs="Arial"/>
          <w:color w:val="000000"/>
          <w:sz w:val="24"/>
          <w:szCs w:val="24"/>
        </w:rPr>
        <w:t xml:space="preserve"> and Integrative Health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University </w:t>
      </w:r>
      <w:r w:rsidR="004A047D">
        <w:rPr>
          <w:rFonts w:ascii="Arial" w:eastAsia="Arial" w:hAnsi="Arial" w:cs="Arial"/>
          <w:color w:val="000000"/>
          <w:sz w:val="24"/>
          <w:szCs w:val="24"/>
        </w:rPr>
        <w:t xml:space="preserve">Hospital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of Augsburg,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Stenglinstrasse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2, 86156 Augsburg, Germany </w:t>
      </w:r>
    </w:p>
    <w:p w14:paraId="7D5DB892" w14:textId="77777777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Christine Kühne–Center for Allergy Research and Education (CK-CARE), Davos, Switzerland</w:t>
      </w:r>
    </w:p>
    <w:p w14:paraId="0F7EA191" w14:textId="69D76381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Institute of Environmental Medicine, Helmholtz Zentrum München, Augsburg, Germany</w:t>
      </w:r>
    </w:p>
    <w:p w14:paraId="071148C6" w14:textId="5417BA81" w:rsidR="00F52EC1" w:rsidRPr="00D66964" w:rsidRDefault="00F52EC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66964">
        <w:rPr>
          <w:rFonts w:ascii="Arial" w:eastAsia="Arial" w:hAnsi="Arial" w:cs="Arial"/>
          <w:color w:val="000000"/>
          <w:sz w:val="24"/>
          <w:szCs w:val="24"/>
          <w:vertAlign w:val="superscript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Department of Dermatology and Allergy, LMU Hospital Munich, Munich, Germany</w:t>
      </w:r>
    </w:p>
    <w:p w14:paraId="0808FA24" w14:textId="2768DA34" w:rsidR="009F4915" w:rsidRDefault="00F52EC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5</w:t>
      </w:r>
      <w:r w:rsidR="002C5C40">
        <w:rPr>
          <w:rFonts w:ascii="Arial" w:eastAsia="Arial" w:hAnsi="Arial" w:cs="Arial"/>
          <w:color w:val="000000"/>
          <w:sz w:val="24"/>
          <w:szCs w:val="24"/>
        </w:rPr>
        <w:t>Department of Dermatology and Allergy, Technical University of Munich, Munich, Germany</w:t>
      </w:r>
    </w:p>
    <w:p w14:paraId="5B70EEF9" w14:textId="7C87C3EB" w:rsidR="009F4915" w:rsidRDefault="00F52EC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6</w:t>
      </w:r>
      <w:r w:rsidR="002C5C40">
        <w:rPr>
          <w:rFonts w:ascii="Arial" w:eastAsia="Arial" w:hAnsi="Arial" w:cs="Arial"/>
          <w:color w:val="000000"/>
          <w:sz w:val="24"/>
          <w:szCs w:val="24"/>
        </w:rPr>
        <w:t>ZAUM – Center of Allergy and Environment, Technical University of Munich and Helmholtz Center Munich, Member of the German Center for Lung Research (DZL), Munich, Germany</w:t>
      </w:r>
    </w:p>
    <w:p w14:paraId="2ED3F3EB" w14:textId="77777777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7</w:t>
      </w:r>
      <w:r>
        <w:rPr>
          <w:rFonts w:ascii="Arial" w:eastAsia="Arial" w:hAnsi="Arial" w:cs="Arial"/>
          <w:color w:val="222222"/>
          <w:sz w:val="24"/>
          <w:szCs w:val="24"/>
        </w:rPr>
        <w:t>Department of Dermatology and Venerology, Medical Center—University of Freiburg, Faculty of Medicine, University of Freiburg, Freiburg, Germany</w:t>
      </w:r>
    </w:p>
    <w:p w14:paraId="14413C57" w14:textId="381C7416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vertAlign w:val="superscript"/>
        </w:rPr>
        <w:lastRenderedPageBreak/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Division of Dermatology and Venereology, Department of Medicine Solna, and Center for molecular medicine, Karolinska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Institutet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 Stockholm, Sweden</w:t>
      </w:r>
    </w:p>
    <w:p w14:paraId="2A6C18F6" w14:textId="1E15FA83" w:rsidR="00F52EC1" w:rsidRDefault="00F52EC1" w:rsidP="00F52EC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Lipotype GmbH, Dresden, Germany</w:t>
      </w:r>
    </w:p>
    <w:p w14:paraId="369E4856" w14:textId="77777777" w:rsidR="00F52EC1" w:rsidRDefault="00F52EC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0A589D7" w14:textId="77777777" w:rsidR="00415B17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*To whom correspondence should be addressed: </w:t>
      </w:r>
    </w:p>
    <w:p w14:paraId="10CDEA08" w14:textId="77777777" w:rsidR="00415B17" w:rsidRPr="002A43DB" w:rsidRDefault="00415B17" w:rsidP="00415B1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2A43DB">
        <w:rPr>
          <w:rFonts w:ascii="Arial" w:eastAsia="Arial" w:hAnsi="Arial" w:cs="Arial"/>
          <w:color w:val="000000"/>
          <w:sz w:val="24"/>
          <w:szCs w:val="24"/>
          <w:lang w:val="de-DE"/>
        </w:rPr>
        <w:t>Prof. Dr. Natalie Garzorz-Stark,</w:t>
      </w:r>
      <w:r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 PhD, MHBA</w:t>
      </w:r>
    </w:p>
    <w:p w14:paraId="4697EA8E" w14:textId="749CB4A9" w:rsidR="00415B17" w:rsidRDefault="00415B17" w:rsidP="00415B1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Department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of Dermatology </w:t>
      </w:r>
      <w:r>
        <w:rPr>
          <w:rFonts w:ascii="Arial" w:eastAsia="Arial" w:hAnsi="Arial" w:cs="Arial"/>
          <w:color w:val="222222"/>
          <w:sz w:val="24"/>
          <w:szCs w:val="24"/>
        </w:rPr>
        <w:t>and Venerology, University of Freiburg</w:t>
      </w:r>
    </w:p>
    <w:p w14:paraId="4D0E2586" w14:textId="77777777" w:rsidR="00415B17" w:rsidRDefault="00415B17" w:rsidP="00415B1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F3128A">
        <w:rPr>
          <w:rFonts w:ascii="Arial" w:eastAsia="Arial" w:hAnsi="Arial" w:cs="Arial"/>
          <w:color w:val="000000"/>
          <w:sz w:val="24"/>
          <w:szCs w:val="24"/>
          <w:lang w:val="de-DE"/>
        </w:rPr>
        <w:t>Hauptstraße 7, 79104 Freiburg, Germany</w:t>
      </w:r>
      <w:r w:rsidRPr="00DB3F93"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 </w:t>
      </w:r>
    </w:p>
    <w:p w14:paraId="25B49166" w14:textId="38CBD156" w:rsidR="009F4915" w:rsidRDefault="00415B1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  <w:lang w:val="de-DE"/>
        </w:rPr>
      </w:pPr>
      <w:hyperlink r:id="rId11" w:history="1">
        <w:r w:rsidRPr="00B6751C">
          <w:rPr>
            <w:rStyle w:val="Hyperlink"/>
            <w:rFonts w:ascii="Arial" w:eastAsia="Arial" w:hAnsi="Arial" w:cs="Arial"/>
            <w:sz w:val="24"/>
            <w:szCs w:val="24"/>
            <w:lang w:val="de-DE"/>
          </w:rPr>
          <w:t>natalie.garzorz-stark@uniklinik-freiburg.de</w:t>
        </w:r>
      </w:hyperlink>
    </w:p>
    <w:p w14:paraId="2D054991" w14:textId="77777777" w:rsidR="00415B17" w:rsidRPr="00415B17" w:rsidRDefault="00415B1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  <w:lang w:val="de-DE"/>
        </w:rPr>
      </w:pPr>
    </w:p>
    <w:p w14:paraId="1B3ACDF3" w14:textId="77777777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 xml:space="preserve">† </w:t>
      </w:r>
      <w:r>
        <w:rPr>
          <w:rFonts w:ascii="Arial" w:eastAsia="Arial" w:hAnsi="Arial" w:cs="Arial"/>
          <w:color w:val="000000"/>
          <w:sz w:val="24"/>
          <w:szCs w:val="24"/>
        </w:rPr>
        <w:t>Authors contributed equally</w:t>
      </w:r>
    </w:p>
    <w:p w14:paraId="39FB993A" w14:textId="77777777" w:rsidR="009F4915" w:rsidRDefault="009F491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321785" w14:textId="1B1A6CF8" w:rsidR="009F4915" w:rsidRPr="00D66964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i/>
          <w:iCs/>
          <w:strike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Keywords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lipidomics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microbiome, atopic dermatitis, </w:t>
      </w:r>
      <w:r w:rsidR="00D66964" w:rsidRPr="00D66964">
        <w:rPr>
          <w:rFonts w:ascii="Arial" w:eastAsia="Arial" w:hAnsi="Arial" w:cs="Arial"/>
          <w:i/>
          <w:iCs/>
          <w:color w:val="000000"/>
          <w:sz w:val="24"/>
          <w:szCs w:val="24"/>
        </w:rPr>
        <w:t>Staphylococcus hominis</w:t>
      </w:r>
    </w:p>
    <w:p w14:paraId="10BD0DCE" w14:textId="200F7E32" w:rsidR="009F4915" w:rsidRDefault="002C5C4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Abbreviations: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atopic dermatitis (AD) </w:t>
      </w:r>
      <w:r>
        <w:br w:type="page"/>
      </w:r>
    </w:p>
    <w:bookmarkEnd w:id="0"/>
    <w:p w14:paraId="24D21102" w14:textId="1D456207" w:rsidR="009F4915" w:rsidRDefault="002C318F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Supplementa</w:t>
      </w:r>
      <w:r w:rsidR="00971343">
        <w:rPr>
          <w:rFonts w:ascii="Arial" w:eastAsia="Arial" w:hAnsi="Arial" w:cs="Arial"/>
          <w:b/>
          <w:sz w:val="24"/>
          <w:szCs w:val="24"/>
        </w:rPr>
        <w:t xml:space="preserve">ry </w:t>
      </w:r>
      <w:r w:rsidR="00E33945">
        <w:rPr>
          <w:rFonts w:ascii="Arial" w:eastAsia="Arial" w:hAnsi="Arial" w:cs="Arial"/>
          <w:b/>
          <w:sz w:val="24"/>
          <w:szCs w:val="24"/>
        </w:rPr>
        <w:t>M</w:t>
      </w:r>
      <w:r w:rsidR="002C5C40">
        <w:rPr>
          <w:rFonts w:ascii="Arial" w:eastAsia="Arial" w:hAnsi="Arial" w:cs="Arial"/>
          <w:b/>
          <w:sz w:val="24"/>
          <w:szCs w:val="24"/>
        </w:rPr>
        <w:t xml:space="preserve">aterials and </w:t>
      </w:r>
      <w:r w:rsidR="00E33945">
        <w:rPr>
          <w:rFonts w:ascii="Arial" w:eastAsia="Arial" w:hAnsi="Arial" w:cs="Arial"/>
          <w:b/>
          <w:sz w:val="24"/>
          <w:szCs w:val="24"/>
        </w:rPr>
        <w:t>M</w:t>
      </w:r>
      <w:r w:rsidR="002C5C40">
        <w:rPr>
          <w:rFonts w:ascii="Arial" w:eastAsia="Arial" w:hAnsi="Arial" w:cs="Arial"/>
          <w:b/>
          <w:sz w:val="24"/>
          <w:szCs w:val="24"/>
        </w:rPr>
        <w:t>ethods</w:t>
      </w:r>
    </w:p>
    <w:p w14:paraId="7187040C" w14:textId="77777777" w:rsidR="002C318F" w:rsidRDefault="002C318F">
      <w:pPr>
        <w:spacing w:after="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F743530" w14:textId="77777777" w:rsidR="002C318F" w:rsidRDefault="002C318F" w:rsidP="002C318F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Isolation of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T cells from AD skin biopsies and production of supernatant</w:t>
      </w:r>
    </w:p>
    <w:p w14:paraId="08294DB4" w14:textId="141CC339" w:rsidR="002C318F" w:rsidRDefault="002C318F" w:rsidP="002C318F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Primary human </w:t>
      </w:r>
      <w:proofErr w:type="spellStart"/>
      <w:r>
        <w:rPr>
          <w:rFonts w:ascii="Arial" w:eastAsia="Arial" w:hAnsi="Arial" w:cs="Arial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 cells were isolated from freshly taken skin biopsies of AD patients (n=2) by emigration towards an IL-2 gradient followed by expansion with α-CD3/α-CD28 stimulation as described previously</w:t>
      </w:r>
      <w:r w:rsidR="00FC4873">
        <w:rPr>
          <w:rFonts w:ascii="Arial" w:eastAsia="Arial" w:hAnsi="Arial" w:cs="Arial"/>
          <w:sz w:val="24"/>
          <w:szCs w:val="24"/>
        </w:rPr>
        <w:fldChar w:fldCharType="begin"/>
      </w:r>
      <w:r w:rsidR="00FC4873">
        <w:rPr>
          <w:rFonts w:ascii="Arial" w:eastAsia="Arial" w:hAnsi="Arial" w:cs="Arial"/>
          <w:sz w:val="24"/>
          <w:szCs w:val="24"/>
        </w:rPr>
        <w:instrText xml:space="preserve"> ADDIN EN.CITE &lt;EndNote&gt;&lt;Cite&gt;&lt;Author&gt;Lauffer&lt;/Author&gt;&lt;Year&gt;2018&lt;/Year&gt;&lt;RecNum&gt;1644&lt;/RecNum&gt;&lt;DisplayText&gt;&lt;style face="superscript"&gt;1&lt;/style&gt;&lt;/DisplayText&gt;&lt;record&gt;&lt;rec-number&gt;1644&lt;/rec-number&gt;&lt;foreign-keys&gt;&lt;key app="EN" db-id="2avt2x0e3v50z6edvr2p5v0vsr5zadz2rdvt" timestamp="1524329392"&gt;1644&lt;/key&gt;&lt;/foreign-keys&gt;&lt;ref-type name="Journal Article"&gt;17&lt;/ref-type&gt;&lt;contributors&gt;&lt;authors&gt;&lt;author&gt;Lauffer, F.&lt;/author&gt;&lt;author&gt;Jargosch, M.&lt;/author&gt;&lt;author&gt;Krause, L.&lt;/author&gt;&lt;author&gt;Garzorz-Stark, N.&lt;/author&gt;&lt;author&gt;Franz, R.&lt;/author&gt;&lt;author&gt;Roenneberg, S.&lt;/author&gt;&lt;author&gt;Bohner, A.&lt;/author&gt;&lt;author&gt;Mueller, N. S.&lt;/author&gt;&lt;author&gt;Theis, F. J.&lt;/author&gt;&lt;author&gt;Schmidt-Weber, C. B.&lt;/author&gt;&lt;author&gt;Biedermann, T.&lt;/author&gt;&lt;author&gt;Eyerich, S.&lt;/author&gt;&lt;author&gt;Eyerich, K.&lt;/author&gt;&lt;/authors&gt;&lt;/contributors&gt;&lt;auth-address&gt;Department of Dermatology and Allergy, Technical University of Munich, Munich, Germany. Electronic address: felix.lauffer@tum.de.&amp;#xD;Department of Dermatology and Allergy, Technical University of Munich, Munich, Germany.&amp;#xD;Institute of Computational Biology, Helmholtz Center Munich, Neuherberg, Germany.&amp;#xD;Institute of Computational Biology, Helmholtz Center Munich, Neuherberg, Germany; Department of Mathematics, Technical University of Munich, Garching, Germany.&amp;#xD;ZAUM - Center of Allergy and Environment, Technical University and Helmholtz Center Munich, Munich, Germany.&lt;/auth-address&gt;&lt;titles&gt;&lt;title&gt;Type I immune response induces keratinocyte necroptosis and is associated with interface dermatitis&lt;/title&gt;&lt;secondary-title&gt;J Invest Dermatol&lt;/secondary-title&gt;&lt;/titles&gt;&lt;periodical&gt;&lt;full-title&gt;J Invest Dermatol&lt;/full-title&gt;&lt;/periodical&gt;&lt;dates&gt;&lt;year&gt;2018&lt;/year&gt;&lt;pub-dates&gt;&lt;date&gt;Mar 8&lt;/date&gt;&lt;/pub-dates&gt;&lt;/dates&gt;&lt;isbn&gt;1523-1747 (Electronic)&amp;#xD;0022-202X (Linking)&lt;/isbn&gt;&lt;accession-num&gt;29526761&lt;/accession-num&gt;&lt;urls&gt;&lt;related-urls&gt;&lt;url&gt;https://www.ncbi.nlm.nih.gov/pubmed/29526761&lt;/url&gt;&lt;/related-urls&gt;&lt;/urls&gt;&lt;electronic-resource-num&gt;10.1016/j.jid.2018.02.034&lt;/electronic-resource-num&gt;&lt;/record&gt;&lt;/Cite&gt;&lt;/EndNote&gt;</w:instrText>
      </w:r>
      <w:r w:rsidR="00FC4873">
        <w:rPr>
          <w:rFonts w:ascii="Arial" w:eastAsia="Arial" w:hAnsi="Arial" w:cs="Arial"/>
          <w:sz w:val="24"/>
          <w:szCs w:val="24"/>
        </w:rPr>
        <w:fldChar w:fldCharType="separate"/>
      </w:r>
      <w:r w:rsidR="00FC4873" w:rsidRPr="00FC4873">
        <w:rPr>
          <w:rFonts w:ascii="Arial" w:eastAsia="Arial" w:hAnsi="Arial" w:cs="Arial"/>
          <w:noProof/>
          <w:sz w:val="24"/>
          <w:szCs w:val="24"/>
          <w:vertAlign w:val="superscript"/>
        </w:rPr>
        <w:t>1</w:t>
      </w:r>
      <w:r w:rsidR="00FC4873">
        <w:rPr>
          <w:rFonts w:ascii="Arial" w:eastAsia="Arial" w:hAnsi="Arial" w:cs="Arial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. Supernatants of expanded </w:t>
      </w:r>
      <w:proofErr w:type="spellStart"/>
      <w:r>
        <w:rPr>
          <w:rFonts w:ascii="Arial" w:eastAsia="Arial" w:hAnsi="Arial" w:cs="Arial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 cells were produced by 3-day stimulation with 0.75 µg/mL α-CD3 (pre-coated, BD Biosciences) and 0.75 µg/mL soluble α-CD28 (BD Biosciences). Concentrations of key cytokines in the supernatant of </w:t>
      </w:r>
      <w:proofErr w:type="spellStart"/>
      <w:r>
        <w:rPr>
          <w:rFonts w:ascii="Arial" w:eastAsia="Arial" w:hAnsi="Arial" w:cs="Arial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 cells were determined by ELISA and listed in Supplementary Table S1. A mixture of both two </w:t>
      </w:r>
      <w:proofErr w:type="spellStart"/>
      <w:r>
        <w:rPr>
          <w:rFonts w:ascii="Arial" w:eastAsia="Arial" w:hAnsi="Arial" w:cs="Arial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supernatants at equimolar ratio was used for stimulation of RHE.</w:t>
      </w:r>
    </w:p>
    <w:p w14:paraId="3396AF02" w14:textId="77777777" w:rsidR="002C318F" w:rsidRDefault="002C318F" w:rsidP="002C318F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3A0C21AD" w14:textId="77777777" w:rsidR="002C318F" w:rsidRDefault="002C318F" w:rsidP="002C318F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2CC0445E" w14:textId="77777777" w:rsidR="00E13A91" w:rsidRDefault="00E13A91" w:rsidP="00E13A91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  <w:proofErr w:type="spellStart"/>
      <w:r>
        <w:rPr>
          <w:rFonts w:ascii="Arial" w:eastAsia="Arial" w:hAnsi="Arial" w:cs="Arial"/>
          <w:i/>
          <w:sz w:val="24"/>
          <w:szCs w:val="24"/>
        </w:rPr>
        <w:t>Transepidermal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water loss</w:t>
      </w:r>
    </w:p>
    <w:p w14:paraId="670B87D0" w14:textId="13924927" w:rsidR="00E13A91" w:rsidRDefault="00E13A91" w:rsidP="00E13A9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Transepidermal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water loss (TEWL) was measured using the </w:t>
      </w:r>
      <w:proofErr w:type="spellStart"/>
      <w:r>
        <w:rPr>
          <w:rFonts w:ascii="Arial" w:eastAsia="Arial" w:hAnsi="Arial" w:cs="Arial"/>
          <w:sz w:val="24"/>
          <w:szCs w:val="24"/>
        </w:rPr>
        <w:t>AquaFlux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device (</w:t>
      </w:r>
      <w:proofErr w:type="spellStart"/>
      <w:r>
        <w:rPr>
          <w:rFonts w:ascii="Arial" w:eastAsia="Arial" w:hAnsi="Arial" w:cs="Arial"/>
          <w:sz w:val="24"/>
          <w:szCs w:val="24"/>
        </w:rPr>
        <w:t>Courage+Khazake</w:t>
      </w:r>
      <w:proofErr w:type="spellEnd"/>
      <w:r>
        <w:rPr>
          <w:rFonts w:ascii="Arial" w:eastAsia="Arial" w:hAnsi="Arial" w:cs="Arial"/>
          <w:sz w:val="24"/>
          <w:szCs w:val="24"/>
        </w:rPr>
        <w:t>, Cologne, Germany) following the international guidelines for TEWL assessments</w:t>
      </w:r>
      <w:r w:rsidR="00FC4873">
        <w:rPr>
          <w:rFonts w:ascii="Arial" w:eastAsia="Arial" w:hAnsi="Arial" w:cs="Arial"/>
          <w:sz w:val="24"/>
          <w:szCs w:val="24"/>
        </w:rPr>
        <w:fldChar w:fldCharType="begin"/>
      </w:r>
      <w:r w:rsidR="00FC4873">
        <w:rPr>
          <w:rFonts w:ascii="Arial" w:eastAsia="Arial" w:hAnsi="Arial" w:cs="Arial"/>
          <w:sz w:val="24"/>
          <w:szCs w:val="24"/>
        </w:rPr>
        <w:instrText xml:space="preserve"> ADDIN EN.CITE &lt;EndNote&gt;&lt;Cite&gt;&lt;Author&gt;Pinnagoda&lt;/Author&gt;&lt;Year&gt;1990&lt;/Year&gt;&lt;RecNum&gt;2810&lt;/RecNum&gt;&lt;DisplayText&gt;&lt;style face="superscript"&gt;2&lt;/style&gt;&lt;/DisplayText&gt;&lt;record&gt;&lt;rec-number&gt;2810&lt;/rec-number&gt;&lt;foreign-keys&gt;&lt;key app="EN" db-id="2avt2x0e3v50z6edvr2p5v0vsr5zadz2rdvt" timestamp="1693146192"&gt;2810&lt;/key&gt;&lt;/foreign-keys&gt;&lt;ref-type name="Journal Article"&gt;17&lt;/ref-type&gt;&lt;contributors&gt;&lt;authors&gt;&lt;author&gt;Pinnagoda, J.&lt;/author&gt;&lt;author&gt;Tupker, R. A.&lt;/author&gt;&lt;author&gt;Agner, T.&lt;/author&gt;&lt;author&gt;Serup, J.&lt;/author&gt;&lt;/authors&gt;&lt;/contributors&gt;&lt;auth-address&gt;Occupational and Environmental Dermatology Unit, Academic Hospital, Groningen, The Netherlands.&lt;/auth-address&gt;&lt;titles&gt;&lt;title&gt;Guidelines for transepidermal water loss (TEWL) measurement. A report from the Standardization Group of the European Society of Contact Dermatitis&lt;/title&gt;&lt;secondary-title&gt;Contact Dermatitis&lt;/secondary-title&gt;&lt;/titles&gt;&lt;pages&gt;164-78&lt;/pages&gt;&lt;volume&gt;22&lt;/volume&gt;&lt;number&gt;3&lt;/number&gt;&lt;edition&gt;1990/03/01&lt;/edition&gt;&lt;keywords&gt;&lt;keyword&gt;Adult&lt;/keyword&gt;&lt;keyword&gt;Dermatitis, Contact/*physiopathology&lt;/keyword&gt;&lt;keyword&gt;Dermatology/instrumentation/*methods&lt;/keyword&gt;&lt;keyword&gt;Environment, Controlled&lt;/keyword&gt;&lt;keyword&gt;Equipment Design&lt;/keyword&gt;&lt;keyword&gt;Humans&lt;/keyword&gt;&lt;keyword&gt;Infant, Newborn&lt;/keyword&gt;&lt;keyword&gt;Middle Aged&lt;/keyword&gt;&lt;keyword&gt;Reference Standards&lt;/keyword&gt;&lt;keyword&gt;Reproducibility of Results&lt;/keyword&gt;&lt;keyword&gt;Skin/physiopathology&lt;/keyword&gt;&lt;keyword&gt;Skin Physiological Phenomena&lt;/keyword&gt;&lt;keyword&gt;Water Loss, Insensible/*physiology&lt;/keyword&gt;&lt;/keywords&gt;&lt;dates&gt;&lt;year&gt;1990&lt;/year&gt;&lt;pub-dates&gt;&lt;date&gt;Mar&lt;/date&gt;&lt;/pub-dates&gt;&lt;/dates&gt;&lt;isbn&gt;0105-1873 (Print)&amp;#xD;0105-1873 (Linking)&lt;/isbn&gt;&lt;accession-num&gt;2335090&lt;/accession-num&gt;&lt;urls&gt;&lt;related-urls&gt;&lt;url&gt;https://www.ncbi.nlm.nih.gov/pubmed/2335090&lt;/url&gt;&lt;/related-urls&gt;&lt;/urls&gt;&lt;electronic-resource-num&gt;10.1111/j.1600-0536.1990.tb01553.x&lt;/electronic-resource-num&gt;&lt;/record&gt;&lt;/Cite&gt;&lt;/EndNote&gt;</w:instrText>
      </w:r>
      <w:r w:rsidR="00FC4873">
        <w:rPr>
          <w:rFonts w:ascii="Arial" w:eastAsia="Arial" w:hAnsi="Arial" w:cs="Arial"/>
          <w:sz w:val="24"/>
          <w:szCs w:val="24"/>
        </w:rPr>
        <w:fldChar w:fldCharType="separate"/>
      </w:r>
      <w:r w:rsidR="00FC4873" w:rsidRPr="00FC4873">
        <w:rPr>
          <w:rFonts w:ascii="Arial" w:eastAsia="Arial" w:hAnsi="Arial" w:cs="Arial"/>
          <w:noProof/>
          <w:sz w:val="24"/>
          <w:szCs w:val="24"/>
          <w:vertAlign w:val="superscript"/>
        </w:rPr>
        <w:t>2</w:t>
      </w:r>
      <w:r w:rsidR="00FC4873">
        <w:rPr>
          <w:rFonts w:ascii="Arial" w:eastAsia="Arial" w:hAnsi="Arial" w:cs="Arial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. All measurements were performed at 22° C room temperature after 15 minutes of acclimatization. </w:t>
      </w:r>
    </w:p>
    <w:p w14:paraId="6E28BB64" w14:textId="77777777" w:rsidR="00F94F94" w:rsidRDefault="00F94F94" w:rsidP="00E13A9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C259D05" w14:textId="77777777" w:rsidR="00F94F94" w:rsidRDefault="00F94F94" w:rsidP="00F94F94">
      <w:pPr>
        <w:spacing w:after="0" w:line="480" w:lineRule="auto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Selection of lipids and microbes for in vitro analysis in reconstructed human skin </w:t>
      </w:r>
    </w:p>
    <w:p w14:paraId="1A057FD1" w14:textId="77777777" w:rsidR="00F94F94" w:rsidRDefault="00F94F94" w:rsidP="00F94F94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 select lipids in AD for further in vitro studies, reconstructed human epidermis (RHE) with primary keratinocytes were stimulated with T cell supernatant to mimic AD (RHE) and tape-stripped for lipid extraction. Lipids distributions were compared between RHE cultures and human donors. A reduced lipid- microbe correlation network was built, including lipids both present in RHE and study patients' skin</w:t>
      </w:r>
      <w:r w:rsidRPr="00AE2F6E">
        <w:t xml:space="preserve"> </w:t>
      </w:r>
      <w:r w:rsidRPr="00AE2F6E">
        <w:rPr>
          <w:rFonts w:ascii="Arial" w:eastAsia="Arial" w:hAnsi="Arial" w:cs="Arial"/>
          <w:sz w:val="24"/>
          <w:szCs w:val="24"/>
        </w:rPr>
        <w:t>(≥0.001 frequency)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AE2F6E">
        <w:rPr>
          <w:rFonts w:ascii="Arial" w:eastAsia="Arial" w:hAnsi="Arial" w:cs="Arial"/>
          <w:sz w:val="24"/>
          <w:szCs w:val="24"/>
        </w:rPr>
        <w:lastRenderedPageBreak/>
        <w:t xml:space="preserve">Microbes were included if their </w:t>
      </w:r>
      <w:r>
        <w:rPr>
          <w:rFonts w:ascii="Arial" w:eastAsia="Arial" w:hAnsi="Arial" w:cs="Arial"/>
          <w:sz w:val="24"/>
          <w:szCs w:val="24"/>
        </w:rPr>
        <w:t xml:space="preserve">frequency in study participants'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skin </w:t>
      </w:r>
      <w:r w:rsidRPr="00AE2F6E">
        <w:rPr>
          <w:rFonts w:ascii="Arial" w:eastAsia="Arial" w:hAnsi="Arial" w:cs="Arial"/>
          <w:sz w:val="24"/>
          <w:szCs w:val="24"/>
        </w:rPr>
        <w:t xml:space="preserve"> was</w:t>
      </w:r>
      <w:proofErr w:type="gramEnd"/>
      <w:r w:rsidRPr="00AE2F6E">
        <w:rPr>
          <w:rFonts w:ascii="Arial" w:eastAsia="Arial" w:hAnsi="Arial" w:cs="Arial"/>
          <w:sz w:val="24"/>
          <w:szCs w:val="24"/>
        </w:rPr>
        <w:t xml:space="preserve"> ≥0.01 and their </w:t>
      </w:r>
      <w:r>
        <w:rPr>
          <w:rFonts w:ascii="Arial" w:eastAsia="Arial" w:hAnsi="Arial" w:cs="Arial"/>
          <w:sz w:val="24"/>
          <w:szCs w:val="24"/>
        </w:rPr>
        <w:t>microbe-</w:t>
      </w:r>
      <w:r w:rsidRPr="00AE2F6E">
        <w:rPr>
          <w:rFonts w:ascii="Arial" w:eastAsia="Arial" w:hAnsi="Arial" w:cs="Arial"/>
          <w:sz w:val="24"/>
          <w:szCs w:val="24"/>
        </w:rPr>
        <w:t xml:space="preserve">lipid correlation was significant (PCC ≥ 0.5 or ≤ -0.5). </w:t>
      </w:r>
    </w:p>
    <w:p w14:paraId="600534D7" w14:textId="77777777" w:rsidR="00F94F94" w:rsidRDefault="00F94F94" w:rsidP="00F94F94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  <w:bookmarkStart w:id="2" w:name="_Hlk189408172"/>
    </w:p>
    <w:bookmarkEnd w:id="2"/>
    <w:p w14:paraId="42C8F39F" w14:textId="77777777" w:rsidR="00F94F94" w:rsidRDefault="00F94F94" w:rsidP="00F94F94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Reconstructed human epidermis (RHE) and Staphylococcus hominis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inoculation</w:t>
      </w:r>
      <w:proofErr w:type="gramEnd"/>
    </w:p>
    <w:p w14:paraId="3236FA99" w14:textId="07301103" w:rsidR="00F94F94" w:rsidRPr="00AE2F6E" w:rsidRDefault="00F94F94" w:rsidP="00F94F94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described previously</w:t>
      </w:r>
      <w:r w:rsidR="00FC4873">
        <w:rPr>
          <w:rFonts w:ascii="Arial" w:eastAsia="Arial" w:hAnsi="Arial" w:cs="Arial"/>
          <w:sz w:val="24"/>
          <w:szCs w:val="24"/>
          <w:vertAlign w:val="superscript"/>
        </w:rPr>
        <w:fldChar w:fldCharType="begin"/>
      </w:r>
      <w:r w:rsidR="00FC4873">
        <w:rPr>
          <w:rFonts w:ascii="Arial" w:eastAsia="Arial" w:hAnsi="Arial" w:cs="Arial"/>
          <w:sz w:val="24"/>
          <w:szCs w:val="24"/>
          <w:vertAlign w:val="superscript"/>
        </w:rPr>
        <w:instrText xml:space="preserve"> ADDIN EN.CITE &lt;EndNote&gt;&lt;Cite&gt;&lt;Author&gt;Lauffer&lt;/Author&gt;&lt;Year&gt;2018&lt;/Year&gt;&lt;RecNum&gt;1820&lt;/RecNum&gt;&lt;DisplayText&gt;&lt;style face="superscript"&gt;1&lt;/style&gt;&lt;/DisplayText&gt;&lt;record&gt;&lt;rec-number&gt;1820&lt;/rec-number&gt;&lt;foreign-keys&gt;&lt;key app="EN" db-id="2avt2x0e3v50z6edvr2p5v0vsr5zadz2rdvt" timestamp="1525791157"&gt;1820&lt;/key&gt;&lt;/foreign-keys&gt;&lt;ref-type name="Journal Article"&gt;17&lt;/ref-type&gt;&lt;contributors&gt;&lt;authors&gt;&lt;author&gt;Lauffer, F.&lt;/author&gt;&lt;author&gt;Jargosch, M.&lt;/author&gt;&lt;author&gt;Krause, L.&lt;/author&gt;&lt;author&gt;Garzorz-Stark, N.&lt;/author&gt;&lt;author&gt;Franz, R.&lt;/author&gt;&lt;author&gt;Roenneberg, S.&lt;/author&gt;&lt;author&gt;Bohner, A.&lt;/author&gt;&lt;author&gt;Mueller, N. S.&lt;/author&gt;&lt;author&gt;Theis, F. J.&lt;/author&gt;&lt;author&gt;Schmidt-Weber, C. B.&lt;/author&gt;&lt;author&gt;Biedermann, T.&lt;/author&gt;&lt;author&gt;Eyerich, S.&lt;/author&gt;&lt;author&gt;Eyerich, K.&lt;/author&gt;&lt;/authors&gt;&lt;/contributors&gt;&lt;auth-address&gt;Department of Dermatology and Allergy, Technical University of Munich, Munich, Germany. Electronic address: felix.lauffer@tum.de.&amp;#xD;Department of Dermatology and Allergy, Technical University of Munich, Munich, Germany.&amp;#xD;Institute of Computational Biology, Helmholtz Center Munich, Neuherberg, Germany.&amp;#xD;Institute of Computational Biology, Helmholtz Center Munich, Neuherberg, Germany; Department of Mathematics, Technical University of Munich, Garching, Germany.&amp;#xD;ZAUM-Center of Allergy and Environment, Technical University and Helmholtz Center Munich, Munich, Germany.&lt;/auth-address&gt;&lt;titles&gt;&lt;title&gt;Type I Immune Response Induces Keratinocyte Necroptosis and Is Associated with Interface Dermatitis&lt;/title&gt;&lt;secondary-title&gt;J Invest Dermatol&lt;/secondary-title&gt;&lt;/titles&gt;&lt;periodical&gt;&lt;full-title&gt;J Invest Dermatol&lt;/full-title&gt;&lt;/periodical&gt;&lt;dates&gt;&lt;year&gt;2018&lt;/year&gt;&lt;pub-dates&gt;&lt;date&gt;Mar 9&lt;/date&gt;&lt;/pub-dates&gt;&lt;/dates&gt;&lt;isbn&gt;1523-1747 (Electronic)&amp;#xD;0022-202X (Linking)&lt;/isbn&gt;&lt;accession-num&gt;29526761&lt;/accession-num&gt;&lt;urls&gt;&lt;related-urls&gt;&lt;url&gt;https://www.ncbi.nlm.nih.gov/pubmed/29526761&lt;/url&gt;&lt;/related-urls&gt;&lt;/urls&gt;&lt;electronic-resource-num&gt;10.1016/j.jid.2018.02.034&lt;/electronic-resource-num&gt;&lt;/record&gt;&lt;/Cite&gt;&lt;/EndNote&gt;</w:instrText>
      </w:r>
      <w:r w:rsidR="00FC4873">
        <w:rPr>
          <w:rFonts w:ascii="Arial" w:eastAsia="Arial" w:hAnsi="Arial" w:cs="Arial"/>
          <w:sz w:val="24"/>
          <w:szCs w:val="24"/>
          <w:vertAlign w:val="superscript"/>
        </w:rPr>
        <w:fldChar w:fldCharType="separate"/>
      </w:r>
      <w:r w:rsidR="00FC4873">
        <w:rPr>
          <w:rFonts w:ascii="Arial" w:eastAsia="Arial" w:hAnsi="Arial" w:cs="Arial"/>
          <w:noProof/>
          <w:sz w:val="24"/>
          <w:szCs w:val="24"/>
          <w:vertAlign w:val="superscript"/>
        </w:rPr>
        <w:t>1</w:t>
      </w:r>
      <w:r w:rsidR="00FC4873">
        <w:rPr>
          <w:rFonts w:ascii="Arial" w:eastAsia="Arial" w:hAnsi="Arial" w:cs="Arial"/>
          <w:sz w:val="24"/>
          <w:szCs w:val="24"/>
          <w:vertAlign w:val="superscript"/>
        </w:rPr>
        <w:fldChar w:fldCharType="end"/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, R</w:t>
      </w:r>
      <w:r w:rsidRPr="00AE2F6E">
        <w:rPr>
          <w:rFonts w:ascii="Arial" w:eastAsia="Arial" w:hAnsi="Arial" w:cs="Arial"/>
          <w:sz w:val="24"/>
          <w:szCs w:val="24"/>
        </w:rPr>
        <w:t xml:space="preserve">HE was generated by culturing 0.3 × 10⁶ primary human keratinocytes in collagen-coated inserts </w:t>
      </w:r>
      <w:r>
        <w:rPr>
          <w:rFonts w:ascii="Arial" w:eastAsia="Arial" w:hAnsi="Arial" w:cs="Arial"/>
          <w:sz w:val="24"/>
          <w:szCs w:val="24"/>
        </w:rPr>
        <w:t xml:space="preserve">(Millipore, PIHP01250) </w:t>
      </w:r>
      <w:r w:rsidRPr="00AE2F6E">
        <w:rPr>
          <w:rFonts w:ascii="Arial" w:eastAsia="Arial" w:hAnsi="Arial" w:cs="Arial"/>
          <w:sz w:val="24"/>
          <w:szCs w:val="24"/>
        </w:rPr>
        <w:t xml:space="preserve">within a 6-well plate using </w:t>
      </w:r>
      <w:r>
        <w:rPr>
          <w:rFonts w:ascii="Arial" w:eastAsia="Arial" w:hAnsi="Arial" w:cs="Arial"/>
          <w:sz w:val="24"/>
          <w:szCs w:val="24"/>
        </w:rPr>
        <w:t xml:space="preserve">keratinocyte </w:t>
      </w:r>
      <w:r w:rsidRPr="00AE2F6E">
        <w:rPr>
          <w:rFonts w:ascii="Arial" w:eastAsia="Arial" w:hAnsi="Arial" w:cs="Arial"/>
          <w:sz w:val="24"/>
          <w:szCs w:val="24"/>
        </w:rPr>
        <w:t xml:space="preserve">medium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DermaLife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Basal </w:t>
      </w:r>
      <w:r w:rsidRPr="00AE2F6E">
        <w:rPr>
          <w:rFonts w:ascii="Arial" w:eastAsia="Arial" w:hAnsi="Arial" w:cs="Arial"/>
          <w:sz w:val="24"/>
          <w:szCs w:val="24"/>
        </w:rPr>
        <w:t xml:space="preserve">Medium supplemented with </w:t>
      </w:r>
      <w:proofErr w:type="spellStart"/>
      <w:r w:rsidRPr="00AE2F6E">
        <w:rPr>
          <w:rFonts w:ascii="Arial" w:eastAsia="Arial" w:hAnsi="Arial" w:cs="Arial"/>
          <w:sz w:val="24"/>
          <w:szCs w:val="24"/>
        </w:rPr>
        <w:t>DermaLife</w:t>
      </w:r>
      <w:proofErr w:type="spellEnd"/>
      <w:r w:rsidRPr="00AE2F6E">
        <w:rPr>
          <w:rFonts w:ascii="Arial" w:eastAsia="Arial" w:hAnsi="Arial" w:cs="Arial"/>
          <w:sz w:val="24"/>
          <w:szCs w:val="24"/>
        </w:rPr>
        <w:t xml:space="preserve"> K </w:t>
      </w:r>
      <w:proofErr w:type="spellStart"/>
      <w:r w:rsidRPr="00AE2F6E">
        <w:rPr>
          <w:rFonts w:ascii="Arial" w:eastAsia="Arial" w:hAnsi="Arial" w:cs="Arial"/>
          <w:sz w:val="24"/>
          <w:szCs w:val="24"/>
        </w:rPr>
        <w:t>LifeFactor</w:t>
      </w:r>
      <w:proofErr w:type="spellEnd"/>
      <w:r w:rsidRPr="00AE2F6E">
        <w:rPr>
          <w:rFonts w:ascii="Arial" w:eastAsia="Arial" w:hAnsi="Arial" w:cs="Arial"/>
          <w:sz w:val="24"/>
          <w:szCs w:val="24"/>
        </w:rPr>
        <w:t xml:space="preserve"> Kit (Lifeline Cell Technology, LL-0007)) with 1.5 mM </w:t>
      </w:r>
      <w:proofErr w:type="spellStart"/>
      <w:r w:rsidRPr="00AE2F6E">
        <w:rPr>
          <w:rFonts w:ascii="Arial" w:eastAsia="Arial" w:hAnsi="Arial" w:cs="Arial"/>
          <w:sz w:val="24"/>
          <w:szCs w:val="24"/>
        </w:rPr>
        <w:t>CaCl</w:t>
      </w:r>
      <w:proofErr w:type="spellEnd"/>
      <w:r w:rsidRPr="00AE2F6E">
        <w:rPr>
          <w:rFonts w:ascii="Cambria Math" w:eastAsia="Arial" w:hAnsi="Cambria Math" w:cs="Cambria Math"/>
          <w:sz w:val="24"/>
          <w:szCs w:val="24"/>
        </w:rPr>
        <w:t>₂</w:t>
      </w:r>
      <w:r w:rsidRPr="00AE2F6E">
        <w:rPr>
          <w:rFonts w:ascii="Arial" w:eastAsia="Arial" w:hAnsi="Arial" w:cs="Arial"/>
          <w:sz w:val="24"/>
          <w:szCs w:val="24"/>
        </w:rPr>
        <w:t>. After two days, an airlift was performed, and the medium was supplemented with 50 µg/ml vitamin C</w:t>
      </w:r>
      <w:r>
        <w:rPr>
          <w:rFonts w:ascii="Arial" w:eastAsia="Arial" w:hAnsi="Arial" w:cs="Arial"/>
          <w:sz w:val="24"/>
          <w:szCs w:val="24"/>
        </w:rPr>
        <w:t xml:space="preserve"> (SIGMA, A5960-25G)</w:t>
      </w:r>
      <w:r w:rsidRPr="00AE2F6E">
        <w:rPr>
          <w:rFonts w:ascii="Arial" w:eastAsia="Arial" w:hAnsi="Arial" w:cs="Arial"/>
          <w:sz w:val="24"/>
          <w:szCs w:val="24"/>
        </w:rPr>
        <w:t>. The medium was replaced every two days.</w:t>
      </w:r>
    </w:p>
    <w:p w14:paraId="02387F46" w14:textId="77777777" w:rsidR="00F94F94" w:rsidRPr="00AE2F6E" w:rsidRDefault="00F94F94" w:rsidP="00F94F94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AE2F6E">
        <w:rPr>
          <w:rFonts w:ascii="Arial" w:eastAsia="Arial" w:hAnsi="Arial" w:cs="Arial"/>
          <w:sz w:val="24"/>
          <w:szCs w:val="24"/>
        </w:rPr>
        <w:t xml:space="preserve">After 12 days, RHE was stimulated with 1:10 diluted T cell supernatant (TCS) from </w:t>
      </w:r>
      <w:proofErr w:type="spellStart"/>
      <w:r w:rsidRPr="00AE2F6E">
        <w:rPr>
          <w:rFonts w:ascii="Arial" w:eastAsia="Arial" w:hAnsi="Arial" w:cs="Arial"/>
          <w:sz w:val="24"/>
          <w:szCs w:val="24"/>
        </w:rPr>
        <w:t>lesional</w:t>
      </w:r>
      <w:proofErr w:type="spellEnd"/>
      <w:r w:rsidRPr="00AE2F6E">
        <w:rPr>
          <w:rFonts w:ascii="Arial" w:eastAsia="Arial" w:hAnsi="Arial" w:cs="Arial"/>
          <w:sz w:val="24"/>
          <w:szCs w:val="24"/>
        </w:rPr>
        <w:t xml:space="preserve"> AD skin for 24 h (RNA) or 72 h (lipids/histology). Twenty-four hours before the end of stimulation, models were inoculated with 10⁵ or 10⁶ Staphylococcus </w:t>
      </w:r>
      <w:r w:rsidRPr="00D4593A">
        <w:rPr>
          <w:rFonts w:ascii="Arial" w:eastAsia="Arial" w:hAnsi="Arial" w:cs="Arial"/>
          <w:i/>
          <w:iCs/>
          <w:sz w:val="24"/>
          <w:szCs w:val="24"/>
        </w:rPr>
        <w:t>hominis</w:t>
      </w:r>
      <w:r w:rsidRPr="00AE2F6E">
        <w:rPr>
          <w:rFonts w:ascii="Arial" w:eastAsia="Arial" w:hAnsi="Arial" w:cs="Arial"/>
          <w:sz w:val="24"/>
          <w:szCs w:val="24"/>
        </w:rPr>
        <w:t xml:space="preserve"> in PBS, followed by aspiration after 1 hour.</w:t>
      </w:r>
    </w:p>
    <w:p w14:paraId="4C77630A" w14:textId="77777777" w:rsidR="00F94F94" w:rsidRPr="00AE2F6E" w:rsidRDefault="00F94F94" w:rsidP="00F94F94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AE2F6E">
        <w:rPr>
          <w:rFonts w:ascii="Arial" w:eastAsia="Arial" w:hAnsi="Arial" w:cs="Arial"/>
          <w:sz w:val="24"/>
          <w:szCs w:val="24"/>
        </w:rPr>
        <w:t>At the end of stimulation, RHE samples were:</w:t>
      </w:r>
    </w:p>
    <w:p w14:paraId="1B1F62D6" w14:textId="77777777" w:rsidR="00F94F94" w:rsidRPr="00AE2F6E" w:rsidRDefault="00F94F94" w:rsidP="00F94F94">
      <w:pPr>
        <w:numPr>
          <w:ilvl w:val="0"/>
          <w:numId w:val="1"/>
        </w:num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de-DE"/>
        </w:rPr>
      </w:pPr>
      <w:proofErr w:type="spellStart"/>
      <w:r w:rsidRPr="00AE2F6E">
        <w:rPr>
          <w:rFonts w:ascii="Arial" w:eastAsia="Arial" w:hAnsi="Arial" w:cs="Arial"/>
          <w:sz w:val="24"/>
          <w:szCs w:val="24"/>
          <w:lang w:val="de-DE"/>
        </w:rPr>
        <w:t>Collected</w:t>
      </w:r>
      <w:proofErr w:type="spellEnd"/>
      <w:r w:rsidRPr="00AE2F6E">
        <w:rPr>
          <w:rFonts w:ascii="Arial" w:eastAsia="Arial" w:hAnsi="Arial" w:cs="Arial"/>
          <w:sz w:val="24"/>
          <w:szCs w:val="24"/>
          <w:lang w:val="de-DE"/>
        </w:rPr>
        <w:t xml:space="preserve"> in RLT-Plus </w:t>
      </w:r>
      <w:proofErr w:type="spellStart"/>
      <w:r w:rsidRPr="00AE2F6E">
        <w:rPr>
          <w:rFonts w:ascii="Arial" w:eastAsia="Arial" w:hAnsi="Arial" w:cs="Arial"/>
          <w:sz w:val="24"/>
          <w:szCs w:val="24"/>
          <w:lang w:val="de-DE"/>
        </w:rPr>
        <w:t>buffer</w:t>
      </w:r>
      <w:proofErr w:type="spellEnd"/>
      <w:r w:rsidRPr="00AE2F6E">
        <w:rPr>
          <w:rFonts w:ascii="Arial" w:eastAsia="Arial" w:hAnsi="Arial" w:cs="Arial"/>
          <w:sz w:val="24"/>
          <w:szCs w:val="24"/>
          <w:lang w:val="de-DE"/>
        </w:rPr>
        <w:t xml:space="preserve"> (RNA </w:t>
      </w:r>
      <w:proofErr w:type="spellStart"/>
      <w:r w:rsidRPr="00AE2F6E">
        <w:rPr>
          <w:rFonts w:ascii="Arial" w:eastAsia="Arial" w:hAnsi="Arial" w:cs="Arial"/>
          <w:sz w:val="24"/>
          <w:szCs w:val="24"/>
          <w:lang w:val="de-DE"/>
        </w:rPr>
        <w:t>isolation</w:t>
      </w:r>
      <w:proofErr w:type="spellEnd"/>
      <w:r w:rsidRPr="00AE2F6E">
        <w:rPr>
          <w:rFonts w:ascii="Arial" w:eastAsia="Arial" w:hAnsi="Arial" w:cs="Arial"/>
          <w:sz w:val="24"/>
          <w:szCs w:val="24"/>
          <w:lang w:val="de-DE"/>
        </w:rPr>
        <w:t>)</w:t>
      </w:r>
    </w:p>
    <w:p w14:paraId="1E1F5AF3" w14:textId="77777777" w:rsidR="00F94F94" w:rsidRPr="00AE2F6E" w:rsidRDefault="00F94F94" w:rsidP="00F94F94">
      <w:pPr>
        <w:numPr>
          <w:ilvl w:val="0"/>
          <w:numId w:val="1"/>
        </w:num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AE2F6E">
        <w:rPr>
          <w:rFonts w:ascii="Arial" w:eastAsia="Arial" w:hAnsi="Arial" w:cs="Arial"/>
          <w:sz w:val="24"/>
          <w:szCs w:val="24"/>
        </w:rPr>
        <w:t xml:space="preserve">Tape-stripped </w:t>
      </w:r>
      <w:r w:rsidRPr="00F838CC">
        <w:rPr>
          <w:rFonts w:ascii="Arial" w:eastAsia="Arial" w:hAnsi="Arial" w:cs="Arial"/>
          <w:sz w:val="24"/>
          <w:szCs w:val="24"/>
        </w:rPr>
        <w:t xml:space="preserve">using D101-Squame discs </w:t>
      </w:r>
      <w:r w:rsidRPr="00AE2F6E">
        <w:rPr>
          <w:rFonts w:ascii="Arial" w:eastAsia="Arial" w:hAnsi="Arial" w:cs="Arial"/>
          <w:sz w:val="24"/>
          <w:szCs w:val="24"/>
        </w:rPr>
        <w:t>(lipid sampling)</w:t>
      </w:r>
    </w:p>
    <w:p w14:paraId="33F0E063" w14:textId="77777777" w:rsidR="00F94F94" w:rsidRPr="00F838CC" w:rsidRDefault="00F94F94" w:rsidP="00F94F94">
      <w:pPr>
        <w:numPr>
          <w:ilvl w:val="0"/>
          <w:numId w:val="1"/>
        </w:numPr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de-DE"/>
        </w:rPr>
      </w:pPr>
      <w:r w:rsidRPr="00AE2F6E">
        <w:rPr>
          <w:rFonts w:ascii="Arial" w:eastAsia="Arial" w:hAnsi="Arial" w:cs="Arial"/>
          <w:sz w:val="24"/>
          <w:szCs w:val="24"/>
          <w:lang w:val="de-DE"/>
        </w:rPr>
        <w:t xml:space="preserve">Fixed in 4% </w:t>
      </w:r>
      <w:proofErr w:type="spellStart"/>
      <w:r w:rsidRPr="00AE2F6E">
        <w:rPr>
          <w:rFonts w:ascii="Arial" w:eastAsia="Arial" w:hAnsi="Arial" w:cs="Arial"/>
          <w:sz w:val="24"/>
          <w:szCs w:val="24"/>
          <w:lang w:val="de-DE"/>
        </w:rPr>
        <w:t>formaldehyde</w:t>
      </w:r>
      <w:proofErr w:type="spellEnd"/>
      <w:r w:rsidRPr="00AE2F6E">
        <w:rPr>
          <w:rFonts w:ascii="Arial" w:eastAsia="Arial" w:hAnsi="Arial" w:cs="Arial"/>
          <w:sz w:val="24"/>
          <w:szCs w:val="24"/>
          <w:lang w:val="de-DE"/>
        </w:rPr>
        <w:t xml:space="preserve"> (</w:t>
      </w:r>
      <w:proofErr w:type="spellStart"/>
      <w:r w:rsidRPr="00AE2F6E">
        <w:rPr>
          <w:rFonts w:ascii="Arial" w:eastAsia="Arial" w:hAnsi="Arial" w:cs="Arial"/>
          <w:sz w:val="24"/>
          <w:szCs w:val="24"/>
          <w:lang w:val="de-DE"/>
        </w:rPr>
        <w:t>histology</w:t>
      </w:r>
      <w:proofErr w:type="spellEnd"/>
      <w:r w:rsidRPr="00AE2F6E">
        <w:rPr>
          <w:rFonts w:ascii="Arial" w:eastAsia="Arial" w:hAnsi="Arial" w:cs="Arial"/>
          <w:sz w:val="24"/>
          <w:szCs w:val="24"/>
          <w:lang w:val="de-DE"/>
        </w:rPr>
        <w:t>)</w:t>
      </w:r>
    </w:p>
    <w:p w14:paraId="6A3263D6" w14:textId="77777777" w:rsidR="00F94F94" w:rsidRDefault="00F94F94" w:rsidP="00E13A91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49752B13" w14:textId="77777777" w:rsidR="00E13A91" w:rsidRDefault="00E13A91" w:rsidP="00E13A91">
      <w:pPr>
        <w:spacing w:after="0" w:line="48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Histology and H&amp;E staining</w:t>
      </w:r>
    </w:p>
    <w:p w14:paraId="2F024D19" w14:textId="77777777" w:rsidR="00E13A91" w:rsidRDefault="00E13A91" w:rsidP="00E13A91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Fixated RHE were divided into two pieces and embedded in paraffin. 5 µm sections were cut and dewaxed at 65 °C for 20 min. After rehydration, sections were stained with hematoxylin and eosin using standard methods. High resolution images (20x) were obtained with Evos microscope. </w:t>
      </w:r>
      <w:r>
        <w:rPr>
          <w:rFonts w:ascii="Arial" w:eastAsia="Arial" w:hAnsi="Arial" w:cs="Arial"/>
          <w:i/>
          <w:sz w:val="24"/>
          <w:szCs w:val="24"/>
        </w:rPr>
        <w:t xml:space="preserve">Quantification: </w:t>
      </w:r>
      <w:r>
        <w:rPr>
          <w:rFonts w:ascii="Arial" w:eastAsia="Arial" w:hAnsi="Arial" w:cs="Arial"/>
          <w:sz w:val="24"/>
          <w:szCs w:val="24"/>
        </w:rPr>
        <w:t xml:space="preserve">Epidermal thickness and spongiosis was quantified using ImageJ measurement tool. </w:t>
      </w:r>
    </w:p>
    <w:p w14:paraId="74459459" w14:textId="77777777" w:rsidR="00D4593A" w:rsidRDefault="00D4593A" w:rsidP="00E13A91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3672EE8" w14:textId="346DD307" w:rsidR="00E13A91" w:rsidRDefault="00E13A91" w:rsidP="00E13A91">
      <w:pPr>
        <w:spacing w:after="0"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lastRenderedPageBreak/>
        <w:t>RNA analysis</w:t>
      </w:r>
    </w:p>
    <w:p w14:paraId="487F3254" w14:textId="589686EC" w:rsidR="00D801E3" w:rsidRDefault="00E13A91" w:rsidP="00E13A91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RNA from keratinocyte skin equivalents was isolated using RNeasy Mini Plus Kit (Qiagen) according to manufacturer’s protocol. mRNA was transcribed into cDNA with Applied </w:t>
      </w:r>
      <w:proofErr w:type="spellStart"/>
      <w:r>
        <w:rPr>
          <w:rFonts w:ascii="Arial" w:eastAsia="Arial" w:hAnsi="Arial" w:cs="Arial"/>
          <w:sz w:val="24"/>
          <w:szCs w:val="24"/>
        </w:rPr>
        <w:t>Biosytems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High Capacity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cDNA Reverse Transcription Kit (</w:t>
      </w:r>
      <w:proofErr w:type="spellStart"/>
      <w:r>
        <w:rPr>
          <w:rFonts w:ascii="Arial" w:eastAsia="Arial" w:hAnsi="Arial" w:cs="Arial"/>
          <w:sz w:val="24"/>
          <w:szCs w:val="24"/>
        </w:rPr>
        <w:t>Thermo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Fisher Scientific). Gene expression was measured on an Applied Biosystems ViiA7 Real-Time PCR system (</w:t>
      </w:r>
      <w:proofErr w:type="spellStart"/>
      <w:r>
        <w:rPr>
          <w:rFonts w:ascii="Arial" w:eastAsia="Arial" w:hAnsi="Arial" w:cs="Arial"/>
          <w:sz w:val="24"/>
          <w:szCs w:val="24"/>
        </w:rPr>
        <w:t>Thermo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Fisher Scientific) using Fast Start Universal </w:t>
      </w:r>
      <w:proofErr w:type="spellStart"/>
      <w:r>
        <w:rPr>
          <w:rFonts w:ascii="Arial" w:eastAsia="Arial" w:hAnsi="Arial" w:cs="Arial"/>
          <w:sz w:val="24"/>
          <w:szCs w:val="24"/>
        </w:rPr>
        <w:t>SYBRGreen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Master </w:t>
      </w:r>
      <w:proofErr w:type="spellStart"/>
      <w:r>
        <w:rPr>
          <w:rFonts w:ascii="Arial" w:eastAsia="Arial" w:hAnsi="Arial" w:cs="Arial"/>
          <w:sz w:val="24"/>
          <w:szCs w:val="24"/>
        </w:rPr>
        <w:t>Rox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(Roche). Primers were ordered from </w:t>
      </w:r>
      <w:proofErr w:type="spellStart"/>
      <w:r>
        <w:rPr>
          <w:rFonts w:ascii="Arial" w:eastAsia="Arial" w:hAnsi="Arial" w:cs="Arial"/>
          <w:sz w:val="24"/>
          <w:szCs w:val="24"/>
        </w:rPr>
        <w:t>Metabion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(http://www.metabion.com) and are listed in supplementary Table S2. Data are normalized to housekeeper gene </w:t>
      </w:r>
      <w:r>
        <w:rPr>
          <w:rFonts w:ascii="Arial" w:eastAsia="Arial" w:hAnsi="Arial" w:cs="Arial"/>
          <w:i/>
          <w:sz w:val="24"/>
          <w:szCs w:val="24"/>
        </w:rPr>
        <w:t>18S</w:t>
      </w:r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Δct</w:t>
      </w:r>
      <w:proofErr w:type="spellEnd"/>
      <w:r>
        <w:rPr>
          <w:rFonts w:ascii="Arial" w:eastAsia="Arial" w:hAnsi="Arial" w:cs="Arial"/>
          <w:sz w:val="24"/>
          <w:szCs w:val="24"/>
        </w:rPr>
        <w:t>) and shown as relative gene expression to stimulation control AD-TCS using 2</w:t>
      </w:r>
      <w:r>
        <w:rPr>
          <w:rFonts w:ascii="Arial" w:eastAsia="Arial" w:hAnsi="Arial" w:cs="Arial"/>
          <w:sz w:val="24"/>
          <w:szCs w:val="24"/>
          <w:vertAlign w:val="superscript"/>
        </w:rPr>
        <w:t>-(</w:t>
      </w:r>
      <w:proofErr w:type="spellStart"/>
      <w:r>
        <w:rPr>
          <w:rFonts w:ascii="Arial" w:eastAsia="Arial" w:hAnsi="Arial" w:cs="Arial"/>
          <w:sz w:val="24"/>
          <w:szCs w:val="24"/>
          <w:vertAlign w:val="superscript"/>
        </w:rPr>
        <w:t>ΔΔct</w:t>
      </w:r>
      <w:proofErr w:type="spellEnd"/>
      <w:r>
        <w:rPr>
          <w:rFonts w:ascii="Arial" w:eastAsia="Arial" w:hAnsi="Arial" w:cs="Arial"/>
          <w:sz w:val="24"/>
          <w:szCs w:val="24"/>
          <w:vertAlign w:val="superscript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method. </w:t>
      </w:r>
    </w:p>
    <w:p w14:paraId="21C2E4E7" w14:textId="77777777" w:rsidR="00D801E3" w:rsidRDefault="00D801E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C127F2C" w14:textId="05BDEA61" w:rsidR="00E83063" w:rsidRPr="007E6F30" w:rsidRDefault="00E83063" w:rsidP="00E83063">
      <w:pPr>
        <w:pStyle w:val="StandardWeb"/>
        <w:shd w:val="clear" w:color="auto" w:fill="FFFFFF"/>
        <w:spacing w:before="0" w:beforeAutospacing="0" w:after="150" w:afterAutospacing="0" w:line="480" w:lineRule="auto"/>
        <w:jc w:val="both"/>
        <w:rPr>
          <w:rFonts w:ascii="Arial" w:hAnsi="Arial" w:cs="Arial"/>
          <w:b/>
        </w:rPr>
      </w:pPr>
      <w:r w:rsidRPr="007E6F30">
        <w:rPr>
          <w:rFonts w:ascii="Arial" w:hAnsi="Arial" w:cs="Arial"/>
          <w:b/>
        </w:rPr>
        <w:lastRenderedPageBreak/>
        <w:t>Supplementary Tables</w:t>
      </w:r>
    </w:p>
    <w:p w14:paraId="0CA5780E" w14:textId="77777777" w:rsidR="00E83063" w:rsidRPr="000C282D" w:rsidRDefault="00E83063" w:rsidP="00E83063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7E6F30">
        <w:rPr>
          <w:rFonts w:ascii="Arial" w:eastAsia="Times New Roman" w:hAnsi="Arial" w:cs="Arial"/>
          <w:sz w:val="24"/>
          <w:szCs w:val="24"/>
          <w:lang w:val="en-GB"/>
        </w:rPr>
        <w:t>Table S</w:t>
      </w:r>
      <w:r>
        <w:rPr>
          <w:rFonts w:ascii="Arial" w:eastAsia="Times New Roman" w:hAnsi="Arial" w:cs="Arial"/>
          <w:sz w:val="24"/>
          <w:szCs w:val="24"/>
          <w:lang w:val="en-GB"/>
        </w:rPr>
        <w:t>1</w:t>
      </w:r>
      <w:r w:rsidRPr="007E6F30">
        <w:rPr>
          <w:rFonts w:ascii="Arial" w:eastAsia="Times New Roman" w:hAnsi="Arial" w:cs="Arial"/>
          <w:sz w:val="24"/>
          <w:szCs w:val="24"/>
          <w:lang w:val="en-GB"/>
        </w:rPr>
        <w:t>: Composition of cytokines within AD-TCS.</w:t>
      </w:r>
      <w:r>
        <w:rPr>
          <w:rFonts w:ascii="Arial" w:eastAsia="Times New Roman" w:hAnsi="Arial" w:cs="Arial"/>
          <w:sz w:val="24"/>
          <w:szCs w:val="24"/>
          <w:lang w:val="en-GB"/>
        </w:rPr>
        <w:t xml:space="preserve"> Concentrations are shown as </w:t>
      </w:r>
      <w:proofErr w:type="spellStart"/>
      <w:r>
        <w:rPr>
          <w:rFonts w:ascii="Arial" w:eastAsia="Times New Roman" w:hAnsi="Arial" w:cs="Arial"/>
          <w:sz w:val="24"/>
          <w:szCs w:val="24"/>
          <w:lang w:val="en-GB"/>
        </w:rPr>
        <w:t>pg</w:t>
      </w:r>
      <w:proofErr w:type="spellEnd"/>
      <w:r>
        <w:rPr>
          <w:rFonts w:ascii="Arial" w:eastAsia="Times New Roman" w:hAnsi="Arial" w:cs="Arial"/>
          <w:sz w:val="24"/>
          <w:szCs w:val="24"/>
          <w:lang w:val="en-GB"/>
        </w:rPr>
        <w:t>/ml.</w:t>
      </w:r>
    </w:p>
    <w:tbl>
      <w:tblPr>
        <w:tblStyle w:val="EinfacheTabelle2"/>
        <w:tblW w:w="9240" w:type="dxa"/>
        <w:tblLook w:val="04A0" w:firstRow="1" w:lastRow="0" w:firstColumn="1" w:lastColumn="0" w:noHBand="0" w:noVBand="1"/>
      </w:tblPr>
      <w:tblGrid>
        <w:gridCol w:w="856"/>
        <w:gridCol w:w="1680"/>
        <w:gridCol w:w="1396"/>
        <w:gridCol w:w="1184"/>
        <w:gridCol w:w="805"/>
        <w:gridCol w:w="1037"/>
        <w:gridCol w:w="1204"/>
        <w:gridCol w:w="1078"/>
      </w:tblGrid>
      <w:tr w:rsidR="00E83063" w:rsidRPr="000C282D" w14:paraId="668C318D" w14:textId="77777777" w:rsidTr="00D459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42FB65FC" w14:textId="77777777" w:rsidR="00E83063" w:rsidRPr="000C282D" w:rsidRDefault="00E83063" w:rsidP="00BE7E9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/ml</w:t>
            </w:r>
          </w:p>
        </w:tc>
        <w:tc>
          <w:tcPr>
            <w:tcW w:w="1680" w:type="dxa"/>
          </w:tcPr>
          <w:p w14:paraId="41845787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IL-4</w:t>
            </w:r>
          </w:p>
        </w:tc>
        <w:tc>
          <w:tcPr>
            <w:tcW w:w="1396" w:type="dxa"/>
          </w:tcPr>
          <w:p w14:paraId="0D1EADDD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IL-13</w:t>
            </w:r>
          </w:p>
        </w:tc>
        <w:tc>
          <w:tcPr>
            <w:tcW w:w="1184" w:type="dxa"/>
          </w:tcPr>
          <w:p w14:paraId="6D00A643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IL-22</w:t>
            </w:r>
          </w:p>
        </w:tc>
        <w:tc>
          <w:tcPr>
            <w:tcW w:w="805" w:type="dxa"/>
          </w:tcPr>
          <w:p w14:paraId="4CF75445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IL-6</w:t>
            </w:r>
          </w:p>
        </w:tc>
        <w:tc>
          <w:tcPr>
            <w:tcW w:w="1037" w:type="dxa"/>
          </w:tcPr>
          <w:p w14:paraId="4768C5B0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IL-17A</w:t>
            </w:r>
          </w:p>
        </w:tc>
        <w:tc>
          <w:tcPr>
            <w:tcW w:w="1204" w:type="dxa"/>
          </w:tcPr>
          <w:p w14:paraId="1974DCFD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TNF-α</w:t>
            </w:r>
          </w:p>
        </w:tc>
        <w:tc>
          <w:tcPr>
            <w:tcW w:w="1078" w:type="dxa"/>
          </w:tcPr>
          <w:p w14:paraId="334E868A" w14:textId="77777777" w:rsidR="00E83063" w:rsidRPr="000C282D" w:rsidRDefault="00E83063" w:rsidP="00BE7E9D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IFN-γ</w:t>
            </w:r>
          </w:p>
        </w:tc>
      </w:tr>
      <w:tr w:rsidR="00E83063" w:rsidRPr="000C282D" w14:paraId="0BFBE603" w14:textId="77777777" w:rsidTr="00D45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2B55CAC3" w14:textId="77777777" w:rsidR="00E83063" w:rsidRPr="000C282D" w:rsidRDefault="00E83063" w:rsidP="00BE7E9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AD1</w:t>
            </w:r>
          </w:p>
          <w:p w14:paraId="15505AD5" w14:textId="77777777" w:rsidR="00E83063" w:rsidRPr="000C282D" w:rsidRDefault="00E83063" w:rsidP="00BE7E9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</w:tcPr>
          <w:p w14:paraId="46B95580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4645</w:t>
            </w:r>
          </w:p>
        </w:tc>
        <w:tc>
          <w:tcPr>
            <w:tcW w:w="1396" w:type="dxa"/>
          </w:tcPr>
          <w:p w14:paraId="4F11EB36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73869</w:t>
            </w:r>
          </w:p>
        </w:tc>
        <w:tc>
          <w:tcPr>
            <w:tcW w:w="1184" w:type="dxa"/>
          </w:tcPr>
          <w:p w14:paraId="7D795D0A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8933</w:t>
            </w:r>
          </w:p>
        </w:tc>
        <w:tc>
          <w:tcPr>
            <w:tcW w:w="805" w:type="dxa"/>
          </w:tcPr>
          <w:p w14:paraId="33F35473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14:paraId="18FB9785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06F097B2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2720</w:t>
            </w:r>
          </w:p>
        </w:tc>
        <w:tc>
          <w:tcPr>
            <w:tcW w:w="1078" w:type="dxa"/>
          </w:tcPr>
          <w:p w14:paraId="56F83AFD" w14:textId="77777777" w:rsidR="00E83063" w:rsidRPr="000C282D" w:rsidRDefault="00E83063" w:rsidP="00BE7E9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83063" w:rsidRPr="000C282D" w14:paraId="36DC56CB" w14:textId="77777777" w:rsidTr="00D4593A">
        <w:trPr>
          <w:trHeight w:hRule="exact"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59B3BC5B" w14:textId="77777777" w:rsidR="00E83063" w:rsidRPr="000C282D" w:rsidRDefault="00E83063" w:rsidP="00BE7E9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AD2</w:t>
            </w:r>
          </w:p>
        </w:tc>
        <w:tc>
          <w:tcPr>
            <w:tcW w:w="1680" w:type="dxa"/>
          </w:tcPr>
          <w:p w14:paraId="5F4DE2E5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3733</w:t>
            </w:r>
          </w:p>
        </w:tc>
        <w:tc>
          <w:tcPr>
            <w:tcW w:w="1396" w:type="dxa"/>
          </w:tcPr>
          <w:p w14:paraId="4A06645A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45729</w:t>
            </w:r>
          </w:p>
        </w:tc>
        <w:tc>
          <w:tcPr>
            <w:tcW w:w="1184" w:type="dxa"/>
          </w:tcPr>
          <w:p w14:paraId="72449F84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1734</w:t>
            </w:r>
          </w:p>
        </w:tc>
        <w:tc>
          <w:tcPr>
            <w:tcW w:w="805" w:type="dxa"/>
          </w:tcPr>
          <w:p w14:paraId="4DA88E74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14:paraId="566DC996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CDB6A57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3277</w:t>
            </w:r>
          </w:p>
        </w:tc>
        <w:tc>
          <w:tcPr>
            <w:tcW w:w="1078" w:type="dxa"/>
          </w:tcPr>
          <w:p w14:paraId="188B6632" w14:textId="77777777" w:rsidR="00E83063" w:rsidRPr="000C282D" w:rsidRDefault="00E83063" w:rsidP="00BE7E9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C282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3DFA804A" w14:textId="77777777" w:rsidR="00E83063" w:rsidRPr="007E6F30" w:rsidRDefault="00E83063" w:rsidP="00E83063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4E1868DB" w14:textId="77777777" w:rsidR="00E83063" w:rsidRPr="000C282D" w:rsidRDefault="00E83063" w:rsidP="00E83063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7E6F30">
        <w:rPr>
          <w:rFonts w:ascii="Arial" w:eastAsia="Times New Roman" w:hAnsi="Arial" w:cs="Arial"/>
          <w:sz w:val="24"/>
          <w:szCs w:val="24"/>
          <w:lang w:val="en-GB"/>
        </w:rPr>
        <w:t>Table S2: Primer sequences.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484"/>
        <w:gridCol w:w="590"/>
        <w:gridCol w:w="4313"/>
      </w:tblGrid>
      <w:tr w:rsidR="00E83063" w:rsidRPr="000C282D" w14:paraId="2EE611ED" w14:textId="77777777" w:rsidTr="00BE7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197B6876" w14:textId="77777777" w:rsidR="00E83063" w:rsidRPr="000C282D" w:rsidRDefault="00E83063" w:rsidP="00BE7E9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C282D">
              <w:rPr>
                <w:rFonts w:ascii="Arial" w:hAnsi="Arial" w:cs="Arial"/>
                <w:sz w:val="24"/>
                <w:szCs w:val="24"/>
                <w:lang w:val="en-GB"/>
              </w:rPr>
              <w:t>Gene</w:t>
            </w:r>
          </w:p>
        </w:tc>
        <w:tc>
          <w:tcPr>
            <w:tcW w:w="4903" w:type="dxa"/>
            <w:gridSpan w:val="2"/>
          </w:tcPr>
          <w:p w14:paraId="2E63349C" w14:textId="77777777" w:rsidR="00E83063" w:rsidRPr="000C282D" w:rsidRDefault="00E83063" w:rsidP="00BE7E9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C282D">
              <w:rPr>
                <w:rFonts w:ascii="Arial" w:hAnsi="Arial" w:cs="Arial"/>
                <w:sz w:val="24"/>
                <w:szCs w:val="24"/>
                <w:lang w:val="en-GB"/>
              </w:rPr>
              <w:t>Sequence (5’-3’)</w:t>
            </w:r>
          </w:p>
        </w:tc>
      </w:tr>
      <w:tr w:rsidR="00E83063" w:rsidRPr="000C282D" w14:paraId="00CC96A9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4B4A6EFD" w14:textId="77777777" w:rsidR="00E83063" w:rsidRPr="00652E98" w:rsidRDefault="00E83063" w:rsidP="00BE7E9D">
            <w:pPr>
              <w:spacing w:line="480" w:lineRule="auto"/>
              <w:rPr>
                <w:rFonts w:ascii="Arial" w:hAnsi="Arial" w:cs="Arial"/>
                <w:i/>
                <w:lang w:val="en-GB"/>
              </w:rPr>
            </w:pPr>
            <w:r w:rsidRPr="00652E98">
              <w:rPr>
                <w:rFonts w:ascii="Arial" w:hAnsi="Arial" w:cs="Arial"/>
                <w:i/>
                <w:lang w:val="en-GB"/>
              </w:rPr>
              <w:t>18S</w:t>
            </w:r>
          </w:p>
        </w:tc>
        <w:tc>
          <w:tcPr>
            <w:tcW w:w="590" w:type="dxa"/>
            <w:tcBorders>
              <w:bottom w:val="none" w:sz="4" w:space="0" w:color="000000"/>
            </w:tcBorders>
          </w:tcPr>
          <w:p w14:paraId="0190BB1A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52E98">
              <w:rPr>
                <w:rFonts w:ascii="Arial" w:hAnsi="Arial" w:cs="Arial"/>
                <w:lang w:val="en-GB"/>
              </w:rPr>
              <w:t>fw</w:t>
            </w:r>
            <w:proofErr w:type="spellEnd"/>
          </w:p>
        </w:tc>
        <w:tc>
          <w:tcPr>
            <w:tcW w:w="4313" w:type="dxa"/>
            <w:tcBorders>
              <w:bottom w:val="none" w:sz="4" w:space="0" w:color="000000"/>
            </w:tcBorders>
          </w:tcPr>
          <w:p w14:paraId="28668A19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652E98">
              <w:rPr>
                <w:rFonts w:ascii="Arial" w:hAnsi="Arial" w:cs="Arial"/>
                <w:lang w:val="en-GB"/>
              </w:rPr>
              <w:t>GTAACCCGTTGAACCCCATT</w:t>
            </w:r>
          </w:p>
        </w:tc>
      </w:tr>
      <w:tr w:rsidR="00E83063" w:rsidRPr="000C282D" w14:paraId="4E12020C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43BC8B80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590" w:type="dxa"/>
            <w:tcBorders>
              <w:top w:val="none" w:sz="4" w:space="0" w:color="000000"/>
              <w:bottom w:val="single" w:sz="4" w:space="0" w:color="auto"/>
            </w:tcBorders>
          </w:tcPr>
          <w:p w14:paraId="3340953E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52E98">
              <w:rPr>
                <w:rFonts w:ascii="Arial" w:hAnsi="Arial" w:cs="Arial"/>
                <w:lang w:val="en-GB"/>
              </w:rPr>
              <w:t>rv</w:t>
            </w:r>
            <w:proofErr w:type="spellEnd"/>
          </w:p>
        </w:tc>
        <w:tc>
          <w:tcPr>
            <w:tcW w:w="4313" w:type="dxa"/>
            <w:tcBorders>
              <w:top w:val="none" w:sz="4" w:space="0" w:color="000000"/>
              <w:bottom w:val="single" w:sz="4" w:space="0" w:color="auto"/>
            </w:tcBorders>
          </w:tcPr>
          <w:p w14:paraId="4FAA29CA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652E98">
              <w:rPr>
                <w:rFonts w:ascii="Arial" w:hAnsi="Arial" w:cs="Arial"/>
                <w:lang w:val="en-GB"/>
              </w:rPr>
              <w:t>CCATCCAATCGGTAGTAGCG</w:t>
            </w:r>
          </w:p>
        </w:tc>
      </w:tr>
      <w:tr w:rsidR="00E83063" w:rsidRPr="000C282D" w14:paraId="034C257E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23E57422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652E98">
              <w:rPr>
                <w:rFonts w:ascii="Arial" w:hAnsi="Arial" w:cs="Arial"/>
                <w:i/>
                <w:lang w:val="en-GB"/>
              </w:rPr>
              <w:t>CCL2</w:t>
            </w:r>
          </w:p>
        </w:tc>
        <w:tc>
          <w:tcPr>
            <w:tcW w:w="590" w:type="dxa"/>
            <w:tcBorders>
              <w:top w:val="single" w:sz="4" w:space="0" w:color="auto"/>
              <w:bottom w:val="none" w:sz="4" w:space="0" w:color="000000"/>
            </w:tcBorders>
          </w:tcPr>
          <w:p w14:paraId="34A4F3CD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52E98">
              <w:rPr>
                <w:rFonts w:ascii="Arial" w:hAnsi="Arial" w:cs="Arial"/>
                <w:lang w:val="en-GB"/>
              </w:rPr>
              <w:t>fw</w:t>
            </w:r>
            <w:proofErr w:type="spellEnd"/>
          </w:p>
          <w:p w14:paraId="3729C2D6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none" w:sz="4" w:space="0" w:color="000000"/>
            </w:tcBorders>
          </w:tcPr>
          <w:p w14:paraId="58244A88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652E98">
              <w:rPr>
                <w:rFonts w:ascii="Arial" w:hAnsi="Arial" w:cs="Arial"/>
                <w:lang w:val="en-GB"/>
              </w:rPr>
              <w:t>TCCCAAAGAAGCTGTGATCTTCA</w:t>
            </w:r>
          </w:p>
        </w:tc>
      </w:tr>
      <w:tr w:rsidR="00E83063" w:rsidRPr="000C282D" w14:paraId="7D2B8B04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1B46FD56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590" w:type="dxa"/>
            <w:tcBorders>
              <w:top w:val="none" w:sz="4" w:space="0" w:color="000000"/>
              <w:bottom w:val="single" w:sz="4" w:space="0" w:color="7F7F7F" w:themeColor="text1" w:themeTint="80"/>
            </w:tcBorders>
          </w:tcPr>
          <w:p w14:paraId="0D718651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52E98">
              <w:rPr>
                <w:rFonts w:ascii="Arial" w:hAnsi="Arial" w:cs="Arial"/>
                <w:lang w:val="en-GB"/>
              </w:rPr>
              <w:t>rv</w:t>
            </w:r>
            <w:proofErr w:type="spellEnd"/>
          </w:p>
        </w:tc>
        <w:tc>
          <w:tcPr>
            <w:tcW w:w="4313" w:type="dxa"/>
            <w:tcBorders>
              <w:top w:val="none" w:sz="4" w:space="0" w:color="000000"/>
              <w:bottom w:val="single" w:sz="4" w:space="0" w:color="7F7F7F" w:themeColor="text1" w:themeTint="80"/>
            </w:tcBorders>
          </w:tcPr>
          <w:p w14:paraId="573A9323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  <w:lang w:val="en-GB"/>
              </w:rPr>
              <w:t>TTTGCTTGTCC</w:t>
            </w:r>
            <w:r w:rsidRPr="00652E98">
              <w:rPr>
                <w:rFonts w:ascii="Arial" w:hAnsi="Arial" w:cs="Arial"/>
              </w:rPr>
              <w:t>AGGTGGTCC</w:t>
            </w:r>
          </w:p>
        </w:tc>
      </w:tr>
      <w:tr w:rsidR="00E83063" w:rsidRPr="000C282D" w14:paraId="393BA05B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0A810879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COL1A1</w:t>
            </w:r>
          </w:p>
        </w:tc>
        <w:tc>
          <w:tcPr>
            <w:tcW w:w="590" w:type="dxa"/>
            <w:tcBorders>
              <w:top w:val="single" w:sz="4" w:space="0" w:color="auto"/>
              <w:bottom w:val="none" w:sz="4" w:space="0" w:color="000000"/>
            </w:tcBorders>
          </w:tcPr>
          <w:p w14:paraId="132ED2B7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06567845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none" w:sz="4" w:space="0" w:color="000000"/>
            </w:tcBorders>
          </w:tcPr>
          <w:p w14:paraId="3E50B4FA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CTGGCCTCCCTGGAATGAAG</w:t>
            </w:r>
          </w:p>
        </w:tc>
      </w:tr>
      <w:tr w:rsidR="00E83063" w:rsidRPr="000C282D" w14:paraId="1D1ECEAD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3F838C1D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  <w:tcBorders>
              <w:top w:val="none" w:sz="4" w:space="0" w:color="000000"/>
              <w:bottom w:val="single" w:sz="4" w:space="0" w:color="7F7F7F" w:themeColor="text1" w:themeTint="80"/>
            </w:tcBorders>
          </w:tcPr>
          <w:p w14:paraId="34A31232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  <w:tcBorders>
              <w:top w:val="none" w:sz="4" w:space="0" w:color="000000"/>
              <w:bottom w:val="single" w:sz="4" w:space="0" w:color="7F7F7F" w:themeColor="text1" w:themeTint="80"/>
            </w:tcBorders>
          </w:tcPr>
          <w:p w14:paraId="6EFDE3F3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GGCAGCACCAGTAGCACC</w:t>
            </w:r>
          </w:p>
        </w:tc>
      </w:tr>
      <w:tr w:rsidR="00E83063" w:rsidRPr="000C282D" w14:paraId="00DF855E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41EB7DD1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DSC1</w:t>
            </w:r>
          </w:p>
        </w:tc>
        <w:tc>
          <w:tcPr>
            <w:tcW w:w="590" w:type="dxa"/>
            <w:tcBorders>
              <w:top w:val="single" w:sz="4" w:space="0" w:color="auto"/>
              <w:bottom w:val="none" w:sz="4" w:space="0" w:color="000000"/>
            </w:tcBorders>
          </w:tcPr>
          <w:p w14:paraId="024692E5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687E181B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none" w:sz="4" w:space="0" w:color="000000"/>
            </w:tcBorders>
          </w:tcPr>
          <w:p w14:paraId="486FB780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GCTTGGCGAAGAATCCATTAGAG</w:t>
            </w:r>
          </w:p>
        </w:tc>
      </w:tr>
      <w:tr w:rsidR="00E83063" w:rsidRPr="000C282D" w14:paraId="37B67CE0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1A0C0ECA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  <w:tcBorders>
              <w:top w:val="none" w:sz="4" w:space="0" w:color="000000"/>
              <w:bottom w:val="single" w:sz="4" w:space="0" w:color="7F7F7F" w:themeColor="text1" w:themeTint="80"/>
            </w:tcBorders>
          </w:tcPr>
          <w:p w14:paraId="5BA0123B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  <w:tcBorders>
              <w:top w:val="none" w:sz="4" w:space="0" w:color="000000"/>
              <w:bottom w:val="single" w:sz="4" w:space="0" w:color="7F7F7F" w:themeColor="text1" w:themeTint="80"/>
            </w:tcBorders>
          </w:tcPr>
          <w:p w14:paraId="26E84547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TCCCTCTTCTTCCTGCCGAT</w:t>
            </w:r>
          </w:p>
        </w:tc>
      </w:tr>
      <w:tr w:rsidR="00E83063" w:rsidRPr="000C282D" w14:paraId="421A8C81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6EE16D2C" w14:textId="77777777" w:rsidR="00E83063" w:rsidRPr="00652E98" w:rsidRDefault="00E83063" w:rsidP="00BE7E9D">
            <w:pPr>
              <w:spacing w:line="480" w:lineRule="auto"/>
              <w:rPr>
                <w:rFonts w:ascii="Arial" w:hAnsi="Arial" w:cs="Arial"/>
                <w:i/>
                <w:lang w:val="en-GB"/>
              </w:rPr>
            </w:pPr>
            <w:r w:rsidRPr="00652E98">
              <w:rPr>
                <w:rFonts w:ascii="Arial" w:hAnsi="Arial" w:cs="Arial"/>
                <w:i/>
              </w:rPr>
              <w:t>IL36G</w:t>
            </w:r>
          </w:p>
        </w:tc>
        <w:tc>
          <w:tcPr>
            <w:tcW w:w="590" w:type="dxa"/>
          </w:tcPr>
          <w:p w14:paraId="59261BFB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52E98">
              <w:rPr>
                <w:rFonts w:ascii="Arial" w:hAnsi="Arial" w:cs="Arial"/>
                <w:lang w:val="en-GB"/>
              </w:rPr>
              <w:t>fw</w:t>
            </w:r>
            <w:proofErr w:type="spellEnd"/>
          </w:p>
        </w:tc>
        <w:tc>
          <w:tcPr>
            <w:tcW w:w="4313" w:type="dxa"/>
          </w:tcPr>
          <w:p w14:paraId="260C54B6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652E98">
              <w:rPr>
                <w:rFonts w:ascii="Arial" w:hAnsi="Arial" w:cs="Arial"/>
              </w:rPr>
              <w:t>AGGAAGGGCCGTCTATCAATC</w:t>
            </w:r>
          </w:p>
        </w:tc>
      </w:tr>
      <w:tr w:rsidR="00E83063" w:rsidRPr="000C282D" w14:paraId="26846A39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0F8D0828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590" w:type="dxa"/>
          </w:tcPr>
          <w:p w14:paraId="307EB176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52E98">
              <w:rPr>
                <w:rFonts w:ascii="Arial" w:hAnsi="Arial" w:cs="Arial"/>
                <w:lang w:val="en-GB"/>
              </w:rPr>
              <w:t>rv</w:t>
            </w:r>
            <w:proofErr w:type="spellEnd"/>
          </w:p>
        </w:tc>
        <w:tc>
          <w:tcPr>
            <w:tcW w:w="4313" w:type="dxa"/>
          </w:tcPr>
          <w:p w14:paraId="076AC7EC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652E98">
              <w:rPr>
                <w:rFonts w:ascii="Arial" w:hAnsi="Arial" w:cs="Arial"/>
              </w:rPr>
              <w:t>CACTGTCACTTCGTGGAACTG</w:t>
            </w:r>
          </w:p>
        </w:tc>
      </w:tr>
      <w:tr w:rsidR="00E83063" w:rsidRPr="000C282D" w14:paraId="7F03DAA6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40EBDD1B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KRT10</w:t>
            </w:r>
          </w:p>
        </w:tc>
        <w:tc>
          <w:tcPr>
            <w:tcW w:w="590" w:type="dxa"/>
          </w:tcPr>
          <w:p w14:paraId="338E2AD4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700DCE92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CBAA2C9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GTCCCAACTGGCCTTGAAAC</w:t>
            </w:r>
          </w:p>
        </w:tc>
      </w:tr>
      <w:tr w:rsidR="00E83063" w:rsidRPr="000C282D" w14:paraId="53AE4A77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51E80625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</w:tcPr>
          <w:p w14:paraId="4D408C63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</w:tcPr>
          <w:p w14:paraId="40568EBA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GGGCCTGAATCTGTGAGAGC</w:t>
            </w:r>
          </w:p>
        </w:tc>
      </w:tr>
      <w:tr w:rsidR="00E83063" w:rsidRPr="000C282D" w14:paraId="500D5563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606B895A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KRT16</w:t>
            </w:r>
          </w:p>
        </w:tc>
        <w:tc>
          <w:tcPr>
            <w:tcW w:w="590" w:type="dxa"/>
          </w:tcPr>
          <w:p w14:paraId="18811E89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2C7D2345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57BEDC11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TATTCTTCCCGCGAGGTCTTCAC</w:t>
            </w:r>
          </w:p>
        </w:tc>
      </w:tr>
      <w:tr w:rsidR="00E83063" w:rsidRPr="000C282D" w14:paraId="23F9BB92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2A918F4F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</w:tcPr>
          <w:p w14:paraId="2D338319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</w:tcPr>
          <w:p w14:paraId="2C390ECE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TGGATGAGCTCTGCTCCTTGA</w:t>
            </w:r>
          </w:p>
        </w:tc>
      </w:tr>
      <w:tr w:rsidR="00E83063" w:rsidRPr="000C282D" w14:paraId="6820B205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3E9D957F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MMP2</w:t>
            </w:r>
          </w:p>
        </w:tc>
        <w:tc>
          <w:tcPr>
            <w:tcW w:w="590" w:type="dxa"/>
          </w:tcPr>
          <w:p w14:paraId="3E7D1196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5F188946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4B571DD8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TGCATCCAGACTTCCTCAGGC</w:t>
            </w:r>
          </w:p>
        </w:tc>
      </w:tr>
      <w:tr w:rsidR="00E83063" w:rsidRPr="000C282D" w14:paraId="420D49EB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495A5FC1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</w:tcPr>
          <w:p w14:paraId="2B184535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</w:tcPr>
          <w:p w14:paraId="5D23D0C7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CCTGGCAATCCCTTTGTATGTTT</w:t>
            </w:r>
          </w:p>
        </w:tc>
      </w:tr>
      <w:tr w:rsidR="00E83063" w:rsidRPr="000C282D" w14:paraId="4661AF57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12D99E3B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S100A7</w:t>
            </w:r>
          </w:p>
        </w:tc>
        <w:tc>
          <w:tcPr>
            <w:tcW w:w="590" w:type="dxa"/>
          </w:tcPr>
          <w:p w14:paraId="4197F974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7E499D92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692EE059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TCCAAACACACACATCTCACT</w:t>
            </w:r>
          </w:p>
        </w:tc>
      </w:tr>
      <w:tr w:rsidR="00E83063" w:rsidRPr="000C282D" w14:paraId="57DAB01F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  <w:vAlign w:val="center"/>
          </w:tcPr>
          <w:p w14:paraId="2C9083DC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</w:tcPr>
          <w:p w14:paraId="3F1F4DF0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</w:tcPr>
          <w:p w14:paraId="2EFDC0D0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TCTTGTCATCACGTCTGGTGT</w:t>
            </w:r>
          </w:p>
        </w:tc>
      </w:tr>
      <w:tr w:rsidR="00E83063" w:rsidRPr="000C282D" w14:paraId="4BB289D2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  <w:vAlign w:val="center"/>
          </w:tcPr>
          <w:p w14:paraId="7BA376D1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S100A8</w:t>
            </w:r>
          </w:p>
        </w:tc>
        <w:tc>
          <w:tcPr>
            <w:tcW w:w="590" w:type="dxa"/>
          </w:tcPr>
          <w:p w14:paraId="49121CCC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56E7951A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0D4FDBDE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TTTCAGGTGGGGCAAGTCC</w:t>
            </w:r>
          </w:p>
        </w:tc>
      </w:tr>
      <w:tr w:rsidR="00E83063" w:rsidRPr="000C282D" w14:paraId="2410C91C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</w:tcPr>
          <w:p w14:paraId="1B5E23A5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</w:tcPr>
          <w:p w14:paraId="058A2911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</w:tcPr>
          <w:p w14:paraId="20562687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CGTCTGCACCCTTTTTCCTGATA</w:t>
            </w:r>
          </w:p>
        </w:tc>
      </w:tr>
      <w:tr w:rsidR="00E83063" w:rsidRPr="00AA3828" w14:paraId="75CE106A" w14:textId="77777777" w:rsidTr="00BE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 w:val="restart"/>
          </w:tcPr>
          <w:p w14:paraId="32FFF643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  <w:r w:rsidRPr="00652E98">
              <w:rPr>
                <w:rFonts w:ascii="Arial" w:hAnsi="Arial" w:cs="Arial"/>
                <w:i/>
              </w:rPr>
              <w:t>SERPINB3</w:t>
            </w:r>
          </w:p>
        </w:tc>
        <w:tc>
          <w:tcPr>
            <w:tcW w:w="590" w:type="dxa"/>
          </w:tcPr>
          <w:p w14:paraId="20973FEF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fw</w:t>
            </w:r>
            <w:proofErr w:type="spellEnd"/>
          </w:p>
          <w:p w14:paraId="657C7443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313" w:type="dxa"/>
          </w:tcPr>
          <w:p w14:paraId="72851045" w14:textId="77777777" w:rsidR="00E83063" w:rsidRPr="00652E98" w:rsidRDefault="00E83063" w:rsidP="00BE7E9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GGCAGCAATACCACATTGGTTC</w:t>
            </w:r>
          </w:p>
        </w:tc>
      </w:tr>
      <w:tr w:rsidR="00E83063" w:rsidRPr="00AA3828" w14:paraId="51D073A7" w14:textId="77777777" w:rsidTr="00BE7E9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Merge/>
          </w:tcPr>
          <w:p w14:paraId="7D589B54" w14:textId="77777777" w:rsidR="00E83063" w:rsidRPr="00652E98" w:rsidRDefault="00E83063" w:rsidP="00BE7E9D">
            <w:pPr>
              <w:spacing w:line="48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90" w:type="dxa"/>
          </w:tcPr>
          <w:p w14:paraId="4B4BEA37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52E98">
              <w:rPr>
                <w:rFonts w:ascii="Arial" w:hAnsi="Arial" w:cs="Arial"/>
              </w:rPr>
              <w:t>rv</w:t>
            </w:r>
            <w:proofErr w:type="spellEnd"/>
          </w:p>
        </w:tc>
        <w:tc>
          <w:tcPr>
            <w:tcW w:w="4313" w:type="dxa"/>
          </w:tcPr>
          <w:p w14:paraId="3A650DD5" w14:textId="77777777" w:rsidR="00E83063" w:rsidRPr="00652E98" w:rsidRDefault="00E83063" w:rsidP="00BE7E9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52E98">
              <w:rPr>
                <w:rFonts w:ascii="Arial" w:hAnsi="Arial" w:cs="Arial"/>
              </w:rPr>
              <w:t>GGACTTGTATGTATTCTTGTTTGGC</w:t>
            </w:r>
          </w:p>
        </w:tc>
      </w:tr>
    </w:tbl>
    <w:p w14:paraId="44F1AE40" w14:textId="77777777" w:rsidR="00E83063" w:rsidRDefault="00E83063" w:rsidP="00E83063">
      <w:pPr>
        <w:pStyle w:val="StandardWeb"/>
        <w:shd w:val="clear" w:color="auto" w:fill="FFFFFF"/>
        <w:spacing w:before="0" w:beforeAutospacing="0" w:after="150" w:afterAutospacing="0" w:line="480" w:lineRule="auto"/>
        <w:jc w:val="both"/>
        <w:rPr>
          <w:rFonts w:ascii="Arial" w:hAnsi="Arial" w:cs="Arial"/>
        </w:rPr>
      </w:pPr>
    </w:p>
    <w:p w14:paraId="7AEC5D18" w14:textId="77777777" w:rsidR="00D4593A" w:rsidRDefault="00D4593A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br w:type="page"/>
      </w:r>
    </w:p>
    <w:p w14:paraId="48AC9FEF" w14:textId="563CF0BD" w:rsidR="00971343" w:rsidRDefault="00971343" w:rsidP="00E83063">
      <w:pPr>
        <w:pStyle w:val="StandardWeb"/>
        <w:shd w:val="clear" w:color="auto" w:fill="FFFFFF"/>
        <w:spacing w:before="0" w:beforeAutospacing="0" w:after="150" w:afterAutospacing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Pr="00971343">
        <w:rPr>
          <w:rFonts w:ascii="Arial" w:hAnsi="Arial" w:cs="Arial"/>
          <w:b/>
          <w:bCs/>
        </w:rPr>
        <w:t xml:space="preserve">Figure </w:t>
      </w:r>
      <w:r w:rsidR="000C1E8C">
        <w:rPr>
          <w:rFonts w:ascii="Arial" w:hAnsi="Arial" w:cs="Arial"/>
          <w:b/>
          <w:bCs/>
        </w:rPr>
        <w:t xml:space="preserve">and Figure </w:t>
      </w:r>
      <w:r w:rsidRPr="00971343">
        <w:rPr>
          <w:rFonts w:ascii="Arial" w:hAnsi="Arial" w:cs="Arial"/>
          <w:b/>
          <w:bCs/>
        </w:rPr>
        <w:t>Legends</w:t>
      </w:r>
    </w:p>
    <w:p w14:paraId="5F606C90" w14:textId="7E5AE598" w:rsidR="000C1E8C" w:rsidRPr="00971343" w:rsidRDefault="000C1E8C" w:rsidP="00E83063">
      <w:pPr>
        <w:pStyle w:val="StandardWeb"/>
        <w:shd w:val="clear" w:color="auto" w:fill="FFFFFF"/>
        <w:spacing w:before="0" w:beforeAutospacing="0" w:after="150" w:afterAutospacing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026FF18" wp14:editId="3870FB96">
            <wp:extent cx="5608696" cy="3572510"/>
            <wp:effectExtent l="0" t="0" r="0" b="0"/>
            <wp:docPr id="1455636643" name="Grafik 1" descr="Ein Bild, das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36643" name="Grafik 1" descr="Ein Bild, das Screenshot, Design enthält.&#10;&#10;Automatisch generierte Beschreibu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" b="60066"/>
                    <a:stretch/>
                  </pic:blipFill>
                  <pic:spPr bwMode="auto">
                    <a:xfrm>
                      <a:off x="0" y="0"/>
                      <a:ext cx="5609360" cy="3572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EB71E" w14:textId="77777777" w:rsidR="00971343" w:rsidRDefault="00971343" w:rsidP="00D4593A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Figure S1: Classification of lipids.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Lipids are shown in categories (Sphingolipids, sterol lipids,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glycerlipids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), groups (ceramide lipids, cholesterol lipids, glycerol esters), classes (Chol= Cholesterol; CE=Cholesteryl Ester, DAG= Diacylglycerol, TAG=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Triacylglyerol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EOcer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=Omega-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hydrody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ceramides,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= Alpha-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hydroxyceramides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Ncer= Non-hydroxy ceramides) and subclasses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Alphahydroxy-dehydrosphingosine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AH= Alphahydroxy-6-hydroxysphingosine, AP=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Alphahydroxy-phytosphingosine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  AS=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Alphahydroxy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-sphingosine,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EOdS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=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Omegahydroxy-dehydrosphingosine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, EOH= Omegahydroxy-6-hydroxy-sphingosine, EOP=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Omegahydroxy-phytosphingosine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EOS=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Omegahydroxy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-sphingosine, 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= Non-hydroxy-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dehydrosphingosine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, NH= Non-hydroxy-6-hydroxysphingosine, NP= Non-hydroxy-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phytosphingosine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NS= Non-hydroxy-sphingosine)</w:t>
      </w:r>
    </w:p>
    <w:p w14:paraId="0D8487E7" w14:textId="6BB58793" w:rsidR="000C1E8C" w:rsidRDefault="000C1E8C" w:rsidP="00971343">
      <w:pPr>
        <w:shd w:val="clear" w:color="auto" w:fill="FFFFFF"/>
        <w:spacing w:after="0" w:line="48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2E1EFB61" wp14:editId="3F588954">
            <wp:extent cx="5770245" cy="8788400"/>
            <wp:effectExtent l="0" t="0" r="1905" b="0"/>
            <wp:docPr id="838963544" name="Grafik 2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63544" name="Grafik 2" descr="Ein Bild, das Screenshot enthält.&#10;&#10;Automatisch generierte Beschreibu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1"/>
                    <a:stretch/>
                  </pic:blipFill>
                  <pic:spPr bwMode="auto">
                    <a:xfrm>
                      <a:off x="0" y="0"/>
                      <a:ext cx="5770245" cy="878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3E8F0" w14:textId="7D6457AD" w:rsidR="00971343" w:rsidRDefault="00971343" w:rsidP="00971343">
      <w:pPr>
        <w:shd w:val="clear" w:color="auto" w:fill="FFFFFF"/>
        <w:spacing w:after="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Figure S2: Diversity in Lipidome and Microbiome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Hierarchical clustering of lipid (A) and microbes (E) on class (lipids) and species level (microbes) within LS,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NL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and HE. Healthy control samples were listed in the same order as corresponding matching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/non-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samples. Alpha diversity indices Richness, Shannon’s Index and Simpson’s Index are presented for both lipidome (B-D) and microbiome (F-H). AD = atopic dermatitis, HE = healthy, LS =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NL = non-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</w:p>
    <w:p w14:paraId="6A7CA93A" w14:textId="77777777" w:rsidR="002F1635" w:rsidRDefault="002F1635" w:rsidP="00971343">
      <w:pPr>
        <w:shd w:val="clear" w:color="auto" w:fill="FFFFFF"/>
        <w:spacing w:before="100" w:after="150" w:line="48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124FCE4" w14:textId="352B2248" w:rsidR="000C1E8C" w:rsidRDefault="000C1E8C" w:rsidP="00971343">
      <w:pPr>
        <w:shd w:val="clear" w:color="auto" w:fill="FFFFFF"/>
        <w:spacing w:before="100" w:after="150" w:line="48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noProof/>
          <w:color w:val="000000"/>
          <w:sz w:val="24"/>
          <w:szCs w:val="24"/>
        </w:rPr>
        <w:drawing>
          <wp:inline distT="0" distB="0" distL="0" distR="0" wp14:anchorId="52CEF215" wp14:editId="5897DDBD">
            <wp:extent cx="5770245" cy="4927600"/>
            <wp:effectExtent l="0" t="0" r="0" b="0"/>
            <wp:docPr id="590617445" name="Grafik 3" descr="Ein Bild, das Screenshot, Quadrat, Farbigkeit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617445" name="Grafik 3" descr="Ein Bild, das Screenshot, Quadrat, Farbigkeit, Dunkelheit enthält.&#10;&#10;Automatisch generierte Beschreibu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25"/>
                    <a:stretch/>
                  </pic:blipFill>
                  <pic:spPr bwMode="auto">
                    <a:xfrm>
                      <a:off x="0" y="0"/>
                      <a:ext cx="5770245" cy="49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C46E2" w14:textId="5DC1AFA8" w:rsidR="00971343" w:rsidRDefault="00971343" w:rsidP="00971343">
      <w:pPr>
        <w:shd w:val="clear" w:color="auto" w:fill="FFFFFF"/>
        <w:spacing w:before="100" w:after="15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Figure S3: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Differentially abundant lipids in AD.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Abundance of top 12 differentially abundant lipid species </w:t>
      </w:r>
      <w:r w:rsidR="002F1635">
        <w:rPr>
          <w:rFonts w:ascii="Arial" w:eastAsia="Arial" w:hAnsi="Arial" w:cs="Arial"/>
          <w:color w:val="000000"/>
          <w:sz w:val="24"/>
          <w:szCs w:val="24"/>
        </w:rPr>
        <w:t xml:space="preserve">depicted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for each group. </w:t>
      </w:r>
      <w:r w:rsidRPr="00075F85">
        <w:rPr>
          <w:rFonts w:ascii="Arial" w:eastAsia="Arial" w:hAnsi="Arial" w:cs="Arial"/>
          <w:color w:val="000000"/>
          <w:sz w:val="24"/>
          <w:szCs w:val="24"/>
        </w:rPr>
        <w:t>AD = atopic dermatitis, HE = healthy, LS = </w:t>
      </w:r>
      <w:proofErr w:type="spellStart"/>
      <w:r w:rsidRPr="00075F85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 w:rsidRPr="00075F85">
        <w:rPr>
          <w:rFonts w:ascii="Arial" w:eastAsia="Arial" w:hAnsi="Arial" w:cs="Arial"/>
          <w:color w:val="000000"/>
          <w:sz w:val="24"/>
          <w:szCs w:val="24"/>
        </w:rPr>
        <w:t>, NL = non-</w:t>
      </w:r>
      <w:proofErr w:type="spellStart"/>
      <w:r w:rsidRPr="00075F85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</w:p>
    <w:p w14:paraId="63F19BFC" w14:textId="24CE259F" w:rsidR="003D2CCD" w:rsidRDefault="000C1E8C" w:rsidP="00971343">
      <w:pPr>
        <w:shd w:val="clear" w:color="auto" w:fill="FFFFFF"/>
        <w:spacing w:before="100" w:after="15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1385F9AA" wp14:editId="2BCC9AE3">
            <wp:extent cx="5840198" cy="4288701"/>
            <wp:effectExtent l="0" t="0" r="8255" b="0"/>
            <wp:docPr id="18371966" name="Grafik 4" descr="Ein Bild, das Text, Diagramm, Screensho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966" name="Grafik 4" descr="Ein Bild, das Text, Diagramm, Screenshot, Reihe enthält.&#10;&#10;Automatisch generierte Beschreibu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8" r="23553" b="10988"/>
                    <a:stretch/>
                  </pic:blipFill>
                  <pic:spPr bwMode="auto">
                    <a:xfrm>
                      <a:off x="0" y="0"/>
                      <a:ext cx="5850899" cy="4296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334FD" w14:textId="638223F0" w:rsidR="003D2CCD" w:rsidRPr="00C325B2" w:rsidRDefault="003D2CCD" w:rsidP="003D2C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50" w:line="48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Figure S4: </w:t>
      </w:r>
      <w:r w:rsidRPr="006B6D70">
        <w:rPr>
          <w:rFonts w:ascii="Arial" w:eastAsia="Arial" w:hAnsi="Arial" w:cs="Arial"/>
          <w:b/>
          <w:color w:val="000000"/>
          <w:sz w:val="24"/>
          <w:szCs w:val="24"/>
        </w:rPr>
        <w:t xml:space="preserve">Ratio of abundance between inflammatory and protective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Staphylococci </w:t>
      </w:r>
      <w:r w:rsidRPr="006B6D70">
        <w:rPr>
          <w:rFonts w:ascii="Arial" w:eastAsia="Arial" w:hAnsi="Arial" w:cs="Arial"/>
          <w:b/>
          <w:color w:val="000000"/>
          <w:sz w:val="24"/>
          <w:szCs w:val="24"/>
        </w:rPr>
        <w:t xml:space="preserve">species.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Relative abundance and ratios of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Staphylococcus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species in </w:t>
      </w:r>
      <w:proofErr w:type="spellStart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lesional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, non-</w:t>
      </w:r>
      <w:proofErr w:type="spellStart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lesional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, and healthy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skin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(A)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Stacked bar plots of the relative abundance of selected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Staphylococcus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species grouped by previously described inflammatory (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aureus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S. </w:t>
      </w:r>
      <w:proofErr w:type="spellStart"/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caprae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S. </w:t>
      </w:r>
      <w:proofErr w:type="spellStart"/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petrasii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, shades of red) and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commensal</w:t>
      </w:r>
      <w:r>
        <w:rPr>
          <w:rFonts w:ascii="Arial" w:eastAsia="Arial" w:hAnsi="Arial" w:cs="Arial"/>
          <w:bCs/>
          <w:color w:val="000000"/>
          <w:sz w:val="24"/>
          <w:szCs w:val="24"/>
        </w:rPr>
        <w:t>/protective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species (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hominis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epidermidis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S. </w:t>
      </w:r>
      <w:proofErr w:type="spellStart"/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warneri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</w:t>
      </w:r>
      <w:r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saccharolyticus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capitis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,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S. </w:t>
      </w:r>
      <w:proofErr w:type="spellStart"/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equorum</w:t>
      </w:r>
      <w:proofErr w:type="spellEnd"/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; shades of blue).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Ratio of the combined relative abundance of inflammatory to commensal species across LS, NL, and HE skin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;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higher ratios in LS indicate a shift toward proinflammatory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Staphylococcus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communities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(B).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Focused comparison of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aureus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and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hominis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relative abundances across samples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(C). 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Ratio of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aureus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to </w:t>
      </w:r>
      <w:r w:rsidRPr="006B6D7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hominis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abundance </w:t>
      </w:r>
      <w:r>
        <w:rPr>
          <w:rFonts w:ascii="Arial" w:eastAsia="Arial" w:hAnsi="Arial" w:cs="Arial"/>
          <w:bCs/>
          <w:color w:val="000000"/>
          <w:sz w:val="24"/>
          <w:szCs w:val="24"/>
        </w:rPr>
        <w:t>(D)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HE = healthy, LS =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AD, NL = non-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AD. </w:t>
      </w:r>
      <w:r w:rsidRPr="00C325B2">
        <w:rPr>
          <w:rFonts w:ascii="Arial" w:eastAsia="Arial" w:hAnsi="Arial" w:cs="Arial"/>
          <w:bCs/>
          <w:color w:val="000000"/>
          <w:sz w:val="24"/>
          <w:szCs w:val="24"/>
        </w:rPr>
        <w:t>p &lt; 0.01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, *</w:t>
      </w:r>
      <w:r w:rsidRPr="00C325B2">
        <w:rPr>
          <w:rFonts w:ascii="Arial" w:eastAsia="Arial" w:hAnsi="Arial" w:cs="Arial"/>
          <w:bCs/>
          <w:color w:val="000000"/>
          <w:sz w:val="24"/>
          <w:szCs w:val="24"/>
        </w:rPr>
        <w:t>p &lt; 0.001</w:t>
      </w:r>
      <w:r w:rsidRPr="006B6D70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144F6354" w14:textId="54FE8BF9" w:rsidR="00971343" w:rsidRDefault="000C1E8C" w:rsidP="009713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5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E2B2A4" wp14:editId="60B7B7DF">
            <wp:extent cx="6113988" cy="4351866"/>
            <wp:effectExtent l="0" t="0" r="0" b="0"/>
            <wp:docPr id="1951387039" name="Grafik 5" descr="Ein Bild, das Text, Screenshot, Rechteck, Quadra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87039" name="Grafik 5" descr="Ein Bild, das Text, Screenshot, Rechteck, Quadrat enthält.&#10;&#10;Automatisch generierte Beschreibu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4" b="55240"/>
                    <a:stretch/>
                  </pic:blipFill>
                  <pic:spPr bwMode="auto">
                    <a:xfrm>
                      <a:off x="0" y="0"/>
                      <a:ext cx="6118667" cy="4355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343">
        <w:rPr>
          <w:rFonts w:ascii="Arial" w:eastAsia="Arial" w:hAnsi="Arial" w:cs="Arial"/>
          <w:b/>
          <w:color w:val="000000"/>
          <w:sz w:val="24"/>
          <w:szCs w:val="24"/>
        </w:rPr>
        <w:t xml:space="preserve">Figure </w:t>
      </w:r>
      <w:r w:rsidR="003D2CCD">
        <w:rPr>
          <w:rFonts w:ascii="Arial" w:eastAsia="Arial" w:hAnsi="Arial" w:cs="Arial"/>
          <w:b/>
          <w:color w:val="000000"/>
          <w:sz w:val="24"/>
          <w:szCs w:val="24"/>
        </w:rPr>
        <w:t>S5</w:t>
      </w:r>
      <w:r w:rsidR="00971343">
        <w:rPr>
          <w:rFonts w:ascii="Arial" w:eastAsia="Arial" w:hAnsi="Arial" w:cs="Arial"/>
          <w:b/>
          <w:color w:val="000000"/>
          <w:sz w:val="24"/>
          <w:szCs w:val="24"/>
        </w:rPr>
        <w:t xml:space="preserve">: Correlation matrix for molecular lipid and microbiome species. </w:t>
      </w:r>
      <w:r w:rsidR="00971343">
        <w:rPr>
          <w:rFonts w:ascii="Arial" w:eastAsia="Arial" w:hAnsi="Arial" w:cs="Arial"/>
          <w:color w:val="000000"/>
          <w:sz w:val="24"/>
          <w:szCs w:val="24"/>
        </w:rPr>
        <w:t>All</w:t>
      </w:r>
      <w:r w:rsidR="002F1635">
        <w:rPr>
          <w:rFonts w:ascii="Arial" w:eastAsia="Arial" w:hAnsi="Arial" w:cs="Arial"/>
          <w:color w:val="000000"/>
          <w:sz w:val="24"/>
          <w:szCs w:val="24"/>
        </w:rPr>
        <w:t>-</w:t>
      </w:r>
      <w:r w:rsidR="00971343">
        <w:rPr>
          <w:rFonts w:ascii="Arial" w:eastAsia="Arial" w:hAnsi="Arial" w:cs="Arial"/>
          <w:color w:val="000000"/>
          <w:sz w:val="24"/>
          <w:szCs w:val="24"/>
        </w:rPr>
        <w:t>to</w:t>
      </w:r>
      <w:r w:rsidR="002F1635">
        <w:rPr>
          <w:rFonts w:ascii="Arial" w:eastAsia="Arial" w:hAnsi="Arial" w:cs="Arial"/>
          <w:color w:val="000000"/>
          <w:sz w:val="24"/>
          <w:szCs w:val="24"/>
        </w:rPr>
        <w:t>-</w:t>
      </w:r>
      <w:r w:rsidR="00971343">
        <w:rPr>
          <w:rFonts w:ascii="Arial" w:eastAsia="Arial" w:hAnsi="Arial" w:cs="Arial"/>
          <w:color w:val="000000"/>
          <w:sz w:val="24"/>
          <w:szCs w:val="24"/>
        </w:rPr>
        <w:t xml:space="preserve">all correlation is calculated among molecular lipids and microbe species. The correlation matrix reveals disease specific patterns along with the dynamic changes from healthy to </w:t>
      </w:r>
      <w:proofErr w:type="spellStart"/>
      <w:r w:rsidR="00971343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 w:rsidR="00971343">
        <w:rPr>
          <w:rFonts w:ascii="Arial" w:eastAsia="Arial" w:hAnsi="Arial" w:cs="Arial"/>
          <w:color w:val="000000"/>
          <w:sz w:val="24"/>
          <w:szCs w:val="24"/>
        </w:rPr>
        <w:t xml:space="preserve"> tissue. Black boxes mark the correlations which were selected for the creation of the network in figure 3. HE = healthy, LS = </w:t>
      </w:r>
      <w:proofErr w:type="spellStart"/>
      <w:r w:rsidR="00971343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 w:rsidR="00971343">
        <w:rPr>
          <w:rFonts w:ascii="Arial" w:eastAsia="Arial" w:hAnsi="Arial" w:cs="Arial"/>
          <w:color w:val="000000"/>
          <w:sz w:val="24"/>
          <w:szCs w:val="24"/>
        </w:rPr>
        <w:t xml:space="preserve"> AD, NL = non-</w:t>
      </w:r>
      <w:proofErr w:type="spellStart"/>
      <w:r w:rsidR="00971343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 w:rsidR="00971343">
        <w:rPr>
          <w:rFonts w:ascii="Arial" w:eastAsia="Arial" w:hAnsi="Arial" w:cs="Arial"/>
          <w:color w:val="000000"/>
          <w:sz w:val="24"/>
          <w:szCs w:val="24"/>
        </w:rPr>
        <w:t xml:space="preserve"> AD</w:t>
      </w:r>
    </w:p>
    <w:p w14:paraId="11C6F84B" w14:textId="7BDC867D" w:rsidR="000C1E8C" w:rsidRPr="006B6D70" w:rsidRDefault="000C1E8C" w:rsidP="003D2C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638D87D3" wp14:editId="5FA42EE5">
            <wp:extent cx="6490158" cy="3894666"/>
            <wp:effectExtent l="0" t="0" r="6350" b="0"/>
            <wp:docPr id="42887970" name="Grafik 6" descr="Ein Bild, das Text, Kreis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7970" name="Grafik 6" descr="Ein Bild, das Text, Kreis, Diagramm enthält.&#10;&#10;Automatisch generierte Beschreibu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942" cy="389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D70">
        <w:rPr>
          <w:rFonts w:ascii="Arial" w:eastAsia="Arial" w:hAnsi="Arial" w:cs="Arial"/>
          <w:b/>
          <w:color w:val="000000"/>
          <w:sz w:val="24"/>
          <w:szCs w:val="24"/>
        </w:rPr>
        <w:t xml:space="preserve">Figure S6: Correlation between lipid molecules and </w:t>
      </w:r>
      <w:r w:rsidR="006B6D70" w:rsidRPr="00D4593A">
        <w:rPr>
          <w:rFonts w:ascii="Arial" w:eastAsia="Arial" w:hAnsi="Arial" w:cs="Arial"/>
          <w:b/>
          <w:i/>
          <w:iCs/>
          <w:color w:val="000000"/>
          <w:sz w:val="24"/>
          <w:szCs w:val="24"/>
        </w:rPr>
        <w:t>Staphylococcus hominis</w:t>
      </w:r>
      <w:r w:rsidR="006B6D70">
        <w:rPr>
          <w:rFonts w:ascii="Arial" w:eastAsia="Arial" w:hAnsi="Arial" w:cs="Arial"/>
          <w:b/>
          <w:color w:val="000000"/>
          <w:sz w:val="24"/>
          <w:szCs w:val="24"/>
        </w:rPr>
        <w:t xml:space="preserve"> across </w:t>
      </w:r>
      <w:proofErr w:type="spellStart"/>
      <w:r w:rsidR="006B6D70">
        <w:rPr>
          <w:rFonts w:ascii="Arial" w:eastAsia="Arial" w:hAnsi="Arial" w:cs="Arial"/>
          <w:b/>
          <w:color w:val="000000"/>
          <w:sz w:val="24"/>
          <w:szCs w:val="24"/>
        </w:rPr>
        <w:t>lesional</w:t>
      </w:r>
      <w:proofErr w:type="spellEnd"/>
      <w:r w:rsidR="006B6D70">
        <w:rPr>
          <w:rFonts w:ascii="Arial" w:eastAsia="Arial" w:hAnsi="Arial" w:cs="Arial"/>
          <w:b/>
          <w:color w:val="000000"/>
          <w:sz w:val="24"/>
          <w:szCs w:val="24"/>
        </w:rPr>
        <w:t>, non-</w:t>
      </w:r>
      <w:proofErr w:type="spellStart"/>
      <w:r w:rsidR="006B6D70">
        <w:rPr>
          <w:rFonts w:ascii="Arial" w:eastAsia="Arial" w:hAnsi="Arial" w:cs="Arial"/>
          <w:b/>
          <w:color w:val="000000"/>
          <w:sz w:val="24"/>
          <w:szCs w:val="24"/>
        </w:rPr>
        <w:t>lesional</w:t>
      </w:r>
      <w:proofErr w:type="spellEnd"/>
      <w:r w:rsidR="006B6D70">
        <w:rPr>
          <w:rFonts w:ascii="Arial" w:eastAsia="Arial" w:hAnsi="Arial" w:cs="Arial"/>
          <w:b/>
          <w:color w:val="000000"/>
          <w:sz w:val="24"/>
          <w:szCs w:val="24"/>
        </w:rPr>
        <w:t xml:space="preserve"> and healthy skin</w:t>
      </w:r>
      <w:r w:rsidR="006B6D70" w:rsidRPr="006B6D70"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Pearson correlation networks between </w:t>
      </w:r>
      <w:r w:rsidR="006B6D70" w:rsidRPr="003D2CCD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hominis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abundance and individual lipid molecules in LS, NL, </w:t>
      </w:r>
      <w:r w:rsidR="006B6D70">
        <w:rPr>
          <w:rFonts w:ascii="Arial" w:eastAsia="Arial" w:hAnsi="Arial" w:cs="Arial"/>
          <w:bCs/>
          <w:color w:val="000000"/>
          <w:sz w:val="24"/>
          <w:szCs w:val="24"/>
        </w:rPr>
        <w:t>and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HE skin, respectively</w:t>
      </w:r>
      <w:r w:rsid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>(A–C). Red</w:t>
      </w:r>
      <w:r w:rsidR="00EE7512">
        <w:rPr>
          <w:rFonts w:ascii="Arial" w:eastAsia="Arial" w:hAnsi="Arial" w:cs="Arial"/>
          <w:bCs/>
          <w:color w:val="000000"/>
          <w:sz w:val="24"/>
          <w:szCs w:val="24"/>
        </w:rPr>
        <w:t xml:space="preserve"> (Blue)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edges indicate positive</w:t>
      </w:r>
      <w:r w:rsidR="00EE7512">
        <w:rPr>
          <w:rFonts w:ascii="Arial" w:eastAsia="Arial" w:hAnsi="Arial" w:cs="Arial"/>
          <w:bCs/>
          <w:color w:val="000000"/>
          <w:sz w:val="24"/>
          <w:szCs w:val="24"/>
        </w:rPr>
        <w:t xml:space="preserve"> (negative)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correlations.</w:t>
      </w:r>
      <w:r w:rsidR="00EE7512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(D) Venn diagram illustrating the number of lipid species correlated with S. </w:t>
      </w:r>
      <w:r w:rsidR="006B6D70" w:rsidRPr="00D4593A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hominis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 in LS, NL, and HE. Each skin condition shows a distinct set of lipid associations, with minimal overlap across states.</w:t>
      </w:r>
      <w:r w:rsidR="00EE7512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 xml:space="preserve">(E) Stacked column plot showing the distribution of lipid subclasses among the </w:t>
      </w:r>
      <w:r w:rsidR="006B6D70" w:rsidRPr="00EE7512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S. hominis</w:t>
      </w:r>
      <w:r w:rsidR="006B6D70" w:rsidRPr="006B6D70">
        <w:rPr>
          <w:rFonts w:ascii="Arial" w:eastAsia="Arial" w:hAnsi="Arial" w:cs="Arial"/>
          <w:bCs/>
          <w:color w:val="000000"/>
          <w:sz w:val="24"/>
          <w:szCs w:val="24"/>
        </w:rPr>
        <w:t>-associated lipids for each condition. Lipid class abbreviations</w:t>
      </w:r>
      <w:r w:rsidR="00EE7512">
        <w:rPr>
          <w:rFonts w:ascii="Arial" w:eastAsia="Arial" w:hAnsi="Arial" w:cs="Arial"/>
          <w:bCs/>
          <w:color w:val="000000"/>
          <w:sz w:val="24"/>
          <w:szCs w:val="24"/>
        </w:rPr>
        <w:t xml:space="preserve"> s. Figure S1. </w:t>
      </w:r>
      <w:r w:rsidR="006B6D70">
        <w:rPr>
          <w:rFonts w:ascii="Arial" w:eastAsia="Arial" w:hAnsi="Arial" w:cs="Arial"/>
          <w:color w:val="000000"/>
          <w:sz w:val="24"/>
          <w:szCs w:val="24"/>
        </w:rPr>
        <w:t>HE = healthy, LS = </w:t>
      </w:r>
      <w:proofErr w:type="spellStart"/>
      <w:r w:rsidR="006B6D70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 w:rsidR="006B6D70">
        <w:rPr>
          <w:rFonts w:ascii="Arial" w:eastAsia="Arial" w:hAnsi="Arial" w:cs="Arial"/>
          <w:color w:val="000000"/>
          <w:sz w:val="24"/>
          <w:szCs w:val="24"/>
        </w:rPr>
        <w:t xml:space="preserve"> AD, NL = non-</w:t>
      </w:r>
      <w:proofErr w:type="spellStart"/>
      <w:r w:rsidR="006B6D70">
        <w:rPr>
          <w:rFonts w:ascii="Arial" w:eastAsia="Arial" w:hAnsi="Arial" w:cs="Arial"/>
          <w:color w:val="000000"/>
          <w:sz w:val="24"/>
          <w:szCs w:val="24"/>
        </w:rPr>
        <w:t>lesional</w:t>
      </w:r>
      <w:proofErr w:type="spellEnd"/>
      <w:r w:rsidR="006B6D7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B6D70">
        <w:rPr>
          <w:rFonts w:ascii="Arial" w:eastAsia="Arial" w:hAnsi="Arial" w:cs="Arial"/>
          <w:color w:val="000000"/>
          <w:sz w:val="24"/>
          <w:szCs w:val="24"/>
        </w:rPr>
        <w:lastRenderedPageBreak/>
        <w:t>AD.</w:t>
      </w:r>
      <w:r>
        <w:rPr>
          <w:rFonts w:ascii="Arial" w:eastAsia="Arial" w:hAnsi="Arial" w:cs="Arial"/>
          <w:bCs/>
          <w:noProof/>
          <w:color w:val="000000"/>
          <w:sz w:val="24"/>
          <w:szCs w:val="24"/>
        </w:rPr>
        <w:drawing>
          <wp:inline distT="0" distB="0" distL="0" distR="0" wp14:anchorId="6471D7C9" wp14:editId="2A30E7CF">
            <wp:extent cx="6055670" cy="3022600"/>
            <wp:effectExtent l="0" t="0" r="2540" b="6350"/>
            <wp:docPr id="1770507440" name="Grafik 7" descr="Ein Bild, das Text, Screenshot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07440" name="Grafik 7" descr="Ein Bild, das Text, Screenshot, Schrift, Reihe enthält.&#10;&#10;Automatisch generierte Beschreibu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" t="5135" r="10347" b="24201"/>
                    <a:stretch/>
                  </pic:blipFill>
                  <pic:spPr bwMode="auto">
                    <a:xfrm>
                      <a:off x="0" y="0"/>
                      <a:ext cx="6062891" cy="3026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4D751" w14:textId="6D665DCF" w:rsidR="00EE7512" w:rsidRDefault="00EE7512" w:rsidP="00EE7512">
      <w:pPr>
        <w:spacing w:after="0" w:line="480" w:lineRule="auto"/>
        <w:rPr>
          <w:rFonts w:ascii="Arial" w:eastAsia="Arial" w:hAnsi="Arial" w:cs="Arial"/>
          <w:bCs/>
          <w:sz w:val="24"/>
          <w:szCs w:val="24"/>
        </w:rPr>
      </w:pPr>
      <w:r w:rsidRPr="00EE7512">
        <w:rPr>
          <w:rFonts w:ascii="Arial" w:eastAsia="Arial" w:hAnsi="Arial" w:cs="Arial"/>
          <w:b/>
          <w:sz w:val="24"/>
          <w:szCs w:val="24"/>
          <w:lang w:val="en"/>
        </w:rPr>
        <w:t xml:space="preserve">Figure S7: </w:t>
      </w:r>
      <w:r w:rsidRPr="00EE7512">
        <w:rPr>
          <w:rFonts w:ascii="Arial" w:eastAsia="Arial" w:hAnsi="Arial" w:cs="Arial"/>
          <w:b/>
          <w:sz w:val="24"/>
          <w:szCs w:val="24"/>
        </w:rPr>
        <w:t xml:space="preserve">Lipid composition of </w:t>
      </w:r>
      <w:proofErr w:type="spellStart"/>
      <w:r w:rsidRPr="00EE7512">
        <w:rPr>
          <w:rFonts w:ascii="Arial" w:eastAsia="Arial" w:hAnsi="Arial" w:cs="Arial"/>
          <w:b/>
          <w:sz w:val="24"/>
          <w:szCs w:val="24"/>
        </w:rPr>
        <w:t>lesional</w:t>
      </w:r>
      <w:proofErr w:type="spellEnd"/>
      <w:r w:rsidRPr="00EE7512">
        <w:rPr>
          <w:rFonts w:ascii="Arial" w:eastAsia="Arial" w:hAnsi="Arial" w:cs="Arial"/>
          <w:b/>
          <w:sz w:val="24"/>
          <w:szCs w:val="24"/>
        </w:rPr>
        <w:t xml:space="preserve"> skin tape samples following co-incubation with </w:t>
      </w:r>
      <w:r w:rsidRPr="00EE7512">
        <w:rPr>
          <w:rFonts w:ascii="Arial" w:eastAsia="Arial" w:hAnsi="Arial" w:cs="Arial"/>
          <w:b/>
          <w:i/>
          <w:iCs/>
          <w:sz w:val="24"/>
          <w:szCs w:val="24"/>
        </w:rPr>
        <w:t>Staphylococcus hominis</w:t>
      </w:r>
      <w:r w:rsidRPr="00EE7512">
        <w:rPr>
          <w:rFonts w:ascii="Arial" w:eastAsia="Arial" w:hAnsi="Arial" w:cs="Arial"/>
          <w:b/>
          <w:sz w:val="24"/>
          <w:szCs w:val="24"/>
        </w:rPr>
        <w:t xml:space="preserve">. </w:t>
      </w:r>
      <w:r w:rsidRPr="00EE7512">
        <w:rPr>
          <w:rFonts w:ascii="Arial" w:eastAsia="Arial" w:hAnsi="Arial" w:cs="Arial"/>
          <w:bCs/>
          <w:sz w:val="24"/>
          <w:szCs w:val="24"/>
        </w:rPr>
        <w:t xml:space="preserve">Tape strips obtained from LS of five patients (P1–P5) were placed on either (i) empty agar (Agar) or (ii) agar plates cultured with </w:t>
      </w:r>
      <w:r w:rsidRPr="00EE7512">
        <w:rPr>
          <w:rFonts w:ascii="Arial" w:eastAsia="Arial" w:hAnsi="Arial" w:cs="Arial"/>
          <w:bCs/>
          <w:i/>
          <w:iCs/>
          <w:sz w:val="24"/>
          <w:szCs w:val="24"/>
        </w:rPr>
        <w:t>S. hominis</w:t>
      </w:r>
      <w:r w:rsidRPr="00EE7512">
        <w:rPr>
          <w:rFonts w:ascii="Arial" w:eastAsia="Arial" w:hAnsi="Arial" w:cs="Arial"/>
          <w:bCs/>
          <w:sz w:val="24"/>
          <w:szCs w:val="24"/>
        </w:rPr>
        <w:t xml:space="preserve"> (</w:t>
      </w:r>
      <w:r w:rsidRPr="00D4593A">
        <w:rPr>
          <w:rFonts w:ascii="Arial" w:eastAsia="Arial" w:hAnsi="Arial" w:cs="Arial"/>
          <w:bCs/>
          <w:i/>
          <w:iCs/>
          <w:sz w:val="24"/>
          <w:szCs w:val="24"/>
        </w:rPr>
        <w:t xml:space="preserve">S. </w:t>
      </w:r>
      <w:proofErr w:type="spellStart"/>
      <w:r w:rsidRPr="00D4593A">
        <w:rPr>
          <w:rFonts w:ascii="Arial" w:eastAsia="Arial" w:hAnsi="Arial" w:cs="Arial"/>
          <w:bCs/>
          <w:i/>
          <w:iCs/>
          <w:sz w:val="24"/>
          <w:szCs w:val="24"/>
        </w:rPr>
        <w:t>hom</w:t>
      </w:r>
      <w:proofErr w:type="spellEnd"/>
      <w:r w:rsidRPr="00EE7512">
        <w:rPr>
          <w:rFonts w:ascii="Arial" w:eastAsia="Arial" w:hAnsi="Arial" w:cs="Arial"/>
          <w:bCs/>
          <w:sz w:val="24"/>
          <w:szCs w:val="24"/>
        </w:rPr>
        <w:t xml:space="preserve">), and incubated for </w:t>
      </w:r>
      <w:r>
        <w:rPr>
          <w:rFonts w:ascii="Arial" w:eastAsia="Arial" w:hAnsi="Arial" w:cs="Arial"/>
          <w:bCs/>
          <w:sz w:val="24"/>
          <w:szCs w:val="24"/>
        </w:rPr>
        <w:t>6 h</w:t>
      </w:r>
      <w:r w:rsidRPr="00EE7512">
        <w:rPr>
          <w:rFonts w:ascii="Arial" w:eastAsia="Arial" w:hAnsi="Arial" w:cs="Arial"/>
          <w:bCs/>
          <w:sz w:val="24"/>
          <w:szCs w:val="24"/>
        </w:rPr>
        <w:t>. Untreated tapes (NT</w:t>
      </w:r>
      <w:r w:rsidR="00780F93">
        <w:rPr>
          <w:rFonts w:ascii="Arial" w:eastAsia="Arial" w:hAnsi="Arial" w:cs="Arial"/>
          <w:bCs/>
          <w:sz w:val="24"/>
          <w:szCs w:val="24"/>
        </w:rPr>
        <w:t>, blanks</w:t>
      </w:r>
      <w:r w:rsidRPr="00EE7512">
        <w:rPr>
          <w:rFonts w:ascii="Arial" w:eastAsia="Arial" w:hAnsi="Arial" w:cs="Arial"/>
          <w:bCs/>
          <w:sz w:val="24"/>
          <w:szCs w:val="24"/>
        </w:rPr>
        <w:t xml:space="preserve">) served as controls. Stacked bar graphs display the relative abundance of lipid classes for each patient and condition. Samples from P1 and P2 showed near-complete lipid loss upon agar exposure, likely due to adherence to the agar surface, and were excluded from further statistical analysis. </w:t>
      </w:r>
      <w:r w:rsidRPr="003D2CCD">
        <w:rPr>
          <w:rFonts w:ascii="Arial" w:eastAsia="Arial" w:hAnsi="Arial" w:cs="Arial"/>
          <w:bCs/>
          <w:sz w:val="24"/>
          <w:szCs w:val="24"/>
        </w:rPr>
        <w:t>Lipid class abbreviations s. Figure S1.</w:t>
      </w:r>
    </w:p>
    <w:p w14:paraId="46BC1FAA" w14:textId="1369BCC1" w:rsidR="003D7E62" w:rsidRPr="003D2CCD" w:rsidRDefault="000C1E8C" w:rsidP="00EE7512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5A7B00B8" wp14:editId="10E32F71">
            <wp:extent cx="5770245" cy="5770245"/>
            <wp:effectExtent l="0" t="0" r="1905" b="1905"/>
            <wp:docPr id="1892449065" name="Grafik 8" descr="Ein Bild, das Text, Diagramm, Plan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49065" name="Grafik 8" descr="Ein Bild, das Text, Diagramm, Plan, Karte enthält.&#10;&#10;Automatisch generierte Beschreibu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57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23A5" w14:textId="6272E9D9" w:rsidR="00FC4873" w:rsidRDefault="003D7E62" w:rsidP="00EE7512">
      <w:pPr>
        <w:spacing w:after="0" w:line="480" w:lineRule="auto"/>
        <w:rPr>
          <w:rFonts w:ascii="Arial" w:eastAsia="Arial" w:hAnsi="Arial" w:cs="Arial"/>
          <w:bCs/>
          <w:sz w:val="24"/>
          <w:szCs w:val="24"/>
        </w:rPr>
      </w:pPr>
      <w:r w:rsidRPr="00EE7512">
        <w:rPr>
          <w:rFonts w:ascii="Arial" w:eastAsia="Arial" w:hAnsi="Arial" w:cs="Arial"/>
          <w:b/>
          <w:sz w:val="24"/>
          <w:szCs w:val="24"/>
          <w:lang w:val="en"/>
        </w:rPr>
        <w:t>Figure S</w:t>
      </w:r>
      <w:r>
        <w:rPr>
          <w:rFonts w:ascii="Arial" w:eastAsia="Arial" w:hAnsi="Arial" w:cs="Arial"/>
          <w:b/>
          <w:sz w:val="24"/>
          <w:szCs w:val="24"/>
          <w:lang w:val="en"/>
        </w:rPr>
        <w:t>8</w:t>
      </w:r>
      <w:r w:rsidRPr="00EE7512">
        <w:rPr>
          <w:rFonts w:ascii="Arial" w:eastAsia="Arial" w:hAnsi="Arial" w:cs="Arial"/>
          <w:b/>
          <w:sz w:val="24"/>
          <w:szCs w:val="24"/>
          <w:lang w:val="en"/>
        </w:rPr>
        <w:t xml:space="preserve">: </w:t>
      </w:r>
      <w:r w:rsidR="00A27F7C" w:rsidRPr="00A27F7C">
        <w:rPr>
          <w:rFonts w:ascii="Arial" w:eastAsia="Arial" w:hAnsi="Arial" w:cs="Arial"/>
          <w:b/>
          <w:sz w:val="24"/>
          <w:szCs w:val="24"/>
        </w:rPr>
        <w:t xml:space="preserve">Pathways enriched in non-rescued genes and representative gene expression after AD-TCS stimulation with or without </w:t>
      </w:r>
      <w:r w:rsidR="00A27F7C" w:rsidRPr="00D4593A">
        <w:rPr>
          <w:rFonts w:ascii="Arial" w:eastAsia="Arial" w:hAnsi="Arial" w:cs="Arial"/>
          <w:b/>
          <w:i/>
          <w:iCs/>
          <w:sz w:val="24"/>
          <w:szCs w:val="24"/>
        </w:rPr>
        <w:t>S. hominis</w:t>
      </w:r>
      <w:r w:rsidR="00A27F7C" w:rsidRPr="00A27F7C">
        <w:rPr>
          <w:rFonts w:ascii="Arial" w:eastAsia="Arial" w:hAnsi="Arial" w:cs="Arial"/>
          <w:b/>
          <w:sz w:val="24"/>
          <w:szCs w:val="24"/>
        </w:rPr>
        <w:t xml:space="preserve"> co-treatment</w:t>
      </w:r>
      <w:r w:rsidRPr="00EE7512">
        <w:rPr>
          <w:rFonts w:ascii="Arial" w:eastAsia="Arial" w:hAnsi="Arial" w:cs="Arial"/>
          <w:b/>
          <w:sz w:val="24"/>
          <w:szCs w:val="24"/>
        </w:rPr>
        <w:t xml:space="preserve">. </w:t>
      </w:r>
      <w:r w:rsidR="00A27F7C" w:rsidRPr="00A27F7C">
        <w:rPr>
          <w:rFonts w:ascii="Arial" w:eastAsia="Arial" w:hAnsi="Arial" w:cs="Arial"/>
          <w:bCs/>
          <w:sz w:val="24"/>
          <w:szCs w:val="24"/>
        </w:rPr>
        <w:t xml:space="preserve">Pathway network derived from non-rescued genes—genes significantly up- or downregulated by AD-TCS whose expression was further enhanced by </w:t>
      </w:r>
      <w:r w:rsidR="00A27F7C" w:rsidRPr="00A27F7C">
        <w:rPr>
          <w:rFonts w:ascii="Arial" w:eastAsia="Arial" w:hAnsi="Arial" w:cs="Arial"/>
          <w:bCs/>
          <w:i/>
          <w:iCs/>
          <w:sz w:val="24"/>
          <w:szCs w:val="24"/>
        </w:rPr>
        <w:t>S. hominis</w:t>
      </w:r>
      <w:r w:rsidR="00A27F7C" w:rsidRPr="00A27F7C">
        <w:rPr>
          <w:rFonts w:ascii="Arial" w:eastAsia="Arial" w:hAnsi="Arial" w:cs="Arial"/>
          <w:bCs/>
          <w:sz w:val="24"/>
          <w:szCs w:val="24"/>
        </w:rPr>
        <w:t xml:space="preserve"> co-treatment</w:t>
      </w:r>
      <w:r w:rsidR="00A27F7C">
        <w:rPr>
          <w:rFonts w:ascii="Arial" w:eastAsia="Arial" w:hAnsi="Arial" w:cs="Arial"/>
          <w:bCs/>
          <w:sz w:val="24"/>
          <w:szCs w:val="24"/>
        </w:rPr>
        <w:t xml:space="preserve"> (A).</w:t>
      </w:r>
      <w:r w:rsidR="00A27F7C" w:rsidRPr="00A27F7C">
        <w:rPr>
          <w:rFonts w:ascii="Arial" w:eastAsia="Arial" w:hAnsi="Arial" w:cs="Arial"/>
          <w:bCs/>
          <w:sz w:val="24"/>
          <w:szCs w:val="24"/>
        </w:rPr>
        <w:t xml:space="preserve"> Orange circles indicate pathways enriched in genes upregulated by TCS; blue circles indicate pathways enriched in genes downregulated by TCS. Circle size reflects the number of genes per pathway; color intensity denotes significance (dark red = high significance). Edge thickness represents gene overlap between pathways. </w:t>
      </w:r>
      <w:bookmarkStart w:id="3" w:name="_Hlk204783130"/>
      <w:r w:rsidR="00A27F7C" w:rsidRPr="00A27F7C">
        <w:rPr>
          <w:rFonts w:ascii="Arial" w:eastAsia="Arial" w:hAnsi="Arial" w:cs="Arial"/>
          <w:bCs/>
          <w:sz w:val="24"/>
          <w:szCs w:val="24"/>
        </w:rPr>
        <w:t>Boxplots show RNA-seq fold changes (log</w:t>
      </w:r>
      <w:r w:rsidR="00A27F7C" w:rsidRPr="00D4593A">
        <w:rPr>
          <w:rFonts w:ascii="Arial" w:eastAsia="Arial" w:hAnsi="Arial" w:cs="Arial"/>
          <w:bCs/>
          <w:sz w:val="24"/>
          <w:szCs w:val="24"/>
          <w:vertAlign w:val="subscript"/>
        </w:rPr>
        <w:t>2</w:t>
      </w:r>
      <w:r w:rsidR="00A27F7C" w:rsidRPr="00A27F7C">
        <w:rPr>
          <w:rFonts w:ascii="Arial" w:eastAsia="Arial" w:hAnsi="Arial" w:cs="Arial"/>
          <w:bCs/>
          <w:sz w:val="24"/>
          <w:szCs w:val="24"/>
        </w:rPr>
        <w:t xml:space="preserve">FC) for representative genes </w:t>
      </w:r>
      <w:r w:rsidR="00A27F7C" w:rsidRPr="00A27F7C">
        <w:rPr>
          <w:rFonts w:ascii="Arial" w:eastAsia="Arial" w:hAnsi="Arial" w:cs="Arial"/>
          <w:bCs/>
          <w:sz w:val="24"/>
          <w:szCs w:val="24"/>
        </w:rPr>
        <w:lastRenderedPageBreak/>
        <w:t xml:space="preserve">COL1A1, IRAK2, TNF, CDC14A, and AURKA in AD-TCS-stimulated RHE with or without </w:t>
      </w:r>
      <w:r w:rsidR="00A27F7C" w:rsidRPr="00A27F7C">
        <w:rPr>
          <w:rFonts w:ascii="Arial" w:eastAsia="Arial" w:hAnsi="Arial" w:cs="Arial"/>
          <w:bCs/>
          <w:i/>
          <w:iCs/>
          <w:sz w:val="24"/>
          <w:szCs w:val="24"/>
        </w:rPr>
        <w:t>S. hominis</w:t>
      </w:r>
      <w:r w:rsidR="00A27F7C">
        <w:rPr>
          <w:rFonts w:ascii="Arial" w:eastAsia="Arial" w:hAnsi="Arial" w:cs="Arial"/>
          <w:bCs/>
          <w:i/>
          <w:iCs/>
          <w:sz w:val="24"/>
          <w:szCs w:val="24"/>
        </w:rPr>
        <w:t xml:space="preserve"> </w:t>
      </w:r>
      <w:r w:rsidR="00A27F7C" w:rsidRPr="00A27F7C">
        <w:rPr>
          <w:rFonts w:ascii="Arial" w:eastAsia="Arial" w:hAnsi="Arial" w:cs="Arial"/>
          <w:bCs/>
          <w:sz w:val="24"/>
          <w:szCs w:val="24"/>
        </w:rPr>
        <w:t>(B–F)</w:t>
      </w:r>
      <w:bookmarkEnd w:id="3"/>
      <w:r w:rsidR="00A27F7C" w:rsidRPr="00A27F7C">
        <w:rPr>
          <w:rFonts w:ascii="Arial" w:eastAsia="Arial" w:hAnsi="Arial" w:cs="Arial"/>
          <w:bCs/>
          <w:sz w:val="24"/>
          <w:szCs w:val="24"/>
        </w:rPr>
        <w:t xml:space="preserve">. </w:t>
      </w:r>
      <w:bookmarkStart w:id="4" w:name="_Hlk204777972"/>
      <w:r w:rsidR="00A27F7C" w:rsidRPr="00A27F7C">
        <w:rPr>
          <w:rFonts w:ascii="Arial" w:eastAsia="Arial" w:hAnsi="Arial" w:cs="Arial"/>
          <w:bCs/>
          <w:sz w:val="24"/>
          <w:szCs w:val="24"/>
        </w:rPr>
        <w:t>Paired samples from n = 4 independent RHE donors. Statistical significance determined by paired two-tailed t-test: *p &lt; 0.05, **p &lt; 0.01, ***p &lt; 0.001.</w:t>
      </w:r>
    </w:p>
    <w:p w14:paraId="199B87D7" w14:textId="77777777" w:rsidR="0086145B" w:rsidRDefault="0086145B" w:rsidP="00EE7512">
      <w:pPr>
        <w:spacing w:after="0" w:line="480" w:lineRule="auto"/>
        <w:rPr>
          <w:rFonts w:ascii="Arial" w:eastAsia="Arial" w:hAnsi="Arial" w:cs="Arial"/>
          <w:bCs/>
          <w:sz w:val="24"/>
          <w:szCs w:val="24"/>
        </w:rPr>
      </w:pPr>
    </w:p>
    <w:p w14:paraId="48A0A516" w14:textId="1FEC844B" w:rsidR="00FC4873" w:rsidRPr="00322CBB" w:rsidRDefault="0086145B" w:rsidP="00EE7512">
      <w:pPr>
        <w:spacing w:after="0" w:line="480" w:lineRule="auto"/>
        <w:rPr>
          <w:rFonts w:ascii="Arial" w:eastAsia="Arial" w:hAnsi="Arial" w:cs="Arial"/>
          <w:b/>
          <w:sz w:val="24"/>
          <w:szCs w:val="24"/>
          <w:lang w:val="de-DE"/>
        </w:rPr>
      </w:pPr>
      <w:r w:rsidRPr="00322CBB">
        <w:rPr>
          <w:rFonts w:ascii="Arial" w:eastAsia="Arial" w:hAnsi="Arial" w:cs="Arial"/>
          <w:b/>
          <w:sz w:val="24"/>
          <w:szCs w:val="24"/>
          <w:lang w:val="de-DE"/>
        </w:rPr>
        <w:t>References</w:t>
      </w:r>
      <w:bookmarkEnd w:id="4"/>
    </w:p>
    <w:p w14:paraId="30F1BBC1" w14:textId="77777777" w:rsidR="00FC4873" w:rsidRPr="00D4593A" w:rsidRDefault="00FC4873" w:rsidP="00FC4873">
      <w:pPr>
        <w:pStyle w:val="EndNoteBibliography"/>
        <w:spacing w:after="0"/>
        <w:rPr>
          <w:rFonts w:ascii="Arial" w:eastAsia="Arial" w:hAnsi="Arial" w:cs="Arial"/>
          <w:bCs/>
          <w:sz w:val="24"/>
          <w:szCs w:val="24"/>
        </w:rPr>
      </w:pPr>
      <w:r w:rsidRPr="00D4593A">
        <w:rPr>
          <w:rFonts w:ascii="Arial" w:eastAsia="Arial" w:hAnsi="Arial" w:cs="Arial"/>
          <w:bCs/>
          <w:sz w:val="24"/>
          <w:szCs w:val="24"/>
        </w:rPr>
        <w:fldChar w:fldCharType="begin"/>
      </w:r>
      <w:r w:rsidRPr="0086145B">
        <w:rPr>
          <w:rFonts w:ascii="Arial" w:eastAsia="Arial" w:hAnsi="Arial" w:cs="Arial"/>
          <w:bCs/>
          <w:sz w:val="24"/>
          <w:szCs w:val="24"/>
          <w:lang w:val="de-DE"/>
        </w:rPr>
        <w:instrText xml:space="preserve"> ADDIN EN.REFLIST </w:instrText>
      </w:r>
      <w:r w:rsidRPr="00D4593A">
        <w:rPr>
          <w:rFonts w:ascii="Arial" w:eastAsia="Arial" w:hAnsi="Arial" w:cs="Arial"/>
          <w:bCs/>
          <w:sz w:val="24"/>
          <w:szCs w:val="24"/>
        </w:rPr>
        <w:fldChar w:fldCharType="separate"/>
      </w:r>
      <w:r w:rsidRPr="0086145B">
        <w:rPr>
          <w:rFonts w:ascii="Arial" w:eastAsia="Arial" w:hAnsi="Arial" w:cs="Arial"/>
          <w:bCs/>
          <w:sz w:val="24"/>
          <w:szCs w:val="24"/>
          <w:lang w:val="de-DE"/>
        </w:rPr>
        <w:t>1.</w:t>
      </w:r>
      <w:r w:rsidRPr="0086145B">
        <w:rPr>
          <w:rFonts w:ascii="Arial" w:eastAsia="Arial" w:hAnsi="Arial" w:cs="Arial"/>
          <w:bCs/>
          <w:sz w:val="24"/>
          <w:szCs w:val="24"/>
          <w:lang w:val="de-DE"/>
        </w:rPr>
        <w:tab/>
        <w:t xml:space="preserve">Lauffer F, Jargosch M, Krause L, et al. </w:t>
      </w:r>
      <w:r w:rsidRPr="00D4593A">
        <w:rPr>
          <w:rFonts w:ascii="Arial" w:eastAsia="Arial" w:hAnsi="Arial" w:cs="Arial"/>
          <w:bCs/>
          <w:sz w:val="24"/>
          <w:szCs w:val="24"/>
        </w:rPr>
        <w:t>Type I immune response induces keratinocyte necroptosis and is associated with interface dermatitis. J Invest Dermatol. Mar 8 2018;doi:10.1016/j.jid.2018.02.034</w:t>
      </w:r>
    </w:p>
    <w:p w14:paraId="32F877B9" w14:textId="77777777" w:rsidR="00FC4873" w:rsidRPr="00D4593A" w:rsidRDefault="00FC4873" w:rsidP="00FC4873">
      <w:pPr>
        <w:pStyle w:val="EndNoteBibliography"/>
        <w:rPr>
          <w:rFonts w:ascii="Arial" w:eastAsia="Arial" w:hAnsi="Arial" w:cs="Arial"/>
          <w:bCs/>
          <w:sz w:val="24"/>
          <w:szCs w:val="24"/>
        </w:rPr>
      </w:pPr>
      <w:r w:rsidRPr="00D4593A">
        <w:rPr>
          <w:rFonts w:ascii="Arial" w:eastAsia="Arial" w:hAnsi="Arial" w:cs="Arial"/>
          <w:bCs/>
          <w:sz w:val="24"/>
          <w:szCs w:val="24"/>
        </w:rPr>
        <w:t>2.</w:t>
      </w:r>
      <w:r w:rsidRPr="00D4593A">
        <w:rPr>
          <w:rFonts w:ascii="Arial" w:eastAsia="Arial" w:hAnsi="Arial" w:cs="Arial"/>
          <w:bCs/>
          <w:sz w:val="24"/>
          <w:szCs w:val="24"/>
        </w:rPr>
        <w:tab/>
        <w:t>Pinnagoda J, Tupker RA, Agner T, Serup J. Guidelines for transepidermal water loss (TEWL) measurement. A report from the Standardization Group of the European Society of Contact Dermatitis. Contact Dermatitis. Mar 1990;22(3):164-78. doi:10.1111/j.1600-0536.1990.tb01553.x</w:t>
      </w:r>
    </w:p>
    <w:p w14:paraId="67EDE587" w14:textId="1340AB4D" w:rsidR="00E83063" w:rsidRPr="00D4593A" w:rsidRDefault="00FC4873" w:rsidP="00D4593A">
      <w:pPr>
        <w:pStyle w:val="EndNoteBibliography"/>
        <w:spacing w:after="0"/>
        <w:rPr>
          <w:rFonts w:ascii="Arial" w:eastAsia="Arial" w:hAnsi="Arial" w:cs="Arial"/>
          <w:bCs/>
          <w:sz w:val="24"/>
          <w:szCs w:val="24"/>
        </w:rPr>
      </w:pPr>
      <w:r w:rsidRPr="00D4593A">
        <w:rPr>
          <w:rFonts w:ascii="Arial" w:eastAsia="Arial" w:hAnsi="Arial" w:cs="Arial"/>
          <w:bCs/>
          <w:sz w:val="24"/>
          <w:szCs w:val="24"/>
        </w:rPr>
        <w:fldChar w:fldCharType="end"/>
      </w:r>
    </w:p>
    <w:sectPr w:rsidR="00E83063" w:rsidRPr="00D4593A">
      <w:footerReference w:type="default" r:id="rId20"/>
      <w:pgSz w:w="11909" w:h="16834"/>
      <w:pgMar w:top="1411" w:right="1411" w:bottom="1138" w:left="1411" w:header="706" w:footer="706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FCBDB" w14:textId="77777777" w:rsidR="00845059" w:rsidRDefault="00845059" w:rsidP="00322CBB">
      <w:pPr>
        <w:spacing w:after="0" w:line="240" w:lineRule="auto"/>
      </w:pPr>
      <w:r>
        <w:separator/>
      </w:r>
    </w:p>
  </w:endnote>
  <w:endnote w:type="continuationSeparator" w:id="0">
    <w:p w14:paraId="3D411F50" w14:textId="77777777" w:rsidR="00845059" w:rsidRDefault="00845059" w:rsidP="0032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123666"/>
      <w:docPartObj>
        <w:docPartGallery w:val="Page Numbers (Bottom of Page)"/>
        <w:docPartUnique/>
      </w:docPartObj>
    </w:sdtPr>
    <w:sdtContent>
      <w:p w14:paraId="015732B4" w14:textId="00357F58" w:rsidR="00322CBB" w:rsidRDefault="00322CB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A5F4C65" w14:textId="77777777" w:rsidR="00322CBB" w:rsidRDefault="00322C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2E52" w14:textId="77777777" w:rsidR="00845059" w:rsidRDefault="00845059" w:rsidP="00322CBB">
      <w:pPr>
        <w:spacing w:after="0" w:line="240" w:lineRule="auto"/>
      </w:pPr>
      <w:r>
        <w:separator/>
      </w:r>
    </w:p>
  </w:footnote>
  <w:footnote w:type="continuationSeparator" w:id="0">
    <w:p w14:paraId="1A2DC1FD" w14:textId="77777777" w:rsidR="00845059" w:rsidRDefault="00845059" w:rsidP="00322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E7485"/>
    <w:multiLevelType w:val="multilevel"/>
    <w:tmpl w:val="DD74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1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vt2x0e3v50z6edvr2p5v0vsr5zadz2rdvt&quot;&gt;endnote library Copy-Converted Copy&lt;record-ids&gt;&lt;item&gt;1644&lt;/item&gt;&lt;item&gt;1820&lt;/item&gt;&lt;item&gt;2810&lt;/item&gt;&lt;/record-ids&gt;&lt;/item&gt;&lt;/Libraries&gt;"/>
  </w:docVars>
  <w:rsids>
    <w:rsidRoot w:val="009F4915"/>
    <w:rsid w:val="00031349"/>
    <w:rsid w:val="00045475"/>
    <w:rsid w:val="000710A6"/>
    <w:rsid w:val="00075F85"/>
    <w:rsid w:val="000B1257"/>
    <w:rsid w:val="000C1E8C"/>
    <w:rsid w:val="000D3A2F"/>
    <w:rsid w:val="00104A1C"/>
    <w:rsid w:val="00106B1A"/>
    <w:rsid w:val="00182145"/>
    <w:rsid w:val="002C318F"/>
    <w:rsid w:val="002C5C40"/>
    <w:rsid w:val="002F1635"/>
    <w:rsid w:val="00322CBB"/>
    <w:rsid w:val="00346FF6"/>
    <w:rsid w:val="003800F3"/>
    <w:rsid w:val="003965ED"/>
    <w:rsid w:val="003D1B2C"/>
    <w:rsid w:val="003D2CCD"/>
    <w:rsid w:val="003D7E62"/>
    <w:rsid w:val="00415B17"/>
    <w:rsid w:val="00450B38"/>
    <w:rsid w:val="0047265D"/>
    <w:rsid w:val="004846BF"/>
    <w:rsid w:val="004A047D"/>
    <w:rsid w:val="00533C94"/>
    <w:rsid w:val="0055545F"/>
    <w:rsid w:val="005D784C"/>
    <w:rsid w:val="005E0AA4"/>
    <w:rsid w:val="006229E7"/>
    <w:rsid w:val="00646AE9"/>
    <w:rsid w:val="006B6D70"/>
    <w:rsid w:val="006C05DD"/>
    <w:rsid w:val="007026D3"/>
    <w:rsid w:val="00717DF8"/>
    <w:rsid w:val="00780F93"/>
    <w:rsid w:val="007963F1"/>
    <w:rsid w:val="00845059"/>
    <w:rsid w:val="0086145B"/>
    <w:rsid w:val="0089310D"/>
    <w:rsid w:val="00897BD0"/>
    <w:rsid w:val="008A1006"/>
    <w:rsid w:val="00906EBB"/>
    <w:rsid w:val="00964AF2"/>
    <w:rsid w:val="00971343"/>
    <w:rsid w:val="00987DCE"/>
    <w:rsid w:val="00992C37"/>
    <w:rsid w:val="009A1CFD"/>
    <w:rsid w:val="009A41E5"/>
    <w:rsid w:val="009C1657"/>
    <w:rsid w:val="009E630B"/>
    <w:rsid w:val="009F4915"/>
    <w:rsid w:val="00A27F7C"/>
    <w:rsid w:val="00A34D7B"/>
    <w:rsid w:val="00A51C3D"/>
    <w:rsid w:val="00A7652F"/>
    <w:rsid w:val="00AA5EEA"/>
    <w:rsid w:val="00AD0267"/>
    <w:rsid w:val="00AE7525"/>
    <w:rsid w:val="00B57A57"/>
    <w:rsid w:val="00BE503D"/>
    <w:rsid w:val="00C10B16"/>
    <w:rsid w:val="00C4262F"/>
    <w:rsid w:val="00C66AA2"/>
    <w:rsid w:val="00C70C1C"/>
    <w:rsid w:val="00C72237"/>
    <w:rsid w:val="00C76684"/>
    <w:rsid w:val="00D22109"/>
    <w:rsid w:val="00D34BCC"/>
    <w:rsid w:val="00D40F99"/>
    <w:rsid w:val="00D4593A"/>
    <w:rsid w:val="00D66964"/>
    <w:rsid w:val="00D801E3"/>
    <w:rsid w:val="00DC6B30"/>
    <w:rsid w:val="00DD5AF2"/>
    <w:rsid w:val="00DE7C4C"/>
    <w:rsid w:val="00E13A91"/>
    <w:rsid w:val="00E33945"/>
    <w:rsid w:val="00E54BC2"/>
    <w:rsid w:val="00E83063"/>
    <w:rsid w:val="00EA60F9"/>
    <w:rsid w:val="00ED28E6"/>
    <w:rsid w:val="00EE7512"/>
    <w:rsid w:val="00EF42FC"/>
    <w:rsid w:val="00F323DA"/>
    <w:rsid w:val="00F52EC1"/>
    <w:rsid w:val="00F70D47"/>
    <w:rsid w:val="00F853E6"/>
    <w:rsid w:val="00F94F94"/>
    <w:rsid w:val="00FA3C5C"/>
    <w:rsid w:val="00FC4873"/>
    <w:rsid w:val="00F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DB8B"/>
  <w15:docId w15:val="{767B5BF9-4759-4E62-9BDA-65C20CE8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TabellemithellemGitternetz">
    <w:name w:val="Grid Table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itternetztabelle1hellAkzent1">
    <w:name w:val="Grid Table 1 Light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itternetztabelle1hell-Akzent2">
    <w:name w:val="Grid Table 1 Light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Akzent1">
    <w:name w:val="Grid Table 2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Akzent1">
    <w:name w:val="Grid Table 3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Akzent1">
    <w:name w:val="Grid Table 4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Akzent2">
    <w:name w:val="Grid Table 5 Dark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itternetztabelle5dunkelAkzent5">
    <w:name w:val="Grid Table 5 Dark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Akzent1">
    <w:name w:val="Grid Table 6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itternetztabelle6farbigAkzent2">
    <w:name w:val="Grid Table 6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itternetztabelle6farbigAkzent3">
    <w:name w:val="Grid Table 6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itternetztabelle6farbigAkzent4">
    <w:name w:val="Grid Table 6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itternetztabelle6farbigAkzent5">
    <w:name w:val="Grid Table 6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6farbigAkzent6">
    <w:name w:val="Grid Table 6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Akzent1">
    <w:name w:val="Grid Table 7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itternetztabelle7farbigAkzent2">
    <w:name w:val="Grid Table 7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itternetztabelle7farbigAkzent3">
    <w:name w:val="Grid Table 7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itternetztabelle7farbigAkzent4">
    <w:name w:val="Grid Table 7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itternetztabelle7farbigAkzent5">
    <w:name w:val="Grid Table 7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Akzent6">
    <w:name w:val="Grid Table 7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Akzent1">
    <w:name w:val="List Table 1 Light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Akzent1">
    <w:name w:val="List Table 2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2Akzent2">
    <w:name w:val="List Table 2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2Akzent3">
    <w:name w:val="List Table 2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2Akzent4">
    <w:name w:val="List Table 2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2Akzent5">
    <w:name w:val="List Table 2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2Akzent6">
    <w:name w:val="List Table 2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Akzent1">
    <w:name w:val="List Table 3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Akzent1">
    <w:name w:val="List Table 4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4Akzent2">
    <w:name w:val="List Table 4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4Akzent3">
    <w:name w:val="List Table 4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4Akzent4">
    <w:name w:val="List Table 4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4Akzent5">
    <w:name w:val="List Table 4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4Akzent6">
    <w:name w:val="List Table 4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Akzent1">
    <w:name w:val="List Table 5 Dark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entabelle5dunkelAkzent2">
    <w:name w:val="List Table 5 Dark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Akzent1">
    <w:name w:val="List Table 6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entabelle6farbigAkzent2">
    <w:name w:val="List Table 6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entabelle6farbigAkzent3">
    <w:name w:val="List Table 6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entabelle6farbigAkzent4">
    <w:name w:val="List Table 6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entabelle6farbigAkzent5">
    <w:name w:val="List Table 6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entabelle6farbigAkzent6">
    <w:name w:val="List Table 6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Akzent1">
    <w:name w:val="List Table 7 Colorful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entabelle7farbigAkzent2">
    <w:name w:val="List Table 7 Colorful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entabelle7farbigAkzent3">
    <w:name w:val="List Table 7 Colorful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entabelle7farbigAkzent4">
    <w:name w:val="List Table 7 Colorful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entabelle7farbigAkzent5">
    <w:name w:val="List Table 7 Colorful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entabelle7farbigAkzent6">
    <w:name w:val="List Table 7 Colorful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GridLight1">
    <w:name w:val="Table Grid Light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10">
    <w:name w:val="Table Grid Light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0">
    <w:name w:val="Grid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0">
    <w:name w:val="Grid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0">
    <w:name w:val="Grid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0">
    <w:name w:val="Grid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0">
    <w:name w:val="Grid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0">
    <w:name w:val="Grid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0">
    <w:name w:val="Grid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0">
    <w:name w:val="Grid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0">
    <w:name w:val="Grid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0">
    <w:name w:val="Grid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0">
    <w:name w:val="Grid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0">
    <w:name w:val="Grid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0">
    <w:name w:val="Grid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0">
    <w:name w:val="Grid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0">
    <w:name w:val="Grid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0">
    <w:name w:val="Grid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0">
    <w:name w:val="Grid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0">
    <w:name w:val="Grid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0">
    <w:name w:val="Grid Table 4 - Accent 1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0">
    <w:name w:val="Grid Table 4 - Accent 2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0">
    <w:name w:val="Grid Table 4 - Accent 3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0">
    <w:name w:val="Grid Table 4 - Accent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0">
    <w:name w:val="Grid Table 4 - Accent 5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0">
    <w:name w:val="Grid Table 4 - Accent 6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0">
    <w:name w:val="Grid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0">
    <w:name w:val="Grid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0">
    <w:name w:val="Grid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0">
    <w:name w:val="Grid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0">
    <w:name w:val="Grid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0">
    <w:name w:val="Grid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0">
    <w:name w:val="Grid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0">
    <w:name w:val="Grid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0">
    <w:name w:val="Grid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0">
    <w:name w:val="Grid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0">
    <w:name w:val="Grid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0">
    <w:name w:val="Grid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0">
    <w:name w:val="Grid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0">
    <w:name w:val="Grid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0">
    <w:name w:val="Grid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0">
    <w:name w:val="Grid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0">
    <w:name w:val="List Table 1 Light - Accent 1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0">
    <w:name w:val="List Table 1 Light - Accent 2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0">
    <w:name w:val="List Table 1 Light - Accent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0">
    <w:name w:val="List Table 1 Light - Accent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0">
    <w:name w:val="List Table 1 Light - Accent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0">
    <w:name w:val="List Table 1 Light - Accent 6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0">
    <w:name w:val="List Table 2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0">
    <w:name w:val="List Table 2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0">
    <w:name w:val="List Table 2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0">
    <w:name w:val="List Table 2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0">
    <w:name w:val="List Table 2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0">
    <w:name w:val="List Table 2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0">
    <w:name w:val="List Table 3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0">
    <w:name w:val="List Table 3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0">
    <w:name w:val="List Table 3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0">
    <w:name w:val="List Table 3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0">
    <w:name w:val="List Table 3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0">
    <w:name w:val="List Table 3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0">
    <w:name w:val="List Table 4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0">
    <w:name w:val="List Table 4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0">
    <w:name w:val="List Table 4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0">
    <w:name w:val="List Table 4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0">
    <w:name w:val="List Table 4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0">
    <w:name w:val="List Table 4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0">
    <w:name w:val="List Table 5 Dark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0">
    <w:name w:val="List Table 5 Dark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0">
    <w:name w:val="List Table 5 Dark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0">
    <w:name w:val="List Table 5 Dark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0">
    <w:name w:val="List Table 5 Dark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0">
    <w:name w:val="List Table 5 Dark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0">
    <w:name w:val="List Table 6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0">
    <w:name w:val="List Table 6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0">
    <w:name w:val="List Table 6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0">
    <w:name w:val="List Table 6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0">
    <w:name w:val="List Table 6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0">
    <w:name w:val="List Table 6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0">
    <w:name w:val="List Table 7 Colorful - Accent 1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0">
    <w:name w:val="List Table 7 Colorful - Accent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0">
    <w:name w:val="List Table 7 Colorful - Accent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0">
    <w:name w:val="List Table 7 Colorful - Accent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0">
    <w:name w:val="List Table 7 Colorful - Accent 5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0">
    <w:name w:val="List Table 7 Colorful - Accent 6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02Flietext">
    <w:name w:val="02 Fließtext"/>
    <w:basedOn w:val="Standard"/>
    <w:link w:val="02FlietextZchn"/>
    <w:qFormat/>
    <w:pPr>
      <w:spacing w:after="180" w:line="360" w:lineRule="auto"/>
      <w:jc w:val="both"/>
    </w:pPr>
    <w:rPr>
      <w:rFonts w:ascii="Times New Roman" w:hAnsi="Times New Roman" w:cs="Times New Roman"/>
      <w:color w:val="000000"/>
      <w:sz w:val="24"/>
    </w:rPr>
  </w:style>
  <w:style w:type="character" w:customStyle="1" w:styleId="02FlietextZchn">
    <w:name w:val="02 Fließtext Zchn"/>
    <w:basedOn w:val="Absatz-Standardschriftart"/>
    <w:link w:val="02Flietext"/>
    <w:rPr>
      <w:rFonts w:ascii="Times New Roman" w:eastAsia="Calibri" w:hAnsi="Times New Roman" w:cs="Times New Roman"/>
      <w:color w:val="000000"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</w:pPr>
  </w:style>
  <w:style w:type="character" w:customStyle="1" w:styleId="EndNoteBibliographyZchn">
    <w:name w:val="EndNote Bibliography Zchn"/>
    <w:basedOn w:val="Absatz-Standardschriftart"/>
    <w:link w:val="EndNoteBibliography"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docdata">
    <w:name w:val="docdata"/>
    <w:basedOn w:val="Absatz-Standardschriftart"/>
  </w:style>
  <w:style w:type="paragraph" w:customStyle="1" w:styleId="AuthorList">
    <w:name w:val="Author List"/>
    <w:basedOn w:val="Untertitel"/>
    <w:next w:val="Standard"/>
    <w:uiPriority w:val="1"/>
    <w:pPr>
      <w:spacing w:before="240" w:after="240" w:line="240" w:lineRule="auto"/>
    </w:pPr>
    <w:rPr>
      <w:rFonts w:ascii="Times New Roman" w:hAnsi="Times New Roman" w:cs="Times New Roman"/>
      <w:b/>
    </w:rPr>
  </w:style>
  <w:style w:type="character" w:customStyle="1" w:styleId="cf01">
    <w:name w:val="cf01"/>
    <w:basedOn w:val="Absatz-Standardschriftart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793F7A"/>
  </w:style>
  <w:style w:type="table" w:customStyle="1" w:styleId="a">
    <w:basedOn w:val="NormaleTabelle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eTabelle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alie.garzorz-stark@uniklinik-freiburg.d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Lmy7dcLc2VQmvAzEgzfc0T8uy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4731BF4F2946AFA3B86B7AD00005" ma:contentTypeVersion="12" ma:contentTypeDescription="Ein neues Dokument erstellen." ma:contentTypeScope="" ma:versionID="3e223f30eb98002851a09552ef5f7770">
  <xsd:schema xmlns:xsd="http://www.w3.org/2001/XMLSchema" xmlns:xs="http://www.w3.org/2001/XMLSchema" xmlns:p="http://schemas.microsoft.com/office/2006/metadata/properties" xmlns:ns3="74cdc745-d51a-4068-a7dc-d0f7c4f007bb" targetNamespace="http://schemas.microsoft.com/office/2006/metadata/properties" ma:root="true" ma:fieldsID="076406521309c367d846a1b007ab5586" ns3:_="">
    <xsd:import namespace="74cdc745-d51a-4068-a7dc-d0f7c4f007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dc745-d51a-4068-a7dc-d0f7c4f00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cdc745-d51a-4068-a7dc-d0f7c4f007b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BE4214-512A-4CC3-9437-AE92C7FAA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dc745-d51a-4068-a7dc-d0f7c4f00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060BC-1222-413D-8840-840F127D7E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5F1BA0-E912-4240-845A-D9A685B88DCE}">
  <ds:schemaRefs>
    <ds:schemaRef ds:uri="http://schemas.microsoft.com/office/2006/metadata/properties"/>
    <ds:schemaRef ds:uri="http://schemas.microsoft.com/office/infopath/2007/PartnerControls"/>
    <ds:schemaRef ds:uri="74cdc745-d51a-4068-a7dc-d0f7c4f007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2520</Words>
  <Characters>15877</Characters>
  <Application>Microsoft Office Word</Application>
  <DocSecurity>0</DocSecurity>
  <Lines>132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Garzorz-Stark</dc:creator>
  <cp:lastModifiedBy>Natalie Garzorz-Stark</cp:lastModifiedBy>
  <cp:revision>9</cp:revision>
  <dcterms:created xsi:type="dcterms:W3CDTF">2025-07-30T17:13:00Z</dcterms:created>
  <dcterms:modified xsi:type="dcterms:W3CDTF">2025-08-07T18:05:00Z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0x01010055E64731BF4F2946AFA3B86B7AD00005</vt:lpwstr>
  </property>
</Properties>
</file>