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839AF7" w14:textId="2707A54F" w:rsidR="003B67C4" w:rsidRPr="00EF581C" w:rsidRDefault="00EF581C" w:rsidP="00EF581C">
      <w:pPr>
        <w:spacing w:line="360" w:lineRule="auto"/>
        <w:jc w:val="center"/>
        <w:rPr>
          <w:sz w:val="24"/>
          <w:szCs w:val="24"/>
          <w:lang w:val="en-US"/>
        </w:rPr>
      </w:pPr>
      <w:bookmarkStart w:id="0" w:name="_Hlk148609363"/>
      <w:bookmarkEnd w:id="0"/>
      <w:r w:rsidRPr="00EF581C">
        <w:rPr>
          <w:sz w:val="24"/>
          <w:szCs w:val="24"/>
          <w:lang w:val="en-US"/>
        </w:rPr>
        <w:t xml:space="preserve">Roye et al. Short-term association between hot nights and mortality: a </w:t>
      </w:r>
      <w:proofErr w:type="spellStart"/>
      <w:r w:rsidRPr="00EF581C">
        <w:rPr>
          <w:sz w:val="24"/>
          <w:szCs w:val="24"/>
          <w:lang w:val="en-US"/>
        </w:rPr>
        <w:t>multicountry</w:t>
      </w:r>
      <w:proofErr w:type="spellEnd"/>
      <w:r w:rsidRPr="00EF581C">
        <w:rPr>
          <w:sz w:val="24"/>
          <w:szCs w:val="24"/>
          <w:lang w:val="en-US"/>
        </w:rPr>
        <w:t xml:space="preserve"> analysis in 178 locations.</w:t>
      </w:r>
    </w:p>
    <w:p w14:paraId="45DCBE1C" w14:textId="6B5D8AAF" w:rsidR="003B67C4" w:rsidRDefault="003B67C4" w:rsidP="00C83842">
      <w:pPr>
        <w:spacing w:line="360" w:lineRule="auto"/>
        <w:jc w:val="center"/>
        <w:rPr>
          <w:b/>
          <w:bCs/>
          <w:sz w:val="24"/>
          <w:szCs w:val="24"/>
          <w:lang w:val="en-US"/>
        </w:rPr>
      </w:pPr>
      <w:r w:rsidRPr="66CB056D">
        <w:rPr>
          <w:b/>
          <w:bCs/>
          <w:sz w:val="24"/>
          <w:szCs w:val="24"/>
          <w:lang w:val="en-US"/>
        </w:rPr>
        <w:t>SUPLEMENTARY MATERIAL</w:t>
      </w:r>
    </w:p>
    <w:p w14:paraId="1E348F38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A9B54E0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B8505E3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1957EA7B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72E9676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64C325D2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A5EE975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9417E36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0061991E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D8234E2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68335630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4CB1103F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3F5E202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40E69558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D3F7628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66B5DE7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657F78C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01EB10FA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6D3D2CA4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4B0A814D" w14:textId="77777777" w:rsidR="00487C22" w:rsidRDefault="00487C22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67EAE1C1" w14:textId="77777777" w:rsidR="00313CF1" w:rsidRDefault="00313CF1" w:rsidP="005C0CAB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4B38266" w14:textId="63C63DBB" w:rsidR="00313CF1" w:rsidRPr="00C83842" w:rsidRDefault="00313CF1" w:rsidP="005C0CAB">
      <w:pPr>
        <w:spacing w:line="360" w:lineRule="auto"/>
        <w:jc w:val="center"/>
        <w:rPr>
          <w:b/>
          <w:bCs/>
          <w:sz w:val="52"/>
          <w:szCs w:val="52"/>
          <w:lang w:val="en-US"/>
        </w:rPr>
      </w:pPr>
      <w:r w:rsidRPr="00C83842">
        <w:rPr>
          <w:b/>
          <w:bCs/>
          <w:sz w:val="52"/>
          <w:szCs w:val="52"/>
          <w:lang w:val="en-US"/>
        </w:rPr>
        <w:lastRenderedPageBreak/>
        <w:t>TABLES</w:t>
      </w:r>
    </w:p>
    <w:p w14:paraId="009EFADB" w14:textId="5B28CE16" w:rsidR="00DF647D" w:rsidRDefault="00487C22" w:rsidP="005C0CAB">
      <w:pPr>
        <w:spacing w:line="360" w:lineRule="auto"/>
        <w:rPr>
          <w:b/>
          <w:bCs/>
          <w:sz w:val="24"/>
          <w:szCs w:val="24"/>
          <w:lang w:val="en-US"/>
        </w:rPr>
      </w:pPr>
      <w:r>
        <w:rPr>
          <w:b/>
          <w:bCs/>
          <w:sz w:val="24"/>
          <w:szCs w:val="24"/>
          <w:lang w:val="en-US"/>
        </w:rPr>
        <w:lastRenderedPageBreak/>
        <w:t>Table S</w:t>
      </w:r>
      <w:r w:rsidR="00FF2904">
        <w:rPr>
          <w:b/>
          <w:bCs/>
          <w:sz w:val="24"/>
          <w:szCs w:val="24"/>
          <w:lang w:val="en-US"/>
        </w:rPr>
        <w:t>4</w:t>
      </w:r>
      <w:r>
        <w:rPr>
          <w:b/>
          <w:bCs/>
          <w:sz w:val="24"/>
          <w:szCs w:val="24"/>
          <w:lang w:val="en-US"/>
        </w:rPr>
        <w:t xml:space="preserve"> </w:t>
      </w:r>
      <w:r w:rsidRPr="00D10AA6">
        <w:rPr>
          <w:sz w:val="24"/>
          <w:szCs w:val="24"/>
          <w:lang w:val="en-US"/>
        </w:rPr>
        <w:t>Heterogeneity analysis and selected meta-predictors for Hot Night excess (</w:t>
      </w:r>
      <w:proofErr w:type="spellStart"/>
      <w:r w:rsidRPr="00D10AA6">
        <w:rPr>
          <w:sz w:val="24"/>
          <w:szCs w:val="24"/>
          <w:lang w:val="en-US"/>
        </w:rPr>
        <w:t>HNe</w:t>
      </w:r>
      <w:proofErr w:type="spellEnd"/>
      <w:r w:rsidRPr="00D10AA6">
        <w:rPr>
          <w:sz w:val="24"/>
          <w:szCs w:val="24"/>
          <w:lang w:val="en-US"/>
        </w:rPr>
        <w:t>) and duration (</w:t>
      </w:r>
      <w:proofErr w:type="spellStart"/>
      <w:r w:rsidRPr="00D10AA6">
        <w:rPr>
          <w:sz w:val="24"/>
          <w:szCs w:val="24"/>
          <w:lang w:val="en-US"/>
        </w:rPr>
        <w:t>HNd</w:t>
      </w:r>
      <w:proofErr w:type="spellEnd"/>
      <w:r w:rsidRPr="00D10AA6">
        <w:rPr>
          <w:sz w:val="24"/>
          <w:szCs w:val="24"/>
          <w:lang w:val="en-US"/>
        </w:rPr>
        <w:t>)</w:t>
      </w:r>
      <w:r w:rsidR="005C0CAB">
        <w:rPr>
          <w:b/>
          <w:bCs/>
          <w:noProof/>
          <w:sz w:val="24"/>
          <w:szCs w:val="24"/>
          <w:lang w:val="en-US"/>
        </w:rPr>
        <w:drawing>
          <wp:inline distT="0" distB="0" distL="0" distR="0" wp14:anchorId="5DE518B8" wp14:editId="2846B8C2">
            <wp:extent cx="4897587" cy="79629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8054" cy="7963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611EB" w14:textId="2CAE4EB0" w:rsidR="00D95DD3" w:rsidRDefault="0070265F" w:rsidP="005C0CAB">
      <w:pPr>
        <w:spacing w:line="360" w:lineRule="auto"/>
        <w:rPr>
          <w:b/>
          <w:bCs/>
          <w:sz w:val="24"/>
          <w:szCs w:val="24"/>
          <w:lang w:val="en-US"/>
        </w:rPr>
      </w:pPr>
      <w:r>
        <w:rPr>
          <w:b/>
          <w:bCs/>
          <w:sz w:val="24"/>
          <w:szCs w:val="24"/>
          <w:lang w:val="en-US"/>
        </w:rPr>
        <w:lastRenderedPageBreak/>
        <w:t>Table S</w:t>
      </w:r>
      <w:r w:rsidR="00FF2904">
        <w:rPr>
          <w:b/>
          <w:bCs/>
          <w:sz w:val="24"/>
          <w:szCs w:val="24"/>
          <w:lang w:val="en-US"/>
        </w:rPr>
        <w:t>5</w:t>
      </w:r>
      <w:r>
        <w:rPr>
          <w:b/>
          <w:bCs/>
          <w:sz w:val="24"/>
          <w:szCs w:val="24"/>
          <w:lang w:val="en-US"/>
        </w:rPr>
        <w:t xml:space="preserve"> </w:t>
      </w:r>
      <w:r w:rsidRPr="00D10AA6">
        <w:rPr>
          <w:sz w:val="24"/>
          <w:szCs w:val="24"/>
          <w:lang w:val="en-US"/>
        </w:rPr>
        <w:t xml:space="preserve">Relative risks </w:t>
      </w:r>
      <w:r w:rsidR="00F50B30">
        <w:rPr>
          <w:sz w:val="24"/>
          <w:szCs w:val="24"/>
          <w:lang w:val="en-US"/>
        </w:rPr>
        <w:t>at</w:t>
      </w:r>
      <w:r w:rsidRPr="00D10AA6">
        <w:rPr>
          <w:sz w:val="24"/>
          <w:szCs w:val="24"/>
          <w:lang w:val="en-US"/>
        </w:rPr>
        <w:t xml:space="preserve"> 90</w:t>
      </w:r>
      <w:r w:rsidRPr="00D10AA6">
        <w:rPr>
          <w:sz w:val="24"/>
          <w:szCs w:val="24"/>
          <w:vertAlign w:val="superscript"/>
          <w:lang w:val="en-US"/>
        </w:rPr>
        <w:t>th</w:t>
      </w:r>
      <w:r w:rsidRPr="00D10AA6">
        <w:rPr>
          <w:sz w:val="24"/>
          <w:szCs w:val="24"/>
          <w:lang w:val="en-US"/>
        </w:rPr>
        <w:t xml:space="preserve"> percentile </w:t>
      </w:r>
      <w:r w:rsidR="00F50B30" w:rsidRPr="00F50B30">
        <w:rPr>
          <w:sz w:val="24"/>
          <w:szCs w:val="24"/>
          <w:lang w:val="en-US"/>
        </w:rPr>
        <w:t xml:space="preserve">with respect to 0 in each index </w:t>
      </w:r>
      <w:r w:rsidRPr="00D10AA6">
        <w:rPr>
          <w:sz w:val="24"/>
          <w:szCs w:val="24"/>
          <w:lang w:val="en-US"/>
        </w:rPr>
        <w:t>by region</w:t>
      </w:r>
      <w:r w:rsidR="006905A2" w:rsidRPr="00D10AA6">
        <w:rPr>
          <w:sz w:val="24"/>
          <w:szCs w:val="24"/>
          <w:lang w:val="en-US"/>
        </w:rPr>
        <w:t xml:space="preserve"> and climate zone</w:t>
      </w:r>
      <w:r w:rsidRPr="00D10AA6">
        <w:rPr>
          <w:sz w:val="24"/>
          <w:szCs w:val="24"/>
          <w:lang w:val="en-US"/>
        </w:rPr>
        <w:t xml:space="preserve"> for Hot Night excess (</w:t>
      </w:r>
      <w:proofErr w:type="spellStart"/>
      <w:r w:rsidRPr="00D10AA6">
        <w:rPr>
          <w:sz w:val="24"/>
          <w:szCs w:val="24"/>
          <w:lang w:val="en-US"/>
        </w:rPr>
        <w:t>HNe</w:t>
      </w:r>
      <w:proofErr w:type="spellEnd"/>
      <w:r w:rsidRPr="00D10AA6">
        <w:rPr>
          <w:sz w:val="24"/>
          <w:szCs w:val="24"/>
          <w:lang w:val="en-US"/>
        </w:rPr>
        <w:t>) and duration (</w:t>
      </w:r>
      <w:proofErr w:type="spellStart"/>
      <w:r w:rsidRPr="00D10AA6">
        <w:rPr>
          <w:sz w:val="24"/>
          <w:szCs w:val="24"/>
          <w:lang w:val="en-US"/>
        </w:rPr>
        <w:t>HNd</w:t>
      </w:r>
      <w:proofErr w:type="spellEnd"/>
      <w:r w:rsidRPr="00D10AA6">
        <w:rPr>
          <w:sz w:val="24"/>
          <w:szCs w:val="24"/>
          <w:lang w:val="en-US"/>
        </w:rPr>
        <w:t>)</w:t>
      </w:r>
      <w:r w:rsidR="000A73A4">
        <w:rPr>
          <w:b/>
          <w:bCs/>
          <w:noProof/>
          <w:sz w:val="24"/>
          <w:szCs w:val="24"/>
          <w:lang w:val="en-US"/>
        </w:rPr>
        <w:drawing>
          <wp:inline distT="0" distB="0" distL="0" distR="0" wp14:anchorId="48550F1E" wp14:editId="0231C72C">
            <wp:extent cx="5394960" cy="3383280"/>
            <wp:effectExtent l="0" t="0" r="0" b="762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73A4">
        <w:rPr>
          <w:noProof/>
          <w:sz w:val="24"/>
          <w:szCs w:val="24"/>
          <w:lang w:val="en-US"/>
        </w:rPr>
        <w:drawing>
          <wp:inline distT="0" distB="0" distL="0" distR="0" wp14:anchorId="76784645" wp14:editId="5B537E93">
            <wp:extent cx="4760315" cy="1920240"/>
            <wp:effectExtent l="0" t="0" r="2540" b="381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445" cy="1933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F7DA6" w14:textId="1F867D25" w:rsidR="0070265F" w:rsidRDefault="0070265F" w:rsidP="00E369A7">
      <w:pPr>
        <w:spacing w:line="360" w:lineRule="auto"/>
        <w:jc w:val="right"/>
        <w:rPr>
          <w:b/>
          <w:bCs/>
          <w:sz w:val="24"/>
          <w:szCs w:val="24"/>
          <w:lang w:val="en-US"/>
        </w:rPr>
      </w:pPr>
    </w:p>
    <w:p w14:paraId="32B8D7F0" w14:textId="77777777" w:rsidR="0070265F" w:rsidRDefault="0070265F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6C330B27" w14:textId="77777777" w:rsidR="0070265F" w:rsidRDefault="0070265F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1D9A275E" w14:textId="77777777" w:rsidR="00DF647D" w:rsidRDefault="00DF647D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5CA9C87" w14:textId="77777777" w:rsidR="00351308" w:rsidRDefault="00351308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71A7103" w14:textId="77777777" w:rsidR="00351308" w:rsidRDefault="00351308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14124B90" w14:textId="77777777" w:rsidR="000A5051" w:rsidRDefault="000A5051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3632C7E" w14:textId="77777777" w:rsidR="00DF647D" w:rsidRDefault="00DF647D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170FF7A" w14:textId="40E45BE1" w:rsidR="0069110A" w:rsidRPr="00D10AA6" w:rsidRDefault="0069110A" w:rsidP="0069110A">
      <w:pPr>
        <w:spacing w:line="360" w:lineRule="auto"/>
        <w:rPr>
          <w:sz w:val="24"/>
          <w:szCs w:val="24"/>
          <w:lang w:val="en-US"/>
        </w:rPr>
      </w:pPr>
      <w:r>
        <w:rPr>
          <w:b/>
          <w:bCs/>
          <w:sz w:val="24"/>
          <w:szCs w:val="24"/>
          <w:lang w:val="en-US"/>
        </w:rPr>
        <w:t>Table S</w:t>
      </w:r>
      <w:r w:rsidR="00FF2904">
        <w:rPr>
          <w:b/>
          <w:bCs/>
          <w:sz w:val="24"/>
          <w:szCs w:val="24"/>
          <w:lang w:val="en-US"/>
        </w:rPr>
        <w:t>6</w:t>
      </w:r>
      <w:r>
        <w:rPr>
          <w:b/>
          <w:bCs/>
          <w:sz w:val="24"/>
          <w:szCs w:val="24"/>
          <w:lang w:val="en-US"/>
        </w:rPr>
        <w:t xml:space="preserve"> </w:t>
      </w:r>
      <w:r w:rsidR="000E7435">
        <w:rPr>
          <w:sz w:val="24"/>
          <w:szCs w:val="24"/>
          <w:lang w:val="en-US"/>
        </w:rPr>
        <w:t>Ranking of highest city-specific overall attributable fractions</w:t>
      </w:r>
      <w:r w:rsidR="00C43B95">
        <w:rPr>
          <w:sz w:val="24"/>
          <w:szCs w:val="24"/>
          <w:lang w:val="en-US"/>
        </w:rPr>
        <w:t xml:space="preserve"> (%)</w:t>
      </w:r>
      <w:r w:rsidR="000E7435">
        <w:rPr>
          <w:sz w:val="24"/>
          <w:szCs w:val="24"/>
          <w:lang w:val="en-US"/>
        </w:rPr>
        <w:t xml:space="preserve">, six per continent, </w:t>
      </w:r>
      <w:r w:rsidRPr="00D10AA6">
        <w:rPr>
          <w:sz w:val="24"/>
          <w:szCs w:val="24"/>
          <w:lang w:val="en-US"/>
        </w:rPr>
        <w:t>for Hot Night excess (</w:t>
      </w:r>
      <w:proofErr w:type="spellStart"/>
      <w:r w:rsidRPr="00D10AA6">
        <w:rPr>
          <w:sz w:val="24"/>
          <w:szCs w:val="24"/>
          <w:lang w:val="en-US"/>
        </w:rPr>
        <w:t>HNe</w:t>
      </w:r>
      <w:proofErr w:type="spellEnd"/>
      <w:r w:rsidRPr="00D10AA6">
        <w:rPr>
          <w:sz w:val="24"/>
          <w:szCs w:val="24"/>
          <w:lang w:val="en-US"/>
        </w:rPr>
        <w:t>)</w:t>
      </w:r>
      <w:r w:rsidR="000E7435">
        <w:rPr>
          <w:sz w:val="24"/>
          <w:szCs w:val="24"/>
          <w:lang w:val="en-US"/>
        </w:rPr>
        <w:t xml:space="preserve">. </w:t>
      </w:r>
    </w:p>
    <w:p w14:paraId="3C49D12C" w14:textId="1E3B85E0" w:rsidR="00163114" w:rsidRDefault="000A73A4" w:rsidP="003B67C4">
      <w:pPr>
        <w:spacing w:line="360" w:lineRule="auto"/>
        <w:rPr>
          <w:b/>
          <w:bCs/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US"/>
        </w:rPr>
        <w:drawing>
          <wp:inline distT="0" distB="0" distL="0" distR="0" wp14:anchorId="41DDBD3F" wp14:editId="35D096F2">
            <wp:extent cx="5387340" cy="5631180"/>
            <wp:effectExtent l="0" t="0" r="3810" b="762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563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8A31D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03466F0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3691A6C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0BA727BF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4456A295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D998BFF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135F5C4B" w14:textId="54759AC8" w:rsidR="0003132F" w:rsidRPr="00D10AA6" w:rsidRDefault="0069110A" w:rsidP="0003132F">
      <w:pPr>
        <w:spacing w:line="360" w:lineRule="auto"/>
        <w:rPr>
          <w:sz w:val="24"/>
          <w:szCs w:val="24"/>
          <w:lang w:val="en-US"/>
        </w:rPr>
      </w:pPr>
      <w:r>
        <w:rPr>
          <w:b/>
          <w:bCs/>
          <w:sz w:val="24"/>
          <w:szCs w:val="24"/>
          <w:lang w:val="en-US"/>
        </w:rPr>
        <w:t>Table S</w:t>
      </w:r>
      <w:r w:rsidR="00FF2904">
        <w:rPr>
          <w:b/>
          <w:bCs/>
          <w:sz w:val="24"/>
          <w:szCs w:val="24"/>
          <w:lang w:val="en-US"/>
        </w:rPr>
        <w:t>7</w:t>
      </w:r>
      <w:r>
        <w:rPr>
          <w:b/>
          <w:bCs/>
          <w:sz w:val="24"/>
          <w:szCs w:val="24"/>
          <w:lang w:val="en-US"/>
        </w:rPr>
        <w:t xml:space="preserve"> </w:t>
      </w:r>
      <w:r w:rsidR="0003132F">
        <w:rPr>
          <w:sz w:val="24"/>
          <w:szCs w:val="24"/>
          <w:lang w:val="en-US"/>
        </w:rPr>
        <w:t>Ranking of highest city-specific overall attributable fractions</w:t>
      </w:r>
      <w:r w:rsidR="00C43B95">
        <w:rPr>
          <w:sz w:val="24"/>
          <w:szCs w:val="24"/>
          <w:lang w:val="en-US"/>
        </w:rPr>
        <w:t xml:space="preserve"> (%)</w:t>
      </w:r>
      <w:r w:rsidR="0003132F">
        <w:rPr>
          <w:sz w:val="24"/>
          <w:szCs w:val="24"/>
          <w:lang w:val="en-US"/>
        </w:rPr>
        <w:t xml:space="preserve">, six per continent, </w:t>
      </w:r>
      <w:r w:rsidR="0003132F" w:rsidRPr="00D10AA6">
        <w:rPr>
          <w:sz w:val="24"/>
          <w:szCs w:val="24"/>
          <w:lang w:val="en-US"/>
        </w:rPr>
        <w:t xml:space="preserve">for Hot Night </w:t>
      </w:r>
      <w:r w:rsidR="0003132F">
        <w:rPr>
          <w:sz w:val="24"/>
          <w:szCs w:val="24"/>
          <w:lang w:val="en-US"/>
        </w:rPr>
        <w:t>duration</w:t>
      </w:r>
      <w:r w:rsidR="0003132F" w:rsidRPr="00D10AA6">
        <w:rPr>
          <w:sz w:val="24"/>
          <w:szCs w:val="24"/>
          <w:lang w:val="en-US"/>
        </w:rPr>
        <w:t xml:space="preserve"> (</w:t>
      </w:r>
      <w:proofErr w:type="spellStart"/>
      <w:r w:rsidR="0003132F" w:rsidRPr="00D10AA6">
        <w:rPr>
          <w:sz w:val="24"/>
          <w:szCs w:val="24"/>
          <w:lang w:val="en-US"/>
        </w:rPr>
        <w:t>HN</w:t>
      </w:r>
      <w:r w:rsidR="0003132F">
        <w:rPr>
          <w:sz w:val="24"/>
          <w:szCs w:val="24"/>
          <w:lang w:val="en-US"/>
        </w:rPr>
        <w:t>d</w:t>
      </w:r>
      <w:proofErr w:type="spellEnd"/>
      <w:r w:rsidR="0003132F" w:rsidRPr="00D10AA6">
        <w:rPr>
          <w:sz w:val="24"/>
          <w:szCs w:val="24"/>
          <w:lang w:val="en-US"/>
        </w:rPr>
        <w:t>)</w:t>
      </w:r>
      <w:r w:rsidR="0003132F">
        <w:rPr>
          <w:sz w:val="24"/>
          <w:szCs w:val="24"/>
          <w:lang w:val="en-US"/>
        </w:rPr>
        <w:t xml:space="preserve">. </w:t>
      </w:r>
    </w:p>
    <w:p w14:paraId="4E086F2D" w14:textId="6AF204DE" w:rsidR="00163114" w:rsidRDefault="000A73A4" w:rsidP="003B67C4">
      <w:pPr>
        <w:spacing w:line="360" w:lineRule="auto"/>
        <w:rPr>
          <w:b/>
          <w:bCs/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US"/>
        </w:rPr>
        <w:drawing>
          <wp:inline distT="0" distB="0" distL="0" distR="0" wp14:anchorId="55E39B5A" wp14:editId="4E45E86A">
            <wp:extent cx="5387340" cy="5684520"/>
            <wp:effectExtent l="0" t="0" r="381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7340" cy="568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E5CE3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11A153A5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66DCFE23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A26E7E0" w14:textId="77777777" w:rsidR="002D25D4" w:rsidRDefault="002D25D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86053DC" w14:textId="77777777" w:rsidR="002D25D4" w:rsidRDefault="002D25D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FD5B91A" w14:textId="0780F0A5" w:rsidR="002D25D4" w:rsidRPr="002D25D4" w:rsidRDefault="002D25D4" w:rsidP="003B67C4">
      <w:pPr>
        <w:spacing w:line="360" w:lineRule="auto"/>
        <w:rPr>
          <w:sz w:val="24"/>
          <w:szCs w:val="24"/>
          <w:lang w:val="en-US"/>
        </w:rPr>
      </w:pPr>
      <w:r>
        <w:rPr>
          <w:b/>
          <w:bCs/>
          <w:sz w:val="24"/>
          <w:szCs w:val="24"/>
          <w:lang w:val="en-US"/>
        </w:rPr>
        <w:lastRenderedPageBreak/>
        <w:t xml:space="preserve">Table S8 </w:t>
      </w:r>
      <w:r w:rsidR="003738F3">
        <w:rPr>
          <w:rFonts w:ascii="Times New Roman" w:eastAsia="Times New Roman" w:hAnsi="Times New Roman" w:cs="Times New Roman"/>
          <w:color w:val="000000" w:themeColor="text1"/>
          <w:lang w:val="en-US"/>
        </w:rPr>
        <w:t>S</w:t>
      </w:r>
      <w:r w:rsidR="003738F3" w:rsidRPr="00615D1A">
        <w:rPr>
          <w:rFonts w:ascii="Times New Roman" w:eastAsia="Times New Roman" w:hAnsi="Times New Roman" w:cs="Times New Roman"/>
          <w:color w:val="000000" w:themeColor="text1"/>
          <w:lang w:val="en-US"/>
        </w:rPr>
        <w:t>ensitivity to the model specifications</w:t>
      </w:r>
      <w:r w:rsidR="003738F3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. See Figure S12. </w:t>
      </w:r>
    </w:p>
    <w:p w14:paraId="1691D8F2" w14:textId="452B2776" w:rsidR="002D25D4" w:rsidRDefault="002D25D4" w:rsidP="002D25D4">
      <w:pPr>
        <w:spacing w:line="360" w:lineRule="auto"/>
        <w:jc w:val="center"/>
        <w:rPr>
          <w:b/>
          <w:bCs/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US"/>
        </w:rPr>
        <w:drawing>
          <wp:inline distT="0" distB="0" distL="0" distR="0" wp14:anchorId="5A0FDAD6" wp14:editId="42D973A8">
            <wp:extent cx="3843101" cy="8430260"/>
            <wp:effectExtent l="0" t="0" r="5080" b="889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3901" cy="843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7977F" w14:textId="77777777" w:rsidR="00163114" w:rsidRDefault="0016311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FA32B4D" w14:textId="2E477B67" w:rsidR="00EF581C" w:rsidRPr="00D130AB" w:rsidRDefault="00313CF1" w:rsidP="00D130AB">
      <w:pPr>
        <w:spacing w:line="360" w:lineRule="auto"/>
        <w:jc w:val="center"/>
        <w:rPr>
          <w:b/>
          <w:bCs/>
          <w:sz w:val="52"/>
          <w:szCs w:val="52"/>
          <w:lang w:val="en-US"/>
        </w:rPr>
      </w:pPr>
      <w:r w:rsidRPr="00D130AB">
        <w:rPr>
          <w:b/>
          <w:bCs/>
          <w:sz w:val="52"/>
          <w:szCs w:val="52"/>
          <w:lang w:val="en-US"/>
        </w:rPr>
        <w:t>FIGURES</w:t>
      </w:r>
    </w:p>
    <w:p w14:paraId="3CF0B566" w14:textId="77777777" w:rsidR="003C7E8D" w:rsidRDefault="003C7E8D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47B178DF" w14:textId="4AC6BDC5" w:rsidR="00600FE8" w:rsidRDefault="000A73A4" w:rsidP="00D130AB">
      <w:pPr>
        <w:spacing w:line="360" w:lineRule="auto"/>
        <w:jc w:val="center"/>
        <w:rPr>
          <w:b/>
          <w:bCs/>
          <w:sz w:val="24"/>
          <w:szCs w:val="24"/>
          <w:highlight w:val="yellow"/>
          <w:lang w:val="en-US"/>
        </w:rPr>
      </w:pPr>
      <w:r>
        <w:rPr>
          <w:b/>
          <w:bCs/>
          <w:noProof/>
          <w:sz w:val="24"/>
          <w:szCs w:val="24"/>
          <w:highlight w:val="yellow"/>
          <w:lang w:val="en-US"/>
        </w:rPr>
        <w:drawing>
          <wp:inline distT="0" distB="0" distL="0" distR="0" wp14:anchorId="0A140AF6" wp14:editId="54653C4A">
            <wp:extent cx="4572000" cy="457200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3E2B8" w14:textId="63C624FA" w:rsidR="00C01950" w:rsidRPr="00600FE8" w:rsidRDefault="00C01950" w:rsidP="00C01950">
      <w:pPr>
        <w:spacing w:line="360" w:lineRule="auto"/>
        <w:rPr>
          <w:sz w:val="24"/>
          <w:szCs w:val="24"/>
          <w:lang w:val="en-US"/>
        </w:rPr>
      </w:pPr>
      <w:r w:rsidRPr="00600FE8">
        <w:rPr>
          <w:b/>
          <w:bCs/>
          <w:sz w:val="24"/>
          <w:szCs w:val="24"/>
          <w:lang w:val="en-US"/>
        </w:rPr>
        <w:t>Figure S</w:t>
      </w:r>
      <w:r w:rsidR="003860B3">
        <w:rPr>
          <w:b/>
          <w:bCs/>
          <w:sz w:val="24"/>
          <w:szCs w:val="24"/>
          <w:lang w:val="en-US"/>
        </w:rPr>
        <w:t>1</w:t>
      </w:r>
      <w:r w:rsidRPr="00600FE8">
        <w:rPr>
          <w:b/>
          <w:bCs/>
          <w:sz w:val="24"/>
          <w:szCs w:val="24"/>
          <w:lang w:val="en-US"/>
        </w:rPr>
        <w:t xml:space="preserve"> </w:t>
      </w:r>
      <w:r w:rsidR="00D130AB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>R</w:t>
      </w:r>
      <w:r w:rsidR="00D130AB">
        <w:rPr>
          <w:rFonts w:ascii="Times New Roman" w:eastAsia="Times New Roman" w:hAnsi="Times New Roman" w:cs="Times New Roman"/>
          <w:color w:val="000000" w:themeColor="text1"/>
          <w:lang w:val="en-US"/>
        </w:rPr>
        <w:t>elative risks for l</w:t>
      </w:r>
      <w:r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ag </w:t>
      </w:r>
      <w:r w:rsidR="00600FE8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effects of </w:t>
      </w:r>
      <w:r w:rsidR="00600FE8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Hot Night </w:t>
      </w:r>
      <w:r w:rsidR="00600FE8">
        <w:rPr>
          <w:rFonts w:ascii="Times New Roman" w:eastAsia="Times New Roman" w:hAnsi="Times New Roman" w:cs="Times New Roman"/>
          <w:color w:val="000000" w:themeColor="text1"/>
          <w:lang w:val="en-US"/>
        </w:rPr>
        <w:t>excess (</w:t>
      </w:r>
      <w:proofErr w:type="spellStart"/>
      <w:r w:rsidR="00600FE8">
        <w:rPr>
          <w:rFonts w:ascii="Times New Roman" w:eastAsia="Times New Roman" w:hAnsi="Times New Roman" w:cs="Times New Roman"/>
          <w:color w:val="000000" w:themeColor="text1"/>
          <w:lang w:val="en-US"/>
        </w:rPr>
        <w:t>HNe</w:t>
      </w:r>
      <w:proofErr w:type="spellEnd"/>
      <w:r w:rsidR="00600FE8">
        <w:rPr>
          <w:rFonts w:ascii="Times New Roman" w:eastAsia="Times New Roman" w:hAnsi="Times New Roman" w:cs="Times New Roman"/>
          <w:color w:val="000000" w:themeColor="text1"/>
          <w:lang w:val="en-US"/>
        </w:rPr>
        <w:t>) and duration (</w:t>
      </w:r>
      <w:proofErr w:type="spellStart"/>
      <w:r w:rsidR="00600FE8">
        <w:rPr>
          <w:rFonts w:ascii="Times New Roman" w:eastAsia="Times New Roman" w:hAnsi="Times New Roman" w:cs="Times New Roman"/>
          <w:color w:val="000000" w:themeColor="text1"/>
          <w:lang w:val="en-US"/>
        </w:rPr>
        <w:t>HNd</w:t>
      </w:r>
      <w:proofErr w:type="spellEnd"/>
      <w:r w:rsidR="00600FE8">
        <w:rPr>
          <w:rFonts w:ascii="Times New Roman" w:eastAsia="Times New Roman" w:hAnsi="Times New Roman" w:cs="Times New Roman"/>
          <w:color w:val="000000" w:themeColor="text1"/>
          <w:lang w:val="en-US"/>
        </w:rPr>
        <w:t>)</w:t>
      </w:r>
      <w:r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for pooled results at </w:t>
      </w:r>
      <w:r w:rsid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the </w:t>
      </w:r>
      <w:r w:rsidR="00BB7C3A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>90</w:t>
      </w:r>
      <w:r w:rsidR="00BB7C3A" w:rsidRPr="00D130AB">
        <w:rPr>
          <w:rFonts w:ascii="Times New Roman" w:eastAsia="Times New Roman" w:hAnsi="Times New Roman" w:cs="Times New Roman"/>
          <w:color w:val="000000" w:themeColor="text1"/>
          <w:vertAlign w:val="superscript"/>
          <w:lang w:val="en-US"/>
        </w:rPr>
        <w:t>th</w:t>
      </w:r>
      <w:r w:rsidR="00BB7C3A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  <w:r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>percentile</w:t>
      </w:r>
      <w:r w:rsidR="00600FE8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  <w:r w:rsidR="00D130AB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>with respect to 0</w:t>
      </w:r>
      <w:r w:rsidR="00600FE8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>.</w:t>
      </w:r>
      <w:r w:rsidR="00600FE8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</w:p>
    <w:p w14:paraId="1EA3CFB4" w14:textId="77777777" w:rsidR="00C01950" w:rsidRDefault="00C01950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496E8A97" w14:textId="77777777" w:rsidR="00515E86" w:rsidRDefault="00515E86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5C49F78" w14:textId="77777777" w:rsidR="00515E86" w:rsidRDefault="00515E86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03EAC2F" w14:textId="77777777" w:rsidR="00515E86" w:rsidRDefault="00515E86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000B1BD4" w14:textId="77777777" w:rsidR="00515E86" w:rsidRDefault="00515E86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6708AEA" w14:textId="77777777" w:rsidR="00515E86" w:rsidRDefault="00515E86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056D194E" w14:textId="4D3F6B80" w:rsidR="00515E86" w:rsidRDefault="00A75A9D" w:rsidP="003B67C4">
      <w:pPr>
        <w:spacing w:line="360" w:lineRule="auto"/>
        <w:rPr>
          <w:b/>
          <w:bCs/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US"/>
        </w:rPr>
        <w:drawing>
          <wp:inline distT="0" distB="0" distL="0" distR="0" wp14:anchorId="67F07546" wp14:editId="6250B512">
            <wp:extent cx="5394960" cy="6301740"/>
            <wp:effectExtent l="0" t="0" r="0" b="381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630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B5127" w14:textId="283C8FFC" w:rsidR="00515E86" w:rsidRDefault="003875E8" w:rsidP="003B67C4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  <w:r w:rsidRPr="00600FE8">
        <w:rPr>
          <w:b/>
          <w:bCs/>
          <w:sz w:val="24"/>
          <w:szCs w:val="24"/>
          <w:lang w:val="en-US"/>
        </w:rPr>
        <w:t>Figure S</w:t>
      </w:r>
      <w:r>
        <w:rPr>
          <w:b/>
          <w:bCs/>
          <w:sz w:val="24"/>
          <w:szCs w:val="24"/>
          <w:lang w:val="en-US"/>
        </w:rPr>
        <w:t>2</w:t>
      </w:r>
      <w:r w:rsidRPr="00600FE8">
        <w:rPr>
          <w:b/>
          <w:bCs/>
          <w:sz w:val="24"/>
          <w:szCs w:val="24"/>
          <w:lang w:val="en-US"/>
        </w:rPr>
        <w:t xml:space="preserve"> </w:t>
      </w:r>
      <w:r w:rsidR="004A651E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Region-specific </w:t>
      </w:r>
      <w:r w:rsidR="004A651E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exposure-response relationships between </w:t>
      </w:r>
      <w:r w:rsidR="004A651E">
        <w:rPr>
          <w:rFonts w:ascii="Times New Roman" w:eastAsia="Times New Roman" w:hAnsi="Times New Roman" w:cs="Times New Roman"/>
          <w:color w:val="000000" w:themeColor="text1"/>
          <w:lang w:val="en-US"/>
        </w:rPr>
        <w:t>h</w:t>
      </w:r>
      <w:r w:rsidR="004A651E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ot </w:t>
      </w:r>
      <w:r w:rsidR="004A651E">
        <w:rPr>
          <w:rFonts w:ascii="Times New Roman" w:eastAsia="Times New Roman" w:hAnsi="Times New Roman" w:cs="Times New Roman"/>
          <w:color w:val="000000" w:themeColor="text1"/>
          <w:lang w:val="en-US"/>
        </w:rPr>
        <w:t>n</w:t>
      </w:r>
      <w:r w:rsidR="004A651E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ight excess (</w:t>
      </w:r>
      <w:proofErr w:type="spellStart"/>
      <w:r w:rsidR="004A651E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HNe</w:t>
      </w:r>
      <w:proofErr w:type="spellEnd"/>
      <w:r w:rsidR="004A651E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) and </w:t>
      </w:r>
      <w:r w:rsidR="00513E5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mortality relative risk (RR) </w:t>
      </w:r>
      <w:r w:rsidR="004A651E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from 178 cities in 4</w:t>
      </w:r>
      <w:r w:rsidR="00526D18">
        <w:rPr>
          <w:rFonts w:ascii="Times New Roman" w:eastAsia="Times New Roman" w:hAnsi="Times New Roman" w:cs="Times New Roman"/>
          <w:color w:val="000000" w:themeColor="text1"/>
          <w:lang w:val="en-US"/>
        </w:rPr>
        <w:t>4</w:t>
      </w:r>
      <w:r w:rsidR="004A651E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countries.</w:t>
      </w:r>
    </w:p>
    <w:p w14:paraId="7728D0A2" w14:textId="77777777" w:rsidR="004A651E" w:rsidRDefault="004A651E" w:rsidP="003B67C4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31216328" w14:textId="0FD3F6D4" w:rsidR="0070265F" w:rsidRDefault="0070265F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65BC9A9B" w14:textId="3BB1BA73" w:rsidR="00513E5B" w:rsidRDefault="00A75A9D" w:rsidP="003B67C4">
      <w:pPr>
        <w:spacing w:line="360" w:lineRule="auto"/>
        <w:rPr>
          <w:b/>
          <w:bCs/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3BC1155F" wp14:editId="205A1A5A">
            <wp:extent cx="5394960" cy="6301740"/>
            <wp:effectExtent l="0" t="0" r="0" b="381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630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C1F23" w14:textId="518AAFD1" w:rsidR="00766AAA" w:rsidRPr="005D0E8B" w:rsidRDefault="00766AAA" w:rsidP="00766AAA">
      <w:pPr>
        <w:spacing w:line="360" w:lineRule="auto"/>
        <w:rPr>
          <w:lang w:val="en-US"/>
        </w:rPr>
      </w:pPr>
      <w:r>
        <w:rPr>
          <w:b/>
          <w:bCs/>
          <w:sz w:val="24"/>
          <w:szCs w:val="24"/>
          <w:lang w:val="en-US"/>
        </w:rPr>
        <w:t>Figure S</w:t>
      </w:r>
      <w:r w:rsidR="00184685">
        <w:rPr>
          <w:b/>
          <w:bCs/>
          <w:sz w:val="24"/>
          <w:szCs w:val="24"/>
          <w:lang w:val="en-US"/>
        </w:rPr>
        <w:t>3</w:t>
      </w:r>
      <w:r>
        <w:rPr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Region-specific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exposure-response relationships between Hot Night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duration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(</w:t>
      </w:r>
      <w:proofErr w:type="spellStart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HN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d</w:t>
      </w:r>
      <w:proofErr w:type="spellEnd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) and </w:t>
      </w:r>
      <w:r w:rsid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mortality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relative risk (RR) </w:t>
      </w:r>
      <w:r w:rsidR="00D130AB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from 178 cities in 4</w:t>
      </w:r>
      <w:r w:rsidR="00526D18">
        <w:rPr>
          <w:rFonts w:ascii="Times New Roman" w:eastAsia="Times New Roman" w:hAnsi="Times New Roman" w:cs="Times New Roman"/>
          <w:color w:val="000000" w:themeColor="text1"/>
          <w:lang w:val="en-US"/>
        </w:rPr>
        <w:t>4</w:t>
      </w:r>
      <w:r w:rsidR="00D130AB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countries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.</w:t>
      </w:r>
    </w:p>
    <w:p w14:paraId="3AAFDC50" w14:textId="69D34A3E" w:rsidR="003B67C4" w:rsidRDefault="003B67C4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087D312" w14:textId="43435A68" w:rsidR="00184685" w:rsidRPr="00BB7C3A" w:rsidRDefault="00A75A9D" w:rsidP="00184685">
      <w:pPr>
        <w:spacing w:line="360" w:lineRule="auto"/>
        <w:rPr>
          <w:b/>
          <w:bCs/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40A43464" wp14:editId="5FA7CBD4">
            <wp:extent cx="5394960" cy="5394960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539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933D5" w14:textId="047160B6" w:rsidR="00184685" w:rsidRDefault="003875E8" w:rsidP="00184685">
      <w:pPr>
        <w:spacing w:line="360" w:lineRule="auto"/>
        <w:rPr>
          <w:b/>
          <w:bCs/>
          <w:sz w:val="24"/>
          <w:szCs w:val="24"/>
          <w:lang w:val="en-US"/>
        </w:rPr>
      </w:pPr>
      <w:r w:rsidRPr="00600FE8">
        <w:rPr>
          <w:b/>
          <w:bCs/>
          <w:sz w:val="24"/>
          <w:szCs w:val="24"/>
          <w:lang w:val="en-US"/>
        </w:rPr>
        <w:t>Figure S</w:t>
      </w:r>
      <w:r>
        <w:rPr>
          <w:b/>
          <w:bCs/>
          <w:sz w:val="24"/>
          <w:szCs w:val="24"/>
          <w:lang w:val="en-US"/>
        </w:rPr>
        <w:t>4</w:t>
      </w:r>
      <w:r w:rsidRPr="00600FE8">
        <w:rPr>
          <w:b/>
          <w:bCs/>
          <w:sz w:val="24"/>
          <w:szCs w:val="24"/>
          <w:lang w:val="en-US"/>
        </w:rPr>
        <w:t xml:space="preserve"> </w:t>
      </w:r>
      <w:r w:rsidR="00184685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Pooled exposure-response relationships </w:t>
      </w:r>
      <w:r w:rsidR="00184685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by climate zone </w:t>
      </w:r>
      <w:r w:rsidR="00184685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between </w:t>
      </w:r>
      <w:r w:rsidR="00184685">
        <w:rPr>
          <w:rFonts w:ascii="Times New Roman" w:eastAsia="Times New Roman" w:hAnsi="Times New Roman" w:cs="Times New Roman"/>
          <w:color w:val="000000" w:themeColor="text1"/>
          <w:lang w:val="en-US"/>
        </w:rPr>
        <w:t>h</w:t>
      </w:r>
      <w:r w:rsidR="00184685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ot </w:t>
      </w:r>
      <w:r w:rsidR="00184685">
        <w:rPr>
          <w:rFonts w:ascii="Times New Roman" w:eastAsia="Times New Roman" w:hAnsi="Times New Roman" w:cs="Times New Roman"/>
          <w:color w:val="000000" w:themeColor="text1"/>
          <w:lang w:val="en-US"/>
        </w:rPr>
        <w:t>n</w:t>
      </w:r>
      <w:r w:rsidR="00184685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ight excess (</w:t>
      </w:r>
      <w:proofErr w:type="spellStart"/>
      <w:r w:rsidR="00184685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HNe</w:t>
      </w:r>
      <w:proofErr w:type="spellEnd"/>
      <w:r w:rsidR="00184685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) and </w:t>
      </w:r>
      <w:r w:rsidR="00184685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mortality </w:t>
      </w:r>
      <w:r w:rsidR="00184685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relative risk (RR) from 178 cities in 4</w:t>
      </w:r>
      <w:r w:rsidR="00184685">
        <w:rPr>
          <w:rFonts w:ascii="Times New Roman" w:eastAsia="Times New Roman" w:hAnsi="Times New Roman" w:cs="Times New Roman"/>
          <w:color w:val="000000" w:themeColor="text1"/>
          <w:lang w:val="en-US"/>
        </w:rPr>
        <w:t>4</w:t>
      </w:r>
      <w:r w:rsidR="00184685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countries.</w:t>
      </w:r>
    </w:p>
    <w:p w14:paraId="7DE78F79" w14:textId="77777777" w:rsidR="0070265F" w:rsidRDefault="0070265F" w:rsidP="003B67C4">
      <w:pPr>
        <w:spacing w:line="360" w:lineRule="auto"/>
        <w:rPr>
          <w:b/>
          <w:bCs/>
          <w:sz w:val="24"/>
          <w:szCs w:val="24"/>
          <w:lang w:val="en-US"/>
        </w:rPr>
      </w:pPr>
    </w:p>
    <w:p w14:paraId="13BCA40F" w14:textId="1B0A9F20" w:rsidR="0070265F" w:rsidRDefault="00A75A9D" w:rsidP="003B67C4">
      <w:pPr>
        <w:spacing w:line="360" w:lineRule="auto"/>
        <w:rPr>
          <w:b/>
          <w:bCs/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13665FDB" wp14:editId="3B03C789">
            <wp:extent cx="5394960" cy="5394960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539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719CD" w14:textId="1026053D" w:rsidR="0070265F" w:rsidRDefault="0070265F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b/>
          <w:bCs/>
          <w:sz w:val="24"/>
          <w:szCs w:val="24"/>
          <w:lang w:val="en-US"/>
        </w:rPr>
        <w:t>Figure S</w:t>
      </w:r>
      <w:r w:rsidR="003860B3">
        <w:rPr>
          <w:b/>
          <w:bCs/>
          <w:sz w:val="24"/>
          <w:szCs w:val="24"/>
          <w:lang w:val="en-US"/>
        </w:rPr>
        <w:t>5</w:t>
      </w:r>
      <w:r w:rsidR="00CC3706">
        <w:rPr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Climate zone-specific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exposure-response relationships between Hot Night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duration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(</w:t>
      </w:r>
      <w:proofErr w:type="spellStart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HN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d</w:t>
      </w:r>
      <w:proofErr w:type="spellEnd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) and </w:t>
      </w:r>
      <w:r w:rsid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mortality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relative risk (RR) </w:t>
      </w:r>
      <w:r w:rsidR="00D130AB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from 178 cities in 4</w:t>
      </w:r>
      <w:r w:rsidR="00526D18">
        <w:rPr>
          <w:rFonts w:ascii="Times New Roman" w:eastAsia="Times New Roman" w:hAnsi="Times New Roman" w:cs="Times New Roman"/>
          <w:color w:val="000000" w:themeColor="text1"/>
          <w:lang w:val="en-US"/>
        </w:rPr>
        <w:t>4</w:t>
      </w:r>
      <w:r w:rsidR="00D130AB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countries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.</w:t>
      </w:r>
    </w:p>
    <w:p w14:paraId="580A89AA" w14:textId="77777777" w:rsidR="00526D18" w:rsidRDefault="00526D18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48986290" w14:textId="1842A9A5" w:rsidR="00526D18" w:rsidRDefault="00A75A9D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lang w:val="en-US"/>
        </w:rPr>
        <w:lastRenderedPageBreak/>
        <w:drawing>
          <wp:inline distT="0" distB="0" distL="0" distR="0" wp14:anchorId="5FCCEA1F" wp14:editId="250DAA15">
            <wp:extent cx="5394960" cy="5882640"/>
            <wp:effectExtent l="0" t="0" r="0" b="381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588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C3A91" w14:textId="2BE7F71C" w:rsidR="00526D18" w:rsidRDefault="00526D18" w:rsidP="00526D18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b/>
          <w:bCs/>
          <w:sz w:val="24"/>
          <w:szCs w:val="24"/>
          <w:lang w:val="en-US"/>
        </w:rPr>
        <w:t>Figure S</w:t>
      </w:r>
      <w:r w:rsidR="003860B3">
        <w:rPr>
          <w:b/>
          <w:bCs/>
          <w:sz w:val="24"/>
          <w:szCs w:val="24"/>
          <w:lang w:val="en-US"/>
        </w:rPr>
        <w:t>6</w:t>
      </w:r>
      <w:r>
        <w:rPr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Country-specific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exposure-response relationships between Hot Night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excess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(</w:t>
      </w:r>
      <w:proofErr w:type="spellStart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HN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e</w:t>
      </w:r>
      <w:proofErr w:type="spellEnd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) and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mortality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relative risk (RR) from 178 cities.</w:t>
      </w:r>
    </w:p>
    <w:p w14:paraId="2FC25F08" w14:textId="77777777" w:rsidR="00526D18" w:rsidRDefault="00526D18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657AE7AD" w14:textId="6363D53E" w:rsidR="00526D18" w:rsidRDefault="00A75A9D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lang w:val="en-US"/>
        </w:rPr>
        <w:lastRenderedPageBreak/>
        <w:drawing>
          <wp:inline distT="0" distB="0" distL="0" distR="0" wp14:anchorId="7C1BAB58" wp14:editId="051DCD91">
            <wp:extent cx="5394960" cy="5882640"/>
            <wp:effectExtent l="0" t="0" r="0" b="381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588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BF44E" w14:textId="7AD61785" w:rsidR="00526D18" w:rsidRDefault="00526D18" w:rsidP="00526D18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b/>
          <w:bCs/>
          <w:sz w:val="24"/>
          <w:szCs w:val="24"/>
          <w:lang w:val="en-US"/>
        </w:rPr>
        <w:t>Figure S</w:t>
      </w:r>
      <w:r w:rsidR="003860B3">
        <w:rPr>
          <w:b/>
          <w:bCs/>
          <w:sz w:val="24"/>
          <w:szCs w:val="24"/>
          <w:lang w:val="en-US"/>
        </w:rPr>
        <w:t>7</w:t>
      </w:r>
      <w:r>
        <w:rPr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Country-specific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exposure-response relationships between Hot Night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duration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(</w:t>
      </w:r>
      <w:proofErr w:type="spellStart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HN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d</w:t>
      </w:r>
      <w:proofErr w:type="spellEnd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) and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mortality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relative risk (RR) from 178 cities.</w:t>
      </w:r>
    </w:p>
    <w:p w14:paraId="02657CA8" w14:textId="77777777" w:rsidR="00526D18" w:rsidRDefault="00526D18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18689B39" w14:textId="77777777" w:rsidR="00213D0C" w:rsidRDefault="00213D0C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250E390A" w14:textId="77777777" w:rsidR="00213D0C" w:rsidRDefault="00213D0C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2ADA502C" w14:textId="77777777" w:rsidR="00213D0C" w:rsidRDefault="00213D0C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52877AD9" w14:textId="77777777" w:rsidR="00213D0C" w:rsidRDefault="00213D0C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0CE1555A" w14:textId="77777777" w:rsidR="00213D0C" w:rsidRDefault="00213D0C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2EC4D95C" w14:textId="77777777" w:rsidR="00213D0C" w:rsidRDefault="00213D0C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5AB0FFE9" w14:textId="0724A812" w:rsidR="00213D0C" w:rsidRDefault="00A75A9D" w:rsidP="00A75A9D">
      <w:pPr>
        <w:spacing w:line="360" w:lineRule="auto"/>
        <w:jc w:val="center"/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 wp14:anchorId="65C02FF2" wp14:editId="1DC7A219">
            <wp:extent cx="6271260" cy="6271260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260" cy="6271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EDD8D" w14:textId="36B0AF64" w:rsidR="00E41674" w:rsidRPr="005D0E8B" w:rsidRDefault="00E41674" w:rsidP="00E41674">
      <w:pPr>
        <w:spacing w:line="360" w:lineRule="auto"/>
        <w:rPr>
          <w:lang w:val="en-US"/>
        </w:rPr>
      </w:pPr>
      <w:r>
        <w:rPr>
          <w:b/>
          <w:bCs/>
          <w:sz w:val="24"/>
          <w:szCs w:val="24"/>
          <w:lang w:val="en-US"/>
        </w:rPr>
        <w:t>Figure S</w:t>
      </w:r>
      <w:r w:rsidR="003860B3">
        <w:rPr>
          <w:b/>
          <w:bCs/>
          <w:sz w:val="24"/>
          <w:szCs w:val="24"/>
          <w:lang w:val="en-US"/>
        </w:rPr>
        <w:t>8</w:t>
      </w:r>
      <w:r>
        <w:rPr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City-specific hot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night-mortality extreme fraction (%) (</w:t>
      </w:r>
      <w:r w:rsidR="000A5051">
        <w:rPr>
          <w:rFonts w:ascii="Times New Roman" w:eastAsia="Times New Roman" w:hAnsi="Times New Roman" w:cs="Times New Roman"/>
          <w:color w:val="000000" w:themeColor="text1"/>
          <w:lang w:val="en-US"/>
        </w:rPr>
        <w:t>&gt;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P90) in the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178 cities in 4</w:t>
      </w:r>
      <w:r w:rsidR="00526D18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4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countries.</w:t>
      </w:r>
    </w:p>
    <w:p w14:paraId="664D5F53" w14:textId="77777777" w:rsidR="00E41674" w:rsidRDefault="00E41674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340F1A41" w14:textId="0AF37AD7" w:rsidR="00213D0C" w:rsidRDefault="00A75A9D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lang w:val="en-US"/>
        </w:rPr>
        <w:lastRenderedPageBreak/>
        <w:drawing>
          <wp:inline distT="0" distB="0" distL="0" distR="0" wp14:anchorId="1751E29E" wp14:editId="66C6BBE8">
            <wp:extent cx="6385560" cy="6385560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638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9C4D9" w14:textId="4639CF0D" w:rsidR="00213D0C" w:rsidRPr="005D0E8B" w:rsidRDefault="00213D0C" w:rsidP="00213D0C">
      <w:pPr>
        <w:spacing w:line="360" w:lineRule="auto"/>
        <w:rPr>
          <w:lang w:val="en-US"/>
        </w:rPr>
      </w:pPr>
      <w:r>
        <w:rPr>
          <w:b/>
          <w:bCs/>
          <w:sz w:val="24"/>
          <w:szCs w:val="24"/>
          <w:lang w:val="en-US"/>
        </w:rPr>
        <w:t>Figure S</w:t>
      </w:r>
      <w:r w:rsidR="00513E5B">
        <w:rPr>
          <w:b/>
          <w:bCs/>
          <w:sz w:val="24"/>
          <w:szCs w:val="24"/>
          <w:lang w:val="en-US"/>
        </w:rPr>
        <w:t>9</w:t>
      </w:r>
      <w:r>
        <w:rPr>
          <w:b/>
          <w:bCs/>
          <w:sz w:val="24"/>
          <w:szCs w:val="24"/>
          <w:lang w:val="en-US"/>
        </w:rPr>
        <w:t xml:space="preserve"> </w:t>
      </w:r>
      <w:r w:rsidR="00513E5B">
        <w:rPr>
          <w:rFonts w:ascii="Times New Roman" w:eastAsia="Times New Roman" w:hAnsi="Times New Roman" w:cs="Times New Roman"/>
          <w:color w:val="000000" w:themeColor="text1"/>
          <w:lang w:val="en-US"/>
        </w:rPr>
        <w:t>City-specific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relative risks</w:t>
      </w:r>
      <w:r w:rsid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of mortality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  <w:r w:rsidR="00AA5B52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at </w:t>
      </w:r>
      <w:r w:rsidR="00AA5B52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the </w:t>
      </w:r>
      <w:r w:rsidR="00AA5B52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>90</w:t>
      </w:r>
      <w:r w:rsidR="00AA5B52" w:rsidRPr="00D130AB">
        <w:rPr>
          <w:rFonts w:ascii="Times New Roman" w:eastAsia="Times New Roman" w:hAnsi="Times New Roman" w:cs="Times New Roman"/>
          <w:color w:val="000000" w:themeColor="text1"/>
          <w:vertAlign w:val="superscript"/>
          <w:lang w:val="en-US"/>
        </w:rPr>
        <w:t>th</w:t>
      </w:r>
      <w:r w:rsidR="00AA5B52" w:rsidRP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percentile with respect to 0</w:t>
      </w:r>
      <w:r w:rsidR="00AA5B52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for hot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night excess and duration in the 178 analyzed cities</w:t>
      </w:r>
      <w:r w:rsidR="00D130AB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  <w:r w:rsidR="00D130AB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from 4</w:t>
      </w:r>
      <w:r w:rsidR="00526D18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4 </w:t>
      </w:r>
      <w:r w:rsidR="00D130AB"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countries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.</w:t>
      </w:r>
    </w:p>
    <w:p w14:paraId="058A2895" w14:textId="09B17E4B" w:rsidR="00213D0C" w:rsidRDefault="00213D0C" w:rsidP="00213D0C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393D73A4" w14:textId="77777777" w:rsidR="00213D0C" w:rsidRDefault="00213D0C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731AE1C2" w14:textId="77777777" w:rsidR="003C7E8D" w:rsidRDefault="003C7E8D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483F2F2B" w14:textId="6DD6047E" w:rsidR="003C7E8D" w:rsidRPr="003C7E8D" w:rsidRDefault="003C7E8D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417FE4C9" w14:textId="77777777" w:rsidR="003C7E8D" w:rsidRDefault="003C7E8D" w:rsidP="0070265F">
      <w:pPr>
        <w:spacing w:line="360" w:lineRule="auto"/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3B4C8A32" w14:textId="7A688470" w:rsidR="00A75A9D" w:rsidRDefault="00A75A9D" w:rsidP="00447240">
      <w:pPr>
        <w:rPr>
          <w:b/>
          <w:bCs/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US"/>
        </w:rPr>
        <w:lastRenderedPageBreak/>
        <w:drawing>
          <wp:inline distT="0" distB="0" distL="0" distR="0" wp14:anchorId="16B682CB" wp14:editId="1A52ED5B">
            <wp:extent cx="5394960" cy="8092440"/>
            <wp:effectExtent l="0" t="0" r="0" b="381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09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2C14B" w14:textId="0220B1AA" w:rsidR="004706F6" w:rsidRPr="00D130AB" w:rsidRDefault="004706F6" w:rsidP="00447240">
      <w:pPr>
        <w:rPr>
          <w:lang w:val="en-US"/>
        </w:rPr>
      </w:pPr>
      <w:r>
        <w:rPr>
          <w:b/>
          <w:bCs/>
          <w:sz w:val="24"/>
          <w:szCs w:val="24"/>
          <w:lang w:val="en-US"/>
        </w:rPr>
        <w:t>Figure S</w:t>
      </w:r>
      <w:r w:rsidR="00513E5B">
        <w:rPr>
          <w:b/>
          <w:bCs/>
          <w:sz w:val="24"/>
          <w:szCs w:val="24"/>
          <w:lang w:val="en-US"/>
        </w:rPr>
        <w:t>10</w:t>
      </w:r>
      <w:r>
        <w:rPr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City-specific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exposure-response relationships between Hot Night excess (</w:t>
      </w:r>
      <w:proofErr w:type="spellStart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HNe</w:t>
      </w:r>
      <w:proofErr w:type="spellEnd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) and relative risk (RR) of </w:t>
      </w:r>
      <w:r w:rsidRPr="00AA56BF">
        <w:rPr>
          <w:rFonts w:ascii="Times New Roman" w:eastAsia="Times New Roman" w:hAnsi="Times New Roman" w:cs="Times New Roman"/>
          <w:sz w:val="21"/>
          <w:szCs w:val="21"/>
          <w:lang w:val="en-US"/>
        </w:rPr>
        <w:t>mortality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.</w:t>
      </w:r>
    </w:p>
    <w:p w14:paraId="56AA6866" w14:textId="77777777" w:rsidR="00F50B30" w:rsidRPr="005D0E8B" w:rsidRDefault="00F50B30" w:rsidP="00447240">
      <w:pPr>
        <w:rPr>
          <w:lang w:val="en-US"/>
        </w:rPr>
      </w:pPr>
    </w:p>
    <w:p w14:paraId="526031C7" w14:textId="77777777" w:rsidR="00A75A9D" w:rsidRDefault="00A75A9D" w:rsidP="00447240">
      <w:pPr>
        <w:rPr>
          <w:b/>
          <w:bCs/>
          <w:noProof/>
          <w:sz w:val="24"/>
          <w:szCs w:val="24"/>
          <w:lang w:val="en-US"/>
        </w:rPr>
      </w:pPr>
    </w:p>
    <w:p w14:paraId="11D347BF" w14:textId="71620C9B" w:rsidR="00A75A9D" w:rsidRDefault="00A75A9D" w:rsidP="00447240">
      <w:pPr>
        <w:rPr>
          <w:b/>
          <w:bCs/>
          <w:noProof/>
          <w:sz w:val="24"/>
          <w:szCs w:val="24"/>
          <w:lang w:val="en-US"/>
        </w:rPr>
      </w:pPr>
      <w:r>
        <w:rPr>
          <w:b/>
          <w:bCs/>
          <w:noProof/>
          <w:sz w:val="24"/>
          <w:szCs w:val="24"/>
          <w:lang w:val="en-US"/>
        </w:rPr>
        <w:drawing>
          <wp:inline distT="0" distB="0" distL="0" distR="0" wp14:anchorId="0A6B315B" wp14:editId="62EB211C">
            <wp:extent cx="5394960" cy="8092440"/>
            <wp:effectExtent l="0" t="0" r="0" b="381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809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86A5A" w14:textId="717436E3" w:rsidR="00163114" w:rsidRDefault="004706F6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b/>
          <w:bCs/>
          <w:sz w:val="24"/>
          <w:szCs w:val="24"/>
          <w:lang w:val="en-US"/>
        </w:rPr>
        <w:t>Figure S</w:t>
      </w:r>
      <w:r w:rsidR="00513E5B">
        <w:rPr>
          <w:b/>
          <w:bCs/>
          <w:sz w:val="24"/>
          <w:szCs w:val="24"/>
          <w:lang w:val="en-US"/>
        </w:rPr>
        <w:t>11</w:t>
      </w:r>
      <w:r>
        <w:rPr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City-specific 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exposure-response relationships between Hot Night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duration</w:t>
      </w:r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(</w:t>
      </w:r>
      <w:proofErr w:type="spellStart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>HN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d</w:t>
      </w:r>
      <w:proofErr w:type="spellEnd"/>
      <w:r w:rsidRPr="00AA56BF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) and relative risk (RR) of </w:t>
      </w:r>
      <w:r w:rsidRPr="00AA56BF">
        <w:rPr>
          <w:rFonts w:ascii="Times New Roman" w:eastAsia="Times New Roman" w:hAnsi="Times New Roman" w:cs="Times New Roman"/>
          <w:sz w:val="21"/>
          <w:szCs w:val="21"/>
          <w:lang w:val="en-US"/>
        </w:rPr>
        <w:t>mortality</w:t>
      </w:r>
      <w:r w:rsidR="00526D18">
        <w:rPr>
          <w:rFonts w:ascii="Times New Roman" w:eastAsia="Times New Roman" w:hAnsi="Times New Roman" w:cs="Times New Roman"/>
          <w:color w:val="000000" w:themeColor="text1"/>
          <w:lang w:val="en-US"/>
        </w:rPr>
        <w:t>.</w:t>
      </w:r>
    </w:p>
    <w:p w14:paraId="110914EA" w14:textId="4068AD12" w:rsidR="00615D1A" w:rsidRPr="00E95E58" w:rsidRDefault="00615D1A" w:rsidP="00E95E58">
      <w:pPr>
        <w:spacing w:line="360" w:lineRule="auto"/>
        <w:jc w:val="center"/>
        <w:rPr>
          <w:b/>
          <w:bCs/>
          <w:sz w:val="52"/>
          <w:szCs w:val="52"/>
          <w:lang w:val="en-US"/>
        </w:rPr>
      </w:pPr>
      <w:r w:rsidRPr="00E95E58">
        <w:rPr>
          <w:b/>
          <w:bCs/>
          <w:sz w:val="52"/>
          <w:szCs w:val="52"/>
          <w:lang w:val="en-US"/>
        </w:rPr>
        <w:lastRenderedPageBreak/>
        <w:t>Sensitivity Analysis</w:t>
      </w:r>
    </w:p>
    <w:p w14:paraId="2B554D34" w14:textId="77777777" w:rsidR="00615D1A" w:rsidRDefault="00615D1A" w:rsidP="00615D1A">
      <w:pPr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lang w:val="en-US"/>
        </w:rPr>
      </w:pPr>
    </w:p>
    <w:p w14:paraId="74CA8220" w14:textId="67299D7E" w:rsidR="00615D1A" w:rsidRDefault="002D25D4" w:rsidP="002D25D4">
      <w:pPr>
        <w:jc w:val="center"/>
        <w:rPr>
          <w:rFonts w:ascii="Times New Roman" w:eastAsia="Times New Roman" w:hAnsi="Times New Roman" w:cs="Times New Roman"/>
          <w:color w:val="000000" w:themeColor="text1"/>
          <w:lang w:val="en-GB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lang w:val="en-GB"/>
        </w:rPr>
        <w:drawing>
          <wp:inline distT="0" distB="0" distL="0" distR="0" wp14:anchorId="4242725C" wp14:editId="3415B855">
            <wp:extent cx="3828681" cy="3352800"/>
            <wp:effectExtent l="0" t="0" r="63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778" cy="3356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BDEA6" w14:textId="1A8ABD1D" w:rsidR="002D25D4" w:rsidRDefault="002D25D4" w:rsidP="002D25D4">
      <w:pPr>
        <w:jc w:val="center"/>
        <w:rPr>
          <w:rFonts w:ascii="Times New Roman" w:eastAsia="Times New Roman" w:hAnsi="Times New Roman" w:cs="Times New Roman"/>
          <w:color w:val="000000" w:themeColor="text1"/>
          <w:lang w:val="en-GB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lang w:val="en-GB"/>
        </w:rPr>
        <w:drawing>
          <wp:inline distT="0" distB="0" distL="0" distR="0" wp14:anchorId="2B35F685" wp14:editId="48380937">
            <wp:extent cx="3785174" cy="3314700"/>
            <wp:effectExtent l="0" t="0" r="635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424" cy="332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F9EB2" w14:textId="3B64930E" w:rsidR="005E35F4" w:rsidRDefault="00192E7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b/>
          <w:bCs/>
          <w:sz w:val="24"/>
          <w:szCs w:val="24"/>
          <w:lang w:val="en-US"/>
        </w:rPr>
        <w:t>Figure S12</w:t>
      </w:r>
      <w:r w:rsidR="003E0D54">
        <w:rPr>
          <w:rFonts w:ascii="Times New Roman" w:eastAsia="Times New Roman" w:hAnsi="Times New Roman" w:cs="Times New Roman"/>
          <w:color w:val="000000" w:themeColor="text1"/>
          <w:lang w:val="en-GB"/>
        </w:rPr>
        <w:t xml:space="preserve"> 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>S</w:t>
      </w:r>
      <w:r w:rsidR="003E0D54" w:rsidRPr="00615D1A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ensitivity to the model specifications 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>of the o</w:t>
      </w:r>
      <w:r w:rsidR="003E0D54" w:rsidRPr="00615D1A">
        <w:rPr>
          <w:rFonts w:ascii="Times New Roman" w:eastAsia="Times New Roman" w:hAnsi="Times New Roman" w:cs="Times New Roman"/>
          <w:color w:val="000000" w:themeColor="text1"/>
          <w:lang w:val="en-US"/>
        </w:rPr>
        <w:t>verall dose-response curves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>.</w:t>
      </w:r>
      <w:r w:rsidR="002D25D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See Table S8 for detailed specifications.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</w:p>
    <w:p w14:paraId="0ED70EFB" w14:textId="53AC3C3C" w:rsidR="00E95E58" w:rsidRDefault="005E35F4" w:rsidP="00447240">
      <w:pPr>
        <w:rPr>
          <w:rFonts w:ascii="Times New Roman" w:eastAsia="Times New Roman" w:hAnsi="Times New Roman" w:cs="Times New Roman"/>
          <w:color w:val="000000" w:themeColor="text1"/>
          <w:lang w:val="en-GB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lang w:val="en-GB"/>
        </w:rPr>
        <w:lastRenderedPageBreak/>
        <w:drawing>
          <wp:inline distT="0" distB="0" distL="0" distR="0" wp14:anchorId="403AA190" wp14:editId="68531E61">
            <wp:extent cx="5397500" cy="47244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0D662" w14:textId="0966F452" w:rsidR="00E95E58" w:rsidRDefault="00192E7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b/>
          <w:bCs/>
          <w:sz w:val="24"/>
          <w:szCs w:val="24"/>
          <w:lang w:val="en-US"/>
        </w:rPr>
        <w:t>Figure S13</w:t>
      </w:r>
      <w:r w:rsidR="003E0D54">
        <w:rPr>
          <w:rFonts w:ascii="Times New Roman" w:eastAsia="Times New Roman" w:hAnsi="Times New Roman" w:cs="Times New Roman"/>
          <w:color w:val="000000" w:themeColor="text1"/>
          <w:lang w:val="en-GB"/>
        </w:rPr>
        <w:t xml:space="preserve"> T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>he o</w:t>
      </w:r>
      <w:r w:rsidR="003E0D54" w:rsidRPr="00615D1A">
        <w:rPr>
          <w:rFonts w:ascii="Times New Roman" w:eastAsia="Times New Roman" w:hAnsi="Times New Roman" w:cs="Times New Roman"/>
          <w:color w:val="000000" w:themeColor="text1"/>
          <w:lang w:val="en-US"/>
        </w:rPr>
        <w:t>verall dose-response curves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  <w:r w:rsidR="005E35F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controlling </w:t>
      </w:r>
      <w:r w:rsidR="00856BC7">
        <w:rPr>
          <w:rFonts w:ascii="Times New Roman" w:eastAsia="Times New Roman" w:hAnsi="Times New Roman" w:cs="Times New Roman"/>
          <w:color w:val="000000" w:themeColor="text1"/>
          <w:lang w:val="en-US"/>
        </w:rPr>
        <w:t>for</w:t>
      </w:r>
      <w:r w:rsidR="005E35F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or without absolute humidity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. </w:t>
      </w:r>
    </w:p>
    <w:p w14:paraId="7F9A51D5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31CEA391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5EA4FF7A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7928BA6E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4A9D541D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646B8867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5BDAD935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20A120B2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43607B26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1602B569" w14:textId="77777777" w:rsidR="00856BC7" w:rsidRDefault="00856BC7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3C369EA8" w14:textId="77777777" w:rsidR="00300CAB" w:rsidRDefault="00300CAB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16429184" w14:textId="77777777" w:rsidR="00300CAB" w:rsidRDefault="00300CAB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1A036D07" w14:textId="77777777" w:rsidR="00300CAB" w:rsidRDefault="00300CAB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4231556B" w14:textId="77777777" w:rsidR="00300CAB" w:rsidRDefault="00300CAB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0C953B77" w14:textId="77777777" w:rsidR="00300CAB" w:rsidRDefault="00300CAB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13208A49" w14:textId="77777777" w:rsidR="00300CAB" w:rsidRDefault="00300CAB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79072FAA" w14:textId="77777777" w:rsidR="00300CAB" w:rsidRDefault="00300CAB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</w:p>
    <w:p w14:paraId="0409A385" w14:textId="4E7BA627" w:rsidR="00856BC7" w:rsidRDefault="002D25D4" w:rsidP="00447240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lang w:val="en-US"/>
        </w:rPr>
        <w:drawing>
          <wp:inline distT="0" distB="0" distL="0" distR="0" wp14:anchorId="0BC0E151" wp14:editId="08C6D23A">
            <wp:extent cx="5394960" cy="47244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F9941" w14:textId="0BF80CCC" w:rsidR="00856BC7" w:rsidRDefault="00856BC7" w:rsidP="00856BC7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b/>
          <w:bCs/>
          <w:sz w:val="24"/>
          <w:szCs w:val="24"/>
          <w:lang w:val="en-US"/>
        </w:rPr>
        <w:t>Figure S14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lang w:val="en-GB"/>
        </w:rPr>
        <w:t>T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he o</w:t>
      </w:r>
      <w:r w:rsidRPr="00615D1A">
        <w:rPr>
          <w:rFonts w:ascii="Times New Roman" w:eastAsia="Times New Roman" w:hAnsi="Times New Roman" w:cs="Times New Roman"/>
          <w:color w:val="000000" w:themeColor="text1"/>
          <w:lang w:val="en-US"/>
        </w:rPr>
        <w:t>verall dose-response curves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controlling for </w:t>
      </w:r>
      <w:r w:rsidR="002D25D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traditional 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>temperature</w:t>
      </w:r>
      <w:r w:rsidR="002D25D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metrics</w:t>
      </w:r>
      <w:r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. </w:t>
      </w:r>
    </w:p>
    <w:p w14:paraId="0620A6BD" w14:textId="77777777" w:rsidR="00E95E58" w:rsidRPr="00615D1A" w:rsidRDefault="00E95E58" w:rsidP="00447240">
      <w:pPr>
        <w:rPr>
          <w:rFonts w:ascii="Times New Roman" w:eastAsia="Times New Roman" w:hAnsi="Times New Roman" w:cs="Times New Roman"/>
          <w:color w:val="000000" w:themeColor="text1"/>
          <w:lang w:val="en-GB"/>
        </w:rPr>
      </w:pPr>
    </w:p>
    <w:p w14:paraId="7948E578" w14:textId="1CB1664A" w:rsidR="00615D1A" w:rsidRDefault="002D25D4" w:rsidP="00E95E58">
      <w:pPr>
        <w:jc w:val="center"/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lang w:val="en-US"/>
        </w:rPr>
        <w:lastRenderedPageBreak/>
        <w:drawing>
          <wp:inline distT="0" distB="0" distL="0" distR="0" wp14:anchorId="11318F5B" wp14:editId="5A0FA8B6">
            <wp:extent cx="4516104" cy="3954780"/>
            <wp:effectExtent l="0" t="0" r="0" b="762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7469" cy="3955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6058FF" w14:textId="11FA41C7" w:rsidR="003E0D54" w:rsidRPr="00163114" w:rsidRDefault="00192E77" w:rsidP="003E0D54">
      <w:pPr>
        <w:rPr>
          <w:rFonts w:ascii="Times New Roman" w:eastAsia="Times New Roman" w:hAnsi="Times New Roman" w:cs="Times New Roman"/>
          <w:color w:val="000000" w:themeColor="text1"/>
          <w:lang w:val="en-US"/>
        </w:rPr>
      </w:pPr>
      <w:r>
        <w:rPr>
          <w:b/>
          <w:bCs/>
          <w:sz w:val="24"/>
          <w:szCs w:val="24"/>
          <w:lang w:val="en-US"/>
        </w:rPr>
        <w:t>Figure S1</w:t>
      </w:r>
      <w:r w:rsidR="00856BC7">
        <w:rPr>
          <w:b/>
          <w:bCs/>
          <w:sz w:val="24"/>
          <w:szCs w:val="24"/>
          <w:lang w:val="en-US"/>
        </w:rPr>
        <w:t>5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Comparison between linear terms and </w:t>
      </w:r>
      <w:r w:rsidR="003E0D54" w:rsidRPr="00615D1A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parametrization 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>of</w:t>
      </w:r>
      <w:r w:rsidR="003E0D54" w:rsidRPr="00615D1A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a natural spline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 for </w:t>
      </w:r>
      <w:r w:rsidR="003E0D54">
        <w:rPr>
          <w:rFonts w:ascii="Times New Roman" w:eastAsia="Times New Roman" w:hAnsi="Times New Roman" w:cs="Times New Roman"/>
          <w:color w:val="000000" w:themeColor="text1"/>
          <w:lang w:val="en-GB"/>
        </w:rPr>
        <w:t>t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>he o</w:t>
      </w:r>
      <w:r w:rsidR="003E0D54" w:rsidRPr="00615D1A">
        <w:rPr>
          <w:rFonts w:ascii="Times New Roman" w:eastAsia="Times New Roman" w:hAnsi="Times New Roman" w:cs="Times New Roman"/>
          <w:color w:val="000000" w:themeColor="text1"/>
          <w:lang w:val="en-US"/>
        </w:rPr>
        <w:t>verall dose-response curves</w:t>
      </w:r>
      <w:r w:rsidR="003E0D54">
        <w:rPr>
          <w:rFonts w:ascii="Times New Roman" w:eastAsia="Times New Roman" w:hAnsi="Times New Roman" w:cs="Times New Roman"/>
          <w:color w:val="000000" w:themeColor="text1"/>
          <w:lang w:val="en-US"/>
        </w:rPr>
        <w:t xml:space="preserve">.  </w:t>
      </w:r>
    </w:p>
    <w:sectPr w:rsidR="003E0D54" w:rsidRPr="0016311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0B509D"/>
    <w:multiLevelType w:val="hybridMultilevel"/>
    <w:tmpl w:val="D59651EA"/>
    <w:lvl w:ilvl="0" w:tplc="F9780B0C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HAnsi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DA7766"/>
    <w:multiLevelType w:val="hybridMultilevel"/>
    <w:tmpl w:val="4F0CF582"/>
    <w:lvl w:ilvl="0" w:tplc="E050F8F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F93957"/>
    <w:multiLevelType w:val="hybridMultilevel"/>
    <w:tmpl w:val="9F80943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B9E2C19"/>
    <w:multiLevelType w:val="hybridMultilevel"/>
    <w:tmpl w:val="08D29E9A"/>
    <w:lvl w:ilvl="0" w:tplc="0C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692196011">
    <w:abstractNumId w:val="1"/>
  </w:num>
  <w:num w:numId="2" w16cid:durableId="1314334703">
    <w:abstractNumId w:val="0"/>
  </w:num>
  <w:num w:numId="3" w16cid:durableId="1659919809">
    <w:abstractNumId w:val="2"/>
  </w:num>
  <w:num w:numId="4" w16cid:durableId="68540330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tjQ1MDQ3NjExMjU3tjRX0lEKTi0uzszPAykwMq4FACSCGoAtAAAA"/>
  </w:docVars>
  <w:rsids>
    <w:rsidRoot w:val="003B67C4"/>
    <w:rsid w:val="0003132F"/>
    <w:rsid w:val="000636AE"/>
    <w:rsid w:val="000A5051"/>
    <w:rsid w:val="000A73A4"/>
    <w:rsid w:val="000E7435"/>
    <w:rsid w:val="000F5F7A"/>
    <w:rsid w:val="00115813"/>
    <w:rsid w:val="00163114"/>
    <w:rsid w:val="00184685"/>
    <w:rsid w:val="00192E77"/>
    <w:rsid w:val="00213D0C"/>
    <w:rsid w:val="00247A31"/>
    <w:rsid w:val="002521AB"/>
    <w:rsid w:val="002C1AA4"/>
    <w:rsid w:val="002D25D4"/>
    <w:rsid w:val="00300CAB"/>
    <w:rsid w:val="00313CF1"/>
    <w:rsid w:val="00351308"/>
    <w:rsid w:val="003738F3"/>
    <w:rsid w:val="00374B91"/>
    <w:rsid w:val="003860B3"/>
    <w:rsid w:val="003875E8"/>
    <w:rsid w:val="003B35D7"/>
    <w:rsid w:val="003B67C4"/>
    <w:rsid w:val="003C7E8D"/>
    <w:rsid w:val="003E0D54"/>
    <w:rsid w:val="004263F7"/>
    <w:rsid w:val="004302E2"/>
    <w:rsid w:val="00431536"/>
    <w:rsid w:val="00447240"/>
    <w:rsid w:val="004706F6"/>
    <w:rsid w:val="00487C22"/>
    <w:rsid w:val="004A651E"/>
    <w:rsid w:val="00513E5B"/>
    <w:rsid w:val="00515E86"/>
    <w:rsid w:val="00526D18"/>
    <w:rsid w:val="00591915"/>
    <w:rsid w:val="005A00A5"/>
    <w:rsid w:val="005C0CAB"/>
    <w:rsid w:val="005E35F4"/>
    <w:rsid w:val="00600FE8"/>
    <w:rsid w:val="00615D1A"/>
    <w:rsid w:val="00636CD0"/>
    <w:rsid w:val="006905A2"/>
    <w:rsid w:val="0069110A"/>
    <w:rsid w:val="006C78B5"/>
    <w:rsid w:val="0070265F"/>
    <w:rsid w:val="00766AAA"/>
    <w:rsid w:val="00796092"/>
    <w:rsid w:val="007C048E"/>
    <w:rsid w:val="00856BC7"/>
    <w:rsid w:val="00871451"/>
    <w:rsid w:val="008A0594"/>
    <w:rsid w:val="00962D25"/>
    <w:rsid w:val="009B403D"/>
    <w:rsid w:val="00A75A9D"/>
    <w:rsid w:val="00AA5B52"/>
    <w:rsid w:val="00B650B9"/>
    <w:rsid w:val="00BB7C3A"/>
    <w:rsid w:val="00BF6873"/>
    <w:rsid w:val="00C01950"/>
    <w:rsid w:val="00C23E65"/>
    <w:rsid w:val="00C32594"/>
    <w:rsid w:val="00C43B95"/>
    <w:rsid w:val="00C83842"/>
    <w:rsid w:val="00CC3706"/>
    <w:rsid w:val="00CD020D"/>
    <w:rsid w:val="00CD0BF5"/>
    <w:rsid w:val="00CF4FA0"/>
    <w:rsid w:val="00D10AA6"/>
    <w:rsid w:val="00D130AB"/>
    <w:rsid w:val="00D130D3"/>
    <w:rsid w:val="00D95DD3"/>
    <w:rsid w:val="00DB4A45"/>
    <w:rsid w:val="00DD619F"/>
    <w:rsid w:val="00DF647D"/>
    <w:rsid w:val="00E369A7"/>
    <w:rsid w:val="00E41674"/>
    <w:rsid w:val="00E63BAD"/>
    <w:rsid w:val="00E95E58"/>
    <w:rsid w:val="00EE6E97"/>
    <w:rsid w:val="00EF581C"/>
    <w:rsid w:val="00F12448"/>
    <w:rsid w:val="00F50B30"/>
    <w:rsid w:val="00FB50A8"/>
    <w:rsid w:val="00FE0256"/>
    <w:rsid w:val="00FF2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9EEC9AC"/>
  <w15:docId w15:val="{56216465-CC64-4D41-B0EE-54704741A7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132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Refdecomentario">
    <w:name w:val="annotation reference"/>
    <w:basedOn w:val="Fuentedeprrafopredeter"/>
    <w:uiPriority w:val="99"/>
    <w:semiHidden/>
    <w:unhideWhenUsed/>
    <w:rsid w:val="004706F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4706F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4706F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706F6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706F6"/>
    <w:rPr>
      <w:b/>
      <w:bCs/>
      <w:sz w:val="20"/>
      <w:szCs w:val="20"/>
    </w:rPr>
  </w:style>
  <w:style w:type="paragraph" w:styleId="Prrafodelista">
    <w:name w:val="List Paragraph"/>
    <w:basedOn w:val="Normal"/>
    <w:uiPriority w:val="34"/>
    <w:qFormat/>
    <w:rsid w:val="004706F6"/>
    <w:pPr>
      <w:ind w:left="720"/>
      <w:contextualSpacing/>
    </w:pPr>
  </w:style>
  <w:style w:type="table" w:customStyle="1" w:styleId="Table">
    <w:name w:val="Table"/>
    <w:semiHidden/>
    <w:unhideWhenUsed/>
    <w:qFormat/>
    <w:rsid w:val="00351308"/>
    <w:pPr>
      <w:spacing w:after="200" w:line="240" w:lineRule="auto"/>
    </w:pPr>
    <w:rPr>
      <w:sz w:val="24"/>
      <w:szCs w:val="24"/>
      <w:lang w:val="en-US" w:eastAsia="es-E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character" w:styleId="CdigoHTML">
    <w:name w:val="HTML Code"/>
    <w:basedOn w:val="Fuentedeprrafopredeter"/>
    <w:uiPriority w:val="99"/>
    <w:semiHidden/>
    <w:unhideWhenUsed/>
    <w:rsid w:val="00615D1A"/>
    <w:rPr>
      <w:rFonts w:ascii="Courier New" w:eastAsia="Times New Roman" w:hAnsi="Courier New" w:cs="Courier New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22</Pages>
  <Words>416</Words>
  <Characters>2498</Characters>
  <Application>Microsoft Office Word</Application>
  <DocSecurity>0</DocSecurity>
  <Lines>166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Dominic Roye</dc:creator>
  <cp:keywords/>
  <dc:description/>
  <cp:lastModifiedBy>Dominic Roye</cp:lastModifiedBy>
  <cp:revision>18</cp:revision>
  <dcterms:created xsi:type="dcterms:W3CDTF">2024-11-18T17:56:00Z</dcterms:created>
  <dcterms:modified xsi:type="dcterms:W3CDTF">2025-05-07T15:45:00Z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7fef66a7eb94956386959c719fe6dd5cc35748c24b205f59c5228a34b6765b1e</vt:lpwstr>
  </property>
</Properties>
</file>