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77308" w14:textId="676AADAC" w:rsidR="005B6F89" w:rsidRPr="00591F25" w:rsidRDefault="00F63A03" w:rsidP="005B6F89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OLE_LINK1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Supplemental </w:t>
      </w:r>
      <w:bookmarkStart w:id="1" w:name="_GoBack"/>
      <w:bookmarkEnd w:id="1"/>
      <w:r w:rsidR="20FAB6C3" w:rsidRPr="20FAB6C3">
        <w:rPr>
          <w:rFonts w:ascii="Times New Roman" w:hAnsi="Times New Roman" w:cs="Times New Roman"/>
          <w:b/>
          <w:bCs/>
          <w:sz w:val="24"/>
          <w:szCs w:val="24"/>
        </w:rPr>
        <w:t xml:space="preserve">Table S12. RNA-Seq top 20 </w:t>
      </w:r>
      <w:proofErr w:type="spellStart"/>
      <w:r w:rsidR="20FAB6C3" w:rsidRPr="20FAB6C3">
        <w:rPr>
          <w:rFonts w:ascii="Times New Roman" w:hAnsi="Times New Roman" w:cs="Times New Roman"/>
          <w:b/>
          <w:bCs/>
          <w:sz w:val="24"/>
          <w:szCs w:val="24"/>
        </w:rPr>
        <w:t>Reactome</w:t>
      </w:r>
      <w:proofErr w:type="spellEnd"/>
      <w:r w:rsidR="20FAB6C3" w:rsidRPr="20FAB6C3">
        <w:rPr>
          <w:rFonts w:ascii="Times New Roman" w:hAnsi="Times New Roman" w:cs="Times New Roman"/>
          <w:b/>
          <w:bCs/>
          <w:sz w:val="24"/>
          <w:szCs w:val="24"/>
        </w:rPr>
        <w:t xml:space="preserve"> pathways and associated differentially expressed genes in IECs of 30-week </w:t>
      </w:r>
      <w:r w:rsidR="20FAB6C3" w:rsidRPr="20FAB6C3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Atp7b</w:t>
      </w:r>
      <w:r w:rsidR="20FAB6C3" w:rsidRPr="20FAB6C3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vertAlign w:val="superscript"/>
        </w:rPr>
        <w:t>-/-</w:t>
      </w:r>
      <w:r w:rsidR="20FAB6C3" w:rsidRPr="20FAB6C3">
        <w:rPr>
          <w:rFonts w:ascii="Times New Roman" w:hAnsi="Times New Roman" w:cs="Times New Roman"/>
          <w:b/>
          <w:bCs/>
          <w:sz w:val="24"/>
          <w:szCs w:val="24"/>
        </w:rPr>
        <w:t xml:space="preserve"> mice (</w:t>
      </w:r>
      <w:proofErr w:type="spellStart"/>
      <w:r w:rsidR="20FAB6C3" w:rsidRPr="20FAB6C3">
        <w:rPr>
          <w:rFonts w:ascii="Times New Roman" w:hAnsi="Times New Roman" w:cs="Times New Roman"/>
          <w:b/>
          <w:bCs/>
          <w:sz w:val="24"/>
          <w:szCs w:val="24"/>
        </w:rPr>
        <w:t>Reactome</w:t>
      </w:r>
      <w:proofErr w:type="spellEnd"/>
      <w:r w:rsidR="20FAB6C3" w:rsidRPr="20FAB6C3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hyperlink r:id="rId6">
        <w:r w:rsidR="20FAB6C3" w:rsidRPr="20FAB6C3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https://reactome.org/</w:t>
        </w:r>
      </w:hyperlink>
      <w:r w:rsidR="20FAB6C3" w:rsidRPr="20FAB6C3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435"/>
        <w:gridCol w:w="2160"/>
        <w:gridCol w:w="7195"/>
      </w:tblGrid>
      <w:tr w:rsidR="005B6F89" w:rsidRPr="00BE4075" w14:paraId="4C6F6AF2" w14:textId="77777777" w:rsidTr="00BE4075">
        <w:trPr>
          <w:trHeight w:val="822"/>
        </w:trPr>
        <w:tc>
          <w:tcPr>
            <w:tcW w:w="1435" w:type="dxa"/>
            <w:noWrap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E1E8E20" w14:textId="51D69D2E" w:rsidR="005B6F89" w:rsidRPr="00BE4075" w:rsidRDefault="005B6F89" w:rsidP="005B6F89">
            <w:pPr>
              <w:rPr>
                <w:rFonts w:ascii="Arial" w:hAnsi="Arial" w:cs="Arial"/>
              </w:rPr>
            </w:pPr>
            <w:proofErr w:type="spellStart"/>
            <w:r w:rsidRPr="00BE4075">
              <w:rPr>
                <w:rFonts w:ascii="Arial" w:hAnsi="Arial" w:cs="Arial"/>
              </w:rPr>
              <w:t>Reactome</w:t>
            </w:r>
            <w:proofErr w:type="spellEnd"/>
            <w:r w:rsidR="00BE4075" w:rsidRPr="00BE4075">
              <w:rPr>
                <w:rFonts w:ascii="Arial" w:hAnsi="Arial" w:cs="Arial"/>
              </w:rPr>
              <w:t xml:space="preserve"> </w:t>
            </w:r>
            <w:r w:rsidRPr="00BE4075">
              <w:rPr>
                <w:rFonts w:ascii="Arial" w:hAnsi="Arial" w:cs="Arial"/>
              </w:rPr>
              <w:t>ID</w:t>
            </w:r>
          </w:p>
        </w:tc>
        <w:tc>
          <w:tcPr>
            <w:tcW w:w="2160" w:type="dxa"/>
            <w:noWrap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53F358C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Pathway Description</w:t>
            </w:r>
          </w:p>
        </w:tc>
        <w:tc>
          <w:tcPr>
            <w:tcW w:w="7195" w:type="dxa"/>
            <w:noWrap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4F6001E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Gene Name</w:t>
            </w:r>
          </w:p>
        </w:tc>
      </w:tr>
      <w:tr w:rsidR="005B6F89" w:rsidRPr="00BE4075" w14:paraId="4CBC3AAA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9669CE7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R-MMU-191273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09E45B4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Cholesterol biosynthesis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2E4C090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r w:rsidRPr="00446F89">
              <w:rPr>
                <w:rFonts w:ascii="Arial" w:hAnsi="Arial" w:cs="Arial"/>
                <w:i/>
                <w:iCs/>
              </w:rPr>
              <w:t>Mvk/Hmgcs1/Fdft1/Tm7sf2/Mvd/Nsdhl/Sqle/Hsd17b7/Cyp51/Pmvk/Fdps/Hmgcr/Msmo1</w:t>
            </w:r>
          </w:p>
        </w:tc>
      </w:tr>
      <w:tr w:rsidR="005B6F89" w:rsidRPr="00BE4075" w14:paraId="56728C4E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C236A64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R-MMU-3371497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5B567FB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HSP90 chaperone cycle for steroid hormone receptors (SHR)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B62C028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r w:rsidRPr="00446F89">
              <w:rPr>
                <w:rFonts w:ascii="Arial" w:hAnsi="Arial" w:cs="Arial"/>
                <w:i/>
                <w:iCs/>
              </w:rPr>
              <w:t>Dync1h1/Stip1/Hsp90aa1/Hspa1b/Hspa8/Hspa1a/Dctn6/Tuba1a/Dynll1/Fkbp4/Tubb2b/Hsp90ab1/Tubb2a/Dctn2</w:t>
            </w:r>
          </w:p>
        </w:tc>
      </w:tr>
      <w:tr w:rsidR="005B6F89" w:rsidRPr="00BE4075" w14:paraId="47697AEC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37D7B02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R-MMU-6811436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FE4BA10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COPI-independent Golgi-to-ER retrograde traffic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4C2FCD0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r w:rsidRPr="00446F89">
              <w:rPr>
                <w:rFonts w:ascii="Arial" w:hAnsi="Arial" w:cs="Arial"/>
                <w:i/>
                <w:iCs/>
              </w:rPr>
              <w:t>Dync1h1/Dctn6/Tuba1a/Dynll1/Pafah1b3/Tubb2b/Tubb2a/Rab6a/Dctn2/Pafah1b2/Pla2g4a/Rab18/Pafah1b1</w:t>
            </w:r>
          </w:p>
        </w:tc>
      </w:tr>
      <w:tr w:rsidR="005B6F89" w:rsidRPr="00BE4075" w14:paraId="2AE81217" w14:textId="77777777" w:rsidTr="00591F25">
        <w:trPr>
          <w:trHeight w:val="892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49D94E3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R-MMU-2132295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C65AA8C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MHC class II antigen presentation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34C8DC9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r w:rsidRPr="00446F89">
              <w:rPr>
                <w:rFonts w:ascii="Arial" w:hAnsi="Arial" w:cs="Arial"/>
                <w:i/>
                <w:iCs/>
              </w:rPr>
              <w:t>Dync1h1/Lgmn/Dnm1/Kif3a/Dctn6/Ctsa/Tuba1a/Dynll1/Ctss/Sec24b/H2-Ob/Tubb2b/H2-Oa/Tubb2a/Kif4/Dctn2/Ap1m1/Klc2/Kif11</w:t>
            </w:r>
          </w:p>
        </w:tc>
      </w:tr>
      <w:tr w:rsidR="005B6F89" w:rsidRPr="00BE4075" w14:paraId="2180CF4A" w14:textId="77777777" w:rsidTr="00591F25">
        <w:trPr>
          <w:trHeight w:val="523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40ACD6F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R-MMU-8957322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D77D3F8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Metabolism of steroids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90BB73A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r w:rsidRPr="00446F89">
              <w:rPr>
                <w:rFonts w:ascii="Arial" w:hAnsi="Arial" w:cs="Arial"/>
                <w:i/>
                <w:iCs/>
              </w:rPr>
              <w:t>Mvk/Nr1h4/Lgmn/Hmgcs1/Fdft1/Tm7sf2/Mvd/Nsdhl/Slc10a2/Sqle/Hsd17b7/Cyp51/Srebf2/Cyp27b1/Pmvk/Fdps/Stard4/Hmgcr/Msmo1</w:t>
            </w:r>
          </w:p>
        </w:tc>
      </w:tr>
      <w:tr w:rsidR="005B6F89" w:rsidRPr="00BE4075" w14:paraId="0DA594ED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59D0B98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R-MMU-1679131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4D2AB85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Trafficking and processing of endosomal TLR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10AFD56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proofErr w:type="spellStart"/>
            <w:r w:rsidRPr="00446F89">
              <w:rPr>
                <w:rFonts w:ascii="Arial" w:hAnsi="Arial" w:cs="Arial"/>
                <w:i/>
                <w:iCs/>
              </w:rPr>
              <w:t>Lgmn</w:t>
            </w:r>
            <w:proofErr w:type="spellEnd"/>
            <w:r w:rsidRPr="00446F89">
              <w:rPr>
                <w:rFonts w:ascii="Arial" w:hAnsi="Arial" w:cs="Arial"/>
                <w:i/>
                <w:iCs/>
              </w:rPr>
              <w:t>/Tlr7/Hsp90b1/</w:t>
            </w:r>
            <w:proofErr w:type="spellStart"/>
            <w:r w:rsidRPr="00446F89">
              <w:rPr>
                <w:rFonts w:ascii="Arial" w:hAnsi="Arial" w:cs="Arial"/>
                <w:i/>
                <w:iCs/>
              </w:rPr>
              <w:t>Ctss</w:t>
            </w:r>
            <w:proofErr w:type="spellEnd"/>
            <w:r w:rsidRPr="00446F89">
              <w:rPr>
                <w:rFonts w:ascii="Arial" w:hAnsi="Arial" w:cs="Arial"/>
                <w:i/>
                <w:iCs/>
              </w:rPr>
              <w:t>/Tlr9</w:t>
            </w:r>
          </w:p>
        </w:tc>
      </w:tr>
      <w:tr w:rsidR="005B6F89" w:rsidRPr="00BE4075" w14:paraId="41A2B158" w14:textId="77777777" w:rsidTr="00591F25">
        <w:trPr>
          <w:trHeight w:val="613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44F02EB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R-MMU-8964038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62FBB67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LDL clearance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0352393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proofErr w:type="spellStart"/>
            <w:r w:rsidRPr="00446F89">
              <w:rPr>
                <w:rFonts w:ascii="Arial" w:hAnsi="Arial" w:cs="Arial"/>
                <w:i/>
                <w:iCs/>
              </w:rPr>
              <w:t>Ldlr</w:t>
            </w:r>
            <w:proofErr w:type="spellEnd"/>
            <w:r w:rsidRPr="00446F89">
              <w:rPr>
                <w:rFonts w:ascii="Arial" w:hAnsi="Arial" w:cs="Arial"/>
                <w:i/>
                <w:iCs/>
              </w:rPr>
              <w:t>/Pcsk9/Ldlrap1/</w:t>
            </w:r>
            <w:proofErr w:type="spellStart"/>
            <w:r w:rsidRPr="00446F89">
              <w:rPr>
                <w:rFonts w:ascii="Arial" w:hAnsi="Arial" w:cs="Arial"/>
                <w:i/>
                <w:iCs/>
              </w:rPr>
              <w:t>Apob</w:t>
            </w:r>
            <w:proofErr w:type="spellEnd"/>
            <w:r w:rsidRPr="00446F89">
              <w:rPr>
                <w:rFonts w:ascii="Arial" w:hAnsi="Arial" w:cs="Arial"/>
                <w:i/>
                <w:iCs/>
              </w:rPr>
              <w:t>/Soat1/Npc1</w:t>
            </w:r>
          </w:p>
        </w:tc>
      </w:tr>
      <w:tr w:rsidR="005B6F89" w:rsidRPr="00BE4075" w14:paraId="4B260056" w14:textId="77777777" w:rsidTr="00591F25">
        <w:trPr>
          <w:trHeight w:val="1909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97A4906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R-MMU-6798695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3502CAC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Neutrophil degranulation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5CE6C85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r w:rsidRPr="00446F89">
              <w:rPr>
                <w:rFonts w:ascii="Arial" w:hAnsi="Arial" w:cs="Arial"/>
                <w:i/>
                <w:iCs/>
              </w:rPr>
              <w:t>H2-Q10/Aldoc/Tom1/Hbb-bs/Dync1h1/Hbb-bt/Hsp90aa1/Hspa1b/Fuca1/Hspa8/Dynlt1c/Gsdmd/Slc11a1/S100a11/Cybb/Atp8b4/Neu1/Hspa1a/Dsp/Ctsa/Ncstn/Ctsz/Sirpa/Dynll1/Fcgr4/Ctss/Magt1/Erp44/Mospd2/Serpina1e/Abca13/Grn/Gsn/Hsp90ab1/Pnp/Hebp2/Ceacam10/Rab6a/Cd44/Serpinb1a/Acaa1a/Snap25/Ap1m1/Cfp/Mvp/Diaph1/Stom/Pgm1/Pafah1b2/Rab18/Gaa/Mlec/Trappc1/Psmd11/Man2b1/Mettl7a1/Cd300a</w:t>
            </w:r>
          </w:p>
        </w:tc>
      </w:tr>
      <w:tr w:rsidR="005B6F89" w:rsidRPr="00BE4075" w14:paraId="418311C9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BE7C1CE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R-MMU-1237044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502B827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Erythrocytes take up carbon dioxide and release oxygen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45F9279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proofErr w:type="spellStart"/>
            <w:r w:rsidRPr="00446F89">
              <w:rPr>
                <w:rFonts w:ascii="Arial" w:hAnsi="Arial" w:cs="Arial"/>
                <w:i/>
                <w:iCs/>
              </w:rPr>
              <w:t>Hbb</w:t>
            </w:r>
            <w:proofErr w:type="spellEnd"/>
            <w:r w:rsidRPr="00446F89">
              <w:rPr>
                <w:rFonts w:ascii="Arial" w:hAnsi="Arial" w:cs="Arial"/>
                <w:i/>
                <w:iCs/>
              </w:rPr>
              <w:t>-bs/</w:t>
            </w:r>
            <w:proofErr w:type="spellStart"/>
            <w:r w:rsidRPr="00446F89">
              <w:rPr>
                <w:rFonts w:ascii="Arial" w:hAnsi="Arial" w:cs="Arial"/>
                <w:i/>
                <w:iCs/>
              </w:rPr>
              <w:t>Hbb-bt</w:t>
            </w:r>
            <w:proofErr w:type="spellEnd"/>
            <w:r w:rsidRPr="00446F89">
              <w:rPr>
                <w:rFonts w:ascii="Arial" w:hAnsi="Arial" w:cs="Arial"/>
                <w:i/>
                <w:iCs/>
              </w:rPr>
              <w:t>/Hba-a1/Hba-a2/Slc4a1</w:t>
            </w:r>
          </w:p>
        </w:tc>
      </w:tr>
      <w:tr w:rsidR="005B6F89" w:rsidRPr="00BE4075" w14:paraId="37A7B949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C4E2016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R-MMU-1480926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C31E48D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O2/CO2 exchange in erythrocytes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119D907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proofErr w:type="spellStart"/>
            <w:r w:rsidRPr="00446F89">
              <w:rPr>
                <w:rFonts w:ascii="Arial" w:hAnsi="Arial" w:cs="Arial"/>
                <w:i/>
                <w:iCs/>
              </w:rPr>
              <w:t>Hbb</w:t>
            </w:r>
            <w:proofErr w:type="spellEnd"/>
            <w:r w:rsidRPr="00446F89">
              <w:rPr>
                <w:rFonts w:ascii="Arial" w:hAnsi="Arial" w:cs="Arial"/>
                <w:i/>
                <w:iCs/>
              </w:rPr>
              <w:t>-bs/</w:t>
            </w:r>
            <w:proofErr w:type="spellStart"/>
            <w:r w:rsidRPr="00446F89">
              <w:rPr>
                <w:rFonts w:ascii="Arial" w:hAnsi="Arial" w:cs="Arial"/>
                <w:i/>
                <w:iCs/>
              </w:rPr>
              <w:t>Hbb-bt</w:t>
            </w:r>
            <w:proofErr w:type="spellEnd"/>
            <w:r w:rsidRPr="00446F89">
              <w:rPr>
                <w:rFonts w:ascii="Arial" w:hAnsi="Arial" w:cs="Arial"/>
                <w:i/>
                <w:iCs/>
              </w:rPr>
              <w:t>/Hba-a1/Hba-a2/Slc4a1</w:t>
            </w:r>
          </w:p>
        </w:tc>
      </w:tr>
      <w:tr w:rsidR="005B6F89" w:rsidRPr="00BE4075" w14:paraId="20512960" w14:textId="77777777" w:rsidTr="00BE4075">
        <w:trPr>
          <w:trHeight w:val="945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87BF3E5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R-MMU-168898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64871E2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Toll-Like Receptors Cascades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445AED7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r w:rsidRPr="00446F89">
              <w:rPr>
                <w:rFonts w:ascii="Arial" w:hAnsi="Arial" w:cs="Arial"/>
                <w:i/>
                <w:iCs/>
              </w:rPr>
              <w:t>Saa1/Nfkb2/Ager/Lgmn/Dnm1/Tlr7/Ly86/Birc3/Hsp90b1/Ctss/Chuk/Apob/S100a1/Uba52/Ly96/Tlr9/Rps6ka2/Ppp2ca/Peli1/Mapk11/Tnip2</w:t>
            </w:r>
          </w:p>
        </w:tc>
      </w:tr>
      <w:tr w:rsidR="005B6F89" w:rsidRPr="00BE4075" w14:paraId="4D8B2AB8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4AD1559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lastRenderedPageBreak/>
              <w:t>R-MMU-2173782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F18F07D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Binding and Uptake of Ligands by Scavenger Receptors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ACEE099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r w:rsidRPr="00446F89">
              <w:rPr>
                <w:rFonts w:ascii="Arial" w:hAnsi="Arial" w:cs="Arial"/>
                <w:i/>
                <w:iCs/>
              </w:rPr>
              <w:t>Saa1/</w:t>
            </w:r>
            <w:proofErr w:type="spellStart"/>
            <w:r w:rsidRPr="00446F89">
              <w:rPr>
                <w:rFonts w:ascii="Arial" w:hAnsi="Arial" w:cs="Arial"/>
                <w:i/>
                <w:iCs/>
              </w:rPr>
              <w:t>Hbb</w:t>
            </w:r>
            <w:proofErr w:type="spellEnd"/>
            <w:r w:rsidRPr="00446F89">
              <w:rPr>
                <w:rFonts w:ascii="Arial" w:hAnsi="Arial" w:cs="Arial"/>
                <w:i/>
                <w:iCs/>
              </w:rPr>
              <w:t>-bs/</w:t>
            </w:r>
            <w:proofErr w:type="spellStart"/>
            <w:r w:rsidRPr="00446F89">
              <w:rPr>
                <w:rFonts w:ascii="Arial" w:hAnsi="Arial" w:cs="Arial"/>
                <w:i/>
                <w:iCs/>
              </w:rPr>
              <w:t>Hbb-bt</w:t>
            </w:r>
            <w:proofErr w:type="spellEnd"/>
            <w:r w:rsidRPr="00446F89">
              <w:rPr>
                <w:rFonts w:ascii="Arial" w:hAnsi="Arial" w:cs="Arial"/>
                <w:i/>
                <w:iCs/>
              </w:rPr>
              <w:t>/</w:t>
            </w:r>
            <w:proofErr w:type="spellStart"/>
            <w:r w:rsidRPr="00446F89">
              <w:rPr>
                <w:rFonts w:ascii="Arial" w:hAnsi="Arial" w:cs="Arial"/>
                <w:i/>
                <w:iCs/>
              </w:rPr>
              <w:t>Apoe</w:t>
            </w:r>
            <w:proofErr w:type="spellEnd"/>
            <w:r w:rsidRPr="00446F89">
              <w:rPr>
                <w:rFonts w:ascii="Arial" w:hAnsi="Arial" w:cs="Arial"/>
                <w:i/>
                <w:iCs/>
              </w:rPr>
              <w:t>/Hba-a1/Hba-a2/Apol9b/Hsp90b1/</w:t>
            </w:r>
            <w:proofErr w:type="spellStart"/>
            <w:r w:rsidRPr="00446F89">
              <w:rPr>
                <w:rFonts w:ascii="Arial" w:hAnsi="Arial" w:cs="Arial"/>
                <w:i/>
                <w:iCs/>
              </w:rPr>
              <w:t>Apob</w:t>
            </w:r>
            <w:proofErr w:type="spellEnd"/>
          </w:p>
        </w:tc>
      </w:tr>
      <w:tr w:rsidR="005B6F89" w:rsidRPr="00BE4075" w14:paraId="52F3D60D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EF2A637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R-MMU-2028269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DDF6FDB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Signaling by Hippo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FD329B5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r w:rsidRPr="00446F89">
              <w:rPr>
                <w:rFonts w:ascii="Arial" w:hAnsi="Arial" w:cs="Arial"/>
                <w:i/>
                <w:iCs/>
              </w:rPr>
              <w:t>Wwtr1/Amotl2/Stk3/</w:t>
            </w:r>
            <w:proofErr w:type="spellStart"/>
            <w:r w:rsidRPr="00446F89">
              <w:rPr>
                <w:rFonts w:ascii="Arial" w:hAnsi="Arial" w:cs="Arial"/>
                <w:i/>
                <w:iCs/>
              </w:rPr>
              <w:t>Amot</w:t>
            </w:r>
            <w:proofErr w:type="spellEnd"/>
            <w:r w:rsidRPr="00446F89">
              <w:rPr>
                <w:rFonts w:ascii="Arial" w:hAnsi="Arial" w:cs="Arial"/>
                <w:i/>
                <w:iCs/>
              </w:rPr>
              <w:t>/Lats1/Mob1b</w:t>
            </w:r>
          </w:p>
        </w:tc>
      </w:tr>
      <w:tr w:rsidR="005B6F89" w:rsidRPr="00BE4075" w14:paraId="635F28AB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F678DA2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R-MMU-2470946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2B162AE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proofErr w:type="spellStart"/>
            <w:r w:rsidRPr="00BE4075">
              <w:rPr>
                <w:rFonts w:ascii="Arial" w:hAnsi="Arial" w:cs="Arial"/>
              </w:rPr>
              <w:t>Cohesin</w:t>
            </w:r>
            <w:proofErr w:type="spellEnd"/>
            <w:r w:rsidRPr="00BE4075">
              <w:rPr>
                <w:rFonts w:ascii="Arial" w:hAnsi="Arial" w:cs="Arial"/>
              </w:rPr>
              <w:t xml:space="preserve"> Loading onto Chromatin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A239D88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r w:rsidRPr="00446F89">
              <w:rPr>
                <w:rFonts w:ascii="Arial" w:hAnsi="Arial" w:cs="Arial"/>
                <w:i/>
                <w:iCs/>
              </w:rPr>
              <w:t>Pds5b/</w:t>
            </w:r>
            <w:proofErr w:type="spellStart"/>
            <w:r w:rsidRPr="00446F89">
              <w:rPr>
                <w:rFonts w:ascii="Arial" w:hAnsi="Arial" w:cs="Arial"/>
                <w:i/>
                <w:iCs/>
              </w:rPr>
              <w:t>Nipbl</w:t>
            </w:r>
            <w:proofErr w:type="spellEnd"/>
            <w:r w:rsidRPr="00446F89">
              <w:rPr>
                <w:rFonts w:ascii="Arial" w:hAnsi="Arial" w:cs="Arial"/>
                <w:i/>
                <w:iCs/>
              </w:rPr>
              <w:t>/Pds5a/</w:t>
            </w:r>
            <w:proofErr w:type="spellStart"/>
            <w:r w:rsidRPr="00446F89">
              <w:rPr>
                <w:rFonts w:ascii="Arial" w:hAnsi="Arial" w:cs="Arial"/>
                <w:i/>
                <w:iCs/>
              </w:rPr>
              <w:t>Wapl</w:t>
            </w:r>
            <w:proofErr w:type="spellEnd"/>
          </w:p>
        </w:tc>
      </w:tr>
      <w:tr w:rsidR="005B6F89" w:rsidRPr="00BE4075" w14:paraId="1DBAC758" w14:textId="77777777" w:rsidTr="00591F25">
        <w:trPr>
          <w:trHeight w:val="1027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4A82626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R-MMU-422475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1CC6D93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Axon guidance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A947E37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r w:rsidRPr="00446F89">
              <w:rPr>
                <w:rFonts w:ascii="Arial" w:hAnsi="Arial" w:cs="Arial"/>
                <w:i/>
                <w:iCs/>
              </w:rPr>
              <w:t>Egfr/Hsp90aa1/Pik3r3/Col9a3/Mapk13/Nrcam/Arhgef12/Dnm1/Epha4/Vegfa/Tuba1a/Ncstn/Itsn1/Rras/Evl/Plxna1/Pip5k1c/Sptb/Col4a1/Tubb2b/Hsp90ab1/Tubb2a/Kif4/Uba52/Shc1/Frs2/Slit3/Arhgef28/Yes1/Nck1/Mapk11/Sptbn4/Fgfr1/Sema6d</w:t>
            </w:r>
          </w:p>
        </w:tc>
      </w:tr>
      <w:tr w:rsidR="005B6F89" w:rsidRPr="00BE4075" w14:paraId="23E68273" w14:textId="77777777" w:rsidTr="00591F25">
        <w:trPr>
          <w:trHeight w:val="829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17E39C3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R-MMU-8856688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27AA990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Golgi-to-ER retrograde transport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6C7A3DF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r w:rsidRPr="00446F89">
              <w:rPr>
                <w:rFonts w:ascii="Arial" w:hAnsi="Arial" w:cs="Arial"/>
                <w:i/>
                <w:iCs/>
              </w:rPr>
              <w:t>Dync1h1/Kif3a/Dctn6/Tuba1a/Dynll1/Kif27/Pafah1b3/Tubb2b/Tubb2a/Kif4/Use1/Rab6a/Dctn2/Pafah1b2/Pla2g4a/Rab18/Klc2/Pafah1b1/Kif11</w:t>
            </w:r>
          </w:p>
        </w:tc>
      </w:tr>
      <w:tr w:rsidR="005B6F89" w:rsidRPr="00BE4075" w14:paraId="3F625865" w14:textId="77777777" w:rsidTr="00591F25">
        <w:trPr>
          <w:trHeight w:val="577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D27377D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R-MMU-3371571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4889BB7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HSF1-dependent transactivation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7CA8523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r w:rsidRPr="00446F89">
              <w:rPr>
                <w:rFonts w:ascii="Arial" w:hAnsi="Arial" w:cs="Arial"/>
                <w:i/>
                <w:iCs/>
              </w:rPr>
              <w:t>Hsp90aa1/Hspa1b/Hspa8/Camk2g/Hspa1a/Hsp90ab1</w:t>
            </w:r>
          </w:p>
        </w:tc>
      </w:tr>
      <w:tr w:rsidR="005B6F89" w:rsidRPr="00BE4075" w14:paraId="5303F620" w14:textId="77777777" w:rsidTr="00BE4075">
        <w:trPr>
          <w:trHeight w:val="945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AE5FBE0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R-MMU-168643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3FC8A68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Nucleotide-binding domain, leucine rich repeat containing receptor (NLR) signaling pathways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A567CF1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r w:rsidRPr="00446F89">
              <w:rPr>
                <w:rFonts w:ascii="Arial" w:hAnsi="Arial" w:cs="Arial"/>
                <w:i/>
                <w:iCs/>
              </w:rPr>
              <w:t>Mapk13/Sugt1/Birc3/Casp4/Chuk/Hsp90ab1/Uba52/Nlrp3/Mapk11</w:t>
            </w:r>
          </w:p>
        </w:tc>
      </w:tr>
      <w:tr w:rsidR="005B6F89" w:rsidRPr="00BE4075" w14:paraId="6D436706" w14:textId="77777777" w:rsidTr="00591F25">
        <w:trPr>
          <w:trHeight w:val="883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A061BE4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R-MMU-2500257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768D3BE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Resolution of Sister Chromatid Cohesion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B8FF8AA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r w:rsidRPr="00446F89">
              <w:rPr>
                <w:rFonts w:ascii="Arial" w:hAnsi="Arial" w:cs="Arial"/>
                <w:i/>
                <w:iCs/>
              </w:rPr>
              <w:t>Dync1h1/Nup98/Clip1/Pds5b/Tuba1a/Dynll1/Pds5a/Ska2/Tubb2b/Gm5601/Tubb2a/Rps27rt/Taok1/Nup160/Ppp2ca/Clasp2/Wapl/Pafah1b1</w:t>
            </w:r>
          </w:p>
        </w:tc>
      </w:tr>
      <w:tr w:rsidR="005B6F89" w:rsidRPr="00BE4075" w14:paraId="663CCDFD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DD44624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R-MMU-163210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393C1BF" w14:textId="77777777" w:rsidR="005B6F89" w:rsidRPr="00BE4075" w:rsidRDefault="005B6F89" w:rsidP="005B6F89">
            <w:pPr>
              <w:rPr>
                <w:rFonts w:ascii="Arial" w:hAnsi="Arial" w:cs="Arial"/>
              </w:rPr>
            </w:pPr>
            <w:r w:rsidRPr="00BE4075">
              <w:rPr>
                <w:rFonts w:ascii="Arial" w:hAnsi="Arial" w:cs="Arial"/>
              </w:rPr>
              <w:t>Formation of ATP by chemiosmotic coupling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67CA117" w14:textId="77777777" w:rsidR="005B6F89" w:rsidRPr="00446F89" w:rsidRDefault="005B6F89" w:rsidP="005B6F89">
            <w:pPr>
              <w:rPr>
                <w:rFonts w:ascii="Arial" w:hAnsi="Arial" w:cs="Arial"/>
                <w:i/>
                <w:iCs/>
              </w:rPr>
            </w:pPr>
            <w:r w:rsidRPr="00446F89">
              <w:rPr>
                <w:rFonts w:ascii="Arial" w:hAnsi="Arial" w:cs="Arial"/>
                <w:i/>
                <w:iCs/>
              </w:rPr>
              <w:t>ATP8/Atp5k/Atp5j2/ATP6/Atp5f1</w:t>
            </w:r>
          </w:p>
        </w:tc>
      </w:tr>
    </w:tbl>
    <w:p w14:paraId="11E47273" w14:textId="77777777" w:rsidR="005B6F89" w:rsidRDefault="005B6F89" w:rsidP="00E442AB">
      <w:pPr>
        <w:jc w:val="center"/>
        <w:rPr>
          <w:rFonts w:ascii="Arial" w:hAnsi="Arial" w:cs="Arial"/>
          <w:b/>
          <w:bCs/>
        </w:rPr>
      </w:pPr>
    </w:p>
    <w:p w14:paraId="473B4E33" w14:textId="06358497" w:rsidR="00BE4075" w:rsidRDefault="00BE4075" w:rsidP="007F3268">
      <w:pPr>
        <w:rPr>
          <w:rFonts w:ascii="Arial" w:hAnsi="Arial" w:cs="Arial"/>
          <w:b/>
          <w:bCs/>
        </w:rPr>
      </w:pPr>
    </w:p>
    <w:sectPr w:rsidR="00BE4075" w:rsidSect="00D305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9C214" w14:textId="77777777" w:rsidR="008B43A7" w:rsidRDefault="008B43A7" w:rsidP="00E80D33">
      <w:pPr>
        <w:spacing w:after="0" w:line="240" w:lineRule="auto"/>
      </w:pPr>
      <w:r>
        <w:separator/>
      </w:r>
    </w:p>
  </w:endnote>
  <w:endnote w:type="continuationSeparator" w:id="0">
    <w:p w14:paraId="36C2ECE4" w14:textId="77777777" w:rsidR="008B43A7" w:rsidRDefault="008B43A7" w:rsidP="00E80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B827B" w14:textId="77777777" w:rsidR="008B43A7" w:rsidRDefault="008B43A7" w:rsidP="00E80D33">
      <w:pPr>
        <w:spacing w:after="0" w:line="240" w:lineRule="auto"/>
      </w:pPr>
      <w:r>
        <w:separator/>
      </w:r>
    </w:p>
  </w:footnote>
  <w:footnote w:type="continuationSeparator" w:id="0">
    <w:p w14:paraId="6F08045C" w14:textId="77777777" w:rsidR="008B43A7" w:rsidRDefault="008B43A7" w:rsidP="00E80D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B0"/>
    <w:rsid w:val="00004009"/>
    <w:rsid w:val="000143BC"/>
    <w:rsid w:val="000166AF"/>
    <w:rsid w:val="00043A64"/>
    <w:rsid w:val="00066066"/>
    <w:rsid w:val="000722C6"/>
    <w:rsid w:val="00080639"/>
    <w:rsid w:val="00087F7F"/>
    <w:rsid w:val="000A27F0"/>
    <w:rsid w:val="000B6E4F"/>
    <w:rsid w:val="000E03B3"/>
    <w:rsid w:val="001311E6"/>
    <w:rsid w:val="00141B41"/>
    <w:rsid w:val="001541EF"/>
    <w:rsid w:val="00163A3F"/>
    <w:rsid w:val="001B0B22"/>
    <w:rsid w:val="001C270E"/>
    <w:rsid w:val="001E21B6"/>
    <w:rsid w:val="001E232E"/>
    <w:rsid w:val="001F1DA9"/>
    <w:rsid w:val="001F32C3"/>
    <w:rsid w:val="00200626"/>
    <w:rsid w:val="00227CF4"/>
    <w:rsid w:val="002871DD"/>
    <w:rsid w:val="00287DEF"/>
    <w:rsid w:val="002C09E1"/>
    <w:rsid w:val="002C483D"/>
    <w:rsid w:val="002F0F9C"/>
    <w:rsid w:val="002F12EE"/>
    <w:rsid w:val="002F7791"/>
    <w:rsid w:val="0034359A"/>
    <w:rsid w:val="00347BF9"/>
    <w:rsid w:val="003C515B"/>
    <w:rsid w:val="003F078D"/>
    <w:rsid w:val="003F2688"/>
    <w:rsid w:val="00425C8F"/>
    <w:rsid w:val="00441528"/>
    <w:rsid w:val="00444551"/>
    <w:rsid w:val="00446F89"/>
    <w:rsid w:val="00455EDB"/>
    <w:rsid w:val="004711A4"/>
    <w:rsid w:val="004C45BC"/>
    <w:rsid w:val="004F2AD2"/>
    <w:rsid w:val="0052557F"/>
    <w:rsid w:val="00556857"/>
    <w:rsid w:val="0057038E"/>
    <w:rsid w:val="0059112B"/>
    <w:rsid w:val="00591F25"/>
    <w:rsid w:val="005B43D8"/>
    <w:rsid w:val="005B6F89"/>
    <w:rsid w:val="005E01EA"/>
    <w:rsid w:val="005E73A6"/>
    <w:rsid w:val="005F7491"/>
    <w:rsid w:val="00614690"/>
    <w:rsid w:val="00616B99"/>
    <w:rsid w:val="00634332"/>
    <w:rsid w:val="006407E9"/>
    <w:rsid w:val="006450F8"/>
    <w:rsid w:val="006505ED"/>
    <w:rsid w:val="006557AC"/>
    <w:rsid w:val="00657A1F"/>
    <w:rsid w:val="0066305A"/>
    <w:rsid w:val="0067212B"/>
    <w:rsid w:val="006938EB"/>
    <w:rsid w:val="006A3C9C"/>
    <w:rsid w:val="006B6BF6"/>
    <w:rsid w:val="006D08FF"/>
    <w:rsid w:val="006D2C45"/>
    <w:rsid w:val="006E3B55"/>
    <w:rsid w:val="006F6B8D"/>
    <w:rsid w:val="007172DB"/>
    <w:rsid w:val="00733151"/>
    <w:rsid w:val="00746067"/>
    <w:rsid w:val="0077173B"/>
    <w:rsid w:val="007A39D5"/>
    <w:rsid w:val="007E2AB0"/>
    <w:rsid w:val="007E54F4"/>
    <w:rsid w:val="007F14B2"/>
    <w:rsid w:val="007F3268"/>
    <w:rsid w:val="00812E88"/>
    <w:rsid w:val="00820546"/>
    <w:rsid w:val="008245F2"/>
    <w:rsid w:val="00886733"/>
    <w:rsid w:val="00890CD0"/>
    <w:rsid w:val="008918C7"/>
    <w:rsid w:val="008B43A7"/>
    <w:rsid w:val="008E0BE6"/>
    <w:rsid w:val="008E417D"/>
    <w:rsid w:val="008E449A"/>
    <w:rsid w:val="00904598"/>
    <w:rsid w:val="00910A2C"/>
    <w:rsid w:val="00910A70"/>
    <w:rsid w:val="0092740A"/>
    <w:rsid w:val="00930B31"/>
    <w:rsid w:val="0094090B"/>
    <w:rsid w:val="00961B70"/>
    <w:rsid w:val="00973E49"/>
    <w:rsid w:val="009A26D7"/>
    <w:rsid w:val="009B3231"/>
    <w:rsid w:val="009B75EF"/>
    <w:rsid w:val="009C2047"/>
    <w:rsid w:val="009F6F95"/>
    <w:rsid w:val="00A15522"/>
    <w:rsid w:val="00A17604"/>
    <w:rsid w:val="00A22E35"/>
    <w:rsid w:val="00A23D8D"/>
    <w:rsid w:val="00A27265"/>
    <w:rsid w:val="00A406AC"/>
    <w:rsid w:val="00A51570"/>
    <w:rsid w:val="00A72C60"/>
    <w:rsid w:val="00A73517"/>
    <w:rsid w:val="00AB0BF0"/>
    <w:rsid w:val="00AB3CF1"/>
    <w:rsid w:val="00AB7135"/>
    <w:rsid w:val="00AE7188"/>
    <w:rsid w:val="00B624C2"/>
    <w:rsid w:val="00B72FF4"/>
    <w:rsid w:val="00B77ACD"/>
    <w:rsid w:val="00B8554F"/>
    <w:rsid w:val="00B9457E"/>
    <w:rsid w:val="00BA621E"/>
    <w:rsid w:val="00BC2581"/>
    <w:rsid w:val="00BE4075"/>
    <w:rsid w:val="00C40F78"/>
    <w:rsid w:val="00C430C9"/>
    <w:rsid w:val="00C451E9"/>
    <w:rsid w:val="00C556B0"/>
    <w:rsid w:val="00C643EE"/>
    <w:rsid w:val="00C64FE9"/>
    <w:rsid w:val="00C83CE7"/>
    <w:rsid w:val="00CB609D"/>
    <w:rsid w:val="00CB7FCC"/>
    <w:rsid w:val="00CD1D71"/>
    <w:rsid w:val="00CD38D9"/>
    <w:rsid w:val="00CF2DC7"/>
    <w:rsid w:val="00CF3632"/>
    <w:rsid w:val="00CF37FA"/>
    <w:rsid w:val="00D21C97"/>
    <w:rsid w:val="00D23AB3"/>
    <w:rsid w:val="00D30561"/>
    <w:rsid w:val="00D31BDB"/>
    <w:rsid w:val="00D43AE6"/>
    <w:rsid w:val="00D5249B"/>
    <w:rsid w:val="00D57992"/>
    <w:rsid w:val="00D80DBE"/>
    <w:rsid w:val="00D816FC"/>
    <w:rsid w:val="00D83563"/>
    <w:rsid w:val="00DA0A74"/>
    <w:rsid w:val="00DB59E0"/>
    <w:rsid w:val="00DC3382"/>
    <w:rsid w:val="00DE462B"/>
    <w:rsid w:val="00DF4AB1"/>
    <w:rsid w:val="00E02F4B"/>
    <w:rsid w:val="00E32152"/>
    <w:rsid w:val="00E32E1D"/>
    <w:rsid w:val="00E33CFE"/>
    <w:rsid w:val="00E438F5"/>
    <w:rsid w:val="00E442AB"/>
    <w:rsid w:val="00E50E5B"/>
    <w:rsid w:val="00E54D24"/>
    <w:rsid w:val="00E6406C"/>
    <w:rsid w:val="00E71468"/>
    <w:rsid w:val="00E73E2E"/>
    <w:rsid w:val="00E80D33"/>
    <w:rsid w:val="00E90238"/>
    <w:rsid w:val="00E966DC"/>
    <w:rsid w:val="00EA5CF7"/>
    <w:rsid w:val="00F06F87"/>
    <w:rsid w:val="00F360B7"/>
    <w:rsid w:val="00F63A03"/>
    <w:rsid w:val="00F82692"/>
    <w:rsid w:val="00F8584B"/>
    <w:rsid w:val="00F970BB"/>
    <w:rsid w:val="00FA5043"/>
    <w:rsid w:val="00FC496C"/>
    <w:rsid w:val="20FAB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99986"/>
  <w15:chartTrackingRefBased/>
  <w15:docId w15:val="{48FECB2E-5E29-4C2C-A6A7-68780F49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2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AB0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7E2A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59"/>
    <w:rsid w:val="008E4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iPriority w:val="99"/>
    <w:rsid w:val="00E32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2C6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11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1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1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1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1A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D33"/>
  </w:style>
  <w:style w:type="paragraph" w:styleId="Footer">
    <w:name w:val="footer"/>
    <w:basedOn w:val="Normal"/>
    <w:link w:val="Foot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D33"/>
  </w:style>
  <w:style w:type="table" w:customStyle="1" w:styleId="TableGrid1">
    <w:name w:val="Table Grid1"/>
    <w:basedOn w:val="TableNormal"/>
    <w:next w:val="TableGrid"/>
    <w:uiPriority w:val="59"/>
    <w:rsid w:val="005E01E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406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actome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Vilas Sarode</dc:creator>
  <cp:keywords/>
  <dc:description/>
  <cp:lastModifiedBy>Mike Dustin</cp:lastModifiedBy>
  <cp:revision>7</cp:revision>
  <dcterms:created xsi:type="dcterms:W3CDTF">2025-08-24T20:39:00Z</dcterms:created>
  <dcterms:modified xsi:type="dcterms:W3CDTF">2025-09-24T17:45:00Z</dcterms:modified>
</cp:coreProperties>
</file>