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61F9" w14:textId="2F45DCD9" w:rsidR="00C35B7A" w:rsidRPr="001533EC" w:rsidRDefault="00C35B7A" w:rsidP="00C35B7A">
      <w:pPr>
        <w:spacing w:line="480" w:lineRule="auto"/>
        <w:jc w:val="both"/>
        <w:rPr>
          <w:b/>
          <w:sz w:val="24"/>
          <w:szCs w:val="24"/>
        </w:rPr>
      </w:pPr>
      <w:bookmarkStart w:id="0" w:name="_Hlk202631476"/>
      <w:r w:rsidRPr="001533EC">
        <w:rPr>
          <w:b/>
          <w:sz w:val="24"/>
          <w:szCs w:val="24"/>
        </w:rPr>
        <w:t xml:space="preserve">Circulating Epigenetic Signatures </w:t>
      </w:r>
      <w:r w:rsidR="001D78F9" w:rsidRPr="001533EC">
        <w:rPr>
          <w:b/>
          <w:sz w:val="24"/>
          <w:szCs w:val="24"/>
        </w:rPr>
        <w:t xml:space="preserve">Classifying </w:t>
      </w:r>
      <w:r w:rsidRPr="001533EC">
        <w:rPr>
          <w:b/>
          <w:sz w:val="24"/>
          <w:szCs w:val="24"/>
        </w:rPr>
        <w:t xml:space="preserve">Brain Insulin Resistance in </w:t>
      </w:r>
      <w:r w:rsidR="00575293">
        <w:rPr>
          <w:b/>
          <w:sz w:val="24"/>
          <w:szCs w:val="24"/>
        </w:rPr>
        <w:t>H</w:t>
      </w:r>
      <w:r w:rsidRPr="001533EC">
        <w:rPr>
          <w:b/>
          <w:sz w:val="24"/>
          <w:szCs w:val="24"/>
        </w:rPr>
        <w:t xml:space="preserve">umans </w:t>
      </w:r>
    </w:p>
    <w:bookmarkEnd w:id="0"/>
    <w:p w14:paraId="16608E7D" w14:textId="4DA01171" w:rsidR="00C35B7A" w:rsidRPr="001533EC" w:rsidRDefault="00C35B7A" w:rsidP="00C35B7A">
      <w:pPr>
        <w:spacing w:line="480" w:lineRule="auto"/>
        <w:jc w:val="both"/>
        <w:rPr>
          <w:szCs w:val="24"/>
          <w:vertAlign w:val="superscript"/>
        </w:rPr>
      </w:pPr>
      <w:r w:rsidRPr="001533EC">
        <w:rPr>
          <w:szCs w:val="24"/>
        </w:rPr>
        <w:t>Stephanie Kullmann</w:t>
      </w:r>
      <w:r w:rsidRPr="001533EC">
        <w:rPr>
          <w:szCs w:val="24"/>
          <w:vertAlign w:val="superscript"/>
        </w:rPr>
        <w:t>1,2,3</w:t>
      </w:r>
      <w:r w:rsidRPr="001533EC">
        <w:rPr>
          <w:szCs w:val="24"/>
        </w:rPr>
        <w:t>, Amandeep Singh</w:t>
      </w:r>
      <w:r w:rsidRPr="001533EC">
        <w:rPr>
          <w:szCs w:val="24"/>
          <w:vertAlign w:val="superscript"/>
        </w:rPr>
        <w:t>3,4</w:t>
      </w:r>
      <w:r w:rsidR="00E978EB">
        <w:rPr>
          <w:szCs w:val="24"/>
          <w:vertAlign w:val="superscript"/>
        </w:rPr>
        <w:t>,5</w:t>
      </w:r>
      <w:r w:rsidRPr="001533EC">
        <w:rPr>
          <w:szCs w:val="24"/>
        </w:rPr>
        <w:t>, Ratika Sehgal</w:t>
      </w:r>
      <w:r w:rsidRPr="001533EC">
        <w:rPr>
          <w:szCs w:val="24"/>
          <w:vertAlign w:val="superscript"/>
        </w:rPr>
        <w:t>3,4</w:t>
      </w:r>
      <w:r w:rsidR="00DA2178">
        <w:rPr>
          <w:szCs w:val="24"/>
          <w:vertAlign w:val="superscript"/>
        </w:rPr>
        <w:t>,12</w:t>
      </w:r>
      <w:r w:rsidRPr="001533EC">
        <w:rPr>
          <w:szCs w:val="24"/>
        </w:rPr>
        <w:t xml:space="preserve">, </w:t>
      </w:r>
      <w:r w:rsidR="00A562F1" w:rsidRPr="001533EC">
        <w:rPr>
          <w:szCs w:val="24"/>
        </w:rPr>
        <w:t>Fabian Eichelmann</w:t>
      </w:r>
      <w:r w:rsidR="00A562F1" w:rsidRPr="001533EC">
        <w:rPr>
          <w:szCs w:val="24"/>
          <w:vertAlign w:val="superscript"/>
        </w:rPr>
        <w:t>2,</w:t>
      </w:r>
      <w:r w:rsidR="0045697D">
        <w:rPr>
          <w:szCs w:val="24"/>
          <w:vertAlign w:val="superscript"/>
        </w:rPr>
        <w:t>6</w:t>
      </w:r>
      <w:r w:rsidR="00A562F1" w:rsidRPr="001533EC">
        <w:rPr>
          <w:szCs w:val="24"/>
        </w:rPr>
        <w:t xml:space="preserve">, </w:t>
      </w:r>
      <w:r w:rsidRPr="001533EC">
        <w:rPr>
          <w:szCs w:val="24"/>
        </w:rPr>
        <w:t>Leontine Sandforth</w:t>
      </w:r>
      <w:r w:rsidRPr="001533EC">
        <w:rPr>
          <w:szCs w:val="24"/>
          <w:vertAlign w:val="superscript"/>
        </w:rPr>
        <w:t>1,2,3</w:t>
      </w:r>
      <w:r w:rsidRPr="001533EC">
        <w:rPr>
          <w:szCs w:val="24"/>
        </w:rPr>
        <w:t>, Britta Wilms</w:t>
      </w:r>
      <w:r w:rsidRPr="001533EC">
        <w:rPr>
          <w:szCs w:val="24"/>
          <w:vertAlign w:val="superscript"/>
        </w:rPr>
        <w:t>3,</w:t>
      </w:r>
      <w:r w:rsidR="0045697D">
        <w:rPr>
          <w:szCs w:val="24"/>
          <w:vertAlign w:val="superscript"/>
        </w:rPr>
        <w:t>7</w:t>
      </w:r>
      <w:r w:rsidRPr="001533EC">
        <w:rPr>
          <w:szCs w:val="24"/>
        </w:rPr>
        <w:t>, Markus Jähnert</w:t>
      </w:r>
      <w:r w:rsidRPr="001533EC">
        <w:rPr>
          <w:szCs w:val="24"/>
          <w:vertAlign w:val="superscript"/>
        </w:rPr>
        <w:t>3,4</w:t>
      </w:r>
      <w:r w:rsidRPr="001533EC">
        <w:rPr>
          <w:szCs w:val="24"/>
        </w:rPr>
        <w:t>, Andreas Peter</w:t>
      </w:r>
      <w:r w:rsidRPr="001533EC">
        <w:rPr>
          <w:szCs w:val="24"/>
          <w:vertAlign w:val="superscript"/>
        </w:rPr>
        <w:t>1,2,3</w:t>
      </w:r>
      <w:r w:rsidRPr="001533EC">
        <w:rPr>
          <w:szCs w:val="24"/>
        </w:rPr>
        <w:t>, Svenja Meyhöfer</w:t>
      </w:r>
      <w:r w:rsidRPr="001533EC">
        <w:rPr>
          <w:szCs w:val="24"/>
          <w:vertAlign w:val="superscript"/>
        </w:rPr>
        <w:t>3,</w:t>
      </w:r>
      <w:r w:rsidR="0045697D">
        <w:rPr>
          <w:szCs w:val="24"/>
          <w:vertAlign w:val="superscript"/>
        </w:rPr>
        <w:t>7</w:t>
      </w:r>
      <w:r w:rsidR="004E617F" w:rsidRPr="001533EC">
        <w:rPr>
          <w:szCs w:val="24"/>
          <w:vertAlign w:val="superscript"/>
        </w:rPr>
        <w:t>,</w:t>
      </w:r>
      <w:r w:rsidR="0045697D">
        <w:rPr>
          <w:szCs w:val="24"/>
          <w:vertAlign w:val="superscript"/>
        </w:rPr>
        <w:t>8</w:t>
      </w:r>
      <w:r w:rsidR="00CF52B2" w:rsidRPr="00CF52B2">
        <w:rPr>
          <w:szCs w:val="24"/>
        </w:rPr>
        <w:t>,</w:t>
      </w:r>
      <w:r w:rsidRPr="00CF52B2">
        <w:rPr>
          <w:szCs w:val="24"/>
        </w:rPr>
        <w:t xml:space="preserve"> </w:t>
      </w:r>
      <w:r w:rsidRPr="001533EC">
        <w:rPr>
          <w:szCs w:val="24"/>
        </w:rPr>
        <w:t>Dirk Walther</w:t>
      </w:r>
      <w:r w:rsidR="0045697D">
        <w:rPr>
          <w:szCs w:val="24"/>
          <w:vertAlign w:val="superscript"/>
        </w:rPr>
        <w:t>9</w:t>
      </w:r>
      <w:r w:rsidRPr="001533EC">
        <w:rPr>
          <w:szCs w:val="24"/>
        </w:rPr>
        <w:t>, Hubert Preissl</w:t>
      </w:r>
      <w:r w:rsidRPr="001533EC">
        <w:rPr>
          <w:szCs w:val="24"/>
          <w:vertAlign w:val="superscript"/>
        </w:rPr>
        <w:t>1,2,3</w:t>
      </w:r>
      <w:r w:rsidRPr="001533EC">
        <w:rPr>
          <w:szCs w:val="24"/>
        </w:rPr>
        <w:t>,</w:t>
      </w:r>
      <w:r w:rsidRPr="001533EC">
        <w:t xml:space="preserve"> </w:t>
      </w:r>
      <w:r w:rsidRPr="001533EC">
        <w:rPr>
          <w:szCs w:val="24"/>
        </w:rPr>
        <w:t>Hans-Ulrich Häring</w:t>
      </w:r>
      <w:r w:rsidRPr="001533EC">
        <w:rPr>
          <w:szCs w:val="24"/>
          <w:vertAlign w:val="superscript"/>
        </w:rPr>
        <w:t>1,2,3</w:t>
      </w:r>
      <w:r w:rsidRPr="001533EC">
        <w:rPr>
          <w:szCs w:val="24"/>
        </w:rPr>
        <w:t>,</w:t>
      </w:r>
      <w:r w:rsidR="006D5559" w:rsidRPr="001533EC">
        <w:rPr>
          <w:szCs w:val="24"/>
        </w:rPr>
        <w:t xml:space="preserve"> Matthias B. Schulze</w:t>
      </w:r>
      <w:r w:rsidR="006D5559" w:rsidRPr="001533EC">
        <w:rPr>
          <w:szCs w:val="24"/>
          <w:vertAlign w:val="superscript"/>
        </w:rPr>
        <w:t>2,</w:t>
      </w:r>
      <w:r w:rsidR="0045697D">
        <w:rPr>
          <w:szCs w:val="24"/>
          <w:vertAlign w:val="superscript"/>
        </w:rPr>
        <w:t>6</w:t>
      </w:r>
      <w:r w:rsidR="006D5559" w:rsidRPr="001533EC">
        <w:rPr>
          <w:szCs w:val="24"/>
          <w:vertAlign w:val="superscript"/>
        </w:rPr>
        <w:t>,1</w:t>
      </w:r>
      <w:r w:rsidR="0045697D">
        <w:rPr>
          <w:szCs w:val="24"/>
          <w:vertAlign w:val="superscript"/>
        </w:rPr>
        <w:t>1</w:t>
      </w:r>
      <w:r w:rsidR="006D5559" w:rsidRPr="001533EC">
        <w:rPr>
          <w:szCs w:val="24"/>
        </w:rPr>
        <w:t xml:space="preserve">, </w:t>
      </w:r>
      <w:r w:rsidRPr="001533EC">
        <w:rPr>
          <w:szCs w:val="24"/>
        </w:rPr>
        <w:t>Martin Heni</w:t>
      </w:r>
      <w:r w:rsidR="00F13741" w:rsidRPr="00F13741">
        <w:rPr>
          <w:szCs w:val="24"/>
          <w:vertAlign w:val="superscript"/>
        </w:rPr>
        <w:t>10,</w:t>
      </w:r>
      <w:r w:rsidR="004E617F" w:rsidRPr="001533EC">
        <w:rPr>
          <w:szCs w:val="24"/>
          <w:vertAlign w:val="superscript"/>
        </w:rPr>
        <w:t>1</w:t>
      </w:r>
      <w:r w:rsidR="0045697D">
        <w:rPr>
          <w:szCs w:val="24"/>
          <w:vertAlign w:val="superscript"/>
        </w:rPr>
        <w:t>2</w:t>
      </w:r>
      <w:r w:rsidRPr="001533EC">
        <w:rPr>
          <w:szCs w:val="24"/>
        </w:rPr>
        <w:t>, Andreas L. Birkenfeld</w:t>
      </w:r>
      <w:r w:rsidRPr="001533EC">
        <w:rPr>
          <w:szCs w:val="24"/>
          <w:vertAlign w:val="superscript"/>
        </w:rPr>
        <w:t>1,2,3</w:t>
      </w:r>
      <w:r w:rsidRPr="001533EC">
        <w:rPr>
          <w:szCs w:val="24"/>
        </w:rPr>
        <w:t>, Annette Schürmann</w:t>
      </w:r>
      <w:r w:rsidRPr="001533EC">
        <w:rPr>
          <w:szCs w:val="24"/>
          <w:vertAlign w:val="superscript"/>
        </w:rPr>
        <w:t>3,4,</w:t>
      </w:r>
      <w:r w:rsidR="004E617F" w:rsidRPr="001533EC">
        <w:rPr>
          <w:szCs w:val="24"/>
          <w:vertAlign w:val="superscript"/>
        </w:rPr>
        <w:t>1</w:t>
      </w:r>
      <w:r w:rsidR="0045697D">
        <w:rPr>
          <w:szCs w:val="24"/>
          <w:vertAlign w:val="superscript"/>
        </w:rPr>
        <w:t>1</w:t>
      </w:r>
      <w:r w:rsidRPr="001533EC">
        <w:rPr>
          <w:szCs w:val="24"/>
          <w:vertAlign w:val="superscript"/>
        </w:rPr>
        <w:t>*</w:t>
      </w:r>
      <w:r w:rsidRPr="001533EC">
        <w:rPr>
          <w:szCs w:val="24"/>
        </w:rPr>
        <w:t>, Meriem Ouni</w:t>
      </w:r>
      <w:r w:rsidRPr="001533EC">
        <w:rPr>
          <w:szCs w:val="24"/>
          <w:vertAlign w:val="superscript"/>
        </w:rPr>
        <w:t>3,4</w:t>
      </w:r>
      <w:r w:rsidR="0045697D">
        <w:rPr>
          <w:szCs w:val="24"/>
          <w:vertAlign w:val="superscript"/>
        </w:rPr>
        <w:t>,5</w:t>
      </w:r>
    </w:p>
    <w:p w14:paraId="1146FCCC" w14:textId="4F9D84C4" w:rsidR="00C35B7A" w:rsidRPr="00B81A8D" w:rsidRDefault="00C35B7A" w:rsidP="00C35B7A">
      <w:pPr>
        <w:spacing w:line="480" w:lineRule="auto"/>
        <w:jc w:val="both"/>
        <w:rPr>
          <w:szCs w:val="24"/>
        </w:rPr>
      </w:pPr>
    </w:p>
    <w:p w14:paraId="6B5CD81A" w14:textId="30EB7448" w:rsidR="00C35B7A" w:rsidRPr="001533EC" w:rsidRDefault="00C35B7A" w:rsidP="00C35B7A">
      <w:pPr>
        <w:spacing w:line="480" w:lineRule="auto"/>
        <w:jc w:val="both"/>
        <w:rPr>
          <w:szCs w:val="24"/>
        </w:rPr>
      </w:pPr>
      <w:r w:rsidRPr="001533EC">
        <w:rPr>
          <w:szCs w:val="24"/>
          <w:vertAlign w:val="superscript"/>
        </w:rPr>
        <w:t>1</w:t>
      </w:r>
      <w:r w:rsidRPr="001533EC">
        <w:rPr>
          <w:szCs w:val="24"/>
        </w:rPr>
        <w:t xml:space="preserve">Institute for Diabetes Research and Metabolic Diseases (IDM) of the Helmholtz Center Munich at the University of Tübingen, </w:t>
      </w:r>
      <w:r w:rsidR="00350693">
        <w:rPr>
          <w:szCs w:val="24"/>
        </w:rPr>
        <w:t xml:space="preserve">72076, </w:t>
      </w:r>
      <w:r w:rsidRPr="001533EC">
        <w:rPr>
          <w:szCs w:val="24"/>
        </w:rPr>
        <w:t>Tübingen, Germany.</w:t>
      </w:r>
    </w:p>
    <w:p w14:paraId="63DB4DE9" w14:textId="72A57C37" w:rsidR="00C35B7A" w:rsidRPr="001533EC" w:rsidRDefault="00C35B7A" w:rsidP="00C35B7A">
      <w:pPr>
        <w:spacing w:line="480" w:lineRule="auto"/>
        <w:jc w:val="both"/>
        <w:rPr>
          <w:szCs w:val="24"/>
        </w:rPr>
      </w:pPr>
      <w:r w:rsidRPr="001533EC">
        <w:rPr>
          <w:szCs w:val="24"/>
          <w:vertAlign w:val="superscript"/>
        </w:rPr>
        <w:t>2</w:t>
      </w:r>
      <w:r w:rsidRPr="001533EC">
        <w:rPr>
          <w:szCs w:val="24"/>
        </w:rPr>
        <w:t xml:space="preserve">Department of Internal Medicine, Division of Endocrinology, Diabetology and Nephrology, Eberhard Karls University Tübingen, </w:t>
      </w:r>
      <w:r w:rsidR="00350693">
        <w:rPr>
          <w:szCs w:val="24"/>
        </w:rPr>
        <w:t xml:space="preserve">72076, </w:t>
      </w:r>
      <w:r w:rsidRPr="001533EC">
        <w:rPr>
          <w:szCs w:val="24"/>
        </w:rPr>
        <w:t xml:space="preserve">Tübingen, Germany. </w:t>
      </w:r>
    </w:p>
    <w:p w14:paraId="6F48D635" w14:textId="4039156E" w:rsidR="00C35B7A" w:rsidRPr="001533EC" w:rsidRDefault="00C35B7A" w:rsidP="00C35B7A">
      <w:pPr>
        <w:spacing w:line="480" w:lineRule="auto"/>
        <w:jc w:val="both"/>
        <w:rPr>
          <w:szCs w:val="24"/>
        </w:rPr>
      </w:pPr>
      <w:r w:rsidRPr="001533EC">
        <w:rPr>
          <w:szCs w:val="24"/>
          <w:vertAlign w:val="superscript"/>
        </w:rPr>
        <w:t>3</w:t>
      </w:r>
      <w:r w:rsidRPr="001533EC">
        <w:rPr>
          <w:szCs w:val="24"/>
        </w:rPr>
        <w:t xml:space="preserve">German Center for Diabetes Research (DZD), </w:t>
      </w:r>
      <w:r w:rsidR="00350693">
        <w:rPr>
          <w:szCs w:val="24"/>
        </w:rPr>
        <w:t xml:space="preserve">85764, </w:t>
      </w:r>
      <w:r w:rsidRPr="001533EC">
        <w:rPr>
          <w:szCs w:val="24"/>
        </w:rPr>
        <w:t>München-</w:t>
      </w:r>
      <w:proofErr w:type="spellStart"/>
      <w:r w:rsidRPr="001533EC">
        <w:rPr>
          <w:szCs w:val="24"/>
        </w:rPr>
        <w:t>Neuherberg</w:t>
      </w:r>
      <w:proofErr w:type="spellEnd"/>
      <w:r w:rsidRPr="001533EC">
        <w:rPr>
          <w:szCs w:val="24"/>
        </w:rPr>
        <w:t>, Germany.</w:t>
      </w:r>
    </w:p>
    <w:p w14:paraId="584EA50A" w14:textId="49F0B8F7" w:rsidR="00C35B7A" w:rsidRDefault="00C35B7A" w:rsidP="00C35B7A">
      <w:pPr>
        <w:spacing w:line="480" w:lineRule="auto"/>
        <w:jc w:val="both"/>
        <w:rPr>
          <w:szCs w:val="24"/>
        </w:rPr>
      </w:pPr>
      <w:r w:rsidRPr="001533EC">
        <w:rPr>
          <w:szCs w:val="24"/>
          <w:vertAlign w:val="superscript"/>
        </w:rPr>
        <w:t>4</w:t>
      </w:r>
      <w:r w:rsidRPr="001533EC">
        <w:rPr>
          <w:szCs w:val="24"/>
        </w:rPr>
        <w:t>Department of Experimental Diabetology, German Institute of Human Nutrition Potsdam-</w:t>
      </w:r>
      <w:proofErr w:type="spellStart"/>
      <w:r w:rsidRPr="001533EC">
        <w:rPr>
          <w:szCs w:val="24"/>
        </w:rPr>
        <w:t>Rehbruecke</w:t>
      </w:r>
      <w:proofErr w:type="spellEnd"/>
      <w:r w:rsidRPr="001533EC">
        <w:rPr>
          <w:szCs w:val="24"/>
        </w:rPr>
        <w:t xml:space="preserve"> (</w:t>
      </w:r>
      <w:proofErr w:type="spellStart"/>
      <w:r w:rsidRPr="001533EC">
        <w:rPr>
          <w:szCs w:val="24"/>
        </w:rPr>
        <w:t>DIfE</w:t>
      </w:r>
      <w:proofErr w:type="spellEnd"/>
      <w:r w:rsidRPr="001533EC">
        <w:rPr>
          <w:szCs w:val="24"/>
        </w:rPr>
        <w:t xml:space="preserve">), </w:t>
      </w:r>
      <w:r w:rsidR="007136F4">
        <w:rPr>
          <w:szCs w:val="24"/>
        </w:rPr>
        <w:t xml:space="preserve">14558, </w:t>
      </w:r>
      <w:proofErr w:type="spellStart"/>
      <w:r w:rsidR="009C5DB8">
        <w:rPr>
          <w:szCs w:val="24"/>
        </w:rPr>
        <w:t>Nut</w:t>
      </w:r>
      <w:r w:rsidR="007136F4">
        <w:rPr>
          <w:szCs w:val="24"/>
        </w:rPr>
        <w:t>hetal</w:t>
      </w:r>
      <w:proofErr w:type="spellEnd"/>
      <w:r w:rsidR="007136F4">
        <w:rPr>
          <w:szCs w:val="24"/>
        </w:rPr>
        <w:t xml:space="preserve">, </w:t>
      </w:r>
      <w:r w:rsidRPr="001533EC">
        <w:rPr>
          <w:szCs w:val="24"/>
        </w:rPr>
        <w:t>Germany.</w:t>
      </w:r>
    </w:p>
    <w:p w14:paraId="0AA5F2D9" w14:textId="7212C979" w:rsidR="004E617F" w:rsidRPr="001533EC" w:rsidRDefault="001C6032" w:rsidP="00C35B7A">
      <w:pPr>
        <w:spacing w:line="480" w:lineRule="auto"/>
        <w:jc w:val="both"/>
        <w:rPr>
          <w:szCs w:val="24"/>
        </w:rPr>
      </w:pPr>
      <w:r w:rsidRPr="00B81A8D">
        <w:rPr>
          <w:szCs w:val="24"/>
          <w:vertAlign w:val="superscript"/>
        </w:rPr>
        <w:t>5</w:t>
      </w:r>
      <w:r w:rsidRPr="00B81A8D">
        <w:rPr>
          <w:szCs w:val="24"/>
        </w:rPr>
        <w:t xml:space="preserve">Research group </w:t>
      </w:r>
      <w:r>
        <w:rPr>
          <w:szCs w:val="24"/>
        </w:rPr>
        <w:t>E</w:t>
      </w:r>
      <w:r w:rsidRPr="00B81A8D">
        <w:rPr>
          <w:szCs w:val="24"/>
        </w:rPr>
        <w:t xml:space="preserve">pigenetic of </w:t>
      </w:r>
      <w:r>
        <w:rPr>
          <w:szCs w:val="24"/>
        </w:rPr>
        <w:t>O</w:t>
      </w:r>
      <w:r w:rsidRPr="00B81A8D">
        <w:rPr>
          <w:szCs w:val="24"/>
        </w:rPr>
        <w:t xml:space="preserve">besity and </w:t>
      </w:r>
      <w:r>
        <w:rPr>
          <w:szCs w:val="24"/>
        </w:rPr>
        <w:t>D</w:t>
      </w:r>
      <w:r w:rsidRPr="00B81A8D">
        <w:rPr>
          <w:szCs w:val="24"/>
        </w:rPr>
        <w:t>iabetes</w:t>
      </w:r>
      <w:r>
        <w:rPr>
          <w:szCs w:val="24"/>
        </w:rPr>
        <w:t xml:space="preserve">, </w:t>
      </w:r>
      <w:r w:rsidRPr="00B81A8D">
        <w:rPr>
          <w:szCs w:val="24"/>
        </w:rPr>
        <w:t>German Institute of Human Nutrition Potsdam-</w:t>
      </w:r>
      <w:proofErr w:type="spellStart"/>
      <w:r w:rsidRPr="00B81A8D">
        <w:rPr>
          <w:szCs w:val="24"/>
        </w:rPr>
        <w:t>Rehbruecke</w:t>
      </w:r>
      <w:proofErr w:type="spellEnd"/>
      <w:r w:rsidRPr="00B81A8D">
        <w:rPr>
          <w:szCs w:val="24"/>
        </w:rPr>
        <w:t xml:space="preserve"> (</w:t>
      </w:r>
      <w:proofErr w:type="spellStart"/>
      <w:r w:rsidRPr="00B81A8D">
        <w:rPr>
          <w:szCs w:val="24"/>
        </w:rPr>
        <w:t>DIfE</w:t>
      </w:r>
      <w:proofErr w:type="spellEnd"/>
      <w:r w:rsidRPr="00B81A8D">
        <w:rPr>
          <w:szCs w:val="24"/>
        </w:rPr>
        <w:t xml:space="preserve">), 14558, </w:t>
      </w:r>
      <w:proofErr w:type="spellStart"/>
      <w:r w:rsidRPr="00B81A8D">
        <w:rPr>
          <w:szCs w:val="24"/>
        </w:rPr>
        <w:t>Nuthetal</w:t>
      </w:r>
      <w:proofErr w:type="spellEnd"/>
      <w:r w:rsidRPr="00B81A8D">
        <w:rPr>
          <w:szCs w:val="24"/>
        </w:rPr>
        <w:t xml:space="preserve">, Germany. </w:t>
      </w:r>
      <w:r>
        <w:rPr>
          <w:szCs w:val="24"/>
          <w:vertAlign w:val="superscript"/>
        </w:rPr>
        <w:t>6</w:t>
      </w:r>
      <w:r w:rsidR="004E617F" w:rsidRPr="001533EC">
        <w:rPr>
          <w:szCs w:val="24"/>
        </w:rPr>
        <w:t>Department of Molecular Epidemiology,</w:t>
      </w:r>
      <w:r w:rsidR="00C23C47" w:rsidRPr="001533EC">
        <w:rPr>
          <w:szCs w:val="24"/>
        </w:rPr>
        <w:t xml:space="preserve"> German Institute of Human Nutrition Potsdam-</w:t>
      </w:r>
      <w:proofErr w:type="spellStart"/>
      <w:r w:rsidR="00C23C47" w:rsidRPr="001533EC">
        <w:rPr>
          <w:szCs w:val="24"/>
        </w:rPr>
        <w:t>Rehbruecke</w:t>
      </w:r>
      <w:proofErr w:type="spellEnd"/>
      <w:r w:rsidR="00C23C47" w:rsidRPr="001533EC">
        <w:rPr>
          <w:szCs w:val="24"/>
        </w:rPr>
        <w:t xml:space="preserve"> (</w:t>
      </w:r>
      <w:proofErr w:type="spellStart"/>
      <w:r w:rsidR="00C23C47" w:rsidRPr="001533EC">
        <w:rPr>
          <w:szCs w:val="24"/>
        </w:rPr>
        <w:t>DIfE</w:t>
      </w:r>
      <w:proofErr w:type="spellEnd"/>
      <w:r w:rsidR="00C23C47" w:rsidRPr="001533EC">
        <w:rPr>
          <w:szCs w:val="24"/>
        </w:rPr>
        <w:t xml:space="preserve">), </w:t>
      </w:r>
      <w:r w:rsidR="007136F4">
        <w:rPr>
          <w:szCs w:val="24"/>
        </w:rPr>
        <w:t xml:space="preserve">14558, </w:t>
      </w:r>
      <w:proofErr w:type="spellStart"/>
      <w:r w:rsidR="007136F4">
        <w:rPr>
          <w:szCs w:val="24"/>
        </w:rPr>
        <w:t>Nuthetal</w:t>
      </w:r>
      <w:proofErr w:type="spellEnd"/>
      <w:r w:rsidR="007136F4">
        <w:rPr>
          <w:szCs w:val="24"/>
        </w:rPr>
        <w:t xml:space="preserve">, </w:t>
      </w:r>
      <w:r w:rsidR="00C23C47" w:rsidRPr="001533EC">
        <w:rPr>
          <w:szCs w:val="24"/>
        </w:rPr>
        <w:t>Germany.</w:t>
      </w:r>
    </w:p>
    <w:p w14:paraId="5C1E5F27" w14:textId="55C813C0" w:rsidR="00C35B7A" w:rsidRPr="001533EC" w:rsidRDefault="001C6032" w:rsidP="00C35B7A">
      <w:pPr>
        <w:spacing w:line="480" w:lineRule="auto"/>
        <w:jc w:val="both"/>
        <w:rPr>
          <w:szCs w:val="24"/>
        </w:rPr>
      </w:pPr>
      <w:r>
        <w:rPr>
          <w:szCs w:val="24"/>
          <w:vertAlign w:val="superscript"/>
        </w:rPr>
        <w:t>7</w:t>
      </w:r>
      <w:r w:rsidR="00C35B7A" w:rsidRPr="001533EC">
        <w:rPr>
          <w:szCs w:val="24"/>
        </w:rPr>
        <w:t xml:space="preserve">Center of Brain, Behavior and Metabolism, University of Lübeck, </w:t>
      </w:r>
      <w:r w:rsidR="00350693">
        <w:rPr>
          <w:szCs w:val="24"/>
        </w:rPr>
        <w:t xml:space="preserve">23562, </w:t>
      </w:r>
      <w:r w:rsidR="00C35B7A" w:rsidRPr="001533EC">
        <w:rPr>
          <w:szCs w:val="24"/>
        </w:rPr>
        <w:t>Lübeck, Germany</w:t>
      </w:r>
    </w:p>
    <w:p w14:paraId="143531F0" w14:textId="77AAA30F" w:rsidR="00C35B7A" w:rsidRPr="001533EC" w:rsidRDefault="001C6032" w:rsidP="00C35B7A">
      <w:pPr>
        <w:spacing w:line="480" w:lineRule="auto"/>
        <w:jc w:val="both"/>
        <w:rPr>
          <w:szCs w:val="24"/>
        </w:rPr>
      </w:pPr>
      <w:r>
        <w:rPr>
          <w:szCs w:val="24"/>
          <w:vertAlign w:val="superscript"/>
        </w:rPr>
        <w:t>8</w:t>
      </w:r>
      <w:r w:rsidR="00C35B7A" w:rsidRPr="001533EC">
        <w:rPr>
          <w:szCs w:val="24"/>
        </w:rPr>
        <w:t xml:space="preserve">Medical Clinic I, University of Lübeck, </w:t>
      </w:r>
      <w:r w:rsidR="00350693">
        <w:rPr>
          <w:szCs w:val="24"/>
        </w:rPr>
        <w:t xml:space="preserve">23562, </w:t>
      </w:r>
      <w:r w:rsidR="00C35B7A" w:rsidRPr="001533EC">
        <w:rPr>
          <w:szCs w:val="24"/>
        </w:rPr>
        <w:t>Lübeck, Germany.</w:t>
      </w:r>
    </w:p>
    <w:p w14:paraId="57C984B3" w14:textId="683E6F62" w:rsidR="00C35B7A" w:rsidRPr="001533EC" w:rsidRDefault="001C6032" w:rsidP="00C35B7A">
      <w:pPr>
        <w:spacing w:line="480" w:lineRule="auto"/>
        <w:jc w:val="both"/>
        <w:rPr>
          <w:szCs w:val="24"/>
        </w:rPr>
      </w:pPr>
      <w:r>
        <w:rPr>
          <w:szCs w:val="24"/>
          <w:vertAlign w:val="superscript"/>
        </w:rPr>
        <w:t>9</w:t>
      </w:r>
      <w:r w:rsidR="00C35B7A" w:rsidRPr="001533EC">
        <w:rPr>
          <w:szCs w:val="24"/>
        </w:rPr>
        <w:t xml:space="preserve">Max Planck Institute of Molecular Plant Physiology, Am Mühlenberg 1, 14476, Potsdam, </w:t>
      </w:r>
      <w:proofErr w:type="spellStart"/>
      <w:r w:rsidR="00C35B7A" w:rsidRPr="001533EC">
        <w:rPr>
          <w:szCs w:val="24"/>
        </w:rPr>
        <w:t>Golm</w:t>
      </w:r>
      <w:proofErr w:type="spellEnd"/>
      <w:r w:rsidR="00C35B7A" w:rsidRPr="001533EC">
        <w:rPr>
          <w:szCs w:val="24"/>
        </w:rPr>
        <w:t>, Germany.</w:t>
      </w:r>
    </w:p>
    <w:p w14:paraId="68F4AFED" w14:textId="3E43E309" w:rsidR="00C35B7A" w:rsidRPr="001533EC" w:rsidRDefault="001C6032" w:rsidP="00C35B7A">
      <w:pPr>
        <w:spacing w:line="480" w:lineRule="auto"/>
      </w:pPr>
      <w:r>
        <w:rPr>
          <w:vertAlign w:val="superscript"/>
        </w:rPr>
        <w:t>10</w:t>
      </w:r>
      <w:r w:rsidR="00C35B7A" w:rsidRPr="001533EC">
        <w:t xml:space="preserve">Institute for Clinical Chemistry and </w:t>
      </w:r>
      <w:proofErr w:type="spellStart"/>
      <w:r w:rsidR="00C35B7A" w:rsidRPr="001533EC">
        <w:t>Pathobiochemistry</w:t>
      </w:r>
      <w:proofErr w:type="spellEnd"/>
      <w:r w:rsidR="00C35B7A" w:rsidRPr="001533EC">
        <w:t>,</w:t>
      </w:r>
      <w:r w:rsidR="00C35B7A" w:rsidRPr="001533EC">
        <w:rPr>
          <w:rFonts w:hint="eastAsia"/>
        </w:rPr>
        <w:t xml:space="preserve"> </w:t>
      </w:r>
      <w:r w:rsidR="00C35B7A" w:rsidRPr="001533EC">
        <w:t xml:space="preserve">University Hospital Tübingen, </w:t>
      </w:r>
      <w:r w:rsidR="00350693">
        <w:t xml:space="preserve">72076, </w:t>
      </w:r>
      <w:r w:rsidR="00C35B7A" w:rsidRPr="001533EC">
        <w:t>Tübingen, Germany.</w:t>
      </w:r>
    </w:p>
    <w:p w14:paraId="4AA76477" w14:textId="4D69A157" w:rsidR="006E50B8" w:rsidRPr="001533EC" w:rsidRDefault="006E50B8" w:rsidP="006E50B8">
      <w:pPr>
        <w:spacing w:line="480" w:lineRule="auto"/>
        <w:jc w:val="both"/>
        <w:rPr>
          <w:szCs w:val="24"/>
        </w:rPr>
      </w:pPr>
      <w:r w:rsidRPr="001533EC">
        <w:rPr>
          <w:szCs w:val="24"/>
          <w:vertAlign w:val="superscript"/>
        </w:rPr>
        <w:t>1</w:t>
      </w:r>
      <w:r w:rsidR="001C6032">
        <w:rPr>
          <w:szCs w:val="24"/>
          <w:vertAlign w:val="superscript"/>
        </w:rPr>
        <w:t>1</w:t>
      </w:r>
      <w:r w:rsidRPr="001533EC">
        <w:rPr>
          <w:szCs w:val="24"/>
        </w:rPr>
        <w:t>Institute of Nutritional Science, University of Potsdam, Germany.</w:t>
      </w:r>
    </w:p>
    <w:p w14:paraId="0E0DFC54" w14:textId="685F74F9" w:rsidR="00C35B7A" w:rsidRPr="001533EC" w:rsidRDefault="00C23C47" w:rsidP="00C35B7A">
      <w:pPr>
        <w:spacing w:line="480" w:lineRule="auto"/>
        <w:jc w:val="both"/>
        <w:rPr>
          <w:szCs w:val="24"/>
        </w:rPr>
      </w:pPr>
      <w:r w:rsidRPr="001533EC">
        <w:rPr>
          <w:szCs w:val="24"/>
          <w:vertAlign w:val="superscript"/>
        </w:rPr>
        <w:t>1</w:t>
      </w:r>
      <w:r w:rsidR="001C6032">
        <w:rPr>
          <w:szCs w:val="24"/>
          <w:vertAlign w:val="superscript"/>
        </w:rPr>
        <w:t>2</w:t>
      </w:r>
      <w:r w:rsidR="00C35B7A" w:rsidRPr="001533EC">
        <w:rPr>
          <w:szCs w:val="24"/>
        </w:rPr>
        <w:t xml:space="preserve">Division of Endocrinology and Diabetology, Department of Internal Medicine 1, University Hospital Ulm, </w:t>
      </w:r>
      <w:r w:rsidR="00350693">
        <w:rPr>
          <w:szCs w:val="24"/>
        </w:rPr>
        <w:t xml:space="preserve">89081, </w:t>
      </w:r>
      <w:r w:rsidR="00C35B7A" w:rsidRPr="001533EC">
        <w:rPr>
          <w:szCs w:val="24"/>
        </w:rPr>
        <w:t>Ulm, Germany.</w:t>
      </w:r>
    </w:p>
    <w:p w14:paraId="1686C8B2" w14:textId="77777777" w:rsidR="00C35B7A" w:rsidRPr="001533EC" w:rsidRDefault="00C35B7A" w:rsidP="00C35B7A">
      <w:pPr>
        <w:jc w:val="both"/>
        <w:rPr>
          <w:szCs w:val="24"/>
        </w:rPr>
      </w:pPr>
      <w:r w:rsidRPr="001533EC">
        <w:rPr>
          <w:szCs w:val="24"/>
        </w:rPr>
        <w:t>Corresponding author:</w:t>
      </w:r>
    </w:p>
    <w:p w14:paraId="4BCE0F1C" w14:textId="77777777" w:rsidR="00C35B7A" w:rsidRPr="009531D0" w:rsidRDefault="00C35B7A" w:rsidP="00C35B7A">
      <w:pPr>
        <w:jc w:val="both"/>
        <w:rPr>
          <w:szCs w:val="24"/>
        </w:rPr>
      </w:pPr>
      <w:r w:rsidRPr="001533EC">
        <w:rPr>
          <w:szCs w:val="24"/>
        </w:rPr>
        <w:t>Prof. Dr.</w:t>
      </w:r>
      <w:r w:rsidRPr="009531D0">
        <w:rPr>
          <w:szCs w:val="24"/>
        </w:rPr>
        <w:t xml:space="preserve"> Annette Schürmann</w:t>
      </w:r>
    </w:p>
    <w:p w14:paraId="0375E8F1" w14:textId="311763A7" w:rsidR="004D663A" w:rsidRPr="009531D0" w:rsidRDefault="00C35B7A" w:rsidP="00C35B7A">
      <w:pPr>
        <w:pStyle w:val="KeinLeerraum"/>
        <w:spacing w:line="480" w:lineRule="auto"/>
        <w:jc w:val="both"/>
        <w:rPr>
          <w:sz w:val="20"/>
          <w:szCs w:val="20"/>
          <w:lang w:val="en-GB"/>
        </w:rPr>
      </w:pPr>
      <w:r w:rsidRPr="009531D0">
        <w:rPr>
          <w:rFonts w:ascii="Times New Roman" w:eastAsia="Calibri" w:hAnsi="Times New Roman" w:cs="Times New Roman"/>
          <w:sz w:val="20"/>
          <w:szCs w:val="20"/>
          <w:lang w:val="en-US"/>
        </w:rPr>
        <w:t xml:space="preserve">Email: </w:t>
      </w:r>
      <w:hyperlink r:id="rId11" w:history="1">
        <w:r w:rsidRPr="009531D0">
          <w:rPr>
            <w:rStyle w:val="Hyperlink"/>
            <w:rFonts w:ascii="Times New Roman" w:eastAsia="Calibri" w:hAnsi="Times New Roman" w:cs="Times New Roman"/>
            <w:color w:val="auto"/>
            <w:sz w:val="20"/>
            <w:szCs w:val="20"/>
            <w:u w:val="none"/>
            <w:lang w:val="en-US"/>
          </w:rPr>
          <w:t>schuermann@dife.de</w:t>
        </w:r>
      </w:hyperlink>
    </w:p>
    <w:p w14:paraId="42790BA6" w14:textId="5E430FE1" w:rsidR="004D663A" w:rsidRPr="00821E32" w:rsidRDefault="004D663A" w:rsidP="00C35B7A">
      <w:pPr>
        <w:pStyle w:val="KeinLeerraum"/>
        <w:spacing w:line="480" w:lineRule="auto"/>
        <w:jc w:val="both"/>
        <w:rPr>
          <w:b/>
          <w:bCs/>
          <w:lang w:val="en-GB"/>
        </w:rPr>
      </w:pPr>
      <w:r w:rsidRPr="00821E32">
        <w:rPr>
          <w:b/>
          <w:bCs/>
          <w:lang w:val="en-GB"/>
        </w:rPr>
        <w:t>Overline: METABOLISM</w:t>
      </w:r>
    </w:p>
    <w:p w14:paraId="22F8FA2D" w14:textId="5431CE15" w:rsidR="004D663A" w:rsidRPr="001533EC" w:rsidRDefault="004D663A" w:rsidP="004D663A">
      <w:pPr>
        <w:rPr>
          <w:sz w:val="24"/>
          <w:szCs w:val="24"/>
        </w:rPr>
      </w:pPr>
      <w:r>
        <w:rPr>
          <w:b/>
          <w:sz w:val="24"/>
          <w:szCs w:val="24"/>
        </w:rPr>
        <w:t xml:space="preserve">One-sentence </w:t>
      </w:r>
      <w:r w:rsidRPr="001533EC">
        <w:rPr>
          <w:b/>
          <w:sz w:val="24"/>
          <w:szCs w:val="24"/>
        </w:rPr>
        <w:t xml:space="preserve">Summary: </w:t>
      </w:r>
      <w:r>
        <w:rPr>
          <w:sz w:val="24"/>
          <w:szCs w:val="24"/>
        </w:rPr>
        <w:t>B</w:t>
      </w:r>
      <w:r w:rsidRPr="001533EC">
        <w:rPr>
          <w:sz w:val="24"/>
          <w:szCs w:val="24"/>
        </w:rPr>
        <w:t xml:space="preserve">lood-based epigenetic signatures </w:t>
      </w:r>
      <w:r w:rsidRPr="001533EC">
        <w:rPr>
          <w:sz w:val="24"/>
          <w:szCs w:val="24"/>
          <w:lang w:val="en-GB"/>
        </w:rPr>
        <w:t xml:space="preserve">distinguish between </w:t>
      </w:r>
      <w:r w:rsidRPr="001533EC">
        <w:rPr>
          <w:sz w:val="24"/>
          <w:szCs w:val="24"/>
        </w:rPr>
        <w:t>individuals with and without brain insulin resistance</w:t>
      </w:r>
      <w:r w:rsidR="00DA3C49">
        <w:rPr>
          <w:sz w:val="24"/>
          <w:szCs w:val="24"/>
        </w:rPr>
        <w:t xml:space="preserve"> </w:t>
      </w:r>
      <w:r w:rsidR="009D4430">
        <w:rPr>
          <w:sz w:val="24"/>
          <w:szCs w:val="24"/>
        </w:rPr>
        <w:t>across</w:t>
      </w:r>
      <w:r w:rsidR="00DA3C49">
        <w:rPr>
          <w:sz w:val="24"/>
          <w:szCs w:val="24"/>
        </w:rPr>
        <w:t xml:space="preserve"> multiple cohorts</w:t>
      </w:r>
      <w:r w:rsidRPr="001533EC">
        <w:rPr>
          <w:sz w:val="24"/>
          <w:szCs w:val="24"/>
        </w:rPr>
        <w:t>.</w:t>
      </w:r>
    </w:p>
    <w:p w14:paraId="30921779" w14:textId="77777777" w:rsidR="004D663A" w:rsidRPr="001533EC" w:rsidRDefault="004D663A" w:rsidP="00C35B7A">
      <w:pPr>
        <w:pStyle w:val="KeinLeerraum"/>
        <w:spacing w:line="480" w:lineRule="auto"/>
        <w:jc w:val="both"/>
        <w:rPr>
          <w:rFonts w:ascii="Times New Roman" w:eastAsia="Calibri" w:hAnsi="Times New Roman" w:cs="Times New Roman"/>
          <w:szCs w:val="24"/>
          <w:lang w:val="en-US"/>
        </w:rPr>
      </w:pPr>
    </w:p>
    <w:p w14:paraId="7BBFBE42" w14:textId="77777777" w:rsidR="00C35B7A" w:rsidRDefault="00C35B7A" w:rsidP="00C35B7A">
      <w:pPr>
        <w:jc w:val="both"/>
        <w:rPr>
          <w:sz w:val="24"/>
          <w:szCs w:val="24"/>
        </w:rPr>
      </w:pPr>
    </w:p>
    <w:p w14:paraId="690D7027" w14:textId="77777777" w:rsidR="00F13741" w:rsidRDefault="00F13741" w:rsidP="00C35B7A">
      <w:pPr>
        <w:spacing w:line="480" w:lineRule="auto"/>
        <w:jc w:val="both"/>
        <w:rPr>
          <w:sz w:val="24"/>
          <w:szCs w:val="24"/>
        </w:rPr>
      </w:pPr>
    </w:p>
    <w:p w14:paraId="0EEDCE2F" w14:textId="77777777" w:rsidR="00F13741" w:rsidRDefault="00F13741" w:rsidP="00C35B7A">
      <w:pPr>
        <w:spacing w:line="480" w:lineRule="auto"/>
        <w:jc w:val="both"/>
        <w:rPr>
          <w:b/>
          <w:sz w:val="24"/>
          <w:szCs w:val="24"/>
        </w:rPr>
      </w:pPr>
    </w:p>
    <w:p w14:paraId="1EA5F69C" w14:textId="77777777" w:rsidR="00F13741" w:rsidRDefault="00F13741" w:rsidP="00C35B7A">
      <w:pPr>
        <w:spacing w:line="480" w:lineRule="auto"/>
        <w:jc w:val="both"/>
        <w:rPr>
          <w:b/>
          <w:sz w:val="24"/>
          <w:szCs w:val="24"/>
        </w:rPr>
      </w:pPr>
    </w:p>
    <w:p w14:paraId="7E97E3D2" w14:textId="77777777" w:rsidR="00F13741" w:rsidRDefault="00F13741" w:rsidP="00C35B7A">
      <w:pPr>
        <w:spacing w:line="480" w:lineRule="auto"/>
        <w:jc w:val="both"/>
        <w:rPr>
          <w:b/>
          <w:sz w:val="24"/>
          <w:szCs w:val="24"/>
        </w:rPr>
      </w:pPr>
    </w:p>
    <w:p w14:paraId="04A03D9F" w14:textId="247383E6" w:rsidR="00C35B7A" w:rsidRPr="001533EC" w:rsidRDefault="00C35B7A" w:rsidP="00C35B7A">
      <w:pPr>
        <w:spacing w:line="480" w:lineRule="auto"/>
        <w:jc w:val="both"/>
        <w:rPr>
          <w:sz w:val="24"/>
          <w:szCs w:val="24"/>
        </w:rPr>
      </w:pPr>
      <w:r w:rsidRPr="001533EC">
        <w:rPr>
          <w:b/>
          <w:sz w:val="24"/>
          <w:szCs w:val="24"/>
        </w:rPr>
        <w:t xml:space="preserve">ABSTRACT </w:t>
      </w:r>
    </w:p>
    <w:p w14:paraId="0F9FD331" w14:textId="66617F66" w:rsidR="00C35B7A" w:rsidRPr="001533EC" w:rsidRDefault="00C35B7A" w:rsidP="00C35B7A">
      <w:pPr>
        <w:spacing w:line="480" w:lineRule="auto"/>
        <w:jc w:val="both"/>
        <w:rPr>
          <w:sz w:val="24"/>
          <w:szCs w:val="24"/>
          <w:lang w:val="en-GB"/>
        </w:rPr>
      </w:pPr>
      <w:bookmarkStart w:id="1" w:name="_Hlk195699974"/>
      <w:r w:rsidRPr="001533EC">
        <w:rPr>
          <w:sz w:val="24"/>
          <w:szCs w:val="24"/>
        </w:rPr>
        <w:t xml:space="preserve">Brain insulin action plays an important role in metabolic and cognitive health but so far there is no biomarker available to assess brain insulin resistance in humans. Here, we developed a machine learning framework based on blood DNA methylation profiles of participants </w:t>
      </w:r>
      <w:r w:rsidR="009C65E7">
        <w:rPr>
          <w:sz w:val="24"/>
          <w:szCs w:val="24"/>
        </w:rPr>
        <w:t xml:space="preserve">who did not have type 2 diabetes </w:t>
      </w:r>
      <w:r w:rsidRPr="001533EC">
        <w:rPr>
          <w:sz w:val="24"/>
          <w:szCs w:val="24"/>
        </w:rPr>
        <w:t>with and without brain insulin resistance and detailed metabolic phenotyping.</w:t>
      </w:r>
      <w:r w:rsidR="00D27313">
        <w:rPr>
          <w:sz w:val="24"/>
          <w:szCs w:val="24"/>
        </w:rPr>
        <w:t xml:space="preserve"> </w:t>
      </w:r>
      <w:r w:rsidRPr="001533EC">
        <w:rPr>
          <w:sz w:val="24"/>
          <w:szCs w:val="24"/>
        </w:rPr>
        <w:t>We identified 540 DNA methylation sites (</w:t>
      </w:r>
      <w:proofErr w:type="spellStart"/>
      <w:r w:rsidRPr="001533EC">
        <w:rPr>
          <w:sz w:val="24"/>
          <w:szCs w:val="24"/>
        </w:rPr>
        <w:t>CpGs</w:t>
      </w:r>
      <w:proofErr w:type="spellEnd"/>
      <w:r w:rsidRPr="001533EC">
        <w:rPr>
          <w:sz w:val="24"/>
          <w:szCs w:val="24"/>
        </w:rPr>
        <w:t xml:space="preserve">) as </w:t>
      </w:r>
      <w:r w:rsidR="006E50B8" w:rsidRPr="001533EC">
        <w:rPr>
          <w:sz w:val="24"/>
          <w:szCs w:val="24"/>
        </w:rPr>
        <w:t>classifiers</w:t>
      </w:r>
      <w:r w:rsidRPr="001533EC">
        <w:rPr>
          <w:sz w:val="24"/>
          <w:szCs w:val="24"/>
        </w:rPr>
        <w:t xml:space="preserve"> of brain insulin resistance in a discovery cohort</w:t>
      </w:r>
      <w:r w:rsidR="00652F66">
        <w:rPr>
          <w:sz w:val="24"/>
          <w:szCs w:val="24"/>
        </w:rPr>
        <w:t xml:space="preserve"> (n = 167)</w:t>
      </w:r>
      <w:r w:rsidR="005016C0" w:rsidRPr="001533EC">
        <w:rPr>
          <w:sz w:val="24"/>
          <w:szCs w:val="24"/>
        </w:rPr>
        <w:t>, results</w:t>
      </w:r>
      <w:r w:rsidRPr="001533EC">
        <w:rPr>
          <w:sz w:val="24"/>
          <w:szCs w:val="24"/>
        </w:rPr>
        <w:t xml:space="preserve"> that were validated in two replication cohorts</w:t>
      </w:r>
      <w:r w:rsidR="00652F66">
        <w:rPr>
          <w:sz w:val="24"/>
          <w:szCs w:val="24"/>
        </w:rPr>
        <w:t xml:space="preserve"> (n = 33 &amp; 24)</w:t>
      </w:r>
      <w:r w:rsidRPr="001533EC">
        <w:rPr>
          <w:sz w:val="24"/>
          <w:szCs w:val="24"/>
        </w:rPr>
        <w:t xml:space="preserve"> with high accuracy (83%-94%). All 540 </w:t>
      </w:r>
      <w:proofErr w:type="spellStart"/>
      <w:r w:rsidRPr="001533EC">
        <w:rPr>
          <w:sz w:val="24"/>
          <w:szCs w:val="24"/>
        </w:rPr>
        <w:t>CpGs</w:t>
      </w:r>
      <w:proofErr w:type="spellEnd"/>
      <w:r w:rsidRPr="001533EC">
        <w:rPr>
          <w:sz w:val="24"/>
          <w:szCs w:val="24"/>
        </w:rPr>
        <w:t xml:space="preserve">, were differentially methylated and annotated to 445 genes mapping to neuronal development and </w:t>
      </w:r>
      <w:proofErr w:type="spellStart"/>
      <w:r w:rsidRPr="001533EC">
        <w:rPr>
          <w:sz w:val="24"/>
          <w:szCs w:val="24"/>
        </w:rPr>
        <w:t>axonogenesis</w:t>
      </w:r>
      <w:proofErr w:type="spellEnd"/>
      <w:r w:rsidRPr="001533EC">
        <w:rPr>
          <w:sz w:val="24"/>
          <w:szCs w:val="24"/>
        </w:rPr>
        <w:t xml:space="preserve"> processes. Of note, methylation </w:t>
      </w:r>
      <w:r w:rsidR="005F0A5C" w:rsidRPr="001533EC">
        <w:rPr>
          <w:sz w:val="24"/>
          <w:szCs w:val="24"/>
        </w:rPr>
        <w:t xml:space="preserve">patterns </w:t>
      </w:r>
      <w:r w:rsidRPr="001533EC">
        <w:rPr>
          <w:sz w:val="24"/>
          <w:szCs w:val="24"/>
        </w:rPr>
        <w:t xml:space="preserve">of 98 out of 540 </w:t>
      </w:r>
      <w:proofErr w:type="spellStart"/>
      <w:r w:rsidRPr="001533EC">
        <w:rPr>
          <w:sz w:val="24"/>
          <w:szCs w:val="24"/>
        </w:rPr>
        <w:t>CpGs</w:t>
      </w:r>
      <w:proofErr w:type="spellEnd"/>
      <w:r w:rsidRPr="001533EC">
        <w:rPr>
          <w:sz w:val="24"/>
          <w:szCs w:val="24"/>
        </w:rPr>
        <w:t xml:space="preserve"> exhibit</w:t>
      </w:r>
      <w:r w:rsidR="00D27313">
        <w:rPr>
          <w:sz w:val="24"/>
          <w:szCs w:val="24"/>
        </w:rPr>
        <w:t>ed</w:t>
      </w:r>
      <w:r w:rsidRPr="001533EC">
        <w:rPr>
          <w:sz w:val="24"/>
          <w:szCs w:val="24"/>
        </w:rPr>
        <w:t xml:space="preserve"> a strong and significant </w:t>
      </w:r>
      <w:r w:rsidR="00652F66">
        <w:rPr>
          <w:sz w:val="24"/>
          <w:szCs w:val="24"/>
        </w:rPr>
        <w:t>(</w:t>
      </w:r>
      <w:r w:rsidR="00487061">
        <w:rPr>
          <w:sz w:val="24"/>
          <w:szCs w:val="24"/>
        </w:rPr>
        <w:t>P</w:t>
      </w:r>
      <w:r w:rsidR="00652F66">
        <w:rPr>
          <w:sz w:val="24"/>
          <w:szCs w:val="24"/>
        </w:rPr>
        <w:t xml:space="preserve"> &lt; 0.05) </w:t>
      </w:r>
      <w:r w:rsidRPr="001533EC">
        <w:rPr>
          <w:sz w:val="24"/>
          <w:szCs w:val="24"/>
        </w:rPr>
        <w:t>blood-brain correlation, indicating that blood cells are a reliable proxy to capture brain-specific DNA methylation changes.</w:t>
      </w:r>
      <w:r w:rsidR="00D27313">
        <w:rPr>
          <w:sz w:val="24"/>
          <w:szCs w:val="24"/>
        </w:rPr>
        <w:t xml:space="preserve"> </w:t>
      </w:r>
      <w:r w:rsidRPr="001533EC">
        <w:rPr>
          <w:sz w:val="24"/>
          <w:szCs w:val="24"/>
        </w:rPr>
        <w:t>T</w:t>
      </w:r>
      <w:proofErr w:type="spellStart"/>
      <w:r w:rsidRPr="001533EC">
        <w:rPr>
          <w:sz w:val="24"/>
          <w:szCs w:val="24"/>
          <w:lang w:val="en-GB"/>
        </w:rPr>
        <w:t>hese</w:t>
      </w:r>
      <w:proofErr w:type="spellEnd"/>
      <w:r w:rsidRPr="001533EC">
        <w:rPr>
          <w:sz w:val="24"/>
          <w:szCs w:val="24"/>
          <w:lang w:val="en-GB"/>
        </w:rPr>
        <w:t xml:space="preserve"> blood-based epigenetic sign</w:t>
      </w:r>
      <w:r w:rsidR="00991B3C" w:rsidRPr="001533EC">
        <w:rPr>
          <w:sz w:val="24"/>
          <w:szCs w:val="24"/>
          <w:lang w:val="en-GB"/>
        </w:rPr>
        <w:t>a</w:t>
      </w:r>
      <w:r w:rsidRPr="001533EC">
        <w:rPr>
          <w:sz w:val="24"/>
          <w:szCs w:val="24"/>
          <w:lang w:val="en-GB"/>
        </w:rPr>
        <w:t xml:space="preserve">tures could </w:t>
      </w:r>
      <w:r w:rsidR="009A4702">
        <w:rPr>
          <w:sz w:val="24"/>
          <w:szCs w:val="24"/>
          <w:lang w:val="en-GB"/>
        </w:rPr>
        <w:t xml:space="preserve">potentially </w:t>
      </w:r>
      <w:r w:rsidRPr="001533EC">
        <w:rPr>
          <w:sz w:val="24"/>
          <w:szCs w:val="24"/>
          <w:lang w:val="en-GB"/>
        </w:rPr>
        <w:t>serve in the future for the early detection of individuals with brain insulin resistance in a broad clinical setting.</w:t>
      </w:r>
      <w:bookmarkEnd w:id="1"/>
    </w:p>
    <w:p w14:paraId="0175A70B" w14:textId="77777777" w:rsidR="00C35B7A" w:rsidRPr="001533EC" w:rsidRDefault="00C35B7A" w:rsidP="00C35B7A">
      <w:pPr>
        <w:spacing w:line="480" w:lineRule="auto"/>
        <w:jc w:val="both"/>
        <w:rPr>
          <w:sz w:val="24"/>
          <w:szCs w:val="24"/>
        </w:rPr>
      </w:pPr>
    </w:p>
    <w:p w14:paraId="6B6D209A" w14:textId="66C4DB9E" w:rsidR="00EF12B6" w:rsidRPr="001533EC" w:rsidRDefault="00EF12B6">
      <w:pPr>
        <w:rPr>
          <w:sz w:val="24"/>
          <w:szCs w:val="24"/>
        </w:rPr>
      </w:pPr>
      <w:r w:rsidRPr="001533EC">
        <w:rPr>
          <w:sz w:val="24"/>
          <w:szCs w:val="24"/>
        </w:rPr>
        <w:br w:type="page"/>
      </w:r>
    </w:p>
    <w:p w14:paraId="60007676" w14:textId="77777777" w:rsidR="00C35B7A" w:rsidRPr="001533EC" w:rsidRDefault="00C35B7A" w:rsidP="00C35B7A">
      <w:pPr>
        <w:spacing w:line="480" w:lineRule="auto"/>
        <w:jc w:val="both"/>
        <w:rPr>
          <w:b/>
          <w:sz w:val="24"/>
          <w:szCs w:val="24"/>
        </w:rPr>
      </w:pPr>
      <w:r w:rsidRPr="001533EC">
        <w:rPr>
          <w:b/>
          <w:sz w:val="24"/>
          <w:szCs w:val="24"/>
        </w:rPr>
        <w:lastRenderedPageBreak/>
        <w:t>INTRODUCTION</w:t>
      </w:r>
    </w:p>
    <w:p w14:paraId="0CCD6EFD" w14:textId="1189D9A9" w:rsidR="00C35B7A" w:rsidRPr="001533EC" w:rsidRDefault="00C35B7A" w:rsidP="00C35B7A">
      <w:pPr>
        <w:spacing w:line="480" w:lineRule="auto"/>
        <w:jc w:val="both"/>
        <w:rPr>
          <w:sz w:val="24"/>
          <w:szCs w:val="24"/>
        </w:rPr>
      </w:pPr>
      <w:r w:rsidRPr="001533EC">
        <w:rPr>
          <w:sz w:val="24"/>
          <w:szCs w:val="24"/>
        </w:rPr>
        <w:t>Insulin not only regulate</w:t>
      </w:r>
      <w:r w:rsidR="0080432F">
        <w:rPr>
          <w:sz w:val="24"/>
          <w:szCs w:val="24"/>
        </w:rPr>
        <w:t>s</w:t>
      </w:r>
      <w:r w:rsidRPr="001533EC">
        <w:rPr>
          <w:sz w:val="24"/>
          <w:szCs w:val="24"/>
        </w:rPr>
        <w:t xml:space="preserve"> glucose homeostasis, but is also necessary for the cognitive, synaptic, vascular, and metabolic health of the human brain</w:t>
      </w:r>
      <w:r w:rsidR="00A257D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{"citationItems":[{"id":"ITEM-1","itemData":{"DOI":"10.1152/ajpendo.00642.2020","ISSN":"0193-1849","abstract":"The brain has been traditionally thought to be insensitive to insulin, primarily because insulin does not stimulate glucose uptake/metabolism in the brain (as it does in classic insulin-sensitive tissues such as muscle, liver, and fat). However, over the past 20?years, research in this field has identified unique actions of insulin in the brain. There is accumulating evidence that insulin crosses into the brain and regulates central nervous system functions such as feeding, depression, and cognitive behavior. In addition, insulin acts in the brain to regulate systemic functions such as hepatic glucose production, lipolysis, lipogenesis, reproductive competence, and the sympathoadrenal response to hypoglycemia. Decrements in brain insulin action (or brain insulin resistance) can be observed in obesity, type 2 diabetes (T2DM), aging, and Alzheimer?s disease (AD), indicating a possible link between metabolic and cognitive health. Here, we describe recent findings on the pleiotropic actions of insulin in the brain and highlight the precise sites, specific neuronal population, and roles for supportive astrocytic cells through which insulin acts in the brain. In addition, we also discuss how boosting brain insulin action could be a therapeutic option for people at an increased risk of developing metabolic and cognitive diseases such as AD and T2DM. Overall, this perspective article serves to highlight some of these key scientific findings, identify unresolved issues, and indicate future directions of research in this field that would serve to improve the lives of people with metabolic and cognitive dysfunctions.","author":[{"dropping-particle":"","family":"Agrawal","given":"Rahul","non-dropping-particle":"","parse-names":false,"suffix":""},{"dropping-particle":"","family":"Reno","given":"Candace M","non-dropping-particle":"","parse-names":false,"suffix":""},{"dropping-particle":"","family":"Sharma","given":"Sunny","non-dropping-particle":"","parse-names":false,"suffix":""},{"dropping-particle":"","family":"Christensen","given":"Camille","non-dropping-particle":"","parse-names":false,"suffix":""},{"dropping-particle":"","family":"Huang","given":"Yiqing","non-dropping-particle":"","parse-names":false,"suffix":""},{"dropping-particle":"","family":"Fisher","given":"Simon J","non-dropping-particle":"","parse-names":false,"suffix":""}],"container-title":"American Journal of Physiology-Endocrinology and Metabolism","id":"ITEM-1","issue":"1","issued":{"date-parts":[["2021","5","31"]]},"page":"E156-E163","publisher":"American Physiological Society","title":"Insulin action in the brain regulates both central and peripheral functions","type":"article-journal","volume":"321"},"uris":["http://www.mendeley.com/documents/?uuid=c355ebeb-1ad9-3324-b945-0cdaf1501d32"]}],"mendeley":{"formattedCitation":"&lt;i&gt;(1)&lt;/i&gt;","plainTextFormattedCitation":"(1)","previouslyFormattedCitation":"&lt;i&gt;(1)&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(1)</w:t>
      </w:r>
      <w:r w:rsidR="00122188" w:rsidRPr="001533EC">
        <w:rPr>
          <w:rStyle w:val="Funotenzeichen"/>
          <w:sz w:val="24"/>
          <w:szCs w:val="24"/>
        </w:rPr>
        <w:fldChar w:fldCharType="end"/>
      </w:r>
      <w:r w:rsidRPr="001533EC">
        <w:rPr>
          <w:sz w:val="24"/>
          <w:szCs w:val="24"/>
        </w:rPr>
        <w:t xml:space="preserve">. Even though insulin does not stimulate glucose uptake in the brain, it plays an indispensable role in the brain </w:t>
      </w:r>
      <w:r w:rsidR="00212807">
        <w:rPr>
          <w:sz w:val="24"/>
          <w:szCs w:val="24"/>
        </w:rPr>
        <w:t>in maintaining</w:t>
      </w:r>
      <w:r w:rsidRPr="001533EC">
        <w:rPr>
          <w:sz w:val="24"/>
          <w:szCs w:val="24"/>
        </w:rPr>
        <w:t xml:space="preserve"> systemic glucose and energy homeostasis</w:t>
      </w:r>
      <w:r w:rsidR="00A257D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{"citationItems":[{"id":"ITEM-1","itemData":{"DOI":"10.3389/fendo.2022.873301","ISSN":"1664-2392 (Print)","PMID":"35615716","abstract":"Several neurological diseases share pathological alterations, even though they  differ in their etiology. Neuroinflammation, altered brain glucose metabolism, oxidative stress, mitochondrial dysfunction and amyloidosis are biological events found in those neurological disorders. Altered insulin-mediated signaling and brain glucose hypometabolism are characteristic signs observed in the brains of patients with certain neurological diseases, but also others such as type 2 diabetes mellitus and vascular diseases. Thus, significant reductions in insulin receptor autophosphorylation and Akt kinase activity, and increased GSK-3 activity and insulin resistance, have been reported in these neurological diseases as contributing to the decline in cognitive function. Supporting this relationship is the fact that nasal and hippocampal insulin administration has been found to improve cognitive function. Additionally, brain glucose hypometabolism precedes the unmistakable clinical manifestations of some of these diseases by years, which may become a useful early biomarker. Deficiencies in the major pathways of oxidative energy metabolism have been reported in patients with several of these neurological diseases, which supports the hypothesis of their metabolic background. This review remarks on the significance of insulin and brain glucose metabolism alterations as keystone common pathogenic substrates for certain neurological diseases, highlighting new potential targets.","author":[{"dropping-particle":"","family":"Blázquez","given":"Enrique","non-dropping-particle":"","parse-names":false,"suffix":""},{"dropping-particle":"","family":"Hurtado-Carneiro","given":"Verónica","non-dropping-particle":"","parse-names":false,"suffix":""},{"dropping-particle":"","family":"LeBaut-Ayuso","given":"Yannick","non-dropping-particle":"","parse-names":false,"suffix":""},{"dropping-particle":"","family":"Velázquez","given":"Esther","non-dropping-particle":"","parse-names":false,"suffix":""},{"dropping-particle":"","family":"García-García","given":"Luis","non-dropping-particle":"","parse-names":false,"suffix":""},{"dropping-particle":"","family":"Gómez-Oliver","given":"Francisca","non-dropping-particle":"","parse-names":false,"suffix":""},{"dropping-particle":"","family":"Ruiz-Albusac","given":"Juan Miguel","non-dropping-particle":"","parse-names":false,"suffix":""},{"dropping-particle":"","family":"Ávila","given":"Jesús","non-dropping-particle":"","parse-names":false,"suffix":""},{"dropping-particle":"","family":"Pozo","given":"Miguel Ángel","non-dropping-particle":"","parse-names":false,"suffix":""}],"container-title":"Frontiers in endocrinology","id":"ITEM-1","issued":{"date-parts":[["2022"]]},"language":"eng","page":"873301","publisher-place":"Switzerland","title":"Significance of Brain Glucose Hypometabolism, Altered Insulin Signal  Transduction, and Insulin Resistance in Several Neurological Diseases.","type":"article-journal","volume":"13"},"uris":["http://www.mendeley.com/documents/?uuid=38836a75-a1ae-3365-8591-34dad7dae0ae"]}],"mendeley":{"formattedCitation":"&lt;i&gt;(2)&lt;/i&gt;","plainTextFormattedCitation":"(2)","previouslyFormattedCitation":"&lt;i&gt;(2)&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w:t>
      </w:r>
      <w:r w:rsidR="00122188" w:rsidRPr="001533EC">
        <w:rPr>
          <w:rStyle w:val="Funotenzeichen"/>
          <w:sz w:val="24"/>
          <w:szCs w:val="24"/>
        </w:rPr>
        <w:fldChar w:fldCharType="end"/>
      </w:r>
      <w:r w:rsidRPr="001533EC">
        <w:rPr>
          <w:sz w:val="24"/>
          <w:szCs w:val="24"/>
        </w:rPr>
        <w:t xml:space="preserve">. </w:t>
      </w:r>
      <w:r w:rsidR="00162913" w:rsidRPr="001533EC">
        <w:rPr>
          <w:sz w:val="24"/>
          <w:szCs w:val="24"/>
        </w:rPr>
        <w:t>B</w:t>
      </w:r>
      <w:r w:rsidRPr="001533EC">
        <w:rPr>
          <w:sz w:val="24"/>
          <w:szCs w:val="24"/>
        </w:rPr>
        <w:t xml:space="preserve">rain insulin </w:t>
      </w:r>
      <w:r w:rsidR="00162913" w:rsidRPr="001533EC">
        <w:rPr>
          <w:sz w:val="24"/>
          <w:szCs w:val="24"/>
        </w:rPr>
        <w:t xml:space="preserve">action </w:t>
      </w:r>
      <w:r w:rsidRPr="001533EC">
        <w:rPr>
          <w:sz w:val="24"/>
          <w:szCs w:val="24"/>
        </w:rPr>
        <w:t xml:space="preserve">also contributes to the homeostatic regulation of body weight, body fat content, and calorie intake, with brain insulin resistance being involved in metabolic and cognitive disorders, including obesity, depression, and </w:t>
      </w:r>
      <w:r w:rsidRPr="001533EC">
        <w:rPr>
          <w:noProof/>
          <w:sz w:val="24"/>
          <w:szCs w:val="24"/>
        </w:rPr>
        <w:t>Alzheimer’s disease</w:t>
      </w:r>
      <w:r w:rsidR="00A257DF" w:rsidRPr="001533EC">
        <w:rPr>
          <w:noProof/>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{"citationItems":[{"id":"ITEM-1","itemData":{"DOI":"10.1152/physrev.00032.2015","ISSN":"1522-1210 (Electronic)","PMID":"27489306","abstract":"Ever since the brain was identified as an insulin-sensitive organ, evidence has  rapidly accumulated that insulin action in the brain produces multiple behavioral and metabolic effects, influencing eating behavior, peripheral metabolism, and cognition. Disturbances in brain insulin action can be observed in obesity and type 2 diabetes (T2D), as well as in aging and dementia. Decreases in insulin sensitivity of central nervous pathways, i.e., brain insulin resistance, may therefore constitute a joint pathological feature of metabolic and cognitive dysfunctions. Modern neuroimaging methods have provided new means of probing brain insulin action, revealing the influence of insulin on both global and regional brain function. In this review, we highlight recent findings on brain insulin action in humans and its impact on metabolism and cognition. Furthermore, we elaborate on the most prominent factors associated with brain insulin resistance, i.e., obesity, T2D, genes, maternal metabolism, normal aging, inflammation, and dementia, and on their roles regarding causes and consequences of brain insulin resistance. We also describe the beneficial effects of enhanced brain insulin signaling on human eating behavior and cognition and discuss potential applications in the treatment of metabolic and cognitive disorders.","author":[{"dropping-particle":"","family":"Kullmann","given":"Stephanie","non-dropping-particle":"","parse-names":false,"suffix":""},{"dropping-particle":"","family":"Heni","given":"Martin","non-dropping-particle":"","parse-names":false,"suffix":""},{"dropping-particle":"","family":"Hallschmid","given":"Manfred","non-dropping-particle":"","parse-names":false,"suffix":""},{"dropping-particle":"","family":"Fritsche","given":"Andreas","non-dropping-particle":"","parse-names":false,"suffix":""},{"dropping-particle":"","family":"Preissl","given":"Hubert","non-dropping-particle":"","parse-names":false,"suffix":""},{"dropping-particle":"","family":"Häring","given":"Hans-Ulrich","non-dropping-particle":"","parse-names":false,"suffix":""}],"container-title":"Physiological reviews","id":"ITEM-1","issue":"4","issued":{"date-parts":[["2016","10"]]},"language":"eng","page":"1169-1209","publisher-place":"United States","title":"Brain Insulin Resistance at the Crossroads of Metabolic and Cognitive Disorders  in Humans.","type":"article-journal","volume":"96"},"uris":["http://www.mendeley.com/documents/?uuid=1846355e-15ee-3647-8b02-c6b364efacb8"]},{"id":"ITEM-2","itemData":{"DOI":"https://doi.org/10.1016/j.tins.2022.03.001","ISSN":"0166-2236","abstract":"Since its discovery over 100 years ago, insulin has been recognized as a key hormone in control of glucose homeostasis. Deficiencies of insulin signaling are central to diabetes and many other disorders. The brain is among the targets of insulin action, and insulin resistance is a major contributor to many diseases, including brain disorders. Here, we summarize key roles of insulin action in the brain and how this involves different brain cell types. Disordered brain insulin signaling can also contribute to neuropsychiatric diseases, affecting brain circuits involved in mood and cognition. Understanding of insulin signaling in different brain cell types/circuits and how these are altered in disease may lead to the development of new therapeutic approaches to these challenging disorders.","author":[{"dropping-particle":"","family":"Chen","given":"Wenqiang","non-dropping-particle":"","parse-names":false,"suffix":""},{"dropping-particle":"","family":"Cai","given":"Weikang","non-dropping-particle":"","parse-names":false,"suffix":""},{"dropping-particle":"","family":"Hoover","given":"Benjamin","non-dropping-particle":"","parse-names":false,"suffix":""},{"dropping-particle":"","family":"Kahn","given":"C Ronald","non-dropping-particle":"","parse-names":false,"suffix":""}],"container-title":"Trends in Neurosciences","id":"ITEM-2","issue":"5","issued":{"date-parts":[["2022"]]},"page":"384-400","title":"Insulin action in the brain: cell types, circuits, and diseases","type":"article-journal","volume":"45"},"uris":["http://www.mendeley.com/documents/?uuid=839e9b3b-b0dd-3a4a-b4ac-3d02d9c26306"]},{"id":"ITEM-3","itemData":{"DOI":"10.14336/AD.2023.0814","ISSN":"2152-5250 (Electronic)","PMID":"37611907","abstract":"Type 2 diabetes mellitus (T2DM) is common and increasing in prevalence worldwide,  with devastating public health consequences. While peripheral insulin resistance is a key feature of most forms of T2DM and has been investigated for over a century, research on brain insulin resistance (BIR) has more recently been developed, including in the context of T2DM and non-diabetes states. Recent data support the presence of BIR in the aging brain, even in non-diabetes states, and found that BIR may be a feature in Alzheimer's disease (AD) and contributes to cognitive impairment. Further, therapies used to treat T2DM are now being investigated in the context of AD treatment and prevention, including insulin. In this review, we offer a definition of BIR, and present evidence for BIR in AD; we discuss the expression, function, and activation of the insulin receptor (INSR) in the brain; how BIR could develop; tools to study BIR; how BIR correlates with current AD hallmarks; and regional/cellular involvement of BIR. We close with a discussion on resilience to both BIR and AD, how current tools can be improved to better understand BIR, and future avenues for research. Overall, this review and position paper highlights BIR as a plausible therapeutic target for the prevention of cognitive decline and dementia due to AD.","author":[{"dropping-particle":"","family":"Rhea","given":"Elizabeth M","non-dropping-particle":"","parse-names":false,"suffix":""},{"dropping-particle":"","family":"Leclerc","given":"Manon","non-dropping-particle":"","parse-names":false,"suffix":""},{"dropping-particle":"","family":"Yassine","given":"Hussein N","non-dropping-particle":"","parse-names":false,"suffix":""},{"dropping-particle":"","family":"Capuano","given":"Ana W","non-dropping-particle":"","parse-names":false,"suffix":""},{"dropping-particle":"","family":"Tong","given":"Han","non-dropping-particle":"","parse-names":false,"suffix":""},{"dropping-particle":"","family":"Petyuk","given":"Vladislav A","non-dropping-particle":"","parse-names":false,"suffix":""},{"dropping-particle":"","family":"Macauley","given":"Shannon L","non-dropping-particle":"","parse-names":false,"suffix":""},{"dropping-particle":"","family":"Fioramonti","given":"Xavier","non-dropping-particle":"","parse-names":false,"suffix":""},{"dropping-particle":"","family":"Carmichael","given":"Owen","non-dropping-particle":"","parse-names":false,"suffix":""},{"dropping-particle":"","family":"Calon","given":"Frederic","non-dropping-particle":"","parse-names":false,"suffix":""},{"dropping-particle":"","family":"Arvanitakis","given":"Zoe","non-dropping-particle":"","parse-names":false,"suffix":""}],"container-title":"Aging and disease","id":"ITEM-3","issue":"4","issued":{"date-parts":[["2024","8"]]},"language":"eng","page":"1688-1725","publisher-place":"United States","title":"State of the Science on Brain Insulin Resistance and Cognitive Decline Due to  Alzheimer's Disease.","type":"article-journal","volume":"15"},"uris":["http://www.mendeley.com/documents/?uuid=bd465314-77f2-48cb-b5c1-15b7cf46dce9"]}],"mendeley":{"formattedCitation":"&lt;i&gt;(3–5)&lt;/i&gt;","plainTextFormattedCitation":"(3–5)","previouslyFormattedCitation":"&lt;i&gt;(3–5)&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(3–5)</w:t>
      </w:r>
      <w:r w:rsidR="00122188" w:rsidRPr="001533EC">
        <w:rPr>
          <w:rStyle w:val="Funotenzeichen"/>
          <w:sz w:val="24"/>
          <w:szCs w:val="24"/>
        </w:rPr>
        <w:fldChar w:fldCharType="end"/>
      </w:r>
      <w:r w:rsidRPr="001533EC">
        <w:rPr>
          <w:sz w:val="24"/>
          <w:szCs w:val="24"/>
        </w:rPr>
        <w:t>.</w:t>
      </w:r>
    </w:p>
    <w:p w14:paraId="4027A119" w14:textId="2C29BD68" w:rsidR="00C35B7A" w:rsidRPr="001533EC" w:rsidRDefault="00ED7421" w:rsidP="00C35B7A">
      <w:pPr>
        <w:spacing w:line="480" w:lineRule="auto"/>
        <w:jc w:val="both"/>
        <w:rPr>
          <w:sz w:val="24"/>
          <w:szCs w:val="24"/>
        </w:rPr>
      </w:pPr>
      <w:r w:rsidRPr="001533EC">
        <w:rPr>
          <w:rFonts w:eastAsia="Times New Roman"/>
          <w:sz w:val="24"/>
          <w:szCs w:val="24"/>
          <w:lang w:val="en-GB" w:eastAsia="de-DE"/>
        </w:rPr>
        <w:t xml:space="preserve">Brain insulin resistance can be investigated in various ways from rodents to humans, including pre-clinical models, human post-mortem in situ insulin stimulation, and </w:t>
      </w:r>
      <w:r w:rsidR="00CD6604" w:rsidRPr="001533EC">
        <w:rPr>
          <w:rFonts w:eastAsia="Times New Roman"/>
          <w:sz w:val="24"/>
          <w:szCs w:val="24"/>
          <w:lang w:val="en-GB" w:eastAsia="de-DE"/>
        </w:rPr>
        <w:t xml:space="preserve">non-invasive </w:t>
      </w:r>
      <w:r w:rsidRPr="001533EC">
        <w:rPr>
          <w:rFonts w:eastAsia="Times New Roman"/>
          <w:sz w:val="24"/>
          <w:szCs w:val="24"/>
          <w:lang w:val="en-GB" w:eastAsia="de-DE"/>
        </w:rPr>
        <w:t>neuroimaging techniques</w:t>
      </w:r>
      <w:r w:rsidR="00A257DF" w:rsidRPr="001533EC">
        <w:rPr>
          <w:rFonts w:eastAsia="Times New Roman"/>
          <w:sz w:val="24"/>
          <w:szCs w:val="24"/>
          <w:lang w:val="en-GB" w:eastAsia="de-DE"/>
        </w:rPr>
        <w:t xml:space="preserve"> </w:t>
      </w:r>
      <w:r w:rsidR="00122188" w:rsidRPr="001533EC">
        <w:rPr>
          <w:rStyle w:val="Funotenzeichen"/>
          <w:rFonts w:eastAsia="Times New Roman"/>
          <w:sz w:val="24"/>
          <w:szCs w:val="24"/>
          <w:lang w:val="en-GB" w:eastAsia="de-DE"/>
        </w:rPr>
        <w:fldChar w:fldCharType="begin" w:fldLock="1"/>
      </w:r>
      <w:r w:rsidR="0017498C">
        <w:rPr>
          <w:rFonts w:eastAsia="Times New Roman"/>
          <w:sz w:val="24"/>
          <w:szCs w:val="24"/>
          <w:lang w:val="en-GB" w:eastAsia="de-DE"/>
        </w:rPr>
        <w:instrText>ADDIN CSL_CITATION {"citationItems":[{"id":"ITEM-1","itemData":{"DOI":"10.14336/AD.2023.0814","ISSN":"2152-5250 (Electronic)","PMID":"37611907","abstract":"Type 2 diabetes mellitus (T2DM) is common and increasing in prevalence worldwide,  with devastating public health consequences. While peripheral insulin resistance is a key feature of most forms of T2DM and has been investigated for over a century, research on brain insulin resistance (BIR) has more recently been developed, including in the context of T2DM and non-diabetes states. Recent data support the presence of BIR in the aging brain, even in non-diabetes states, and found that BIR may be a feature in Alzheimer's disease (AD) and contributes to cognitive impairment. Further, therapies used to treat T2DM are now being investigated in the context of AD treatment and prevention, including insulin. In this review, we offer a definition of BIR, and present evidence for BIR in AD; we discuss the expression, function, and activation of the insulin receptor (INSR) in the brain; how BIR could develop; tools to study BIR; how BIR correlates with current AD hallmarks; and regional/cellular involvement of BIR. We close with a discussion on resilience to both BIR and AD, how current tools can be improved to better understand BIR, and future avenues for research. Overall, this review and position paper highlights BIR as a plausible therapeutic target for the prevention of cognitive decline and dementia due to AD.","author":[{"dropping-particle":"","family":"Rhea","given":"Elizabeth M","non-dropping-particle":"","parse-names":false,"suffix":""},{"dropping-particle":"","family":"Leclerc","given":"Manon","non-dropping-particle":"","parse-names":false,"suffix":""},{"dropping-particle":"","family":"Yassine","given":"Hussein N","non-dropping-particle":"","parse-names":false,"suffix":""},{"dropping-particle":"","family":"Capuano","given":"Ana W","non-dropping-particle":"","parse-names":false,"suffix":""},{"dropping-particle":"","family":"Tong","given":"Han","non-dropping-particle":"","parse-names":false,"suffix":""},{"dropping-particle":"","family":"Petyuk","given":"Vladislav A","non-dropping-particle":"","parse-names":false,"suffix":""},{"dropping-particle":"","family":"Macauley","given":"Shannon L","non-dropping-particle":"","parse-names":false,"suffix":""},{"dropping-particle":"","family":"Fioramonti","given":"Xavier","non-dropping-particle":"","parse-names":false,"suffix":""},{"dropping-particle":"","family":"Carmichael","given":"Owen","non-dropping-particle":"","parse-names":false,"suffix":""},{"dropping-particle":"","family":"Calon","given":"Frederic","non-dropping-particle":"","parse-names":false,"suffix":""},{"dropping-particle":"","family":"Arvanitakis","given":"Zoe","non-dropping-particle":"","parse-names":false,"suffix":""}],"container-title":"Aging and disease","id":"ITEM-1","issue":"4","issued":{"date-parts":[["2024","8"]]},"language":"eng","page":"1688-1725","publisher-place":"United States","title":"State of the Science on Brain Insulin Resistance and Cognitive Decline Due to  Alzheimer's Disease.","type":"article-journal","volume":"15"},"uris":["http://www.mendeley.com/documents/?uuid=bd465314-77f2-48cb-b5c1-15b7cf46dce9"]}],"mendeley":{"formattedCitation":"&lt;i&gt;(5)&lt;/i&gt;","plainTextFormattedCitation":"(5)","previouslyFormattedCitation":"&lt;i&gt;(5)&lt;/i&gt;"},"properties":{"noteIndex":0},"schema":"https://github.com/citation-style-language/schema/raw/master/csl-citation.json"}</w:instrText>
      </w:r>
      <w:r w:rsidR="00122188" w:rsidRPr="001533EC">
        <w:rPr>
          <w:rStyle w:val="Funotenzeichen"/>
          <w:rFonts w:eastAsia="Times New Roman"/>
          <w:sz w:val="24"/>
          <w:szCs w:val="24"/>
          <w:lang w:val="en-GB" w:eastAsia="de-DE"/>
        </w:rPr>
        <w:fldChar w:fldCharType="separate"/>
      </w:r>
      <w:r w:rsidR="00607440" w:rsidRPr="001533EC">
        <w:rPr>
          <w:rFonts w:eastAsia="Times New Roman"/>
          <w:i/>
          <w:noProof/>
          <w:sz w:val="24"/>
          <w:szCs w:val="24"/>
          <w:lang w:val="en-GB" w:eastAsia="de-DE"/>
        </w:rPr>
        <w:t>(5)</w:t>
      </w:r>
      <w:r w:rsidR="00122188" w:rsidRPr="001533EC">
        <w:rPr>
          <w:rStyle w:val="Funotenzeichen"/>
          <w:rFonts w:eastAsia="Times New Roman"/>
          <w:sz w:val="24"/>
          <w:szCs w:val="24"/>
          <w:lang w:val="en-GB" w:eastAsia="de-DE"/>
        </w:rPr>
        <w:fldChar w:fldCharType="end"/>
      </w:r>
      <w:r w:rsidR="007E3672" w:rsidRPr="001533EC">
        <w:rPr>
          <w:rFonts w:eastAsia="Times New Roman"/>
          <w:sz w:val="24"/>
          <w:szCs w:val="24"/>
          <w:lang w:val="en-GB" w:eastAsia="de-DE"/>
        </w:rPr>
        <w:t>.</w:t>
      </w:r>
      <w:r w:rsidRPr="001533EC">
        <w:rPr>
          <w:rFonts w:eastAsia="Times New Roman"/>
          <w:sz w:val="24"/>
          <w:szCs w:val="24"/>
          <w:lang w:val="en-GB" w:eastAsia="de-DE"/>
        </w:rPr>
        <w:t xml:space="preserve"> </w:t>
      </w:r>
      <w:r w:rsidR="007E3672" w:rsidRPr="001533EC">
        <w:rPr>
          <w:rFonts w:eastAsia="Times New Roman"/>
          <w:sz w:val="24"/>
          <w:szCs w:val="24"/>
          <w:lang w:val="en-GB" w:eastAsia="de-DE"/>
        </w:rPr>
        <w:t>I</w:t>
      </w:r>
      <w:r w:rsidRPr="001533EC">
        <w:rPr>
          <w:rFonts w:eastAsia="Times New Roman"/>
          <w:sz w:val="24"/>
          <w:szCs w:val="24"/>
          <w:lang w:val="en-GB" w:eastAsia="de-DE"/>
        </w:rPr>
        <w:t xml:space="preserve">n combination with </w:t>
      </w:r>
      <w:r w:rsidR="007E3672" w:rsidRPr="001533EC">
        <w:rPr>
          <w:rFonts w:eastAsia="Times New Roman"/>
          <w:sz w:val="24"/>
          <w:szCs w:val="24"/>
          <w:lang w:val="en-GB" w:eastAsia="de-DE"/>
        </w:rPr>
        <w:t>central</w:t>
      </w:r>
      <w:r w:rsidRPr="001533EC">
        <w:rPr>
          <w:rFonts w:eastAsia="Times New Roman"/>
          <w:sz w:val="24"/>
          <w:szCs w:val="24"/>
          <w:lang w:val="en-GB" w:eastAsia="de-DE"/>
        </w:rPr>
        <w:t xml:space="preserve"> and peripheral insulin stimulation</w:t>
      </w:r>
      <w:r w:rsidR="007E3672" w:rsidRPr="001533EC">
        <w:rPr>
          <w:rFonts w:eastAsia="Times New Roman"/>
          <w:sz w:val="24"/>
          <w:szCs w:val="24"/>
          <w:lang w:val="en-GB" w:eastAsia="de-DE"/>
        </w:rPr>
        <w:t>,</w:t>
      </w:r>
      <w:r w:rsidRPr="001533EC">
        <w:rPr>
          <w:rFonts w:eastAsia="Times New Roman"/>
          <w:sz w:val="24"/>
          <w:szCs w:val="24"/>
          <w:lang w:val="en-GB" w:eastAsia="de-DE"/>
        </w:rPr>
        <w:t xml:space="preserve"> </w:t>
      </w:r>
      <w:r w:rsidR="00DD3317" w:rsidRPr="001533EC">
        <w:rPr>
          <w:rFonts w:eastAsia="Times New Roman"/>
          <w:sz w:val="24"/>
          <w:szCs w:val="24"/>
          <w:lang w:val="en-GB" w:eastAsia="de-DE"/>
        </w:rPr>
        <w:t>imaging</w:t>
      </w:r>
      <w:r w:rsidRPr="001533EC">
        <w:rPr>
          <w:rFonts w:eastAsia="Times New Roman"/>
          <w:sz w:val="24"/>
          <w:szCs w:val="24"/>
          <w:lang w:val="en-GB" w:eastAsia="de-DE"/>
        </w:rPr>
        <w:t xml:space="preserve"> technique</w:t>
      </w:r>
      <w:r w:rsidR="00DD3317" w:rsidRPr="001533EC">
        <w:rPr>
          <w:rFonts w:eastAsia="Times New Roman"/>
          <w:sz w:val="24"/>
          <w:szCs w:val="24"/>
          <w:lang w:val="en-GB" w:eastAsia="de-DE"/>
        </w:rPr>
        <w:t>s</w:t>
      </w:r>
      <w:r w:rsidRPr="001533EC">
        <w:rPr>
          <w:rFonts w:eastAsia="Times New Roman"/>
          <w:sz w:val="24"/>
          <w:szCs w:val="24"/>
          <w:lang w:val="en-GB" w:eastAsia="de-DE"/>
        </w:rPr>
        <w:t xml:space="preserve"> allow </w:t>
      </w:r>
      <w:r w:rsidR="00CD6604" w:rsidRPr="00B07FDD">
        <w:rPr>
          <w:rFonts w:eastAsia="Times New Roman"/>
          <w:i/>
          <w:sz w:val="24"/>
          <w:szCs w:val="24"/>
          <w:lang w:val="en-GB" w:eastAsia="de-DE"/>
        </w:rPr>
        <w:t>in vivo</w:t>
      </w:r>
      <w:r w:rsidR="00CD6604" w:rsidRPr="001533EC">
        <w:rPr>
          <w:rFonts w:eastAsia="Times New Roman"/>
          <w:sz w:val="24"/>
          <w:szCs w:val="24"/>
          <w:lang w:val="en-GB" w:eastAsia="de-DE"/>
        </w:rPr>
        <w:t xml:space="preserve"> </w:t>
      </w:r>
      <w:r w:rsidR="00DD25CA" w:rsidRPr="001533EC">
        <w:rPr>
          <w:rFonts w:eastAsia="Times New Roman"/>
          <w:sz w:val="24"/>
          <w:szCs w:val="24"/>
          <w:lang w:val="en-GB" w:eastAsia="de-DE"/>
        </w:rPr>
        <w:t>quantification</w:t>
      </w:r>
      <w:r w:rsidR="00CD6604" w:rsidRPr="001533EC">
        <w:rPr>
          <w:rFonts w:eastAsia="Times New Roman"/>
          <w:sz w:val="24"/>
          <w:szCs w:val="24"/>
          <w:lang w:val="en-GB" w:eastAsia="de-DE"/>
        </w:rPr>
        <w:t xml:space="preserve"> of brain insulin action</w:t>
      </w:r>
      <w:r w:rsidR="00DD25CA" w:rsidRPr="001533EC">
        <w:rPr>
          <w:rFonts w:eastAsia="Times New Roman"/>
          <w:sz w:val="24"/>
          <w:szCs w:val="24"/>
          <w:lang w:val="en-GB" w:eastAsia="de-DE"/>
        </w:rPr>
        <w:t xml:space="preserve"> in animal</w:t>
      </w:r>
      <w:r w:rsidR="008345DE">
        <w:rPr>
          <w:rFonts w:eastAsia="Times New Roman"/>
          <w:sz w:val="24"/>
          <w:szCs w:val="24"/>
          <w:lang w:val="en-GB" w:eastAsia="de-DE"/>
        </w:rPr>
        <w:t>s</w:t>
      </w:r>
      <w:r w:rsidR="00DD25CA" w:rsidRPr="001533EC">
        <w:rPr>
          <w:rFonts w:eastAsia="Times New Roman"/>
          <w:sz w:val="24"/>
          <w:szCs w:val="24"/>
          <w:lang w:val="en-GB" w:eastAsia="de-DE"/>
        </w:rPr>
        <w:t xml:space="preserve"> and humans</w:t>
      </w:r>
      <w:r w:rsidR="00CD6604" w:rsidRPr="001533EC">
        <w:rPr>
          <w:rFonts w:eastAsia="Times New Roman"/>
          <w:sz w:val="24"/>
          <w:szCs w:val="24"/>
          <w:lang w:val="en-GB" w:eastAsia="de-DE"/>
        </w:rPr>
        <w:t xml:space="preserve">. </w:t>
      </w:r>
      <w:r w:rsidR="004A507A" w:rsidRPr="001533EC">
        <w:rPr>
          <w:rFonts w:eastAsia="Times New Roman"/>
          <w:sz w:val="24"/>
          <w:szCs w:val="24"/>
          <w:lang w:val="en-GB" w:eastAsia="de-DE"/>
        </w:rPr>
        <w:t xml:space="preserve">The definition of brain insulin resistance depends on the implemented </w:t>
      </w:r>
      <w:r w:rsidR="002E2F86" w:rsidRPr="001533EC">
        <w:rPr>
          <w:rFonts w:eastAsia="Times New Roman"/>
          <w:sz w:val="24"/>
          <w:szCs w:val="24"/>
          <w:lang w:val="en-GB" w:eastAsia="de-DE"/>
        </w:rPr>
        <w:t xml:space="preserve">imaging </w:t>
      </w:r>
      <w:r w:rsidR="004A507A" w:rsidRPr="001533EC">
        <w:rPr>
          <w:rFonts w:eastAsia="Times New Roman"/>
          <w:sz w:val="24"/>
          <w:szCs w:val="24"/>
          <w:lang w:val="en-GB" w:eastAsia="de-DE"/>
        </w:rPr>
        <w:t>method</w:t>
      </w:r>
      <w:r w:rsidR="002E2F86" w:rsidRPr="001533EC">
        <w:rPr>
          <w:rFonts w:eastAsia="Times New Roman"/>
          <w:sz w:val="24"/>
          <w:szCs w:val="24"/>
          <w:lang w:val="en-GB" w:eastAsia="de-DE"/>
        </w:rPr>
        <w:t>s as well as insulin stimulation techniques</w:t>
      </w:r>
      <w:r w:rsidR="004A507A" w:rsidRPr="001533EC">
        <w:rPr>
          <w:rFonts w:eastAsia="Times New Roman"/>
          <w:sz w:val="24"/>
          <w:szCs w:val="24"/>
          <w:lang w:val="en-GB" w:eastAsia="de-DE"/>
        </w:rPr>
        <w:t xml:space="preserve">. </w:t>
      </w:r>
      <w:r w:rsidR="002E2F86" w:rsidRPr="001533EC">
        <w:rPr>
          <w:rFonts w:eastAsia="Times New Roman"/>
          <w:sz w:val="24"/>
          <w:szCs w:val="24"/>
          <w:lang w:val="en-GB" w:eastAsia="de-DE"/>
        </w:rPr>
        <w:t>Based on recent findings</w:t>
      </w:r>
      <w:r w:rsidR="004A507A" w:rsidRPr="001533EC">
        <w:rPr>
          <w:rFonts w:eastAsia="Times New Roman"/>
          <w:sz w:val="24"/>
          <w:szCs w:val="24"/>
          <w:lang w:val="en-GB" w:eastAsia="de-DE"/>
        </w:rPr>
        <w:t xml:space="preserve">, regional </w:t>
      </w:r>
      <w:r w:rsidR="00C35B7A" w:rsidRPr="001533EC">
        <w:rPr>
          <w:rFonts w:eastAsia="Times New Roman"/>
          <w:sz w:val="24"/>
          <w:szCs w:val="24"/>
          <w:lang w:val="en-GB" w:eastAsia="de-DE"/>
        </w:rPr>
        <w:t xml:space="preserve">changes in neural activity </w:t>
      </w:r>
      <w:r w:rsidR="004A507A" w:rsidRPr="001533EC">
        <w:rPr>
          <w:rFonts w:eastAsia="Times New Roman"/>
          <w:sz w:val="24"/>
          <w:szCs w:val="24"/>
          <w:lang w:val="en-GB" w:eastAsia="de-DE"/>
        </w:rPr>
        <w:t>and</w:t>
      </w:r>
      <w:r w:rsidR="00F867E1" w:rsidRPr="001533EC">
        <w:rPr>
          <w:rFonts w:eastAsia="Times New Roman"/>
          <w:sz w:val="24"/>
          <w:szCs w:val="24"/>
          <w:lang w:val="en-GB" w:eastAsia="de-DE"/>
        </w:rPr>
        <w:t xml:space="preserve"> </w:t>
      </w:r>
      <w:r w:rsidR="00745292" w:rsidRPr="001533EC">
        <w:rPr>
          <w:rFonts w:eastAsia="Times New Roman"/>
          <w:sz w:val="24"/>
          <w:szCs w:val="24"/>
          <w:lang w:val="en-GB" w:eastAsia="de-DE"/>
        </w:rPr>
        <w:t xml:space="preserve">global </w:t>
      </w:r>
      <w:r w:rsidR="00F867E1" w:rsidRPr="001533EC">
        <w:rPr>
          <w:rFonts w:eastAsia="Times New Roman"/>
          <w:sz w:val="24"/>
          <w:szCs w:val="24"/>
          <w:lang w:val="en-GB" w:eastAsia="de-DE"/>
        </w:rPr>
        <w:t xml:space="preserve">brain metabolism </w:t>
      </w:r>
      <w:r w:rsidR="00C35B7A" w:rsidRPr="001533EC">
        <w:rPr>
          <w:rFonts w:eastAsia="Times New Roman"/>
          <w:sz w:val="24"/>
          <w:szCs w:val="24"/>
          <w:lang w:val="en-GB" w:eastAsia="de-DE"/>
        </w:rPr>
        <w:t>after administration of insulin can be used as a proxy for brain insulin resistance in humans</w:t>
      </w:r>
      <w:r w:rsidR="00A257DF" w:rsidRPr="001533EC">
        <w:rPr>
          <w:rFonts w:eastAsia="Times New Roman"/>
          <w:sz w:val="24"/>
          <w:szCs w:val="24"/>
          <w:lang w:val="en-GB" w:eastAsia="de-DE"/>
        </w:rPr>
        <w:t xml:space="preserve"> </w:t>
      </w:r>
      <w:r w:rsidR="00122188" w:rsidRPr="001533EC">
        <w:rPr>
          <w:rStyle w:val="Funotenzeichen"/>
          <w:rFonts w:eastAsia="Times New Roman"/>
          <w:sz w:val="24"/>
          <w:szCs w:val="24"/>
          <w:lang w:val="en-GB" w:eastAsia="de-DE"/>
        </w:rPr>
        <w:fldChar w:fldCharType="begin" w:fldLock="1"/>
      </w:r>
      <w:r w:rsidR="00607440" w:rsidRPr="001533EC">
        <w:rPr>
          <w:rFonts w:eastAsia="Times New Roman"/>
          <w:sz w:val="24"/>
          <w:szCs w:val="24"/>
          <w:lang w:val="en-GB" w:eastAsia="de-DE"/>
        </w:rPr>
        <w:instrText>ADDIN CSL_CITATION {"citationItems":[{"id":"ITEM-1","itemData":{"DOI":"10.1016/S2213-8587(20)30113-3","ISSN":"2213-8595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endocrinology","id":"ITEM-1","issue":"6","issued":{"date-parts":[["2020","6"]]},"language":"eng","page":"524-534","publisher-place":"England","title":"Central nervous pathways of insulin action in the control of metabolism and food  intake.","type":"article-journal","volume":"8"},"uris":["http://www.mendeley.com/documents/?uuid=a7d0c581-29d9-49ff-a27f-ba1e61e2edff"]},{"id":"ITEM-2","itemData":{"DOI":"10.14336/AD.2023.0814","ISSN":"2152-5250 (Electronic)","PMID":"37611907","abstract":"Type 2 diabetes mellitus (T2DM) is common and increasing in prevalence worldwide,  with devastating public health consequences. While peripheral insulin resistance is a key feature of most forms of T2DM and has been investigated for over a century, research on brain insulin resistance (BIR) has more recently been developed, including in the context of T2DM and non-diabetes states. Recent data support the presence of BIR in the aging brain, even in non-diabetes states, and found that BIR may be a feature in Alzheimer's disease (AD) and contributes to cognitive impairment. Further, therapies used to treat T2DM are now being investigated in the context of AD treatment and prevention, including insulin. In this review, we offer a definition of BIR, and present evidence for BIR in AD; we discuss the expression, function, and activation of the insulin receptor (INSR) in the brain; how BIR could develop; tools to study BIR; how BIR correlates with current AD hallmarks; and regional/cellular involvement of BIR. We close with a discussion on resilience to both BIR and AD, how current tools can be improved to better understand BIR, and future avenues for research. Overall, this review and position paper highlights BIR as a plausible therapeutic target for the prevention of cognitive decline and dementia due to AD.","author":[{"dropping-particle":"","family":"Rhea","given":"Elizabeth M","non-dropping-particle":"","parse-names":false,"suffix":""},{"dropping-particle":"","family":"Leclerc","given":"Manon","non-dropping-particle":"","parse-names":false,"suffix":""},{"dropping-particle":"","family":"Yassine","given":"Hussein N","non-dropping-particle":"","parse-names":false,"suffix":""},{"dropping-particle":"","family":"Capuano","given":"Ana W","non-dropping-particle":"","parse-names":false,"suffix":""},{"dropping-particle":"","family":"Tong","given":"Han","non-dropping-particle":"","parse-names":false,"suffix":""},{"dropping-particle":"","family":"Petyuk","given":"Vladislav A","non-dropping-particle":"","parse-names":false,"suffix":""},{"dropping-particle":"","family":"Macauley","given":"Shannon L","non-dropping-particle":"","parse-names":false,"suffix":""},{"dropping-particle":"","family":"Fioramonti","given":"Xavier","non-dropping-particle":"","parse-names":false,"suffix":""},{"dropping-particle":"","family":"Carmichael","given":"Owen","non-dropping-particle":"","parse-names":false,"suffix":""},{"dropping-particle":"","family":"Calon","given":"Frederic","non-dropping-particle":"","parse-names":false,"suffix":""},{"dropping-particle":"","family":"Arvanitakis","given":"Zoe","non-dropping-particle":"","parse-names":false,"suffix":""}],"container-title":"Aging and disease","id":"ITEM-2","issue":"4","issued":{"date-parts":[["2024","8"]]},"language":"eng","page":"1688-1725","publisher-place":"United States","title":"State of the Science on Brain Insulin Resistance and Cognitive Decline Due to  Alzheimer's Disease.","type":"article-journal","volume":"15"},"uris":["http://www.mendeley.com/documents/?uuid=bd465314-77f2-48cb-b5c1-15b7cf46dce9"]},{"id":"ITEM-3","itemData":{"DOI":"10.2337/dc20-1549","ISSN":"1935-5548 (Electronic)","PMID":"33446523","abstract":"OBJECTIVE: Whereas insulin resistance is expressed as reduced glucose uptake in  peripheral tissues, the relationship between insulin resistance and brain glucose metabolism remains controversial. Our aim was to examine the association of insulin resistance and brain glucose uptake (BGU) during a euglycemic hyperinsulinemic clamp in a large sample of study participants across a wide range of age and insulin sensitivity. RESEARCH DESIGN AND METHODS: [(18)F]-fluorodeoxyglucose positron emission tomography (PET) data from 194 participants scanned under clamp conditions were compiled from a single-center cohort. BGU was quantified by the fractional uptake rate. We examined the association of age, sex, M value from the clamp, steady-state insulin and free fatty acid levels, C-reactive protein levels, HbA(1c), and presence of type 2 diabetes with BGU using Bayesian hierarchical modeling. RESULTS: Insulin sensitivity, indexed by the M value, was associated negatively with BGU in all brain regions, confirming that in insulin-resistant participants BGU was enhanced during euglycemic hyperinsulinemia. In addition, the presence of type 2 diabetes was associated with additional increase in BGU. On the contrary, age was negatively related to BGU. Steady-state insulin levels, C-reactive protein and free fatty acid levels, sex, and HbA(1c) were not associated with BGU. CONCLUSIONS: In this large cohort of participants of either sex across a wide range of age and insulin sensitivity, insulin sensitivity was the best predictor of BGU.","author":[{"dropping-particle":"","family":"Rebelos","given":"Eleni","non-dropping-particle":"","parse-names":false,"suffix":""},{"dropping-particle":"","family":"Bucci","given":"Marco","non-dropping-particle":"","parse-names":false,"suffix":""},{"dropping-particle":"","family":"Karjalainen","given":"Tomi","non-dropping-particle":"","parse-names":false,"suffix":""},{"dropping-particle":"","family":"Oikonen","given":"Vesa","non-dropping-particle":"","parse-names":false,"suffix":""},{"dropping-particle":"","family":"Bertoldo","given":"Alessandra","non-dropping-particle":"","parse-names":false,"suffix":""},{"dropping-particle":"","family":"Hannukainen","given":"Jarna C","non-dropping-particle":"","parse-names":false,"suffix":""},{"dropping-particle":"","family":"Virtanen","given":"Kirsi A","non-dropping-particle":"","parse-names":false,"suffix":""},{"dropping-particle":"","family":"Latva-Rasku","given":"Aino","non-dropping-particle":"","parse-names":false,"suffix":""},{"dropping-particle":"","family":"Hirvonen","given":"Jussi","non-dropping-particle":"","parse-names":false,"suffix":""},{"dropping-particle":"","family":"Heinonen","given":"Ilkka","non-dropping-particle":"","parse-names":false,"suffix":""},{"dropping-particle":"","family":"Parkkola","given":"Riitta","non-dropping-particle":"","parse-names":false,"suffix":""},{"dropping-particle":"","family":"Laakso","given":"Markku","non-dropping-particle":"","parse-names":false,"suffix":""},{"dropping-particle":"","family":"Ferrannini","given":"Ele","non-dropping-particle":"","parse-names":false,"suffix":""},{"dropping-particle":"","family":"Iozzo","given":"Patricia","non-dropping-particle":"","parse-names":false,"suffix":""},{"dropping-particle":"","family":"Nummenmaa","given":"Lauri","non-dropping-particle":"","parse-names":false,"suffix":""},{"dropping-particle":"","family":"Nuutila","given":"Pirjo","non-dropping-particle":"","parse-names":false,"suffix":""}],"container-title":"Diabetes care","id":"ITEM-3","issue":"3","issued":{"date-parts":[["2021","3"]]},"language":"eng","page":"788-794","publisher-place":"United States","title":"Insulin Resistance Is Associated With Enhanced Brain Glucose Uptake During  Euglycemic Hyperinsulinemia: A Large-Scale PET Cohort.","type":"article-journal","volume":"44"},"uris":["http://www.mendeley.com/documents/?uuid=3f0a78b5-d7e3-4351-bf45-8f7d0ed58c73"]}],"mendeley":{"formattedCitation":"&lt;i&gt;(5–7)&lt;/i&gt;","plainTextFormattedCitation":"(5–7)","previouslyFormattedCitation":"&lt;i&gt;(5–7)&lt;/i&gt;"},"properties":{"noteIndex":0},"schema":"https://github.com/citation-style-language/schema/raw/master/csl-citation.json"}</w:instrText>
      </w:r>
      <w:r w:rsidR="00122188" w:rsidRPr="001533EC">
        <w:rPr>
          <w:rStyle w:val="Funotenzeichen"/>
          <w:rFonts w:eastAsia="Times New Roman"/>
          <w:sz w:val="24"/>
          <w:szCs w:val="24"/>
          <w:lang w:val="en-GB" w:eastAsia="de-DE"/>
        </w:rPr>
        <w:fldChar w:fldCharType="separate"/>
      </w:r>
      <w:r w:rsidR="00607440" w:rsidRPr="001533EC">
        <w:rPr>
          <w:rFonts w:eastAsia="Times New Roman"/>
          <w:bCs/>
          <w:i/>
          <w:noProof/>
          <w:sz w:val="24"/>
          <w:szCs w:val="24"/>
          <w:lang w:eastAsia="de-DE"/>
        </w:rPr>
        <w:t>(5–7)</w:t>
      </w:r>
      <w:r w:rsidR="00122188" w:rsidRPr="001533EC">
        <w:rPr>
          <w:rStyle w:val="Funotenzeichen"/>
          <w:rFonts w:eastAsia="Times New Roman"/>
          <w:sz w:val="24"/>
          <w:szCs w:val="24"/>
          <w:lang w:val="en-GB" w:eastAsia="de-DE"/>
        </w:rPr>
        <w:fldChar w:fldCharType="end"/>
      </w:r>
      <w:r w:rsidR="00C35B7A" w:rsidRPr="001533EC">
        <w:rPr>
          <w:rFonts w:eastAsia="Times New Roman"/>
          <w:sz w:val="24"/>
          <w:szCs w:val="24"/>
          <w:lang w:val="en-GB" w:eastAsia="de-DE"/>
        </w:rPr>
        <w:t xml:space="preserve">. </w:t>
      </w:r>
      <w:r w:rsidR="00DF02A0" w:rsidRPr="001533EC">
        <w:rPr>
          <w:rFonts w:eastAsia="Times New Roman"/>
          <w:sz w:val="24"/>
          <w:szCs w:val="24"/>
          <w:lang w:val="en-GB" w:eastAsia="de-DE"/>
        </w:rPr>
        <w:t>Although the recent progress in the development of non-invasive imaging techniques for measuring brain insulin resistance has revolutionized the field</w:t>
      </w:r>
      <w:r w:rsidR="00185220">
        <w:rPr>
          <w:rFonts w:eastAsia="Times New Roman"/>
          <w:sz w:val="24"/>
          <w:szCs w:val="24"/>
          <w:lang w:val="en-GB" w:eastAsia="de-DE"/>
        </w:rPr>
        <w:t>,</w:t>
      </w:r>
      <w:r w:rsidR="00DF02A0" w:rsidRPr="001533EC">
        <w:rPr>
          <w:rFonts w:eastAsia="Times New Roman"/>
          <w:sz w:val="24"/>
          <w:szCs w:val="24"/>
          <w:lang w:val="en-GB" w:eastAsia="de-DE"/>
        </w:rPr>
        <w:t xml:space="preserve"> robust, accurate, and reliable biomarkers are still limited</w:t>
      </w:r>
      <w:r w:rsidR="00A257DF" w:rsidRPr="001533EC">
        <w:rPr>
          <w:rFonts w:eastAsia="Times New Roman"/>
          <w:sz w:val="24"/>
          <w:szCs w:val="24"/>
          <w:lang w:val="en-GB" w:eastAsia="de-DE"/>
        </w:rPr>
        <w:t xml:space="preserve"> </w:t>
      </w:r>
      <w:r w:rsidR="00122188" w:rsidRPr="001533EC">
        <w:rPr>
          <w:rStyle w:val="Funotenzeichen"/>
          <w:rFonts w:eastAsia="Times New Roman"/>
          <w:sz w:val="24"/>
          <w:szCs w:val="24"/>
          <w:lang w:val="en-GB" w:eastAsia="de-DE"/>
        </w:rPr>
        <w:fldChar w:fldCharType="begin" w:fldLock="1"/>
      </w:r>
      <w:r w:rsidR="00607440" w:rsidRPr="001533EC">
        <w:rPr>
          <w:rFonts w:eastAsia="Times New Roman"/>
          <w:sz w:val="24"/>
          <w:szCs w:val="24"/>
          <w:lang w:val="en-GB" w:eastAsia="de-DE"/>
        </w:rPr>
        <w:instrText>ADDIN CSL_CITATION {"citationItems":[{"id":"ITEM-1","itemData":{"DOI":"10.1007/s00125-024-06104-9","ISSN":"1432-0428","abstract":"Insulin exerts its actions not only on peripheral organs but is also transported into the brain where it performs distinct functions in various brain regions. This review highlights recent advancements in our understanding of insulin’s actions within the brain, with a specific emphasis on investigations in humans. It summarises current knowledge on the transport of insulin into the brain. Subsequently, it showcases robust evidence demonstrating the existence and physiological consequences of brain insulin action, while also introducing the presence of brain insulin resistance in humans. This pathophysiological condition goes along with an impaired acute modulation of peripheral metabolism in response to brain insulin action, particularly in the postprandial state. Furthermore, brain insulin resistance has been associated with long-term adiposity and an unfavourable adipose tissue distribution, thus implicating it in the pathogenesis of subgroups of obesity and (pre)diabetes that are characterised by distinct patterns of body fat distribution. Encouragingly, emerging evidence suggests that brain insulin resistance could represent a treatable entity, thereby opening up novel therapeutic avenues to improve systemic metabolism and enhance brain functions, including cognition. The review closes with an outlook towards prospective research directions aimed at further elucidating the clinical implications of brain insulin resistance. It emphasises the critical need to establish feasible diagnostic measures and effective therapeutic interventions.","author":[{"dropping-particle":"","family":"Heni","given":"Martin","non-dropping-particle":"","parse-names":false,"suffix":""}],"container-title":"Diabetologia","id":"ITEM-1","issued":{"date-parts":[["2024"]]},"title":"The insulin resistant brain: impact on whole-body metabolism and body fat distribution","type":"article-journal"},"uris":["http://www.mendeley.com/documents/?uuid=ee27ff2f-83b4-4277-83a1-357e4e6426d1"]},{"id":"ITEM-2","itemData":{"DOI":"10.1016/S2213-8587(20)30113-3","ISSN":"2213-8595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endocrinology","id":"ITEM-2","issue":"6","issued":{"date-parts":[["2020","6"]]},"language":"eng","page":"524-534","publisher-place":"England","title":"Central nervous pathways of insulin action in the control of metabolism and food  intake.","type":"article-journal","volume":"8"},"uris":["http://www.mendeley.com/documents/?uuid=a7d0c581-29d9-49ff-a27f-ba1e61e2edff"]}],"mendeley":{"formattedCitation":"&lt;i&gt;(6, 8)&lt;/i&gt;","plainTextFormattedCitation":"(6, 8)","previouslyFormattedCitation":"&lt;i&gt;(6, 8)&lt;/i&gt;"},"properties":{"noteIndex":0},"schema":"https://github.com/citation-style-language/schema/raw/master/csl-citation.json"}</w:instrText>
      </w:r>
      <w:r w:rsidR="00122188" w:rsidRPr="001533EC">
        <w:rPr>
          <w:rStyle w:val="Funotenzeichen"/>
          <w:rFonts w:eastAsia="Times New Roman"/>
          <w:sz w:val="24"/>
          <w:szCs w:val="24"/>
          <w:lang w:val="en-GB" w:eastAsia="de-DE"/>
        </w:rPr>
        <w:fldChar w:fldCharType="separate"/>
      </w:r>
      <w:r w:rsidR="00607440" w:rsidRPr="001533EC">
        <w:rPr>
          <w:rFonts w:eastAsia="Times New Roman"/>
          <w:i/>
          <w:noProof/>
          <w:sz w:val="24"/>
          <w:szCs w:val="24"/>
          <w:lang w:val="en-GB" w:eastAsia="de-DE"/>
        </w:rPr>
        <w:t>(6, 8)</w:t>
      </w:r>
      <w:r w:rsidR="00122188" w:rsidRPr="001533EC">
        <w:rPr>
          <w:rStyle w:val="Funotenzeichen"/>
          <w:rFonts w:eastAsia="Times New Roman"/>
          <w:sz w:val="24"/>
          <w:szCs w:val="24"/>
          <w:lang w:val="en-GB" w:eastAsia="de-DE"/>
        </w:rPr>
        <w:fldChar w:fldCharType="end"/>
      </w:r>
      <w:r w:rsidR="00DF02A0" w:rsidRPr="001533EC">
        <w:rPr>
          <w:rFonts w:eastAsia="Times New Roman"/>
          <w:sz w:val="24"/>
          <w:szCs w:val="24"/>
          <w:lang w:val="en-GB" w:eastAsia="de-DE"/>
        </w:rPr>
        <w:t xml:space="preserve">. </w:t>
      </w:r>
      <w:r w:rsidR="00C35B7A" w:rsidRPr="001533EC">
        <w:rPr>
          <w:sz w:val="24"/>
          <w:szCs w:val="24"/>
        </w:rPr>
        <w:t xml:space="preserve">Therefore, to be able to identify people with brain insulin resistance on a broader population level, there is an urgent need for the development of non-invasive methods or biomarkers which can be easily measured, </w:t>
      </w:r>
      <w:r w:rsidR="00E9356F">
        <w:rPr>
          <w:sz w:val="24"/>
          <w:szCs w:val="24"/>
        </w:rPr>
        <w:t>for example</w:t>
      </w:r>
      <w:r w:rsidR="00C35B7A" w:rsidRPr="001533EC">
        <w:rPr>
          <w:sz w:val="24"/>
          <w:szCs w:val="24"/>
        </w:rPr>
        <w:t xml:space="preserve"> in peripheral blood</w:t>
      </w:r>
      <w:r w:rsidR="00A257D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{"citationItems":[{"id":"ITEM-1","itemData":{"DOI":"10.1007/s00125-024-06104-9","ISSN":"1432-0428","abstract":"Insulin exerts its actions not only on peripheral organs but is also transported into the brain where it performs distinct functions in various brain regions. This review highlights recent advancements in our understanding of insulin’s actions within the brain, with a specific emphasis on investigations in humans. It summarises current knowledge on the transport of insulin into the brain. Subsequently, it showcases robust evidence demonstrating the existence and physiological consequences of brain insulin action, while also introducing the presence of brain insulin resistance in humans. This pathophysiological condition goes along with an impaired acute modulation of peripheral metabolism in response to brain insulin action, particularly in the postprandial state. Furthermore, brain insulin resistance has been associated with long-term adiposity and an unfavourable adipose tissue distribution, thus implicating it in the pathogenesis of subgroups of obesity and (pre)diabetes that are characterised by distinct patterns of body fat distribution. Encouragingly, emerging evidence suggests that brain insulin resistance could represent a treatable entity, thereby opening up novel therapeutic avenues to improve systemic metabolism and enhance brain functions, including cognition. The review closes with an outlook towards prospective research directions aimed at further elucidating the clinical implications of brain insulin resistance. It emphasises the critical need to establish feasible diagnostic measures and effective therapeutic interventions.","author":[{"dropping-particle":"","family":"Heni","given":"Martin","non-dropping-particle":"","parse-names":false,"suffix":""}],"container-title":"Diabetologia","id":"ITEM-1","issued":{"date-parts":[["2024"]]},"title":"The insulin resistant brain: impact on whole-body metabolism and body fat distribution","type":"article-journal"},"uris":["http://www.mendeley.com/documents/?uuid=ee27ff2f-83b4-4277-83a1-357e4e6426d1"]}],"mendeley":{"formattedCitation":"&lt;i&gt;(8)&lt;/i&gt;","plainTextFormattedCitation":"(8)","previouslyFormattedCitation":"&lt;i&gt;(8)&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(8)</w:t>
      </w:r>
      <w:r w:rsidR="00122188" w:rsidRPr="001533EC">
        <w:rPr>
          <w:rStyle w:val="Funotenzeichen"/>
          <w:sz w:val="24"/>
          <w:szCs w:val="24"/>
        </w:rPr>
        <w:fldChar w:fldCharType="end"/>
      </w:r>
      <w:r w:rsidR="00C35B7A" w:rsidRPr="001533EC">
        <w:rPr>
          <w:sz w:val="24"/>
          <w:szCs w:val="24"/>
        </w:rPr>
        <w:t>. Few studies aimed to identify biomarkers for precise stratification of individuals with varying brain insulin sensitivity, mainly for neurodegenerative diseases</w:t>
      </w:r>
      <w:r w:rsidR="00A257D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{"citationItems":[{"id":"ITEM-1","itemData":{"DOI":"https://doi.org/10.1096/fj.14-262048","ISSN":"0892-6638","abstract":"ABSTRACT Insulin resistance causes diminished glucose uptake in similar regions of the brain in Alzheimer's disease (AD) and type 2 diabetes mellitus (DM2). Brain tissue studies suggested that insulin resistance is caused by low insulin receptor signaling attributable to its abnormal association with more phospho (P)-serine-type 1 insulin receptor substrate (IRS-1) and less P-tyrosine-IRS-1. Plasma exosomes enriched for neural sources by immunoabsorption were obtained once from 26 patients with AD, 20 patients with DM2, 16 patients with frontotemporal dementia (FTD), and matched case control subjects. At 2 time points, they were obtained from 22 others when cognitively normal and 1 to 10 yr later when diagnosed with AD. Mean exosomal levels of extracted P-serine 312-IRS-1 and P-pan-tyrosine-IRS-1 by ELISA and the ratio of P-serine 312-IRS-1 to P-pan-tyrosine-IRS-1 (insulin resistance factor, R) for AD and DM2 and P-serine 312-IRS-1 and R for FTD were significantly different from those for case control subjects. The levels of R for AD were significandy higher than those for DM2 or FTD. Stepwise discriminant modeling showed correct classification of 100% of patients with AD, 97.5% of patients with DM2, and 84% of patients with FTD. In longitudinal studies of 22 patients with AD, exosomal levels of P-serine 312-IRS-1, P-pan-tyrosine-IRS-1, and R were significantly different 1 to 10 yr before and at the time of diagnosis compared with control subjects. Insulin resistance reflected in R values from this blood test is higher for patients with AD, DM2, and FTD than case control subjects; higher for patients with AD than patients with DM2 or FTD; and accurately predicts development of AD up to 10 yr prior to clinical onset.?Kapogiannis, D., Boxer, A., Schwartz, J. B., Abner, E. L., Biragyn, A., Masharani, U., Frassetto, L., Petersen, R. C., Miller, B. L., Goetzl, E. J. Dysfunctionally phosphorylated type 1 insulin receptor substrate in neural-derived blood exosomes of preclinical Alzheimer's disease. FASEB J. 29, 589-596 (2015). www.fasebj.org","author":[{"dropping-particle":"","family":"Kapogiannis","given":"Dimitrios","non-dropping-particle":"","parse-names":false,"suffix":""},{"dropping-particle":"","family":"Boxer","given":"Adam","non-dropping-particle":"","parse-names":false,"suffix":""},{"dropping-particle":"","family":"Schwartz","given":"Janice B","non-dropping-particle":"","parse-names":false,"suffix":""},{"dropping-particle":"","family":"Abner","given":"Erin L","non-dropping-particle":"","parse-names":false,"suffix":""},{"dropping-particle":"","family":"Biragyn","given":"Arya","non-dropping-particle":"","parse-names":false,"suffix":""},{"dropping-particle":"","family":"Masharani","given":"Umesh","non-dropping-particle":"","parse-names":false,"suffix":""},{"dropping-particle":"","family":"Frassetto","given":"Lynda","non-dropping-particle":"","parse-names":false,"suffix":""},{"dropping-particle":"","family":"Petersen","given":"Ronald C","non-dropping-particle":"","parse-names":false,"suffix":""},{"dropping-particle":"","family":"Miller","given":"Bruce L","non-dropping-particle":"","parse-names":false,"suffix":""},{"dropping-particle":"","family":"Goetzl","given":"Edward J","non-dropping-particle":"","parse-names":false,"suffix":""}],"container-title":"The FASEB Journal","id":"ITEM-1","issue":"2","issued":{"date-parts":[["2015","2","1"]]},"page":"589-596","publisher":"John Wiley &amp; Sons, Ltd","title":"Dysfunctionally phosphorylated type 1 insulin receptor substrate in neural-derived blood exosomes of preclinical Alzheimer's disease","type":"article-journal","volume":"29"},"uris":["http://www.mendeley.com/documents/?uuid=b6a0afec-d034-4a83-bc25-6776a19f2e3b"]},{"id":"ITEM-2","itemData":{"DOI":"10.1016/j.ebiom.2019.03.051","ISSN":"2352-3964 (Electronic)","PMID":"30922963","abstract":"BACKGROUND: Activation of brain insulin receptors modulates reward sensitivity,  inhibitory control and memory. Variations in the functioning of this mechanism likely associate with individual differences in the risk for related mental disorders (attention deficit hyperactivity disorder or ADHD, addiction, dementia), in agreement with the high co-morbidity between insulin resistance and psychopathology. These neurobiological mechanisms can be explored using genetic studies. We propose a novel, biologically informed genetic score reflecting the mesocorticolimbic and hippocampal insulin receptor-related gene networks, and investigate if it predicts endophenotypes (impulsivity, cognitive ability) in community samples of children, and psychopathology (addiction, dementia) in adults. METHODS: Lists of genes co-expressed with the insulin receptor in the mesocorticolimbic system or hippocampus were created. SNPs from these genes (post-clumping) were compiled in a polygenic score using the association betas described in a conventional GWAS (ADHD in the mesocorticolimbic score and Alzheimer in the hippocampal score). Across multiple samples (n = 4502), the biologically informed, mesocorticolimbic or hippocampal specific insulin receptor polygenic scores were calculated, and their ability to predict impulsivity, risk for addiction, cognitive performance and presence of Alzheimer's disease was investigated. FINDINGS: The biologically-informed ePRS-IR score showed better prediction of child impulsivity and cognitive performance, as well as risk for addiction and Alzheimer's disease in comparison to conventional polygenic scores for ADHD, addiction and dementia. INTERPRETATION: This novel, biologically-informed approach enables the use of genomic datasets to probe relevant biological processes involved in neural function and disorders. FUND: Toxic Stress Research network of the JPB Foundation, Jacobs Foundation (Switzerland), Sackler Foundation.","author":[{"dropping-particle":"","family":"Hari Dass","given":"Shantala A","non-dropping-particle":"","parse-names":false,"suffix":""},{"dropping-particle":"","family":"McCracken","given":"Kathryn","non-dropping-particle":"","parse-names":false,"suffix":""},{"dropping-particle":"","family":"Pokhvisneva","given":"Irina","non-dropping-particle":"","parse-names":false,"suffix":""},{"dropping-particle":"","family":"Chen","given":"Lawrence M","non-dropping-particle":"","parse-names":false,"suffix":""},{"dropping-particle":"","family":"Garg","given":"Elika","non-dropping-particle":"","parse-names":false,"suffix":""},{"dropping-particle":"","family":"Nguyen","given":"Thao T T","non-dropping-particle":"","parse-names":false,"suffix":""},{"dropping-particle":"","family":"Wang","given":"Zihan","non-dropping-particle":"","parse-names":false,"suffix":""},{"dropping-particle":"","family":"Barth","given":"Barbara","non-dropping-particle":"","parse-names":false,"suffix":""},{"dropping-particle":"","family":"Yaqubi","given":"Moein","non-dropping-particle":"","parse-names":false,"suffix":""},{"dropping-particle":"","family":"McEwen","given":"Lisa M","non-dropping-particle":"","parse-names":false,"suffix":""},{"dropping-particle":"","family":"MacIsaac","given":"Julie L","non-dropping-particle":"","parse-names":false,"suffix":""},{"dropping-particle":"","family":"Diorio","given":"Josie","non-dropping-particle":"","parse-names":false,"suffix":""},{"dropping-particle":"","family":"Kobor","given":"Michael S","non-dropping-particle":"","parse-names":false,"suffix":""},{"dropping-particle":"","family":"O'Donnell","given":"Kieran J","non-dropping-particle":"","parse-names":false,"suffix":""},{"dropping-particle":"","family":"Meaney","given":"Michael J","non-dropping-particle":"","parse-names":false,"suffix":""},{"dropping-particle":"","family":"Silveira","given":"Patricia P","non-dropping-particle":"","parse-names":false,"suffix":""}],"container-title":"EBioMedicine","id":"ITEM-2","issued":{"date-parts":[["2019","4"]]},"language":"eng","page":"188-202","publisher-place":"Netherlands","title":"A biologically-informed polygenic score identifies endophenotypes and clinical  conditions associated with the insulin receptor function on specific brain regions.","type":"article-journal","volume":"42"},"uris":["http://www.mendeley.com/documents/?uuid=759b5210-e906-301f-b5a7-bdda3991ea3d"]},{"id":"ITEM-3","itemData":{"DOI":"10.1002/hbm.23494","ISSN":"1097-0193 (Electronic)","PMID":"28105773","abstract":"Brain insulin resistance (IR), which depends on insulin-receptor-substrate-1  (IRS-1) phosphorylation, is characteristic of Alzheimer's disease (AD). Previously, we demonstrated higher pSer312-IRS-1 (ineffective insulin signaling) and lower p-panTyr-IRS-1 (effective insulin signaling) in neural origin-enriched plasma exosomes of AD patients vs. CONTROLS: Here, we hypothesized that these exosomal biomarkers associate with brain atrophy in AD. We studied 24 subjects with biomarker-supported probable AD (low CSF Aβ(42) ). Exosomes were isolated from plasma, enriched for neural origin using immunoprecipitation for L1CAM, and measured for pSer(312) - and p-panTyr-IRS-1 phosphotypes. MPRAGE images were segmented by brain tissue type and voxel-based morphometry (VBM) analysis for gray matter against pSer(312) - and p-panTyr-IRS-1 was conducted. Given the regionally variable brain expression of IRS-1, we used the Allen Brain Atlas to make spatial comparisons between VBM results and IRS-1 expression. Brain volume was positively associated with P-panTyr-IRS-1 and negatively associated with pSer(312) -IRS-1 in a strikingly similar regional pattern (bilateral parietal-occipital junction, R middle temporal gyrus). This volumetric association pattern was spatially correlated with Allen Human Brain atlas normal brain IRS-1 expression. Exosomal biomarkers of brain IR are thus associated with atrophy in AD as could be expected by their pathophysiological roles and do so in a pattern that reflects regional IRS-1 expression. Furthermore, neural-origin plasma exosomes may recover molecular signals from specific brain regions. Hum Brain Mapp 38:1933-1940, 2017. © 2017 Wiley Periodicals, Inc.","author":[{"dropping-particle":"","family":"Mullins","given":"Roger J","non-dropping-particle":"","parse-names":false,"suffix":""},{"dropping-particle":"","family":"Mustapic","given":"Maja","non-dropping-particle":"","parse-names":false,"suffix":""},{"dropping-particle":"","family":"Goetzl","given":"Edward J","non-dropping-particle":"","parse-names":false,"suffix":""},{"dropping-particle":"","family":"Kapogiannis","given":"Dimitrios","non-dropping-particle":"","parse-names":false,"suffix":""}],"container-title":"Human brain mapping","id":"ITEM-3","issue":"4","issued":{"date-parts":[["2017","4"]]},"language":"eng","page":"1933-1940","publisher-place":"United States","title":"Exosomal biomarkers of brain insulin resistance associated with regional atrophy  in Alzheimer's disease.","type":"article-journal","volume":"38"},"uris":["http://www.mendeley.com/documents/?uuid=a1cdfcb2-5db4-437c-a55e-e243e91d7d7c"]},{"id":"ITEM-4","itemData":{"DOI":"10.1186/s13148-023-01589-4","ISSN":"1868-7083 (Electronic)","PMID":"37891690","abstract":"BACKGROUND: Insulin resistance (IR) is a major risk factor for Alzheimer's  disease (AD) dementia. The mechanisms by which IR predisposes to AD are not well-understood. Epigenetic studies may help identify molecular signatures of IR associated with AD, thus improving our understanding of the biological and regulatory mechanisms linking IR and AD. METHODS: We conducted an epigenome-wide association study of IR, quantified using the homeostatic model assessment of IR (HOMA-IR) and adjusted for body mass index, in 3,167 participants from the Framingham Heart Study (FHS) without type 2 diabetes at the time of blood draw used for methylation measurement. We identified DNA methylation markers associated with IR at the genome-wide level accounting for multiple testing (P &lt; 1.1 × 10(-7)) and evaluated their association with neurological traits in participants from the FHS (N = 3040) and the Religious Orders Study/Memory and Aging Project (ROSMAP, N = 707). DNA methylation profiles were measured in blood (FHS) or dorsolateral prefrontal cortex (ROSMAP) using the Illumina HumanMethylation450 BeadChip. Linear regressions (ROSMAP) or mixed-effects models accounting for familial relatedness (FHS) adjusted for age, sex, cohort, self-reported race, batch, and cell type proportions were used to assess associations between DNA methylation and neurological traits accounting for multiple testing. RESULTS: We confirmed the strong association of blood DNA methylation with IR at three loci (cg17901584-DHCR24, cg17058475-CPT1A, cg00574958-CPT1A, and cg06500161-ABCG1). In FHS, higher levels of blood DNA methylation at cg00574958 and cg17058475 were both associated with lower IR (P = 2.4 × 10(-11) and P = 9.0 × 10(-8)), larger total brain volumes (P = 0.03 and P = 9.7 × 10(-4)), and smaller log lateral ventricular volumes (P = 0.07 and P = 0.03). In ROSMAP, higher levels of brain DNA methylation at the same two CPT1A markers were associated with greater risk of cognitive impairment (P = 0.005 and P = 0.02) and higher AD-related indices (CERAD score: P = 5 × 10(-4) and 0.001; Braak stage: P = 0.004 and P = 0.01). CONCLUSIONS: Our results suggest potentially distinct epigenetic regulatory mechanisms between peripheral blood and dorsolateral prefrontal cortex tissues underlying IR and AD at CPT1A locus.","author":[{"dropping-particle":"","family":"Sarnowski","given":"Chloé","non-dropping-particle":"","parse-names":false,"suffix":""},{"dropping-particle":"","family":"Huan","given":"Tianxiao","non-dropping-particle":"","parse-names":false,"suffix":""},{"dropping-particle":"","family":"Ma","given":"Yiyi","non-dropping-particle":"","parse-names":false,"suffix":""},{"dropping-particle":"","family":"Joehanes","given":"Roby","non-dropping-particle":"","parse-names":false,"suffix":""},{"dropping-particle":"","family":"Beiser","given":"Alexa","non-dropping-particle":"","parse-names":false,"suffix":""},{"dropping-particle":"","family":"DeCarli","given":"Charles S","non-dropping-particle":"","parse-names":false,"suffix":""},{"dropping-particle":"","family":"Heard-Costa","given":"Nancy L","non-dropping-particle":"","parse-names":false,"suffix":""},{"dropping-particle":"","family":"Levy","given":"Daniel","non-dropping-particle":"","parse-names":false,"suffix":""},{"dropping-particle":"","family":"Lin","given":"Honghuang","non-dropping-particle":"","parse-names":false,"suffix":""},{"dropping-particle":"","family":"Liu","given":"Ching-Ti","non-dropping-particle":"","parse-names":false,"suffix":""},{"dropping-particle":"","family":"Liu","given":"Chunyu","non-dropping-particle":"","parse-names":false,"suffix":""},{"dropping-particle":"","family":"Meigs","given":"James B","non-dropping-particle":"","parse-names":false,"suffix":""},{"dropping-particle":"","family":"Satizabal","given":"Claudia L","non-dropping-particle":"","parse-names":false,"suffix":""},{"dropping-particle":"","family":"Florez","given":"Jose C","non-dropping-particle":"","parse-names":false,"suffix":""},{"dropping-particle":"","family":"Hivert","given":"Marie-France","non-dropping-particle":"","parse-names":false,"suffix":""},{"dropping-particle":"","family":"Dupuis","given":"Josée","non-dropping-particle":"","parse-names":false,"suffix":""},{"dropping-particle":"","family":"Jager","given":"Philip L","non-dropping-particle":"De","parse-names":false,"suffix":""},{"dropping-particle":"","family":"Bennett","given":"David A","non-dropping-particle":"","parse-names":false,"suffix":""},{"dropping-particle":"","family":"Seshadri","given":"Sudha","non-dropping-particle":"","parse-names":false,"suffix":""},{"dropping-particle":"","family":"Morrison","given":"Alanna C","non-dropping-particle":"","parse-names":false,"suffix":""}],"container-title":"Clinical epigenetics","id":"ITEM-4","issue":"1","issued":{"date-parts":[["2023","10"]]},"language":"eng","page":"173","publisher-place":"Germany","title":"Multi-tissue epigenetic analysis identifies distinct associations underlying  insulin resistance and Alzheimer's disease at CPT1A locus.","type":"article-journal","volume":"15"},"uris":["http://www.mendeley.com/documents/?uuid=ea83519c-b557-45b6-88ff-5f38625bd958"]},{"id":"ITEM-5","itemData":{"DOI":"10.18632/aging.102196","ISSN":"1945-4589 (Electronic)","PMID":"31449493","abstract":"Type 2 diabetes (T2D) can result in a number of comorbidities involving various  organs including heart, eye, kidney and even the brain. However, little is known about the molecular basis of T2D associated brain disorders. In this study, we performed a comprehensive transcriptomic analysis in a total of 304 T2D samples and 608 matched control samples from thirteen distinct brain regions. We observed prominent difference among transcriptomic profiles of diverse brain regions in T2D. The most striking change was found in caudate with thousands of T2D-associated genes identified, followed by hippocampus, while nearly no transcriptomic change was observed in other brain regions. Functional analysis of T2D-associated genes revealed impaired synaptic functions and an association with neurodegenerative diseases. Co-expression analysis of caudate transcriptomic profiles unveiled a core regional specific module that was disorganized in T2D. Sub-modules consisting of regional markers were enriched in T2D risk single nucleotide polymorphisms (SNPs) and implied a causal link with T2D. Hub genes of this module include NSF and ADD2, the former of which has been associated with T2D and neurogenerative diseases. Thus, our work provides useful information for further studies in T2D associated brain disorders.","author":[{"dropping-particle":"","family":"Zhou","given":"Zhe","non-dropping-particle":"","parse-names":false,"suffix":""},{"dropping-particle":"","family":"Zhu","given":"Yizhang","non-dropping-particle":"","parse-names":false,"suffix":""},{"dropping-particle":"","family":"Liu","given":"Yang","non-dropping-particle":"","parse-names":false,"suffix":""},{"dropping-particle":"","family":"Yin","given":"Yuxin","non-dropping-particle":"","parse-names":false,"suffix":""}],"container-title":"Aging","id":"ITEM-5","issue":"16","issued":{"date-parts":[["2019","8"]]},"language":"eng","page":"6398-6421","publisher-place":"United States","title":"Comprehensive transcriptomic analysis indicates brain regional specific  alterations in type 2 diabetes.","type":"article-journal","volume":"11"},"uris":["http://www.mendeley.com/documents/?uuid=20d1500c-53da-313d-900c-00d85cd4afcd"]}],"mendeley":{"formattedCitation":"&lt;i&gt;(9–13)&lt;/i&gt;","plainTextFormattedCitation":"(9–13)","previouslyFormattedCitation":"&lt;i&gt;(9–13)&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(9–13)</w:t>
      </w:r>
      <w:r w:rsidR="00122188" w:rsidRPr="001533EC">
        <w:rPr>
          <w:rStyle w:val="Funotenzeichen"/>
          <w:sz w:val="24"/>
          <w:szCs w:val="24"/>
        </w:rPr>
        <w:fldChar w:fldCharType="end"/>
      </w:r>
      <w:r w:rsidR="00C35B7A" w:rsidRPr="001533EC">
        <w:rPr>
          <w:sz w:val="24"/>
          <w:szCs w:val="24"/>
        </w:rPr>
        <w:t xml:space="preserve">. So far, people living with T2D have not been studied in this regard. Recently, we </w:t>
      </w:r>
      <w:r w:rsidR="00394225">
        <w:rPr>
          <w:sz w:val="24"/>
          <w:szCs w:val="24"/>
        </w:rPr>
        <w:t>showed</w:t>
      </w:r>
      <w:r w:rsidR="00C35B7A" w:rsidRPr="001533EC">
        <w:rPr>
          <w:sz w:val="24"/>
          <w:szCs w:val="24"/>
        </w:rPr>
        <w:t xml:space="preserve"> that p</w:t>
      </w:r>
      <w:proofErr w:type="spellStart"/>
      <w:r w:rsidR="00C35B7A" w:rsidRPr="001533EC">
        <w:rPr>
          <w:sz w:val="24"/>
          <w:szCs w:val="24"/>
          <w:lang w:val="en-GB"/>
        </w:rPr>
        <w:t>ersons</w:t>
      </w:r>
      <w:proofErr w:type="spellEnd"/>
      <w:r w:rsidR="00C35B7A" w:rsidRPr="001533EC">
        <w:rPr>
          <w:sz w:val="24"/>
          <w:szCs w:val="24"/>
          <w:lang w:val="en-GB"/>
        </w:rPr>
        <w:t xml:space="preserve"> with brain insulin resistance lose less body fat during a lifestyle intervention</w:t>
      </w:r>
      <w:r w:rsidR="00A257DF" w:rsidRPr="001533EC">
        <w:rPr>
          <w:sz w:val="24"/>
          <w:szCs w:val="24"/>
          <w:lang w:val="en-GB"/>
        </w:rPr>
        <w:t xml:space="preserve"> </w:t>
      </w:r>
      <w:r w:rsidR="00122188" w:rsidRPr="001533EC">
        <w:rPr>
          <w:rStyle w:val="Funotenzeichen"/>
          <w:sz w:val="24"/>
          <w:szCs w:val="24"/>
          <w:lang w:val="en-GB"/>
        </w:rPr>
        <w:fldChar w:fldCharType="begin" w:fldLock="1"/>
      </w:r>
      <w:r w:rsidR="0017498C">
        <w:rPr>
          <w:sz w:val="24"/>
          <w:szCs w:val="24"/>
          <w:lang w:val="en-GB"/>
        </w:rPr>
        <w:instrText>ADDIN CSL_CITATION {"citationItems":[{"id":"ITEM-1","itemData":{"DOI":"10.1038/s41467-020-15686-y","ISSN":"20411723","PMID":"32296068","abstract":"Brain insulin action regulates eating behavior and energy fluxes throughout the body. However, numerous people are brain insulin resistant. How brain insulin responsiveness affects long-term weight and body fat composition in humans is still unknown. Here we show that high brain insulin sensitivity before lifestyle intervention associates with a more pronounced reduction in total and visceral fat during the program. High brain insulin sensitivity is also associated with less regain of fat mass during a nine year follow-up. Cross-sectionally, strong insulin responsiveness of the hypothalamus associates with less visceral fat, while subcutaneous fat is unrelated. Our results demonstrate that high brain insulin sensitivity is linked to weight loss during lifestyle intervention and associates with a favorable body fat distribution. Since visceral fat is strongly linked to diabetes, cardiovascular risk and cancer, these findings have implications beyond metabolic diseases and indicate the necessity of strategies to resolve brain insulin resistance.","author":[{"dropping-particle":"","family":"Kullmann","given":"Stephanie","non-dropping-particle":"","parse-names":false,"suffix":""},{"dropping-particle":"","family":"Valenta","given":"Vera","non-dropping-particle":"","parse-names":false,"suffix":""},{"dropping-particle":"","family":"Wagner","given":"Robert","non-dropping-particle":"","parse-names":false,"suffix":""},{"dropping-particle":"","family":"Tschritter","given":"Otto","non-dropping-particle":"","parse-names":false,"suffix":""},{"dropping-particle":"","family":"Machann","given":"Jürgen","non-dropping-particle":"","parse-names":false,"suffix":""},{"dropping-particle":"","family":"Häring","given":"Hans Ulrich","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Nature Communications","id":"ITEM-1","issue":"1","issued":{"date-parts":[["2020","12","1"]]},"publisher":"Nature Research","title":"Brain insulin sensitivity is linked to adiposity and body fat distribution","type":"article-journal","volume":"11"},"uris":["http://www.mendeley.com/documents/?uuid=70cb2476-8915-34c7-b417-ba5695f1b3f6"]}],"mendeley":{"formattedCitation":"&lt;i&gt;(14)&lt;/i&gt;","plainTextFormattedCitation":"(14)","previouslyFormattedCitation":"&lt;i&gt;(14)&lt;/i&gt;"},"properties":{"noteIndex":0},"schema":"https://github.com/citation-style-language/schema/raw/master/csl-citation.json"}</w:instrText>
      </w:r>
      <w:r w:rsidR="00122188" w:rsidRPr="001533EC">
        <w:rPr>
          <w:rStyle w:val="Funotenzeichen"/>
          <w:sz w:val="24"/>
          <w:szCs w:val="24"/>
          <w:lang w:val="en-GB"/>
        </w:rPr>
        <w:fldChar w:fldCharType="separate"/>
      </w:r>
      <w:r w:rsidR="00607440" w:rsidRPr="001533EC">
        <w:rPr>
          <w:bCs/>
          <w:i/>
          <w:noProof/>
          <w:sz w:val="24"/>
          <w:szCs w:val="24"/>
        </w:rPr>
        <w:t>(14)</w:t>
      </w:r>
      <w:r w:rsidR="00122188" w:rsidRPr="001533EC">
        <w:rPr>
          <w:rStyle w:val="Funotenzeichen"/>
          <w:sz w:val="24"/>
          <w:szCs w:val="24"/>
          <w:lang w:val="en-GB"/>
        </w:rPr>
        <w:fldChar w:fldCharType="end"/>
      </w:r>
      <w:r w:rsidR="00C35B7A" w:rsidRPr="001533EC">
        <w:rPr>
          <w:sz w:val="24"/>
          <w:szCs w:val="24"/>
          <w:lang w:val="en-GB"/>
        </w:rPr>
        <w:t>, experience more food craving and hunger, and accumulate more visceral adipose tissue</w:t>
      </w:r>
      <w:r w:rsidR="00A257DF" w:rsidRPr="001533EC">
        <w:rPr>
          <w:sz w:val="24"/>
          <w:szCs w:val="24"/>
          <w:lang w:val="en-GB"/>
        </w:rPr>
        <w:t xml:space="preserve"> </w:t>
      </w:r>
      <w:r w:rsidR="00122188" w:rsidRPr="001533EC">
        <w:rPr>
          <w:rStyle w:val="Funotenzeichen"/>
          <w:sz w:val="24"/>
          <w:szCs w:val="24"/>
          <w:lang w:val="en-GB"/>
        </w:rPr>
        <w:fldChar w:fldCharType="begin" w:fldLock="1"/>
      </w:r>
      <w:r w:rsidR="00607440" w:rsidRPr="001533EC">
        <w:rPr>
          <w:sz w:val="24"/>
          <w:szCs w:val="24"/>
          <w:lang w:val="en-GB"/>
        </w:rPr>
        <w:instrText>ADDIN CSL_CITATION {"citationItems":[{"id":"ITEM-1","itemData":{"DOI":"10.1016/S2213-8587(20)30113-3","ISSN":"2213-8595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endocrinology","id":"ITEM-1","issue":"6","issued":{"date-parts":[["2020","6"]]},"language":"eng","page":"524-534","publisher-place":"England","title":"Central nervous pathways of insulin action in the control of metabolism and food  intake.","type":"article-journal","volume":"8"},"uris":["http://www.mendeley.com/documents/?uuid=a7d0c581-29d9-49ff-a27f-ba1e61e2edff"]}],"mendeley":{"formattedCitation":"&lt;i&gt;(6)&lt;/i&gt;","plainTextFormattedCitation":"(6)","previouslyFormattedCitation":"&lt;i&gt;(6)&lt;/i&gt;"},"properties":{"noteIndex":0},"schema":"https://github.com/citation-style-language/schema/raw/master/csl-citation.json"}</w:instrText>
      </w:r>
      <w:r w:rsidR="00122188" w:rsidRPr="001533EC">
        <w:rPr>
          <w:rStyle w:val="Funotenzeichen"/>
          <w:sz w:val="24"/>
          <w:szCs w:val="24"/>
          <w:lang w:val="en-GB"/>
        </w:rPr>
        <w:fldChar w:fldCharType="separate"/>
      </w:r>
      <w:r w:rsidR="00607440" w:rsidRPr="001533EC">
        <w:rPr>
          <w:i/>
          <w:noProof/>
          <w:sz w:val="24"/>
          <w:szCs w:val="24"/>
          <w:lang w:val="en-GB"/>
        </w:rPr>
        <w:t>(6)</w:t>
      </w:r>
      <w:r w:rsidR="00122188" w:rsidRPr="001533EC">
        <w:rPr>
          <w:rStyle w:val="Funotenzeichen"/>
          <w:sz w:val="24"/>
          <w:szCs w:val="24"/>
          <w:lang w:val="en-GB"/>
        </w:rPr>
        <w:fldChar w:fldCharType="end"/>
      </w:r>
      <w:r w:rsidR="00C35B7A" w:rsidRPr="001533EC">
        <w:rPr>
          <w:sz w:val="24"/>
          <w:szCs w:val="24"/>
          <w:lang w:val="en-GB"/>
        </w:rPr>
        <w:t xml:space="preserve">, which increases their risk </w:t>
      </w:r>
      <w:r w:rsidR="00B217C3">
        <w:rPr>
          <w:sz w:val="24"/>
          <w:szCs w:val="24"/>
          <w:lang w:val="en-GB"/>
        </w:rPr>
        <w:t>of developing</w:t>
      </w:r>
      <w:r w:rsidR="00C35B7A" w:rsidRPr="001533EC">
        <w:rPr>
          <w:sz w:val="24"/>
          <w:szCs w:val="24"/>
          <w:lang w:val="en-GB"/>
        </w:rPr>
        <w:t xml:space="preserve"> T2D.</w:t>
      </w:r>
      <w:r w:rsidR="00C35B7A" w:rsidRPr="001533EC" w:rsidDel="00393584">
        <w:rPr>
          <w:sz w:val="24"/>
          <w:szCs w:val="24"/>
        </w:rPr>
        <w:t xml:space="preserve"> </w:t>
      </w:r>
      <w:r w:rsidR="00C35B7A" w:rsidRPr="001533EC">
        <w:rPr>
          <w:sz w:val="24"/>
          <w:szCs w:val="24"/>
        </w:rPr>
        <w:t xml:space="preserve">Restoring hypothalamic </w:t>
      </w:r>
      <w:r w:rsidR="00C35B7A" w:rsidRPr="001533EC">
        <w:rPr>
          <w:sz w:val="24"/>
          <w:szCs w:val="24"/>
        </w:rPr>
        <w:lastRenderedPageBreak/>
        <w:t>insulin action, on the other hand, by pharmacological interventions was linked to improved glucose metabolism and decreased liver fat</w:t>
      </w:r>
      <w:r w:rsidR="00A257D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{"citationItems":[{"id":"ITEM-1","itemData":{"DOI":"10.2337/dc21-1136","ISSN":"1935-5548 (Electronic)","PMID":"34716213","abstract":"OBJECTIVE: Insulin action in the human brain reduces food intake, improves  whole-body insulin sensitivity, and modulates body fat mass and its distribution. Obesity and type 2 diabetes are often associated with brain insulin resistance, resulting in impaired brain-derived modulation of peripheral metabolism. So far, no pharmacological treatment for brain insulin resistance has been established. Since sodium-glucose cotransporter 2 (SGLT2) inhibitors lower glucose levels and modulate energy metabolism, we hypothesized that SGLT2 inhibition may be a pharmacological approach to reverse brain insulin resistance. RESEARCH DESIGN AND METHODS: In this randomized, double-blind, placebo-controlled clinical trial, 40 patients (mean ± SD; age 60 ± 9 years; BMI 31.5 ± 3.8 kg/m2) with prediabetes were randomized to receive 25 mg empagliflozin every day or placebo. Before and after 8 weeks of treatment, brain insulin sensitivity was assessed by functional MRI combined with intranasal administration of insulin to the brain. RESULTS: We identified a significant interaction between time and treatment in the hypothalamic response to insulin. Post hoc analyses revealed that only empagliflozin-treated patients experienced increased hypothalamic insulin responsiveness. Hypothalamic insulin action significantly mediated the empagliflozin-induced decrease in fasting glucose and liver fat. CONCLUSIONS: Our results corroborate insulin resistance of the hypothalamus in humans with prediabetes. Treatment with empagliflozin for 8 weeks was able to restore hypothalamic insulin sensitivity, a favorable response that could contribute to the beneficial effects of SGLT2 inhibitors. Our findings position SGLT2 inhibition as the first pharmacological approach to reverse brain insulin resistance, with potential benefits for adiposity and whole-body metabolism.","author":[{"dropping-particle":"","family":"Kullmann","given":"Stephanie","non-dropping-particle":"","parse-names":false,"suffix":""},{"dropping-particle":"","family":"Hummel","given":"Julia","non-dropping-particle":"","parse-names":false,"suffix":""},{"dropping-particle":"","family":"Wagner","given":"Robert","non-dropping-particle":"","parse-names":false,"suffix":""},{"dropping-particle":"","family":"Dannecker","given":"Corinna","non-dropping-particle":"","parse-names":false,"suffix":""},{"dropping-particle":"","family":"Vosseler","given":"Andreas","non-dropping-particle":"","parse-names":false,"suffix":""},{"dropping-particle":"","family":"Fritsche","given":"Louise","non-dropping-particle":"","parse-names":false,"suffix":""},{"dropping-particle":"","family":"Veit","given":"Ralf","non-dropping-particle":"","parse-names":false,"suffix":""},{"dropping-particle":"","family":"Kantartzis","given":"Konstantinos","non-dropping-particle":"","parse-names":false,"suffix":""},{"dropping-particle":"","family":"Machann","given":"Jürgen","non-dropping-particle":"","parse-names":false,"suffix":""},{"dropping-particle":"","family":"Birkenfeld","given":"Andreas L","non-dropping-particle":"","parse-names":false,"suffix":""},{"dropping-particle":"","family":"Stefan","given":"Norbert","non-dropping-particle":"","parse-names":false,"suffix":""},{"dropping-particle":"","family":"Häring","given":"Hans-Ulrich","non-dropping-particle":"","parse-names":false,"suffix":""},{"dropping-particle":"","family":"Peter","given":"Andreas","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Diabetes care","id":"ITEM-1","issue":"2","issued":{"date-parts":[["2022","2"]]},"language":"eng","page":"398-406","publisher-place":"United States","title":"Empagliflozin Improves Insulin Sensitivity of the Hypothalamus in Humans With  Prediabetes: A Randomized, Double-Blind, Placebo-Controlled, Phase 2 Trial.","type":"article-journal","volume":"45"},"uris":["http://www.mendeley.com/documents/?uuid=202c73c6-0316-4f57-b1c8-a3960af651d6"]}],"mendeley":{"formattedCitation":"&lt;i&gt;(15)&lt;/i&gt;","plainTextFormattedCitation":"(15)","previouslyFormattedCitation":"&lt;i&gt;(15)&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(15)</w:t>
      </w:r>
      <w:r w:rsidR="00122188" w:rsidRPr="001533EC">
        <w:rPr>
          <w:rStyle w:val="Funotenzeichen"/>
          <w:sz w:val="24"/>
          <w:szCs w:val="24"/>
        </w:rPr>
        <w:fldChar w:fldCharType="end"/>
      </w:r>
      <w:r w:rsidR="00C35B7A" w:rsidRPr="001533EC">
        <w:rPr>
          <w:sz w:val="24"/>
          <w:szCs w:val="24"/>
        </w:rPr>
        <w:t>. It is thus important to appreciate that early intensive interventions, both lifestyle-related and pharmacological, need to be tailored based on the current status of brain insulin responsiveness of these individuals for better outcomes. In addition, the knowledge on the status of brain insulin resistance could help to identify patients at higher risk of developing T2D and neurocognitive decline in the future.</w:t>
      </w:r>
    </w:p>
    <w:p w14:paraId="4B5C16F8" w14:textId="4E7DB1B1" w:rsidR="00C35B7A" w:rsidRPr="001533EC" w:rsidRDefault="00C35B7A" w:rsidP="00C35B7A">
      <w:pPr>
        <w:spacing w:line="480" w:lineRule="auto"/>
        <w:jc w:val="both"/>
        <w:rPr>
          <w:sz w:val="24"/>
          <w:szCs w:val="24"/>
        </w:rPr>
      </w:pPr>
      <w:r w:rsidRPr="001533EC">
        <w:rPr>
          <w:sz w:val="24"/>
          <w:szCs w:val="24"/>
        </w:rPr>
        <w:t xml:space="preserve">Numerous studies have identified </w:t>
      </w:r>
      <w:bookmarkStart w:id="2" w:name="_Hlk173499538"/>
      <w:r w:rsidRPr="001533EC">
        <w:rPr>
          <w:sz w:val="24"/>
          <w:szCs w:val="24"/>
        </w:rPr>
        <w:t xml:space="preserve">genetic and epigenetic markers associated with obesity and T2D or the risk of developing T2D </w:t>
      </w:r>
      <w:bookmarkEnd w:id="2"/>
      <w:r w:rsidRPr="001533EC">
        <w:rPr>
          <w:sz w:val="24"/>
          <w:szCs w:val="24"/>
        </w:rPr>
        <w:t>and its related complications</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10.1016/j.cmet.2019.03.009","ISSN":"1550-4131","author":[{"dropping-particle":"","family":"Ling","given":"Charlotte","non-dropping-particle":"","parse-names":false,"suffix":""},{"dropping-particle":"","family":"Rönn","given":"Tina","non-dropping-particle":"","parse-names":false,"suffix":""}],"container-title":"Cell Metabolism","id":"ITEM-1","issue":"5","issued":{"date-parts":[["2019","5"]]},"page":"1028-1044","publisher":"Elsevier","title":"Epigenetics in Human Obesity and Type 2 Diabetes","type":"article-journal","volume":"29"},"uris":["http://www.mendeley.com/documents/?uuid=b5547aed-1a7b-48de-9977-1ae651a4bf32"]}],"mendeley":{"formattedCitation":"&lt;i&gt;(16)&lt;/i&gt;","plainTextFormattedCitation":"(16)","previouslyFormattedCitation":"&lt;i&gt;(16)&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(16)</w:t>
      </w:r>
      <w:r w:rsidR="00122188" w:rsidRPr="001533EC">
        <w:rPr>
          <w:rStyle w:val="Funotenzeichen"/>
          <w:sz w:val="24"/>
          <w:szCs w:val="24"/>
        </w:rPr>
        <w:fldChar w:fldCharType="end"/>
      </w:r>
      <w:r w:rsidRPr="001533EC">
        <w:rPr>
          <w:sz w:val="24"/>
          <w:szCs w:val="24"/>
        </w:rPr>
        <w:t xml:space="preserve">. However, so far none of these studies have focused on brain insulin resistance independently of T2D or neurodegenerative disorders. This is also related to the fact that there are only few centers worldwide that </w:t>
      </w:r>
      <w:r w:rsidR="008878B2" w:rsidRPr="001533EC">
        <w:rPr>
          <w:sz w:val="24"/>
          <w:szCs w:val="24"/>
        </w:rPr>
        <w:t>have the technic</w:t>
      </w:r>
      <w:r w:rsidRPr="001533EC">
        <w:rPr>
          <w:sz w:val="24"/>
          <w:szCs w:val="24"/>
        </w:rPr>
        <w:t>al prerequisite and expertise to determine this trait. Therefore,</w:t>
      </w:r>
      <w:r w:rsidR="000048EC" w:rsidRPr="001533EC">
        <w:rPr>
          <w:sz w:val="24"/>
          <w:szCs w:val="24"/>
        </w:rPr>
        <w:t xml:space="preserve"> </w:t>
      </w:r>
      <w:r w:rsidRPr="001533EC">
        <w:rPr>
          <w:sz w:val="24"/>
          <w:szCs w:val="24"/>
        </w:rPr>
        <w:t xml:space="preserve">capturing the epigenetic changes, particularly DNA methylation in peripheral blood cells might provide biomarkers for stratification of individuals based on brain insulin resistance. This is also of particular importance as recently changes in DNA methylation status have been suggested to </w:t>
      </w:r>
      <w:r w:rsidR="00DF4B85">
        <w:rPr>
          <w:sz w:val="24"/>
          <w:szCs w:val="24"/>
        </w:rPr>
        <w:t>mediate</w:t>
      </w:r>
      <w:r w:rsidRPr="001533EC">
        <w:rPr>
          <w:sz w:val="24"/>
          <w:szCs w:val="24"/>
        </w:rPr>
        <w:t xml:space="preserve"> metabolic memory</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{"citationItems":[{"id":"ITEM-1","itemData":{"DOI":"10.1038/s41392-024-01755-x","ISSN":"2059-3635","abstract":"Metabolic diseases and their complications impose health and economic burdens worldwide. Evidence from past experimental studies and clinical trials suggests our body may have the ability to remember the past metabolic environment, such as hyperglycemia or hyperlipidemia, thus leading to chronic inflammatory disorders and other diseases even after the elimination of these metabolic environments. The long-term effects of that aberrant metabolism on the body have been summarized as metabolic memory and are found to assume a crucial role in states of health and disease. Multiple molecular mechanisms collectively participate in metabolic memory management, resulting in different cellular alterations as well as tissue and organ dysfunctions, culminating in disease progression and even affecting offspring. The elucidation and expansion of the concept of metabolic memory provides more comprehensive insight into pathogenic mechanisms underlying metabolic diseases and complications and promises to be a new target in disease detection and management. Here, we retrace the history of relevant research on metabolic memory and summarize its salient characteristics. We provide a detailed discussion of the mechanisms by which metabolic memory may be involved in disease development at molecular, cellular, and organ levels, with emphasis on the impact of epigenetic modulations. Finally, we present some of the pivotal findings arguing in favor of targeting metabolic memory to develop therapeutic strategies for metabolic diseases and provide the latest reflections on the consequences of metabolic memory as well as their implications for human health and diseases.","author":[{"dropping-particle":"","family":"Dong","given":"Hao","non-dropping-particle":"","parse-names":false,"suffix":""},{"dropping-particle":"","family":"Sun","given":"Yuezhang","non-dropping-particle":"","parse-names":false,"suffix":""},{"dropping-particle":"","family":"Nie","given":"Lulingxiao","non-dropping-particle":"","parse-names":false,"suffix":""},{"dropping-particle":"","family":"Cui","given":"Aimin","non-dropping-particle":"","parse-names":false,"suffix":""},{"dropping-particle":"","family":"Zhao","given":"Pengfei","non-dropping-particle":"","parse-names":false,"suffix":""},{"dropping-particle":"","family":"Leung","given":"Wai Keung","non-dropping-particle":"","parse-names":false,"suffix":""},{"dropping-particle":"","family":"Wang","given":"Qi","non-dropping-particle":"","parse-names":false,"suffix":""}],"container-title":"Signal Transduction and Targeted Therapy","id":"ITEM-1","issue":"1","issued":{"date-parts":[["2024"]]},"page":"38","title":"Metabolic memory: mechanisms and diseases","type":"article-journal","volume":"9"},"uris":["http://www.mendeley.com/documents/?uuid=ff3ce2da-ec6e-38c0-ac71-d68bf3d50578"]}],"mendeley":{"formattedCitation":"&lt;i&gt;(17)&lt;/i&gt;","plainTextFormattedCitation":"(17)","previouslyFormattedCitation":"&lt;i&gt;(17)&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(17)</w:t>
      </w:r>
      <w:r w:rsidR="00122188" w:rsidRPr="001533EC">
        <w:rPr>
          <w:rStyle w:val="Funotenzeichen"/>
          <w:sz w:val="24"/>
          <w:szCs w:val="24"/>
        </w:rPr>
        <w:fldChar w:fldCharType="end"/>
      </w:r>
      <w:r w:rsidRPr="001533EC">
        <w:rPr>
          <w:sz w:val="24"/>
          <w:szCs w:val="24"/>
        </w:rPr>
        <w:t>. However, no evidence of such an association is available for individuals with altered brain insulin resistance.</w:t>
      </w:r>
    </w:p>
    <w:p w14:paraId="26EA0E99" w14:textId="1A0C0629" w:rsidR="00C35B7A" w:rsidRPr="001533EC" w:rsidRDefault="00C35B7A" w:rsidP="00C35B7A">
      <w:pPr>
        <w:spacing w:line="480" w:lineRule="auto"/>
        <w:jc w:val="both"/>
        <w:rPr>
          <w:sz w:val="24"/>
          <w:szCs w:val="24"/>
        </w:rPr>
      </w:pPr>
      <w:r w:rsidRPr="001533EC">
        <w:rPr>
          <w:sz w:val="24"/>
        </w:rPr>
        <w:t xml:space="preserve">Hence, the present study investigated the DNA methylation in the peripheral whole blood of individuals with varying degrees of brain insulin sensitivity to identify key epigenetic markers using a machine learning approach. To achieve this goal, we compared epigenetic changes in people with and without brain insulin resistance but matched for peripheral insulin sensitivity to exclude peripheral insulin sensitivity as an important confounder. </w:t>
      </w:r>
      <w:r w:rsidR="00C363D7" w:rsidRPr="001533EC">
        <w:rPr>
          <w:sz w:val="24"/>
        </w:rPr>
        <w:t xml:space="preserve">We define brain insulin resistance based on the hypothalamic response to </w:t>
      </w:r>
      <w:proofErr w:type="spellStart"/>
      <w:r w:rsidR="00C363D7" w:rsidRPr="001533EC">
        <w:rPr>
          <w:sz w:val="24"/>
        </w:rPr>
        <w:t>i</w:t>
      </w:r>
      <w:r w:rsidR="00C363D7" w:rsidRPr="001533EC">
        <w:rPr>
          <w:rFonts w:eastAsia="Times New Roman"/>
          <w:sz w:val="24"/>
          <w:szCs w:val="24"/>
          <w:lang w:val="en-GB" w:eastAsia="de-DE"/>
        </w:rPr>
        <w:t>ntranasal</w:t>
      </w:r>
      <w:proofErr w:type="spellEnd"/>
      <w:r w:rsidR="00C363D7" w:rsidRPr="001533EC">
        <w:rPr>
          <w:rFonts w:eastAsia="Times New Roman"/>
          <w:sz w:val="24"/>
          <w:szCs w:val="24"/>
          <w:lang w:val="en-GB" w:eastAsia="de-DE"/>
        </w:rPr>
        <w:t xml:space="preserve"> insulin, which is an established tool to selectively measure brain insulin effects</w:t>
      </w:r>
      <w:r w:rsidR="009A06BF" w:rsidRPr="001533EC">
        <w:rPr>
          <w:rFonts w:eastAsia="Times New Roman"/>
          <w:sz w:val="24"/>
          <w:szCs w:val="24"/>
          <w:lang w:val="en-GB" w:eastAsia="de-DE"/>
        </w:rPr>
        <w:t xml:space="preserve"> </w:t>
      </w:r>
      <w:r w:rsidR="00122188" w:rsidRPr="001533EC">
        <w:rPr>
          <w:rStyle w:val="Funotenzeichen"/>
          <w:rFonts w:eastAsia="Times New Roman"/>
          <w:sz w:val="24"/>
          <w:szCs w:val="24"/>
          <w:lang w:val="en-GB" w:eastAsia="de-DE"/>
        </w:rPr>
        <w:fldChar w:fldCharType="begin" w:fldLock="1"/>
      </w:r>
      <w:r w:rsidR="0017498C">
        <w:rPr>
          <w:rFonts w:eastAsia="Times New Roman"/>
          <w:sz w:val="24"/>
          <w:szCs w:val="24"/>
          <w:lang w:val="en-GB" w:eastAsia="de-DE"/>
        </w:rPr>
        <w:instrText>ADDIN CSL_CITATION {"citationItems":[{"id":"ITEM-1","itemData":{"DOI":"10.1002/trc2.12459","ISSN":"2352-8737 (Electronic)","PMID":"38469552","abstract":"INTRODUCTION: Nose-to-brain (N2B) insulin delivery has potential for Alzheimer's  disease (AD) therapy. However, clinical implementation has been challenging without methods to follow N2B delivery non-invasively. Positron emission tomography (PET) was applied to measure F-18-labeled insulin ([(18)F]FB-insulin) from intranasal dosing to brain uptake in non-human primates following N2B delivery. METHODS: [(18)F]FB-insulin was prepared by reacting A(1),B(29)-di(tert-butyloxycarbonyl)insulin with [(18)F]-N-succinimidyl-4-fluorobenzoate. Three methods of N2B delivery for [(18)F]FB-insulin were compared - delivery as aerosol via tubing (rhesus macaque, n = 2), as aerosol via preplaced catheter (rhesus macaque, n = 3), and as solution via preplaced catheter (cynomolgus macaque, n = 3). Following dosing, dynamic PET imaging (120 min) quantified delivery efficiency to the nasal cavity and whole brain. Area under the time-activity curve was calculated for 46 regions of the cynomolgus macaque brain to determine regional [(18)F]FB-insulin levels. RESULTS: Liquid instillation of [(18)F]FB-insulin by catheter outperformed aerosol methods for delivery to the subject (39.89% injected dose vs 10.03% for aerosol via tubing, 0.17% for aerosol by catheter) and subsequently to brain (0.34% injected dose vs 0.00020% for aerosol via tubing, 0.05% for aerosol by catheter). [(18)F]FB-insulin was rapidly transferred across the cribriform plate to limbic and frontotemporal areas responsible for emotional and memory processing. [(18)F]FB-insulin half-life was longer in olfactory nerve projection sites with high insulin receptor density compared to the whole brain. DISCUSSION: The catheter-based liquid delivery approach combined with PET imaging successfully tracked the fate of N2B [(18)F]FB-insulin and is thought to be broadly applicable for assessments of other therapeutic agents. This method can be rapidly applied in humans to advance clinical evaluation of N2B insulin as an AD therapeutic. HIGHLIGHTS FOR: [(18)F]FB-insulin passage across the cribriform plate was detected by PET.Intranasal [(18)F]FB-insulin reached the brain within 13 min.[(18)F]FB-insulin activity was highest in emotional and memory processing regions.Aerosol delivery was less efficient than liquid instillation by preplaced catheter.Insulin delivery to the cribriform plate was critical for arrival in the brain.","author":[{"dropping-particle":"","family":"Smith","given":"Kylie","non-dropping-particle":"","parse-names":false,"suffix":""},{"dropping-particle":"","family":"Fan","given":"Jinda","non-dropping-particle":"","parse-names":false,"suffix":""},{"dropping-particle":"","family":"Marriner","given":"Gwendolyn A","non-dropping-particle":"","parse-names":false,"suffix":""},{"dropping-particle":"","family":"Gerdes","given":"John","non-dropping-particle":"","parse-names":false,"suffix":""},{"dropping-particle":"","family":"Kessler","given":"Robert","non-dropping-particle":"","parse-names":false,"suffix":""},{"dropping-particle":"","family":"Zinn","given":"Kurt R","non-dropping-particle":"","parse-names":false,"suffix":""}],"container-title":"Alzheimer's &amp; dementia (New York, N. Y.)","id":"ITEM-1","issue":"1","issued":{"date-parts":[["2024"]]},"language":"eng","page":"e12459","publisher-place":"United States","title":"Distribution of insulin in primate brain following nose-to-brain transport.","type":"article-journal","volume":"10"},"uris":["http://www.mendeley.com/documents/?uuid=2966874e-0c56-3a90-9f83-3bfc71cf805c"]},{"id":"ITEM-2","itemData":{"DOI":"10.1210/jc.2017-01976","ISSN":"1945-7197 (Electronic)","PMID":"29095982","abstract":"CONTEXT: Insulin action in the human brain influences eating behavior, cognition,  and whole-body metabolism. Studies investigating brain insulin rely on intranasal application. OBJECTIVE: To investigate effects of three doses of insulin and placebo as nasal sprays on the central and autonomous nervous system and analyze absorption of insulin into the bloodstream. DESIGN, PARTICIPANTS, AND METHODS: Nine healthy men received placebo or 40 U, 80 U, and 160 U insulin spray in randomized order. Before and after spray, brain activity was assessed by functional magnetic resonance imaging, and heart rate variability (HRV) was assessed from electrocardiogram. Plasma insulin, C-peptide, and glucose were measured regularly. SETTING: General community. RESULTS: Nasal insulin administration dose-dependently modulated regional brain activity and the normalized high-frequency component of the HRV. Post hoc analyses revealed that only 160 U insulin showed a considerable difference from placebo. Dose-dependent spillover of nasal insulin into the bloodstream was detected. The brain response was not correlated with this temporary rise in circulating insulin. CONCLUSIONS: Nasal insulin dose-dependently modulated regional brain activity with the strongest effects after 160 U. However, this dose was accompanied by a transient increase in circulating insulin concentrations due to a spillover into circulation. Our current results may serve as a basis for future studies with nasal insulin to untangle brain insulin effects in health and disease.","author":[{"dropping-particle":"","family":"Kullmann","given":"Stephanie","non-dropping-particle":"","parse-names":false,"suffix":""},{"dropping-particle":"","family":"Veit","given":"Ralf","non-dropping-particle":"","parse-names":false,"suffix":""},{"dropping-particle":"","family":"Peter","given":"Andreas","non-dropping-particle":"","parse-names":false,"suffix":""},{"dropping-particle":"","family":"Pohmann","given":"Rolf","non-dropping-particle":"","parse-names":false,"suffix":""},{"dropping-particle":"","family":"Scheffler","given":"Klaus","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dropping-particle":"","family":"Heni","given":"Martin","non-dropping-particle":"","parse-names":false,"suffix":""}],"container-title":"The Journal of clinical endocrinology and metabolism","id":"ITEM-2","issue":"1","issued":{"date-parts":[["2018","1"]]},"language":"eng","page":"253-262","publisher-place":"United States","title":"Dose-Dependent Effects of Intranasal Insulin on Resting-State Brain Activity.","type":"article-journal","volume":"103"},"uris":["http://www.mendeley.com/documents/?uuid=159f1686-16b7-471e-8b77-1d10284ba0aa"]},{"id":"ITEM-3","itemData":{"DOI":"10.1038/s41380-022-01812-3","ISSN":"1476-5578 (Electronic)","PMID":"36207585","abstract":"Type-2 Diabetes (T2D) is characterized by insulin resistance and accompanied by  psychiatric comorbidities including major depressive disorders (MDD). Patients with T2D are twice more likely to suffer from MDD and clinical studies have shown that insulin resistance is positively correlated with the severity of depressive symptoms. However, the potential contribution of central insulin signaling in MDD in patients with T2D remains elusive. Here we hypothesized that insulin modulates the serotonergic (5-HT) system to control emotional behavior and that insulin resistance in 5-HT neurons contributes to the development of mood disorders in T2D. Our results show that insulin directly modulates the activity of dorsal raphe (DR) 5-HT neurons to dampen 5-HT neurotransmission through a 5-HT(1A) receptor-mediated inhibitory feedback. In addition, insulin-induced 5-HT neuromodulation is necessary to promote anxiolytic-like effect in response to intranasal insulin delivery. Interestingly, such an anxiolytic effect of intranasal insulin as well as the response of DR 5-HT neurons to insulin are both blunted in high-fat diet-fed T2D animals. Altogether, these findings point to a novel mechanism by which insulin directly modulates the activity of DR 5-HT neurons to dampen 5-HT neurotransmission and control emotional behaviors, and emphasize the idea that impaired insulin-sensitivity in these neurons is critical for the development of T2D-associated mood disorders.","author":[{"dropping-particle":"","family":"Martin","given":"Hugo","non-dropping-particle":"","parse-names":false,"suffix":""},{"dropping-particle":"","family":"Bullich","given":"Sébastien","non-dropping-particle":"","parse-names":false,"suffix":""},{"dropping-particle":"","family":"Martinat","given":"Maud","non-dropping-particle":"","parse-names":false,"suffix":""},{"dropping-particle":"","family":"Chataigner","given":"Mathilde","non-dropping-particle":"","parse-names":false,"suffix":""},{"dropping-particle":"","family":"Miceli","given":"Mathieu","non-dropping-particle":"Di","parse-names":false,"suffix":""},{"dropping-particle":"","family":"Simon","given":"Vincent","non-dropping-particle":"","parse-names":false,"suffix":""},{"dropping-particle":"","family":"Clark","given":"Samantha","non-dropping-particle":"","parse-names":false,"suffix":""},{"dropping-particle":"","family":"Butler","given":"Jasmine","non-dropping-particle":"","parse-names":false,"suffix":""},{"dropping-particle":"","family":"Schell","given":"Mareike","non-dropping-particle":"","parse-names":false,"suffix":""},{"dropping-particle":"","family":"Chopra","given":"Simran","non-dropping-particle":"","parse-names":false,"suffix":""},{"dropping-particle":"","family":"Chaouloff","given":"Francis","non-dropping-particle":"","parse-names":false,"suffix":""},{"dropping-particle":"","family":"Kleinridders","given":"Andre","non-dropping-particle":"","parse-names":false,"suffix":""},{"dropping-particle":"","family":"Cota","given":"Daniela","non-dropping-particle":"","parse-names":false,"suffix":""},{"dropping-particle":"","family":"Deurwaerdere","given":"Philippe","non-dropping-particle":"De","parse-names":false,"suffix":""},{"dropping-particle":"","family":"Pénicaud","given":"Luc","non-dropping-particle":"","parse-names":false,"suffix":""},{"dropping-particle":"","family":"Layé","given":"Sophie","non-dropping-particle":"","parse-names":false,"suffix":""},{"dropping-particle":"","family":"Guiard","given":"Bruno P","non-dropping-particle":"","parse-names":false,"suffix":""},{"dropping-particle":"","family":"Fioramonti","given":"Xavier","non-dropping-particle":"","parse-names":false,"suffix":""}],"container-title":"Molecular psychiatry","id":"ITEM-3","issue":"6","issued":{"date-parts":[["2024","6"]]},"language":"eng","page":"1610-1619","publisher-place":"England","title":"Insulin modulates emotional behavior through a serotonin-dependent mechanism.","type":"article-journal","volume":"29"},"uris":["http://www.mendeley.com/documents/?uuid=52f55844-c7bb-3547-bae9-9beca5d020e1"]}],"mendeley":{"formattedCitation":"&lt;i&gt;(18–20)&lt;/i&gt;","plainTextFormattedCitation":"(18–20)","previouslyFormattedCitation":"&lt;i&gt;(18–20)&lt;/i&gt;"},"properties":{"noteIndex":0},"schema":"https://github.com/citation-style-language/schema/raw/master/csl-citation.json"}</w:instrText>
      </w:r>
      <w:r w:rsidR="00122188" w:rsidRPr="001533EC">
        <w:rPr>
          <w:rStyle w:val="Funotenzeichen"/>
          <w:rFonts w:eastAsia="Times New Roman"/>
          <w:sz w:val="24"/>
          <w:szCs w:val="24"/>
          <w:lang w:val="en-GB" w:eastAsia="de-DE"/>
        </w:rPr>
        <w:fldChar w:fldCharType="separate"/>
      </w:r>
      <w:r w:rsidR="00607440" w:rsidRPr="001533EC">
        <w:rPr>
          <w:rFonts w:eastAsia="Times New Roman"/>
          <w:bCs/>
          <w:i/>
          <w:noProof/>
          <w:sz w:val="24"/>
          <w:szCs w:val="24"/>
          <w:lang w:eastAsia="de-DE"/>
        </w:rPr>
        <w:t>(18–20)</w:t>
      </w:r>
      <w:r w:rsidR="00122188" w:rsidRPr="001533EC">
        <w:rPr>
          <w:rStyle w:val="Funotenzeichen"/>
          <w:rFonts w:eastAsia="Times New Roman"/>
          <w:sz w:val="24"/>
          <w:szCs w:val="24"/>
          <w:lang w:val="en-GB" w:eastAsia="de-DE"/>
        </w:rPr>
        <w:fldChar w:fldCharType="end"/>
      </w:r>
      <w:r w:rsidR="00EB35FE" w:rsidRPr="001533EC">
        <w:rPr>
          <w:rFonts w:eastAsia="Times New Roman"/>
          <w:sz w:val="24"/>
          <w:szCs w:val="24"/>
          <w:lang w:val="en-GB" w:eastAsia="de-DE"/>
        </w:rPr>
        <w:t xml:space="preserve"> </w:t>
      </w:r>
      <w:r w:rsidR="00C363D7" w:rsidRPr="001533EC">
        <w:rPr>
          <w:rFonts w:eastAsia="Times New Roman"/>
          <w:sz w:val="24"/>
          <w:szCs w:val="24"/>
          <w:lang w:val="en-GB" w:eastAsia="de-DE"/>
        </w:rPr>
        <w:t>and discern peripheral from brain insulin effects</w:t>
      </w:r>
      <w:r w:rsidR="009A06BF" w:rsidRPr="001533EC">
        <w:rPr>
          <w:rFonts w:eastAsia="Times New Roman"/>
          <w:sz w:val="24"/>
          <w:szCs w:val="24"/>
          <w:lang w:val="en-GB" w:eastAsia="de-DE"/>
        </w:rPr>
        <w:t xml:space="preserve"> </w:t>
      </w:r>
      <w:r w:rsidR="00122188" w:rsidRPr="001533EC">
        <w:rPr>
          <w:rStyle w:val="Funotenzeichen"/>
          <w:rFonts w:eastAsia="Times New Roman"/>
          <w:sz w:val="24"/>
          <w:szCs w:val="24"/>
          <w:lang w:val="en-GB" w:eastAsia="de-DE"/>
        </w:rPr>
        <w:fldChar w:fldCharType="begin" w:fldLock="1"/>
      </w:r>
      <w:r w:rsidR="00607440" w:rsidRPr="001533EC">
        <w:rPr>
          <w:rFonts w:eastAsia="Times New Roman"/>
          <w:sz w:val="24"/>
          <w:szCs w:val="24"/>
          <w:lang w:val="en-GB" w:eastAsia="de-DE"/>
        </w:rPr>
        <w:instrText>ADDIN CSL_CITATION {"citationItems":[{"id":"ITEM-1","itemData":{"DOI":"10.1007/s00125-024-06104-9","ISSN":"1432-0428","abstract":"Insulin exerts its actions not only on peripheral organs but is also transported into the brain where it performs distinct functions in various brain regions. This review highlights recent advancements in our understanding of insulin’s actions within the brain, with a specific emphasis on investigations in humans. It summarises current knowledge on the transport of insulin into the brain. Subsequently, it showcases robust evidence demonstrating the existence and physiological consequences of brain insulin action, while also introducing the presence of brain insulin resistance in humans. This pathophysiological condition goes along with an impaired acute modulation of peripheral metabolism in response to brain insulin action, particularly in the postprandial state. Furthermore, brain insulin resistance has been associated with long-term adiposity and an unfavourable adipose tissue distribution, thus implicating it in the pathogenesis of subgroups of obesity and (pre)diabetes that are characterised by distinct patterns of body fat distribution. Encouragingly, emerging evidence suggests that brain insulin resistance could represent a treatable entity, thereby opening up novel therapeutic avenues to improve systemic metabolism and enhance brain functions, including cognition. The review closes with an outlook towards prospective research directions aimed at further elucidating the clinical implications of brain insulin resistance. It emphasises the critical need to establish feasible diagnostic measures and effective therapeutic interventions.","author":[{"dropping-particle":"","family":"Heni","given":"Martin","non-dropping-particle":"","parse-names":false,"suffix":""}],"container-title":"Diabetologia","id":"ITEM-1","issued":{"date-parts":[["2024"]]},"title":"The insulin resistant brain: impact on whole-body metabolism and body fat distribution","type":"article-journal"},"uris":["http://www.mendeley.com/documents/?uuid=ee27ff2f-83b4-4277-83a1-357e4e6426d1"]}],"mendeley":{"formattedCitation":"&lt;i&gt;(8)&lt;/i&gt;","plainTextFormattedCitation":"(8)","previouslyFormattedCitation":"&lt;i&gt;(8)&lt;/i&gt;"},"properties":{"noteIndex":0},"schema":"https://github.com/citation-style-language/schema/raw/master/csl-citation.json"}</w:instrText>
      </w:r>
      <w:r w:rsidR="00122188" w:rsidRPr="001533EC">
        <w:rPr>
          <w:rStyle w:val="Funotenzeichen"/>
          <w:rFonts w:eastAsia="Times New Roman"/>
          <w:sz w:val="24"/>
          <w:szCs w:val="24"/>
          <w:lang w:val="en-GB" w:eastAsia="de-DE"/>
        </w:rPr>
        <w:fldChar w:fldCharType="separate"/>
      </w:r>
      <w:r w:rsidR="00607440" w:rsidRPr="001533EC">
        <w:rPr>
          <w:rFonts w:eastAsia="Times New Roman"/>
          <w:i/>
          <w:noProof/>
          <w:sz w:val="24"/>
          <w:szCs w:val="24"/>
          <w:lang w:val="en-GB" w:eastAsia="de-DE"/>
        </w:rPr>
        <w:t>(8)</w:t>
      </w:r>
      <w:r w:rsidR="00122188" w:rsidRPr="001533EC">
        <w:rPr>
          <w:rStyle w:val="Funotenzeichen"/>
          <w:rFonts w:eastAsia="Times New Roman"/>
          <w:sz w:val="24"/>
          <w:szCs w:val="24"/>
          <w:lang w:val="en-GB" w:eastAsia="de-DE"/>
        </w:rPr>
        <w:fldChar w:fldCharType="end"/>
      </w:r>
      <w:r w:rsidR="00C363D7" w:rsidRPr="001533EC">
        <w:rPr>
          <w:rFonts w:eastAsia="Times New Roman"/>
          <w:sz w:val="24"/>
          <w:szCs w:val="24"/>
          <w:lang w:val="en-GB" w:eastAsia="de-DE"/>
        </w:rPr>
        <w:t xml:space="preserve">. </w:t>
      </w:r>
      <w:r w:rsidRPr="001533EC">
        <w:rPr>
          <w:sz w:val="24"/>
        </w:rPr>
        <w:t>The</w:t>
      </w:r>
      <w:r w:rsidR="0047439B">
        <w:rPr>
          <w:sz w:val="24"/>
        </w:rPr>
        <w:t>se</w:t>
      </w:r>
      <w:r w:rsidRPr="001533EC">
        <w:rPr>
          <w:sz w:val="24"/>
        </w:rPr>
        <w:t xml:space="preserve"> epigenetic markers </w:t>
      </w:r>
      <w:r w:rsidR="0047439B">
        <w:rPr>
          <w:sz w:val="24"/>
        </w:rPr>
        <w:t>may</w:t>
      </w:r>
      <w:r w:rsidR="0047439B" w:rsidRPr="001533EC">
        <w:rPr>
          <w:sz w:val="24"/>
        </w:rPr>
        <w:t xml:space="preserve"> </w:t>
      </w:r>
      <w:r w:rsidRPr="001533EC">
        <w:rPr>
          <w:sz w:val="24"/>
        </w:rPr>
        <w:t>be of prognostic importance and could be further developed into panels as an alternative diagnostic method for identifying the</w:t>
      </w:r>
      <w:r w:rsidRPr="001533EC">
        <w:rPr>
          <w:sz w:val="24"/>
          <w:szCs w:val="24"/>
        </w:rPr>
        <w:t xml:space="preserve"> status of brain insulin responsiveness. </w:t>
      </w:r>
    </w:p>
    <w:p w14:paraId="77653B5D" w14:textId="77777777" w:rsidR="00C35B7A" w:rsidRPr="001533EC" w:rsidRDefault="00C35B7A" w:rsidP="00C35B7A">
      <w:pPr>
        <w:spacing w:line="480" w:lineRule="auto"/>
        <w:jc w:val="both"/>
        <w:rPr>
          <w:b/>
          <w:sz w:val="24"/>
          <w:szCs w:val="24"/>
        </w:rPr>
      </w:pPr>
    </w:p>
    <w:p w14:paraId="649AC9B9" w14:textId="7E1E90A4" w:rsidR="00C35B7A" w:rsidRPr="001533EC" w:rsidRDefault="00C35B7A" w:rsidP="001D78F9">
      <w:pPr>
        <w:spacing w:line="480" w:lineRule="auto"/>
        <w:jc w:val="both"/>
        <w:rPr>
          <w:b/>
          <w:sz w:val="24"/>
        </w:rPr>
      </w:pPr>
      <w:r w:rsidRPr="001533EC">
        <w:rPr>
          <w:b/>
          <w:sz w:val="24"/>
          <w:szCs w:val="24"/>
        </w:rPr>
        <w:t>RESULTS</w:t>
      </w:r>
      <w:r w:rsidRPr="001533EC">
        <w:rPr>
          <w:b/>
          <w:sz w:val="24"/>
          <w:szCs w:val="24"/>
        </w:rPr>
        <w:tab/>
      </w:r>
    </w:p>
    <w:p w14:paraId="0FCA6C0D" w14:textId="760623DD" w:rsidR="00C35B7A" w:rsidRPr="001533EC" w:rsidRDefault="00C35B7A" w:rsidP="00C35B7A">
      <w:pPr>
        <w:spacing w:line="480" w:lineRule="auto"/>
        <w:jc w:val="both"/>
        <w:rPr>
          <w:b/>
          <w:sz w:val="24"/>
        </w:rPr>
      </w:pPr>
      <w:r w:rsidRPr="001533EC">
        <w:rPr>
          <w:b/>
          <w:sz w:val="24"/>
        </w:rPr>
        <w:t>Study design and population characteristics</w:t>
      </w:r>
    </w:p>
    <w:p w14:paraId="639FEFAF" w14:textId="0128C1E7" w:rsidR="00C35B7A" w:rsidRPr="001533EC" w:rsidRDefault="00C35B7A" w:rsidP="00C35B7A">
      <w:pPr>
        <w:spacing w:line="480" w:lineRule="auto"/>
        <w:jc w:val="both"/>
        <w:rPr>
          <w:sz w:val="24"/>
          <w:szCs w:val="24"/>
        </w:rPr>
      </w:pPr>
      <w:r w:rsidRPr="001533EC">
        <w:rPr>
          <w:sz w:val="24"/>
          <w:szCs w:val="24"/>
        </w:rPr>
        <w:t>To identify blood-based epigenetic biomarkers that are representative of the status of hypothalamic responsiveness to insulin, a computational framework was applied to DNA methylation profiles of 167 individuals. Figure 1 illustrates the study design, the different steps, and the three cohorts (discovery, replication I</w:t>
      </w:r>
      <w:r w:rsidR="00506BB6">
        <w:rPr>
          <w:sz w:val="24"/>
          <w:szCs w:val="24"/>
        </w:rPr>
        <w:t>,</w:t>
      </w:r>
      <w:r w:rsidRPr="001533EC">
        <w:rPr>
          <w:sz w:val="24"/>
          <w:szCs w:val="24"/>
        </w:rPr>
        <w:t xml:space="preserve"> and replication II) used for the identification of epigenetic markers for brain insulin resistance. The study participants were either grouped as brain insulin sensitive (BIS) or brain insulin resistant (BIR) based on the brain insulin sensitivity index measured using CBF response to intranasal insulin (CBF in the hypothalamus 30 min after intranasal insulin minus baseline</w:t>
      </w:r>
      <w:r w:rsidR="00A615B1">
        <w:rPr>
          <w:sz w:val="24"/>
          <w:szCs w:val="24"/>
        </w:rPr>
        <w:t>,</w:t>
      </w:r>
      <w:r w:rsidRPr="001533EC">
        <w:rPr>
          <w:sz w:val="24"/>
          <w:szCs w:val="24"/>
        </w:rPr>
        <w:t xml:space="preserve"> adjusted for global CBF; </w:t>
      </w:r>
      <w:proofErr w:type="spellStart"/>
      <w:r w:rsidRPr="001533EC">
        <w:rPr>
          <w:sz w:val="24"/>
          <w:szCs w:val="24"/>
        </w:rPr>
        <w:t>ΔCBFn</w:t>
      </w:r>
      <w:proofErr w:type="spellEnd"/>
      <w:r w:rsidRPr="001533EC">
        <w:rPr>
          <w:sz w:val="24"/>
          <w:szCs w:val="24"/>
        </w:rPr>
        <w:t>-Hypothalamus)</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{"citationItems":[{"id":"ITEM-1","itemData":{"DOI":"10.1038/s41366-022-01167-3","ISSN":"1476-5497 (Electronic)","PMID":"35715625","abstract":"BACKGROUND/OBJECTIVES: Central insulin action influences cognitive processes,  peripheral metabolism, and eating behavior. However, the contribution of obesity and sex on central insulin-mediated neural food cue processing still remains unclear. SUBJECTS/METHODS: In a randomized within-participant design, including two visits, 60 participants (30 women, BMI 18-32 kg/m(2), age 21-69 years) underwent a functional MRI task measuring blood oxygen level-dependent (BOLD) signal in response to visual food cues after intranasal insulin or placebo spray administration. Central insulin action was defined as the neural BOLD response to food cues after insulin compared to placebo administration. Afterwards, participants were asked to rate the food cues for desire to eat (i.e., wanting rating). For statistical analyses, participants were grouped according to BMI and sex. RESULTS: Food cue reactivity in the amygdala showed higher BOLD activation in response to central insulin compared to placebo. Furthermore, women with overweight and obesity and men of normal weight showed higher BOLD neural food cue responsivity to central insulin compared to placebo. Higher central insulin action in the insular cortex was associated with better peripheral insulin sensitivity and higher cognitive control. Moreover, central insulin action in the dorsolateral prefrontal cortex (DLPFC) revealed significant sex differences. In response to central insulin compared to placebo, men showed lower DLPFC BOLD activity, whereas women showed higher DLPFC activity in response to highly desired food cues. On behavioral level, central insulin action significantly reduced hunger, whereas the desire to eat, especially for low caloric food cues was significantly higher with central insulin than with placebo. CONCLUSIONS: Obesity and sex influenced the central insulin-mediated neural BOLD activity to visual food cues in brain regions implicated in reward and cognitive control. These findings show that central insulin action regulates food response differentially in men and women, which may have consequences for metabolism and eating behavior.","author":[{"dropping-particle":"","family":"Wagner","given":"Lore","non-dropping-particle":"","parse-names":false,"suffix":""},{"dropping-particle":"","family":"Veit","given":"Ralf","non-dropping-particle":"","parse-names":false,"suffix":""},{"dropping-particle":"","family":"Fritsche","given":"Louise","non-dropping-particle":"","parse-names":false,"suffix":""},{"dropping-particle":"","family":"Häring","given":"Hans-Ulrich","non-dropping-particle":"","parse-names":false,"suffix":""},{"dropping-particle":"","family":"Fritsche","given":"Andreas","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International journal of obesity (2005)","id":"ITEM-1","issue":"9","issued":{"date-parts":[["2022","9"]]},"language":"eng","page":"1662-1670","publisher-place":"England","title":"Sex differences in central insulin action: Effect of intranasal insulin on neural  food cue reactivity in adults with normal weight and overweight.","type":"article-journal","volume":"46"},"uris":["http://www.mendeley.com/documents/?uuid=4ce2b473-20c7-4dfe-b5a3-8f54fb00fb04","http://www.mendeley.com/documents/?uuid=f82bd694-d989-458c-b188-4f8de02efc03"]},{"id":"ITEM-2","itemData":{"DOI":"10.2337/dc21-1136","ISSN":"1935-5548 (Electronic)","PMID":"34716213","abstract":"OBJECTIVE: Insulin action in the human brain reduces food intake, improves  whole-body insulin sensitivity, and modulates body fat mass and its distribution. Obesity and type 2 diabetes are often associated with brain insulin resistance, resulting in impaired brain-derived modulation of peripheral metabolism. So far, no pharmacological treatment for brain insulin resistance has been established. Since sodium-glucose cotransporter 2 (SGLT2) inhibitors lower glucose levels and modulate energy metabolism, we hypothesized that SGLT2 inhibition may be a pharmacological approach to reverse brain insulin resistance. RESEARCH DESIGN AND METHODS: In this randomized, double-blind, placebo-controlled clinical trial, 40 patients (mean ± SD; age 60 ± 9 years; BMI 31.5 ± 3.8 kg/m2) with prediabetes were randomized to receive 25 mg empagliflozin every day or placebo. Before and after 8 weeks of treatment, brain insulin sensitivity was assessed by functional MRI combined with intranasal administration of insulin to the brain. RESULTS: We identified a significant interaction between time and treatment in the hypothalamic response to insulin. Post hoc analyses revealed that only empagliflozin-treated patients experienced increased hypothalamic insulin responsiveness. Hypothalamic insulin action significantly mediated the empagliflozin-induced decrease in fasting glucose and liver fat. CONCLUSIONS: Our results corroborate insulin resistance of the hypothalamus in humans with prediabetes. Treatment with empagliflozin for 8 weeks was able to restore hypothalamic insulin sensitivity, a favorable response that could contribute to the beneficial effects of SGLT2 inhibitors. Our findings position SGLT2 inhibition as the first pharmacological approach to reverse brain insulin resistance, with potential benefits for adiposity and whole-body metabolism.","author":[{"dropping-particle":"","family":"Kullmann","given":"Stephanie","non-dropping-particle":"","parse-names":false,"suffix":""},{"dropping-particle":"","family":"Hummel","given":"Julia","non-dropping-particle":"","parse-names":false,"suffix":""},{"dropping-particle":"","family":"Wagner","given":"Robert","non-dropping-particle":"","parse-names":false,"suffix":""},{"dropping-particle":"","family":"Dannecker","given":"Corinna","non-dropping-particle":"","parse-names":false,"suffix":""},{"dropping-particle":"","family":"Vosseler","given":"Andreas","non-dropping-particle":"","parse-names":false,"suffix":""},{"dropping-particle":"","family":"Fritsche","given":"Louise","non-dropping-particle":"","parse-names":false,"suffix":""},{"dropping-particle":"","family":"Veit","given":"Ralf","non-dropping-particle":"","parse-names":false,"suffix":""},{"dropping-particle":"","family":"Kantartzis","given":"Konstantinos","non-dropping-particle":"","parse-names":false,"suffix":""},{"dropping-particle":"","family":"Machann","given":"Jürgen","non-dropping-particle":"","parse-names":false,"suffix":""},{"dropping-particle":"","family":"Birkenfeld","given":"Andreas L","non-dropping-particle":"","parse-names":false,"suffix":""},{"dropping-particle":"","family":"Stefan","given":"Norbert","non-dropping-particle":"","parse-names":false,"suffix":""},{"dropping-particle":"","family":"Häring","given":"Hans-Ulrich","non-dropping-particle":"","parse-names":false,"suffix":""},{"dropping-particle":"","family":"Peter","given":"Andreas","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Diabetes care","id":"ITEM-2","issue":"2","issued":{"date-parts":[["2022","2"]]},"language":"eng","page":"398-406","publisher-place":"United States","title":"Empagliflozin Improves Insulin Sensitivity of the Hypothalamus in Humans With  Prediabetes: A Randomized, Double-Blind, Placebo-Controlled, Phase 2 Trial.","type":"article-journal","volume":"45"},"uris":["http://www.mendeley.com/documents/?uuid=202c73c6-0316-4f57-b1c8-a3960af651d6"]}],"mendeley":{"formattedCitation":"&lt;i&gt;(15, 21)&lt;/i&gt;","plainTextFormattedCitation":"(15, 21)","previouslyFormattedCitation":"&lt;i&gt;(15, 21)&lt;/i&gt;"},"properties":{"noteIndex":0},"schema":"https://github.com/citation-style-language/schema/raw/master/csl-citation.json"}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(15, 21)</w:t>
      </w:r>
      <w:r w:rsidR="00122188" w:rsidRPr="001533EC">
        <w:rPr>
          <w:rStyle w:val="Funotenzeichen"/>
          <w:sz w:val="24"/>
          <w:szCs w:val="24"/>
        </w:rPr>
        <w:fldChar w:fldCharType="end"/>
      </w:r>
      <w:r w:rsidRPr="001533EC">
        <w:rPr>
          <w:sz w:val="24"/>
          <w:szCs w:val="24"/>
        </w:rPr>
        <w:t>. In the discovery cohort, 167 individuals without T2D, with a mean age of 36.6 years, and a mean BMI of 27.6 kg/m</w:t>
      </w:r>
      <w:r w:rsidRPr="001533EC">
        <w:rPr>
          <w:sz w:val="24"/>
          <w:vertAlign w:val="superscript"/>
        </w:rPr>
        <w:t>2</w:t>
      </w:r>
      <w:r w:rsidRPr="001533EC">
        <w:rPr>
          <w:sz w:val="24"/>
          <w:szCs w:val="24"/>
        </w:rPr>
        <w:t xml:space="preserve"> were included. These individuals did not differ in their peripheral insulin sensitivity as indicated by the OGTT-derived insulin sensitivity index Matsuda. Apart from the </w:t>
      </w:r>
      <w:proofErr w:type="spellStart"/>
      <w:r w:rsidRPr="001533EC">
        <w:rPr>
          <w:sz w:val="24"/>
          <w:szCs w:val="24"/>
        </w:rPr>
        <w:t>ΔCBFn</w:t>
      </w:r>
      <w:proofErr w:type="spellEnd"/>
      <w:r w:rsidRPr="001533EC">
        <w:rPr>
          <w:sz w:val="24"/>
          <w:szCs w:val="24"/>
        </w:rPr>
        <w:t xml:space="preserve">-Hypothalamus, none of the analyzed </w:t>
      </w:r>
      <w:r w:rsidRPr="001533EC">
        <w:rPr>
          <w:rFonts w:eastAsia="Times New Roman"/>
          <w:sz w:val="24"/>
          <w:szCs w:val="24"/>
        </w:rPr>
        <w:t>anthropometric or</w:t>
      </w:r>
      <w:r w:rsidRPr="001533EC">
        <w:rPr>
          <w:sz w:val="24"/>
          <w:szCs w:val="24"/>
        </w:rPr>
        <w:t xml:space="preserve"> metabolic parameters were found to be significantly different between BIS and BIR in the discovery cohort (</w:t>
      </w:r>
      <w:r w:rsidR="002D524F">
        <w:rPr>
          <w:sz w:val="24"/>
          <w:szCs w:val="24"/>
        </w:rPr>
        <w:t>P</w:t>
      </w:r>
      <w:r w:rsidR="00992EB9" w:rsidRPr="001533EC">
        <w:rPr>
          <w:sz w:val="24"/>
          <w:szCs w:val="24"/>
        </w:rPr>
        <w:t xml:space="preserve"> </w:t>
      </w:r>
      <w:r w:rsidR="00CB309B" w:rsidRPr="001533EC">
        <w:rPr>
          <w:sz w:val="24"/>
          <w:szCs w:val="24"/>
        </w:rPr>
        <w:t>= 7</w:t>
      </w:r>
      <w:r w:rsidR="00DA5BA6">
        <w:rPr>
          <w:sz w:val="24"/>
          <w:szCs w:val="24"/>
        </w:rPr>
        <w:t>.04</w:t>
      </w:r>
      <w:r w:rsidR="00CB309B" w:rsidRPr="001533EC">
        <w:rPr>
          <w:sz w:val="24"/>
          <w:szCs w:val="24"/>
        </w:rPr>
        <w:t xml:space="preserve"> x 10</w:t>
      </w:r>
      <w:r w:rsidR="00CB309B" w:rsidRPr="001533EC">
        <w:rPr>
          <w:sz w:val="24"/>
          <w:szCs w:val="24"/>
          <w:vertAlign w:val="superscript"/>
        </w:rPr>
        <w:t>-29</w:t>
      </w:r>
      <w:r w:rsidR="00CB309B" w:rsidRPr="001533EC">
        <w:rPr>
          <w:sz w:val="24"/>
          <w:szCs w:val="24"/>
        </w:rPr>
        <w:t xml:space="preserve">, </w:t>
      </w:r>
      <w:r w:rsidRPr="001533EC">
        <w:rPr>
          <w:sz w:val="24"/>
          <w:szCs w:val="24"/>
        </w:rPr>
        <w:t xml:space="preserve">Table 1, left panel). The 33 individuals in the replication cohort I were older and had a higher BMI than participants of the discovery cohort (Table 1). In addition, in contrast to the discovery cohort, not only </w:t>
      </w:r>
      <w:proofErr w:type="spellStart"/>
      <w:r w:rsidRPr="001533EC">
        <w:rPr>
          <w:sz w:val="24"/>
          <w:szCs w:val="24"/>
        </w:rPr>
        <w:t>ΔCBFn</w:t>
      </w:r>
      <w:proofErr w:type="spellEnd"/>
      <w:r w:rsidRPr="001533EC">
        <w:rPr>
          <w:sz w:val="24"/>
          <w:szCs w:val="24"/>
        </w:rPr>
        <w:t xml:space="preserve">-Hypothalamus but also fasting glucose and triglycerides differed between BIS and BIR (Table 1, right panel), thereby reflecting the </w:t>
      </w:r>
      <w:r w:rsidR="008878B2" w:rsidRPr="001533EC">
        <w:rPr>
          <w:sz w:val="24"/>
          <w:szCs w:val="24"/>
        </w:rPr>
        <w:t>heterogeneous</w:t>
      </w:r>
      <w:r w:rsidRPr="001533EC">
        <w:rPr>
          <w:sz w:val="24"/>
          <w:szCs w:val="24"/>
        </w:rPr>
        <w:t xml:space="preserve"> phenotype of most overweight and obese people. </w:t>
      </w:r>
    </w:p>
    <w:p w14:paraId="64EC423C" w14:textId="13A3670E" w:rsidR="00C35B7A" w:rsidRPr="001533EC" w:rsidRDefault="00C35B7A" w:rsidP="00C35B7A">
      <w:pPr>
        <w:spacing w:line="480" w:lineRule="auto"/>
        <w:jc w:val="both"/>
        <w:rPr>
          <w:sz w:val="24"/>
          <w:szCs w:val="24"/>
        </w:rPr>
      </w:pPr>
      <w:r w:rsidRPr="001533EC">
        <w:rPr>
          <w:sz w:val="24"/>
          <w:szCs w:val="24"/>
        </w:rPr>
        <w:t xml:space="preserve">Blood cell DNA methylation profiles were assessed using two independent approaches. First, all </w:t>
      </w:r>
      <w:proofErr w:type="spellStart"/>
      <w:r w:rsidRPr="001533EC">
        <w:rPr>
          <w:sz w:val="24"/>
          <w:szCs w:val="24"/>
        </w:rPr>
        <w:t>CpGs</w:t>
      </w:r>
      <w:proofErr w:type="spellEnd"/>
      <w:r w:rsidRPr="001533EC">
        <w:rPr>
          <w:sz w:val="24"/>
          <w:szCs w:val="24"/>
        </w:rPr>
        <w:t xml:space="preserve"> measured by EPIC array in blood cells of BIS and BIR of the discovery cohort were combined as an input for developing a machine learning workflow to identify the </w:t>
      </w:r>
      <w:proofErr w:type="spellStart"/>
      <w:r w:rsidRPr="001533EC">
        <w:rPr>
          <w:sz w:val="24"/>
          <w:szCs w:val="24"/>
        </w:rPr>
        <w:t>CpGs</w:t>
      </w:r>
      <w:proofErr w:type="spellEnd"/>
      <w:r w:rsidRPr="001533EC">
        <w:rPr>
          <w:sz w:val="24"/>
          <w:szCs w:val="24"/>
        </w:rPr>
        <w:t xml:space="preserve"> </w:t>
      </w:r>
      <w:r w:rsidR="002B0952">
        <w:rPr>
          <w:sz w:val="24"/>
          <w:szCs w:val="24"/>
        </w:rPr>
        <w:t>indicative</w:t>
      </w:r>
      <w:r w:rsidR="002B0952" w:rsidRPr="001533EC">
        <w:rPr>
          <w:sz w:val="24"/>
          <w:szCs w:val="24"/>
        </w:rPr>
        <w:t xml:space="preserve"> </w:t>
      </w:r>
      <w:r w:rsidRPr="001533EC">
        <w:rPr>
          <w:sz w:val="24"/>
          <w:szCs w:val="24"/>
        </w:rPr>
        <w:t>of the status of brain insulin resistance. Th</w:t>
      </w:r>
      <w:r w:rsidR="00C66CDB">
        <w:rPr>
          <w:sz w:val="24"/>
          <w:szCs w:val="24"/>
        </w:rPr>
        <w:t>is</w:t>
      </w:r>
      <w:r w:rsidRPr="001533EC">
        <w:rPr>
          <w:sz w:val="24"/>
          <w:szCs w:val="24"/>
        </w:rPr>
        <w:t xml:space="preserve"> cohort of 167 individuals </w:t>
      </w:r>
      <w:r w:rsidR="00BE563D">
        <w:rPr>
          <w:sz w:val="24"/>
          <w:szCs w:val="24"/>
        </w:rPr>
        <w:t>(discovery</w:t>
      </w:r>
      <w:r w:rsidR="002732B4">
        <w:rPr>
          <w:sz w:val="24"/>
          <w:szCs w:val="24"/>
        </w:rPr>
        <w:t xml:space="preserve">, </w:t>
      </w:r>
      <w:r w:rsidR="009C06A4">
        <w:rPr>
          <w:sz w:val="24"/>
          <w:szCs w:val="24"/>
        </w:rPr>
        <w:t xml:space="preserve">from </w:t>
      </w:r>
      <w:r w:rsidR="002732B4" w:rsidRPr="00BE563D">
        <w:rPr>
          <w:sz w:val="24"/>
          <w:szCs w:val="24"/>
        </w:rPr>
        <w:t>Tübingen</w:t>
      </w:r>
      <w:r w:rsidR="002732B4">
        <w:rPr>
          <w:sz w:val="24"/>
          <w:szCs w:val="24"/>
        </w:rPr>
        <w:t>, Germany</w:t>
      </w:r>
      <w:r w:rsidR="00BE563D">
        <w:rPr>
          <w:sz w:val="24"/>
          <w:szCs w:val="24"/>
        </w:rPr>
        <w:t xml:space="preserve">) </w:t>
      </w:r>
      <w:r w:rsidRPr="001533EC">
        <w:rPr>
          <w:sz w:val="24"/>
          <w:szCs w:val="24"/>
        </w:rPr>
        <w:t>was split into training (n = 118) and testing</w:t>
      </w:r>
      <w:r w:rsidR="00F9654A">
        <w:rPr>
          <w:sz w:val="24"/>
          <w:szCs w:val="24"/>
        </w:rPr>
        <w:t xml:space="preserve"> </w:t>
      </w:r>
      <w:r w:rsidR="00F9654A" w:rsidRPr="001533EC">
        <w:rPr>
          <w:sz w:val="24"/>
          <w:szCs w:val="24"/>
        </w:rPr>
        <w:t>(n = 49)</w:t>
      </w:r>
      <w:r w:rsidRPr="001533EC">
        <w:rPr>
          <w:sz w:val="24"/>
          <w:szCs w:val="24"/>
        </w:rPr>
        <w:t xml:space="preserve"> dataset</w:t>
      </w:r>
      <w:r w:rsidR="00F9654A">
        <w:rPr>
          <w:sz w:val="24"/>
          <w:szCs w:val="24"/>
        </w:rPr>
        <w:t>s</w:t>
      </w:r>
      <w:r w:rsidRPr="001533EC">
        <w:rPr>
          <w:sz w:val="24"/>
          <w:szCs w:val="24"/>
        </w:rPr>
        <w:t xml:space="preserve">. To </w:t>
      </w:r>
      <w:r w:rsidRPr="001533EC">
        <w:rPr>
          <w:sz w:val="24"/>
          <w:szCs w:val="24"/>
        </w:rPr>
        <w:lastRenderedPageBreak/>
        <w:t xml:space="preserve">evaluate the performance of the developed machine learning model, datasets of additional individuals without T2D </w:t>
      </w:r>
      <w:r w:rsidR="00870D64">
        <w:rPr>
          <w:sz w:val="24"/>
          <w:szCs w:val="24"/>
        </w:rPr>
        <w:t xml:space="preserve">from two independent centers </w:t>
      </w:r>
      <w:r w:rsidR="009044DE">
        <w:rPr>
          <w:sz w:val="24"/>
          <w:szCs w:val="24"/>
        </w:rPr>
        <w:t>were</w:t>
      </w:r>
      <w:r w:rsidR="009044DE" w:rsidRPr="001533EC">
        <w:rPr>
          <w:sz w:val="24"/>
          <w:szCs w:val="24"/>
        </w:rPr>
        <w:t xml:space="preserve"> </w:t>
      </w:r>
      <w:r w:rsidRPr="001533EC">
        <w:rPr>
          <w:sz w:val="24"/>
          <w:szCs w:val="24"/>
        </w:rPr>
        <w:t>included (replication cohorts I</w:t>
      </w:r>
      <w:r w:rsidR="00870D64">
        <w:rPr>
          <w:sz w:val="24"/>
          <w:szCs w:val="24"/>
        </w:rPr>
        <w:t xml:space="preserve"> </w:t>
      </w:r>
      <w:r w:rsidR="002732B4">
        <w:rPr>
          <w:sz w:val="24"/>
          <w:szCs w:val="24"/>
        </w:rPr>
        <w:t xml:space="preserve">from </w:t>
      </w:r>
      <w:r w:rsidR="00BE563D" w:rsidRPr="00BE563D">
        <w:rPr>
          <w:sz w:val="24"/>
          <w:szCs w:val="24"/>
        </w:rPr>
        <w:t>Tübingen</w:t>
      </w:r>
      <w:r w:rsidR="00247B00">
        <w:rPr>
          <w:sz w:val="24"/>
          <w:szCs w:val="24"/>
        </w:rPr>
        <w:t>,</w:t>
      </w:r>
      <w:r w:rsidR="002732B4">
        <w:rPr>
          <w:sz w:val="24"/>
          <w:szCs w:val="24"/>
        </w:rPr>
        <w:t xml:space="preserve"> Germany</w:t>
      </w:r>
      <w:r w:rsidR="00FB6327">
        <w:rPr>
          <w:sz w:val="24"/>
          <w:szCs w:val="24"/>
        </w:rPr>
        <w:t>,</w:t>
      </w:r>
      <w:r w:rsidRPr="001533EC">
        <w:rPr>
          <w:sz w:val="24"/>
          <w:szCs w:val="24"/>
        </w:rPr>
        <w:t xml:space="preserve"> </w:t>
      </w:r>
      <w:r w:rsidR="009B6E17">
        <w:rPr>
          <w:sz w:val="24"/>
          <w:szCs w:val="24"/>
        </w:rPr>
        <w:t xml:space="preserve">n = 33 </w:t>
      </w:r>
      <w:r w:rsidRPr="001533EC">
        <w:rPr>
          <w:sz w:val="24"/>
          <w:szCs w:val="24"/>
        </w:rPr>
        <w:t>and II</w:t>
      </w:r>
      <w:r w:rsidR="00870D64">
        <w:rPr>
          <w:sz w:val="24"/>
          <w:szCs w:val="24"/>
        </w:rPr>
        <w:t xml:space="preserve"> from Lübeck</w:t>
      </w:r>
      <w:r w:rsidR="002732B4">
        <w:rPr>
          <w:sz w:val="24"/>
          <w:szCs w:val="24"/>
        </w:rPr>
        <w:t>, Germany</w:t>
      </w:r>
      <w:r w:rsidR="00247B00">
        <w:rPr>
          <w:sz w:val="24"/>
          <w:szCs w:val="24"/>
        </w:rPr>
        <w:t>,</w:t>
      </w:r>
      <w:r w:rsidR="009B6E17">
        <w:rPr>
          <w:sz w:val="24"/>
          <w:szCs w:val="24"/>
        </w:rPr>
        <w:t xml:space="preserve"> n = 24</w:t>
      </w:r>
      <w:r w:rsidRPr="001533EC">
        <w:rPr>
          <w:sz w:val="24"/>
          <w:szCs w:val="24"/>
        </w:rPr>
        <w:t xml:space="preserve">). The second approach used a pairwise comparison (BIS versus BIR) to detect differentially methylated </w:t>
      </w:r>
      <w:proofErr w:type="spellStart"/>
      <w:r w:rsidRPr="001533EC">
        <w:rPr>
          <w:sz w:val="24"/>
          <w:szCs w:val="24"/>
        </w:rPr>
        <w:t>CpGs</w:t>
      </w:r>
      <w:proofErr w:type="spellEnd"/>
      <w:r w:rsidRPr="001533EC">
        <w:rPr>
          <w:sz w:val="24"/>
          <w:szCs w:val="24"/>
        </w:rPr>
        <w:t xml:space="preserve"> in the discovery cohort (n = 167). </w:t>
      </w:r>
    </w:p>
    <w:p w14:paraId="5A275FC8" w14:textId="77777777" w:rsidR="00C35B7A" w:rsidRPr="001533EC" w:rsidRDefault="00C35B7A" w:rsidP="00C35B7A">
      <w:pPr>
        <w:spacing w:line="480" w:lineRule="auto"/>
        <w:jc w:val="both"/>
        <w:rPr>
          <w:b/>
          <w:sz w:val="24"/>
        </w:rPr>
      </w:pPr>
    </w:p>
    <w:p w14:paraId="56B5E318" w14:textId="7EB53709" w:rsidR="00C35B7A" w:rsidRPr="001533EC" w:rsidRDefault="00C35B7A" w:rsidP="00C35B7A">
      <w:pPr>
        <w:spacing w:line="480" w:lineRule="auto"/>
        <w:jc w:val="both"/>
        <w:rPr>
          <w:b/>
          <w:sz w:val="24"/>
        </w:rPr>
      </w:pPr>
      <w:r w:rsidRPr="001533EC">
        <w:rPr>
          <w:b/>
          <w:sz w:val="24"/>
        </w:rPr>
        <w:t>Machine learning</w:t>
      </w:r>
      <w:r w:rsidRPr="001533EC">
        <w:rPr>
          <w:b/>
          <w:sz w:val="24"/>
          <w:szCs w:val="24"/>
        </w:rPr>
        <w:t xml:space="preserve">-based identification of epigenetic </w:t>
      </w:r>
      <w:r w:rsidR="006E50B8" w:rsidRPr="001533EC">
        <w:rPr>
          <w:b/>
          <w:sz w:val="24"/>
          <w:szCs w:val="24"/>
        </w:rPr>
        <w:t>classifiers</w:t>
      </w:r>
      <w:r w:rsidRPr="001533EC">
        <w:rPr>
          <w:b/>
          <w:sz w:val="24"/>
          <w:szCs w:val="24"/>
        </w:rPr>
        <w:t xml:space="preserve"> of brain insulin resistance</w:t>
      </w:r>
    </w:p>
    <w:p w14:paraId="1AD5EDC2" w14:textId="6900DEA9" w:rsidR="00C35B7A" w:rsidRPr="001533EC" w:rsidRDefault="00C35B7A" w:rsidP="00C35B7A">
      <w:pPr>
        <w:spacing w:line="480" w:lineRule="auto"/>
        <w:jc w:val="both"/>
        <w:rPr>
          <w:sz w:val="24"/>
          <w:szCs w:val="24"/>
        </w:rPr>
      </w:pPr>
      <w:r w:rsidRPr="001533EC">
        <w:rPr>
          <w:sz w:val="24"/>
          <w:szCs w:val="24"/>
        </w:rPr>
        <w:t xml:space="preserve">Machine learning methods build </w:t>
      </w:r>
      <w:r w:rsidR="0050472E">
        <w:rPr>
          <w:sz w:val="24"/>
          <w:szCs w:val="24"/>
        </w:rPr>
        <w:t>classification</w:t>
      </w:r>
      <w:r w:rsidR="0050472E" w:rsidRPr="001533EC">
        <w:rPr>
          <w:sz w:val="24"/>
          <w:szCs w:val="24"/>
        </w:rPr>
        <w:t xml:space="preserve"> </w:t>
      </w:r>
      <w:r w:rsidRPr="001533EC">
        <w:rPr>
          <w:sz w:val="24"/>
          <w:szCs w:val="24"/>
        </w:rPr>
        <w:t>models based on a training dataset and verify their sensitivity and specificity in a testing dataset. Elastic net (E-net) was used to stabilize the features (</w:t>
      </w:r>
      <w:proofErr w:type="spellStart"/>
      <w:r w:rsidRPr="001533EC">
        <w:rPr>
          <w:sz w:val="24"/>
          <w:szCs w:val="24"/>
        </w:rPr>
        <w:t>CpGs</w:t>
      </w:r>
      <w:proofErr w:type="spellEnd"/>
      <w:r w:rsidRPr="001533EC">
        <w:rPr>
          <w:sz w:val="24"/>
          <w:szCs w:val="24"/>
        </w:rPr>
        <w:t xml:space="preserve"> </w:t>
      </w:r>
      <w:r w:rsidR="006E50B8" w:rsidRPr="001533EC">
        <w:rPr>
          <w:sz w:val="24"/>
          <w:szCs w:val="24"/>
        </w:rPr>
        <w:t>classifiers</w:t>
      </w:r>
      <w:r w:rsidRPr="001533EC">
        <w:rPr>
          <w:sz w:val="24"/>
          <w:szCs w:val="24"/>
        </w:rPr>
        <w:t xml:space="preserve">) from all </w:t>
      </w:r>
      <w:proofErr w:type="spellStart"/>
      <w:r w:rsidRPr="001533EC">
        <w:rPr>
          <w:sz w:val="24"/>
          <w:szCs w:val="24"/>
        </w:rPr>
        <w:t>CpGs</w:t>
      </w:r>
      <w:proofErr w:type="spellEnd"/>
      <w:r w:rsidRPr="001533EC">
        <w:rPr>
          <w:sz w:val="24"/>
          <w:szCs w:val="24"/>
        </w:rPr>
        <w:t xml:space="preserve"> (n = 735,460) measured in the EPIC array. A total of 360 splits among 1000 were found to have no significant differences </w:t>
      </w:r>
      <w:r w:rsidR="003E4722">
        <w:rPr>
          <w:sz w:val="24"/>
          <w:szCs w:val="24"/>
        </w:rPr>
        <w:t>(</w:t>
      </w:r>
      <w:r w:rsidR="009551BC">
        <w:rPr>
          <w:sz w:val="24"/>
          <w:szCs w:val="24"/>
        </w:rPr>
        <w:t>P</w:t>
      </w:r>
      <w:r w:rsidR="003E4722">
        <w:rPr>
          <w:sz w:val="24"/>
          <w:szCs w:val="24"/>
        </w:rPr>
        <w:t xml:space="preserve"> </w:t>
      </w:r>
      <w:r w:rsidR="00247B00">
        <w:rPr>
          <w:sz w:val="24"/>
          <w:szCs w:val="24"/>
        </w:rPr>
        <w:t xml:space="preserve">≥ </w:t>
      </w:r>
      <w:r w:rsidR="003E4722">
        <w:rPr>
          <w:sz w:val="24"/>
          <w:szCs w:val="24"/>
        </w:rPr>
        <w:t xml:space="preserve">0.05) </w:t>
      </w:r>
      <w:r w:rsidRPr="001533EC">
        <w:rPr>
          <w:sz w:val="24"/>
          <w:szCs w:val="24"/>
        </w:rPr>
        <w:t>in any other characteristics except for brain insulin sensitivity (Table S1</w:t>
      </w:r>
      <w:r w:rsidR="007E0F35">
        <w:rPr>
          <w:sz w:val="24"/>
          <w:szCs w:val="24"/>
        </w:rPr>
        <w:t xml:space="preserve"> in data file S1</w:t>
      </w:r>
      <w:r w:rsidRPr="001533EC">
        <w:rPr>
          <w:sz w:val="24"/>
          <w:szCs w:val="24"/>
        </w:rPr>
        <w:t>)</w:t>
      </w:r>
      <w:r w:rsidR="00F35CFC"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{"citationItems":[{"id":"ITEM-1","itemData":{"DOI":"10.1093/bioinformatics/btaa046","ISSN":"1367-4811 (Electronic)","PMID":"31985777","abstract":"SUMMARY: Feature selection can improve the accuracy of machine-learning models,  but appropriate steps must be taken to avoid overfitting. Nested cross-validation (nCV) is a common approach that chooses the classification model and features to represent a given outer fold based on features that give the maximum inner-fold accuracy. Differential privacy is a related technique to avoid overfitting that uses a privacy-preserving noise mechanism to identify features that are stable between training and holdout sets.We develop consensus nested cross-validation (cnCV) that combines the idea of feature stability from differential privacy with nCV. Feature selection is applied in each inner fold and the consensus of top features across folds is used as a measure of feature stability or reliability instead of classification accuracy, which is used in standard nCV. We use simulated data with main effects, correlation and interactions to compare the classification accuracy and feature selection performance of the new cnCV with standard nCV, Elastic Net optimized by cross-validation, differential privacy and private evaporative cooling (pEC). We also compare these methods using real RNA-seq data from a study of major depressive disorder.The cnCV method has similar training and validation accuracy to nCV, but cnCV has much shorter run times because it does not construct classifiers in the inner folds. The cnCV method chooses a more parsimonious set of features with fewer false positives than nCV. The cnCV method has similar accuracy to pEC and cnCV selects stable features between folds without the need to specify a privacy threshold. We show that cnCV is an effective and efficient approach for combining feature selection with classification. AVAILABILITY AND IMPLEMENTATION: Code available at https://github.com/insilico/cncv. SUPPLEMENTARY INFORMATION: Supplementary data are available at Bioinformatics online.","author":[{"dropping-particle":"","family":"Parvandeh","given":"Saeid","non-dropping-particle":"","parse-names":false,"suffix":""},{"dropping-particle":"","family":"Yeh","given":"Hung-Wen","non-dropping-particle":"","parse-names":false,"suffix":""},{"dropping-particle":"","family":"Paulus","given":"Martin P","non-dropping-particle":"","parse-names":false,"suffix":""},{"dropping-particle":"","family":"McKinney","given":"Brett A","non-dropping-particle":"","parse-names":false,"suffix":""}],"container-title":"Bioinformatics (Oxford, England)","id":"ITEM-1","issue":"10","issued":{"date-parts":[["2020","5"]]},"language":"eng","page":"3093-3098","publisher-place":"England","title":"Consensus features nested cross-validation.","type":"article-journal","volume":"36"},"uris":["http://www.mendeley.com/documents/?uuid=d13551f0-bc1f-42f4-9e05-eaba93d20aa5"]}],"mendeley":{"formattedCitation":"&lt;i&gt;(22)&lt;/i&gt;","plainTextFormattedCitation":"(22)","previouslyFormattedCitation":"&lt;i&gt;(22)&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(22)</w:t>
      </w:r>
      <w:r w:rsidR="00122188" w:rsidRPr="001533EC">
        <w:rPr>
          <w:rStyle w:val="Funotenzeichen"/>
          <w:sz w:val="24"/>
          <w:szCs w:val="24"/>
        </w:rPr>
        <w:fldChar w:fldCharType="end"/>
      </w:r>
      <w:r w:rsidRPr="001533EC">
        <w:rPr>
          <w:sz w:val="24"/>
          <w:szCs w:val="24"/>
        </w:rPr>
        <w:t xml:space="preserve">. This step was performed to ensure that the generated models are specific for brain insulin resistance, independent of whole-body insulin resistance, in the training datasets. The corresponding 360 models included 7,240 </w:t>
      </w:r>
      <w:proofErr w:type="spellStart"/>
      <w:r w:rsidRPr="001533EC">
        <w:rPr>
          <w:sz w:val="24"/>
          <w:szCs w:val="24"/>
        </w:rPr>
        <w:t>CpGs</w:t>
      </w:r>
      <w:proofErr w:type="spellEnd"/>
      <w:r w:rsidRPr="001533EC">
        <w:rPr>
          <w:sz w:val="24"/>
          <w:szCs w:val="24"/>
        </w:rPr>
        <w:t xml:space="preserve"> (</w:t>
      </w:r>
      <w:r w:rsidR="006E50B8" w:rsidRPr="001533EC">
        <w:rPr>
          <w:sz w:val="24"/>
          <w:szCs w:val="24"/>
        </w:rPr>
        <w:t>classifiers</w:t>
      </w:r>
      <w:r w:rsidRPr="001533EC">
        <w:rPr>
          <w:sz w:val="24"/>
          <w:szCs w:val="24"/>
        </w:rPr>
        <w:t xml:space="preserve">) (detailed in fig. S1). Among these, 540 </w:t>
      </w:r>
      <w:proofErr w:type="spellStart"/>
      <w:r w:rsidRPr="001533EC">
        <w:rPr>
          <w:sz w:val="24"/>
          <w:szCs w:val="24"/>
        </w:rPr>
        <w:t>CpGs</w:t>
      </w:r>
      <w:proofErr w:type="spellEnd"/>
      <w:r w:rsidRPr="001533EC">
        <w:rPr>
          <w:sz w:val="24"/>
          <w:szCs w:val="24"/>
        </w:rPr>
        <w:t xml:space="preserve"> appeared to be the most stable as they were identified in at least 10% of the models. As depicted in the heatmap, DNA methylation patterns in the 540 </w:t>
      </w:r>
      <w:proofErr w:type="spellStart"/>
      <w:r w:rsidRPr="001533EC">
        <w:rPr>
          <w:sz w:val="24"/>
          <w:szCs w:val="24"/>
        </w:rPr>
        <w:t>CpGs</w:t>
      </w:r>
      <w:proofErr w:type="spellEnd"/>
      <w:r w:rsidRPr="001533EC">
        <w:rPr>
          <w:sz w:val="24"/>
          <w:szCs w:val="24"/>
        </w:rPr>
        <w:t xml:space="preserve"> </w:t>
      </w:r>
      <w:r w:rsidR="006E50B8" w:rsidRPr="001533EC">
        <w:rPr>
          <w:sz w:val="24"/>
          <w:szCs w:val="24"/>
        </w:rPr>
        <w:t>classifiers</w:t>
      </w:r>
      <w:r w:rsidRPr="001533EC">
        <w:rPr>
          <w:sz w:val="24"/>
          <w:szCs w:val="24"/>
        </w:rPr>
        <w:t xml:space="preserve"> were different and could distinguish between BIS and BIR (Fig. 2A). </w:t>
      </w:r>
      <w:r w:rsidR="002B7C32">
        <w:rPr>
          <w:sz w:val="24"/>
          <w:szCs w:val="24"/>
        </w:rPr>
        <w:t>Last</w:t>
      </w:r>
      <w:r w:rsidRPr="001533EC">
        <w:rPr>
          <w:sz w:val="24"/>
          <w:szCs w:val="24"/>
        </w:rPr>
        <w:t xml:space="preserve">, the </w:t>
      </w:r>
      <w:r w:rsidR="00CA44D7">
        <w:rPr>
          <w:sz w:val="24"/>
          <w:szCs w:val="24"/>
        </w:rPr>
        <w:t>classification</w:t>
      </w:r>
      <w:r w:rsidR="00CA44D7" w:rsidRPr="001533EC">
        <w:rPr>
          <w:sz w:val="24"/>
          <w:szCs w:val="24"/>
        </w:rPr>
        <w:t xml:space="preserve"> </w:t>
      </w:r>
      <w:r w:rsidRPr="001533EC">
        <w:rPr>
          <w:sz w:val="24"/>
          <w:szCs w:val="24"/>
        </w:rPr>
        <w:t xml:space="preserve">capacity of these 540 </w:t>
      </w:r>
      <w:proofErr w:type="spellStart"/>
      <w:r w:rsidRPr="001533EC">
        <w:rPr>
          <w:sz w:val="24"/>
          <w:szCs w:val="24"/>
        </w:rPr>
        <w:t>CpGs</w:t>
      </w:r>
      <w:proofErr w:type="spellEnd"/>
      <w:r w:rsidRPr="001533EC">
        <w:rPr>
          <w:sz w:val="24"/>
          <w:szCs w:val="24"/>
        </w:rPr>
        <w:t xml:space="preserve"> was evaluated on the replication cohort I (n = 33) by Random Forest (RF) (accuracy = 94%, ROC-AUC = 0.97) </w:t>
      </w:r>
      <w:r w:rsidR="00D60239">
        <w:rPr>
          <w:sz w:val="24"/>
          <w:szCs w:val="24"/>
        </w:rPr>
        <w:t xml:space="preserve">showing 95% confidence interval (CI): (79.8, 99.2) </w:t>
      </w:r>
      <w:r w:rsidRPr="001533EC">
        <w:rPr>
          <w:sz w:val="24"/>
          <w:szCs w:val="24"/>
        </w:rPr>
        <w:t>and Support Vector Machine (SVM) (accuracy</w:t>
      </w:r>
      <w:r w:rsidR="002C6089">
        <w:rPr>
          <w:sz w:val="24"/>
          <w:szCs w:val="24"/>
        </w:rPr>
        <w:t xml:space="preserve"> </w:t>
      </w:r>
      <w:r w:rsidRPr="001533EC">
        <w:rPr>
          <w:sz w:val="24"/>
          <w:szCs w:val="24"/>
        </w:rPr>
        <w:t>=</w:t>
      </w:r>
      <w:r w:rsidR="002C6089">
        <w:rPr>
          <w:sz w:val="24"/>
          <w:szCs w:val="24"/>
        </w:rPr>
        <w:t xml:space="preserve"> </w:t>
      </w:r>
      <w:r w:rsidRPr="001533EC">
        <w:rPr>
          <w:sz w:val="24"/>
          <w:szCs w:val="24"/>
        </w:rPr>
        <w:t>88%, ROC-AUC = 0.97, Fig. 2B)</w:t>
      </w:r>
      <w:r w:rsidR="00D60239">
        <w:rPr>
          <w:sz w:val="24"/>
          <w:szCs w:val="24"/>
        </w:rPr>
        <w:t xml:space="preserve"> with 95% CI: (71.8, 96.6)</w:t>
      </w:r>
      <w:r w:rsidRPr="001533EC">
        <w:rPr>
          <w:sz w:val="24"/>
          <w:szCs w:val="24"/>
        </w:rPr>
        <w:t>. As outlined by precision recall curve, the Matthew correlation coefficient (MCC)</w:t>
      </w:r>
      <w:r w:rsidR="002C6089">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{"citationItems":[{"id":"ITEM-1","itemData":{"DOI":"10.1186/s12864-019-6413-7","ISSN":"1471-2164 (Electronic)","PMID":"31898477","abstract":"BACKGROUND: To evaluate binary classifications and their confusion matrices,  scientific researchers can employ several statistical rates, accordingly to the goal of the experiment they are investigating. Despite being a crucial issue in machine learning, no widespread consensus has been reached on a unified elective chosen measure yet. Accuracy and F(1) score computed on confusion matrices have been (and still are) among the most popular adopted metrics in binary classification tasks. However, these statistical measures can dangerously show overoptimistic inflated results, especially on imbalanced datasets. RESULTS: The Matthews correlation coefficient (MCC), instead, is a more reliable statistical rate which produces a high score only if the prediction obtained good results in all of the four confusion matrix categories (true positives, false negatives, true negatives, and false positives), proportionally both to the size of positive elements and the size of negative elements in the dataset. CONCLUSIONS: In this article, we show how MCC produces a more informative and truthful score in evaluating binary classifications than accuracy and F(1) score, by first explaining the mathematical properties, and then the asset of MCC in six synthetic use cases and in a real genomics scenario. We believe that the Matthews correlation coefficient should be preferred to accuracy and F(1) score in evaluating binary classification tasks by all scientific communities.","author":[{"dropping-particle":"","family":"Chicco","given":"Davide","non-dropping-particle":"","parse-names":false,"suffix":""},{"dropping-particle":"","family":"Jurman","given":"Giuseppe","non-dropping-particle":"","parse-names":false,"suffix":""}],"container-title":"BMC genomics","id":"ITEM-1","issue":"1","issued":{"date-parts":[["2020","1"]]},"language":"eng","page":"6","publisher-place":"England","title":"The advantages of the Matthews correlation coefficient (MCC) over F1 score and  accuracy in binary classification evaluation.","type":"article-journal","volume":"21"},"uris":["http://www.mendeley.com/documents/?uuid=37d98458-b7ce-377c-b969-3b8e3f25a8c5"]}],"mendeley":{"formattedCitation":"&lt;i&gt;(23)&lt;/i&gt;","plainTextFormattedCitation":"(23)","previouslyFormattedCitation":"&lt;i&gt;(23)&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(23)</w:t>
      </w:r>
      <w:r w:rsidR="00122188" w:rsidRPr="001533EC">
        <w:rPr>
          <w:rStyle w:val="Funotenzeichen"/>
          <w:sz w:val="24"/>
          <w:szCs w:val="24"/>
        </w:rPr>
        <w:fldChar w:fldCharType="end"/>
      </w:r>
      <w:r w:rsidRPr="001533EC">
        <w:rPr>
          <w:sz w:val="24"/>
          <w:szCs w:val="24"/>
        </w:rPr>
        <w:t>, further</w:t>
      </w:r>
      <w:r w:rsidRPr="001533EC">
        <w:t xml:space="preserve"> </w:t>
      </w:r>
      <w:r w:rsidRPr="001533EC">
        <w:rPr>
          <w:sz w:val="24"/>
          <w:szCs w:val="24"/>
        </w:rPr>
        <w:t xml:space="preserve">reinforced fairly high </w:t>
      </w:r>
      <w:r w:rsidR="00CA44D7">
        <w:rPr>
          <w:sz w:val="24"/>
          <w:szCs w:val="24"/>
        </w:rPr>
        <w:t>classification</w:t>
      </w:r>
      <w:r w:rsidR="00CA44D7" w:rsidRPr="001533EC">
        <w:rPr>
          <w:sz w:val="24"/>
          <w:szCs w:val="24"/>
        </w:rPr>
        <w:t xml:space="preserve"> </w:t>
      </w:r>
      <w:r w:rsidRPr="001533EC">
        <w:rPr>
          <w:sz w:val="24"/>
          <w:szCs w:val="24"/>
        </w:rPr>
        <w:t xml:space="preserve">power of the identified 540 </w:t>
      </w:r>
      <w:proofErr w:type="spellStart"/>
      <w:r w:rsidRPr="001533EC">
        <w:rPr>
          <w:sz w:val="24"/>
          <w:szCs w:val="24"/>
        </w:rPr>
        <w:t>CpGs</w:t>
      </w:r>
      <w:proofErr w:type="spellEnd"/>
      <w:r w:rsidRPr="001533EC">
        <w:rPr>
          <w:sz w:val="24"/>
          <w:szCs w:val="24"/>
        </w:rPr>
        <w:t xml:space="preserve"> (MCC for RF = 0.87, MCC for SVM = 0.72)</w:t>
      </w:r>
      <w:r w:rsidR="00D60239">
        <w:rPr>
          <w:sz w:val="24"/>
          <w:szCs w:val="24"/>
        </w:rPr>
        <w:t xml:space="preserve"> </w:t>
      </w:r>
      <w:r w:rsidRPr="001533EC">
        <w:rPr>
          <w:sz w:val="24"/>
          <w:szCs w:val="24"/>
        </w:rPr>
        <w:t>(Fig. 2</w:t>
      </w:r>
      <w:r w:rsidR="0042490C">
        <w:rPr>
          <w:sz w:val="24"/>
          <w:szCs w:val="24"/>
        </w:rPr>
        <w:t>B</w:t>
      </w:r>
      <w:r w:rsidRPr="001533EC">
        <w:rPr>
          <w:sz w:val="24"/>
          <w:szCs w:val="24"/>
        </w:rPr>
        <w:t>).</w:t>
      </w:r>
    </w:p>
    <w:p w14:paraId="1C0EDD62" w14:textId="76F66E03" w:rsidR="00C35B7A" w:rsidRPr="001533EC" w:rsidRDefault="00C35B7A" w:rsidP="00C35B7A">
      <w:pPr>
        <w:spacing w:line="480" w:lineRule="auto"/>
        <w:jc w:val="both"/>
        <w:rPr>
          <w:sz w:val="24"/>
          <w:szCs w:val="24"/>
        </w:rPr>
      </w:pPr>
      <w:r w:rsidRPr="001533EC">
        <w:rPr>
          <w:sz w:val="24"/>
          <w:szCs w:val="24"/>
        </w:rPr>
        <w:t xml:space="preserve">To better understand the potential role of these epigenetic </w:t>
      </w:r>
      <w:r w:rsidR="006E50B8" w:rsidRPr="001533EC">
        <w:rPr>
          <w:sz w:val="24"/>
          <w:szCs w:val="24"/>
        </w:rPr>
        <w:t>markers</w:t>
      </w:r>
      <w:r w:rsidRPr="001533EC">
        <w:rPr>
          <w:sz w:val="24"/>
          <w:szCs w:val="24"/>
        </w:rPr>
        <w:t xml:space="preserve">, gene ontology analysis was performed for 445 genes annotated to the 540 </w:t>
      </w:r>
      <w:proofErr w:type="spellStart"/>
      <w:r w:rsidRPr="001533EC">
        <w:rPr>
          <w:sz w:val="24"/>
          <w:szCs w:val="24"/>
        </w:rPr>
        <w:t>CpGs</w:t>
      </w:r>
      <w:proofErr w:type="spellEnd"/>
      <w:r w:rsidRPr="001533EC">
        <w:rPr>
          <w:sz w:val="24"/>
          <w:szCs w:val="24"/>
        </w:rPr>
        <w:t xml:space="preserve"> </w:t>
      </w:r>
      <w:r w:rsidR="006E50B8" w:rsidRPr="001533EC">
        <w:rPr>
          <w:sz w:val="24"/>
          <w:szCs w:val="24"/>
        </w:rPr>
        <w:t>classifiers</w:t>
      </w:r>
      <w:r w:rsidRPr="001533EC">
        <w:rPr>
          <w:sz w:val="24"/>
          <w:szCs w:val="24"/>
        </w:rPr>
        <w:t xml:space="preserve">. Several GO terms (biological </w:t>
      </w:r>
      <w:r w:rsidRPr="001533EC">
        <w:rPr>
          <w:sz w:val="24"/>
          <w:szCs w:val="24"/>
        </w:rPr>
        <w:lastRenderedPageBreak/>
        <w:t>process and molecular function) grouping into neuronal development and related processes (</w:t>
      </w:r>
      <w:proofErr w:type="spellStart"/>
      <w:r w:rsidRPr="001533EC">
        <w:rPr>
          <w:sz w:val="24"/>
          <w:szCs w:val="24"/>
        </w:rPr>
        <w:t>axonogenesis</w:t>
      </w:r>
      <w:proofErr w:type="spellEnd"/>
      <w:r w:rsidRPr="001533EC">
        <w:rPr>
          <w:sz w:val="24"/>
          <w:szCs w:val="24"/>
        </w:rPr>
        <w:t>, nervous system development), sensory system development, and cell migration and adhesion were found to be enriched (</w:t>
      </w:r>
      <w:r w:rsidR="00487061">
        <w:rPr>
          <w:sz w:val="24"/>
          <w:szCs w:val="24"/>
        </w:rPr>
        <w:t>P</w:t>
      </w:r>
      <w:r w:rsidR="00487061" w:rsidRPr="001533EC">
        <w:rPr>
          <w:sz w:val="24"/>
          <w:szCs w:val="24"/>
        </w:rPr>
        <w:t xml:space="preserve"> </w:t>
      </w:r>
      <w:r w:rsidRPr="001533EC">
        <w:rPr>
          <w:sz w:val="24"/>
          <w:szCs w:val="24"/>
        </w:rPr>
        <w:t>&lt; 0.05) (Fig. 2</w:t>
      </w:r>
      <w:r w:rsidR="0042490C">
        <w:rPr>
          <w:sz w:val="24"/>
          <w:szCs w:val="24"/>
        </w:rPr>
        <w:t>C</w:t>
      </w:r>
      <w:r w:rsidRPr="001533EC">
        <w:rPr>
          <w:sz w:val="24"/>
          <w:szCs w:val="24"/>
        </w:rPr>
        <w:t xml:space="preserve"> and Table S2</w:t>
      </w:r>
      <w:r w:rsidR="007C0408">
        <w:rPr>
          <w:sz w:val="24"/>
          <w:szCs w:val="24"/>
        </w:rPr>
        <w:t xml:space="preserve"> in data file S1</w:t>
      </w:r>
      <w:r w:rsidRPr="001533EC">
        <w:rPr>
          <w:sz w:val="24"/>
          <w:szCs w:val="24"/>
        </w:rPr>
        <w:t xml:space="preserve">). Taken together, most genes annotated to these </w:t>
      </w:r>
      <w:proofErr w:type="spellStart"/>
      <w:r w:rsidRPr="001533EC">
        <w:rPr>
          <w:sz w:val="24"/>
          <w:szCs w:val="24"/>
        </w:rPr>
        <w:t>CpGs</w:t>
      </w:r>
      <w:proofErr w:type="spellEnd"/>
      <w:r w:rsidRPr="001533EC">
        <w:rPr>
          <w:sz w:val="24"/>
          <w:szCs w:val="24"/>
        </w:rPr>
        <w:t xml:space="preserve"> and found to be epigenetic </w:t>
      </w:r>
      <w:r w:rsidR="006E50B8" w:rsidRPr="001533EC">
        <w:rPr>
          <w:sz w:val="24"/>
          <w:szCs w:val="24"/>
        </w:rPr>
        <w:t>classifiers</w:t>
      </w:r>
      <w:r w:rsidRPr="001533EC">
        <w:rPr>
          <w:sz w:val="24"/>
          <w:szCs w:val="24"/>
        </w:rPr>
        <w:t xml:space="preserve"> were indeed related to biological processes that could play an important role in brain insulin resistance. </w:t>
      </w:r>
    </w:p>
    <w:p w14:paraId="5FB22F8E" w14:textId="77777777" w:rsidR="00C35B7A" w:rsidRPr="001533EC" w:rsidRDefault="00C35B7A" w:rsidP="00C35B7A">
      <w:pPr>
        <w:spacing w:line="480" w:lineRule="auto"/>
        <w:jc w:val="both"/>
        <w:rPr>
          <w:b/>
          <w:sz w:val="24"/>
        </w:rPr>
      </w:pPr>
    </w:p>
    <w:p w14:paraId="014FAB08" w14:textId="455E5C56" w:rsidR="00C35B7A" w:rsidRPr="001533EC" w:rsidRDefault="00C35B7A" w:rsidP="00C35B7A">
      <w:pPr>
        <w:spacing w:line="480" w:lineRule="auto"/>
        <w:jc w:val="both"/>
        <w:rPr>
          <w:b/>
          <w:sz w:val="24"/>
        </w:rPr>
      </w:pPr>
      <w:r w:rsidRPr="001533EC">
        <w:rPr>
          <w:b/>
          <w:sz w:val="24"/>
        </w:rPr>
        <w:t>DNA methylome differs between BIS and BIR individuals</w:t>
      </w:r>
    </w:p>
    <w:p w14:paraId="68610EBF" w14:textId="3B678B81" w:rsidR="00C35B7A" w:rsidRPr="001533EC" w:rsidRDefault="00C35B7A" w:rsidP="00C35B7A">
      <w:pPr>
        <w:spacing w:line="480" w:lineRule="auto"/>
        <w:jc w:val="both"/>
        <w:rPr>
          <w:sz w:val="24"/>
          <w:szCs w:val="24"/>
        </w:rPr>
      </w:pPr>
      <w:r w:rsidRPr="001533EC">
        <w:rPr>
          <w:sz w:val="24"/>
          <w:szCs w:val="24"/>
        </w:rPr>
        <w:t xml:space="preserve">In contrast to machine learning, DMP (differentially methylated positions) calculation compares two well-defined groups. In the discovery cohort, the DNA methylation profiles in peripheral blood of BIR (n = 86) were compared to those measured in BIS (n = 81) individuals (Fig. 3), resulting in a total of 5,481 CpG positions with differential DNA methylation (AdjP&lt;0.05, Fig. 3A-B) between the BIS and BIR individuals, after adjusting for all relevant technical and biological confounders (as detailed in Supplementary </w:t>
      </w:r>
      <w:r w:rsidR="00326B38">
        <w:rPr>
          <w:sz w:val="24"/>
          <w:szCs w:val="24"/>
        </w:rPr>
        <w:t xml:space="preserve">materials and </w:t>
      </w:r>
      <w:r w:rsidRPr="001533EC">
        <w:rPr>
          <w:sz w:val="24"/>
          <w:szCs w:val="24"/>
        </w:rPr>
        <w:t xml:space="preserve">methods). As depicted in the outer part of the </w:t>
      </w:r>
      <w:proofErr w:type="spellStart"/>
      <w:r w:rsidRPr="001533EC">
        <w:rPr>
          <w:sz w:val="24"/>
          <w:szCs w:val="24"/>
        </w:rPr>
        <w:t>circos</w:t>
      </w:r>
      <w:proofErr w:type="spellEnd"/>
      <w:r w:rsidRPr="001533EC">
        <w:rPr>
          <w:sz w:val="24"/>
          <w:szCs w:val="24"/>
        </w:rPr>
        <w:t xml:space="preserve"> plot of fig. S2, the 5481 DMPs were equally distributed across the genome. Additional information about the genomic distribution is detailed in fig. S3-S4.</w:t>
      </w:r>
    </w:p>
    <w:p w14:paraId="6E7FA21B" w14:textId="40CCDC96" w:rsidR="00C35B7A" w:rsidRPr="001533EC" w:rsidRDefault="00C35B7A" w:rsidP="00C35B7A">
      <w:pPr>
        <w:spacing w:line="480" w:lineRule="auto"/>
        <w:jc w:val="both"/>
        <w:rPr>
          <w:sz w:val="24"/>
          <w:szCs w:val="24"/>
        </w:rPr>
      </w:pPr>
      <w:r w:rsidRPr="001533EC">
        <w:rPr>
          <w:sz w:val="24"/>
          <w:szCs w:val="24"/>
        </w:rPr>
        <w:t>As expected, the majority of the methylation differences between BIS and BIR</w:t>
      </w:r>
      <w:r w:rsidRPr="001533EC" w:rsidDel="00964127">
        <w:rPr>
          <w:sz w:val="24"/>
          <w:szCs w:val="24"/>
        </w:rPr>
        <w:t xml:space="preserve"> </w:t>
      </w:r>
      <w:r w:rsidRPr="001533EC">
        <w:rPr>
          <w:sz w:val="24"/>
          <w:szCs w:val="24"/>
        </w:rPr>
        <w:t>were small (around 1 to 2.5%). Indeed, only 498 DMPs had larger methylation differences than 2.5% (|Δβ| = |β</w:t>
      </w:r>
      <w:r w:rsidRPr="001533EC">
        <w:rPr>
          <w:sz w:val="24"/>
          <w:szCs w:val="24"/>
          <w:vertAlign w:val="subscript"/>
        </w:rPr>
        <w:t>BIS</w:t>
      </w:r>
      <w:r w:rsidRPr="001533EC">
        <w:rPr>
          <w:sz w:val="24"/>
          <w:szCs w:val="24"/>
        </w:rPr>
        <w:t xml:space="preserve"> - β</w:t>
      </w:r>
      <w:r w:rsidRPr="001533EC">
        <w:rPr>
          <w:sz w:val="24"/>
          <w:szCs w:val="24"/>
          <w:vertAlign w:val="subscript"/>
        </w:rPr>
        <w:t>BIR</w:t>
      </w:r>
      <w:r w:rsidRPr="001533EC">
        <w:rPr>
          <w:sz w:val="24"/>
          <w:szCs w:val="24"/>
        </w:rPr>
        <w:t>| ≥ 2.5%: AdjP</w:t>
      </w:r>
      <w:r w:rsidR="00681F99">
        <w:rPr>
          <w:sz w:val="24"/>
          <w:szCs w:val="24"/>
        </w:rPr>
        <w:t xml:space="preserve"> </w:t>
      </w:r>
      <w:r w:rsidRPr="001533EC">
        <w:rPr>
          <w:sz w:val="24"/>
          <w:szCs w:val="24"/>
        </w:rPr>
        <w:t>&lt;</w:t>
      </w:r>
      <w:r w:rsidR="00681F99">
        <w:rPr>
          <w:sz w:val="24"/>
          <w:szCs w:val="24"/>
        </w:rPr>
        <w:t xml:space="preserve"> </w:t>
      </w:r>
      <w:r w:rsidRPr="001533EC">
        <w:rPr>
          <w:sz w:val="24"/>
          <w:szCs w:val="24"/>
        </w:rPr>
        <w:t xml:space="preserve">0.05). Out of these, 317 were found to be hypomethylated and 181 were hypermethylated in BIR individuals compared to BIS (Fig. 3B). All in all, </w:t>
      </w:r>
      <w:r w:rsidR="00D70683">
        <w:rPr>
          <w:sz w:val="24"/>
          <w:szCs w:val="24"/>
        </w:rPr>
        <w:t>these</w:t>
      </w:r>
      <w:r w:rsidR="00D70683" w:rsidRPr="001533EC">
        <w:rPr>
          <w:sz w:val="24"/>
          <w:szCs w:val="24"/>
        </w:rPr>
        <w:t xml:space="preserve"> </w:t>
      </w:r>
      <w:r w:rsidRPr="001533EC">
        <w:rPr>
          <w:sz w:val="24"/>
          <w:szCs w:val="24"/>
        </w:rPr>
        <w:t xml:space="preserve">498 DMPs were annotated to 304 genes enriched for nervous system development, dendrite self-avoidance, cell adhesion, axon guidance, and </w:t>
      </w:r>
      <w:proofErr w:type="spellStart"/>
      <w:r w:rsidRPr="001533EC">
        <w:rPr>
          <w:sz w:val="24"/>
          <w:szCs w:val="24"/>
        </w:rPr>
        <w:t>axonogenesis</w:t>
      </w:r>
      <w:proofErr w:type="spellEnd"/>
      <w:r w:rsidRPr="001533EC">
        <w:rPr>
          <w:sz w:val="24"/>
          <w:szCs w:val="24"/>
        </w:rPr>
        <w:t xml:space="preserve"> (Fig. 3C). Moreover, by examining the corresponding cellular compartments, we found 15 genes encoding for proteins located in axons, 8 in the presynaptic membrane, 86 in the plasma membrane, 9 in the actin cytoskeleton, and 12 in the synapse. These results indicate that altered DNA methylation profiles detected in </w:t>
      </w:r>
      <w:r w:rsidRPr="001533EC">
        <w:rPr>
          <w:sz w:val="24"/>
          <w:szCs w:val="24"/>
        </w:rPr>
        <w:lastRenderedPageBreak/>
        <w:t xml:space="preserve">the BIR group specifically occurred in genes related to brain development and signaling and could potentially reflect the status of brain insulin resistance. </w:t>
      </w:r>
    </w:p>
    <w:p w14:paraId="283B790C" w14:textId="08250841" w:rsidR="00C35B7A" w:rsidRPr="001533EC" w:rsidRDefault="00C35B7A" w:rsidP="00C35B7A">
      <w:pPr>
        <w:spacing w:line="480" w:lineRule="auto"/>
        <w:jc w:val="both"/>
        <w:rPr>
          <w:sz w:val="24"/>
          <w:szCs w:val="24"/>
        </w:rPr>
      </w:pPr>
      <w:r w:rsidRPr="001533EC">
        <w:rPr>
          <w:sz w:val="24"/>
          <w:szCs w:val="24"/>
        </w:rPr>
        <w:t>We next focused on the genes that exhibit the strongest differences in DNA methylation between BIR and BIS. Among the top 15 hypo- and hypermethylated DMPs (Table 2), four showed ≥ 10% |Δβ| between the groups, and</w:t>
      </w:r>
      <w:r w:rsidR="003529BA">
        <w:rPr>
          <w:sz w:val="24"/>
          <w:szCs w:val="24"/>
        </w:rPr>
        <w:t xml:space="preserve"> notably</w:t>
      </w:r>
      <w:r w:rsidRPr="001533EC">
        <w:rPr>
          <w:sz w:val="24"/>
          <w:szCs w:val="24"/>
        </w:rPr>
        <w:t xml:space="preserve"> three out of these four DMPs were annotated for the gene </w:t>
      </w:r>
      <w:r w:rsidRPr="001533EC">
        <w:rPr>
          <w:i/>
          <w:sz w:val="24"/>
          <w:szCs w:val="24"/>
        </w:rPr>
        <w:t>BRSK2</w:t>
      </w:r>
      <w:r w:rsidRPr="001533EC">
        <w:rPr>
          <w:sz w:val="24"/>
          <w:szCs w:val="24"/>
        </w:rPr>
        <w:t xml:space="preserve"> (Brain-specific serine/threonine-protein kinase 2). Six DMPs were annotated to </w:t>
      </w:r>
      <w:r w:rsidRPr="001533EC">
        <w:rPr>
          <w:i/>
          <w:sz w:val="24"/>
          <w:szCs w:val="24"/>
        </w:rPr>
        <w:t>MIR886</w:t>
      </w:r>
      <w:r w:rsidRPr="001533EC">
        <w:rPr>
          <w:sz w:val="24"/>
          <w:szCs w:val="24"/>
        </w:rPr>
        <w:t>, encoding a microRNA known to be altered in neuronal diseases such as ataxia</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{"citationItems":[{"id":"ITEM-1","itemData":{"DOI":"https://doi.org/10.1007/s13311-013-0212-7","ISSN":"1878-7479","abstract":"The most fundamental roles of non-coding RNAs (ncRNAs) and epigenetic mechanisms are the guidance of cellular differentiation in development and the regulation of gene expression in adult tissues. In brain, both ncRNAs and the various epigenetic gene regulatory mechanisms play a fundamental role in neurogenesis and normal neuronal function. Thus, epigenetic chromatin remodelling can render coding sites transcriptionally inactive by DNA methylation, histone modifications or antisense RNA interactions. On the other hand, microRNAs (miRNAs) are ncRNA molecules that can regulate the expression of hundreds of genes post-transcriptionally, typically recognising binding sites in the 3′ untranslated region (UTR) of mRNA transcripts. Furthermore, there are a myriad of interactions in the interface of miRNAs and epigenetics. For example, epigenetic mechanisms can silence miRNA coding sites, and miRNAs can be the effectors of transcriptional gene silencing, targeting complementary promoters or silencing the expression of epigenetic modifier genes like MECP2 and EZH2 leading to global changes in the epigenome. Alterations in this regulatory machinery play a key role in the pathology of complex disorders including cancer and neurological diseases. For example, miRNA genes are frequently inactivated by epimutations in gliomas. Here we describe the interactions between epigenetic and ncRNA regulatory systems and discuss therapeutic potential, with an emphasis on tumors, cognitive disorders and neurodegenerative diseases.","author":[{"dropping-particle":"","family":"Varela","given":"Miguel A","non-dropping-particle":"","parse-names":false,"suffix":""},{"dropping-particle":"","family":"Roberts","given":"Thomas C","non-dropping-particle":"","parse-names":false,"suffix":""},{"dropping-particle":"","family":"Wood","given":"Matthew J A","non-dropping-particle":"","parse-names":false,"suffix":""}],"container-title":"Neurotherapeutics","id":"ITEM-1","issue":"4","issued":{"date-parts":[["2013"]]},"page":"621-631","title":"Epigenetics and ncRNAs in Brain Function and Disease: Mechanisms and Prospects for Therapy","type":"article-journal","volume":"10"},"uris":["http://www.mendeley.com/documents/?uuid=fdac1a8d-7a2b-3e2a-9921-455a1ce23ae9"]}],"mendeley":{"formattedCitation":"&lt;i&gt;(24)&lt;/i&gt;","plainTextFormattedCitation":"(24)","previouslyFormattedCitation":"&lt;i&gt;(24)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(24)</w:t>
      </w:r>
      <w:r w:rsidR="00122188" w:rsidRPr="001533EC">
        <w:rPr>
          <w:rStyle w:val="Funotenzeichen"/>
          <w:sz w:val="24"/>
          <w:szCs w:val="24"/>
        </w:rPr>
        <w:fldChar w:fldCharType="end"/>
      </w:r>
      <w:r w:rsidRPr="001533EC">
        <w:rPr>
          <w:sz w:val="24"/>
          <w:szCs w:val="24"/>
        </w:rPr>
        <w:t>.</w:t>
      </w:r>
    </w:p>
    <w:p w14:paraId="6D4DB13B" w14:textId="77777777" w:rsidR="001D78F9" w:rsidRPr="001533EC" w:rsidRDefault="001D78F9" w:rsidP="00C35B7A">
      <w:pPr>
        <w:spacing w:line="480" w:lineRule="auto"/>
        <w:jc w:val="both"/>
        <w:rPr>
          <w:sz w:val="24"/>
          <w:szCs w:val="24"/>
        </w:rPr>
      </w:pPr>
    </w:p>
    <w:p w14:paraId="5207DC26" w14:textId="0E9A2BE8" w:rsidR="00C35B7A" w:rsidRPr="001533EC" w:rsidRDefault="00C35B7A" w:rsidP="00C35B7A">
      <w:pPr>
        <w:spacing w:line="480" w:lineRule="auto"/>
        <w:jc w:val="both"/>
        <w:rPr>
          <w:b/>
          <w:sz w:val="24"/>
          <w:szCs w:val="24"/>
        </w:rPr>
      </w:pPr>
      <w:r w:rsidRPr="001533EC">
        <w:rPr>
          <w:b/>
          <w:sz w:val="24"/>
          <w:szCs w:val="24"/>
        </w:rPr>
        <w:t xml:space="preserve">All CpG </w:t>
      </w:r>
      <w:r w:rsidR="006E50B8" w:rsidRPr="001533EC">
        <w:rPr>
          <w:b/>
          <w:sz w:val="24"/>
          <w:szCs w:val="24"/>
        </w:rPr>
        <w:t>classifiers</w:t>
      </w:r>
      <w:r w:rsidRPr="001533EC">
        <w:rPr>
          <w:b/>
          <w:sz w:val="24"/>
          <w:szCs w:val="24"/>
        </w:rPr>
        <w:t xml:space="preserve"> are also differentially methylated between BIS and BIR</w:t>
      </w:r>
    </w:p>
    <w:p w14:paraId="129573FA" w14:textId="18775A2F" w:rsidR="00C35B7A" w:rsidRPr="001533EC" w:rsidRDefault="009C6891" w:rsidP="00C35B7A">
      <w:pPr>
        <w:spacing w:line="480" w:lineRule="auto"/>
        <w:jc w:val="both"/>
        <w:rPr>
          <w:bCs/>
          <w:iCs/>
          <w:sz w:val="24"/>
          <w:szCs w:val="24"/>
        </w:rPr>
      </w:pPr>
      <w:r>
        <w:rPr>
          <w:sz w:val="24"/>
          <w:szCs w:val="24"/>
        </w:rPr>
        <w:t>T</w:t>
      </w:r>
      <w:r w:rsidR="00C35B7A" w:rsidRPr="001533EC">
        <w:rPr>
          <w:sz w:val="24"/>
          <w:szCs w:val="24"/>
        </w:rPr>
        <w:t xml:space="preserve">o confirm whether our </w:t>
      </w:r>
      <w:proofErr w:type="spellStart"/>
      <w:r w:rsidR="0099013E">
        <w:rPr>
          <w:sz w:val="24"/>
          <w:szCs w:val="24"/>
        </w:rPr>
        <w:t>CpGs</w:t>
      </w:r>
      <w:proofErr w:type="spellEnd"/>
      <w:r w:rsidR="00C35B7A" w:rsidRPr="001533EC">
        <w:rPr>
          <w:sz w:val="24"/>
          <w:szCs w:val="24"/>
        </w:rPr>
        <w:t xml:space="preserve"> identified by machine learning were also differentially methylated,</w:t>
      </w:r>
      <w:r w:rsidR="00C35B7A" w:rsidRPr="001533EC">
        <w:rPr>
          <w:bCs/>
          <w:iCs/>
          <w:sz w:val="24"/>
          <w:szCs w:val="24"/>
        </w:rPr>
        <w:t xml:space="preserve"> we overlapped the output of both approaches. 7,240 </w:t>
      </w:r>
      <w:proofErr w:type="spellStart"/>
      <w:r w:rsidR="00C35B7A" w:rsidRPr="001533EC">
        <w:rPr>
          <w:bCs/>
          <w:iCs/>
          <w:sz w:val="24"/>
          <w:szCs w:val="24"/>
        </w:rPr>
        <w:t>CpGs</w:t>
      </w:r>
      <w:proofErr w:type="spellEnd"/>
      <w:r w:rsidR="00C35B7A" w:rsidRPr="001533EC">
        <w:rPr>
          <w:bCs/>
          <w:iCs/>
          <w:sz w:val="24"/>
          <w:szCs w:val="24"/>
        </w:rPr>
        <w:t xml:space="preserve"> identified by E-net strongly overlapped with those detected as DMPs (77% of the DMPs)</w:t>
      </w:r>
      <w:r w:rsidR="00CC5A46">
        <w:rPr>
          <w:bCs/>
          <w:iCs/>
          <w:sz w:val="24"/>
          <w:szCs w:val="24"/>
        </w:rPr>
        <w:t xml:space="preserve"> (</w:t>
      </w:r>
      <w:r w:rsidR="00CC5A46" w:rsidRPr="001533EC">
        <w:rPr>
          <w:bCs/>
          <w:iCs/>
          <w:sz w:val="24"/>
          <w:szCs w:val="24"/>
        </w:rPr>
        <w:t>Fig. 3D</w:t>
      </w:r>
      <w:r w:rsidR="00CC5A46">
        <w:rPr>
          <w:bCs/>
          <w:iCs/>
          <w:sz w:val="24"/>
          <w:szCs w:val="24"/>
        </w:rPr>
        <w:t>)</w:t>
      </w:r>
      <w:r w:rsidR="00C35B7A" w:rsidRPr="001533EC">
        <w:rPr>
          <w:bCs/>
          <w:iCs/>
          <w:sz w:val="24"/>
          <w:szCs w:val="24"/>
        </w:rPr>
        <w:t xml:space="preserve">. Additionally, all 540 </w:t>
      </w:r>
      <w:proofErr w:type="spellStart"/>
      <w:r w:rsidR="00C35B7A" w:rsidRPr="001533EC">
        <w:rPr>
          <w:bCs/>
          <w:iCs/>
          <w:sz w:val="24"/>
          <w:szCs w:val="24"/>
        </w:rPr>
        <w:t>CpGs</w:t>
      </w:r>
      <w:proofErr w:type="spellEnd"/>
      <w:r w:rsidR="00C35B7A" w:rsidRPr="001533EC">
        <w:rPr>
          <w:bCs/>
          <w:iCs/>
          <w:sz w:val="24"/>
          <w:szCs w:val="24"/>
        </w:rPr>
        <w:t xml:space="preserve"> identified as </w:t>
      </w:r>
      <w:r w:rsidR="006E50B8" w:rsidRPr="001533EC">
        <w:rPr>
          <w:bCs/>
          <w:iCs/>
          <w:sz w:val="24"/>
          <w:szCs w:val="24"/>
        </w:rPr>
        <w:t>classifiers</w:t>
      </w:r>
      <w:r w:rsidR="00C35B7A" w:rsidRPr="001533EC">
        <w:rPr>
          <w:bCs/>
          <w:iCs/>
          <w:sz w:val="24"/>
          <w:szCs w:val="24"/>
        </w:rPr>
        <w:t xml:space="preserve"> for brain insulin resistance were differentially methylated, with 68 </w:t>
      </w:r>
      <w:proofErr w:type="spellStart"/>
      <w:r w:rsidR="00C35B7A" w:rsidRPr="001533EC">
        <w:rPr>
          <w:bCs/>
          <w:iCs/>
          <w:sz w:val="24"/>
          <w:szCs w:val="24"/>
        </w:rPr>
        <w:t>CpGs</w:t>
      </w:r>
      <w:proofErr w:type="spellEnd"/>
      <w:r w:rsidR="00C35B7A" w:rsidRPr="001533EC">
        <w:rPr>
          <w:bCs/>
          <w:iCs/>
          <w:sz w:val="24"/>
          <w:szCs w:val="24"/>
        </w:rPr>
        <w:t xml:space="preserve"> exhibiting methylation change</w:t>
      </w:r>
      <w:r w:rsidR="00F1539E">
        <w:rPr>
          <w:bCs/>
          <w:iCs/>
          <w:sz w:val="24"/>
          <w:szCs w:val="24"/>
        </w:rPr>
        <w:t>s</w:t>
      </w:r>
      <w:r w:rsidR="00C35B7A" w:rsidRPr="001533EC">
        <w:rPr>
          <w:bCs/>
          <w:iCs/>
          <w:sz w:val="24"/>
          <w:szCs w:val="24"/>
        </w:rPr>
        <w:t xml:space="preserve"> of more than 2.5%. </w:t>
      </w:r>
      <w:r w:rsidR="003814F7">
        <w:rPr>
          <w:bCs/>
          <w:iCs/>
          <w:sz w:val="24"/>
          <w:szCs w:val="24"/>
        </w:rPr>
        <w:t>Of note</w:t>
      </w:r>
      <w:r w:rsidR="00C35B7A" w:rsidRPr="001533EC">
        <w:rPr>
          <w:bCs/>
          <w:iCs/>
          <w:sz w:val="24"/>
          <w:szCs w:val="24"/>
        </w:rPr>
        <w:t xml:space="preserve">, not all DMPs with strong changes were found as </w:t>
      </w:r>
      <w:r w:rsidR="006E50B8" w:rsidRPr="001533EC">
        <w:rPr>
          <w:bCs/>
          <w:iCs/>
          <w:sz w:val="24"/>
          <w:szCs w:val="24"/>
        </w:rPr>
        <w:t>classifiers</w:t>
      </w:r>
      <w:r w:rsidR="00C35B7A" w:rsidRPr="001533EC">
        <w:rPr>
          <w:bCs/>
          <w:iCs/>
          <w:sz w:val="24"/>
          <w:szCs w:val="24"/>
        </w:rPr>
        <w:t xml:space="preserve"> by E-net (as shown for 123 DMPs, Fig. 3D), indicating that not all CpG sites with strong changes are sufficient to classify BIR and BIS with good accuracy. It appears that machine learning can identify biologically relevant </w:t>
      </w:r>
      <w:proofErr w:type="spellStart"/>
      <w:r w:rsidR="00C35B7A" w:rsidRPr="001533EC">
        <w:rPr>
          <w:bCs/>
          <w:iCs/>
          <w:sz w:val="24"/>
          <w:szCs w:val="24"/>
        </w:rPr>
        <w:t>CpGs</w:t>
      </w:r>
      <w:proofErr w:type="spellEnd"/>
      <w:r w:rsidR="00C35B7A" w:rsidRPr="001533EC">
        <w:rPr>
          <w:bCs/>
          <w:iCs/>
          <w:sz w:val="24"/>
          <w:szCs w:val="24"/>
        </w:rPr>
        <w:t xml:space="preserve"> even with smaller changes in DNA methylation.</w:t>
      </w:r>
    </w:p>
    <w:p w14:paraId="0A8EECF4" w14:textId="51338E27" w:rsidR="00C35B7A" w:rsidRPr="001533EC" w:rsidRDefault="002112E3" w:rsidP="00C35B7A">
      <w:pPr>
        <w:spacing w:line="480" w:lineRule="auto"/>
        <w:jc w:val="both"/>
        <w:rPr>
          <w:bCs/>
          <w:iCs/>
          <w:sz w:val="24"/>
          <w:szCs w:val="24"/>
        </w:rPr>
      </w:pPr>
      <w:r>
        <w:rPr>
          <w:bCs/>
          <w:iCs/>
          <w:sz w:val="24"/>
          <w:szCs w:val="24"/>
        </w:rPr>
        <w:t>F</w:t>
      </w:r>
      <w:r w:rsidR="00C35B7A" w:rsidRPr="001533EC">
        <w:rPr>
          <w:bCs/>
          <w:iCs/>
          <w:sz w:val="24"/>
          <w:szCs w:val="24"/>
        </w:rPr>
        <w:t xml:space="preserve">ig. S2 includes additional details related to these overlapping </w:t>
      </w:r>
      <w:proofErr w:type="spellStart"/>
      <w:r w:rsidR="00C35B7A" w:rsidRPr="001533EC">
        <w:rPr>
          <w:bCs/>
          <w:iCs/>
          <w:sz w:val="24"/>
          <w:szCs w:val="24"/>
        </w:rPr>
        <w:t>CpGs</w:t>
      </w:r>
      <w:proofErr w:type="spellEnd"/>
      <w:r w:rsidR="00C35B7A" w:rsidRPr="001533EC">
        <w:rPr>
          <w:bCs/>
          <w:iCs/>
          <w:sz w:val="24"/>
          <w:szCs w:val="24"/>
        </w:rPr>
        <w:t xml:space="preserve"> from different approaches. The </w:t>
      </w:r>
      <w:proofErr w:type="spellStart"/>
      <w:r w:rsidR="00C35B7A" w:rsidRPr="001533EC">
        <w:rPr>
          <w:bCs/>
          <w:iCs/>
          <w:sz w:val="24"/>
          <w:szCs w:val="24"/>
        </w:rPr>
        <w:t>circos</w:t>
      </w:r>
      <w:proofErr w:type="spellEnd"/>
      <w:r w:rsidR="00C35B7A" w:rsidRPr="001533EC">
        <w:rPr>
          <w:bCs/>
          <w:iCs/>
          <w:sz w:val="24"/>
          <w:szCs w:val="24"/>
        </w:rPr>
        <w:t xml:space="preserve"> plot shows the chromosomal location and the proportion of hypo- and hyper-methylated </w:t>
      </w:r>
      <w:proofErr w:type="spellStart"/>
      <w:r w:rsidR="00C35B7A" w:rsidRPr="001533EC">
        <w:rPr>
          <w:bCs/>
          <w:iCs/>
          <w:sz w:val="24"/>
          <w:szCs w:val="24"/>
        </w:rPr>
        <w:t>CpGs</w:t>
      </w:r>
      <w:proofErr w:type="spellEnd"/>
      <w:r w:rsidR="00C35B7A" w:rsidRPr="001533EC">
        <w:rPr>
          <w:bCs/>
          <w:iCs/>
          <w:sz w:val="24"/>
          <w:szCs w:val="24"/>
        </w:rPr>
        <w:t xml:space="preserve"> found in DMPs and E-net analysis. The outer circle corresponds to 5,481 DMPs, the middle one to 7,240 </w:t>
      </w:r>
      <w:proofErr w:type="spellStart"/>
      <w:r w:rsidR="00C35B7A" w:rsidRPr="001533EC">
        <w:rPr>
          <w:bCs/>
          <w:iCs/>
          <w:sz w:val="24"/>
          <w:szCs w:val="24"/>
        </w:rPr>
        <w:t>CpGs</w:t>
      </w:r>
      <w:proofErr w:type="spellEnd"/>
      <w:r w:rsidR="00C35B7A" w:rsidRPr="001533EC">
        <w:rPr>
          <w:bCs/>
          <w:iCs/>
          <w:sz w:val="24"/>
          <w:szCs w:val="24"/>
        </w:rPr>
        <w:t xml:space="preserve"> from all E-net models, and the innermost circle details 540 stable </w:t>
      </w:r>
      <w:proofErr w:type="spellStart"/>
      <w:r w:rsidR="00C35B7A" w:rsidRPr="001533EC">
        <w:rPr>
          <w:bCs/>
          <w:iCs/>
          <w:sz w:val="24"/>
          <w:szCs w:val="24"/>
        </w:rPr>
        <w:t>CpGs</w:t>
      </w:r>
      <w:proofErr w:type="spellEnd"/>
      <w:r w:rsidR="00C35B7A" w:rsidRPr="001533EC">
        <w:rPr>
          <w:bCs/>
          <w:iCs/>
          <w:sz w:val="24"/>
          <w:szCs w:val="24"/>
        </w:rPr>
        <w:t xml:space="preserve"> </w:t>
      </w:r>
      <w:r w:rsidR="006E50B8" w:rsidRPr="001533EC">
        <w:rPr>
          <w:bCs/>
          <w:iCs/>
          <w:sz w:val="24"/>
          <w:szCs w:val="24"/>
        </w:rPr>
        <w:t>classifiers</w:t>
      </w:r>
      <w:r w:rsidR="00C35B7A" w:rsidRPr="001533EC">
        <w:rPr>
          <w:bCs/>
          <w:iCs/>
          <w:sz w:val="24"/>
          <w:szCs w:val="24"/>
        </w:rPr>
        <w:t xml:space="preserve">. Taken together, the DMPs and CpG </w:t>
      </w:r>
      <w:r w:rsidR="006E50B8" w:rsidRPr="001533EC">
        <w:rPr>
          <w:bCs/>
          <w:iCs/>
          <w:sz w:val="24"/>
          <w:szCs w:val="24"/>
        </w:rPr>
        <w:t>classifiers</w:t>
      </w:r>
      <w:r w:rsidR="00C35B7A" w:rsidRPr="001533EC">
        <w:rPr>
          <w:bCs/>
          <w:iCs/>
          <w:sz w:val="24"/>
          <w:szCs w:val="24"/>
        </w:rPr>
        <w:t xml:space="preserve"> were equally distributed across the genome.</w:t>
      </w:r>
    </w:p>
    <w:p w14:paraId="49945C7E" w14:textId="77777777" w:rsidR="00C35B7A" w:rsidRPr="001533EC" w:rsidRDefault="00C35B7A" w:rsidP="00C35B7A">
      <w:pPr>
        <w:spacing w:line="480" w:lineRule="auto"/>
        <w:jc w:val="both"/>
        <w:rPr>
          <w:b/>
          <w:sz w:val="24"/>
        </w:rPr>
      </w:pPr>
    </w:p>
    <w:p w14:paraId="282509C9" w14:textId="690E68FF" w:rsidR="00C35B7A" w:rsidRPr="001533EC" w:rsidRDefault="00C35B7A" w:rsidP="00C35B7A">
      <w:pPr>
        <w:spacing w:line="480" w:lineRule="auto"/>
        <w:jc w:val="both"/>
        <w:rPr>
          <w:bCs/>
          <w:iCs/>
          <w:sz w:val="24"/>
          <w:szCs w:val="24"/>
        </w:rPr>
      </w:pPr>
      <w:r w:rsidRPr="001533EC">
        <w:rPr>
          <w:b/>
          <w:sz w:val="24"/>
        </w:rPr>
        <w:lastRenderedPageBreak/>
        <w:t xml:space="preserve">Correlation of CpG </w:t>
      </w:r>
      <w:r w:rsidR="006E50B8" w:rsidRPr="001533EC">
        <w:rPr>
          <w:b/>
          <w:sz w:val="24"/>
        </w:rPr>
        <w:t>classifiers</w:t>
      </w:r>
      <w:r w:rsidRPr="001533EC">
        <w:rPr>
          <w:b/>
          <w:sz w:val="24"/>
        </w:rPr>
        <w:t xml:space="preserve"> with anthropometric and metabolic traits</w:t>
      </w:r>
    </w:p>
    <w:p w14:paraId="2FF51FE3" w14:textId="1D5677B8" w:rsidR="00C35B7A" w:rsidRPr="001533EC" w:rsidRDefault="00C35B7A" w:rsidP="00C35B7A">
      <w:pPr>
        <w:spacing w:line="480" w:lineRule="auto"/>
        <w:jc w:val="both"/>
        <w:rPr>
          <w:sz w:val="24"/>
          <w:szCs w:val="24"/>
        </w:rPr>
      </w:pPr>
      <w:r w:rsidRPr="001533EC">
        <w:rPr>
          <w:sz w:val="24"/>
          <w:szCs w:val="24"/>
        </w:rPr>
        <w:t xml:space="preserve">To link the identified epigenetic </w:t>
      </w:r>
      <w:r w:rsidR="006E50B8" w:rsidRPr="001533EC">
        <w:rPr>
          <w:sz w:val="24"/>
          <w:szCs w:val="24"/>
        </w:rPr>
        <w:t>classifiers</w:t>
      </w:r>
      <w:r w:rsidRPr="001533EC">
        <w:rPr>
          <w:sz w:val="24"/>
          <w:szCs w:val="24"/>
        </w:rPr>
        <w:t xml:space="preserve"> to specific phenotypes, Spearman correlation was applied to 540 </w:t>
      </w:r>
      <w:proofErr w:type="spellStart"/>
      <w:r w:rsidRPr="001533EC">
        <w:rPr>
          <w:sz w:val="24"/>
          <w:szCs w:val="24"/>
        </w:rPr>
        <w:t>CpGs</w:t>
      </w:r>
      <w:proofErr w:type="spellEnd"/>
      <w:r w:rsidRPr="001533EC">
        <w:rPr>
          <w:sz w:val="24"/>
          <w:szCs w:val="24"/>
        </w:rPr>
        <w:t xml:space="preserve"> with the participants</w:t>
      </w:r>
      <w:r w:rsidR="000F17DA">
        <w:rPr>
          <w:sz w:val="24"/>
          <w:szCs w:val="24"/>
        </w:rPr>
        <w:t>’</w:t>
      </w:r>
      <w:r w:rsidRPr="001533EC">
        <w:rPr>
          <w:sz w:val="24"/>
          <w:szCs w:val="24"/>
        </w:rPr>
        <w:t xml:space="preserve"> anthropometric and metabolic measurements (Table</w:t>
      </w:r>
      <w:r w:rsidR="00F872CA">
        <w:rPr>
          <w:sz w:val="24"/>
          <w:szCs w:val="24"/>
        </w:rPr>
        <w:t>s</w:t>
      </w:r>
      <w:r w:rsidRPr="001533EC">
        <w:rPr>
          <w:sz w:val="24"/>
          <w:szCs w:val="24"/>
        </w:rPr>
        <w:t xml:space="preserve"> 1 and 3). Out of 540 </w:t>
      </w:r>
      <w:r w:rsidR="006E50B8" w:rsidRPr="001533EC">
        <w:rPr>
          <w:sz w:val="24"/>
          <w:szCs w:val="24"/>
        </w:rPr>
        <w:t>classifiers</w:t>
      </w:r>
      <w:r w:rsidRPr="001533EC">
        <w:rPr>
          <w:sz w:val="24"/>
          <w:szCs w:val="24"/>
        </w:rPr>
        <w:t xml:space="preserve">, 528 </w:t>
      </w:r>
      <w:proofErr w:type="spellStart"/>
      <w:r w:rsidRPr="001533EC">
        <w:rPr>
          <w:sz w:val="24"/>
          <w:szCs w:val="24"/>
        </w:rPr>
        <w:t>CpGs</w:t>
      </w:r>
      <w:proofErr w:type="spellEnd"/>
      <w:r w:rsidRPr="001533EC">
        <w:rPr>
          <w:sz w:val="24"/>
          <w:szCs w:val="24"/>
        </w:rPr>
        <w:t xml:space="preserve"> were significantly correlated with </w:t>
      </w:r>
      <w:proofErr w:type="spellStart"/>
      <w:r w:rsidRPr="001533EC">
        <w:rPr>
          <w:sz w:val="24"/>
          <w:szCs w:val="24"/>
        </w:rPr>
        <w:t>ΔCBFn</w:t>
      </w:r>
      <w:proofErr w:type="spellEnd"/>
      <w:r w:rsidRPr="001533EC">
        <w:rPr>
          <w:sz w:val="24"/>
          <w:szCs w:val="24"/>
        </w:rPr>
        <w:t xml:space="preserve">-Hypothalamus and only 12 correlated </w:t>
      </w:r>
      <w:r w:rsidR="00991F4C">
        <w:rPr>
          <w:sz w:val="24"/>
          <w:szCs w:val="24"/>
        </w:rPr>
        <w:t>with</w:t>
      </w:r>
      <w:r w:rsidR="00991F4C" w:rsidRPr="001533EC">
        <w:rPr>
          <w:sz w:val="24"/>
          <w:szCs w:val="24"/>
        </w:rPr>
        <w:t xml:space="preserve"> </w:t>
      </w:r>
      <w:r w:rsidRPr="001533EC">
        <w:rPr>
          <w:sz w:val="24"/>
          <w:szCs w:val="24"/>
        </w:rPr>
        <w:t>the rest of the analyzed phenotypes in the discovery cohort</w:t>
      </w:r>
      <w:r w:rsidR="00992EB9" w:rsidRPr="001533EC">
        <w:rPr>
          <w:sz w:val="24"/>
          <w:szCs w:val="24"/>
        </w:rPr>
        <w:t xml:space="preserve"> (</w:t>
      </w:r>
      <w:r w:rsidR="00AE2778" w:rsidRPr="00A42B09">
        <w:rPr>
          <w:sz w:val="24"/>
        </w:rPr>
        <w:t>AdjP</w:t>
      </w:r>
      <w:r w:rsidR="00992EB9" w:rsidRPr="001533EC">
        <w:rPr>
          <w:sz w:val="24"/>
          <w:szCs w:val="24"/>
        </w:rPr>
        <w:t xml:space="preserve"> &lt;</w:t>
      </w:r>
      <w:r w:rsidR="001F49EC">
        <w:rPr>
          <w:sz w:val="24"/>
          <w:szCs w:val="24"/>
        </w:rPr>
        <w:t xml:space="preserve"> </w:t>
      </w:r>
      <w:r w:rsidR="00992EB9" w:rsidRPr="001533EC">
        <w:rPr>
          <w:sz w:val="24"/>
          <w:szCs w:val="24"/>
        </w:rPr>
        <w:t>0.05)</w:t>
      </w:r>
      <w:r w:rsidRPr="001533EC">
        <w:rPr>
          <w:sz w:val="24"/>
          <w:szCs w:val="24"/>
        </w:rPr>
        <w:t xml:space="preserve">. In the replication cohort I, 540 </w:t>
      </w:r>
      <w:proofErr w:type="spellStart"/>
      <w:r w:rsidRPr="001533EC">
        <w:rPr>
          <w:sz w:val="24"/>
          <w:szCs w:val="24"/>
        </w:rPr>
        <w:t>CpGs</w:t>
      </w:r>
      <w:proofErr w:type="spellEnd"/>
      <w:r w:rsidRPr="001533EC">
        <w:rPr>
          <w:sz w:val="24"/>
          <w:szCs w:val="24"/>
        </w:rPr>
        <w:t xml:space="preserve"> correlated with multiple traits. Again, the highest number of correlated </w:t>
      </w:r>
      <w:r w:rsidR="006E50B8" w:rsidRPr="001533EC">
        <w:rPr>
          <w:sz w:val="24"/>
          <w:szCs w:val="24"/>
        </w:rPr>
        <w:t>classifiers</w:t>
      </w:r>
      <w:r w:rsidRPr="001533EC">
        <w:rPr>
          <w:sz w:val="24"/>
          <w:szCs w:val="24"/>
        </w:rPr>
        <w:t xml:space="preserve"> was with </w:t>
      </w:r>
      <w:proofErr w:type="spellStart"/>
      <w:r w:rsidRPr="001533EC">
        <w:rPr>
          <w:sz w:val="24"/>
          <w:szCs w:val="24"/>
        </w:rPr>
        <w:t>ΔCBFn</w:t>
      </w:r>
      <w:proofErr w:type="spellEnd"/>
      <w:r w:rsidRPr="001533EC">
        <w:rPr>
          <w:sz w:val="24"/>
          <w:szCs w:val="24"/>
        </w:rPr>
        <w:t>-Hypothalamus (2</w:t>
      </w:r>
      <w:r w:rsidR="00944270">
        <w:rPr>
          <w:sz w:val="24"/>
          <w:szCs w:val="24"/>
        </w:rPr>
        <w:t>48</w:t>
      </w:r>
      <w:r w:rsidRPr="001533EC">
        <w:rPr>
          <w:sz w:val="24"/>
          <w:szCs w:val="24"/>
        </w:rPr>
        <w:t xml:space="preserve"> </w:t>
      </w:r>
      <w:proofErr w:type="spellStart"/>
      <w:r w:rsidRPr="001533EC">
        <w:rPr>
          <w:sz w:val="24"/>
          <w:szCs w:val="24"/>
        </w:rPr>
        <w:t>CpGs</w:t>
      </w:r>
      <w:proofErr w:type="spellEnd"/>
      <w:r w:rsidRPr="001533EC">
        <w:rPr>
          <w:sz w:val="24"/>
          <w:szCs w:val="24"/>
        </w:rPr>
        <w:t>) followed by circulating triglycerides (8</w:t>
      </w:r>
      <w:r w:rsidR="00944270">
        <w:rPr>
          <w:sz w:val="24"/>
          <w:szCs w:val="24"/>
        </w:rPr>
        <w:t>3</w:t>
      </w:r>
      <w:r w:rsidRPr="001533EC">
        <w:rPr>
          <w:sz w:val="24"/>
          <w:szCs w:val="24"/>
        </w:rPr>
        <w:t xml:space="preserve"> </w:t>
      </w:r>
      <w:proofErr w:type="spellStart"/>
      <w:r w:rsidRPr="001533EC">
        <w:rPr>
          <w:sz w:val="24"/>
          <w:szCs w:val="24"/>
        </w:rPr>
        <w:t>CpGs</w:t>
      </w:r>
      <w:proofErr w:type="spellEnd"/>
      <w:r w:rsidRPr="001533EC">
        <w:rPr>
          <w:sz w:val="24"/>
          <w:szCs w:val="24"/>
        </w:rPr>
        <w:t>) and fasting glucose (</w:t>
      </w:r>
      <w:r w:rsidR="00944270">
        <w:rPr>
          <w:sz w:val="24"/>
          <w:szCs w:val="24"/>
        </w:rPr>
        <w:t>48</w:t>
      </w:r>
      <w:r w:rsidRPr="001533EC">
        <w:rPr>
          <w:sz w:val="24"/>
          <w:szCs w:val="24"/>
        </w:rPr>
        <w:t xml:space="preserve"> </w:t>
      </w:r>
      <w:proofErr w:type="spellStart"/>
      <w:r w:rsidRPr="001533EC">
        <w:rPr>
          <w:sz w:val="24"/>
          <w:szCs w:val="24"/>
        </w:rPr>
        <w:t>CpGs</w:t>
      </w:r>
      <w:proofErr w:type="spellEnd"/>
      <w:r w:rsidRPr="001533EC">
        <w:rPr>
          <w:sz w:val="24"/>
          <w:szCs w:val="24"/>
        </w:rPr>
        <w:t xml:space="preserve">; Table 3). Fig. 4 shows the correlation of 68 CpG </w:t>
      </w:r>
      <w:r w:rsidR="006E50B8" w:rsidRPr="001533EC">
        <w:rPr>
          <w:sz w:val="24"/>
          <w:szCs w:val="24"/>
        </w:rPr>
        <w:t>classifiers</w:t>
      </w:r>
      <w:r w:rsidRPr="001533EC">
        <w:rPr>
          <w:sz w:val="24"/>
          <w:szCs w:val="24"/>
        </w:rPr>
        <w:t xml:space="preserve"> (depicted in the middle of the red and blue circles of the Venn diagram</w:t>
      </w:r>
      <w:r w:rsidR="006D0CA2">
        <w:rPr>
          <w:sz w:val="24"/>
          <w:szCs w:val="24"/>
        </w:rPr>
        <w:t xml:space="preserve"> in</w:t>
      </w:r>
      <w:r w:rsidRPr="001533EC">
        <w:rPr>
          <w:sz w:val="24"/>
          <w:szCs w:val="24"/>
        </w:rPr>
        <w:t xml:space="preserve"> Fig. 3D) that exhibit</w:t>
      </w:r>
      <w:r w:rsidR="00B644E0">
        <w:rPr>
          <w:sz w:val="24"/>
          <w:szCs w:val="24"/>
        </w:rPr>
        <w:t>ed</w:t>
      </w:r>
      <w:r w:rsidRPr="001533EC">
        <w:rPr>
          <w:sz w:val="24"/>
          <w:szCs w:val="24"/>
        </w:rPr>
        <w:t xml:space="preserve"> the highest methylation changes with traits in discovery and replication cohorts.</w:t>
      </w:r>
      <w:r w:rsidRPr="001533EC" w:rsidDel="008B3E7E">
        <w:rPr>
          <w:sz w:val="24"/>
          <w:szCs w:val="24"/>
        </w:rPr>
        <w:t xml:space="preserve"> </w:t>
      </w:r>
      <w:r w:rsidRPr="001533EC">
        <w:rPr>
          <w:sz w:val="24"/>
          <w:szCs w:val="24"/>
        </w:rPr>
        <w:t xml:space="preserve">These results further confirm that epigenetic markers detected in blood cells can mirror the mutual influence of brain insulin resistance and several metabolic traits associated with obesity and type 2 diabetes. </w:t>
      </w:r>
    </w:p>
    <w:p w14:paraId="28A5158B" w14:textId="77777777" w:rsidR="00076606" w:rsidRPr="001533EC" w:rsidRDefault="00076606" w:rsidP="00076606">
      <w:pPr>
        <w:spacing w:line="480" w:lineRule="auto"/>
        <w:jc w:val="both"/>
        <w:rPr>
          <w:b/>
          <w:sz w:val="24"/>
        </w:rPr>
      </w:pPr>
    </w:p>
    <w:p w14:paraId="23E77FBD" w14:textId="5216D654" w:rsidR="00076606" w:rsidRPr="001533EC" w:rsidRDefault="004D53D8" w:rsidP="00076606">
      <w:pPr>
        <w:spacing w:line="480" w:lineRule="auto"/>
        <w:jc w:val="both"/>
        <w:rPr>
          <w:bCs/>
          <w:iCs/>
          <w:sz w:val="24"/>
          <w:szCs w:val="24"/>
        </w:rPr>
      </w:pPr>
      <w:r w:rsidRPr="001533EC">
        <w:rPr>
          <w:b/>
          <w:sz w:val="24"/>
        </w:rPr>
        <w:t xml:space="preserve">Associations of </w:t>
      </w:r>
      <w:r w:rsidR="00076606" w:rsidRPr="001533EC">
        <w:rPr>
          <w:b/>
          <w:sz w:val="24"/>
        </w:rPr>
        <w:t xml:space="preserve">CpG </w:t>
      </w:r>
      <w:r w:rsidR="006E50B8" w:rsidRPr="001533EC">
        <w:rPr>
          <w:b/>
          <w:sz w:val="24"/>
        </w:rPr>
        <w:t>classifiers</w:t>
      </w:r>
      <w:r w:rsidR="00076606" w:rsidRPr="001533EC">
        <w:rPr>
          <w:b/>
          <w:sz w:val="24"/>
        </w:rPr>
        <w:t xml:space="preserve"> </w:t>
      </w:r>
      <w:r w:rsidRPr="001533EC">
        <w:rPr>
          <w:b/>
          <w:sz w:val="24"/>
        </w:rPr>
        <w:t xml:space="preserve">with trait </w:t>
      </w:r>
      <w:r w:rsidR="00213A13" w:rsidRPr="001533EC">
        <w:rPr>
          <w:b/>
          <w:sz w:val="24"/>
        </w:rPr>
        <w:t xml:space="preserve">of </w:t>
      </w:r>
      <w:r w:rsidRPr="001533EC">
        <w:rPr>
          <w:b/>
          <w:sz w:val="24"/>
        </w:rPr>
        <w:t>an</w:t>
      </w:r>
      <w:r w:rsidR="00213A13" w:rsidRPr="001533EC">
        <w:rPr>
          <w:b/>
          <w:sz w:val="24"/>
        </w:rPr>
        <w:t xml:space="preserve"> elevated</w:t>
      </w:r>
      <w:r w:rsidRPr="001533EC">
        <w:rPr>
          <w:b/>
          <w:sz w:val="24"/>
        </w:rPr>
        <w:t xml:space="preserve"> T2D risk </w:t>
      </w:r>
    </w:p>
    <w:p w14:paraId="537FD2CF" w14:textId="193B8D9C" w:rsidR="00AD169A" w:rsidRPr="001533EC" w:rsidRDefault="002F178F" w:rsidP="00C35B7A">
      <w:pPr>
        <w:spacing w:line="480" w:lineRule="auto"/>
        <w:jc w:val="both"/>
        <w:rPr>
          <w:sz w:val="24"/>
          <w:szCs w:val="24"/>
        </w:rPr>
      </w:pPr>
      <w:r w:rsidRPr="001533EC">
        <w:rPr>
          <w:sz w:val="24"/>
        </w:rPr>
        <w:t xml:space="preserve">In replication </w:t>
      </w:r>
      <w:r w:rsidR="005016C0" w:rsidRPr="001533EC">
        <w:rPr>
          <w:sz w:val="24"/>
        </w:rPr>
        <w:t xml:space="preserve">cohort </w:t>
      </w:r>
      <w:r w:rsidRPr="001533EC">
        <w:rPr>
          <w:sz w:val="24"/>
        </w:rPr>
        <w:t xml:space="preserve">I, </w:t>
      </w:r>
      <w:r w:rsidR="00365431" w:rsidRPr="001533EC">
        <w:rPr>
          <w:sz w:val="24"/>
        </w:rPr>
        <w:t xml:space="preserve">several CpG </w:t>
      </w:r>
      <w:r w:rsidR="006E50B8" w:rsidRPr="001533EC">
        <w:rPr>
          <w:sz w:val="24"/>
        </w:rPr>
        <w:t>classifiers</w:t>
      </w:r>
      <w:r w:rsidR="00365431" w:rsidRPr="001533EC">
        <w:rPr>
          <w:sz w:val="24"/>
        </w:rPr>
        <w:t xml:space="preserve"> were correlated to </w:t>
      </w:r>
      <w:r w:rsidR="00365431" w:rsidRPr="001533EC">
        <w:rPr>
          <w:sz w:val="24"/>
          <w:szCs w:val="24"/>
        </w:rPr>
        <w:t xml:space="preserve">circulating triglycerides (85 </w:t>
      </w:r>
      <w:proofErr w:type="spellStart"/>
      <w:r w:rsidR="00365431" w:rsidRPr="001533EC">
        <w:rPr>
          <w:sz w:val="24"/>
          <w:szCs w:val="24"/>
        </w:rPr>
        <w:t>CpGs</w:t>
      </w:r>
      <w:proofErr w:type="spellEnd"/>
      <w:r w:rsidR="00365431" w:rsidRPr="001533EC">
        <w:rPr>
          <w:sz w:val="24"/>
          <w:szCs w:val="24"/>
        </w:rPr>
        <w:t>) and fasting glucose (51 CpG</w:t>
      </w:r>
      <w:r w:rsidR="004A0FA1" w:rsidRPr="001533EC">
        <w:rPr>
          <w:sz w:val="24"/>
          <w:szCs w:val="24"/>
        </w:rPr>
        <w:t xml:space="preserve"> sites</w:t>
      </w:r>
      <w:r w:rsidR="00365431" w:rsidRPr="001533EC">
        <w:rPr>
          <w:sz w:val="24"/>
          <w:szCs w:val="24"/>
        </w:rPr>
        <w:t xml:space="preserve">). </w:t>
      </w:r>
      <w:bookmarkStart w:id="3" w:name="_Hlk194507798"/>
      <w:r w:rsidR="00842A31" w:rsidRPr="001533EC">
        <w:rPr>
          <w:sz w:val="24"/>
          <w:szCs w:val="24"/>
        </w:rPr>
        <w:t xml:space="preserve">We sought to </w:t>
      </w:r>
      <w:r w:rsidR="00D625D9" w:rsidRPr="001533EC">
        <w:rPr>
          <w:sz w:val="24"/>
          <w:szCs w:val="24"/>
        </w:rPr>
        <w:t xml:space="preserve">replicate these findings in </w:t>
      </w:r>
      <w:r w:rsidR="00CF191C" w:rsidRPr="001533EC">
        <w:rPr>
          <w:sz w:val="24"/>
          <w:szCs w:val="24"/>
        </w:rPr>
        <w:t xml:space="preserve">the EPIC-Potsdam cohort - </w:t>
      </w:r>
      <w:r w:rsidR="00411A53" w:rsidRPr="001533EC">
        <w:rPr>
          <w:sz w:val="24"/>
          <w:szCs w:val="24"/>
        </w:rPr>
        <w:t xml:space="preserve">a healthy </w:t>
      </w:r>
      <w:r w:rsidR="00D625D9" w:rsidRPr="001533EC">
        <w:rPr>
          <w:sz w:val="24"/>
          <w:szCs w:val="24"/>
        </w:rPr>
        <w:t>population</w:t>
      </w:r>
      <w:r w:rsidR="00CF191C" w:rsidRPr="001533EC">
        <w:rPr>
          <w:sz w:val="24"/>
          <w:szCs w:val="24"/>
        </w:rPr>
        <w:t xml:space="preserve"> </w:t>
      </w:r>
      <w:r w:rsidR="00213A13" w:rsidRPr="001533EC">
        <w:rPr>
          <w:sz w:val="24"/>
          <w:szCs w:val="24"/>
        </w:rPr>
        <w:t xml:space="preserve">in which </w:t>
      </w:r>
      <w:r w:rsidR="00CF191C" w:rsidRPr="001533EC">
        <w:rPr>
          <w:sz w:val="24"/>
          <w:szCs w:val="24"/>
        </w:rPr>
        <w:t>sample</w:t>
      </w:r>
      <w:r w:rsidR="00213A13" w:rsidRPr="001533EC">
        <w:rPr>
          <w:sz w:val="24"/>
          <w:szCs w:val="24"/>
        </w:rPr>
        <w:t>s were analyzed at baseline before the diagnosis of</w:t>
      </w:r>
      <w:r w:rsidR="00CF191C" w:rsidRPr="001533EC">
        <w:rPr>
          <w:sz w:val="24"/>
          <w:szCs w:val="24"/>
        </w:rPr>
        <w:t xml:space="preserve"> T2D </w:t>
      </w:r>
      <w:r w:rsidR="00122188" w:rsidRPr="001533EC">
        <w:rPr>
          <w:rStyle w:val="Funotenzeichen"/>
          <w:sz w:val="24"/>
          <w:szCs w:val="24"/>
        </w:rPr>
        <w:fldChar w:fldCharType="begin" w:fldLock="1"/>
      </w:r>
      <w:r w:rsidR="0017498C">
        <w:rPr>
          <w:sz w:val="24"/>
          <w:szCs w:val="24"/>
        </w:rPr>
        <w:instrText>ADDIN CSL_CITATION {"citationItems":[{"id":"ITEM-1","itemData":{"DOI":"10.1159/000012787","ISSN":"0250-6807 (Print)","PMID":"10592369","abstract":"EPIC is among the largest cohort studies, with approximately 475,000 study  participants, on the etiological influence of diet and chronic diseases. During a 4-year recruitment period, two German EPIC centers, located in Heidelberg and Potsdam, aimed to recruit a total of 60,000 study participants from the local populations. The recruitment process was based on addresses from general population registries and started 4-5 weeks in advance with an initial invitation by mail to the basic examination for this study. Subjects not responding within 2 weeks were reminded. In Potsdam, this was done by mail and telephone, and in Heidelberg by telephone. During the recruitment phase, from 1994 to 1998, 53,162 subjects in total were examined for the cohort studies in Heidelberg (n = 25,546) and Potsdam (n = 27,616). The participation rate, compared to the invited number of subjects, was 22.7% in Potsdam and 38.3% in Heidelberg, with a considerable variation by municipality and gender. A comparison with data from the National Health Survey 1991/1992 revealed that the cohort populations were of higher socio-economic status and were healthier than the source population. We concluded that the selective participation would help to ensure high maintenance of the cohort during active follow-up. Selective participation does not harm etiological conclusions because disease associations are derived internally as relative risk. The relative risk estimates can be used to calculate population-attributable risk and preventable proportion, based on exposure prevalence derived by surveys and other studies.","author":[{"dropping-particle":"","family":"Boeing","given":"H","non-dropping-particle":"","parse-names":false,"suffix":""},{"dropping-particle":"","family":"Korfmann","given":"A","non-dropping-particle":"","parse-names":false,"suffix":""},{"dropping-particle":"","family":"Bergmann","given":"M M","non-dropping-particle":"","parse-names":false,"suffix":""}],"container-title":"Annals of nutrition &amp; metabolism","id":"ITEM-1","issue":"4","issued":{"date-parts":[["1999"]]},"language":"eng","page":"205-215","publisher-place":"Switzerland","title":"Recruitment procedures of EPIC-Germany. European Investigation into Cancer and  Nutrition.","type":"article-journal","volume":"43"},"uris":["http://www.mendeley.com/documents/?uuid=ae65b521-c059-40d8-876f-811feded018f"]}],"mendeley":{"formattedCitation":"&lt;i&gt;(25)&lt;/i&gt;","plainTextFormattedCitation":"(25)","previouslyFormattedCitation":"&lt;i&gt;(25)&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(25)</w:t>
      </w:r>
      <w:r w:rsidR="00122188" w:rsidRPr="001533EC">
        <w:rPr>
          <w:rStyle w:val="Funotenzeichen"/>
          <w:sz w:val="24"/>
          <w:szCs w:val="24"/>
        </w:rPr>
        <w:fldChar w:fldCharType="end"/>
      </w:r>
      <w:r w:rsidR="00411A53" w:rsidRPr="001533EC">
        <w:rPr>
          <w:sz w:val="24"/>
          <w:szCs w:val="24"/>
        </w:rPr>
        <w:t xml:space="preserve">. </w:t>
      </w:r>
      <w:r w:rsidR="00BE00C6" w:rsidRPr="001533EC">
        <w:rPr>
          <w:sz w:val="24"/>
          <w:szCs w:val="24"/>
        </w:rPr>
        <w:t xml:space="preserve">Out of the 540 CpG sites, </w:t>
      </w:r>
      <w:r w:rsidR="00415D2C" w:rsidRPr="001533EC">
        <w:rPr>
          <w:sz w:val="24"/>
          <w:szCs w:val="24"/>
        </w:rPr>
        <w:t>30</w:t>
      </w:r>
      <w:r w:rsidR="004D53D8" w:rsidRPr="001533EC">
        <w:rPr>
          <w:sz w:val="24"/>
          <w:szCs w:val="24"/>
        </w:rPr>
        <w:t xml:space="preserve"> were statistically significantly</w:t>
      </w:r>
      <w:r w:rsidR="0028009E">
        <w:rPr>
          <w:sz w:val="24"/>
          <w:szCs w:val="24"/>
        </w:rPr>
        <w:t xml:space="preserve"> </w:t>
      </w:r>
      <w:r w:rsidR="0028009E" w:rsidRPr="001533EC">
        <w:rPr>
          <w:sz w:val="24"/>
          <w:szCs w:val="24"/>
        </w:rPr>
        <w:t>associated</w:t>
      </w:r>
      <w:r w:rsidR="004D53D8" w:rsidRPr="001533EC">
        <w:rPr>
          <w:sz w:val="24"/>
          <w:szCs w:val="24"/>
        </w:rPr>
        <w:t xml:space="preserve"> </w:t>
      </w:r>
      <w:bookmarkEnd w:id="3"/>
      <w:r w:rsidR="004D53D8" w:rsidRPr="001533EC">
        <w:rPr>
          <w:sz w:val="24"/>
          <w:szCs w:val="24"/>
        </w:rPr>
        <w:t>(</w:t>
      </w:r>
      <w:r w:rsidR="001F49EC">
        <w:rPr>
          <w:sz w:val="24"/>
          <w:szCs w:val="24"/>
        </w:rPr>
        <w:t>P</w:t>
      </w:r>
      <w:r w:rsidR="004D53D8" w:rsidRPr="001533EC">
        <w:rPr>
          <w:sz w:val="24"/>
          <w:szCs w:val="24"/>
        </w:rPr>
        <w:t xml:space="preserve"> &lt; 0.05) </w:t>
      </w:r>
      <w:r w:rsidR="00BE00C6" w:rsidRPr="001533EC">
        <w:rPr>
          <w:sz w:val="24"/>
          <w:szCs w:val="24"/>
        </w:rPr>
        <w:t>with</w:t>
      </w:r>
      <w:r w:rsidR="00415D2C" w:rsidRPr="001533EC">
        <w:rPr>
          <w:sz w:val="24"/>
          <w:szCs w:val="24"/>
        </w:rPr>
        <w:t xml:space="preserve"> triglycerides, 40 </w:t>
      </w:r>
      <w:r w:rsidR="007B1ACA" w:rsidRPr="001533EC">
        <w:rPr>
          <w:sz w:val="24"/>
          <w:szCs w:val="24"/>
        </w:rPr>
        <w:t xml:space="preserve">with </w:t>
      </w:r>
      <w:r w:rsidR="004D53D8" w:rsidRPr="001533EC">
        <w:rPr>
          <w:sz w:val="24"/>
          <w:szCs w:val="24"/>
        </w:rPr>
        <w:t>H</w:t>
      </w:r>
      <w:r w:rsidR="00415D2C" w:rsidRPr="001533EC">
        <w:rPr>
          <w:sz w:val="24"/>
          <w:szCs w:val="24"/>
        </w:rPr>
        <w:t>bA1c</w:t>
      </w:r>
      <w:r w:rsidR="007B1ACA" w:rsidRPr="001533EC">
        <w:rPr>
          <w:sz w:val="24"/>
          <w:szCs w:val="24"/>
        </w:rPr>
        <w:t>, 37 with cholesterol</w:t>
      </w:r>
      <w:r w:rsidR="00135382">
        <w:rPr>
          <w:sz w:val="24"/>
          <w:szCs w:val="24"/>
        </w:rPr>
        <w:t>,</w:t>
      </w:r>
      <w:r w:rsidR="007B1ACA" w:rsidRPr="001533EC">
        <w:rPr>
          <w:sz w:val="24"/>
          <w:szCs w:val="24"/>
        </w:rPr>
        <w:t xml:space="preserve"> and 36 with BMI</w:t>
      </w:r>
      <w:r w:rsidR="00655B01" w:rsidRPr="001533EC">
        <w:rPr>
          <w:sz w:val="24"/>
          <w:szCs w:val="24"/>
        </w:rPr>
        <w:t xml:space="preserve"> </w:t>
      </w:r>
      <w:r w:rsidR="00CF191C" w:rsidRPr="001533EC">
        <w:rPr>
          <w:sz w:val="24"/>
          <w:szCs w:val="24"/>
        </w:rPr>
        <w:t>in a cross-sectional design</w:t>
      </w:r>
      <w:r w:rsidR="00372760" w:rsidRPr="001533EC">
        <w:rPr>
          <w:sz w:val="24"/>
          <w:szCs w:val="24"/>
        </w:rPr>
        <w:t xml:space="preserve"> </w:t>
      </w:r>
      <w:r w:rsidR="00655B01" w:rsidRPr="001533EC">
        <w:rPr>
          <w:sz w:val="24"/>
          <w:szCs w:val="24"/>
        </w:rPr>
        <w:t>(Table</w:t>
      </w:r>
      <w:r w:rsidR="00C40975" w:rsidRPr="001533EC">
        <w:rPr>
          <w:sz w:val="24"/>
          <w:szCs w:val="24"/>
        </w:rPr>
        <w:t xml:space="preserve"> S3</w:t>
      </w:r>
      <w:r w:rsidR="00655B01" w:rsidRPr="001533EC">
        <w:rPr>
          <w:sz w:val="24"/>
          <w:szCs w:val="24"/>
        </w:rPr>
        <w:t>).</w:t>
      </w:r>
      <w:r w:rsidR="00BE00C6" w:rsidRPr="001533EC">
        <w:rPr>
          <w:sz w:val="24"/>
          <w:szCs w:val="24"/>
        </w:rPr>
        <w:t xml:space="preserve"> </w:t>
      </w:r>
      <w:r w:rsidR="004D53D8" w:rsidRPr="001533EC">
        <w:rPr>
          <w:sz w:val="24"/>
          <w:szCs w:val="24"/>
        </w:rPr>
        <w:t xml:space="preserve">In addition, we found 63 CpG sites associated with </w:t>
      </w:r>
      <w:r w:rsidR="00213A13" w:rsidRPr="001533EC">
        <w:rPr>
          <w:sz w:val="24"/>
          <w:szCs w:val="24"/>
        </w:rPr>
        <w:t xml:space="preserve">T2D </w:t>
      </w:r>
      <w:r w:rsidR="004D53D8" w:rsidRPr="001533EC">
        <w:rPr>
          <w:sz w:val="24"/>
          <w:szCs w:val="24"/>
        </w:rPr>
        <w:t>risk in a prospective</w:t>
      </w:r>
      <w:r w:rsidR="00CF191C" w:rsidRPr="001533EC">
        <w:rPr>
          <w:sz w:val="24"/>
          <w:szCs w:val="24"/>
        </w:rPr>
        <w:t xml:space="preserve"> analysis</w:t>
      </w:r>
      <w:r w:rsidR="00145CE8">
        <w:rPr>
          <w:sz w:val="24"/>
          <w:szCs w:val="24"/>
        </w:rPr>
        <w:t xml:space="preserve"> </w:t>
      </w:r>
      <w:r w:rsidR="00145CE8" w:rsidRPr="001533EC">
        <w:rPr>
          <w:sz w:val="24"/>
          <w:szCs w:val="24"/>
        </w:rPr>
        <w:t>(Table S</w:t>
      </w:r>
      <w:r w:rsidR="00145CE8">
        <w:rPr>
          <w:sz w:val="24"/>
          <w:szCs w:val="24"/>
        </w:rPr>
        <w:t>4</w:t>
      </w:r>
      <w:r w:rsidR="00145CE8" w:rsidRPr="001533EC">
        <w:rPr>
          <w:sz w:val="24"/>
          <w:szCs w:val="24"/>
        </w:rPr>
        <w:t>).</w:t>
      </w:r>
    </w:p>
    <w:p w14:paraId="103D1E06" w14:textId="77777777" w:rsidR="00A9625E" w:rsidRPr="001533EC" w:rsidRDefault="00A9625E" w:rsidP="00C35B7A">
      <w:pPr>
        <w:spacing w:line="480" w:lineRule="auto"/>
        <w:jc w:val="both"/>
        <w:rPr>
          <w:b/>
          <w:sz w:val="24"/>
        </w:rPr>
      </w:pPr>
    </w:p>
    <w:p w14:paraId="69D52652" w14:textId="540CF5C3" w:rsidR="00C35B7A" w:rsidRPr="001533EC" w:rsidRDefault="00C35B7A" w:rsidP="00C35B7A">
      <w:pPr>
        <w:spacing w:line="480" w:lineRule="auto"/>
        <w:jc w:val="both"/>
        <w:rPr>
          <w:b/>
          <w:sz w:val="24"/>
        </w:rPr>
      </w:pPr>
      <w:r w:rsidRPr="001533EC">
        <w:rPr>
          <w:b/>
          <w:sz w:val="24"/>
        </w:rPr>
        <w:t>Blood-brain correlation enrichment</w:t>
      </w:r>
    </w:p>
    <w:p w14:paraId="312C1658" w14:textId="73E157E0" w:rsidR="00C35B7A" w:rsidRPr="001533EC" w:rsidRDefault="00C35B7A" w:rsidP="00C35B7A">
      <w:pPr>
        <w:spacing w:line="480" w:lineRule="auto"/>
        <w:jc w:val="both"/>
        <w:rPr>
          <w:sz w:val="24"/>
          <w:szCs w:val="24"/>
        </w:rPr>
      </w:pPr>
      <w:r w:rsidRPr="001533EC">
        <w:rPr>
          <w:sz w:val="24"/>
          <w:szCs w:val="24"/>
        </w:rPr>
        <w:t xml:space="preserve">To estimate which epigenetically regulated genes detected in blood cells reflect those expressed in brain regions, we screened the 540 </w:t>
      </w:r>
      <w:proofErr w:type="spellStart"/>
      <w:r w:rsidRPr="001533EC">
        <w:rPr>
          <w:sz w:val="24"/>
          <w:szCs w:val="24"/>
        </w:rPr>
        <w:t>CpGs</w:t>
      </w:r>
      <w:proofErr w:type="spellEnd"/>
      <w:r w:rsidRPr="001533EC">
        <w:rPr>
          <w:sz w:val="24"/>
          <w:szCs w:val="24"/>
        </w:rPr>
        <w:t xml:space="preserve"> identified as </w:t>
      </w:r>
      <w:r w:rsidR="006E50B8" w:rsidRPr="001533EC">
        <w:rPr>
          <w:sz w:val="24"/>
          <w:szCs w:val="24"/>
        </w:rPr>
        <w:t>classifiers</w:t>
      </w:r>
      <w:r w:rsidRPr="001533EC">
        <w:rPr>
          <w:sz w:val="24"/>
          <w:szCs w:val="24"/>
        </w:rPr>
        <w:t xml:space="preserve"> of brain insulin resistance </w:t>
      </w:r>
      <w:r w:rsidRPr="001533EC">
        <w:rPr>
          <w:sz w:val="24"/>
          <w:szCs w:val="24"/>
        </w:rPr>
        <w:lastRenderedPageBreak/>
        <w:t xml:space="preserve">for a blood-brain correlation of DNA methylation using an online database (https://epigenetics.essex.ac.uk/bloodbrain/). </w:t>
      </w:r>
      <w:bookmarkStart w:id="4" w:name="OLE_LINK1"/>
      <w:r w:rsidRPr="001533EC">
        <w:rPr>
          <w:sz w:val="24"/>
          <w:szCs w:val="24"/>
        </w:rPr>
        <w:t xml:space="preserve">Among these 540 </w:t>
      </w:r>
      <w:proofErr w:type="spellStart"/>
      <w:r w:rsidRPr="001533EC">
        <w:rPr>
          <w:sz w:val="24"/>
          <w:szCs w:val="24"/>
        </w:rPr>
        <w:t>CpGs</w:t>
      </w:r>
      <w:proofErr w:type="spellEnd"/>
      <w:r w:rsidRPr="001533EC">
        <w:rPr>
          <w:sz w:val="24"/>
          <w:szCs w:val="24"/>
        </w:rPr>
        <w:t>, 309 were available in the database which was generated with the 450K array, 231 were missing and 98 were found to exhibit significant blood-brain DNA methylation correlation in at least one of the assessed brain regions (</w:t>
      </w:r>
      <w:r w:rsidR="002D524F">
        <w:rPr>
          <w:sz w:val="24"/>
          <w:szCs w:val="24"/>
        </w:rPr>
        <w:t>P</w:t>
      </w:r>
      <w:r w:rsidR="00BF2921" w:rsidRPr="001533EC">
        <w:rPr>
          <w:sz w:val="24"/>
          <w:szCs w:val="24"/>
        </w:rPr>
        <w:t xml:space="preserve"> &lt; 0.05; </w:t>
      </w:r>
      <w:r w:rsidRPr="001533EC">
        <w:rPr>
          <w:sz w:val="24"/>
          <w:szCs w:val="24"/>
        </w:rPr>
        <w:t xml:space="preserve">Fig. 5B). </w:t>
      </w:r>
      <w:bookmarkEnd w:id="4"/>
      <w:r w:rsidRPr="001533EC">
        <w:rPr>
          <w:sz w:val="24"/>
          <w:szCs w:val="24"/>
        </w:rPr>
        <w:t xml:space="preserve">As expected, the DNA methylation of the majority of these 98 </w:t>
      </w:r>
      <w:proofErr w:type="spellStart"/>
      <w:r w:rsidRPr="001533EC">
        <w:rPr>
          <w:sz w:val="24"/>
          <w:szCs w:val="24"/>
        </w:rPr>
        <w:t>CpGs</w:t>
      </w:r>
      <w:proofErr w:type="spellEnd"/>
      <w:r w:rsidRPr="001533EC">
        <w:rPr>
          <w:sz w:val="24"/>
          <w:szCs w:val="24"/>
        </w:rPr>
        <w:t xml:space="preserve"> </w:t>
      </w:r>
      <w:r w:rsidR="00227B70">
        <w:rPr>
          <w:sz w:val="24"/>
          <w:szCs w:val="24"/>
        </w:rPr>
        <w:t>was</w:t>
      </w:r>
      <w:r w:rsidR="00227B70" w:rsidRPr="001533EC">
        <w:rPr>
          <w:sz w:val="24"/>
          <w:szCs w:val="24"/>
        </w:rPr>
        <w:t xml:space="preserve"> </w:t>
      </w:r>
      <w:r w:rsidRPr="001533EC">
        <w:rPr>
          <w:sz w:val="24"/>
          <w:szCs w:val="24"/>
        </w:rPr>
        <w:t xml:space="preserve">positively correlated between blood and brain. Furthermore, they were found to be equally distributed in the four brain regions available in the database; 45 </w:t>
      </w:r>
      <w:proofErr w:type="spellStart"/>
      <w:r w:rsidRPr="001533EC">
        <w:rPr>
          <w:sz w:val="24"/>
          <w:szCs w:val="24"/>
        </w:rPr>
        <w:t>CpGs</w:t>
      </w:r>
      <w:proofErr w:type="spellEnd"/>
      <w:r w:rsidRPr="001533EC">
        <w:rPr>
          <w:sz w:val="24"/>
          <w:szCs w:val="24"/>
        </w:rPr>
        <w:t xml:space="preserve"> in </w:t>
      </w:r>
      <w:r w:rsidR="00E97418">
        <w:rPr>
          <w:sz w:val="24"/>
          <w:szCs w:val="24"/>
        </w:rPr>
        <w:t xml:space="preserve">the </w:t>
      </w:r>
      <w:r w:rsidRPr="001533EC">
        <w:rPr>
          <w:sz w:val="24"/>
          <w:szCs w:val="24"/>
        </w:rPr>
        <w:t xml:space="preserve">prefrontal cortex (outer circle), 49 </w:t>
      </w:r>
      <w:proofErr w:type="spellStart"/>
      <w:r w:rsidRPr="001533EC">
        <w:rPr>
          <w:sz w:val="24"/>
          <w:szCs w:val="24"/>
        </w:rPr>
        <w:t>CpGs</w:t>
      </w:r>
      <w:proofErr w:type="spellEnd"/>
      <w:r w:rsidRPr="001533EC">
        <w:rPr>
          <w:sz w:val="24"/>
          <w:szCs w:val="24"/>
        </w:rPr>
        <w:t xml:space="preserve"> in</w:t>
      </w:r>
      <w:r w:rsidR="001B5C02">
        <w:rPr>
          <w:sz w:val="24"/>
          <w:szCs w:val="24"/>
        </w:rPr>
        <w:t xml:space="preserve"> the</w:t>
      </w:r>
      <w:r w:rsidRPr="001533EC">
        <w:rPr>
          <w:sz w:val="24"/>
          <w:szCs w:val="24"/>
        </w:rPr>
        <w:t xml:space="preserve"> entorhinal cortex, 48 </w:t>
      </w:r>
      <w:proofErr w:type="spellStart"/>
      <w:r w:rsidRPr="001533EC">
        <w:rPr>
          <w:sz w:val="24"/>
          <w:szCs w:val="24"/>
        </w:rPr>
        <w:t>CpGs</w:t>
      </w:r>
      <w:proofErr w:type="spellEnd"/>
      <w:r w:rsidRPr="001533EC">
        <w:rPr>
          <w:sz w:val="24"/>
          <w:szCs w:val="24"/>
        </w:rPr>
        <w:t xml:space="preserve"> in </w:t>
      </w:r>
      <w:r w:rsidR="001B5C02">
        <w:rPr>
          <w:sz w:val="24"/>
          <w:szCs w:val="24"/>
        </w:rPr>
        <w:t xml:space="preserve">the </w:t>
      </w:r>
      <w:r w:rsidRPr="001533EC">
        <w:rPr>
          <w:sz w:val="24"/>
          <w:szCs w:val="24"/>
        </w:rPr>
        <w:t xml:space="preserve">superior temporal gyrus, and 33 </w:t>
      </w:r>
      <w:proofErr w:type="spellStart"/>
      <w:r w:rsidRPr="001533EC">
        <w:rPr>
          <w:sz w:val="24"/>
          <w:szCs w:val="24"/>
        </w:rPr>
        <w:t>CpGs</w:t>
      </w:r>
      <w:proofErr w:type="spellEnd"/>
      <w:r w:rsidRPr="001533EC">
        <w:rPr>
          <w:sz w:val="24"/>
          <w:szCs w:val="24"/>
        </w:rPr>
        <w:t xml:space="preserve"> in</w:t>
      </w:r>
      <w:r w:rsidR="00227B70">
        <w:rPr>
          <w:sz w:val="24"/>
          <w:szCs w:val="24"/>
        </w:rPr>
        <w:t xml:space="preserve"> the</w:t>
      </w:r>
      <w:r w:rsidRPr="001533EC">
        <w:rPr>
          <w:sz w:val="24"/>
          <w:szCs w:val="24"/>
        </w:rPr>
        <w:t xml:space="preserve"> cerebrum inner track. Of note, correlation coefficients for 14 </w:t>
      </w:r>
      <w:proofErr w:type="spellStart"/>
      <w:r w:rsidRPr="001533EC">
        <w:rPr>
          <w:sz w:val="24"/>
          <w:szCs w:val="24"/>
        </w:rPr>
        <w:t>CpGs</w:t>
      </w:r>
      <w:proofErr w:type="spellEnd"/>
      <w:r w:rsidRPr="001533EC">
        <w:rPr>
          <w:sz w:val="24"/>
          <w:szCs w:val="24"/>
        </w:rPr>
        <w:t xml:space="preserve"> were significant</w:t>
      </w:r>
      <w:r w:rsidR="001D0F62">
        <w:rPr>
          <w:sz w:val="24"/>
          <w:szCs w:val="24"/>
        </w:rPr>
        <w:t xml:space="preserve"> </w:t>
      </w:r>
      <w:r w:rsidR="00EB54D1">
        <w:rPr>
          <w:sz w:val="24"/>
          <w:szCs w:val="24"/>
        </w:rPr>
        <w:t>(</w:t>
      </w:r>
      <w:r w:rsidR="00687464">
        <w:rPr>
          <w:sz w:val="24"/>
          <w:szCs w:val="24"/>
        </w:rPr>
        <w:t>P</w:t>
      </w:r>
      <w:r w:rsidR="001F49EC">
        <w:rPr>
          <w:sz w:val="24"/>
          <w:szCs w:val="24"/>
        </w:rPr>
        <w:t xml:space="preserve"> </w:t>
      </w:r>
      <w:r w:rsidR="00EB54D1">
        <w:rPr>
          <w:sz w:val="24"/>
          <w:szCs w:val="24"/>
        </w:rPr>
        <w:t>&lt;</w:t>
      </w:r>
      <w:r w:rsidR="001F49EC">
        <w:rPr>
          <w:sz w:val="24"/>
          <w:szCs w:val="24"/>
        </w:rPr>
        <w:t xml:space="preserve"> </w:t>
      </w:r>
      <w:r w:rsidR="00EB54D1">
        <w:rPr>
          <w:sz w:val="24"/>
          <w:szCs w:val="24"/>
        </w:rPr>
        <w:t>0.05)</w:t>
      </w:r>
      <w:r w:rsidR="00687464">
        <w:rPr>
          <w:sz w:val="24"/>
          <w:szCs w:val="24"/>
        </w:rPr>
        <w:t xml:space="preserve"> </w:t>
      </w:r>
      <w:r w:rsidRPr="001533EC">
        <w:rPr>
          <w:sz w:val="24"/>
          <w:szCs w:val="24"/>
        </w:rPr>
        <w:t xml:space="preserve">(Fig. 5) for all four brain regions. </w:t>
      </w:r>
      <w:r w:rsidR="00EE534C">
        <w:rPr>
          <w:sz w:val="24"/>
          <w:szCs w:val="24"/>
        </w:rPr>
        <w:t>In particular,</w:t>
      </w:r>
      <w:r w:rsidRPr="001533EC">
        <w:rPr>
          <w:sz w:val="24"/>
          <w:szCs w:val="24"/>
        </w:rPr>
        <w:t xml:space="preserve"> cg12186219 annotated to </w:t>
      </w:r>
      <w:r w:rsidRPr="001533EC">
        <w:rPr>
          <w:i/>
          <w:sz w:val="24"/>
          <w:szCs w:val="24"/>
        </w:rPr>
        <w:t xml:space="preserve">BRSK2, </w:t>
      </w:r>
      <w:r w:rsidRPr="001533EC">
        <w:rPr>
          <w:sz w:val="24"/>
          <w:szCs w:val="24"/>
        </w:rPr>
        <w:t xml:space="preserve">which is a CpG </w:t>
      </w:r>
      <w:r w:rsidR="00482ACB">
        <w:rPr>
          <w:sz w:val="24"/>
          <w:szCs w:val="24"/>
        </w:rPr>
        <w:t xml:space="preserve">site </w:t>
      </w:r>
      <w:r w:rsidRPr="001533EC">
        <w:rPr>
          <w:sz w:val="24"/>
          <w:szCs w:val="24"/>
        </w:rPr>
        <w:t>with high DNA methylation differences in BIS and BIR.</w:t>
      </w:r>
      <w:r w:rsidRPr="001533EC">
        <w:rPr>
          <w:i/>
          <w:sz w:val="24"/>
          <w:szCs w:val="24"/>
        </w:rPr>
        <w:t xml:space="preserve"> </w:t>
      </w:r>
      <w:r w:rsidRPr="001533EC">
        <w:rPr>
          <w:sz w:val="24"/>
          <w:szCs w:val="24"/>
        </w:rPr>
        <w:t xml:space="preserve">DNA methylation </w:t>
      </w:r>
      <w:r w:rsidR="00D905C0" w:rsidRPr="001533EC">
        <w:rPr>
          <w:sz w:val="24"/>
          <w:szCs w:val="24"/>
        </w:rPr>
        <w:t>values</w:t>
      </w:r>
      <w:r w:rsidRPr="001533EC">
        <w:rPr>
          <w:sz w:val="24"/>
          <w:szCs w:val="24"/>
        </w:rPr>
        <w:t xml:space="preserve"> for cg12186219 </w:t>
      </w:r>
      <w:r w:rsidR="00732FA8">
        <w:rPr>
          <w:sz w:val="24"/>
          <w:szCs w:val="24"/>
        </w:rPr>
        <w:t xml:space="preserve">were higher in blood cells </w:t>
      </w:r>
      <w:r w:rsidRPr="001533EC">
        <w:rPr>
          <w:sz w:val="24"/>
          <w:szCs w:val="24"/>
        </w:rPr>
        <w:t>than in the brain</w:t>
      </w:r>
      <w:r w:rsidRPr="001533EC">
        <w:rPr>
          <w:i/>
          <w:sz w:val="24"/>
          <w:szCs w:val="24"/>
        </w:rPr>
        <w:t xml:space="preserve">. </w:t>
      </w:r>
      <w:r w:rsidRPr="001533EC">
        <w:rPr>
          <w:sz w:val="24"/>
          <w:szCs w:val="24"/>
        </w:rPr>
        <w:t>However, interindividual variations follow</w:t>
      </w:r>
      <w:r w:rsidR="00643739">
        <w:rPr>
          <w:sz w:val="24"/>
          <w:szCs w:val="24"/>
        </w:rPr>
        <w:t>ed</w:t>
      </w:r>
      <w:r w:rsidRPr="001533EC">
        <w:rPr>
          <w:sz w:val="24"/>
          <w:szCs w:val="24"/>
        </w:rPr>
        <w:t xml:space="preserve"> the same pattern in all four brain regions and blood cells (fig. S5A). As the blood-brain correlation database </w:t>
      </w:r>
      <w:r w:rsidR="00196E4D">
        <w:rPr>
          <w:sz w:val="24"/>
          <w:szCs w:val="24"/>
        </w:rPr>
        <w:t>was</w:t>
      </w:r>
      <w:r w:rsidR="00196E4D" w:rsidRPr="001533EC">
        <w:rPr>
          <w:sz w:val="24"/>
          <w:szCs w:val="24"/>
        </w:rPr>
        <w:t xml:space="preserve"> </w:t>
      </w:r>
      <w:r w:rsidRPr="001533EC">
        <w:rPr>
          <w:sz w:val="24"/>
          <w:szCs w:val="24"/>
        </w:rPr>
        <w:t xml:space="preserve">based on 450K arrays, we also grouped the identified </w:t>
      </w:r>
      <w:proofErr w:type="spellStart"/>
      <w:r w:rsidRPr="001533EC">
        <w:rPr>
          <w:sz w:val="24"/>
          <w:szCs w:val="24"/>
        </w:rPr>
        <w:t>CpGs</w:t>
      </w:r>
      <w:proofErr w:type="spellEnd"/>
      <w:r w:rsidRPr="001533EC">
        <w:rPr>
          <w:sz w:val="24"/>
          <w:szCs w:val="24"/>
        </w:rPr>
        <w:t xml:space="preserve"> based on the intraclass correlation (ICC) derived from EPIC</w:t>
      </w:r>
      <w:r w:rsidR="00AE6979">
        <w:rPr>
          <w:sz w:val="24"/>
          <w:szCs w:val="24"/>
        </w:rPr>
        <w:t xml:space="preserve"> </w:t>
      </w:r>
      <w:r w:rsidRPr="001533EC">
        <w:rPr>
          <w:sz w:val="24"/>
          <w:szCs w:val="24"/>
        </w:rPr>
        <w:t>v</w:t>
      </w:r>
      <w:r w:rsidR="00AE6979">
        <w:rPr>
          <w:sz w:val="24"/>
          <w:szCs w:val="24"/>
        </w:rPr>
        <w:t>ersion</w:t>
      </w:r>
      <w:r w:rsidRPr="001533EC">
        <w:rPr>
          <w:sz w:val="24"/>
          <w:szCs w:val="24"/>
        </w:rPr>
        <w:t>1, as detailed previously</w:t>
      </w:r>
      <w:r w:rsidR="00B91804">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{"citationItems":[{"id":"ITEM-1","itemData":{"DOI":"10.1080/15592294.2024.2333660","ISSN":"1559-2308 (Electronic)","PMID":"38564759","abstract":"DNA methylation (DNAm) plays a crucial role in a number of complex diseases.  However, the reliability of DNAm levels measured using Illumina arrays varies across different probes. Previous research primarily assessed probe reliability by comparing duplicate samples between the 450k-450k or 450k-EPIC platforms, with limited investigations on Illumina EPIC v1.0 arrays. We conducted a comprehensive assessment of the EPIC v1.0 array probe reliability using 69 blood DNA samples, each measured twice, generated by the Alzheimer's Disease Neuroimaging Initiative study. We observed higher reliability in probes with average methylation beta values of 0.2 to 0.8, and lower reliability in type I probes or those within the promoter and CpG island regions. Importantly, we found that probe reliability has significant implications in the analyses of Epigenome-wide Association Studies (EWAS). Higher reliability is associated with more consistent effect sizes in different studies, the identification of differentially methylated regions (DMRs) and methylation quantitative trait locus (mQTLs), and significant correlations with downstream gene expression. Moreover, blood DNAm measurements obtained from probes with higher reliability are more likely to show concordance with brain DNAm measurements. Our findings, which provide crucial reliability information for probes on the EPIC v1.0 array, will serve as a valuable resource for future DNAm studies.","author":[{"dropping-particle":"","family":"Zhang","given":"Wei","non-dropping-particle":"","parse-names":false,"suffix":""},{"dropping-particle":"","family":"Young","given":"Juan I","non-dropping-particle":"","parse-names":false,"suffix":""},{"dropping-particle":"","family":"Gomez","given":"Lissette","non-dropping-particle":"","parse-names":false,"suffix":""},{"dropping-particle":"","family":"Schmidt","given":"Michael A","non-dropping-particle":"","parse-names":false,"suffix":""},{"dropping-particle":"","family":"Lukacsovich","given":"David","non-dropping-particle":"","parse-names":false,"suffix":""},{"dropping-particle":"","family":"Varma","given":"Achintya","non-dropping-particle":"","parse-names":false,"suffix":""},{"dropping-particle":"","family":"Chen","given":"X Steven","non-dropping-particle":"","parse-names":false,"suffix":""},{"dropping-particle":"","family":"Kunkle","given":"Brian","non-dropping-particle":"","parse-names":false,"suffix":""},{"dropping-particle":"","family":"Martin","given":"Eden R","non-dropping-particle":"","parse-names":false,"suffix":""},{"dropping-particle":"","family":"Wang","given":"Lily","non-dropping-particle":"","parse-names":false,"suffix":""}],"container-title":"Epigenetics","id":"ITEM-1","issue":"1","issued":{"date-parts":[["2024","12"]]},"language":"eng","page":"2333660","publisher-place":"United States","title":"Critical evaluation of the reliability of DNA methylation probes on the Illumina  MethylationEPIC v1.0 BeadChip microarrays.","type":"article-journal","volume":"19"},"uris":["http://www.mendeley.com/documents/?uuid=9d211552-b8b6-4669-9588-033e6e005d8d"]}],"mendeley":{"formattedCitation":"&lt;i&gt;(26)&lt;/i&gt;","plainTextFormattedCitation":"(26)","previouslyFormattedCitation":"&lt;i&gt;(26)&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(26)</w:t>
      </w:r>
      <w:r w:rsidR="00122188" w:rsidRPr="001533EC">
        <w:rPr>
          <w:rStyle w:val="Funotenzeichen"/>
          <w:sz w:val="24"/>
          <w:szCs w:val="24"/>
        </w:rPr>
        <w:fldChar w:fldCharType="end"/>
      </w:r>
      <w:r w:rsidRPr="001533EC">
        <w:rPr>
          <w:sz w:val="24"/>
          <w:szCs w:val="24"/>
        </w:rPr>
        <w:t xml:space="preserve">. Among the top 30 </w:t>
      </w:r>
      <w:proofErr w:type="spellStart"/>
      <w:r w:rsidRPr="001533EC">
        <w:rPr>
          <w:sz w:val="24"/>
          <w:szCs w:val="24"/>
        </w:rPr>
        <w:t>CpGs</w:t>
      </w:r>
      <w:proofErr w:type="spellEnd"/>
      <w:r w:rsidRPr="001533EC">
        <w:rPr>
          <w:sz w:val="24"/>
          <w:szCs w:val="24"/>
        </w:rPr>
        <w:t xml:space="preserve"> with a high DNA methylation difference, 12 </w:t>
      </w:r>
      <w:proofErr w:type="spellStart"/>
      <w:r w:rsidRPr="001533EC">
        <w:rPr>
          <w:sz w:val="24"/>
          <w:szCs w:val="24"/>
        </w:rPr>
        <w:t>CpGs</w:t>
      </w:r>
      <w:proofErr w:type="spellEnd"/>
      <w:r w:rsidRPr="001533EC">
        <w:rPr>
          <w:sz w:val="24"/>
          <w:szCs w:val="24"/>
        </w:rPr>
        <w:t xml:space="preserve"> were identified as excellent, inferring a strong blood-brain methylation correlation (fig. S5B, Table </w:t>
      </w:r>
      <w:r w:rsidR="007E4606" w:rsidRPr="001533EC">
        <w:rPr>
          <w:sz w:val="24"/>
          <w:szCs w:val="24"/>
        </w:rPr>
        <w:t>S</w:t>
      </w:r>
      <w:r w:rsidR="007E4606">
        <w:rPr>
          <w:sz w:val="24"/>
          <w:szCs w:val="24"/>
        </w:rPr>
        <w:t>5</w:t>
      </w:r>
      <w:r w:rsidR="00D7093E">
        <w:rPr>
          <w:sz w:val="24"/>
          <w:szCs w:val="24"/>
        </w:rPr>
        <w:t>, data file 1</w:t>
      </w:r>
      <w:r w:rsidRPr="001533EC">
        <w:rPr>
          <w:sz w:val="24"/>
          <w:szCs w:val="24"/>
        </w:rPr>
        <w:t xml:space="preserve">). </w:t>
      </w:r>
    </w:p>
    <w:p w14:paraId="1D946A89" w14:textId="26F51A12" w:rsidR="00C35B7A" w:rsidRPr="00064115" w:rsidRDefault="00C35B7A" w:rsidP="00C35B7A">
      <w:pPr>
        <w:spacing w:line="480" w:lineRule="auto"/>
        <w:jc w:val="both"/>
        <w:rPr>
          <w:sz w:val="24"/>
          <w:szCs w:val="24"/>
        </w:rPr>
      </w:pPr>
      <w:r w:rsidRPr="001533EC">
        <w:rPr>
          <w:sz w:val="24"/>
          <w:szCs w:val="24"/>
        </w:rPr>
        <w:t xml:space="preserve">Another strategy to investigate the relevance of these 540 epigenetic markers in possible regulation of brain gene expression is to use </w:t>
      </w:r>
      <w:r w:rsidR="008878B2" w:rsidRPr="001533EC">
        <w:rPr>
          <w:sz w:val="24"/>
          <w:szCs w:val="24"/>
        </w:rPr>
        <w:t>publicly</w:t>
      </w:r>
      <w:r w:rsidRPr="001533EC">
        <w:rPr>
          <w:sz w:val="24"/>
          <w:szCs w:val="24"/>
        </w:rPr>
        <w:t xml:space="preserve"> available data on chromatin accessibility. To verify whether the CpG sites </w:t>
      </w:r>
      <w:proofErr w:type="gramStart"/>
      <w:r w:rsidRPr="001533EC">
        <w:rPr>
          <w:sz w:val="24"/>
          <w:szCs w:val="24"/>
        </w:rPr>
        <w:t>are located in</w:t>
      </w:r>
      <w:proofErr w:type="gramEnd"/>
      <w:r w:rsidRPr="001533EC">
        <w:rPr>
          <w:sz w:val="24"/>
          <w:szCs w:val="24"/>
        </w:rPr>
        <w:t xml:space="preserve"> open chromatin structure, in a cis-regulatory elements, we used </w:t>
      </w:r>
      <w:proofErr w:type="spellStart"/>
      <w:r w:rsidR="001F49EC">
        <w:rPr>
          <w:sz w:val="24"/>
          <w:szCs w:val="24"/>
        </w:rPr>
        <w:t>C</w:t>
      </w:r>
      <w:r w:rsidR="001F49EC" w:rsidRPr="001533EC">
        <w:rPr>
          <w:sz w:val="24"/>
          <w:szCs w:val="24"/>
        </w:rPr>
        <w:t>hi</w:t>
      </w:r>
      <w:r w:rsidR="001F49EC">
        <w:rPr>
          <w:sz w:val="24"/>
          <w:szCs w:val="24"/>
        </w:rPr>
        <w:t>P</w:t>
      </w:r>
      <w:proofErr w:type="spellEnd"/>
      <w:r w:rsidR="001F49EC">
        <w:rPr>
          <w:sz w:val="24"/>
          <w:szCs w:val="24"/>
        </w:rPr>
        <w:t>-</w:t>
      </w:r>
      <w:r w:rsidRPr="001533EC">
        <w:rPr>
          <w:sz w:val="24"/>
          <w:szCs w:val="24"/>
        </w:rPr>
        <w:t xml:space="preserve">seq data of H3K27ac performed in human </w:t>
      </w:r>
      <w:r w:rsidR="008878B2" w:rsidRPr="001533EC">
        <w:rPr>
          <w:sz w:val="24"/>
          <w:szCs w:val="24"/>
        </w:rPr>
        <w:t>prefrontal</w:t>
      </w:r>
      <w:r w:rsidRPr="001533EC">
        <w:rPr>
          <w:sz w:val="24"/>
          <w:szCs w:val="24"/>
        </w:rPr>
        <w:t xml:space="preserve"> cortex. The mapping results indicated that 339 out of 540 </w:t>
      </w:r>
      <w:proofErr w:type="spellStart"/>
      <w:r w:rsidRPr="001533EC">
        <w:rPr>
          <w:sz w:val="24"/>
          <w:szCs w:val="24"/>
        </w:rPr>
        <w:t>CpGs</w:t>
      </w:r>
      <w:proofErr w:type="spellEnd"/>
      <w:r w:rsidRPr="001533EC">
        <w:rPr>
          <w:sz w:val="24"/>
          <w:szCs w:val="24"/>
        </w:rPr>
        <w:t xml:space="preserve"> </w:t>
      </w:r>
      <w:proofErr w:type="gramStart"/>
      <w:r w:rsidR="009D5DB7">
        <w:rPr>
          <w:sz w:val="24"/>
          <w:szCs w:val="24"/>
        </w:rPr>
        <w:t xml:space="preserve">were </w:t>
      </w:r>
      <w:r w:rsidRPr="001533EC">
        <w:rPr>
          <w:sz w:val="24"/>
          <w:szCs w:val="24"/>
        </w:rPr>
        <w:t>located in</w:t>
      </w:r>
      <w:proofErr w:type="gramEnd"/>
      <w:r w:rsidRPr="001533EC">
        <w:rPr>
          <w:sz w:val="24"/>
          <w:szCs w:val="24"/>
        </w:rPr>
        <w:t xml:space="preserve"> near proximity of open chromatin region</w:t>
      </w:r>
      <w:r w:rsidR="00E1696D">
        <w:rPr>
          <w:sz w:val="24"/>
          <w:szCs w:val="24"/>
        </w:rPr>
        <w:t>s</w:t>
      </w:r>
      <w:r w:rsidR="008073ED" w:rsidRPr="001533EC">
        <w:rPr>
          <w:sz w:val="24"/>
          <w:szCs w:val="24"/>
        </w:rPr>
        <w:t xml:space="preserve"> (</w:t>
      </w:r>
      <w:proofErr w:type="gramStart"/>
      <w:r w:rsidR="008073ED" w:rsidRPr="001533EC">
        <w:rPr>
          <w:sz w:val="24"/>
          <w:szCs w:val="24"/>
        </w:rPr>
        <w:t>fig.S</w:t>
      </w:r>
      <w:proofErr w:type="gramEnd"/>
      <w:r w:rsidR="008073ED" w:rsidRPr="001533EC">
        <w:rPr>
          <w:sz w:val="24"/>
          <w:szCs w:val="24"/>
        </w:rPr>
        <w:t>6)</w:t>
      </w:r>
      <w:r w:rsidRPr="001533EC">
        <w:rPr>
          <w:sz w:val="24"/>
          <w:szCs w:val="24"/>
        </w:rPr>
        <w:t>. Taken together, these data suggest that blood-based epigenetic signatures at least partially mirror distinct brain epigenetic profiles and could potentially reflect the biological processes underlying brain insulin responsiveness.</w:t>
      </w:r>
    </w:p>
    <w:p w14:paraId="735ECDE5" w14:textId="6B86B211" w:rsidR="00C35B7A" w:rsidRPr="001533EC" w:rsidRDefault="000B07CD" w:rsidP="00C35B7A">
      <w:pPr>
        <w:spacing w:line="480" w:lineRule="auto"/>
        <w:jc w:val="both"/>
        <w:rPr>
          <w:b/>
          <w:sz w:val="24"/>
        </w:rPr>
      </w:pPr>
      <w:r>
        <w:rPr>
          <w:b/>
          <w:sz w:val="24"/>
        </w:rPr>
        <w:lastRenderedPageBreak/>
        <w:t>Classifier</w:t>
      </w:r>
      <w:r w:rsidRPr="001533EC">
        <w:rPr>
          <w:b/>
          <w:sz w:val="24"/>
        </w:rPr>
        <w:t xml:space="preserve"> </w:t>
      </w:r>
      <w:r w:rsidR="00C35B7A" w:rsidRPr="001533EC">
        <w:rPr>
          <w:b/>
          <w:sz w:val="24"/>
        </w:rPr>
        <w:t xml:space="preserve">capacity of the </w:t>
      </w:r>
      <w:proofErr w:type="spellStart"/>
      <w:r w:rsidR="00C35B7A" w:rsidRPr="001533EC">
        <w:rPr>
          <w:b/>
          <w:sz w:val="24"/>
        </w:rPr>
        <w:t>CpGs</w:t>
      </w:r>
      <w:proofErr w:type="spellEnd"/>
      <w:r w:rsidR="00C35B7A" w:rsidRPr="001533EC">
        <w:rPr>
          <w:b/>
          <w:sz w:val="24"/>
        </w:rPr>
        <w:t xml:space="preserve"> sites in a second replication cohort</w:t>
      </w:r>
    </w:p>
    <w:p w14:paraId="4F060A1C" w14:textId="06D032AD" w:rsidR="001A416B" w:rsidRDefault="00C35B7A" w:rsidP="00C8031E">
      <w:pPr>
        <w:spacing w:line="480" w:lineRule="auto"/>
        <w:jc w:val="both"/>
        <w:rPr>
          <w:sz w:val="24"/>
        </w:rPr>
      </w:pPr>
      <w:r w:rsidRPr="001533EC">
        <w:rPr>
          <w:sz w:val="24"/>
        </w:rPr>
        <w:t xml:space="preserve">To validate the capacity of the identified methylation markers </w:t>
      </w:r>
      <w:r w:rsidR="004A1514">
        <w:rPr>
          <w:sz w:val="24"/>
        </w:rPr>
        <w:t xml:space="preserve">to classify brain insulin resistance </w:t>
      </w:r>
      <w:r w:rsidRPr="001533EC">
        <w:rPr>
          <w:sz w:val="24"/>
        </w:rPr>
        <w:t xml:space="preserve">in an independent cohort, 24 individuals with and without brain insulin resistance from another center (Lübeck, </w:t>
      </w:r>
      <w:r w:rsidR="00AE6979">
        <w:rPr>
          <w:sz w:val="24"/>
        </w:rPr>
        <w:t xml:space="preserve">Germany, </w:t>
      </w:r>
      <w:r w:rsidRPr="001533EC">
        <w:rPr>
          <w:sz w:val="24"/>
        </w:rPr>
        <w:t xml:space="preserve">replication II, fig. S1, Table </w:t>
      </w:r>
      <w:r w:rsidR="00D7093E">
        <w:rPr>
          <w:sz w:val="24"/>
        </w:rPr>
        <w:t>1</w:t>
      </w:r>
      <w:r w:rsidRPr="001533EC">
        <w:rPr>
          <w:sz w:val="24"/>
        </w:rPr>
        <w:t xml:space="preserve">), were included. Both discovery and replication cohort I were </w:t>
      </w:r>
      <w:r w:rsidR="00AB4EB8" w:rsidRPr="001533EC">
        <w:rPr>
          <w:sz w:val="24"/>
        </w:rPr>
        <w:t>assessed</w:t>
      </w:r>
      <w:r w:rsidRPr="001533EC">
        <w:rPr>
          <w:sz w:val="24"/>
        </w:rPr>
        <w:t xml:space="preserve"> with Illumina's EPIC version 1 arrays which are currently discontinued and </w:t>
      </w:r>
      <w:r w:rsidR="00B916BD">
        <w:rPr>
          <w:sz w:val="24"/>
        </w:rPr>
        <w:t xml:space="preserve">were </w:t>
      </w:r>
      <w:r w:rsidRPr="001533EC">
        <w:rPr>
          <w:sz w:val="24"/>
        </w:rPr>
        <w:t xml:space="preserve">replaced by “EPIC version 2”. To make our results accessible for future studies and exclude any potential technical limitations, DNA methylation profiles from these additional 24 individuals (replication II) were profiled with EPIC version 2. Out of the 540, only 504 CpG sites were available in EPIC version 2. Therefore, using the remaining 504 </w:t>
      </w:r>
      <w:proofErr w:type="spellStart"/>
      <w:r w:rsidRPr="001533EC">
        <w:rPr>
          <w:sz w:val="24"/>
        </w:rPr>
        <w:t>CpGs</w:t>
      </w:r>
      <w:proofErr w:type="spellEnd"/>
      <w:r w:rsidRPr="001533EC">
        <w:rPr>
          <w:sz w:val="24"/>
        </w:rPr>
        <w:t xml:space="preserve"> as </w:t>
      </w:r>
      <w:r w:rsidR="006E50B8" w:rsidRPr="001533EC">
        <w:rPr>
          <w:sz w:val="24"/>
        </w:rPr>
        <w:t>classifiers</w:t>
      </w:r>
      <w:r w:rsidRPr="001533EC">
        <w:rPr>
          <w:sz w:val="24"/>
        </w:rPr>
        <w:t xml:space="preserve">, machine learning models RF and SVM were trained on the discovery </w:t>
      </w:r>
      <w:proofErr w:type="gramStart"/>
      <w:r w:rsidRPr="001533EC">
        <w:rPr>
          <w:sz w:val="24"/>
        </w:rPr>
        <w:t>cohort</w:t>
      </w:r>
      <w:proofErr w:type="gramEnd"/>
      <w:r w:rsidRPr="001533EC">
        <w:rPr>
          <w:sz w:val="24"/>
        </w:rPr>
        <w:t xml:space="preserve"> and their performance </w:t>
      </w:r>
      <w:r w:rsidR="003146B0">
        <w:rPr>
          <w:sz w:val="24"/>
        </w:rPr>
        <w:t>was</w:t>
      </w:r>
      <w:r w:rsidRPr="001533EC">
        <w:rPr>
          <w:sz w:val="24"/>
        </w:rPr>
        <w:t xml:space="preserve"> then evaluated on both replication cohorts. Notably, the RF model achieved high </w:t>
      </w:r>
      <w:r w:rsidR="004458EE">
        <w:rPr>
          <w:sz w:val="24"/>
        </w:rPr>
        <w:t>classification</w:t>
      </w:r>
      <w:r w:rsidR="004458EE" w:rsidRPr="001533EC">
        <w:rPr>
          <w:sz w:val="24"/>
        </w:rPr>
        <w:t xml:space="preserve"> </w:t>
      </w:r>
      <w:r w:rsidRPr="001533EC">
        <w:rPr>
          <w:sz w:val="24"/>
        </w:rPr>
        <w:t xml:space="preserve">accuracy: 94% for replication cohort I (MCC = 0.85) and 87.5% for replication cohort II (MCC = 0.77). Similarly, the SVM model demonstrated robust performance with </w:t>
      </w:r>
      <w:r w:rsidR="004458EE">
        <w:rPr>
          <w:sz w:val="24"/>
        </w:rPr>
        <w:t>classification</w:t>
      </w:r>
      <w:r w:rsidR="004458EE" w:rsidRPr="001533EC">
        <w:rPr>
          <w:sz w:val="24"/>
        </w:rPr>
        <w:t xml:space="preserve"> </w:t>
      </w:r>
      <w:r w:rsidRPr="001533EC">
        <w:rPr>
          <w:sz w:val="24"/>
        </w:rPr>
        <w:t xml:space="preserve">accuracy of 90% (MCC = 0.79) and 83% (MCC = 0.79) for replication cohorts I and II, respectively (Fig. 6A-B). This consistent performance of both models across two distinct datasets suggests good robustness of the 504 CpG </w:t>
      </w:r>
      <w:r w:rsidR="006E50B8" w:rsidRPr="001533EC">
        <w:rPr>
          <w:sz w:val="24"/>
        </w:rPr>
        <w:t>classifiers</w:t>
      </w:r>
      <w:r w:rsidRPr="001533EC">
        <w:rPr>
          <w:sz w:val="24"/>
        </w:rPr>
        <w:t xml:space="preserve">. </w:t>
      </w:r>
    </w:p>
    <w:p w14:paraId="661F5D48" w14:textId="4F8D5A55" w:rsidR="00C8031E" w:rsidRPr="001533EC" w:rsidRDefault="00C8031E" w:rsidP="00C8031E">
      <w:pPr>
        <w:spacing w:line="480" w:lineRule="auto"/>
        <w:jc w:val="both"/>
        <w:rPr>
          <w:sz w:val="24"/>
        </w:rPr>
      </w:pPr>
      <w:r w:rsidRPr="001533EC">
        <w:rPr>
          <w:sz w:val="24"/>
        </w:rPr>
        <w:t xml:space="preserve">As the participants of the discovery cohort were leaner and younger than those included in replication </w:t>
      </w:r>
      <w:r w:rsidR="007702E3" w:rsidRPr="001533EC">
        <w:rPr>
          <w:sz w:val="24"/>
        </w:rPr>
        <w:t xml:space="preserve">cohorts </w:t>
      </w:r>
      <w:r w:rsidRPr="001533EC">
        <w:rPr>
          <w:sz w:val="24"/>
        </w:rPr>
        <w:t xml:space="preserve">I and II, we investigated whether the </w:t>
      </w:r>
      <w:r w:rsidR="009E0743">
        <w:rPr>
          <w:sz w:val="24"/>
        </w:rPr>
        <w:t>classification</w:t>
      </w:r>
      <w:r w:rsidR="009E0743" w:rsidRPr="001533EC">
        <w:rPr>
          <w:sz w:val="24"/>
        </w:rPr>
        <w:t xml:space="preserve"> </w:t>
      </w:r>
      <w:r w:rsidRPr="001533EC">
        <w:rPr>
          <w:sz w:val="24"/>
        </w:rPr>
        <w:t xml:space="preserve">capacity of the 540 CpG methylation markers remained consistent across heterogeneous age and BMI. Therefore, individuals from replication </w:t>
      </w:r>
      <w:r w:rsidR="007702E3" w:rsidRPr="001533EC">
        <w:rPr>
          <w:sz w:val="24"/>
        </w:rPr>
        <w:t xml:space="preserve">cohort </w:t>
      </w:r>
      <w:r w:rsidRPr="001533EC">
        <w:rPr>
          <w:sz w:val="24"/>
        </w:rPr>
        <w:t xml:space="preserve">I and II were divided according to their age and BMI. For age, nearly 90% of the older individuals – those above the group’s average </w:t>
      </w:r>
      <w:r w:rsidR="002037BD" w:rsidRPr="001533EC">
        <w:rPr>
          <w:sz w:val="24"/>
        </w:rPr>
        <w:t xml:space="preserve">age of </w:t>
      </w:r>
      <w:r w:rsidRPr="001533EC">
        <w:rPr>
          <w:sz w:val="24"/>
        </w:rPr>
        <w:t xml:space="preserve">52 years – were </w:t>
      </w:r>
      <w:r w:rsidR="009E0743">
        <w:rPr>
          <w:sz w:val="24"/>
        </w:rPr>
        <w:t>classified</w:t>
      </w:r>
      <w:r w:rsidR="009E0743" w:rsidRPr="001533EC">
        <w:rPr>
          <w:sz w:val="24"/>
        </w:rPr>
        <w:t xml:space="preserve"> </w:t>
      </w:r>
      <w:r w:rsidRPr="001533EC">
        <w:rPr>
          <w:sz w:val="24"/>
        </w:rPr>
        <w:t xml:space="preserve">accurately </w:t>
      </w:r>
      <w:r w:rsidR="003B0E00" w:rsidRPr="001533EC">
        <w:rPr>
          <w:sz w:val="24"/>
        </w:rPr>
        <w:t>(</w:t>
      </w:r>
      <w:r w:rsidR="004D3DE1">
        <w:rPr>
          <w:sz w:val="24"/>
        </w:rPr>
        <w:t>f</w:t>
      </w:r>
      <w:r w:rsidR="004D3DE1" w:rsidRPr="001533EC">
        <w:rPr>
          <w:sz w:val="24"/>
        </w:rPr>
        <w:t>ig</w:t>
      </w:r>
      <w:r w:rsidRPr="001533EC">
        <w:rPr>
          <w:sz w:val="24"/>
        </w:rPr>
        <w:t>.</w:t>
      </w:r>
      <w:r w:rsidR="004D3DE1">
        <w:rPr>
          <w:sz w:val="24"/>
        </w:rPr>
        <w:t xml:space="preserve"> </w:t>
      </w:r>
      <w:r w:rsidRPr="001533EC">
        <w:rPr>
          <w:sz w:val="24"/>
        </w:rPr>
        <w:t>S</w:t>
      </w:r>
      <w:r w:rsidR="00AA45FF" w:rsidRPr="001533EC">
        <w:rPr>
          <w:sz w:val="24"/>
        </w:rPr>
        <w:t>7</w:t>
      </w:r>
      <w:r w:rsidR="00955F38" w:rsidRPr="001533EC">
        <w:rPr>
          <w:sz w:val="24"/>
        </w:rPr>
        <w:t>A</w:t>
      </w:r>
      <w:r w:rsidR="003B0E00" w:rsidRPr="001533EC">
        <w:rPr>
          <w:sz w:val="24"/>
        </w:rPr>
        <w:t>)</w:t>
      </w:r>
      <w:r w:rsidRPr="001533EC">
        <w:rPr>
          <w:sz w:val="24"/>
        </w:rPr>
        <w:t xml:space="preserve">. For BMI, we divided the two replication cohorts in three categories; normal weight (BMI </w:t>
      </w:r>
      <w:r w:rsidR="00075987" w:rsidRPr="001533EC">
        <w:rPr>
          <w:sz w:val="24"/>
        </w:rPr>
        <w:t>&lt;</w:t>
      </w:r>
      <w:r w:rsidR="004D3DE1">
        <w:rPr>
          <w:sz w:val="24"/>
        </w:rPr>
        <w:t xml:space="preserve"> </w:t>
      </w:r>
      <w:r w:rsidRPr="001533EC">
        <w:rPr>
          <w:sz w:val="24"/>
        </w:rPr>
        <w:t>25), overweight (BMI between 25-30), and obese (BMI &gt;</w:t>
      </w:r>
      <w:r w:rsidR="004D3DE1">
        <w:rPr>
          <w:sz w:val="24"/>
        </w:rPr>
        <w:t xml:space="preserve"> </w:t>
      </w:r>
      <w:r w:rsidRPr="001533EC">
        <w:rPr>
          <w:sz w:val="24"/>
        </w:rPr>
        <w:t>30)</w:t>
      </w:r>
      <w:r w:rsidR="002F2755" w:rsidRPr="001533EC">
        <w:rPr>
          <w:sz w:val="24"/>
        </w:rPr>
        <w:t xml:space="preserve"> </w:t>
      </w:r>
      <w:r w:rsidR="0073488A" w:rsidRPr="001533EC">
        <w:rPr>
          <w:sz w:val="24"/>
        </w:rPr>
        <w:t>(</w:t>
      </w:r>
      <w:r w:rsidR="004D3DE1">
        <w:rPr>
          <w:sz w:val="24"/>
        </w:rPr>
        <w:t>f</w:t>
      </w:r>
      <w:r w:rsidR="004D3DE1" w:rsidRPr="001533EC">
        <w:rPr>
          <w:sz w:val="24"/>
        </w:rPr>
        <w:t>ig</w:t>
      </w:r>
      <w:r w:rsidR="0073488A" w:rsidRPr="001533EC">
        <w:rPr>
          <w:sz w:val="24"/>
        </w:rPr>
        <w:t>.</w:t>
      </w:r>
      <w:r w:rsidR="004D3DE1">
        <w:rPr>
          <w:sz w:val="24"/>
        </w:rPr>
        <w:t xml:space="preserve"> </w:t>
      </w:r>
      <w:r w:rsidR="0073488A" w:rsidRPr="001533EC">
        <w:rPr>
          <w:sz w:val="24"/>
        </w:rPr>
        <w:t>S7B)</w:t>
      </w:r>
      <w:r w:rsidRPr="001533EC">
        <w:rPr>
          <w:sz w:val="24"/>
        </w:rPr>
        <w:t xml:space="preserve">. The 540 CpG sites were able to accurately </w:t>
      </w:r>
      <w:r w:rsidR="00CA4E80">
        <w:rPr>
          <w:sz w:val="24"/>
        </w:rPr>
        <w:t>classify</w:t>
      </w:r>
      <w:r w:rsidR="00CA4E80" w:rsidRPr="001533EC">
        <w:rPr>
          <w:sz w:val="24"/>
        </w:rPr>
        <w:t xml:space="preserve"> </w:t>
      </w:r>
      <w:r w:rsidRPr="001533EC">
        <w:rPr>
          <w:sz w:val="24"/>
        </w:rPr>
        <w:t>90% of the overweight and obese individuals.</w:t>
      </w:r>
    </w:p>
    <w:p w14:paraId="4F8F84B2" w14:textId="17FD2C00" w:rsidR="002670CB" w:rsidRPr="001533EC" w:rsidRDefault="00C35B7A" w:rsidP="00C35B7A">
      <w:pPr>
        <w:spacing w:line="480" w:lineRule="auto"/>
        <w:jc w:val="both"/>
        <w:rPr>
          <w:b/>
          <w:sz w:val="32"/>
        </w:rPr>
      </w:pPr>
      <w:r w:rsidRPr="001533EC">
        <w:rPr>
          <w:sz w:val="24"/>
        </w:rPr>
        <w:lastRenderedPageBreak/>
        <w:t>To extrapolate these findings to the clinic, one option could be to design customized DNA methylation panel including these 540 CpG sites of interest.</w:t>
      </w:r>
      <w:r w:rsidR="00E01A55" w:rsidRPr="001533EC">
        <w:rPr>
          <w:sz w:val="24"/>
        </w:rPr>
        <w:t xml:space="preserve"> Indeed, measuring these methylation markers </w:t>
      </w:r>
      <w:r w:rsidR="00075987" w:rsidRPr="001533EC">
        <w:rPr>
          <w:sz w:val="24"/>
        </w:rPr>
        <w:t xml:space="preserve">in eight samples </w:t>
      </w:r>
      <w:r w:rsidR="00E01A55" w:rsidRPr="001533EC">
        <w:rPr>
          <w:sz w:val="24"/>
        </w:rPr>
        <w:t xml:space="preserve">with </w:t>
      </w:r>
      <w:r w:rsidR="00BD7EB2" w:rsidRPr="001533EC">
        <w:rPr>
          <w:sz w:val="24"/>
        </w:rPr>
        <w:t>a customized sequencing library</w:t>
      </w:r>
      <w:r w:rsidR="00730DCE" w:rsidRPr="001533EC">
        <w:rPr>
          <w:sz w:val="24"/>
        </w:rPr>
        <w:t xml:space="preserve"> </w:t>
      </w:r>
      <w:r w:rsidR="005150EF" w:rsidRPr="001533EC">
        <w:rPr>
          <w:sz w:val="24"/>
        </w:rPr>
        <w:t>revealed</w:t>
      </w:r>
      <w:r w:rsidR="007D5141" w:rsidRPr="001533EC">
        <w:rPr>
          <w:sz w:val="24"/>
        </w:rPr>
        <w:t xml:space="preserve"> similar DNA</w:t>
      </w:r>
      <w:r w:rsidR="005150EF" w:rsidRPr="001533EC">
        <w:rPr>
          <w:sz w:val="24"/>
        </w:rPr>
        <w:t xml:space="preserve"> </w:t>
      </w:r>
      <w:r w:rsidR="000D61C2" w:rsidRPr="001533EC">
        <w:rPr>
          <w:sz w:val="24"/>
        </w:rPr>
        <w:t>methylation</w:t>
      </w:r>
      <w:r w:rsidR="00A21CE3" w:rsidRPr="001533EC">
        <w:rPr>
          <w:sz w:val="24"/>
        </w:rPr>
        <w:t xml:space="preserve"> </w:t>
      </w:r>
      <w:r w:rsidR="00C569FA" w:rsidRPr="001533EC">
        <w:rPr>
          <w:sz w:val="24"/>
        </w:rPr>
        <w:t>results</w:t>
      </w:r>
      <w:r w:rsidR="00A21CE3" w:rsidRPr="001533EC">
        <w:rPr>
          <w:sz w:val="24"/>
        </w:rPr>
        <w:t xml:space="preserve"> </w:t>
      </w:r>
      <w:r w:rsidR="00DC657B" w:rsidRPr="001533EC">
        <w:rPr>
          <w:sz w:val="24"/>
        </w:rPr>
        <w:t xml:space="preserve">to those </w:t>
      </w:r>
      <w:r w:rsidR="00A21CE3" w:rsidRPr="001533EC">
        <w:rPr>
          <w:sz w:val="24"/>
        </w:rPr>
        <w:t>detected by EPIC arrays</w:t>
      </w:r>
      <w:r w:rsidR="00C569FA" w:rsidRPr="001533EC">
        <w:rPr>
          <w:sz w:val="24"/>
        </w:rPr>
        <w:t xml:space="preserve"> </w:t>
      </w:r>
      <w:r w:rsidR="002F2755" w:rsidRPr="001533EC">
        <w:rPr>
          <w:sz w:val="24"/>
        </w:rPr>
        <w:t>(Fig.</w:t>
      </w:r>
      <w:r w:rsidR="009E2A96">
        <w:rPr>
          <w:sz w:val="24"/>
        </w:rPr>
        <w:t xml:space="preserve"> </w:t>
      </w:r>
      <w:r w:rsidR="002F2755" w:rsidRPr="001533EC">
        <w:rPr>
          <w:sz w:val="24"/>
        </w:rPr>
        <w:t>S8</w:t>
      </w:r>
      <w:r w:rsidR="005150EF" w:rsidRPr="001533EC">
        <w:rPr>
          <w:sz w:val="24"/>
        </w:rPr>
        <w:t xml:space="preserve">) and </w:t>
      </w:r>
      <w:r w:rsidR="00075987" w:rsidRPr="001533EC">
        <w:rPr>
          <w:sz w:val="24"/>
        </w:rPr>
        <w:t>BIR</w:t>
      </w:r>
      <w:r w:rsidR="005150EF" w:rsidRPr="001533EC">
        <w:rPr>
          <w:sz w:val="24"/>
        </w:rPr>
        <w:t xml:space="preserve"> </w:t>
      </w:r>
      <w:r w:rsidR="00730DCE" w:rsidRPr="001533EC">
        <w:rPr>
          <w:sz w:val="24"/>
        </w:rPr>
        <w:t xml:space="preserve">status </w:t>
      </w:r>
      <w:r w:rsidR="005150EF" w:rsidRPr="001533EC">
        <w:rPr>
          <w:sz w:val="24"/>
        </w:rPr>
        <w:t>could be</w:t>
      </w:r>
      <w:r w:rsidR="00BD7EB2" w:rsidRPr="001533EC">
        <w:rPr>
          <w:sz w:val="24"/>
        </w:rPr>
        <w:t xml:space="preserve"> </w:t>
      </w:r>
      <w:r w:rsidR="005E39F8">
        <w:rPr>
          <w:sz w:val="24"/>
        </w:rPr>
        <w:t>detected</w:t>
      </w:r>
      <w:r w:rsidR="005E39F8" w:rsidRPr="001533EC">
        <w:rPr>
          <w:sz w:val="24"/>
        </w:rPr>
        <w:t xml:space="preserve"> </w:t>
      </w:r>
      <w:r w:rsidR="00730DCE" w:rsidRPr="001533EC">
        <w:rPr>
          <w:sz w:val="24"/>
        </w:rPr>
        <w:t>accurately.</w:t>
      </w:r>
    </w:p>
    <w:p w14:paraId="1FDA30A7" w14:textId="77777777" w:rsidR="001D78F9" w:rsidRPr="001533EC" w:rsidRDefault="001D78F9" w:rsidP="001D78F9">
      <w:pPr>
        <w:spacing w:line="480" w:lineRule="auto"/>
        <w:rPr>
          <w:b/>
          <w:sz w:val="24"/>
          <w:szCs w:val="24"/>
        </w:rPr>
      </w:pPr>
    </w:p>
    <w:p w14:paraId="6DDF66BB" w14:textId="35D59259" w:rsidR="001D78F9" w:rsidRPr="001533EC" w:rsidRDefault="00C35B7A" w:rsidP="001D78F9">
      <w:pPr>
        <w:spacing w:line="480" w:lineRule="auto"/>
        <w:rPr>
          <w:b/>
          <w:sz w:val="24"/>
          <w:szCs w:val="24"/>
        </w:rPr>
      </w:pPr>
      <w:r w:rsidRPr="001533EC">
        <w:rPr>
          <w:b/>
          <w:sz w:val="24"/>
          <w:szCs w:val="24"/>
        </w:rPr>
        <w:t>DISCUSSION</w:t>
      </w:r>
      <w:bookmarkStart w:id="5" w:name="_Hlk174271345"/>
    </w:p>
    <w:p w14:paraId="39CCB346" w14:textId="68E5F46C" w:rsidR="00F21ED6" w:rsidRDefault="00C35B7A" w:rsidP="00C35B7A">
      <w:pPr>
        <w:spacing w:line="480" w:lineRule="auto"/>
        <w:jc w:val="both"/>
        <w:rPr>
          <w:sz w:val="24"/>
          <w:szCs w:val="24"/>
        </w:rPr>
      </w:pPr>
      <w:r w:rsidRPr="001533EC">
        <w:rPr>
          <w:sz w:val="24"/>
          <w:szCs w:val="24"/>
        </w:rPr>
        <w:t xml:space="preserve">Brain insulin action plays an important role in metabolic and cognitive health but no readily available biomarker has been identified thus far. </w:t>
      </w:r>
      <w:r w:rsidR="00576B72">
        <w:rPr>
          <w:sz w:val="24"/>
          <w:szCs w:val="24"/>
        </w:rPr>
        <w:t xml:space="preserve">We discovered </w:t>
      </w:r>
      <w:r w:rsidRPr="00F06FA3">
        <w:rPr>
          <w:sz w:val="24"/>
          <w:szCs w:val="24"/>
        </w:rPr>
        <w:t xml:space="preserve">epigenetic </w:t>
      </w:r>
      <w:r w:rsidR="00576B72">
        <w:rPr>
          <w:sz w:val="24"/>
          <w:szCs w:val="24"/>
        </w:rPr>
        <w:t>classifiers</w:t>
      </w:r>
      <w:r w:rsidRPr="00F06FA3">
        <w:rPr>
          <w:sz w:val="24"/>
          <w:szCs w:val="24"/>
        </w:rPr>
        <w:t xml:space="preserve"> for human brain insulin responsiveness from peripheral blood cells in persons without neurodegenerative disorders</w:t>
      </w:r>
      <w:proofErr w:type="gramStart"/>
      <w:r w:rsidRPr="00F06FA3">
        <w:rPr>
          <w:sz w:val="24"/>
          <w:szCs w:val="24"/>
        </w:rPr>
        <w:t xml:space="preserve">. </w:t>
      </w:r>
      <w:r w:rsidRPr="001533EC">
        <w:rPr>
          <w:sz w:val="24"/>
          <w:szCs w:val="24"/>
        </w:rPr>
        <w:t>.</w:t>
      </w:r>
      <w:proofErr w:type="gramEnd"/>
      <w:r w:rsidRPr="001533EC">
        <w:rPr>
          <w:sz w:val="24"/>
          <w:szCs w:val="24"/>
        </w:rPr>
        <w:t xml:space="preserve"> Of note, genes annotated to these </w:t>
      </w:r>
      <w:proofErr w:type="spellStart"/>
      <w:r w:rsidRPr="001533EC">
        <w:rPr>
          <w:sz w:val="24"/>
          <w:szCs w:val="24"/>
        </w:rPr>
        <w:t>CpGs</w:t>
      </w:r>
      <w:proofErr w:type="spellEnd"/>
      <w:r w:rsidRPr="001533EC">
        <w:rPr>
          <w:sz w:val="24"/>
          <w:szCs w:val="24"/>
        </w:rPr>
        <w:t xml:space="preserve"> were found to be enriched in neuronal pathways and exhibit a strong blood-brain correlation. The present study introduces blood-based epigenetic biomarkers for brain insulin resistance, which could potentially be developed into prognostic tests for early diagnosis and better stratification of individuals at risk to develop T2D. </w:t>
      </w:r>
    </w:p>
    <w:p w14:paraId="622C0828" w14:textId="5FA00465" w:rsidR="004D77D7" w:rsidRDefault="00C35B7A" w:rsidP="00C35B7A">
      <w:pPr>
        <w:spacing w:line="480" w:lineRule="auto"/>
        <w:jc w:val="both"/>
        <w:rPr>
          <w:sz w:val="24"/>
          <w:szCs w:val="24"/>
        </w:rPr>
      </w:pPr>
      <w:r w:rsidRPr="001533EC">
        <w:rPr>
          <w:sz w:val="24"/>
          <w:szCs w:val="24"/>
        </w:rPr>
        <w:t xml:space="preserve">Insulin resistance, a hallmark feature of T2D, is not limited to the periphery or metabolic diseases. </w:t>
      </w:r>
      <w:r w:rsidR="00F21ED6">
        <w:rPr>
          <w:sz w:val="24"/>
          <w:szCs w:val="24"/>
        </w:rPr>
        <w:t>Substantial</w:t>
      </w:r>
      <w:r w:rsidR="00F21ED6" w:rsidRPr="001533EC">
        <w:rPr>
          <w:sz w:val="24"/>
          <w:szCs w:val="24"/>
        </w:rPr>
        <w:t xml:space="preserve"> </w:t>
      </w:r>
      <w:r w:rsidRPr="001533EC">
        <w:rPr>
          <w:sz w:val="24"/>
          <w:szCs w:val="24"/>
        </w:rPr>
        <w:t>disturbances in brain insulin action are often present in obesity, as well as neurodegenerative diseases</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{"citationItems":[{"id":"ITEM-1","itemData":{"DOI":"10.1152/physrev.00032.2015","ISSN":"1522-1210 (Electronic)","PMID":"27489306","abstract":"Ever since the brain was identified as an insulin-sensitive organ, evidence has  rapidly accumulated that insulin action in the brain produces multiple behavioral and metabolic effects, influencing eating behavior, peripheral metabolism, and cognition. Disturbances in brain insulin action can be observed in obesity and type 2 diabetes (T2D), as well as in aging and dementia. Decreases in insulin sensitivity of central nervous pathways, i.e., brain insulin resistance, may therefore constitute a joint pathological feature of metabolic and cognitive dysfunctions. Modern neuroimaging methods have provided new means of probing brain insulin action, revealing the influence of insulin on both global and regional brain function. In this review, we highlight recent findings on brain insulin action in humans and its impact on metabolism and cognition. Furthermore, we elaborate on the most prominent factors associated with brain insulin resistance, i.e., obesity, T2D, genes, maternal metabolism, normal aging, inflammation, and dementia, and on their roles regarding causes and consequences of brain insulin resistance. We also describe the beneficial effects of enhanced brain insulin signaling on human eating behavior and cognition and discuss potential applications in the treatment of metabolic and cognitive disorders.","author":[{"dropping-particle":"","family":"Kullmann","given":"Stephanie","non-dropping-particle":"","parse-names":false,"suffix":""},{"dropping-particle":"","family":"Heni","given":"Martin","non-dropping-particle":"","parse-names":false,"suffix":""},{"dropping-particle":"","family":"Hallschmid","given":"Manfred","non-dropping-particle":"","parse-names":false,"suffix":""},{"dropping-particle":"","family":"Fritsche","given":"Andreas","non-dropping-particle":"","parse-names":false,"suffix":""},{"dropping-particle":"","family":"Preissl","given":"Hubert","non-dropping-particle":"","parse-names":false,"suffix":""},{"dropping-particle":"","family":"Häring","given":"Hans-Ulrich","non-dropping-particle":"","parse-names":false,"suffix":""}],"container-title":"Physiological reviews","id":"ITEM-1","issue":"4","issued":{"date-parts":[["2016","10"]]},"language":"eng","page":"1169-1209","publisher-place":"United States","title":"Brain Insulin Resistance at the Crossroads of Metabolic and Cognitive Disorders  in Humans.","type":"article-journal","volume":"96"},"uris":["http://www.mendeley.com/documents/?uuid=1846355e-15ee-3647-8b02-c6b364efacb8"]}],"mendeley":{"formattedCitation":"&lt;i&gt;(3)&lt;/i&gt;","plainTextFormattedCitation":"(3)","previouslyFormattedCitation":"&lt;i&gt;(3)&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(3)</w:t>
      </w:r>
      <w:r w:rsidR="00122188" w:rsidRPr="001533EC">
        <w:rPr>
          <w:rStyle w:val="Funotenzeichen"/>
          <w:sz w:val="24"/>
          <w:szCs w:val="24"/>
        </w:rPr>
        <w:fldChar w:fldCharType="end"/>
      </w:r>
      <w:r w:rsidRPr="001533EC">
        <w:rPr>
          <w:sz w:val="24"/>
          <w:szCs w:val="24"/>
        </w:rPr>
        <w:t>. Central insulin, delivered via the intranasal pathway, acts in a anorexigenic fashion</w:t>
      </w:r>
      <w:r w:rsidR="00776633">
        <w:rPr>
          <w:sz w:val="24"/>
          <w:szCs w:val="24"/>
        </w:rPr>
        <w:t>,</w:t>
      </w:r>
      <w:r w:rsidRPr="001533EC">
        <w:rPr>
          <w:sz w:val="24"/>
          <w:szCs w:val="24"/>
        </w:rPr>
        <w:t xml:space="preserve"> reducing food intake and subjective feeling of appetite and facilitates memory processes in persons who are brain insulin sensitive</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{"citationItems":[{"id":"ITEM-1","itemData":{"DOI":"10.1111/jne.12934","ISSN":"1365-2826 (Electronic)","PMID":"33506526","abstract":"The intranasal (IN) route enables the delivery of insulin to the central nervous  system in the relative absence of systemic uptake and related peripheral side effects. Intranasally administered insulin is assumed to travel along olfactory and adjacent pathways and has been shown to rapidly accumulate in cerebrospinal fluid, indicating efficient transport to the brain. Two decades of studies in healthy humans and patients have demonstrated that IN insulin exerts functional effects on metabolism, such as reductions in food intake and body weight and improvements of glucose homeostasis, as well as cognition, ie, enhancements of memory performance both in healthy individuals and patients with mild cognitive impairment or Alzheimer's disease; these studies moreover indicate a favourable safety profile of the acute and repeated use of IN insulin. Emerging findings suggest that IN insulin also modulates neuroendocrine activity, sleep-related mechanisms, sensory perception and mood. Some, but not all studies point to sex differences in the response to IN insulin that need to be further investigated along with the impact of age. \"Brain insulin resistance\" is an evolving concept that posits impairments in central nervous insulin signalling as a pathophysiological factor in metabolic and cognitive disorders such as obesity, type 2 diabetes and Alzheimer's disease, and, notably, a target of interventions that rely on IN insulin. Still, the negative outcomes of longer-term IN insulin trials in individuals with obesity or Alzheimer's disease highlight the need for conceptual as well as methodological advances to translate the promising results of proof-of-concept experiments and pilot clinical trials into the successful clinical application of IN insulin.","author":[{"dropping-particle":"","family":"Hallschmid","given":"Manfred","non-dropping-particle":"","parse-names":false,"suffix":""}],"container-title":"Journal of neuroendocrinology","id":"ITEM-1","issue":"4","issued":{"date-parts":[["2021","4"]]},"language":"eng","page":"e12934","publisher-place":"United States","title":"Intranasal insulin.","type":"article-journal","volume":"33"},"uris":["http://www.mendeley.com/documents/?uuid=a0b7ad5b-1075-47ed-81f9-e06ccee7ad03"]}],"mendeley":{"formattedCitation":"&lt;i&gt;(27)&lt;/i&gt;","plainTextFormattedCitation":"(27)","previouslyFormattedCitation":"&lt;i&gt;(27)&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(27)</w:t>
      </w:r>
      <w:r w:rsidR="00122188" w:rsidRPr="001533EC">
        <w:rPr>
          <w:rStyle w:val="Funotenzeichen"/>
          <w:sz w:val="24"/>
          <w:szCs w:val="24"/>
        </w:rPr>
        <w:fldChar w:fldCharType="end"/>
      </w:r>
      <w:r w:rsidRPr="001533EC">
        <w:rPr>
          <w:sz w:val="24"/>
          <w:szCs w:val="24"/>
        </w:rPr>
        <w:t>. Brain insulin action also has favorable effects on peripheral metabolism, enhancing whole-body insulin sensitivity</w:t>
      </w:r>
      <w:r w:rsidR="00A257DF" w:rsidRPr="001533EC">
        <w:rPr>
          <w:sz w:val="24"/>
          <w:szCs w:val="24"/>
        </w:rPr>
        <w:t xml:space="preserve"> </w:t>
      </w:r>
      <w:r w:rsidR="00A257DF" w:rsidRPr="001533EC">
        <w:rPr>
          <w:sz w:val="24"/>
          <w:szCs w:val="24"/>
        </w:rPr>
        <w:fldChar w:fldCharType="begin" w:fldLock="1"/>
      </w:r>
      <w:r w:rsidR="0017498C">
        <w:rPr>
          <w:sz w:val="24"/>
          <w:szCs w:val="24"/>
        </w:rPr>
        <w:instrText>ADDIN CSL_CITATION {"citationItems":[{"id":"ITEM-1","itemData":{"DOI":"10.1016/S2213-8587(20)30113-3","ISSN":"2213-8595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endocrinology","id":"ITEM-1","issue":"6","issued":{"date-parts":[["2020","6"]]},"language":"eng","page":"524-534","publisher-place":"England","title":"Central nervous pathways of insulin action in the control of metabolism and food  intake.","type":"article-journal","volume":"8"},"uris":["http://www.mendeley.com/documents/?uuid=a7d0c581-29d9-49ff-a27f-ba1e61e2edff"]},{"id":"ITEM-2","itemData":{"DOI":"10.1038/ncomms15259","ISSN":"2041-1723 (Electronic)","PMID":"28469281","abstract":"The central nervous system (CNS) has an important role in the regulation of  peripheral insulin sensitivity and glucose homeostasis. Research in this dynamically developing field has progressed rapidly due to techniques allowing targeted transgenesis and neurocircuitry mapping, which have defined the primary responsive neurons, associated molecular mechanisms and downstream neurocircuitries and processes involved. Here we review the brain regions, neurons and molecular mechanisms by which the CNS controls peripheral glucose metabolism, particularly via regulation of liver, brown adipose tissue and pancreatic function, and highlight the potential implications of these regulatory pathways in type 2 diabetes and obesity.","author":[{"dropping-particle":"","family":"Ruud","given":"Johan","non-dropping-particle":"","parse-names":false,"suffix":""},{"dropping-particle":"","family":"Steculorum","given":"Sophie M","non-dropping-particle":"","parse-names":false,"suffix":""},{"dropping-particle":"","family":"Brüning","given":"Jens C","non-dropping-particle":"","parse-names":false,"suffix":""}],"container-title":"Nature communications","id":"ITEM-2","issued":{"date-parts":[["2017","5"]]},"language":"eng","page":"15259","publisher-place":"England","title":"Neuronal control of peripheral insulin sensitivity and glucose metabolism.","type":"article-journal","volume":"8"},"uris":["http://www.mendeley.com/documents/?uuid=ce73c053-4680-46fe-8fe6-ff5cefc4d6e2"]},{"id":"ITEM-3","itemData":{"DOI":"10.1038/s42255-023-00869-w","ISSN":"2522-5812 (Electronic)","PMID":"37735274","abstract":"Insulin action in the human brain modulates eating behaviour, whole-body  metabolism and body fat distribution(1,2). In particular, brain insulin action increases whole-body insulin sensitivity, but these studies were mainly performed in lean men(3,4). Here we investigate metabolic and hypothalamic effects of brain insulin action in women with a focus on the impact of menstrual cycle ( ClinicalTrials.gov registration: NCT03929419 ).Eleven women underwent four hyperinsulinemic-euglycemic clamps, two in the follicular phase and two in the luteal phase. Brain insulin action was introduced using nasal insulin spray(5-7) and compared to placebo spray in a fourfold crossover design with change in glucose infusion rate as the primary endpoint. Here we show that during the follicular phase, more glucose has to be infused after administration of nasal insulin than after administration of placebo. This remains significant after adjustment for blood glucose and insulin. During the luteal phase, no significant influence of brain insulin action on glucose infusion rate is detected after adjustment for blood glucose and insulin (secondary endpoint). In 15 other women, hypothalamic insulin sensitivity was assessed in a within-subject design by functional magnetic resonance imaging with intranasal insulin administration(8). Hypothalamus responsivity is influenced by insulin in the follicular phase but not the luteal phase.Our study therefore highlights that brain insulin action improves peripheral insulin sensitivity also in women but only during the follicular phase. Thus, brain insulin resistance could contribute to whole-body insulin resistance in the luteal phase of the menstrual cycle.","author":[{"dropping-particle":"","family":"Hummel","given":"Julia","non-dropping-particle":"","parse-names":false,"suffix":""},{"dropping-particle":"","family":"Benkendorff","given":"Charlotte","non-dropping-particle":"","parse-names":false,"suffix":""},{"dropping-particle":"","family":"Fritsche","given":"Louise","non-dropping-particle":"","parse-names":false,"suffix":""},{"dropping-particle":"","family":"Prystupa","given":"Katsiaryna","non-dropping-particle":"","parse-names":false,"suffix":""},{"dropping-particle":"","family":"Vosseler","given":"Andreas","non-dropping-particle":"","parse-names":false,"suffix":""},{"dropping-particle":"","family":"Gancheva","given":"Sofiya","non-dropping-particle":"","parse-names":false,"suffix":""},{"dropping-particle":"","family":"Trenkamp","given":"Sandra","non-dropping-particle":"","parse-names":false,"suffix":""},{"dropping-particle":"","family":"Birkenfeld","given":"Andreas L","non-dropping-particle":"","parse-names":false,"suffix":""},{"dropping-particle":"","family":"Preissl","given":"Hubert","non-dropping-particle":"","parse-names":false,"suffix":""},{"dropping-particle":"","family":"Roden","given":"Michael","non-dropping-particle":"","parse-names":false,"suffix":""},{"dropping-particle":"","family":"Häring","given":"Hans-Ulrich","non-dropping-particle":"","parse-names":false,"suffix":""},{"dropping-particle":"","family":"Fritsche","given":"Andreas","non-dropping-particle":"","parse-names":false,"suffix":""},{"dropping-particle":"","family":"Peter","given":"Andreas","non-dropping-particle":"","parse-names":false,"suffix":""},{"dropping-particle":"","family":"Wagner","given":"Robert","non-dropping-particle":"","parse-names":false,"suffix":""},{"dropping-particle":"","family":"Kullmann","given":"Stephanie","non-dropping-particle":"","parse-names":false,"suffix":""},{"dropping-particle":"","family":"Heni","given":"Martin","non-dropping-particle":"","parse-names":false,"suffix":""}],"container-title":"Nature metabolism","id":"ITEM-3","issue":"9","issued":{"date-parts":[["2023","9"]]},"language":"eng","page":"1475-1482","publisher-place":"Germany","title":"Brain insulin action on peripheral insulin sensitivity in women depends on  menstrual cycle phase.","type":"article-journal","volume":"5"},"uris":["http://www.mendeley.com/documents/?uuid=ef5b6085-56f0-34a0-93fd-4f21b84ca336"]},{"id":"ITEM-4","itemData":{"DOI":"10.2337/db14-0477","ISSN":"1939-327X (Electronic)","PMID":"25028522","abstract":"Animal studies suggest that insulin action in the brain is involved in the  regulation of peripheral insulin sensitivity. Whether this holds true in humans is unknown. Using intranasal application of insulin to the human brain, we studied the impacts of brain insulin action on whole-body insulin sensitivity and the mechanisms involved in this process. Insulin sensitivity was assessed by hyperinsulinemic-euglycemic glucose clamp before and after intranasal application of insulin and placebo in randomized order in lean and obese men. After insulin spray application in lean subjects, a higher glucose infusion rate was necessary to maintain euglycemia compared with placebo. Accordingly, clamp-derived insulin sensitivity index improved after insulin spray. In obese subjects, this insulin-sensitizing effect could not be detected. Change in the high-frequency band of heart rate variability, an estimate of parasympathetic output, correlated positively with change in whole-body insulin sensitivity after intranasal insulin. Improvement in whole-body insulin sensitivity correlated with the change in hypothalamic activity as assessed by functional magnetic resonance imaging. Intranasal insulin improves peripheral insulin sensitivity in lean but not in obese men. Furthermore, brain-derived peripheral insulin sensitization is associated with hypothalamic activity and parasympathetic outputs. Thus, the findings provide novel insights into the regulation of insulin sensitivity and the pathogenesis of insulin resistance in humans.","author":[{"dropping-particle":"","family":"Heni","given":"Martin","non-dropping-particle":"","parse-names":false,"suffix":""},{"dropping-particle":"","family":"Wagner","given":"Robert","non-dropping-particle":"","parse-names":false,"suffix":""},{"dropping-particle":"","family":"Kullmann","given":"Stephanie","non-dropping-particle":"","parse-names":false,"suffix":""},{"dropping-particle":"","family":"Veit","given":"Ralf","non-dropping-particle":"","parse-names":false,"suffix":""},{"dropping-particle":"","family":"Mat Husin","given":"Haliza","non-dropping-particle":"","parse-names":false,"suffix":""},{"dropping-particle":"","family":"Linder","given":"Katarzyna","non-dropping-particle":"","parse-names":false,"suffix":""},{"dropping-particle":"","family":"Benkendorff","given":"Charlotte","non-dropping-particle":"","parse-names":false,"suffix":""},{"dropping-particle":"","family":"Peter","given":"Andreas","non-dropping-particle":"","parse-names":false,"suffix":""},{"dropping-particle":"","family":"Stefan","given":"Norbert","non-dropping-particle":"","parse-names":false,"suffix":""},{"dropping-particle":"","family":"Häring","given":"Hans-Ulrich","non-dropping-particle":"","parse-names":false,"suffix":""},{"dropping-particle":"","family":"Preissl","given":"Hubert","non-dropping-particle":"","parse-names":false,"suffix":""},{"dropping-particle":"","family":"Fritsche","given":"Andreas","non-dropping-particle":"","parse-names":false,"suffix":""}],"container-title":"Diabetes","id":"ITEM-4","issue":"12","issued":{"date-parts":[["2014","12"]]},"language":"eng","page":"4083-4088","publisher-place":"United States","title":"Central insulin administration improves whole-body insulin sensitivity via  hypothalamus and parasympathetic outputs in men.","type":"article-journal","volume":"63"},"uris":["http://www.mendeley.com/documents/?uuid=bd69d22c-bf09-479c-909b-d845603d1f34"]}],"mendeley":{"formattedCitation":"&lt;i&gt;(6, 28–30)&lt;/i&gt;","plainTextFormattedCitation":"(6, 28–30)","previouslyFormattedCitation":"&lt;i&gt;(6, 28–30)&lt;/i&gt;"},"properties":{"noteIndex":0},"schema":"https://github.com/citation-style-language/schema/raw/master/csl-citation.json"}</w:instrText>
      </w:r>
      <w:r w:rsidR="00A257DF" w:rsidRPr="001533EC">
        <w:rPr>
          <w:sz w:val="24"/>
          <w:szCs w:val="24"/>
        </w:rPr>
        <w:fldChar w:fldCharType="separate"/>
      </w:r>
      <w:r w:rsidR="00607440" w:rsidRPr="001533EC">
        <w:rPr>
          <w:i/>
          <w:noProof/>
          <w:sz w:val="24"/>
          <w:szCs w:val="24"/>
        </w:rPr>
        <w:t>(6, 28–30)</w:t>
      </w:r>
      <w:r w:rsidR="00A257DF" w:rsidRPr="001533EC">
        <w:rPr>
          <w:sz w:val="24"/>
          <w:szCs w:val="24"/>
        </w:rPr>
        <w:fldChar w:fldCharType="end"/>
      </w:r>
      <w:r w:rsidRPr="001533EC">
        <w:rPr>
          <w:sz w:val="24"/>
          <w:szCs w:val="24"/>
        </w:rPr>
        <w:t>, suppressing hepatic glucose production</w:t>
      </w:r>
      <w:r w:rsidR="00915B06">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{"citationItems":[{"id":"ITEM-1","itemData":{"DOI":"10.2337/db16-1380","ISSN":"1939-327X (Electronic)","PMID":"28174292","abstract":"Intranasal spray application facilitates insulin delivery to the human brain.  Although brain insulin modulates peripheral metabolism, the mechanisms involved remain elusive. Twenty-one men underwent two hyperinsulinemic-euglycemic clamps with d-[6,6-(2)H(2)]glucose infusion to measure endogenous glucose production and glucose disappearance. On two separate days, participants received intranasal insulin or placebo. Insulin spillover into circulation after intranasal insulin application was mimicked by an intravenous insulin bolus on placebo day. On a different day, brain insulin sensitivity was assessed by functional MRI. Glucose infusion rates (GIRs) had to be increased more after nasal insulin than after placebo to maintain euglycemia in lean but not in overweight people. The increase in GIRs was associated with regional brain insulin action in hypothalamus and striatum. Suppression of endogenous glucose production by circulating insulin was more pronounced after administration of nasal insulin than after placebo. Furthermore, glucose uptake into tissue tended to be higher after nasal insulin application. No such effects were detected in overweight participants. By increasing insulin-mediated suppression of endogenous glucose production and stimulating peripheral glucose uptake, brain insulin may improve glucose metabolism during systemic hyperinsulinemia. Obese people appear to lack these mechanisms. Therefore, brain insulin resistance in obesity may have unfavorable consequences for whole-body glucose homeostasis.","author":[{"dropping-particle":"","family":"Heni","given":"Martin","non-dropping-particle":"","parse-names":false,"suffix":""},{"dropping-particle":"","family":"Wagner","given":"Robert","non-dropping-particle":"","parse-names":false,"suffix":""},{"dropping-particle":"","family":"Kullmann","given":"Stephanie","non-dropping-particle":"","parse-names":false,"suffix":""},{"dropping-particle":"","family":"Gancheva","given":"Sofiya","non-dropping-particle":"","parse-names":false,"suffix":""},{"dropping-particle":"","family":"Roden","given":"Michael","non-dropping-particle":"","parse-names":false,"suffix":""},{"dropping-particle":"","family":"Peter","given":"Andreas","non-dropping-particle":"","parse-names":false,"suffix":""},{"dropping-particle":"","family":"Stefan","given":"Norbert","non-dropping-particle":"","parse-names":false,"suffix":""},{"dropping-particle":"","family":"Preissl","given":"Hubert","non-dropping-particle":"","parse-names":false,"suffix":""},{"dropping-particle":"","family":"Häring","given":"Hans-Ulrich","non-dropping-particle":"","parse-names":false,"suffix":""},{"dropping-particle":"","family":"Fritsche","given":"Andreas","non-dropping-particle":"","parse-names":false,"suffix":""}],"container-title":"Diabetes","id":"ITEM-1","issue":"7","issued":{"date-parts":[["2017","7"]]},"language":"eng","page":"1797-1806","publisher-place":"United States","title":"Hypothalamic and Striatal Insulin Action Suppresses Endogenous Glucose Production  and May Stimulate Glucose Uptake During Hyperinsulinemia in Lean but Not in Overweight Men.","type":"article-journal","volume":"66"},"uris":["http://www.mendeley.com/documents/?uuid=4d49f086-0e1d-4774-b05e-8060c93621b3"]}],"mendeley":{"formattedCitation":"&lt;i&gt;(31)&lt;/i&gt;","plainTextFormattedCitation":"(31)","previouslyFormattedCitation":"&lt;i&gt;(31)&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(31)</w:t>
      </w:r>
      <w:r w:rsidR="00122188" w:rsidRPr="001533EC">
        <w:rPr>
          <w:rStyle w:val="Funotenzeichen"/>
          <w:sz w:val="24"/>
          <w:szCs w:val="24"/>
        </w:rPr>
        <w:fldChar w:fldCharType="end"/>
      </w:r>
      <w:r w:rsidRPr="001533EC">
        <w:rPr>
          <w:sz w:val="24"/>
          <w:szCs w:val="24"/>
        </w:rPr>
        <w:t>, and stimulating pancreatic insulin secretion</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{"citationItems":[{"id":"ITEM-1","itemData":{"DOI":"10.1159/000504551","ISSN":"1423-0194 (Electronic)","PMID":"31689708","abstract":"BACKGROUND: Animal studies and initial correlative data in humans indicate that  insulin action in the brain may affect pancreatic insulin secretion. An important brain region for this process is the hypothalamus, an area that can develop insulin resistance. METHODS: Fifteen young, healthy men (27 ± 3 years) with a wide BMI spectrum (20-30 kg/m2) underwent 2 hyperglycemic clamps (target blood glucose: 10 mmol/L). In this double-blind study, subjects received 160 U of insulin or placebo as a nasal spray on 2 days in randomized order. On another day, insulin sensitivity of the hypothalamus was determined by functional magnetic resonance imaging. RESULTS: Glucose levels were comparable on both study days. In the whole group, C-peptide levels were not significantly different between conditions. Though, there was a significant interaction between insulin sensitivity of the hypothalamus × nasal spray × time on C-peptide levels (p = 10-6). The group was therefore divided according to median hypothalamic insulin sensitivity. C-peptide concentrations were higher after intranasal insulin compared to placebo spray in the group with a strong hypothalamic insulin response (p &lt; 0.0001, β = 6.00 ± 1.24) and lower in the brain insulin-resistant group (p = 0.005, β = -2.68 ± 0.95). Neither somatostatin nor glucagon kinetics was altered by the nasal spray. CONCLUSIONS: In participants with high hypothalamic insulin sensitivity, insulin action in the brain enhanced second-phase insulin secretion from pancreatic beta cells. This reaction could, for example, contribute to late postprandial glucose regulation by suppressing hepatic glucose production by portal venous insulin.","author":[{"dropping-particle":"","family":"Heni","given":"Martin","non-dropping-particle":"","parse-names":false,"suffix":""},{"dropping-particle":"","family":"Wagner","given":"Robert","non-dropping-particle":"","parse-names":false,"suffix":""},{"dropping-particle":"","family":"Willmann","given":"Caroline","non-dropping-particle":"","parse-names":false,"suffix":""},{"dropping-particle":"","family":"Jaghutriz","given":"Benjamin Assad","non-dropping-particle":"","parse-names":false,"suffix":""},{"dropping-particle":"","family":"Vosseler","given":"Andreas","non-dropping-particle":"","parse-names":false,"suffix":""},{"dropping-particle":"","family":"Kübler","given":"Christian","non-dropping-particle":"","parse-names":false,"suffix":""},{"dropping-particle":"","family":"Hund","given":"Verena","non-dropping-particle":"","parse-names":false,"suffix":""},{"dropping-particle":"","family":"Scheffler","given":"Klaus","non-dropping-particle":"","parse-names":false,"suffix":""},{"dropping-particle":"","family":"Peter","given":"Andreas","non-dropping-particle":"","parse-names":false,"suffix":""},{"dropping-particle":"","family":"Häring","given":"Hans-Ulrich","non-dropping-particle":"","parse-names":false,"suffix":""},{"dropping-particle":"","family":"Preissl","given":"Hubert","non-dropping-particle":"","parse-names":false,"suffix":""},{"dropping-particle":"","family":"Kullmann","given":"Stephanie","non-dropping-particle":"","parse-names":false,"suffix":""},{"dropping-particle":"","family":"Fritsche","given":"Andreas","non-dropping-particle":"","parse-names":false,"suffix":""}],"container-title":"Neuroendocrinology","id":"ITEM-1","issue":"11-12","issued":{"date-parts":[["2020"]]},"language":"eng","page":"929-937","publisher-place":"Switzerland","title":"Insulin Action in the Hypothalamus Increases Second-Phase Insulin Secretion in  Humans.","type":"article-journal","volume":"110"},"uris":["http://www.mendeley.com/documents/?uuid=16f0b986-6897-4358-b719-109d7128e57a","http://www.mendeley.com/documents/?uuid=9e4fe7b8-79f5-4776-b86a-9489dc79abfc"]},{"id":"ITEM-2","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endocrinology","id":"ITEM-2","issue":"6","issued":{"date-parts":[["2020","6"]]},"language":"eng","page":"524-534","publisher-place":"England","title":"Central nervous pathways of insulin action in the control of metabolism and food  intake.","type":"article-journal","volume":"8"},"uris":["http://www.mendeley.com/documents/?uuid=a7d0c581-29d9-49ff-a27f-ba1e61e2edff"]}],"mendeley":{"formattedCitation":"&lt;i&gt;(6, 32)&lt;/i&gt;","plainTextFormattedCitation":"(6, 32)","previouslyFormattedCitation":"&lt;i&gt;(6, 32)&lt;/i&gt;"},"properties":{"noteIndex":0},"schema":"https://github.com/citation-style-language/schema/raw/master/csl-citation.json"}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(6, 32)</w:t>
      </w:r>
      <w:r w:rsidR="00122188" w:rsidRPr="001533EC">
        <w:rPr>
          <w:rStyle w:val="Funotenzeichen"/>
          <w:sz w:val="24"/>
          <w:szCs w:val="24"/>
        </w:rPr>
        <w:fldChar w:fldCharType="end"/>
      </w:r>
      <w:r w:rsidRPr="001533EC">
        <w:rPr>
          <w:sz w:val="24"/>
          <w:szCs w:val="24"/>
        </w:rPr>
        <w:t>. Hence, brain insulin sensitivity has a strong impact on metabolic processes related to the development of T2D</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{"citationItems":[{"id":"ITEM-1","itemData":{"DOI":"10.1007/s00125-024-06104-9","ISSN":"1432-0428","abstract":"Insulin exerts its actions not only on peripheral organs but is also transported into the brain where it performs distinct functions in various brain regions. This review highlights recent advancements in our understanding of insulin’s actions within the brain, with a specific emphasis on investigations in humans. It summarises current knowledge on the transport of insulin into the brain. Subsequently, it showcases robust evidence demonstrating the existence and physiological consequences of brain insulin action, while also introducing the presence of brain insulin resistance in humans. This pathophysiological condition goes along with an impaired acute modulation of peripheral metabolism in response to brain insulin action, particularly in the postprandial state. Furthermore, brain insulin resistance has been associated with long-term adiposity and an unfavourable adipose tissue distribution, thus implicating it in the pathogenesis of subgroups of obesity and (pre)diabetes that are characterised by distinct patterns of body fat distribution. Encouragingly, emerging evidence suggests that brain insulin resistance could represent a treatable entity, thereby opening up novel therapeutic avenues to improve systemic metabolism and enhance brain functions, including cognition. The review closes with an outlook towards prospective research directions aimed at further elucidating the clinical implications of brain insulin resistance. It emphasises the critical need to establish feasible diagnostic measures and effective therapeutic interventions.","author":[{"dropping-particle":"","family":"Heni","given":"Martin","non-dropping-particle":"","parse-names":false,"suffix":""}],"container-title":"Diabetologia","id":"ITEM-1","issued":{"date-parts":[["2024"]]},"title":"The insulin resistant brain: impact on whole-body metabolism and body fat distribution","type":"article-journal"},"uris":["http://www.mendeley.com/documents/?uuid=ee27ff2f-83b4-4277-83a1-357e4e6426d1"]}],"mendeley":{"formattedCitation":"&lt;i&gt;(8)&lt;/i&gt;","plainTextFormattedCitation":"(8)","previouslyFormattedCitation":"&lt;i&gt;(8)&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(8)</w:t>
      </w:r>
      <w:r w:rsidR="00122188" w:rsidRPr="001533EC">
        <w:rPr>
          <w:rStyle w:val="Funotenzeichen"/>
          <w:sz w:val="24"/>
          <w:szCs w:val="24"/>
        </w:rPr>
        <w:fldChar w:fldCharType="end"/>
      </w:r>
      <w:r w:rsidRPr="001533EC">
        <w:rPr>
          <w:sz w:val="24"/>
          <w:szCs w:val="24"/>
        </w:rPr>
        <w:t>. In persons with brain insulin resistance, central insulin fails to enhance peripheral metabolism</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endocrinology","id":"ITEM-1","issue":"6","issued":{"date-parts":[["2020","6"]]},"language":"eng","page":"524-534","publisher-place":"England","title":"Central nervous pathways of insulin action in the control of metabolism and food  intake.","type":"article-journal","volume":"8"},"uris":["http://www.mendeley.com/documents/?uuid=a7d0c581-29d9-49ff-a27f-ba1e61e2edff"]}],"mendeley":{"formattedCitation":"&lt;i&gt;(6)&lt;/i&gt;","plainTextFormattedCitation":"(6)","previouslyFormattedCitation":"&lt;i&gt;(6)&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(6)</w:t>
      </w:r>
      <w:r w:rsidR="00122188" w:rsidRPr="001533EC">
        <w:rPr>
          <w:rStyle w:val="Funotenzeichen"/>
          <w:sz w:val="24"/>
          <w:szCs w:val="24"/>
        </w:rPr>
        <w:fldChar w:fldCharType="end"/>
      </w:r>
      <w:r w:rsidRPr="001533EC">
        <w:rPr>
          <w:sz w:val="24"/>
          <w:szCs w:val="24"/>
        </w:rPr>
        <w:t xml:space="preserve">. Metabolically unhealthy individuals show an altered hypothalamic response to intranasal insulin, which is related to unhealthy eating behavior and </w:t>
      </w:r>
      <w:r w:rsidRPr="001533EC">
        <w:rPr>
          <w:sz w:val="24"/>
          <w:szCs w:val="24"/>
        </w:rPr>
        <w:lastRenderedPageBreak/>
        <w:t>fat distribution</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{"citationItems":[{"id":"ITEM-1","itemData":{"DOI":"10.1016/S2213-8587(20)30113-3","ISSN":"2213-8595 (Electronic)","PMID":"32445739","abstract":"Insulin acts on the CNS to modulate behaviour and systemic metabolism.  Disturbances in brain insulin action represent a possible link between metabolic and cognitive health. Current findings from human research suggest that boosting central insulin action in the brain modulates peripheral metabolism, enhancing whole-body insulin sensitivity and suppressing endogenous glucose production. Moreover, central insulin action curbs food intake by reducing the salience of highly palatable food cues and increasing cognitive control. Animal models show that the mesocorticolimbic circuitry is finely tuned in response to insulin, driven mainly by the dopamine system. These mechanisms are impaired in people with obesity, which might increase their risk of developing type 2 diabetes and associated diseases. Overall, current findings highlight the role of insulin action in the brain and its consequences on peripheral metabolism and cognition. Hence, improving central insulin action could represent a therapeutic option for people at an increased risk of developing metabolic and cognitive diseases.","author":[{"dropping-particle":"","family":"Kullmann","given":"Stephanie","non-dropping-particle":"","parse-names":false,"suffix":""},{"dropping-particle":"","family":"Kleinridders","given":"André","non-dropping-particle":"","parse-names":false,"suffix":""},{"dropping-particle":"","family":"Small","given":"Dana M","non-dropping-particle":"","parse-names":false,"suffix":""},{"dropping-particle":"","family":"Fritsche","given":"Andreas","non-dropping-particle":"","parse-names":false,"suffix":""},{"dropping-particle":"","family":"Häring","given":"Hans-Ulrich","non-dropping-particle":"","parse-names":false,"suffix":""},{"dropping-particle":"","family":"Preissl","given":"Hubert","non-dropping-particle":"","parse-names":false,"suffix":""},{"dropping-particle":"","family":"Heni","given":"Martin","non-dropping-particle":"","parse-names":false,"suffix":""}],"container-title":"The lancet. Diabetes &amp; endocrinology","id":"ITEM-1","issue":"6","issued":{"date-parts":[["2020","6"]]},"language":"eng","page":"524-534","publisher-place":"England","title":"Central nervous pathways of insulin action in the control of metabolism and food  intake.","type":"article-journal","volume":"8"},"uris":["http://www.mendeley.com/documents/?uuid=a7d0c581-29d9-49ff-a27f-ba1e61e2edff"]},{"id":"ITEM-2","itemData":{"DOI":"10.2337/dc14-2319","ISSN":"1935-5548 (Electronic)","PMID":"25795413","abstract":"OBJECTIVE: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 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 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 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author":[{"dropping-particle":"","family":"Kullmann","given":"Stephanie","non-dropping-particle":"","parse-names":false,"suffix":""},{"dropping-particle":"","family":"Heni","given":"Martin","non-dropping-particle":"","parse-names":false,"suffix":""},{"dropping-particle":"","family":"Veit","given":"Ralf","non-dropping-particle":"","parse-names":false,"suffix":""},{"dropping-particle":"","family":"Scheffler","given":"Klaus","non-dropping-particle":"","parse-names":false,"suffix":""},{"dropping-particle":"","family":"Machann","given":"Jürgen","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container-title":"Diabetes care","id":"ITEM-2","issue":"6","issued":{"date-parts":[["2015","6"]]},"language":"eng","page":"1044-1050","publisher-place":"United States","title":"Selective insulin resistance in homeostatic and cognitive control brain areas in  overweight and obese adults.","type":"article-journal","volume":"38"},"uris":["http://www.mendeley.com/documents/?uuid=b3c3bf05-2eca-47b0-b37b-9ccc13cf91af"]},{"id":"ITEM-3","itemData":{"DOI":"10.1111/dom.15094","ISSN":"1463-1326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metabolism","id":"ITEM-3","issue":"8","issued":{"date-parts":[["2023","8"]]},"language":"eng","page":"2171-2180","publisher-place":"England","title":"Brain insulin responsiveness is linked to age and peripheral insulin sensitivity.","type":"article-journal","volume":"25"},"uris":["http://www.mendeley.com/documents/?uuid=015f0716-46d7-3ffd-ae45-d9358a530a50"]},{"id":"ITEM-4","itemData":{"DOI":"10.1038/s41366-022-01167-3","ISSN":"1476-5497 (Electronic)","PMID":"35715625","abstract":"BACKGROUND/OBJECTIVES: Central insulin action influences cognitive processes,  peripheral metabolism, and eating behavior. However, the contribution of obesity and sex on central insulin-mediated neural food cue processing still remains unclear. SUBJECTS/METHODS: In a randomized within-participant design, including two visits, 60 participants (30 women, BMI 18-32 kg/m(2), age 21-69 years) underwent a functional MRI task measuring blood oxygen level-dependent (BOLD) signal in response to visual food cues after intranasal insulin or placebo spray administration. Central insulin action was defined as the neural BOLD response to food cues after insulin compared to placebo administration. Afterwards, participants were asked to rate the food cues for desire to eat (i.e., wanting rating). For statistical analyses, participants were grouped according to BMI and sex. RESULTS: Food cue reactivity in the amygdala showed higher BOLD activation in response to central insulin compared to placebo. Furthermore, women with overweight and obesity and men of normal weight showed higher BOLD neural food cue responsivity to central insulin compared to placebo. Higher central insulin action in the insular cortex was associated with better peripheral insulin sensitivity and higher cognitive control. Moreover, central insulin action in the dorsolateral prefrontal cortex (DLPFC) revealed significant sex differences. In response to central insulin compared to placebo, men showed lower DLPFC BOLD activity, whereas women showed higher DLPFC activity in response to highly desired food cues. On behavioral level, central insulin action significantly reduced hunger, whereas the desire to eat, especially for low caloric food cues was significantly higher with central insulin than with placebo. CONCLUSIONS: Obesity and sex influenced the central insulin-mediated neural BOLD activity to visual food cues in brain regions implicated in reward and cognitive control. These findings show that central insulin action regulates food response differentially in men and women, which may have consequences for metabolism and eating behavior.","author":[{"dropping-particle":"","family":"Wagner","given":"Lore","non-dropping-particle":"","parse-names":false,"suffix":""},{"dropping-particle":"","family":"Veit","given":"Ralf","non-dropping-particle":"","parse-names":false,"suffix":""},{"dropping-particle":"","family":"Fritsche","given":"Louise","non-dropping-particle":"","parse-names":false,"suffix":""},{"dropping-particle":"","family":"Häring","given":"Hans-Ulrich","non-dropping-particle":"","parse-names":false,"suffix":""},{"dropping-particle":"","family":"Fritsche","given":"Andreas","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International journal of obesity (2005)","id":"ITEM-4","issue":"9","issued":{"date-parts":[["2022","9"]]},"language":"eng","page":"1662-1670","publisher-place":"England","title":"Sex differences in central insulin action: Effect of intranasal insulin on neural  food cue reactivity in adults with normal weight and overweight.","type":"article-journal","volume":"46"},"uris":["http://www.mendeley.com/documents/?uuid=f82bd694-d989-458c-b188-4f8de02efc03","http://www.mendeley.com/documents/?uuid=4ce2b473-20c7-4dfe-b5a3-8f54fb00fb04","http://www.mendeley.com/documents/?uuid=bf0dbd79-a1ec-4b67-900d-2b747df4466d"]}],"mendeley":{"formattedCitation":"&lt;i&gt;(6, 21, 33, 34)&lt;/i&gt;","plainTextFormattedCitation":"(6, 21, 33, 34)","previouslyFormattedCitation":"&lt;i&gt;(6, 21, 33, 34)&lt;/i&gt;"},"properties":{"noteIndex":0},"schema":"https://github.com/citation-style-language/schema/raw/master/csl-citation.json"}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(6, 21, 33, 34)</w:t>
      </w:r>
      <w:r w:rsidR="00122188" w:rsidRPr="001533EC">
        <w:rPr>
          <w:rStyle w:val="Funotenzeichen"/>
          <w:sz w:val="24"/>
          <w:szCs w:val="24"/>
        </w:rPr>
        <w:fldChar w:fldCharType="end"/>
      </w:r>
      <w:r w:rsidRPr="001533EC">
        <w:rPr>
          <w:sz w:val="24"/>
          <w:szCs w:val="24"/>
        </w:rPr>
        <w:t>. Brain insulin resistance also predicts body weight trajectory and body fat distribution over a time span of 9 years</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{"citationItems":[{"id":"ITEM-1","itemData":{"DOI":"10.1038/s41467-020-15686-y","ISSN":"20411723","PMID":"32296068","abstract":"Brain insulin action regulates eating behavior and energy fluxes throughout the body. However, numerous people are brain insulin resistant. How brain insulin responsiveness affects long-term weight and body fat composition in humans is still unknown. Here we show that high brain insulin sensitivity before lifestyle intervention associates with a more pronounced reduction in total and visceral fat during the program. High brain insulin sensitivity is also associated with less regain of fat mass during a nine year follow-up. Cross-sectionally, strong insulin responsiveness of the hypothalamus associates with less visceral fat, while subcutaneous fat is unrelated. Our results demonstrate that high brain insulin sensitivity is linked to weight loss during lifestyle intervention and associates with a favorable body fat distribution. Since visceral fat is strongly linked to diabetes, cardiovascular risk and cancer, these findings have implications beyond metabolic diseases and indicate the necessity of strategies to resolve brain insulin resistance.","author":[{"dropping-particle":"","family":"Kullmann","given":"Stephanie","non-dropping-particle":"","parse-names":false,"suffix":""},{"dropping-particle":"","family":"Valenta","given":"Vera","non-dropping-particle":"","parse-names":false,"suffix":""},{"dropping-particle":"","family":"Wagner","given":"Robert","non-dropping-particle":"","parse-names":false,"suffix":""},{"dropping-particle":"","family":"Tschritter","given":"Otto","non-dropping-particle":"","parse-names":false,"suffix":""},{"dropping-particle":"","family":"Machann","given":"Jürgen","non-dropping-particle":"","parse-names":false,"suffix":""},{"dropping-particle":"","family":"Häring","given":"Hans Ulrich","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Nature Communications","id":"ITEM-1","issue":"1","issued":{"date-parts":[["2020","12","1"]]},"publisher":"Nature Research","title":"Brain insulin sensitivity is linked to adiposity and body fat distribution","type":"article-journal","volume":"11"},"uris":["http://www.mendeley.com/documents/?uuid=70cb2476-8915-34c7-b417-ba5695f1b3f6"]}],"mendeley":{"formattedCitation":"&lt;i&gt;(14)&lt;/i&gt;","plainTextFormattedCitation":"(14)","previouslyFormattedCitation":"&lt;i&gt;(14)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(14)</w:t>
      </w:r>
      <w:r w:rsidR="00122188" w:rsidRPr="001533EC">
        <w:rPr>
          <w:rStyle w:val="Funotenzeichen"/>
          <w:sz w:val="24"/>
          <w:szCs w:val="24"/>
        </w:rPr>
        <w:fldChar w:fldCharType="end"/>
      </w:r>
      <w:r w:rsidRPr="001533EC">
        <w:rPr>
          <w:sz w:val="24"/>
          <w:szCs w:val="24"/>
        </w:rPr>
        <w:t>. Thus, the identification of people with brain insulin resistance could potentially guide screening and treatment in</w:t>
      </w:r>
      <w:r w:rsidR="00776633">
        <w:rPr>
          <w:sz w:val="24"/>
          <w:szCs w:val="24"/>
        </w:rPr>
        <w:t xml:space="preserve"> the</w:t>
      </w:r>
      <w:r w:rsidRPr="001533EC">
        <w:rPr>
          <w:sz w:val="24"/>
          <w:szCs w:val="24"/>
        </w:rPr>
        <w:t xml:space="preserve"> future. </w:t>
      </w:r>
    </w:p>
    <w:p w14:paraId="17CD3CA8" w14:textId="13AB3D6C" w:rsidR="00C35B7A" w:rsidRPr="001533EC" w:rsidRDefault="00C35B7A" w:rsidP="00C35B7A">
      <w:pPr>
        <w:spacing w:line="480" w:lineRule="auto"/>
        <w:jc w:val="both"/>
        <w:rPr>
          <w:sz w:val="24"/>
          <w:szCs w:val="24"/>
        </w:rPr>
      </w:pPr>
      <w:r w:rsidRPr="001533EC">
        <w:rPr>
          <w:sz w:val="24"/>
          <w:szCs w:val="24"/>
        </w:rPr>
        <w:t>Epigenetic factors have been described as one mechanism - among others - involved in developing obesity and T2D. In this research field, many human studies described the epigenetic alterations in the liver, muscle, islets of Langerhans, and blood cells, however brain data are limited</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{"citationItems":[{"id":"ITEM-1","itemData":{"DOI":"10.1038/s41467-019-12081-0","ISSN":"2041-1723","abstract":"The mechanisms underlying improved insulin sensitivity after surgically-induced weight loss are still unclear. We monitored skeletal muscle metabolism in obese individuals before and over 52 weeks after metabolic surgery. Initial weight loss occurs in parallel with a decrease in muscle oxidative capacity and respiratory control ratio. Persistent elevation of intramyocellular lipid intermediates, likely resulting from unrestrained adipose tissue lipolysis, accompanies the lack of rapid changes in insulin sensitivity. Simultaneously, alterations in skeletal muscle expression of genes involved in calcium/lipid metabolism and mitochondrial function associate with subsequent distinct DNA methylation patterns at 52 weeks after surgery. Thus, initial unfavorable metabolic changes including insulin resistance of adipose tissue and skeletal muscle precede epigenetic modifications of genes involved in muscle energy metabolism and the long-term improvement of insulin sensitivity.","author":[{"dropping-particle":"","family":"Gancheva","given":"Sofiya","non-dropping-particle":"","parse-names":false,"suffix":""},{"dropping-particle":"","family":"Ouni","given":"Meriem","non-dropping-particle":"","parse-names":false,"suffix":""},{"dropping-particle":"","family":"Jelenik","given":"Tomas","non-dropping-particle":"","parse-names":false,"suffix":""},{"dropping-particle":"","family":"Koliaki","given":"Chrysi","non-dropping-particle":"","parse-names":false,"suffix":""},{"dropping-particle":"","family":"Szendroedi","given":"Julia","non-dropping-particle":"","parse-names":false,"suffix":""},{"dropping-particle":"","family":"Toledo","given":"Frederico G S","non-dropping-particle":"","parse-names":false,"suffix":""},{"dropping-particle":"","family":"Markgraf","given":"Daniel F","non-dropping-particle":"","parse-names":false,"suffix":""},{"dropping-particle":"","family":"Pesta","given":"Dominik H","non-dropping-particle":"","parse-names":false,"suffix":""},{"dropping-particle":"","family":"Mastrototaro","given":"Lucia","non-dropping-particle":"","parse-names":false,"suffix":""},{"dropping-particle":"","family":"Filippo","given":"Elisabetta","non-dropping-particle":"De","parse-names":false,"suffix":""},{"dropping-particle":"","family":"Herder","given":"Christian","non-dropping-particle":"","parse-names":false,"suffix":""},{"dropping-particle":"","family":"Jähnert","given":"Markus","non-dropping-particle":"","parse-names":false,"suffix":""},{"dropping-particle":"","family":"Weiss","given":"Jürgen","non-dropping-particle":"","parse-names":false,"suffix":""},{"dropping-particle":"","family":"Strassburger","given":"Klaus","non-dropping-particle":"","parse-names":false,"suffix":""},{"dropping-particle":"","family":"Schlensak","given":"Matthias","non-dropping-particle":"","parse-names":false,"suffix":""},{"dropping-particle":"","family":"Schürmann","given":"Annette","non-dropping-particle":"","parse-names":false,"suffix":""},{"dropping-particle":"","family":"Roden","given":"Michael","non-dropping-particle":"","parse-names":false,"suffix":""}],"container-title":"Nature Communications","id":"ITEM-1","issue":"1","issued":{"date-parts":[["2019"]]},"page":"4179","title":"Dynamic changes of muscle insulin sensitivity after metabolic surgery","type":"article-journal","volume":"10"},"uris":["http://www.mendeley.com/documents/?uuid=19cad881-44e6-4c49-a0bc-62910d4a7bb2"]},{"id":"ITEM-2","itemData":{"DOI":"10.1016/j.cmet.2019.03.009","ISSN":"1550-4131","author":[{"dropping-particle":"","family":"Ling","given":"Charlotte","non-dropping-particle":"","parse-names":false,"suffix":""},{"dropping-particle":"","family":"Rönn","given":"Tina","non-dropping-particle":"","parse-names":false,"suffix":""}],"container-title":"Cell Metabolism","id":"ITEM-2","issue":"5","issued":{"date-parts":[["2019","5"]]},"page":"1028-1044","publisher":"Elsevier","title":"Epigenetics in Human Obesity and Type 2 Diabetes","type":"article-journal","volume":"29"},"uris":["http://www.mendeley.com/documents/?uuid=b5547aed-1a7b-48de-9977-1ae651a4bf32"]},{"id":"ITEM-3","itemData":{"DOI":"10.1016/j.molmet.2023.101774","ISSN":"2212-8778 (Electronic)","PMID":"37429525","abstract":"OBJECTIVES: Better disease management can be achieved with earlier detection  through robust, sensitive, and easily accessible biomarkers. The aim of the current study was to identify novel epigenetic biomarkers determining the risk of type 2 diabetes (T2D). METHODS: Livers of 10-week-old female New Zealand Obese (NZO) mice, slightly differing in their degree of hyperglycemia and liver fat content and thereby in their diabetes susceptibility were used for expression and methylation profiling. We screened for differences in hepatic expression and DNA methylation in diabetes-prone and -resistant mice, and verified a candidate (HAMP) in human livers and blood cells. Hamp expression was manipulated in primary hepatocytes and insulin-stimulated pAKT was detected. Luciferase reporter assays were conducted in a murine liver cell line to test the impact of DNA methylation on promoter activity. RESULTS: In livers of NZO mice, the overlap of methylome and transcriptome analyses revealed a potential transcriptional dysregulation of 12 hepatokines. The strongest effect with a 52% decreased expression in livers of diabetes-prone mice was detected for the Hamp gene, mediated by elevated DNA methylation of two CpG sites located in the promoter. Hamp encodes the iron-regulatory hormone hepcidin, which had a lower abundance in the livers of mice prone to developing diabetes. Suppression of Hamp reduces the levels of pAKT in insulin-treated hepatocytes. In liver biopsies of obese insulin-resistant women, HAMP expression was significantly downregulated along with increased DNA methylation of a homologous CpG site. In blood cells of incident T2D cases from the prospective EPIC-Potsdam cohort, higher DNA methylation of two CpG sites was related to increased risk of incident diabetes. CONCLUSIONS: We identified epigenetic changes in the HAMP gene which may be used as an early marker preceding T2D.","author":[{"dropping-particle":"","family":"Ouni","given":"Meriem","non-dropping-particle":"","parse-names":false,"suffix":""},{"dropping-particle":"","family":"Eichelmann","given":"Fabian","non-dropping-particle":"","parse-names":false,"suffix":""},{"dropping-particle":"","family":"Jähnert","given":"Markus","non-dropping-particle":"","parse-names":false,"suffix":""},{"dropping-particle":"","family":"Krause","given":"Christin","non-dropping-particle":"","parse-names":false,"suffix":""},{"dropping-particle":"","family":"Saussenthaler","given":"Sophie","non-dropping-particle":"","parse-names":false,"suffix":""},{"dropping-particle":"","family":"Ott","given":"Christiane","non-dropping-particle":"","parse-names":false,"suffix":""},{"dropping-particle":"","family":"Gottmann","given":"Pascal","non-dropping-particle":"","parse-names":false,"suffix":""},{"dropping-particle":"","family":"Speckmann","given":"Thilo","non-dropping-particle":"","parse-names":false,"suffix":""},{"dropping-particle":"","family":"Huypens","given":"Peter","non-dropping-particle":"","parse-names":false,"suffix":""},{"dropping-particle":"","family":"Wolter","given":"Stefan","non-dropping-particle":"","parse-names":false,"suffix":""},{"dropping-particle":"","family":"Mann","given":"Oliver","non-dropping-particle":"","parse-names":false,"suffix":""},{"dropping-particle":"","family":"Angelis","given":"Martin Hrabé","non-dropping-particle":"De","parse-names":false,"suffix":""},{"dropping-particle":"","family":"Beckers","given":"Johannes","non-dropping-particle":"","parse-names":false,"suffix":""},{"dropping-particle":"","family":"Kirchner","given":"Henriette","non-dropping-particle":"","parse-names":false,"suffix":""},{"dropping-particle":"","family":"Schulze","given":"Matthias B","non-dropping-particle":"","parse-names":false,"suffix":""},{"dropping-particle":"","family":"Schürmann","given":"Annette","non-dropping-particle":"","parse-names":false,"suffix":""}],"container-title":"Molecular metabolism","id":"ITEM-3","issued":{"date-parts":[["2023","9"]]},"language":"eng","page":"101774","publisher-place":"Germany","title":"Differences in DNA methylation of HAMP in blood cells predicts the development of  type 2 diabetes.","type":"article-journal","volume":"75"},"uris":["http://www.mendeley.com/documents/?uuid=fc988422-3679-450d-9ac1-398755de513c"]},{"id":"ITEM-4","itemData":{"DOI":"10.2337/db20-0204","ISSN":"0012-1797","abstract":"The identification of individuals with a high risk of developing type 2 diabetes (T2D) is fundamental for prevention. Here, we used a translational approach and prediction criteria to identify changes in DNA methylation visible before the development of T2D. Islets of Langerhans were isolated from genetically identical 10-week-old female New Zealand Obese mice, which differ in their degree of hyperglycemia and in liver fat content. The application of a semiexplorative approach identified 497 differentially expressed and methylated genes (P = 6.42e-09, hypergeometric test) enriched in pathways linked to insulin secretion and extracellular matrix-receptor interaction. The comparison of mouse data with DNA methylation levels of incident T2D cases from the prospective European Prospective Investigation of Cancer (EPIC)-Potsdam cohort, revealed 105 genes with altered DNA methylation at 605 cytosine-phosphate-guanine (CpG) sites, which were associated with future T2D. AKAP13, TENM2, CTDSPL, PTPRN2, and PTPRS showed the strongest predictive potential (area under the receiver operating characteristic curve values 0.62–0.73). Among the new candidates identified in blood cells, 655 CpG sites, located in 99 genes, were differentially methylated in islets of humans with T2D. Using correction for multiple testing detected 236 genes with an altered DNA methylation in blood cells and 201 genes in diabetic islets. Thus, the introduced translational approach identified novel putative biomarkers for early pancreatic islet aberrations preceding T2D.","author":[{"dropping-particle":"","family":"Ouni","given":"Meriem","non-dropping-particle":"","parse-names":false,"suffix":""},{"dropping-particle":"","family":"Saussenthaler","given":"Sophie","non-dropping-particle":"","parse-names":false,"suffix":""},{"dropping-particle":"","family":"Eichelmann","given":"Fabian","non-dropping-particle":"","parse-names":false,"suffix":""},{"dropping-particle":"","family":"Jähnert","given":"Markus","non-dropping-particle":"","parse-names":false,"suffix":""},{"dropping-particle":"","family":"Stadion","given":"Mandy","non-dropping-particle":"","parse-names":false,"suffix":""},{"dropping-particle":"","family":"Wittenbecher","given":"Clemens","non-dropping-particle":"","parse-names":false,"suffix":""},{"dropping-particle":"","family":"Rönn","given":"Tina","non-dropping-particle":"","parse-names":false,"suffix":""},{"dropping-particle":"","family":"Zellner","given":"Lisa","non-dropping-particle":"","parse-names":false,"suffix":""},{"dropping-particle":"","family":"Gottmann","given":"Pascal","non-dropping-particle":"","parse-names":false,"suffix":""},{"dropping-particle":"","family":"Ling","given":"Charlotte","non-dropping-particle":"","parse-names":false,"suffix":""},{"dropping-particle":"","family":"Schulze","given":"Matthias B","non-dropping-particle":"","parse-names":false,"suffix":""},{"dropping-particle":"","family":"Schürmann","given":"Annette","non-dropping-particle":"","parse-names":false,"suffix":""}],"container-title":"Diabetes","id":"ITEM-4","issue":"11","issued":{"date-parts":[["2020","8"]]},"page":"2503-2517","title":"Epigenetic Changes in Islets of Langerhans Preceding the Onset of Diabetes","type":"article-journal","volume":"69"},"uris":["http://www.mendeley.com/documents/?uuid=a0fbf9a0-15a6-4c1b-876b-490b35b8d5b1"]}],"mendeley":{"formattedCitation":"&lt;i&gt;(16, 35–37)&lt;/i&gt;","plainTextFormattedCitation":"(16, 35–37)","previouslyFormattedCitation":"&lt;i&gt;(16, 35–37)&lt;/i&gt;"},"properties":{"noteIndex":0},"schema":"https://github.com/citation-style-language/schema/raw/master/csl-citation.json"}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(16, 35–37)</w:t>
      </w:r>
      <w:r w:rsidR="00122188" w:rsidRPr="001533EC">
        <w:rPr>
          <w:rStyle w:val="Funotenzeichen"/>
          <w:sz w:val="24"/>
          <w:szCs w:val="24"/>
        </w:rPr>
        <w:fldChar w:fldCharType="end"/>
      </w:r>
      <w:r w:rsidRPr="001533EC">
        <w:rPr>
          <w:sz w:val="24"/>
          <w:szCs w:val="24"/>
        </w:rPr>
        <w:t xml:space="preserve">. Although the role of epigenetic factors in obesity has been largely investigated, brain insulin resistance remains underexplored. </w:t>
      </w:r>
      <w:r w:rsidR="00782385">
        <w:rPr>
          <w:sz w:val="24"/>
          <w:szCs w:val="24"/>
        </w:rPr>
        <w:t xml:space="preserve">We </w:t>
      </w:r>
      <w:r w:rsidRPr="001533EC">
        <w:rPr>
          <w:sz w:val="24"/>
          <w:szCs w:val="24"/>
        </w:rPr>
        <w:t>compared the epigenetic signatures of humans with different brain insulin sensitivity statuses</w:t>
      </w:r>
      <w:r w:rsidR="00F67383">
        <w:rPr>
          <w:sz w:val="24"/>
          <w:szCs w:val="24"/>
        </w:rPr>
        <w:t xml:space="preserve"> and identified 540 </w:t>
      </w:r>
      <w:proofErr w:type="spellStart"/>
      <w:r w:rsidR="00F67383">
        <w:rPr>
          <w:sz w:val="24"/>
          <w:szCs w:val="24"/>
        </w:rPr>
        <w:t>CpGs</w:t>
      </w:r>
      <w:proofErr w:type="spellEnd"/>
      <w:r w:rsidR="00F67383">
        <w:rPr>
          <w:sz w:val="24"/>
          <w:szCs w:val="24"/>
        </w:rPr>
        <w:t xml:space="preserve"> that accurately classify</w:t>
      </w:r>
      <w:r w:rsidR="00F9294C">
        <w:rPr>
          <w:sz w:val="24"/>
          <w:szCs w:val="24"/>
        </w:rPr>
        <w:t xml:space="preserve"> </w:t>
      </w:r>
      <w:r w:rsidRPr="001533EC">
        <w:rPr>
          <w:sz w:val="24"/>
          <w:szCs w:val="24"/>
        </w:rPr>
        <w:t xml:space="preserve">brain insulin responsiveness in an easily accessible tissue. </w:t>
      </w:r>
      <w:r w:rsidR="0035254C">
        <w:rPr>
          <w:sz w:val="24"/>
          <w:szCs w:val="24"/>
        </w:rPr>
        <w:t>R</w:t>
      </w:r>
      <w:r w:rsidRPr="001533EC">
        <w:rPr>
          <w:sz w:val="24"/>
          <w:szCs w:val="24"/>
        </w:rPr>
        <w:t xml:space="preserve">esults were successfully validated in </w:t>
      </w:r>
      <w:r w:rsidR="00E83502">
        <w:rPr>
          <w:sz w:val="24"/>
          <w:szCs w:val="24"/>
        </w:rPr>
        <w:t>two</w:t>
      </w:r>
      <w:r w:rsidR="00E83502" w:rsidRPr="001533EC">
        <w:rPr>
          <w:sz w:val="24"/>
          <w:szCs w:val="24"/>
        </w:rPr>
        <w:t xml:space="preserve"> </w:t>
      </w:r>
      <w:r w:rsidRPr="001533EC">
        <w:rPr>
          <w:sz w:val="24"/>
          <w:szCs w:val="24"/>
        </w:rPr>
        <w:t>independent cohort</w:t>
      </w:r>
      <w:r w:rsidR="00E83502">
        <w:rPr>
          <w:sz w:val="24"/>
          <w:szCs w:val="24"/>
        </w:rPr>
        <w:t>s</w:t>
      </w:r>
      <w:r w:rsidRPr="001533EC">
        <w:rPr>
          <w:sz w:val="24"/>
          <w:szCs w:val="24"/>
        </w:rPr>
        <w:t>.</w:t>
      </w:r>
      <w:r w:rsidR="00902398" w:rsidRPr="001533EC">
        <w:rPr>
          <w:sz w:val="24"/>
          <w:szCs w:val="24"/>
        </w:rPr>
        <w:t xml:space="preserve"> </w:t>
      </w:r>
      <w:r w:rsidR="00075987" w:rsidRPr="001533EC">
        <w:rPr>
          <w:sz w:val="24"/>
          <w:szCs w:val="24"/>
        </w:rPr>
        <w:t>Furthermore, o</w:t>
      </w:r>
      <w:r w:rsidR="00896296" w:rsidRPr="001533EC">
        <w:rPr>
          <w:sz w:val="24"/>
          <w:szCs w:val="24"/>
        </w:rPr>
        <w:t xml:space="preserve">ur </w:t>
      </w:r>
      <w:r w:rsidR="00902398" w:rsidRPr="001533EC">
        <w:rPr>
          <w:sz w:val="24"/>
          <w:szCs w:val="24"/>
        </w:rPr>
        <w:t xml:space="preserve">analyses in initially healthy individuals also indicated that some of the identified CpG sites are related to </w:t>
      </w:r>
      <w:r w:rsidR="00896296" w:rsidRPr="001533EC">
        <w:rPr>
          <w:sz w:val="24"/>
          <w:szCs w:val="24"/>
        </w:rPr>
        <w:t xml:space="preserve">T2D risk </w:t>
      </w:r>
      <w:r w:rsidR="00902398" w:rsidRPr="001533EC">
        <w:rPr>
          <w:sz w:val="24"/>
          <w:szCs w:val="24"/>
        </w:rPr>
        <w:t xml:space="preserve">and </w:t>
      </w:r>
      <w:r w:rsidR="00C82062" w:rsidRPr="001533EC">
        <w:rPr>
          <w:sz w:val="24"/>
          <w:szCs w:val="24"/>
        </w:rPr>
        <w:t xml:space="preserve">were indeed </w:t>
      </w:r>
      <w:r w:rsidR="00902398" w:rsidRPr="001533EC">
        <w:rPr>
          <w:sz w:val="24"/>
          <w:szCs w:val="24"/>
        </w:rPr>
        <w:t xml:space="preserve">altered </w:t>
      </w:r>
      <w:r w:rsidR="00896296" w:rsidRPr="001533EC">
        <w:rPr>
          <w:sz w:val="24"/>
          <w:szCs w:val="24"/>
        </w:rPr>
        <w:t>prior to T2D</w:t>
      </w:r>
      <w:r w:rsidR="00C82062" w:rsidRPr="001533EC">
        <w:rPr>
          <w:sz w:val="24"/>
          <w:szCs w:val="24"/>
        </w:rPr>
        <w:t xml:space="preserve"> </w:t>
      </w:r>
      <w:r w:rsidR="00902398" w:rsidRPr="001533EC">
        <w:rPr>
          <w:sz w:val="24"/>
          <w:szCs w:val="24"/>
        </w:rPr>
        <w:t>diagnosis.</w:t>
      </w:r>
      <w:r w:rsidR="001A3A0B">
        <w:rPr>
          <w:sz w:val="24"/>
          <w:szCs w:val="24"/>
        </w:rPr>
        <w:t xml:space="preserve"> These finding underline the </w:t>
      </w:r>
      <w:r w:rsidR="001A3A0B" w:rsidRPr="001A3A0B">
        <w:rPr>
          <w:sz w:val="24"/>
          <w:szCs w:val="24"/>
        </w:rPr>
        <w:t xml:space="preserve">mutual </w:t>
      </w:r>
      <w:r w:rsidR="00A41D8F">
        <w:rPr>
          <w:sz w:val="24"/>
          <w:szCs w:val="24"/>
        </w:rPr>
        <w:t>interplay</w:t>
      </w:r>
      <w:r w:rsidR="001A3A0B" w:rsidRPr="001A3A0B">
        <w:rPr>
          <w:sz w:val="24"/>
          <w:szCs w:val="24"/>
        </w:rPr>
        <w:t xml:space="preserve"> of brain insulin resistance and metabolic traits associated with obesity and type 2 diabetes. </w:t>
      </w:r>
    </w:p>
    <w:p w14:paraId="379CAAEF" w14:textId="60F7DF49" w:rsidR="00C35B7A" w:rsidRPr="001533EC" w:rsidRDefault="00C35B7A" w:rsidP="00C35B7A">
      <w:pPr>
        <w:spacing w:line="480" w:lineRule="auto"/>
        <w:jc w:val="both"/>
        <w:rPr>
          <w:sz w:val="24"/>
          <w:szCs w:val="24"/>
        </w:rPr>
      </w:pPr>
      <w:r w:rsidRPr="001533EC">
        <w:rPr>
          <w:sz w:val="24"/>
          <w:szCs w:val="24"/>
        </w:rPr>
        <w:t xml:space="preserve">Clinical epigenetics emerged as a prominent area to facilitate the discovery of disease markers. </w:t>
      </w:r>
      <w:r w:rsidR="00A37B8C">
        <w:rPr>
          <w:sz w:val="24"/>
          <w:szCs w:val="24"/>
        </w:rPr>
        <w:t>Although</w:t>
      </w:r>
      <w:r w:rsidR="00A37B8C" w:rsidRPr="001533EC">
        <w:rPr>
          <w:sz w:val="24"/>
          <w:szCs w:val="24"/>
        </w:rPr>
        <w:t xml:space="preserve"> </w:t>
      </w:r>
      <w:r w:rsidRPr="001533EC">
        <w:rPr>
          <w:sz w:val="24"/>
          <w:szCs w:val="24"/>
        </w:rPr>
        <w:t>clinical epigenetics contributed significantly to screening, early diagnosis, and therapy guidance in cancer, to date, epigenetic studies in the field of obesity and T2D remain in the quest for robust methylation markers. Even though whole-blood DNA methylation profiling provides a snapshot of stable epigenetic markers, connecting these changes to the pathophysiological status of a specific tissue</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{"citationItems":[{"id":"ITEM-1","itemData":{"DOI":"10.1038/s42003-024-06591-x","ISSN":"2399-3642","abstract":"The difficulty of obtaining samples from certain human tissues has led to efforts to find accessible sources to analyze molecular markers derived from DNA. In this study, we look for DNA methylation patterns in blood samples and its association with the brain methylation pattern in neurodegenerative disorders. Using data from methylation databases, we selected 18,293 CpGs presenting correlated methylation levels between blood and brain (bb-CpGs) and compare their methylation level between blood samples from patients with neurodegenerative diseases (Alzheimer’s disease, Parkinson’s disease, Multiple Sclerosis, and X Fragile Syndrome) and healthy controls. Sixty-four bb-CpGs presented significant distinct methylation levels in patients, being: nine for Alzheimer’s disease, nine for Parkinson’s disease, 28 for Multiple Sclerosis, and 18 for Fragile X Syndrome. Similar differences in methylation pattern for the nine Alzheimer’s bb-CpGs was also observed when comparing brain tissue from patients vs. controls. The genomic regions of some of these 64 bb-CpGs are placed close to or inside genes previously associated with the respective condition. Our findings support the rationale of using blood DNA as a surrogate of brain tissue to analyze changes in CpG methylation level in patients with neurodegenerative diseases, opening the possibility for characterizing new biomarkers.","author":[{"dropping-particle":"","family":"Mendonça","given":"Vanessa","non-dropping-particle":"","parse-names":false,"suffix":""},{"dropping-particle":"","family":"Soares-Lima","given":"Sheila Coelho","non-dropping-particle":"","parse-names":false,"suffix":""},{"dropping-particle":"","family":"Moreira","given":"Miguel Angelo Martins","non-dropping-particle":"","parse-names":false,"suffix":""}],"container-title":"Communications Biology","id":"ITEM-1","issue":"1","issued":{"date-parts":[["2024"]]},"page":"904","title":"Exploring cross-tissue DNA methylation patterns: blood–brain CpGs as potential neurodegenerative disease biomarkers","type":"article-journal","volume":"7"},"uris":["http://www.mendeley.com/documents/?uuid=ebbc30d1-9c19-4b48-b067-14bceea31e06"]}],"mendeley":{"formattedCitation":"&lt;i&gt;(38)&lt;/i&gt;","plainTextFormattedCitation":"(38)","previouslyFormattedCitation":"&lt;i&gt;(38)&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(38)</w:t>
      </w:r>
      <w:r w:rsidR="00122188" w:rsidRPr="001533EC">
        <w:rPr>
          <w:rStyle w:val="Funotenzeichen"/>
          <w:sz w:val="24"/>
          <w:szCs w:val="24"/>
        </w:rPr>
        <w:fldChar w:fldCharType="end"/>
      </w:r>
      <w:r w:rsidRPr="001533EC">
        <w:rPr>
          <w:sz w:val="24"/>
          <w:szCs w:val="24"/>
        </w:rPr>
        <w:t xml:space="preserve"> is challenging. One option to overcome this challenge is by estimating the concordance between the epigenetic profiles of the tissue of interest and blood cells, as has been performed in other studies</w:t>
      </w:r>
      <w:r w:rsidR="009A06BF" w:rsidRPr="001533EC">
        <w:rPr>
          <w:sz w:val="24"/>
          <w:szCs w:val="24"/>
        </w:rPr>
        <w:t xml:space="preserve"> </w:t>
      </w:r>
      <w:r w:rsidR="00122188" w:rsidRPr="00D35F54">
        <w:rPr>
          <w:rStyle w:val="Funotenzeichen"/>
          <w:sz w:val="24"/>
          <w:szCs w:val="24"/>
        </w:rPr>
        <w:fldChar w:fldCharType="begin" w:fldLock="1"/>
      </w:r>
      <w:r w:rsidR="0017498C" w:rsidRPr="00D35F54">
        <w:rPr>
          <w:sz w:val="24"/>
          <w:szCs w:val="24"/>
        </w:rPr>
        <w:instrText>ADDIN CSL_CITATION {"citationItems":[{"id":"ITEM-1","itemData":{"DOI":"10.1093/schbul/sbv074","ISSN":"0586-7614","abstract":"Given the difficulty of procuring human brain tissue, a key question in molecular psychiatry concerns the extent to which epigenetic signatures measured in more accessible tissues such as blood can serve as a surrogate marker for the brain. Here, we aimed (1) to investigate the blood-brain correspondence of DNA methylation using a within-subject design and (2) to identify changes in DNA methylation of brain-related biological pathways in schizophrenia.We obtained paired blood and temporal lobe biopsy samples simultaneously from 12 epilepsy patients during neurosurgical treatment. Using the Infinium 450K methylation array we calculated similarity of blood and brain DNA methylation for each individual separately. We applied our findings by performing gene set enrichment analyses (GSEA) of peripheral blood DNA methylation data (Infinium 27K) of 111 schizophrenia patients and 122 healthy controls and included only Cytosine-phosphate-Guanine (CpG) sites that were significantly correlated across tissues.Only 7.9% of CpG sites showed a statistically significant, large correlation between blood and brain tissue, a proportion that although small was significantly greater than predicted by chance. GSEA analysis of schizophrenia data revealed altered methylation profiles in pathways related to precursor metabolites and signaling peptides.Our findings indicate that most DNA methylation markers in peripheral blood do not reliably predict brain DNA methylation status. However, a subset of peripheral data may proxy methylation status of brain tissue. Restricting the analysis to these markers can identify meaningful epigenetic differences in schizophrenia and potentially other brain disorders.","author":[{"dropping-particle":"","family":"Walton","given":"Esther","non-dropping-particle":"","parse-names":false,"suffix":""},{"dropping-particle":"","family":"Hass","given":"Johanna","non-dropping-particle":"","parse-names":false,"suffix":""},{"dropping-particle":"","family":"Liu","given":"Jingyu","non-dropping-particle":"","parse-names":false,"suffix":""},{"dropping-particle":"","family":"Roffman","given":"Joshua L","non-dropping-particle":"","parse-names":false,"suffix":""},{"dropping-particle":"","family":"Bernardoni","given":"Fabio","non-dropping-particle":"","parse-names":false,"suffix":""},{"dropping-particle":"","family":"Roessner","given":"Veit","non-dropping-particle":"","parse-names":false,"suffix":""},{"dropping-particle":"","family":"Kirsch","given":"Matthias","non-dropping-particle":"","parse-names":false,"suffix":""},{"dropping-particle":"","family":"Schackert","given":"Gabriele","non-dropping-particle":"","parse-names":false,"suffix":""},{"dropping-particle":"","family":"Calhoun","given":"Vince","non-dropping-particle":"","parse-names":false,"suffix":""},{"dropping-particle":"","family":"Ehrlich","given":"Stefan","non-dropping-particle":"","parse-names":false,"suffix":""}],"container-title":"Schizophrenia Bulletin","id":"ITEM-1","issue":"2","issued":{"date-parts":[["2016","3","1"]]},"page":"406-414","title":"Correspondence of DNA Methylation Between Blood and Brain Tissue and Its Application to Schizophrenia Research","type":"article-journal","volume":"42"},"uris":["http://www.mendeley.com/documents/?uuid=7f4b0de0-2f42-312d-a8ad-be8c1f208ee9"]},{"id":"ITEM-2","itemData":{"DOI":"10.1038/s41398-019-0376-y","ISSN":"2158-3188","abstract":"Differential DNA methylation in the brain is associated with many psychiatric diseases, but access to brain tissues is essentially limited to postmortem samples. The use of surrogate tissues has become common in identifying methylation changes associated with psychiatric disease. In this study, we determined the extent to which peripheral tissues can be used as surrogates for DNA methylation in the brain. Blood, saliva, buccal, and live brain tissue samples from 27 patients with medically intractable epilepsy undergoing brain resection were collected (age range 5–61 years). Genome-wide methylation was assessed with the Infinium HumanMethylation450 (n = 12) and HumanMethylationEPIC BeadChip arrays (n = 21). For the EPIC methylation data averaged for each CpG across subjects, the saliva–brain correlation (r = 0.90) was higher than that for blood–brain (r = 0.86) and buccal–brain (r = 0.85) comparisons. However, within individual CpGs, blood had the highest proportion of CpGs correlated to brain at nominally significant levels (20.8%), as compared to buccal tissue (17.4%) and saliva (15.1%). For each CpG and each gene, levels of brain-peripheral tissue correlation varied widely. This indicates that to determine the most useful surrogate tissue for representing brain DNA methylation, the patterns specific to the genomic region of interest must be considered. To assist in that objective, we have developed a website, IMAGE-CpG, that allows researchers to interrogate DNA methylation levels and degree of cross-tissue correlation in user-defined locations across the genome.","author":[{"dropping-particle":"","family":"Braun","given":"Patricia R","non-dropping-particle":"","parse-names":false,"suffix":""},{"dropping-particle":"","family":"Han","given":"Shizhong","non-dropping-particle":"","parse-names":false,"suffix":""},{"dropping-particle":"","family":"Hing","given":"Benjamin","non-dropping-particle":"","parse-names":false,"suffix":""},{"dropping-particle":"","family":"Nagahama","given":"Yasunori","non-dropping-particle":"","parse-names":false,"suffix":""},{"dropping-particle":"","family":"Gaul","given":"Lindsey N","non-dropping-particle":"","parse-names":false,"suffix":""},{"dropping-particle":"","family":"Heinzman","given":"Jonathan T","non-dropping-particle":"","parse-names":false,"suffix":""},{"dropping-particle":"","family":"Grossbach","given":"Andrew J","non-dropping-particle":"","parse-names":false,"suffix":""},{"dropping-particle":"","family":"Close","given":"Liesl","non-dropping-particle":"","parse-names":false,"suffix":""},{"dropping-particle":"","family":"Dlouhy","given":"Brian J","non-dropping-particle":"","parse-names":false,"suffix":""},{"dropping-particle":"","family":"Howard","given":"Matthew A","non-dropping-particle":"","parse-names":false,"suffix":""},{"dropping-particle":"","family":"Kawasaki","given":"Hiroto","non-dropping-particle":"","parse-names":false,"suffix":""},{"dropping-particle":"","family":"Potash","given":"James B","non-dropping-particle":"","parse-names":false,"suffix":""},{"dropping-particle":"","family":"Shinozaki","given":"Gen","non-dropping-particle":"","parse-names":false,"suffix":""}],"container-title":"Translational Psychiatry","id":"ITEM-2","issue":"1","issued":{"date-parts":[["2019"]]},"page":"47","title":"Genome-wide DNA methylation comparison between live human brain and peripheral tissues within individuals","type":"article-journal","volume":"9"},"uris":["http://www.mendeley.com/documents/?uuid=561e2826-1347-3dab-91f8-bb58f1896caa"]},{"id":"ITEM-3","itemData":{"DOI":"10.1038/s42003-024-06591-x","ISSN":"2399-3642","abstract":"The difficulty of obtaining samples from certain human tissues has led to efforts to find accessible sources to analyze molecular markers derived from DNA. In this study, we look for DNA methylation patterns in blood samples and its association with the brain methylation pattern in neurodegenerative disorders. Using data from methylation databases, we selected 18,293 CpGs presenting correlated methylation levels between blood and brain (bb-CpGs) and compare their methylation level between blood samples from patients with neurodegenerative diseases (Alzheimer’s disease, Parkinson’s disease, Multiple Sclerosis, and X Fragile Syndrome) and healthy controls. Sixty-four bb-CpGs presented significant distinct methylation levels in patients, being: nine for Alzheimer’s disease, nine for Parkinson’s disease, 28 for Multiple Sclerosis, and 18 for Fragile X Syndrome. Similar differences in methylation pattern for the nine Alzheimer’s bb-CpGs was also observed when comparing brain tissue from patients vs. controls. The genomic regions of some of these 64 bb-CpGs are placed close to or inside genes previously associated with the respective condition. Our findings support the rationale of using blood DNA as a surrogate of brain tissue to analyze changes in CpG methylation level in patients with neurodegenerative diseases, opening the possibility for characterizing new biomarkers.","author":[{"dropping-particle":"","family":"Mendonça","given":"Vanessa","non-dropping-particle":"","parse-names":false,"suffix":""},{"dropping-particle":"","family":"Soares-Lima","given":"Sheila Coelho","non-dropping-particle":"","parse-names":false,"suffix":""},{"dropping-particle":"","family":"Moreira","given":"Miguel Angelo Martins","non-dropping-particle":"","parse-names":false,"suffix":""}],"container-title":"Communications Biology","id":"ITEM-3","issue":"1","issued":{"date-parts":[["2024"]]},"page":"904","title":"Exploring cross-tissue DNA methylation patterns: blood–brain CpGs as potential neurodegenerative disease biomarkers","type":"article-journal","volume":"7"},"uris":["http://www.mendeley.com/documents/?uuid=ebbc30d1-9c19-4b48-b067-14bceea31e06"]}],"mendeley":{"formattedCitation":"&lt;i&gt;(38–40)&lt;/i&gt;","plainTextFormattedCitation":"(38–40)","previouslyFormattedCitation":"&lt;i&gt;(38–40)&lt;/i&gt;"},"properties":{"noteIndex":0},"schema":"https://github.com/citation-style-language/schema/raw/master/csl-citation.json"}</w:instrText>
      </w:r>
      <w:r w:rsidR="00122188" w:rsidRPr="00D35F54">
        <w:rPr>
          <w:rStyle w:val="Funotenzeichen"/>
          <w:sz w:val="24"/>
          <w:szCs w:val="24"/>
        </w:rPr>
        <w:fldChar w:fldCharType="separate"/>
      </w:r>
      <w:r w:rsidR="00607440" w:rsidRPr="00D35F54">
        <w:rPr>
          <w:bCs/>
          <w:i/>
          <w:noProof/>
          <w:sz w:val="24"/>
          <w:szCs w:val="24"/>
        </w:rPr>
        <w:t>(38–40)</w:t>
      </w:r>
      <w:r w:rsidR="00122188" w:rsidRPr="00D35F54">
        <w:rPr>
          <w:rStyle w:val="Funotenzeichen"/>
          <w:sz w:val="24"/>
          <w:szCs w:val="24"/>
        </w:rPr>
        <w:fldChar w:fldCharType="end"/>
      </w:r>
      <w:r w:rsidRPr="00D35F54">
        <w:rPr>
          <w:sz w:val="24"/>
          <w:szCs w:val="24"/>
        </w:rPr>
        <w:t xml:space="preserve">. , </w:t>
      </w:r>
      <w:r w:rsidR="00813AE9" w:rsidRPr="00D35F54">
        <w:rPr>
          <w:sz w:val="24"/>
          <w:szCs w:val="24"/>
        </w:rPr>
        <w:t xml:space="preserve"> This </w:t>
      </w:r>
      <w:r w:rsidR="00556F4F" w:rsidRPr="00D35F54">
        <w:rPr>
          <w:sz w:val="24"/>
          <w:szCs w:val="24"/>
        </w:rPr>
        <w:t>approach</w:t>
      </w:r>
      <w:r w:rsidR="00813AE9" w:rsidRPr="00D35F54">
        <w:rPr>
          <w:sz w:val="24"/>
          <w:szCs w:val="24"/>
        </w:rPr>
        <w:t xml:space="preserve"> revealed</w:t>
      </w:r>
      <w:r w:rsidR="0018590D" w:rsidRPr="00D35F54">
        <w:rPr>
          <w:sz w:val="24"/>
          <w:szCs w:val="24"/>
        </w:rPr>
        <w:t xml:space="preserve"> ~ 100 </w:t>
      </w:r>
      <w:proofErr w:type="spellStart"/>
      <w:r w:rsidRPr="00D35F54">
        <w:rPr>
          <w:sz w:val="24"/>
          <w:szCs w:val="24"/>
        </w:rPr>
        <w:t>CpGs</w:t>
      </w:r>
      <w:proofErr w:type="spellEnd"/>
      <w:r w:rsidRPr="00D35F54">
        <w:rPr>
          <w:sz w:val="24"/>
          <w:szCs w:val="24"/>
        </w:rPr>
        <w:t xml:space="preserve"> </w:t>
      </w:r>
      <w:r w:rsidR="006E50B8" w:rsidRPr="00D35F54">
        <w:rPr>
          <w:sz w:val="24"/>
          <w:szCs w:val="24"/>
        </w:rPr>
        <w:t>classifiers</w:t>
      </w:r>
      <w:r w:rsidRPr="00D35F54">
        <w:rPr>
          <w:sz w:val="24"/>
          <w:szCs w:val="24"/>
        </w:rPr>
        <w:t xml:space="preserve"> </w:t>
      </w:r>
      <w:r w:rsidR="00556F4F" w:rsidRPr="00D35F54">
        <w:rPr>
          <w:sz w:val="24"/>
          <w:szCs w:val="24"/>
        </w:rPr>
        <w:t xml:space="preserve">showing </w:t>
      </w:r>
      <w:r w:rsidRPr="00D35F54">
        <w:rPr>
          <w:sz w:val="24"/>
          <w:szCs w:val="24"/>
        </w:rPr>
        <w:t xml:space="preserve"> good correlation between blood cells and  brain, highlighting the presence of brain-specific</w:t>
      </w:r>
      <w:r w:rsidRPr="001533EC">
        <w:rPr>
          <w:sz w:val="24"/>
          <w:szCs w:val="24"/>
        </w:rPr>
        <w:t xml:space="preserve"> epigenetic signatures in peripheral blood cells. </w:t>
      </w:r>
    </w:p>
    <w:p w14:paraId="10566B9E" w14:textId="7641D38F" w:rsidR="00C35B7A" w:rsidRPr="001533EC" w:rsidRDefault="00C35B7A" w:rsidP="00C35B7A">
      <w:pPr>
        <w:spacing w:line="480" w:lineRule="auto"/>
        <w:jc w:val="both"/>
        <w:rPr>
          <w:sz w:val="24"/>
          <w:szCs w:val="24"/>
        </w:rPr>
      </w:pPr>
      <w:r w:rsidRPr="001533EC">
        <w:rPr>
          <w:sz w:val="24"/>
          <w:szCs w:val="24"/>
        </w:rPr>
        <w:t>Taken together, these results further supported our hypothesis that specific epigenetic alterations in tissues are indeed mirrored in blood cells</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{"citationItems":[{"id":"ITEM-1","itemData":{"DOI":"10.1186/s13148-015-0062-8","ISSN":"1868-7075 (Print)","PMID":"25789079","abstract":"BACKGROUND: Even if genetics play an important role, individual variation in  stature remains unexplained at the molecular level. Indeed, genome-wide association study (GWAS) have revealed hundreds of variants that contribute to the variability of height but could explain only a limited part of it, and no single variant accounts for more than 0.3% of height variance. At the interface of genetics and environment, epigenetics contributes to phenotypic diversity. Quantifying the impact of epigenetic variation on quantitative traits, an emerging challenge in humans, has not been attempted for height. Since insulin-like growth factor 1 (IGF1) controls postnatal growth, we tested whether the CG methylation of the two promoters (P1 and P2) of the IGF1 gene is a potential epigenetic contributor to the individual variation in circulating IGF1 and stature in growing children. RESULTS: Child height was closely correlated with serum IGF1. The methylation of a cluster of six CGs located within the proximal part of the IGF1 P2 promoter showed a strong negative association with serum IGF1 and growth. The highest association was for CG-137 methylation, which contributed 13% to the variance of height and 10% to serum IGF1. CG methylation (studied in children undergoing surgery) was approximately 50% lower in liver and growth plates, indicating that the IGF1 promoters are tissue-differentially methylated regions (t-DMR). CG methylation was inversely correlated with the transcriptional activity of the P2 promoter in mononuclear blood cells and in transfection experiments, suggesting that the observed association of methylation with the studied traits reflects true biological causality. CONCLUSIONS: Our observations introduce epigenetics among the individual determinants of child growth and serum IGF1. The P2 promoter of the IGF1 gene is the first epigenetic quantitative trait locus (QTL(epi)) reported in humans. The CG methylation of the P2 promoter takes place among the multifactorial factors explaining the variation in human stature.","author":[{"dropping-particle":"","family":"Ouni","given":"Meriem","non-dropping-particle":"","parse-names":false,"suffix":""},{"dropping-particle":"","family":"Gunes","given":"Yasemin","non-dropping-particle":"","parse-names":false,"suffix":""},{"dropping-particle":"","family":"Belot","given":"Marie-Pierre","non-dropping-particle":"","parse-names":false,"suffix":""},{"dropping-particle":"","family":"Castell","given":"Anne-Laure","non-dropping-particle":"","parse-names":false,"suffix":""},{"dropping-particle":"","family":"Fradin","given":"Delphine","non-dropping-particle":"","parse-names":false,"suffix":""},{"dropping-particle":"","family":"Bougnères","given":"Pierre","non-dropping-particle":"","parse-names":false,"suffix":""}],"container-title":"Clinical epigenetics","id":"ITEM-1","issue":"1","issued":{"date-parts":[["2015"]]},"language":"eng","page":"22","publisher-place":"Germany","title":"The IGF1 P2 promoter is an epigenetic QTL for circulating IGF1 and human growth.","type":"article-journal","volume":"7"},"uris":["http://www.mendeley.com/documents/?uuid=90138e12-9d33-3188-9b47-bcfacf6c3e28"]},{"id":"ITEM-2","itemData":{"DOI":"10.2337/db18-0620","ISSN":"1939-327X (Electronic)","PMID":"30396904","abstract":"Recent studies suggest that insulin-like growth factor binding protein 2  (IGFBP-2) may protect against type 2 diabetes, but population-based human studies are scarce. We aimed to investigate the prospective association of circulating IGFBP-2 concentrations and of differential methylation in the IGFBP-2 gene with type 2 diabetes risk.","author":[{"dropping-particle":"","family":"Wittenbecher","given":"Clemens","non-dropping-particle":"","parse-names":false,"suffix":""},{"dropping-particle":"","family":"Ouni","given":"Meriem","non-dropping-particle":"","parse-names":false,"suffix":""},{"dropping-particle":"","family":"Kuxhaus","given":"Olga","non-dropping-particle":"","parse-names":false,"suffix":""},{"dropping-particle":"","family":"Jähnert","given":"Markus","non-dropping-particle":"","parse-names":false,"suffix":""},{"dropping-particle":"","family":"Gottmann","given":"Pascal","non-dropping-particle":"","parse-names":false,"suffix":""},{"dropping-particle":"","family":"Teichmann","given":"Andrea","non-dropping-particle":"","parse-names":false,"suffix":""},{"dropping-particle":"","family":"Meidtner","given":"Karina","non-dropping-particle":"","parse-names":false,"suffix":""},{"dropping-particle":"","family":"Kriebel","given":"Jennifer","non-dropping-particle":"","parse-names":false,"suffix":""},{"dropping-particle":"","family":"Grallert","given":"Harald","non-dropping-particle":"","parse-names":false,"suffix":""},{"dropping-particle":"","family":"Pischon","given":"Tobias","non-dropping-particle":"","parse-names":false,"suffix":""},{"dropping-particle":"","family":"Boeing","given":"Heiner","non-dropping-particle":"","parse-names":false,"suffix":""},{"dropping-particle":"","family":"Schulze","given":"Matthias B","non-dropping-particle":"","parse-names":false,"suffix":""},{"dropping-particle":"","family":"Schürmann","given":"Annette","non-dropping-particle":"","parse-names":false,"suffix":""}],"container-title":"Diabetes","id":"ITEM-2","issue":"1","issued":{"date-parts":[["2019","1"]]},"language":"eng","page":"188-197","publisher-place":"United States","title":"Insulin-Like Growth Factor Binding Protein 2 (IGFBP-2) and the Risk of Developing  Type 2 Diabetes.","type":"article-journal","volume":"68"},"uris":["http://www.mendeley.com/documents/?uuid=0241df63-abf4-3782-9b70-b093eaad349b"]},{"id":"ITEM-3","itemData":{"DOI":"10.1210/jc.2015-1413","ISSN":"1945-7197 (Electronic)","PMID":"25835289","abstract":"CONTEXT: Like all hormones, GH has variable physiological effects across people.  Many of these effects initiated by the binding of GH to its receptor (GHR) in target tissues are mediated by the expression of the IGF1 gene. Genetic as well as epigenetic variation is known to contribute to the individual diversity of GH-dependent phenotypes through two mechanisms. The first one is the genetic polymorphism of the GHR gene due to the common deletion of exon 3. The second, more recently reported, is the epigenetic variation in the methylation of a cluster of CGs dinucleotides located within the proximal part of the P2 promoter of the IGF-1 (IGF1) gene, notably CG-137. OBJECTIVE: The current study evaluates the relative contribution of these two factors controlling individual GH sensitivity by measuring the response of serum IGF-1 to a GH injection (IGF-1 generation test) in a sample of 72 children with idiopathic short stature. RESULTS: Although the d3 polymorphism of the GHR contributed 19% to the variance of the IGF-1 response, CG-137 methylation in the IGF-1 promoter contributed 30%, the combined contribution of the two factors totaling 43%. CONCLUSION: Our observation indicates that genetic and epigenetic variation at the GHR and IGF-1 loci play a major role as independent modulators of individual GH sensitivity.","author":[{"dropping-particle":"","family":"Ouni","given":"Meriem","non-dropping-particle":"","parse-names":false,"suffix":""},{"dropping-particle":"","family":"Castell","given":"Anne-Laure","non-dropping-particle":"","parse-names":false,"suffix":""},{"dropping-particle":"","family":"Linglart","given":"Agnès","non-dropping-particle":"","parse-names":false,"suffix":""},{"dropping-particle":"","family":"Bougnères","given":"Pierre","non-dropping-particle":"","parse-names":false,"suffix":""}],"container-title":"The Journal of clinical endocrinology and metabolism","id":"ITEM-3","issue":"6","issued":{"date-parts":[["2015","6"]]},"language":"eng","page":"E919-25","publisher-place":"United States","title":"Genetic and Epigenetic Modulation of Growth Hormone Sensitivity Studied With the  IGF-1 Generation Test.","type":"article-journal","volume":"100"},"uris":["http://www.mendeley.com/documents/?uuid=a9c4795f-8e0a-3aea-a1bb-af9085044604"]},{"id":"ITEM-4","itemData":{"DOI":"10.2337/db20-0204","ISSN":"0012-1797","abstract":"The identification of individuals with a high risk of developing type 2 diabetes (T2D) is fundamental for prevention. Here, we used a translational approach and prediction criteria to identify changes in DNA methylation visible before the development of T2D. Islets of Langerhans were isolated from genetically identical 10-week-old female New Zealand Obese mice, which differ in their degree of hyperglycemia and in liver fat content. The application of a semiexplorative approach identified 497 differentially expressed and methylated genes (P = 6.42e-09, hypergeometric test) enriched in pathways linked to insulin secretion and extracellular matrix-receptor interaction. The comparison of mouse data with DNA methylation levels of incident T2D cases from the prospective European Prospective Investigation of Cancer (EPIC)-Potsdam cohort, revealed 105 genes with altered DNA methylation at 605 cytosine-phosphate-guanine (CpG) sites, which were associated with future T2D. AKAP13, TENM2, CTDSPL, PTPRN2, and PTPRS showed the strongest predictive potential (area under the receiver operating characteristic curve values 0.62–0.73). Among the new candidates identified in blood cells, 655 CpG sites, located in 99 genes, were differentially methylated in islets of humans with T2D. Using correction for multiple testing detected 236 genes with an altered DNA methylation in blood cells and 201 genes in diabetic islets. Thus, the introduced translational approach identified novel putative biomarkers for early pancreatic islet aberrations preceding T2D.","author":[{"dropping-particle":"","family":"Ouni","given":"Meriem","non-dropping-particle":"","parse-names":false,"suffix":""},{"dropping-particle":"","family":"Saussenthaler","given":"Sophie","non-dropping-particle":"","parse-names":false,"suffix":""},{"dropping-particle":"","family":"Eichelmann","given":"Fabian","non-dropping-particle":"","parse-names":false,"suffix":""},{"dropping-particle":"","family":"Jähnert","given":"Markus","non-dropping-particle":"","parse-names":false,"suffix":""},{"dropping-particle":"","family":"Stadion","given":"Mandy","non-dropping-particle":"","parse-names":false,"suffix":""},{"dropping-particle":"","family":"Wittenbecher","given":"Clemens","non-dropping-particle":"","parse-names":false,"suffix":""},{"dropping-particle":"","family":"Rönn","given":"Tina","non-dropping-particle":"","parse-names":false,"suffix":""},{"dropping-particle":"","family":"Zellner","given":"Lisa","non-dropping-particle":"","parse-names":false,"suffix":""},{"dropping-particle":"","family":"Gottmann","given":"Pascal","non-dropping-particle":"","parse-names":false,"suffix":""},{"dropping-particle":"","family":"Ling","given":"Charlotte","non-dropping-particle":"","parse-names":false,"suffix":""},{"dropping-particle":"","family":"Schulze","given":"Matthias B","non-dropping-particle":"","parse-names":false,"suffix":""},{"dropping-particle":"","family":"Schürmann","given":"Annette","non-dropping-particle":"","parse-names":false,"suffix":""}],"container-title":"Diabetes","id":"ITEM-4","issue":"11","issued":{"date-parts":[["2020","8"]]},"page":"2503-2517","title":"Epigenetic Changes in Islets of Langerhans Preceding the Onset of Diabetes","type":"article-journal","volume":"69"},"uris":["http://www.mendeley.com/documents/?uuid=a0fbf9a0-15a6-4c1b-876b-490b35b8d5b1"]},{"id":"ITEM-5","itemData":{"DOI":"10.1016/j.molmet.2023.101774","ISSN":"2212-8778 (Electronic)","PMID":"37429525","abstract":"OBJECTIVES: Better disease management can be achieved with earlier detection  through robust, sensitive, and easily accessible biomarkers. The aim of the current study was to identify novel epigenetic biomarkers determining the risk of type 2 diabetes (T2D). METHODS: Livers of 10-week-old female New Zealand Obese (NZO) mice, slightly differing in their degree of hyperglycemia and liver fat content and thereby in their diabetes susceptibility were used for expression and methylation profiling. We screened for differences in hepatic expression and DNA methylation in diabetes-prone and -resistant mice, and verified a candidate (HAMP) in human livers and blood cells. Hamp expression was manipulated in primary hepatocytes and insulin-stimulated pAKT was detected. Luciferase reporter assays were conducted in a murine liver cell line to test the impact of DNA methylation on promoter activity. RESULTS: In livers of NZO mice, the overlap of methylome and transcriptome analyses revealed a potential transcriptional dysregulation of 12 hepatokines. The strongest effect with a 52% decreased expression in livers of diabetes-prone mice was detected for the Hamp gene, mediated by elevated DNA methylation of two CpG sites located in the promoter. Hamp encodes the iron-regulatory hormone hepcidin, which had a lower abundance in the livers of mice prone to developing diabetes. Suppression of Hamp reduces the levels of pAKT in insulin-treated hepatocytes. In liver biopsies of obese insulin-resistant women, HAMP expression was significantly downregulated along with increased DNA methylation of a homologous CpG site. In blood cells of incident T2D cases from the prospective EPIC-Potsdam cohort, higher DNA methylation of two CpG sites was related to increased risk of incident diabetes. CONCLUSIONS: We identified epigenetic changes in the HAMP gene which may be used as an early marker preceding T2D.","author":[{"dropping-particle":"","family":"Ouni","given":"Meriem","non-dropping-particle":"","parse-names":false,"suffix":""},{"dropping-particle":"","family":"Eichelmann","given":"Fabian","non-dropping-particle":"","parse-names":false,"suffix":""},{"dropping-particle":"","family":"Jähnert","given":"Markus","non-dropping-particle":"","parse-names":false,"suffix":""},{"dropping-particle":"","family":"Krause","given":"Christin","non-dropping-particle":"","parse-names":false,"suffix":""},{"dropping-particle":"","family":"Saussenthaler","given":"Sophie","non-dropping-particle":"","parse-names":false,"suffix":""},{"dropping-particle":"","family":"Ott","given":"Christiane","non-dropping-particle":"","parse-names":false,"suffix":""},{"dropping-particle":"","family":"Gottmann","given":"Pascal","non-dropping-particle":"","parse-names":false,"suffix":""},{"dropping-particle":"","family":"Speckmann","given":"Thilo","non-dropping-particle":"","parse-names":false,"suffix":""},{"dropping-particle":"","family":"Huypens","given":"Peter","non-dropping-particle":"","parse-names":false,"suffix":""},{"dropping-particle":"","family":"Wolter","given":"Stefan","non-dropping-particle":"","parse-names":false,"suffix":""},{"dropping-particle":"","family":"Mann","given":"Oliver","non-dropping-particle":"","parse-names":false,"suffix":""},{"dropping-particle":"","family":"Angelis","given":"Martin Hrabé","non-dropping-particle":"De","parse-names":false,"suffix":""},{"dropping-particle":"","family":"Beckers","given":"Johannes","non-dropping-particle":"","parse-names":false,"suffix":""},{"dropping-particle":"","family":"Kirchner","given":"Henriette","non-dropping-particle":"","parse-names":false,"suffix":""},{"dropping-particle":"","family":"Schulze","given":"Matthias B","non-dropping-particle":"","parse-names":false,"suffix":""},{"dropping-particle":"","family":"Schürmann","given":"Annette","non-dropping-particle":"","parse-names":false,"suffix":""}],"container-title":"Molecular metabolism","id":"ITEM-5","issued":{"date-parts":[["2023","9"]]},"language":"eng","page":"101774","publisher-place":"Germany","title":"Differences in DNA methylation of HAMP in blood cells predicts the development of  type 2 diabetes.","type":"article-journal","volume":"75"},"uris":["http://www.mendeley.com/documents/?uuid=fc988422-3679-450d-9ac1-398755de513c"]}],"mendeley":{"formattedCitation":"&lt;i&gt;(36, 37, 41–43)&lt;/i&gt;","plainTextFormattedCitation":"(36, 37, 41–43)","previouslyFormattedCitation":"&lt;i&gt;(36, 37, 41–43)&lt;/i&gt;"},"properties":{"noteIndex":0},"schema":"https://github.com/citation-style-language/schema/raw/master/csl-citation.json"}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(36, 37, 41–43)</w:t>
      </w:r>
      <w:r w:rsidR="00122188" w:rsidRPr="001533EC">
        <w:rPr>
          <w:rStyle w:val="Funotenzeichen"/>
          <w:sz w:val="24"/>
          <w:szCs w:val="24"/>
        </w:rPr>
        <w:fldChar w:fldCharType="end"/>
      </w:r>
      <w:r w:rsidRPr="001533EC">
        <w:rPr>
          <w:sz w:val="24"/>
          <w:szCs w:val="24"/>
        </w:rPr>
        <w:t xml:space="preserve">. However, the </w:t>
      </w:r>
      <w:r w:rsidRPr="001533EC">
        <w:rPr>
          <w:sz w:val="24"/>
          <w:szCs w:val="24"/>
        </w:rPr>
        <w:lastRenderedPageBreak/>
        <w:t xml:space="preserve">underlying molecular mechanisms remain unclear. One explanation could be that DNA methylation </w:t>
      </w:r>
      <w:r w:rsidR="007770F0">
        <w:rPr>
          <w:sz w:val="24"/>
          <w:szCs w:val="24"/>
        </w:rPr>
        <w:t>at</w:t>
      </w:r>
      <w:r w:rsidR="007770F0" w:rsidRPr="001533EC">
        <w:rPr>
          <w:sz w:val="24"/>
          <w:szCs w:val="24"/>
        </w:rPr>
        <w:t xml:space="preserve"> </w:t>
      </w:r>
      <w:r w:rsidRPr="001533EC">
        <w:rPr>
          <w:sz w:val="24"/>
          <w:szCs w:val="24"/>
        </w:rPr>
        <w:t xml:space="preserve">specific CpG sites </w:t>
      </w:r>
      <w:r w:rsidR="004B2F9A">
        <w:rPr>
          <w:sz w:val="24"/>
          <w:szCs w:val="24"/>
        </w:rPr>
        <w:t>is</w:t>
      </w:r>
      <w:r w:rsidR="004B2F9A" w:rsidRPr="001533EC">
        <w:rPr>
          <w:sz w:val="24"/>
          <w:szCs w:val="24"/>
        </w:rPr>
        <w:t xml:space="preserve"> </w:t>
      </w:r>
      <w:r w:rsidRPr="001533EC">
        <w:rPr>
          <w:sz w:val="24"/>
          <w:szCs w:val="24"/>
        </w:rPr>
        <w:t>established during early development (</w:t>
      </w:r>
      <w:r w:rsidR="005D61FD">
        <w:rPr>
          <w:sz w:val="24"/>
          <w:szCs w:val="24"/>
        </w:rPr>
        <w:t xml:space="preserve">for example </w:t>
      </w:r>
      <w:r w:rsidRPr="001533EC">
        <w:rPr>
          <w:sz w:val="24"/>
          <w:szCs w:val="24"/>
        </w:rPr>
        <w:t>metastable epiallele</w:t>
      </w:r>
      <w:r w:rsidR="005D61FD">
        <w:rPr>
          <w:sz w:val="24"/>
          <w:szCs w:val="24"/>
        </w:rPr>
        <w:t>s</w:t>
      </w:r>
      <w:r w:rsidRPr="001533EC">
        <w:rPr>
          <w:sz w:val="24"/>
          <w:szCs w:val="24"/>
        </w:rPr>
        <w:t>)</w:t>
      </w:r>
      <w:r w:rsidR="00630AB4">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{"citationItems":[{"id":"ITEM-1","itemData":{"DOI":"10.1016/j.tig.2023.09.007","ISSN":"0168-9525 (Print)","PMID":"38000919","abstract":"First identified in isogenic mice, metastable epialleles (MEs) are loci where the  extent of DNA methylation (DNAm) is variable between individuals but correlates across tissues derived from different germ layers within a given individual. This property, termed systemic interindividual variation (SIV), is attributed to stochastic methylation establishment before germ layer differentiation. Evidence suggests that some putative human MEs are sensitive to environmental exposures in early development. In this review we introduce key concepts pertaining to human MEs, describe methods used to identify MEs in humans, and review their genomic features. We also highlight studies linking DNAm at putative human MEs to early environmental exposures and postnatal (including disease) phenotypes.","author":[{"dropping-particle":"","family":"Derakhshan","given":"Maria","non-dropping-particle":"","parse-names":false,"suffix":""},{"dropping-particle":"","family":"Kessler","given":"Noah J","non-dropping-particle":"","parse-names":false,"suffix":""},{"dropping-particle":"","family":"Hellenthal","given":"Garrett","non-dropping-particle":"","parse-names":false,"suffix":""},{"dropping-particle":"","family":"Silver","given":"Matt J","non-dropping-particle":"","parse-names":false,"suffix":""}],"container-title":"Trends in genetics : TIG","id":"ITEM-1","issue":"1","issued":{"date-parts":[["2024","1"]]},"language":"eng","page":"52-68","publisher-place":"England","title":"Metastable epialleles in humans.","type":"article-journal","volume":"40"},"uris":["http://www.mendeley.com/documents/?uuid=ad3bf1f3-21c5-4c44-9c08-47983675c8bb"]},{"id":"ITEM-2","itemData":{"DOI":"10.1111/1753-0407.13403","ISSN":"1753-0407 (Electronic)","PMID":"37190864","abstract":"Mounting epidemiological evidence indicates that environmental exposures in early  life have roles in diabetes susceptibility in later life. Additionally, environmentally induced diabetic susceptibility could be transmitted to subsequent generations. Epigenetic modifications provide a potential association with the environmental factors and altered gene expression that might cause disease phenotypes. Here, we bring the increasing evidence that environmental exposures early in development are linked to diabetes through epigenetic modifications. This review first summarizes the epigenetic targets, including metastable epialleles and imprinting genes, by which the environmental factors can modify the epigenome. Then we review the epigenetics changes in response to environmental challenge during critical developmental windows, gametogenesis, embryogenesis, and fetal and postnatal period, with the specific example of diabetic susceptibility. Although the mechanisms are still largely unknown, especially in humans, the new research methods are now gradually available, and the animal models can provide more in-depth study of mechanisms. These have implications for investigating the link of the phenomena to human diabetes, providing a new perspective on environmentally triggered diabetes risk.","author":[{"dropping-particle":"","family":"Zhu","given":"Hong","non-dropping-particle":"","parse-names":false,"suffix":""},{"dropping-particle":"","family":"Ding","given":"Guolian","non-dropping-particle":"","parse-names":false,"suffix":""},{"dropping-particle":"","family":"Liu","given":"Xinmei","non-dropping-particle":"","parse-names":false,"suffix":""},{"dropping-particle":"","family":"Huang","given":"Hefeng","non-dropping-particle":"","parse-names":false,"suffix":""}],"container-title":"Journal of diabetes","id":"ITEM-2","issue":"7","issued":{"date-parts":[["2023","7"]]},"language":"eng","page":"569-582","publisher-place":"Australia","title":"Developmental origins of diabetes mellitus: Environmental epigenomics and  emerging patterns.","type":"article-journal","volume":"15"},"uris":["http://www.mendeley.com/documents/?uuid=21bf3637-562e-4317-8c9b-93719b4b070a"]},{"id":"ITEM-3","itemData":{"DOI":"10.1016/j.cell.2018.09.043","ISSN":"1097-4172 (Electronic)","PMID":"30454646","abstract":"Generally repressed by epigenetic mechanisms, retrotransposons represent around  40% of the murine genome. At the Agouti viable yellow (A(vy)) locus, an endogenous retrovirus (ERV) of the intracisternal A particle (IAP) class retrotransposed upstream of the agouti coat-color locus, providing an alternative promoter that is variably DNA methylated in genetically identical individuals. This results in variable expressivity of coat color that is inherited transgenerationally. Here, a systematic genome-wide screen identifies multiple C57BL/6J murine IAPs with A(vy) epigenetic properties. Each exhibits a stable methylation state within an individual but varies between individuals. Only in rare instances do they act as promoters controlling adjacent gene expression. Their methylation state is locus-specific within an individual, and their flanking regions are enriched for CTCF. Variably methylated IAPs are reprogrammed after fertilization and re-established as variable loci in the next generation, indicating reconstruction of metastable epigenetic states and challenging the generalizability of non-genetic inheritance at these regions.","author":[{"dropping-particle":"","family":"Kazachenka","given":"Anastasiya","non-dropping-particle":"","parse-names":false,"suffix":""},{"dropping-particle":"","family":"Bertozzi","given":"Tessa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Walker","given":"Nic","non-dropping-particle":"","parse-names":false,"suffix":""},{"dropping-particle":"","family":"Gardner","given":"Joseph","non-dropping-particle":"","parse-names":false,"suffix":""},{"dropping-particle":"","family":"Gunning","given":"Richard","non-dropping-particle":"","parse-names":false,"suffix":""},{"dropping-particle":"","family":"Pahita","given":"Elena","non-dropping-particle":"","parse-names":false,"suffix":""},{"dropping-particle":"","family":"Adams","given":"Sarah","non-dropping-particle":"","parse-names":false,"suffix":""},{"dropping-particle":"","family":"Adams","given":"David","non-dropping-particle":"","parse-names":false,"suffix":""},{"dropping-particle":"","family":"Ferguson-Smith","given":"Anne C","non-dropping-particle":"","parse-names":false,"suffix":""}],"container-title":"Cell","id":"ITEM-3","issue":"5","issued":{"date-parts":[["2018","11"]]},"language":"eng","page":"1259-1271.e13","publisher-place":"United States","title":"Identification, Characterization, and Heritability of Murine Metastable  Epialleles: Implications for Non-genetic Inheritance.","type":"article-journal","volume":"175"},"uris":["http://www.mendeley.com/documents/?uuid=b98304a8-5a08-49f0-9171-5e9a7bac20d7"]}],"mendeley":{"formattedCitation":"&lt;i&gt;(44–46)&lt;/i&gt;","plainTextFormattedCitation":"(44–46)","previouslyFormattedCitation":"&lt;i&gt;(44–46)&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(44–46)</w:t>
      </w:r>
      <w:r w:rsidR="00122188" w:rsidRPr="001533EC">
        <w:rPr>
          <w:rStyle w:val="Funotenzeichen"/>
          <w:sz w:val="24"/>
          <w:szCs w:val="24"/>
        </w:rPr>
        <w:fldChar w:fldCharType="end"/>
      </w:r>
      <w:r w:rsidRPr="001533EC">
        <w:rPr>
          <w:sz w:val="24"/>
          <w:szCs w:val="24"/>
        </w:rPr>
        <w:t>, and remain</w:t>
      </w:r>
      <w:r w:rsidR="0063153D">
        <w:rPr>
          <w:sz w:val="24"/>
          <w:szCs w:val="24"/>
        </w:rPr>
        <w:t>s</w:t>
      </w:r>
      <w:r w:rsidRPr="001533EC">
        <w:rPr>
          <w:sz w:val="24"/>
          <w:szCs w:val="24"/>
        </w:rPr>
        <w:t xml:space="preserve"> stably affected throughout life. Indeed, failure to adapt to a glucose challenge has already been described in the human fetal brain of mothers with gestational diabetes mellitus (GDM)</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{"citationItems":[{"id":"ITEM-1","itemData":{"DOI":"10.1210/jc.2015-2692","ISSN":"1945-7197 (Electronic)","PMID":"26465393","abstract":"CONTEXT: Gestational diabetes (GDM) influences the fetal phenotype. OBJECTIVE: In  the present study, our aim was to determine the effect of GDM specifically on fetal brain activity. DESIGN: Pregnant participants underwent an oral glucose tolerance test (OGTT, 75 g). At 0, 60, and 120 minutes, maternal metabolism was determined, and fetal auditory evoked fields were recorded with a fetal magnetoencephalographic device. SETTING: All measurements were performed at the fMEG Center in Tübingen. PARTICIPANTS: Twelve women with GDM and 28 normal glucose-tolerant (NGT) pregnant women participated on a voluntary basis. INTERVENTIONS: OGTT (75 g, 120 minutes) was used in this study. MAIN OUTCOMES AND MEASURES: Fetal auditory evoked response latencies were determined for this study. RESULTS: In the fetuses of NGT women, latencies decreased between 0 and 60 minutes from 260 ± 90 to 206 ± 74 ms (P = .008) and remained stable until 120 minutes (206 ± 74 vs 230 ± 79, P =.129). In fetuses of women with GDM, there was no change in response latencies during OGTT (P = .11). Sixty minutes after glucose ingestion, fetal latencies in the GDM group were longer than in the NGT group (296 ± 82 vs 206 ± 74 ms, P = .001). Linear regression revealed a significant effect of maternal glucose, insulin levels, and insulin sensitivity on response latencies after 60 minutes. CONCLUSIONS: Fetal postprandial brain responses were slower in the offspring of women with GDM. This might indicate that gestational diabetes directly affects fetal brain development and may lead to central nervous insulin resistance in the fetus.","author":[{"dropping-particle":"","family":"Linder","given":"Katarzyna","non-dropping-particle":"","parse-names":false,"suffix":""},{"dropping-particle":"","family":"Schleger","given":"Franziska","non-dropping-particle":"","parse-names":false,"suffix":""},{"dropping-particle":"","family":"Kiefer-Schmidt","given":"Isabelle","non-dropping-particle":"","parse-names":false,"suffix":""},{"dropping-particle":"","family":"Fritsche","given":"Louise","non-dropping-particle":"","parse-names":false,"suffix":""},{"dropping-particle":"","family":"Kümmel","given":"Stefanie","non-dropping-particle":"","parse-names":false,"suffix":""},{"dropping-particle":"","family":"Böcker","given":"Marlene","non-dropping-particle":"","parse-names":false,"suffix":""},{"dropping-particle":"","family":"Heni","given":"Martin","non-dropping-particle":"","parse-names":false,"suffix":""},{"dropping-particle":"","family":"Weiss","given":"Magdalene","non-dropping-particle":"","parse-names":false,"suffix":""},{"dropping-particle":"","family":"Häring","given":"Hans-Ulrich","non-dropping-particle":"","parse-names":false,"suffix":""},{"dropping-particle":"","family":"Preissl","given":"Hubert","non-dropping-particle":"","parse-names":false,"suffix":""},{"dropping-particle":"","family":"Fritsche","given":"Andreas","non-dropping-particle":"","parse-names":false,"suffix":""}],"container-title":"The Journal of clinical endocrinology and metabolism","id":"ITEM-1","issue":"11","issued":{"date-parts":[["2015","11"]]},"language":"eng","page":"4029-4036","publisher-place":"United States","title":"Gestational Diabetes Impairs Human Fetal Postprandial Brain Activity.","type":"article-journal","volume":"100"},"uris":["http://www.mendeley.com/documents/?uuid=77de9972-747f-4d44-ae58-cb0b232d6ae3"]}],"mendeley":{"formattedCitation":"&lt;i&gt;(47)&lt;/i&gt;","plainTextFormattedCitation":"(47)","previouslyFormattedCitation":"&lt;i&gt;(47)&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(47)</w:t>
      </w:r>
      <w:r w:rsidR="00122188" w:rsidRPr="001533EC">
        <w:rPr>
          <w:rStyle w:val="Funotenzeichen"/>
          <w:sz w:val="24"/>
          <w:szCs w:val="24"/>
        </w:rPr>
        <w:fldChar w:fldCharType="end"/>
      </w:r>
      <w:r w:rsidRPr="001533EC">
        <w:rPr>
          <w:sz w:val="24"/>
          <w:szCs w:val="24"/>
        </w:rPr>
        <w:t>. Furthermore, children exposed to GDM before 26 weeks of gestation have hypothalamic alterations in response to glucose that predict future weight gain</w:t>
      </w:r>
      <w:r w:rsidR="009A06BF"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{"citationItems":[{"id":"ITEM-1","itemData":{"DOI":"10.2337/dc18-2581","ISSN":"1935-5548 (Electronic)","PMID":"31332028","abstract":"OBJECTIVE: Exposure in utero to maternal obesity or gestational diabetes mellitus  (GDM) is linked to a high risk for obesity in offspring. Animal studies suggest that these exposures disrupt the development of the hypothalamus, a brain region that regulates body weight, predisposing offspring to develop obesity. This study tested the hypothesis in humans that in utero exposure to maternal obesity and/or GDM is associated with alterations in the hypothalamic response to glucose and the altered hypothalamic response would predict greater increases in child adiposity 1 year later. RESEARCH DESIGN AND METHODS: Participants were 91 children aged 7-11 years with and without in utero exposure to GDM. Maternal prepregnancy BMI and GDM exposures were determined from electronic medical records. Arterial spin labeling MRI was used to determine the child's hypothalamic blood flow response to oral glucose. Anthropometric measures were acquired in all children at their initial visit and again 1 year later in a subset of 44 children. RESULTS: Children exposed to GDM diagnosed at ≤26 weeks' gestation had increased hypothalamic blood flow (a marker of hypothalamic activation) in response to glucose when compared with unexposed children, and results remained after adjustments for child age, sex, BMI, and maternal prepregnancy BMI. Maternal prepregnancy BMI was positively associated with the child's hypothalamic response to glucose. Greater hypothalamic response to glucose predicted greater increases in child's BMI 1 year later. CONCLUSIONS: Increased glucose-linked hypothalamic activation during childhood represents a possible mechanism by which exposure to maternal metabolic disorders during fetal development increases future risk for obesity.","author":[{"dropping-particle":"","family":"Page","given":"Kathleen A","non-dropping-particle":"","parse-names":false,"suffix":""},{"dropping-particle":"","family":"Luo","given":"Shan","non-dropping-particle":"","parse-names":false,"suffix":""},{"dropping-particle":"","family":"Wang","given":"Xinhui","non-dropping-particle":"","parse-names":false,"suffix":""},{"dropping-particle":"","family":"Chow","given":"Ting","non-dropping-particle":"","parse-names":false,"suffix":""},{"dropping-particle":"","family":"Alves","given":"Jasmin","non-dropping-particle":"","parse-names":false,"suffix":""},{"dropping-particle":"","family":"Buchanan","given":"Thomas A","non-dropping-particle":"","parse-names":false,"suffix":""},{"dropping-particle":"","family":"Xiang","given":"Anny H","non-dropping-particle":"","parse-names":false,"suffix":""}],"container-title":"Diabetes care","id":"ITEM-1","issue":"8","issued":{"date-parts":[["2019","8"]]},"language":"eng","page":"1473-1480","publisher-place":"United States","title":"Children Exposed to Maternal Obesity or Gestational Diabetes Mellitus During  Early Fetal Development Have Hypothalamic Alterations That Predict Future Weight Gain.","type":"article-journal","volume":"42"},"uris":["http://www.mendeley.com/documents/?uuid=8c2ee8a5-b329-4752-9f67-4adc151f7736"]}],"mendeley":{"formattedCitation":"&lt;i&gt;(48)&lt;/i&gt;","plainTextFormattedCitation":"(48)","previouslyFormattedCitation":"&lt;i&gt;(48)&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(48)</w:t>
      </w:r>
      <w:r w:rsidR="00122188" w:rsidRPr="001533EC">
        <w:rPr>
          <w:rStyle w:val="Funotenzeichen"/>
          <w:sz w:val="24"/>
          <w:szCs w:val="24"/>
        </w:rPr>
        <w:fldChar w:fldCharType="end"/>
      </w:r>
      <w:r w:rsidRPr="001533EC">
        <w:rPr>
          <w:sz w:val="24"/>
          <w:szCs w:val="24"/>
        </w:rPr>
        <w:t>. Hence, brain insulin resistance itself may alter the epigenetic signature in blood cells. Another explanation could be that obesogenic factors such as increased energy intake, body weight</w:t>
      </w:r>
      <w:r w:rsidR="0034285C">
        <w:rPr>
          <w:sz w:val="24"/>
          <w:szCs w:val="24"/>
        </w:rPr>
        <w:t>,</w:t>
      </w:r>
      <w:r w:rsidRPr="001533EC">
        <w:rPr>
          <w:sz w:val="24"/>
          <w:szCs w:val="24"/>
        </w:rPr>
        <w:t xml:space="preserve"> or blood glucose, or chronic low-grade inflammation</w:t>
      </w:r>
      <w:r w:rsidR="0034285C">
        <w:rPr>
          <w:sz w:val="24"/>
          <w:szCs w:val="24"/>
        </w:rPr>
        <w:t>,</w:t>
      </w:r>
      <w:r w:rsidRPr="001533EC">
        <w:rPr>
          <w:sz w:val="24"/>
          <w:szCs w:val="24"/>
        </w:rPr>
        <w:t xml:space="preserve"> modulate DNA methylation of specific loci in the brain and the periphery. </w:t>
      </w:r>
    </w:p>
    <w:p w14:paraId="5E6B493D" w14:textId="4DEE25B7" w:rsidR="00C35B7A" w:rsidRPr="001533EC" w:rsidRDefault="00C35B7A" w:rsidP="00C35B7A">
      <w:pPr>
        <w:spacing w:line="480" w:lineRule="auto"/>
        <w:jc w:val="both"/>
        <w:rPr>
          <w:sz w:val="24"/>
          <w:szCs w:val="24"/>
        </w:rPr>
      </w:pPr>
      <w:r w:rsidRPr="00D35F54">
        <w:rPr>
          <w:sz w:val="24"/>
          <w:szCs w:val="24"/>
        </w:rPr>
        <w:t xml:space="preserve">All identified CpG </w:t>
      </w:r>
      <w:r w:rsidR="006E50B8" w:rsidRPr="00D35F54">
        <w:rPr>
          <w:sz w:val="24"/>
          <w:szCs w:val="24"/>
        </w:rPr>
        <w:t>classifiers</w:t>
      </w:r>
      <w:r w:rsidRPr="00D35F54">
        <w:rPr>
          <w:sz w:val="24"/>
          <w:szCs w:val="24"/>
        </w:rPr>
        <w:t xml:space="preserve"> were differentially methylated</w:t>
      </w:r>
      <w:r w:rsidR="006B0007" w:rsidRPr="00D35F54">
        <w:rPr>
          <w:sz w:val="24"/>
          <w:szCs w:val="24"/>
        </w:rPr>
        <w:t>,</w:t>
      </w:r>
      <w:r w:rsidR="0034285C">
        <w:rPr>
          <w:sz w:val="24"/>
          <w:szCs w:val="24"/>
        </w:rPr>
        <w:t xml:space="preserve"> </w:t>
      </w:r>
      <w:r w:rsidRPr="00D35F54">
        <w:rPr>
          <w:sz w:val="24"/>
          <w:szCs w:val="24"/>
        </w:rPr>
        <w:t xml:space="preserve">with the </w:t>
      </w:r>
      <w:proofErr w:type="gramStart"/>
      <w:r w:rsidRPr="00D35F54">
        <w:rPr>
          <w:sz w:val="24"/>
          <w:szCs w:val="24"/>
        </w:rPr>
        <w:t>strongest  changes</w:t>
      </w:r>
      <w:proofErr w:type="gramEnd"/>
      <w:r w:rsidRPr="00D35F54">
        <w:rPr>
          <w:sz w:val="24"/>
          <w:szCs w:val="24"/>
        </w:rPr>
        <w:t xml:space="preserve"> </w:t>
      </w:r>
      <w:r w:rsidR="006B0007" w:rsidRPr="00D35F54">
        <w:rPr>
          <w:sz w:val="24"/>
          <w:szCs w:val="24"/>
        </w:rPr>
        <w:t>linked</w:t>
      </w:r>
      <w:r w:rsidRPr="00D35F54">
        <w:rPr>
          <w:sz w:val="24"/>
          <w:szCs w:val="24"/>
        </w:rPr>
        <w:t xml:space="preserve"> to genes involved in either insulin signaling (such as </w:t>
      </w:r>
      <w:r w:rsidRPr="00D35F54">
        <w:rPr>
          <w:i/>
          <w:sz w:val="24"/>
          <w:szCs w:val="24"/>
        </w:rPr>
        <w:t>IGF1R, BRSK2</w:t>
      </w:r>
      <w:r w:rsidRPr="00D35F54">
        <w:rPr>
          <w:sz w:val="24"/>
          <w:szCs w:val="24"/>
        </w:rPr>
        <w:t xml:space="preserve">) or brain development (such as </w:t>
      </w:r>
      <w:r w:rsidRPr="00D35F54">
        <w:rPr>
          <w:i/>
          <w:iCs/>
          <w:sz w:val="24"/>
          <w:szCs w:val="24"/>
        </w:rPr>
        <w:t>KCNC1</w:t>
      </w:r>
      <w:r w:rsidRPr="001533EC">
        <w:rPr>
          <w:i/>
          <w:iCs/>
          <w:sz w:val="24"/>
          <w:szCs w:val="24"/>
        </w:rPr>
        <w:t xml:space="preserve">, </w:t>
      </w:r>
      <w:r w:rsidRPr="001533EC">
        <w:rPr>
          <w:i/>
          <w:sz w:val="24"/>
          <w:szCs w:val="24"/>
        </w:rPr>
        <w:t>BRSK2</w:t>
      </w:r>
      <w:r w:rsidRPr="001533EC">
        <w:rPr>
          <w:sz w:val="24"/>
          <w:szCs w:val="24"/>
        </w:rPr>
        <w:t xml:space="preserve">). Indeed, previous studies have also identified decreased expression of the insulin receptor substrate-1 (IRS-1), a major substrate for the insulin and insulin-like growth factor-1 (IGF-1) receptors, </w:t>
      </w:r>
      <w:r w:rsidR="00C077CA">
        <w:rPr>
          <w:sz w:val="24"/>
          <w:szCs w:val="24"/>
        </w:rPr>
        <w:t>as</w:t>
      </w:r>
      <w:r w:rsidRPr="001533EC">
        <w:rPr>
          <w:sz w:val="24"/>
          <w:szCs w:val="24"/>
        </w:rPr>
        <w:t xml:space="preserve"> linked to brain insulin resistance</w:t>
      </w:r>
      <w:r w:rsidR="009A06BF"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{"citationItems":[{"id":"ITEM-1","itemData":{"DOI":"10.1172/JCI59903","ISSN":"1558-8238 (Electronic)","PMID":"22476197","abstract":"While a potential causal factor in Alzheimer's disease (AD), brain insulin  resistance has not been demonstrated directly in that disorder. We provide such a demonstration here by showing that the hippocampal formation (HF) and, to a lesser degree, the cerebellar cortex in AD cases without diabetes exhibit markedly reduced responses to insulin signaling in the IR→IRS-1→PI3K signaling pathway with greatly reduced responses to IGF-1 in the IGF-1R→IRS-2→PI3K signaling pathway. Reduced insulin responses were maximal at the level of IRS-1 and were consistently associated with basal elevations in IRS-1 phosphorylated at serine 616 (IRS-1 pS⁶¹⁶) and IRS-1 pS⁶³⁶/⁶³⁹. In the HF, these candidate biomarkers of brain insulin resistance increased commonly and progressively from normal cases to mild cognitively impaired cases to AD cases regardless of diabetes or APOE ε4 status. Levels of IRS-1 pS⁶¹⁶ and IRS-1 pS⁶³⁶/⁶³⁹ and their activated kinases correlated positively with those of oligomeric Aβ plaques and were negatively associated with episodic and working memory, even after adjusting for Aβ plaques, neurofibrillary tangles, and APOE ε4. Brain insulin resistance thus appears to be an early and common feature of AD, a phenomenon accompanied by IGF-1 resistance and closely associated with IRS-1 dysfunction potentially triggered by Aβ oligomers and yet promoting cognitive decline independent of classic AD pathology.","author":[{"dropping-particle":"","family":"Talbot","given":"Konrad","non-dropping-particle":"","parse-names":false,"suffix":""},{"dropping-particle":"","family":"Wang","given":"Hoau-Yan","non-dropping-particle":"","parse-names":false,"suffix":""},{"dropping-particle":"","family":"Kazi","given":"Hala","non-dropping-particle":"","parse-names":false,"suffix":""},{"dropping-particle":"","family":"Han","given":"Li-Ying","non-dropping-particle":"","parse-names":false,"suffix":""},{"dropping-particle":"","family":"Bakshi","given":"Kalindi P","non-dropping-particle":"","parse-names":false,"suffix":""},{"dropping-particle":"","family":"Stucky","given":"Andres","non-dropping-particle":"","parse-names":false,"suffix":""},{"dropping-particle":"","family":"Fuino","given":"Robert L","non-dropping-particle":"","parse-names":false,"suffix":""},{"dropping-particle":"","family":"Kawaguchi","given":"Krista R","non-dropping-particle":"","parse-names":false,"suffix":""},{"dropping-particle":"","family":"Samoyedny","given":"Andrew J","non-dropping-particle":"","parse-names":false,"suffix":""},{"dropping-particle":"","family":"Wilson","given":"Robert S","non-dropping-particle":"","parse-names":false,"suffix":""},{"dropping-particle":"","family":"Arvanitakis","given":"Zoe","non-dropping-particle":"","parse-names":false,"suffix":""},{"dropping-particle":"","family":"Schneider","given":"Julie A","non-dropping-particle":"","parse-names":false,"suffix":""},{"dropping-particle":"","family":"Wolf","given":"Bryan A","non-dropping-particle":"","parse-names":false,"suffix":""},{"dropping-particle":"","family":"Bennett","given":"David A","non-dropping-particle":"","parse-names":false,"suffix":""},{"dropping-particle":"","family":"Trojanowski","given":"John Q","non-dropping-particle":"","parse-names":false,"suffix":""},{"dropping-particle":"","family":"Arnold","given":"Steven E","non-dropping-particle":"","parse-names":false,"suffix":""}],"container-title":"The Journal of clinical investigation","id":"ITEM-1","issue":"4","issued":{"date-parts":[["2012","4"]]},"language":"eng","page":"1316-1338","publisher-place":"United States","title":"Demonstrated brain insulin resistance in Alzheimer's disease patients is  associated with IGF-1 resistance, IRS-1 dysregulation, and cognitive decline.","type":"article-journal","volume":"122"},"uris":["http://www.mendeley.com/documents/?uuid=094b1914-ced9-3674-955a-0135a93d2f2d"]},{"id":"ITEM-2","itemData":{"DOI":"https://doi.org/10.1016/j.neurobiolaging.2008.04.002","ISSN":"0197-4580","abstract":"Insulin like growth factor-1 receptor (IGF-1R) and insulin receptor (IR) signalling control vital growth, survival and metabolic functions in the brain. Here we describe specific and significant alterations in IGF-1R, IR, and their key substrate adaptor proteins IRS-1 and IRS-2 in Alzheimer's disease (AD). Western immunoblot analysis detected increased IGF-1R levels, and decreased levels of IGF-1-binding protein-2 (IGFBP-2), a major IGF-1-binding protein, in AD temporal cortex. Increased IGF-1R was observed surrounding and within amyloid-β (Aβ)-containing plaques, also evident in an animal model of AD, and in astrocytes in AD. However, despite the overall increase in IGF-1R levels, a significantly lower number of neurons expressed IGF-1R in AD, and IGF-1R was aberrantly distributed in AD neurons especially evident in those with neurofibrillary tangles (NFTs). IR protein levels were similar in AD and control cases, however, the IR was concentrated intracellularly in AD neurons, unlike its distribution throughout the neuronal cell soma and in dendrites in control brain. Significant decreases in IRS-1 and IRS-2 levels were identified in AD neurons, in association with increased levels of inactivated phosphoSer312IRS-1 and phosphoSer616IRS-1, where increased levels of these phosphoserine epitopes colocalised strongly with NFTs. Our results show that IGF-1R and IR signalling is compromised in AD neurons and suggest that neurons that degenerate in AD may be resistant to IGF-1R/IR signalling.","author":[{"dropping-particle":"","family":"Moloney","given":"Aileen M","non-dropping-particle":"","parse-names":false,"suffix":""},{"dropping-particle":"","family":"Griffin","given":"Rebecca J","non-dropping-particle":"","parse-names":false,"suffix":""},{"dropping-particle":"","family":"Timmons","given":"Suzanne","non-dropping-particle":"","parse-names":false,"suffix":""},{"dropping-particle":"","family":"O’Connor","given":"Rosemary","non-dropping-particle":"","parse-names":false,"suffix":""},{"dropping-particle":"","family":"Ravid","given":"Rivka","non-dropping-particle":"","parse-names":false,"suffix":""},{"dropping-particle":"","family":"O’Neill","given":"Cora","non-dropping-particle":"","parse-names":false,"suffix":""}],"container-title":"Neurobiology of Aging","id":"ITEM-2","issue":"2","issued":{"date-parts":[["2010"]]},"page":"224-243","title":"Defects in IGF-1 receptor, insulin receptor and IRS-1/2 in Alzheimer's disease indicate possible resistance to IGF-1 and insulin signalling","type":"article-journal","volume":"31"},"uris":["http://www.mendeley.com/documents/?uuid=748f0e5a-a572-4f6a-a554-4f075aaf40a2"]},{"id":"ITEM-3","itemData":{"DOI":"https://doi.org/10.1016/j.neubiorev.2023.105301","ISSN":"0149-7634","abstract":"Potassium channels (K+-channels) selectively control the passive flow of potassium ions across biological membranes and thereby also regulate membrane excitability. Genetic variants affecting many of the human K+-channels are well known causes of Mendelian disorders within cardiology, neurology, and endocrinology. K+-channels are also primary targets of many natural toxins from poisonous organisms and drugs used within cardiology and metabolism. As genetic tools are improving and larger clinical samples are being investigated, the spectrum of clinical phenotypes implicated in K+-channels dysfunction is rapidly expanding, notably within immunology, neurosciences, and metabolism. K+-channels that previously were considered to be expressed in only a few organs and to have discrete physiological functions, have recently been found in multiple tissues and with new, unexpected functions. The pleiotropic functions and patterns of expression of K+-channels may provide additional therapeutic opportunities, along with new emerging challenges from off-target effects. Here we review the functions and therapeutic potential of K+-channels, with an emphasis on the nervous system, roles in neuropsychiatric disorders and their involvement in other organ systems and diseases.","author":[{"dropping-particle":"","family":"Alam","given":"Kazi Asraful","non-dropping-particle":"","parse-names":false,"suffix":""},{"dropping-particle":"","family":"Svalastoga","given":"Pernille","non-dropping-particle":"","parse-names":false,"suffix":""},{"dropping-particle":"","family":"Martinez","given":"Aurora","non-dropping-particle":"","parse-names":false,"suffix":""},{"dropping-particle":"","family":"Glennon","given":"Jeffrey Colm","non-dropping-particle":"","parse-names":false,"suffix":""},{"dropping-particle":"","family":"Haavik","given":"Jan","non-dropping-particle":"","parse-names":false,"suffix":""}],"container-title":"Neuroscience &amp; Biobehavioral Reviews","id":"ITEM-3","issued":{"date-parts":[["2023"]]},"page":"105301","title":"Potassium channels in behavioral brain disorders. Molecular mechanisms and therapeutic potential: A narrative review","type":"article-journal","volume":"152"},"uris":["http://www.mendeley.com/documents/?uuid=bd59b20a-12ce-3163-bc57-723789771ec0"]},{"id":"ITEM-4","itemData":{"DOI":"https://doi.org/10.1016/j.tins.2022.03.001","ISSN":"0166-2236","abstract":"Since its discovery over 100 years ago, insulin has been recognized as a key hormone in control of glucose homeostasis. Deficiencies of insulin signaling are central to diabetes and many other disorders. The brain is among the targets of insulin action, and insulin resistance is a major contributor to many diseases, including brain disorders. Here, we summarize key roles of insulin action in the brain and how this involves different brain cell types. Disordered brain insulin signaling can also contribute to neuropsychiatric diseases, affecting brain circuits involved in mood and cognition. Understanding of insulin signaling in different brain cell types/circuits and how these are altered in disease may lead to the development of new therapeutic approaches to these challenging disorders.","author":[{"dropping-particle":"","family":"Chen","given":"Wenqiang","non-dropping-particle":"","parse-names":false,"suffix":""},{"dropping-particle":"","family":"Cai","given":"Weikang","non-dropping-particle":"","parse-names":false,"suffix":""},{"dropping-particle":"","family":"Hoover","given":"Benjamin","non-dropping-particle":"","parse-names":false,"suffix":""},{"dropping-particle":"","family":"Kahn","given":"C Ronald","non-dropping-particle":"","parse-names":false,"suffix":""}],"container-title":"Trends in Neurosciences","id":"ITEM-4","issue":"5","issued":{"date-parts":[["2022"]]},"page":"384-400","title":"Insulin action in the brain: cell types, circuits, and diseases","type":"article-journal","volume":"45"},"uris":["http://www.mendeley.com/documents/?uuid=839e9b3b-b0dd-3a4a-b4ac-3d02d9c26306"]}],"mendeley":{"formattedCitation":"&lt;i&gt;(4, 49–51)&lt;/i&gt;","plainTextFormattedCitation":"(4, 49–51)","previouslyFormattedCitation":"&lt;i&gt;(4, 49–51)&lt;/i&gt;"},"properties":{"noteIndex":0},"schema":"https://github.com/citation-style-language/schema/raw/master/csl-citation.json"}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(4, 49–51)</w:t>
      </w:r>
      <w:r w:rsidR="00122188" w:rsidRPr="001533EC">
        <w:rPr>
          <w:rStyle w:val="Funotenzeichen"/>
          <w:sz w:val="24"/>
          <w:szCs w:val="24"/>
        </w:rPr>
        <w:fldChar w:fldCharType="end"/>
      </w:r>
      <w:r w:rsidR="00044DCF" w:rsidRPr="001533EC">
        <w:rPr>
          <w:sz w:val="24"/>
          <w:szCs w:val="24"/>
        </w:rPr>
        <w:t>.</w:t>
      </w:r>
      <w:r w:rsidR="007702E3" w:rsidRPr="001533EC">
        <w:rPr>
          <w:i/>
          <w:sz w:val="24"/>
          <w:szCs w:val="24"/>
        </w:rPr>
        <w:t xml:space="preserve"> </w:t>
      </w:r>
      <w:r w:rsidRPr="001533EC">
        <w:rPr>
          <w:i/>
          <w:sz w:val="24"/>
          <w:szCs w:val="24"/>
        </w:rPr>
        <w:t>BRSK2</w:t>
      </w:r>
      <w:r w:rsidR="007702E3" w:rsidRPr="001533EC">
        <w:rPr>
          <w:sz w:val="24"/>
          <w:szCs w:val="24"/>
        </w:rPr>
        <w:t xml:space="preserve"> is </w:t>
      </w:r>
      <w:r w:rsidRPr="001533EC">
        <w:rPr>
          <w:sz w:val="24"/>
          <w:szCs w:val="24"/>
        </w:rPr>
        <w:t xml:space="preserve">an important kinase belonging to the AMPK family </w:t>
      </w:r>
      <w:r w:rsidR="0065325B" w:rsidRPr="001533EC">
        <w:rPr>
          <w:sz w:val="24"/>
          <w:szCs w:val="24"/>
        </w:rPr>
        <w:t xml:space="preserve">and </w:t>
      </w:r>
      <w:r w:rsidR="00B90D02">
        <w:rPr>
          <w:sz w:val="24"/>
          <w:szCs w:val="24"/>
        </w:rPr>
        <w:t xml:space="preserve">is </w:t>
      </w:r>
      <w:r w:rsidR="0065325B" w:rsidRPr="001533EC">
        <w:rPr>
          <w:sz w:val="24"/>
          <w:szCs w:val="24"/>
        </w:rPr>
        <w:t xml:space="preserve">involved in </w:t>
      </w:r>
      <w:r w:rsidR="000577A7" w:rsidRPr="001533EC">
        <w:rPr>
          <w:sz w:val="24"/>
          <w:szCs w:val="24"/>
        </w:rPr>
        <w:t>TAU</w:t>
      </w:r>
      <w:r w:rsidR="0065325B" w:rsidRPr="001533EC">
        <w:rPr>
          <w:sz w:val="24"/>
          <w:szCs w:val="24"/>
        </w:rPr>
        <w:t xml:space="preserve"> phosphorylation</w:t>
      </w:r>
      <w:r w:rsidR="00F07A69" w:rsidRPr="001533EC">
        <w:rPr>
          <w:sz w:val="24"/>
          <w:szCs w:val="24"/>
        </w:rPr>
        <w:t xml:space="preserve"> that was linked</w:t>
      </w:r>
      <w:r w:rsidR="0065325B" w:rsidRPr="001533EC">
        <w:rPr>
          <w:sz w:val="24"/>
          <w:szCs w:val="24"/>
        </w:rPr>
        <w:t xml:space="preserve"> </w:t>
      </w:r>
      <w:r w:rsidR="0034285C">
        <w:rPr>
          <w:sz w:val="24"/>
          <w:szCs w:val="24"/>
        </w:rPr>
        <w:t xml:space="preserve">to </w:t>
      </w:r>
      <w:r w:rsidR="000577A7" w:rsidRPr="001533EC">
        <w:rPr>
          <w:sz w:val="24"/>
          <w:szCs w:val="24"/>
          <w:lang w:val="en-GB"/>
        </w:rPr>
        <w:t>neurodegenerative disease</w:t>
      </w:r>
      <w:r w:rsidR="009A06BF" w:rsidRPr="001533EC">
        <w:rPr>
          <w:sz w:val="24"/>
          <w:szCs w:val="24"/>
          <w:lang w:val="en-GB"/>
        </w:rPr>
        <w:t xml:space="preserve"> </w:t>
      </w:r>
      <w:r w:rsidR="00122188" w:rsidRPr="001533EC">
        <w:rPr>
          <w:rStyle w:val="Funotenzeichen"/>
          <w:sz w:val="24"/>
          <w:szCs w:val="24"/>
          <w:lang w:val="en-GB"/>
        </w:rPr>
        <w:fldChar w:fldCharType="begin" w:fldLock="1"/>
      </w:r>
      <w:r w:rsidR="0017498C">
        <w:rPr>
          <w:sz w:val="24"/>
          <w:szCs w:val="24"/>
          <w:lang w:val="en-GB"/>
        </w:rPr>
        <w:instrText>ADDIN CSL_CITATION {"citationItems":[{"id":"ITEM-1","itemData":{"DOI":"10.1038/s42003-024-05920-4","ISSN":"2399-3642 (Electronic)","PMID":"38429335","abstract":"Tau is a microtubule-associated protein often found in neurofibrillary tangles  (NFTs) in the brains of patients with Alzheimer's disease. Beyond this context, mounting evidence suggests that tau localizes into the nucleus, where it may play a role in DNA protection and heterochromatin regulation. The molecular mechanisms behind these observations are currently unclear. Using in vitro biophysical experiments, here we demonstrate that tau can undergo liquid-liquid phase separation (LLPS) with DNA, mononucleosomes, and reconstituted nucleosome arrays under low salt conditions. Low concentrations of tau promote chromatin compaction and protect DNA from digestion. While the material state of samples at physiological salt is dominated by chromatin oligomerization, tau can still associate strongly and reversibly with nucleosome arrays. These properties are driven by tau's strong interactions with linker and nucleosomal DNA. In addition, tau co-localizes into droplets formed by nucleosome arrays and phosphorylated HP1α, a key heterochromatin constituent thought to function through an LLPS mechanism. Importantly, LLPS and chromatin interactions are disrupted by aberrant tau hyperphosphorylation. These biophysical properties suggest that tau may directly impact DNA and chromatin accessibility and that loss of these interactions could contribute to the aberrant nuclear effects seen in tau pathology.","author":[{"dropping-particle":"","family":"Abasi","given":"Lannah S","non-dropping-particle":"","parse-names":false,"suffix":""},{"dropping-particle":"","family":"Elathram","given":"Nesreen","non-dropping-particle":"","parse-names":false,"suffix":""},{"dropping-particle":"","family":"Movva","given":"Manasi","non-dropping-particle":"","parse-names":false,"suffix":""},{"dropping-particle":"","family":"Deep","given":"Amar","non-dropping-particle":"","parse-names":false,"suffix":""},{"dropping-particle":"","family":"Corbett","given":"Kevin D","non-dropping-particle":"","parse-names":false,"suffix":""},{"dropping-particle":"","family":"Debelouchina","given":"Galia T","non-dropping-particle":"","parse-names":false,"suffix":""}],"container-title":"Communications biology","id":"ITEM-1","issue":"1","issued":{"date-parts":[["2024","3"]]},"language":"eng","page":"251","publisher-place":"England","title":"Phosphorylation regulates tau's phase separation behavior and interactions with  chromatin.","type":"article-journal","volume":"7"},"uris":["http://www.mendeley.com/documents/?uuid=c7534e84-1146-4e34-88e6-b1facd3e8b7c"]},{"id":"ITEM-2","itemData":{"DOI":"10.1093/brain/awaa223","ISSN":"1460-2156 (Electronic)","PMID":"32812023","abstract":"Accumulation of phosphorylated tau is a key pathological feature of Alzheimer's  disease. Phosphorylated tau accumulation causes synaptic impairment, neuronal dysfunction and formation of neurofibrillary tangles. The pathological actions of phosphorylated tau are mediated by surrounding neuronal proteins; however, a comprehensive understanding of the proteins that phosphorylated tau interacts with in Alzheimer's disease is surprisingly limited. Therefore, the aim of this study was to determine the phosphorylated tau interactome. To this end, we used two complementary proteomics approaches: (i) quantitative proteomics was performed on neurofibrillary tangles microdissected from patients with advanced Alzheimer's disease; and (ii) affinity purification-mass spectrometry was used to identify which of these proteins specifically bound to phosphorylated tau. We identified 542 proteins in neurofibrillary tangles. This included the abundant detection of many proteins known to be present in neurofibrillary tangles such as tau, ubiquitin, neurofilament proteins and apolipoprotein E. Affinity purification-mass spectrometry confirmed that 75 proteins present in neurofibrillary tangles interacted with PHF1-immunoreactive phosphorylated tau. Twenty-nine of these proteins have been previously associated with phosphorylated tau, therefore validating our proteomic approach. More importantly, 34 proteins had previously been associated with total tau, but not yet linked directly to phosphorylated tau (e.g. synaptic protein VAMP2, vacuolar-ATPase subunit ATP6V0D1); therefore, we provide new evidence that they directly interact with phosphorylated tau in Alzheimer's disease. In addition, we also identified 12 novel proteins, not previously known to be physiologically or pathologically associated with tau (e.g. RNA binding protein HNRNPA1). Network analysis showed that the phosphorylated tau interactome was enriched in proteins involved in the protein ubiquitination pathway and phagosome maturation. Importantly, we were able to pinpoint specific proteins that phosphorylated tau interacts with in these pathways for the first time, therefore providing novel potential pathogenic mechanisms that can be explored in future studies. Combined, our results reveal new potential drug targets for the treatment of tauopathies and provide insight into how phosphorylated tau mediates its toxicity in Alzheimer's disease.","author":[{"dropping-particle":"","family":"Drummond","given":"Eleanor","non-dropping-particle":"","parse-names":false,"suffix":""},{"dropping-particle":"","family":"Pires","given":"Geoffrey","non-dropping-particle":"","parse-names":false,"suffix":""},{"dropping-particle":"","family":"MacMurray","given":"Claire","non-dropping-particle":"","parse-names":false,"suffix":""},{"dropping-particle":"","family":"Askenazi","given":"Manor","non-dropping-particle":"","parse-names":false,"suffix":""},{"dropping-particle":"","family":"Nayak","given":"Shruti","non-dropping-particle":"","parse-names":false,"suffix":""},{"dropping-particle":"","family":"Bourdon","given":"Marie","non-dropping-particle":"","parse-names":false,"suffix":""},{"dropping-particle":"","family":"Safar","given":"Jiri","non-dropping-particle":"","parse-names":false,"suffix":""},{"dropping-particle":"","family":"Ueberheide","given":"Beatrix","non-dropping-particle":"","parse-names":false,"suffix":""},{"dropping-particle":"","family":"Wisniewski","given":"Thomas","non-dropping-particle":"","parse-names":false,"suffix":""}],"container-title":"Brain : a journal of neurology","id":"ITEM-2","issue":"9","issued":{"date-parts":[["2020","9"]]},"language":"eng","page":"2803-2817","publisher-place":"England","title":"Phosphorylated tau interactome in the human Alzheimer's disease brain.","type":"article-journal","volume":"143"},"uris":["http://www.mendeley.com/documents/?uuid=5fb08a4f-0bb0-44a0-9ab6-a82d56a3943a"]}],"mendeley":{"formattedCitation":"&lt;i&gt;(52, 53)&lt;/i&gt;","plainTextFormattedCitation":"(52, 53)","previouslyFormattedCitation":"&lt;i&gt;(52, 53)&lt;/i&gt;"},"properties":{"noteIndex":0},"schema":"https://github.com/citation-style-language/schema/raw/master/csl-citation.json"}</w:instrText>
      </w:r>
      <w:r w:rsidR="00122188" w:rsidRPr="001533EC">
        <w:rPr>
          <w:rStyle w:val="Funotenzeichen"/>
          <w:sz w:val="24"/>
          <w:szCs w:val="24"/>
          <w:lang w:val="en-GB"/>
        </w:rPr>
        <w:fldChar w:fldCharType="separate"/>
      </w:r>
      <w:r w:rsidR="00607440" w:rsidRPr="001533EC">
        <w:rPr>
          <w:bCs/>
          <w:i/>
          <w:noProof/>
          <w:sz w:val="24"/>
          <w:szCs w:val="24"/>
        </w:rPr>
        <w:t>(52, 53)</w:t>
      </w:r>
      <w:r w:rsidR="00122188" w:rsidRPr="001533EC">
        <w:rPr>
          <w:rStyle w:val="Funotenzeichen"/>
          <w:sz w:val="24"/>
          <w:szCs w:val="24"/>
          <w:lang w:val="en-GB"/>
        </w:rPr>
        <w:fldChar w:fldCharType="end"/>
      </w:r>
      <w:r w:rsidR="000577A7" w:rsidRPr="001533EC">
        <w:rPr>
          <w:sz w:val="24"/>
          <w:szCs w:val="24"/>
          <w:lang w:val="en-GB"/>
        </w:rPr>
        <w:t xml:space="preserve">. </w:t>
      </w:r>
      <w:r w:rsidR="000577A7" w:rsidRPr="001533EC">
        <w:rPr>
          <w:i/>
          <w:sz w:val="24"/>
          <w:szCs w:val="24"/>
          <w:lang w:val="en-GB"/>
        </w:rPr>
        <w:t>BRSK2</w:t>
      </w:r>
      <w:r w:rsidR="00F07A69" w:rsidRPr="001533EC">
        <w:rPr>
          <w:i/>
          <w:sz w:val="24"/>
          <w:szCs w:val="24"/>
          <w:lang w:val="en-GB"/>
        </w:rPr>
        <w:t>/Brsk2</w:t>
      </w:r>
      <w:r w:rsidRPr="001533EC">
        <w:rPr>
          <w:sz w:val="24"/>
          <w:szCs w:val="24"/>
        </w:rPr>
        <w:t xml:space="preserve"> has been proposed in previous rodent studies as a nutrient sensor, and in a large-scale human genetic study in the Chinese population, </w:t>
      </w:r>
      <w:r w:rsidRPr="001533EC">
        <w:rPr>
          <w:i/>
          <w:iCs/>
          <w:sz w:val="24"/>
          <w:szCs w:val="24"/>
        </w:rPr>
        <w:t>BRSK2</w:t>
      </w:r>
      <w:r w:rsidRPr="001533EC">
        <w:rPr>
          <w:sz w:val="24"/>
          <w:szCs w:val="24"/>
        </w:rPr>
        <w:t xml:space="preserve"> variants (rs112377266, rs61002819, and rs536028004) were associated with T2D</w:t>
      </w:r>
      <w:r w:rsidR="00B116E6"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{"citationItems":[{"id":"ITEM-1","itemData":{"DOI":"10.1093/jmcb/mjad033","ISSN":"1759-4685 (Electronic)","PMID":"37188647","abstract":"Brain-specific serine/threonine-protein kinase 2 (BRSK2) plays critical roles in  insulin secretion and β-cell biology. However, whether BRSK2 is associated with human type 2 diabetes mellitus (T2DM) has not been determined. Here, we report that BRSK2 genetic variants are closely related to worsening glucose metabolism due to hyperinsulinemia and insulin resistance in the Chinese population. BRSK2 protein levels are significantly elevated in β cells from T2DM patients and high-fat diet (HFD)-fed mice due to enhanced protein stability. Mice with inducible β-cell-specific Brsk2 knockout (βKO) exhibit normal metabolism with a high potential for insulin secretion under chow-diet conditions. Moreover, βKO mice are protected from HFD-induced hyperinsulinemia, obesity, insulin resistance, and glucose intolerance. Conversely, gain-of-function BRSK2 in mature β cells reversibly triggers hyperglycemia due to β-cell hypersecretion-coupled insulin resistance. Mechanistically, BRSK2 senses lipid signals and induces basal insulin secretion in a kinase-dependent manner. The enhanced basal insulin secretion drives insulin resistance and β-cell exhaustion and thus the onset of T2DM in mice fed an HFD or with gain-of-function BRSK2 in β cells. These findings reveal that BRSK2 links hyperinsulinemia to systematic insulin resistance via interplay between β cells and insulin-sensitive tissues in the populations carrying human genetic variants or under nutrient-overload conditions.","author":[{"dropping-particle":"","family":"Xu","given":"Rufeng","non-dropping-particle":"","parse-names":false,"suffix":""},{"dropping-particle":"","family":"Wang","given":"Kaiyuan","non-dropping-particle":"","parse-names":false,"suffix":""},{"dropping-particle":"","family":"Yao","given":"Zhengjian","non-dropping-particle":"","parse-names":false,"suffix":""},{"dropping-particle":"","family":"Zhang","given":"Yan","non-dropping-particle":"","parse-names":false,"suffix":""},{"dropping-particle":"","family":"Jin","given":"Li","non-dropping-particle":"","parse-names":false,"suffix":""},{"dropping-particle":"","family":"Pang","given":"Jing","non-dropping-particle":"","parse-names":false,"suffix":""},{"dropping-particle":"","family":"Zhou","given":"Yuncai","non-dropping-particle":"","parse-names":false,"suffix":""},{"dropping-particle":"","family":"Wang","given":"Kai","non-dropping-particle":"","parse-names":false,"suffix":""},{"dropping-particle":"","family":"Liu","given":"Dechen","non-dropping-particle":"","parse-names":false,"suffix":""},{"dropping-particle":"","family":"Zhang","given":"Yaqin","non-dropping-particle":"","parse-names":false,"suffix":""},{"dropping-particle":"","family":"Sun","given":"Peng","non-dropping-particle":"","parse-names":false,"suffix":""},{"dropping-particle":"","family":"Wang","given":"Fuqiang","non-dropping-particle":"","parse-names":false,"suffix":""},{"dropping-particle":"","family":"Chang","given":"Xiaoai","non-dropping-particle":"","parse-names":false,"suffix":""},{"dropping-particle":"","family":"Liu","given":"Tengli","non-dropping-particle":"","parse-names":false,"suffix":""},{"dropping-particle":"","family":"Wang","given":"Shusen","non-dropping-particle":"","parse-names":false,"suffix":""},{"dropping-particle":"","family":"Zhang","given":"Yalin","non-dropping-particle":"","parse-names":false,"suffix":""},{"dropping-particle":"","family":"Lin","given":"Shuyong","non-dropping-particle":"","parse-names":false,"suffix":""},{"dropping-particle":"","family":"Hu","given":"Cheng","non-dropping-particle":"","parse-names":false,"suffix":""},{"dropping-particle":"","family":"Zhu","given":"Yunxia","non-dropping-particle":"","parse-names":false,"suffix":""},{"dropping-particle":"","family":"Han","given":"Xiao","non-dropping-particle":"","parse-names":false,"suffix":""}],"container-title":"Journal of molecular cell biology","id":"ITEM-1","issue":"5","issued":{"date-parts":[["2023","11"]]},"language":"eng","publisher-place":"United States","title":"BRSK2 in pancreatic β cells promotes hyperinsulinemia-coupled insulin resistance  and its genetic variants are associated with human type 2 diabetes.","type":"article-journal","volume":"15"},"uris":["http://www.mendeley.com/documents/?uuid=d6ee558a-f937-3743-8e36-3585b4ae0f79"]}],"mendeley":{"formattedCitation":"&lt;i&gt;(54)&lt;/i&gt;","plainTextFormattedCitation":"(54)","previouslyFormattedCitation":"&lt;i&gt;(54)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(54)</w:t>
      </w:r>
      <w:r w:rsidR="00122188" w:rsidRPr="001533EC">
        <w:rPr>
          <w:rStyle w:val="Funotenzeichen"/>
          <w:sz w:val="24"/>
          <w:szCs w:val="24"/>
        </w:rPr>
        <w:fldChar w:fldCharType="end"/>
      </w:r>
      <w:r w:rsidRPr="001533EC">
        <w:rPr>
          <w:sz w:val="24"/>
          <w:szCs w:val="24"/>
        </w:rPr>
        <w:t xml:space="preserve">. </w:t>
      </w:r>
      <w:r w:rsidR="006953F2">
        <w:rPr>
          <w:sz w:val="24"/>
          <w:szCs w:val="24"/>
        </w:rPr>
        <w:t>Of note</w:t>
      </w:r>
      <w:r w:rsidRPr="001533EC">
        <w:rPr>
          <w:sz w:val="24"/>
          <w:szCs w:val="24"/>
        </w:rPr>
        <w:t xml:space="preserve">, in mice an elevated </w:t>
      </w:r>
      <w:r w:rsidRPr="001533EC">
        <w:rPr>
          <w:i/>
          <w:sz w:val="24"/>
          <w:szCs w:val="24"/>
        </w:rPr>
        <w:t>Bsrk2</w:t>
      </w:r>
      <w:r w:rsidRPr="001533EC">
        <w:rPr>
          <w:sz w:val="24"/>
          <w:szCs w:val="24"/>
        </w:rPr>
        <w:t xml:space="preserve"> expression was found before the onset of hyperglycemia and insulin resistance</w:t>
      </w:r>
      <w:r w:rsidR="00B116E6"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{"citationItems":[{"id":"ITEM-1","itemData":{"DOI":"10.1093/jmcb/mjad033","ISSN":"1759-4685 (Electronic)","PMID":"37188647","abstract":"Brain-specific serine/threonine-protein kinase 2 (BRSK2) plays critical roles in  insulin secretion and β-cell biology. However, whether BRSK2 is associated with human type 2 diabetes mellitus (T2DM) has not been determined. Here, we report that BRSK2 genetic variants are closely related to worsening glucose metabolism due to hyperinsulinemia and insulin resistance in the Chinese population. BRSK2 protein levels are significantly elevated in β cells from T2DM patients and high-fat diet (HFD)-fed mice due to enhanced protein stability. Mice with inducible β-cell-specific Brsk2 knockout (βKO) exhibit normal metabolism with a high potential for insulin secretion under chow-diet conditions. Moreover, βKO mice are protected from HFD-induced hyperinsulinemia, obesity, insulin resistance, and glucose intolerance. Conversely, gain-of-function BRSK2 in mature β cells reversibly triggers hyperglycemia due to β-cell hypersecretion-coupled insulin resistance. Mechanistically, BRSK2 senses lipid signals and induces basal insulin secretion in a kinase-dependent manner. The enhanced basal insulin secretion drives insulin resistance and β-cell exhaustion and thus the onset of T2DM in mice fed an HFD or with gain-of-function BRSK2 in β cells. These findings reveal that BRSK2 links hyperinsulinemia to systematic insulin resistance via interplay between β cells and insulin-sensitive tissues in the populations carrying human genetic variants or under nutrient-overload conditions.","author":[{"dropping-particle":"","family":"Xu","given":"Rufeng","non-dropping-particle":"","parse-names":false,"suffix":""},{"dropping-particle":"","family":"Wang","given":"Kaiyuan","non-dropping-particle":"","parse-names":false,"suffix":""},{"dropping-particle":"","family":"Yao","given":"Zhengjian","non-dropping-particle":"","parse-names":false,"suffix":""},{"dropping-particle":"","family":"Zhang","given":"Yan","non-dropping-particle":"","parse-names":false,"suffix":""},{"dropping-particle":"","family":"Jin","given":"Li","non-dropping-particle":"","parse-names":false,"suffix":""},{"dropping-particle":"","family":"Pang","given":"Jing","non-dropping-particle":"","parse-names":false,"suffix":""},{"dropping-particle":"","family":"Zhou","given":"Yuncai","non-dropping-particle":"","parse-names":false,"suffix":""},{"dropping-particle":"","family":"Wang","given":"Kai","non-dropping-particle":"","parse-names":false,"suffix":""},{"dropping-particle":"","family":"Liu","given":"Dechen","non-dropping-particle":"","parse-names":false,"suffix":""},{"dropping-particle":"","family":"Zhang","given":"Yaqin","non-dropping-particle":"","parse-names":false,"suffix":""},{"dropping-particle":"","family":"Sun","given":"Peng","non-dropping-particle":"","parse-names":false,"suffix":""},{"dropping-particle":"","family":"Wang","given":"Fuqiang","non-dropping-particle":"","parse-names":false,"suffix":""},{"dropping-particle":"","family":"Chang","given":"Xiaoai","non-dropping-particle":"","parse-names":false,"suffix":""},{"dropping-particle":"","family":"Liu","given":"Tengli","non-dropping-particle":"","parse-names":false,"suffix":""},{"dropping-particle":"","family":"Wang","given":"Shusen","non-dropping-particle":"","parse-names":false,"suffix":""},{"dropping-particle":"","family":"Zhang","given":"Yalin","non-dropping-particle":"","parse-names":false,"suffix":""},{"dropping-particle":"","family":"Lin","given":"Shuyong","non-dropping-particle":"","parse-names":false,"suffix":""},{"dropping-particle":"","family":"Hu","given":"Cheng","non-dropping-particle":"","parse-names":false,"suffix":""},{"dropping-particle":"","family":"Zhu","given":"Yunxia","non-dropping-particle":"","parse-names":false,"suffix":""},{"dropping-particle":"","family":"Han","given":"Xiao","non-dropping-particle":"","parse-names":false,"suffix":""}],"container-title":"Journal of molecular cell biology","id":"ITEM-1","issue":"5","issued":{"date-parts":[["2023","11"]]},"language":"eng","publisher-place":"United States","title":"BRSK2 in pancreatic β cells promotes hyperinsulinemia-coupled insulin resistance  and its genetic variants are associated with human type 2 diabetes.","type":"article-journal","volume":"15"},"uris":["http://www.mendeley.com/documents/?uuid=d6ee558a-f937-3743-8e36-3585b4ae0f79"]}],"mendeley":{"formattedCitation":"&lt;i&gt;(54)&lt;/i&gt;","plainTextFormattedCitation":"(54)","previouslyFormattedCitation":"&lt;i&gt;(54)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(54)</w:t>
      </w:r>
      <w:r w:rsidR="00122188" w:rsidRPr="001533EC">
        <w:rPr>
          <w:rStyle w:val="Funotenzeichen"/>
          <w:sz w:val="24"/>
          <w:szCs w:val="24"/>
        </w:rPr>
        <w:fldChar w:fldCharType="end"/>
      </w:r>
      <w:r w:rsidRPr="001533EC">
        <w:rPr>
          <w:sz w:val="24"/>
          <w:szCs w:val="24"/>
        </w:rPr>
        <w:t>. The function of BRSK2 in the human brain remains under investigation. However, previous research shows that BRSK2 deficiency leads to neurodevelopmental disorders and that it is involved in axon growth and extension, neuronal polarization, and plasticity</w:t>
      </w:r>
      <w:r w:rsidR="00B116E6"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{"citationItems":[{"id":"ITEM-1","itemData":{"DOI":"https://doi.org/10.1016/j.cub.2013.07.073","ISSN":"0960-9822","abstract":"Summary The polarity proteins LKB1 and SAD-A/B are key regulators of axon specification in the developing cerebral cortex. Recent studies now show that this mechanism cannot be generalized to other classes of neurons: instead, SAD-A/B functions downstream of neurotrophin signaling in sensory neurons to mediate a later stage of axon development — arborization in the target field.","author":[{"dropping-particle":"","family":"Xing","given":"Lei","non-dropping-particle":"","parse-names":false,"suffix":""},{"dropping-particle":"","family":"Newbern","given":"Jason M.","non-dropping-particle":"","parse-names":false,"suffix":""},{"dropping-particle":"","family":"Snider","given":"William D.","non-dropping-particle":"","parse-names":false,"suffix":""}],"container-title":"Current Biology","id":"ITEM-1","issue":"17","issued":{"date-parts":[["2013"]]},"page":"R720-R723","title":"Neuronal Development: SAD Kinases Make Happy Axons","type":"article-journal","volume":"23"},"uris":["http://www.mendeley.com/documents/?uuid=126ad4ab-7a27-3e05-9658-2fc12e99ee84"]},{"id":"ITEM-2","itemData":{"DOI":"10.1073/pnas.1321990111","ISSN":"1091-6490 (Electronic)","PMID":"24395778","abstract":"Axons develop in a series of steps, beginning with specification, outgrowth, and  arborization, and terminating with formation and maturation of presynaptic specializations. We found previously that the SAD-A and SAD-B kinases are required for axon specification and arborization in subsets of mouse neurons. Here, we show that following these steps, SAD kinases become localized to synaptic sites and are required within presynaptic cells for structural and functional maturation of synapses in both peripheral and central nervous systems. Deleting SADs from sensory neurons can perturb either axonal arborization or nerve terminal maturation, depending on the stage of deletion. Thus, a single pair of kinases plays multiple, sequential roles in axonal differentiation.","author":[{"dropping-particle":"","family":"Lilley","given":"Brendan N","non-dropping-particle":"","parse-names":false,"suffix":""},{"dropping-particle":"","family":"Krishnaswamy","given":"Arjun","non-dropping-particle":"","parse-names":false,"suffix":""},{"dropping-particle":"","family":"Wang","given":"Zhi","non-dropping-particle":"","parse-names":false,"suffix":""},{"dropping-particle":"","family":"Kishi","given":"Masashi","non-dropping-particle":"","parse-names":false,"suffix":""},{"dropping-particle":"","family":"Frank","given":"Eric","non-dropping-particle":"","parse-names":false,"suffix":""},{"dropping-particle":"","family":"Sanes","given":"Joshua R","non-dropping-particle":"","parse-names":false,"suffix":""}],"container-title":"Proceedings of the National Academy of Sciences of the United States of America","id":"ITEM-2","issue":"3","issued":{"date-parts":[["2014","1"]]},"language":"eng","page":"1138-1143","publisher-place":"United States","title":"SAD kinases control the maturation of nerve terminals in the mammalian peripheral  and central nervous systems.","type":"article-journal","volume":"111"},"uris":["http://www.mendeley.com/documents/?uuid=175251eb-542f-48fc-a637-7a54d962d039"]}],"mendeley":{"formattedCitation":"&lt;i&gt;(55, 56)&lt;/i&gt;","plainTextFormattedCitation":"(55, 56)","previouslyFormattedCitation":"&lt;i&gt;(55, 56)&lt;/i&gt;"},"properties":{"noteIndex":0},"schema":"https://github.com/citation-style-language/schema/raw/master/csl-citation.json"}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bCs/>
          <w:i/>
          <w:noProof/>
          <w:sz w:val="24"/>
          <w:szCs w:val="24"/>
        </w:rPr>
        <w:t>(55, 56)</w:t>
      </w:r>
      <w:r w:rsidR="00122188" w:rsidRPr="001533EC">
        <w:rPr>
          <w:rStyle w:val="Funotenzeichen"/>
          <w:sz w:val="24"/>
          <w:szCs w:val="24"/>
        </w:rPr>
        <w:fldChar w:fldCharType="end"/>
      </w:r>
      <w:r w:rsidRPr="001533EC">
        <w:rPr>
          <w:sz w:val="24"/>
          <w:szCs w:val="24"/>
        </w:rPr>
        <w:t xml:space="preserve">. </w:t>
      </w:r>
      <w:r w:rsidRPr="001533EC">
        <w:rPr>
          <w:i/>
          <w:sz w:val="24"/>
          <w:szCs w:val="24"/>
        </w:rPr>
        <w:t>In</w:t>
      </w:r>
      <w:r w:rsidR="00CF748F">
        <w:rPr>
          <w:i/>
          <w:sz w:val="24"/>
          <w:szCs w:val="24"/>
        </w:rPr>
        <w:t xml:space="preserve"> </w:t>
      </w:r>
      <w:r w:rsidRPr="001533EC">
        <w:rPr>
          <w:i/>
          <w:sz w:val="24"/>
          <w:szCs w:val="24"/>
        </w:rPr>
        <w:t>vitro</w:t>
      </w:r>
      <w:r w:rsidRPr="001533EC">
        <w:rPr>
          <w:sz w:val="24"/>
          <w:szCs w:val="24"/>
        </w:rPr>
        <w:t xml:space="preserve"> studies have also demonstrated that endoplasmic reticulum stress induces </w:t>
      </w:r>
      <w:r w:rsidRPr="001533EC">
        <w:rPr>
          <w:i/>
          <w:sz w:val="24"/>
          <w:szCs w:val="24"/>
        </w:rPr>
        <w:t>BRSK2</w:t>
      </w:r>
      <w:r w:rsidRPr="001533EC">
        <w:rPr>
          <w:sz w:val="24"/>
          <w:szCs w:val="24"/>
        </w:rPr>
        <w:t xml:space="preserve"> transcription</w:t>
      </w:r>
      <w:r w:rsidR="00607440"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{"citationItems":[{"id":"ITEM-1","itemData":{"DOI":"https://doi.org/10.1016/j.bbrc.2012.06.046","ISSN":"0006-291X","abstract":"The accumulation of unfolded protein in lumen of the endoplasmic reticulum (ER) triggers a cell stress response called ER stress, which induces the transcriptional up-regulation of a number of proteins, including molecular chaperones and folding enzymes, the global inhibition of protein synthesis, and the activation of apoptotic pathways. The molecular mechanism underlying the apoptotic response has remained largely elusive. AMP activated protein kinase (AMPK) has been implicated in ER stress-induced apoptosis through its role in attenuating ER stress. BRSK2 (brain selective kinase 2, also known as SAD-A) is a serine/threonine kinase of the AMPK family. Here, we demonstrate that the BRSK2 protein levels are significantly down-regulated in response to ER stress in PANC-1 and HeLa cells. Furthermore, we also observed that ER stress induces endogenous BRSK2 to localize to the ER. Importantly, knockdown of endogenous BRSK2 expression enhances ER stress-mediated apoptosis in cells while over express BRSK2 in wild type or kinase-dead type both reduce the apoptosis. BRSK2 knockdown increases the transcription of CHOP and the levels of cleaved caspase-3 in cells in response to ER stress while over expression of BRSK2 decrease CHOP mRNA and levels of cleaved caspase-3. Taken together, our findings demonstrate ER stress may reduce BRSK2 protein and change BRSK2 subcellular localization, which in turn alleviate ER stress-induced apoptosis.","author":[{"dropping-particle":"","family":"Wang","given":"Yingli","non-dropping-particle":"","parse-names":false,"suffix":""},{"dropping-particle":"","family":"Wan","given":"Bo","non-dropping-particle":"","parse-names":false,"suffix":""},{"dropping-particle":"","family":"Li","given":"Dawei","non-dropping-particle":"","parse-names":false,"suffix":""},{"dropping-particle":"","family":"Zhou","given":"Jun","non-dropping-particle":"","parse-names":false,"suffix":""},{"dropping-particle":"","family":"Li","given":"Ruwei","non-dropping-particle":"","parse-names":false,"suffix":""},{"dropping-particle":"","family":"Bai","given":"Meirong","non-dropping-particle":"","parse-names":false,"suffix":""},{"dropping-particle":"","family":"Chen","given":"Fang","non-dropping-particle":"","parse-names":false,"suffix":""},{"dropping-particle":"","family":"Yu","given":"Long","non-dropping-particle":"","parse-names":false,"suffix":""}],"container-title":"Biochemical and Biophysical Research Communications","id":"ITEM-1","issue":"4","issued":{"date-parts":[["2012"]]},"page":"813-818","title":"BRSK2 is regulated by ER stress in protein level and involved in ER stress-induced apoptosis","type":"article-journal","volume":"423"},"uris":["http://www.mendeley.com/documents/?uuid=8aeb8c92-1518-3c89-a119-a734784d8c68"]}],"mendeley":{"formattedCitation":"&lt;i&gt;(57)&lt;/i&gt;","plainTextFormattedCitation":"(57)","previouslyFormattedCitation":"&lt;i&gt;(57)&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(57)</w:t>
      </w:r>
      <w:r w:rsidR="00122188" w:rsidRPr="001533EC">
        <w:rPr>
          <w:rStyle w:val="Funotenzeichen"/>
          <w:sz w:val="24"/>
          <w:szCs w:val="24"/>
        </w:rPr>
        <w:fldChar w:fldCharType="end"/>
      </w:r>
      <w:r w:rsidRPr="001533EC">
        <w:rPr>
          <w:sz w:val="24"/>
          <w:szCs w:val="24"/>
        </w:rPr>
        <w:t xml:space="preserve">. This gene seems to be important for brain function and metabolism. </w:t>
      </w:r>
      <w:r w:rsidR="00DF5D3E" w:rsidRPr="001533EC">
        <w:rPr>
          <w:sz w:val="24"/>
          <w:szCs w:val="24"/>
        </w:rPr>
        <w:t>B</w:t>
      </w:r>
      <w:r w:rsidR="00075987" w:rsidRPr="001533EC">
        <w:rPr>
          <w:sz w:val="24"/>
          <w:szCs w:val="24"/>
        </w:rPr>
        <w:t xml:space="preserve">eside </w:t>
      </w:r>
      <w:r w:rsidR="00075987" w:rsidRPr="001533EC">
        <w:rPr>
          <w:i/>
          <w:sz w:val="24"/>
          <w:szCs w:val="24"/>
        </w:rPr>
        <w:t>BSRK2</w:t>
      </w:r>
      <w:r w:rsidR="00DF5D3E" w:rsidRPr="001533EC">
        <w:rPr>
          <w:sz w:val="24"/>
          <w:szCs w:val="24"/>
          <w:lang w:val="en-GB"/>
        </w:rPr>
        <w:t>,</w:t>
      </w:r>
      <w:r w:rsidR="004E0E29" w:rsidRPr="001533EC">
        <w:rPr>
          <w:sz w:val="24"/>
          <w:szCs w:val="24"/>
          <w:lang w:val="en-GB"/>
        </w:rPr>
        <w:t xml:space="preserve"> </w:t>
      </w:r>
      <w:r w:rsidR="00DF5D3E" w:rsidRPr="001533EC">
        <w:rPr>
          <w:sz w:val="24"/>
          <w:szCs w:val="24"/>
          <w:lang w:val="en-GB"/>
        </w:rPr>
        <w:t xml:space="preserve">few </w:t>
      </w:r>
      <w:r w:rsidR="001F46DD" w:rsidRPr="001533EC">
        <w:rPr>
          <w:sz w:val="24"/>
          <w:szCs w:val="24"/>
          <w:lang w:val="en-GB"/>
        </w:rPr>
        <w:t>methylation markers</w:t>
      </w:r>
      <w:r w:rsidR="00DF5D3E" w:rsidRPr="001533EC">
        <w:rPr>
          <w:sz w:val="24"/>
          <w:szCs w:val="24"/>
          <w:lang w:val="en-GB"/>
        </w:rPr>
        <w:t xml:space="preserve"> were located in genes </w:t>
      </w:r>
      <w:r w:rsidR="00DF5D3E" w:rsidRPr="001533EC">
        <w:rPr>
          <w:sz w:val="24"/>
          <w:szCs w:val="24"/>
          <w:lang w:val="en-GB"/>
        </w:rPr>
        <w:lastRenderedPageBreak/>
        <w:t>related to either TAU phosphorylation (</w:t>
      </w:r>
      <w:r w:rsidR="00DF5D3E" w:rsidRPr="001533EC">
        <w:rPr>
          <w:i/>
          <w:sz w:val="24"/>
          <w:szCs w:val="24"/>
          <w:lang w:val="en-GB"/>
        </w:rPr>
        <w:t>MAP1S</w:t>
      </w:r>
      <w:r w:rsidR="00DF5D3E" w:rsidRPr="001533EC">
        <w:rPr>
          <w:sz w:val="24"/>
          <w:szCs w:val="24"/>
          <w:lang w:val="en-GB"/>
        </w:rPr>
        <w:t xml:space="preserve">, </w:t>
      </w:r>
      <w:r w:rsidR="00DF5D3E" w:rsidRPr="001533EC">
        <w:rPr>
          <w:i/>
          <w:sz w:val="24"/>
          <w:szCs w:val="24"/>
          <w:lang w:val="en-GB"/>
        </w:rPr>
        <w:t>DDX5</w:t>
      </w:r>
      <w:r w:rsidR="00DF5D3E" w:rsidRPr="001533EC">
        <w:rPr>
          <w:sz w:val="24"/>
          <w:szCs w:val="24"/>
          <w:lang w:val="en-GB"/>
        </w:rPr>
        <w:t xml:space="preserve">, </w:t>
      </w:r>
      <w:r w:rsidR="00DF5D3E" w:rsidRPr="001533EC">
        <w:rPr>
          <w:i/>
          <w:sz w:val="24"/>
          <w:szCs w:val="24"/>
          <w:lang w:val="en-GB"/>
        </w:rPr>
        <w:t>CLK4,</w:t>
      </w:r>
      <w:r w:rsidR="00DF5D3E" w:rsidRPr="001533EC">
        <w:rPr>
          <w:sz w:val="24"/>
          <w:szCs w:val="24"/>
          <w:lang w:val="en-GB"/>
        </w:rPr>
        <w:t xml:space="preserve"> and </w:t>
      </w:r>
      <w:r w:rsidR="00DF5D3E" w:rsidRPr="001533EC">
        <w:rPr>
          <w:i/>
          <w:sz w:val="24"/>
          <w:szCs w:val="24"/>
          <w:lang w:val="en-GB"/>
        </w:rPr>
        <w:t>AP3D1</w:t>
      </w:r>
      <w:r w:rsidR="00DF5D3E" w:rsidRPr="001533EC">
        <w:rPr>
          <w:sz w:val="24"/>
          <w:szCs w:val="24"/>
          <w:lang w:val="en-GB"/>
        </w:rPr>
        <w:t>) or amyloid metabolism</w:t>
      </w:r>
      <w:r w:rsidR="004E0E29" w:rsidRPr="001533EC">
        <w:rPr>
          <w:sz w:val="24"/>
          <w:szCs w:val="24"/>
          <w:lang w:val="en-GB"/>
        </w:rPr>
        <w:t>. All in all,</w:t>
      </w:r>
      <w:r w:rsidR="00DF5D3E" w:rsidRPr="001533EC">
        <w:rPr>
          <w:sz w:val="24"/>
          <w:szCs w:val="24"/>
          <w:lang w:val="en-GB"/>
        </w:rPr>
        <w:t xml:space="preserve"> </w:t>
      </w:r>
      <w:r w:rsidR="00075987" w:rsidRPr="001533EC">
        <w:rPr>
          <w:sz w:val="24"/>
          <w:szCs w:val="24"/>
        </w:rPr>
        <w:t>we did not find a strong overlap of epigenetic markers classifying BIR and neurodegenerative disease</w:t>
      </w:r>
      <w:r w:rsidR="007B60C2">
        <w:rPr>
          <w:sz w:val="24"/>
          <w:szCs w:val="24"/>
        </w:rPr>
        <w:t xml:space="preserve"> (</w:t>
      </w:r>
      <w:r w:rsidR="00D70846">
        <w:rPr>
          <w:sz w:val="24"/>
          <w:szCs w:val="24"/>
        </w:rPr>
        <w:t>Table S6</w:t>
      </w:r>
      <w:r w:rsidR="007B60C2">
        <w:rPr>
          <w:sz w:val="24"/>
          <w:szCs w:val="24"/>
        </w:rPr>
        <w:t>)</w:t>
      </w:r>
      <w:r w:rsidR="00075987" w:rsidRPr="001533EC">
        <w:rPr>
          <w:sz w:val="24"/>
          <w:szCs w:val="24"/>
        </w:rPr>
        <w:t>.</w:t>
      </w:r>
      <w:r w:rsidR="00615962" w:rsidRPr="001533EC">
        <w:rPr>
          <w:sz w:val="24"/>
          <w:szCs w:val="24"/>
        </w:rPr>
        <w:t xml:space="preserve"> </w:t>
      </w:r>
      <w:r w:rsidR="00075987" w:rsidRPr="001533EC">
        <w:rPr>
          <w:sz w:val="24"/>
          <w:szCs w:val="24"/>
        </w:rPr>
        <w:t xml:space="preserve">Up to now, </w:t>
      </w:r>
      <w:r w:rsidR="005405A9" w:rsidRPr="001533EC">
        <w:rPr>
          <w:sz w:val="24"/>
          <w:szCs w:val="24"/>
        </w:rPr>
        <w:t>we only can speculate that BIR i</w:t>
      </w:r>
      <w:r w:rsidR="00075987" w:rsidRPr="001533EC">
        <w:rPr>
          <w:sz w:val="24"/>
          <w:szCs w:val="24"/>
        </w:rPr>
        <w:t xml:space="preserve">s a risk factor of </w:t>
      </w:r>
      <w:r w:rsidR="005405A9" w:rsidRPr="001533EC">
        <w:rPr>
          <w:sz w:val="24"/>
          <w:szCs w:val="24"/>
        </w:rPr>
        <w:t xml:space="preserve">later </w:t>
      </w:r>
      <w:r w:rsidR="00075987" w:rsidRPr="001533EC">
        <w:rPr>
          <w:sz w:val="24"/>
          <w:szCs w:val="24"/>
        </w:rPr>
        <w:t>neurodegenerative disease and if so</w:t>
      </w:r>
      <w:r w:rsidR="00490041" w:rsidRPr="001533EC">
        <w:rPr>
          <w:sz w:val="24"/>
          <w:szCs w:val="24"/>
        </w:rPr>
        <w:t>,</w:t>
      </w:r>
      <w:r w:rsidR="00075987" w:rsidRPr="001533EC">
        <w:rPr>
          <w:sz w:val="24"/>
          <w:szCs w:val="24"/>
        </w:rPr>
        <w:t xml:space="preserve"> </w:t>
      </w:r>
      <w:r w:rsidR="005405A9" w:rsidRPr="001533EC">
        <w:rPr>
          <w:sz w:val="24"/>
          <w:szCs w:val="24"/>
        </w:rPr>
        <w:t xml:space="preserve">we do not know </w:t>
      </w:r>
      <w:r w:rsidR="00075987" w:rsidRPr="001533EC">
        <w:rPr>
          <w:sz w:val="24"/>
          <w:szCs w:val="24"/>
        </w:rPr>
        <w:t>if changes in the DNA methylation pattern</w:t>
      </w:r>
      <w:r w:rsidR="006723BF">
        <w:rPr>
          <w:sz w:val="24"/>
          <w:szCs w:val="24"/>
        </w:rPr>
        <w:t>,</w:t>
      </w:r>
      <w:r w:rsidR="00075987" w:rsidRPr="001533EC">
        <w:rPr>
          <w:sz w:val="24"/>
          <w:szCs w:val="24"/>
        </w:rPr>
        <w:t xml:space="preserve"> </w:t>
      </w:r>
      <w:r w:rsidR="005405A9" w:rsidRPr="001533EC">
        <w:rPr>
          <w:sz w:val="24"/>
          <w:szCs w:val="24"/>
        </w:rPr>
        <w:t>which are present in the state of BIR</w:t>
      </w:r>
      <w:r w:rsidR="006723BF">
        <w:rPr>
          <w:sz w:val="24"/>
          <w:szCs w:val="24"/>
        </w:rPr>
        <w:t>,</w:t>
      </w:r>
      <w:r w:rsidR="005405A9" w:rsidRPr="001533EC">
        <w:rPr>
          <w:sz w:val="24"/>
          <w:szCs w:val="24"/>
        </w:rPr>
        <w:t xml:space="preserve"> are</w:t>
      </w:r>
      <w:r w:rsidR="00075987" w:rsidRPr="001533EC">
        <w:rPr>
          <w:sz w:val="24"/>
          <w:szCs w:val="24"/>
        </w:rPr>
        <w:t xml:space="preserve"> stable until symptoms of Alzheimer occur</w:t>
      </w:r>
      <w:r w:rsidR="005405A9" w:rsidRPr="001533EC">
        <w:rPr>
          <w:sz w:val="24"/>
          <w:szCs w:val="24"/>
        </w:rPr>
        <w:t>.</w:t>
      </w:r>
      <w:r w:rsidR="00965945">
        <w:rPr>
          <w:sz w:val="24"/>
          <w:szCs w:val="24"/>
        </w:rPr>
        <w:t xml:space="preserve"> </w:t>
      </w:r>
      <w:r w:rsidR="00965945" w:rsidRPr="00D35F54">
        <w:rPr>
          <w:sz w:val="24"/>
          <w:szCs w:val="24"/>
        </w:rPr>
        <w:t xml:space="preserve">To test this hypothesis, we will assess the complex interplay between BIR, metabolic and cognitive functions in longitudinal design in the future. Thereby, we will test the capacity of 540 </w:t>
      </w:r>
      <w:proofErr w:type="spellStart"/>
      <w:r w:rsidR="00965945" w:rsidRPr="00D35F54">
        <w:rPr>
          <w:sz w:val="24"/>
          <w:szCs w:val="24"/>
        </w:rPr>
        <w:t>CpGs</w:t>
      </w:r>
      <w:proofErr w:type="spellEnd"/>
      <w:r w:rsidR="00965945" w:rsidRPr="00D35F54">
        <w:rPr>
          <w:sz w:val="24"/>
          <w:szCs w:val="24"/>
        </w:rPr>
        <w:t xml:space="preserve"> classifiers to predict the development of </w:t>
      </w:r>
      <w:r w:rsidR="00D35F54" w:rsidRPr="00D35F54">
        <w:rPr>
          <w:sz w:val="24"/>
          <w:szCs w:val="24"/>
        </w:rPr>
        <w:t xml:space="preserve">impaired glucose metabolism and </w:t>
      </w:r>
      <w:r w:rsidR="00965945" w:rsidRPr="00D35F54">
        <w:rPr>
          <w:sz w:val="24"/>
          <w:szCs w:val="24"/>
        </w:rPr>
        <w:t>cognitive decline.</w:t>
      </w:r>
    </w:p>
    <w:p w14:paraId="06B3C816" w14:textId="0DEB1546" w:rsidR="00C35B7A" w:rsidRPr="001533EC" w:rsidRDefault="00C35B7A" w:rsidP="00C35B7A">
      <w:pPr>
        <w:spacing w:line="480" w:lineRule="auto"/>
        <w:jc w:val="both"/>
        <w:rPr>
          <w:sz w:val="24"/>
          <w:szCs w:val="24"/>
          <w:lang w:val="en-GB"/>
        </w:rPr>
      </w:pPr>
      <w:r w:rsidRPr="001533EC">
        <w:rPr>
          <w:sz w:val="24"/>
          <w:szCs w:val="24"/>
        </w:rPr>
        <w:t>This study has limitations.</w:t>
      </w:r>
      <w:r w:rsidR="000C1B76" w:rsidRPr="001533EC">
        <w:rPr>
          <w:sz w:val="24"/>
          <w:szCs w:val="24"/>
          <w:lang w:val="en-GB"/>
        </w:rPr>
        <w:t xml:space="preserve"> </w:t>
      </w:r>
      <w:r w:rsidRPr="001533EC">
        <w:rPr>
          <w:sz w:val="24"/>
          <w:szCs w:val="24"/>
        </w:rPr>
        <w:t>The cohort size of the present study was limited to 167 individuals. Machine learning usually performs better with higher statistical power, however, as brain insulin resistance is not routinely investigated in the clinics, achieving a higher number of participants as in the present study is challenging. To overcome the small sample size and to stabilize the features (</w:t>
      </w:r>
      <w:proofErr w:type="spellStart"/>
      <w:r w:rsidRPr="001533EC">
        <w:rPr>
          <w:sz w:val="24"/>
          <w:szCs w:val="24"/>
        </w:rPr>
        <w:t>CpGs</w:t>
      </w:r>
      <w:proofErr w:type="spellEnd"/>
      <w:r w:rsidRPr="001533EC">
        <w:rPr>
          <w:sz w:val="24"/>
          <w:szCs w:val="24"/>
        </w:rPr>
        <w:t xml:space="preserve">), a multi-fold cross-validated E-net was performed. </w:t>
      </w:r>
      <w:r w:rsidR="008F0D83">
        <w:rPr>
          <w:sz w:val="24"/>
          <w:szCs w:val="24"/>
          <w:lang w:val="en-GB"/>
        </w:rPr>
        <w:t>Additionally, whereas</w:t>
      </w:r>
      <w:r w:rsidR="001C1601" w:rsidRPr="001533EC">
        <w:rPr>
          <w:sz w:val="24"/>
          <w:szCs w:val="24"/>
          <w:lang w:val="en-GB"/>
        </w:rPr>
        <w:t xml:space="preserve"> the EPIC array covers a broad range of CpG sites, </w:t>
      </w:r>
      <w:r w:rsidR="00890D43" w:rsidRPr="001533EC">
        <w:rPr>
          <w:sz w:val="24"/>
          <w:szCs w:val="24"/>
          <w:lang w:val="en-GB"/>
        </w:rPr>
        <w:t>d</w:t>
      </w:r>
      <w:r w:rsidR="001C1601" w:rsidRPr="001533EC">
        <w:rPr>
          <w:sz w:val="24"/>
          <w:szCs w:val="24"/>
          <w:lang w:val="en-GB"/>
        </w:rPr>
        <w:t>irect methylation sequencing</w:t>
      </w:r>
      <w:r w:rsidR="000D03A3" w:rsidRPr="001533EC">
        <w:rPr>
          <w:sz w:val="24"/>
          <w:szCs w:val="24"/>
          <w:lang w:val="en-GB"/>
        </w:rPr>
        <w:t>, which is more cost intensive,</w:t>
      </w:r>
      <w:r w:rsidR="001C1601" w:rsidRPr="001533EC">
        <w:rPr>
          <w:sz w:val="24"/>
          <w:szCs w:val="24"/>
          <w:lang w:val="en-GB"/>
        </w:rPr>
        <w:t xml:space="preserve"> offers </w:t>
      </w:r>
      <w:r w:rsidR="00490041" w:rsidRPr="001533EC">
        <w:rPr>
          <w:sz w:val="24"/>
          <w:szCs w:val="24"/>
          <w:lang w:val="en-GB"/>
        </w:rPr>
        <w:t>further</w:t>
      </w:r>
      <w:r w:rsidR="001C1601" w:rsidRPr="001533EC">
        <w:rPr>
          <w:sz w:val="24"/>
          <w:szCs w:val="24"/>
          <w:lang w:val="en-GB"/>
        </w:rPr>
        <w:t xml:space="preserve"> comprehensive and unbiased view of the methylome, including non-CpG methylation and regions not covered by the array. However, the array's ability to detect differential methylation with high sensitivity and specificity makes it a valuable tool for identifying epigenetic signatures associated with complex traits such as </w:t>
      </w:r>
      <w:r w:rsidR="001C1601" w:rsidRPr="00210B28">
        <w:rPr>
          <w:sz w:val="24"/>
          <w:szCs w:val="24"/>
          <w:lang w:val="en-GB"/>
        </w:rPr>
        <w:t xml:space="preserve">BIR. Future research could benefit from combining array-based screening with targeted </w:t>
      </w:r>
      <w:r w:rsidR="00835178" w:rsidRPr="00210B28">
        <w:rPr>
          <w:sz w:val="24"/>
          <w:szCs w:val="24"/>
          <w:lang w:val="en-GB"/>
        </w:rPr>
        <w:t xml:space="preserve">enzymatic </w:t>
      </w:r>
      <w:r w:rsidR="001C1601" w:rsidRPr="00210B28">
        <w:rPr>
          <w:sz w:val="24"/>
          <w:szCs w:val="24"/>
          <w:lang w:val="en-GB"/>
        </w:rPr>
        <w:t>sequencing of</w:t>
      </w:r>
      <w:r w:rsidR="001C1601" w:rsidRPr="001533EC">
        <w:rPr>
          <w:sz w:val="24"/>
          <w:szCs w:val="24"/>
          <w:lang w:val="en-GB"/>
        </w:rPr>
        <w:t xml:space="preserve"> key regions identified in this study.</w:t>
      </w:r>
      <w:r w:rsidR="00835178">
        <w:rPr>
          <w:sz w:val="24"/>
          <w:szCs w:val="24"/>
          <w:lang w:val="en-GB"/>
        </w:rPr>
        <w:t xml:space="preserve"> </w:t>
      </w:r>
      <w:r w:rsidR="00835178" w:rsidRPr="00210B28">
        <w:rPr>
          <w:sz w:val="24"/>
          <w:szCs w:val="24"/>
          <w:lang w:val="en-GB"/>
        </w:rPr>
        <w:t>Results from such pilot study showed reproducible and promising results</w:t>
      </w:r>
      <w:r w:rsidR="001C1601" w:rsidRPr="00210B28">
        <w:rPr>
          <w:sz w:val="24"/>
          <w:szCs w:val="24"/>
          <w:lang w:val="en-GB"/>
        </w:rPr>
        <w:t xml:space="preserve"> </w:t>
      </w:r>
      <w:r w:rsidR="00A63B9D" w:rsidRPr="00210B28">
        <w:rPr>
          <w:sz w:val="24"/>
          <w:szCs w:val="24"/>
          <w:lang w:val="en-GB"/>
        </w:rPr>
        <w:t xml:space="preserve">and </w:t>
      </w:r>
      <w:r w:rsidR="001C1601" w:rsidRPr="00210B28">
        <w:rPr>
          <w:sz w:val="24"/>
          <w:szCs w:val="24"/>
          <w:lang w:val="en-GB"/>
        </w:rPr>
        <w:t>provide</w:t>
      </w:r>
      <w:r w:rsidR="00A63B9D" w:rsidRPr="00210B28">
        <w:rPr>
          <w:sz w:val="24"/>
          <w:szCs w:val="24"/>
          <w:lang w:val="en-GB"/>
        </w:rPr>
        <w:t>d</w:t>
      </w:r>
      <w:r w:rsidR="001C1601" w:rsidRPr="00210B28">
        <w:rPr>
          <w:sz w:val="24"/>
          <w:szCs w:val="24"/>
          <w:lang w:val="en-GB"/>
        </w:rPr>
        <w:t xml:space="preserve"> deeper insights into the methylation landscape</w:t>
      </w:r>
      <w:r w:rsidR="00A63B9D" w:rsidRPr="00210B28">
        <w:rPr>
          <w:sz w:val="24"/>
          <w:szCs w:val="24"/>
          <w:lang w:val="en-GB"/>
        </w:rPr>
        <w:t xml:space="preserve"> -not captured by the arrays-</w:t>
      </w:r>
      <w:r w:rsidR="001C1601" w:rsidRPr="00210B28">
        <w:rPr>
          <w:sz w:val="24"/>
          <w:szCs w:val="24"/>
          <w:lang w:val="en-GB"/>
        </w:rPr>
        <w:t xml:space="preserve"> and validate the findings at a higher resolution. </w:t>
      </w:r>
      <w:r w:rsidR="00745292" w:rsidRPr="00210B28">
        <w:rPr>
          <w:sz w:val="24"/>
          <w:szCs w:val="24"/>
          <w:lang w:val="en-GB"/>
        </w:rPr>
        <w:t>B</w:t>
      </w:r>
      <w:r w:rsidRPr="00210B28">
        <w:rPr>
          <w:sz w:val="24"/>
          <w:szCs w:val="24"/>
          <w:lang w:val="en-GB"/>
        </w:rPr>
        <w:t>rain insulin resistance is a difficult-to-measure phenotype</w:t>
      </w:r>
      <w:r w:rsidRPr="001533EC">
        <w:rPr>
          <w:sz w:val="24"/>
          <w:szCs w:val="24"/>
          <w:lang w:val="en-GB"/>
        </w:rPr>
        <w:t xml:space="preserve"> and </w:t>
      </w:r>
      <w:r w:rsidR="004A507A" w:rsidRPr="001533EC">
        <w:rPr>
          <w:sz w:val="24"/>
          <w:szCs w:val="24"/>
          <w:lang w:val="en-GB"/>
        </w:rPr>
        <w:t>its</w:t>
      </w:r>
      <w:r w:rsidR="00745292" w:rsidRPr="001533EC">
        <w:rPr>
          <w:sz w:val="24"/>
          <w:szCs w:val="24"/>
          <w:lang w:val="en-GB"/>
        </w:rPr>
        <w:t xml:space="preserve"> </w:t>
      </w:r>
      <w:r w:rsidR="00B6249B" w:rsidRPr="001533EC">
        <w:rPr>
          <w:sz w:val="24"/>
          <w:szCs w:val="24"/>
          <w:lang w:val="en-GB"/>
        </w:rPr>
        <w:t>classification</w:t>
      </w:r>
      <w:r w:rsidR="00745292" w:rsidRPr="001533EC">
        <w:rPr>
          <w:sz w:val="24"/>
          <w:szCs w:val="24"/>
          <w:lang w:val="en-GB"/>
        </w:rPr>
        <w:t xml:space="preserve"> depends on the implemented methods</w:t>
      </w:r>
      <w:r w:rsidR="004A507A" w:rsidRPr="001533EC">
        <w:rPr>
          <w:sz w:val="24"/>
          <w:szCs w:val="24"/>
          <w:lang w:val="en-GB"/>
        </w:rPr>
        <w:t>. Moreover, the</w:t>
      </w:r>
      <w:r w:rsidRPr="001533EC">
        <w:rPr>
          <w:sz w:val="24"/>
          <w:szCs w:val="24"/>
          <w:lang w:val="en-GB"/>
        </w:rPr>
        <w:t xml:space="preserve"> molecular and pathological differences might be present only at the tissue level. </w:t>
      </w:r>
      <w:r w:rsidR="00492591">
        <w:rPr>
          <w:sz w:val="24"/>
          <w:szCs w:val="24"/>
          <w:lang w:val="en-GB"/>
        </w:rPr>
        <w:t>Although our</w:t>
      </w:r>
      <w:r w:rsidR="00303846" w:rsidRPr="001533EC">
        <w:rPr>
          <w:sz w:val="24"/>
          <w:szCs w:val="24"/>
          <w:lang w:val="en-GB"/>
        </w:rPr>
        <w:t xml:space="preserve"> study identifies potential biomarkers, the exact molecular </w:t>
      </w:r>
      <w:r w:rsidR="00303846" w:rsidRPr="001533EC">
        <w:rPr>
          <w:sz w:val="24"/>
          <w:szCs w:val="24"/>
          <w:lang w:val="en-GB"/>
        </w:rPr>
        <w:lastRenderedPageBreak/>
        <w:t xml:space="preserve">mechanisms by which these epigenetic changes contribute to BIR remain to be fully elucidated. </w:t>
      </w:r>
      <w:r w:rsidR="00294202" w:rsidRPr="001533EC">
        <w:rPr>
          <w:sz w:val="24"/>
          <w:szCs w:val="24"/>
          <w:lang w:val="en-GB"/>
        </w:rPr>
        <w:t xml:space="preserve">Longitudinal studies </w:t>
      </w:r>
      <w:r w:rsidR="0059117E" w:rsidRPr="001533EC">
        <w:rPr>
          <w:sz w:val="24"/>
          <w:szCs w:val="24"/>
          <w:lang w:val="en-GB"/>
        </w:rPr>
        <w:t xml:space="preserve">are </w:t>
      </w:r>
      <w:r w:rsidR="00294202" w:rsidRPr="001533EC">
        <w:rPr>
          <w:sz w:val="24"/>
          <w:szCs w:val="24"/>
          <w:lang w:val="en-GB"/>
        </w:rPr>
        <w:t>need</w:t>
      </w:r>
      <w:r w:rsidR="0059117E" w:rsidRPr="001533EC">
        <w:rPr>
          <w:sz w:val="24"/>
          <w:szCs w:val="24"/>
          <w:lang w:val="en-GB"/>
        </w:rPr>
        <w:t>ed</w:t>
      </w:r>
      <w:r w:rsidR="00294202" w:rsidRPr="001533EC">
        <w:rPr>
          <w:sz w:val="24"/>
          <w:szCs w:val="24"/>
          <w:lang w:val="en-GB"/>
        </w:rPr>
        <w:t xml:space="preserve"> to evaluate whether the identified </w:t>
      </w:r>
      <w:proofErr w:type="spellStart"/>
      <w:r w:rsidR="00294202" w:rsidRPr="001533EC">
        <w:rPr>
          <w:sz w:val="24"/>
          <w:szCs w:val="24"/>
          <w:lang w:val="en-GB"/>
        </w:rPr>
        <w:t>CpGs</w:t>
      </w:r>
      <w:proofErr w:type="spellEnd"/>
      <w:r w:rsidR="00294202" w:rsidRPr="001533EC">
        <w:rPr>
          <w:sz w:val="24"/>
          <w:szCs w:val="24"/>
          <w:lang w:val="en-GB"/>
        </w:rPr>
        <w:t xml:space="preserve"> contribute to the progression of brain insulin resistance. </w:t>
      </w:r>
      <w:r w:rsidR="00A63B9D" w:rsidRPr="00A43926">
        <w:rPr>
          <w:sz w:val="24"/>
          <w:szCs w:val="24"/>
          <w:lang w:val="en-GB"/>
        </w:rPr>
        <w:t>Additional functional studies will be needed in the future to establish causality. Although the identified CpG classifiers are biologically plausible and enriched for neuronal pathways, direct experimental validation of their functional consequences</w:t>
      </w:r>
      <w:r w:rsidR="006723BF">
        <w:rPr>
          <w:sz w:val="24"/>
          <w:szCs w:val="24"/>
          <w:lang w:val="en-GB"/>
        </w:rPr>
        <w:t>-</w:t>
      </w:r>
      <w:r w:rsidR="00A63B9D" w:rsidRPr="00A43926">
        <w:rPr>
          <w:sz w:val="24"/>
          <w:szCs w:val="24"/>
          <w:lang w:val="en-GB"/>
        </w:rPr>
        <w:t>such as gene expression modulation in neuronal cells or animal models</w:t>
      </w:r>
      <w:r w:rsidR="006723BF">
        <w:rPr>
          <w:sz w:val="24"/>
          <w:szCs w:val="24"/>
          <w:lang w:val="en-GB"/>
        </w:rPr>
        <w:t>-</w:t>
      </w:r>
      <w:r w:rsidR="00A63B9D" w:rsidRPr="00A43926">
        <w:rPr>
          <w:sz w:val="24"/>
          <w:szCs w:val="24"/>
          <w:lang w:val="en-GB"/>
        </w:rPr>
        <w:t xml:space="preserve">is warranted in future studies. </w:t>
      </w:r>
      <w:r w:rsidR="001A2E8C" w:rsidRPr="00A43926">
        <w:rPr>
          <w:sz w:val="24"/>
          <w:szCs w:val="24"/>
          <w:lang w:val="en-GB"/>
        </w:rPr>
        <w:t>Moreover</w:t>
      </w:r>
      <w:r w:rsidRPr="00A43926">
        <w:rPr>
          <w:sz w:val="24"/>
          <w:szCs w:val="24"/>
          <w:lang w:val="en-GB"/>
        </w:rPr>
        <w:t>, it remains</w:t>
      </w:r>
      <w:r w:rsidRPr="001533EC">
        <w:rPr>
          <w:sz w:val="24"/>
          <w:szCs w:val="24"/>
          <w:lang w:val="en-GB"/>
        </w:rPr>
        <w:t xml:space="preserve"> a challenge to collect brain biopsies from living individuals. This limitation was addressed using the publicly available datasets and demonstrated that several candidates showed strong blood-brain correlations.</w:t>
      </w:r>
      <w:r w:rsidR="00E53AD4" w:rsidRPr="001533EC">
        <w:rPr>
          <w:sz w:val="24"/>
          <w:szCs w:val="24"/>
          <w:lang w:val="en-GB"/>
        </w:rPr>
        <w:t xml:space="preserve"> </w:t>
      </w:r>
    </w:p>
    <w:p w14:paraId="26BE1238" w14:textId="77777777" w:rsidR="00C361F6" w:rsidRPr="001533EC" w:rsidRDefault="00C361F6" w:rsidP="00C35B7A">
      <w:pPr>
        <w:spacing w:line="480" w:lineRule="auto"/>
        <w:jc w:val="both"/>
        <w:rPr>
          <w:b/>
          <w:sz w:val="24"/>
          <w:szCs w:val="24"/>
          <w:lang w:val="en-GB"/>
        </w:rPr>
      </w:pPr>
    </w:p>
    <w:p w14:paraId="5AA40DB9" w14:textId="6DB5C9F8" w:rsidR="00C361F6" w:rsidRPr="001533EC" w:rsidRDefault="00BA44AF" w:rsidP="00132A60">
      <w:pPr>
        <w:spacing w:line="480" w:lineRule="auto"/>
        <w:jc w:val="both"/>
        <w:rPr>
          <w:b/>
          <w:sz w:val="24"/>
          <w:szCs w:val="24"/>
        </w:rPr>
      </w:pPr>
      <w:r>
        <w:rPr>
          <w:sz w:val="24"/>
          <w:lang w:val="en-GB"/>
        </w:rPr>
        <w:t>In conclusion, we</w:t>
      </w:r>
      <w:r w:rsidR="00C35B7A" w:rsidRPr="001533EC">
        <w:rPr>
          <w:sz w:val="24"/>
          <w:lang w:val="en-GB"/>
        </w:rPr>
        <w:t xml:space="preserve"> show</w:t>
      </w:r>
      <w:r>
        <w:rPr>
          <w:sz w:val="24"/>
          <w:lang w:val="en-GB"/>
        </w:rPr>
        <w:t>ed</w:t>
      </w:r>
      <w:r w:rsidR="00C35B7A" w:rsidRPr="001533EC">
        <w:rPr>
          <w:sz w:val="24"/>
          <w:lang w:val="en-GB"/>
        </w:rPr>
        <w:t xml:space="preserve"> that </w:t>
      </w:r>
      <w:r w:rsidR="00C35B7A" w:rsidRPr="001533EC">
        <w:rPr>
          <w:sz w:val="24"/>
          <w:szCs w:val="24"/>
          <w:lang w:val="en-GB"/>
        </w:rPr>
        <w:t xml:space="preserve">the </w:t>
      </w:r>
      <w:r w:rsidR="00C35B7A" w:rsidRPr="001533EC">
        <w:rPr>
          <w:sz w:val="24"/>
          <w:lang w:val="en-GB"/>
        </w:rPr>
        <w:t xml:space="preserve">circulating epigenetic signature </w:t>
      </w:r>
      <w:r w:rsidR="00934294">
        <w:rPr>
          <w:sz w:val="24"/>
          <w:lang w:val="en-GB"/>
        </w:rPr>
        <w:t>classifies</w:t>
      </w:r>
      <w:r w:rsidR="00934294" w:rsidRPr="001533EC">
        <w:rPr>
          <w:sz w:val="24"/>
          <w:lang w:val="en-GB"/>
        </w:rPr>
        <w:t xml:space="preserve"> </w:t>
      </w:r>
      <w:r w:rsidR="00C35B7A" w:rsidRPr="001533EC">
        <w:rPr>
          <w:sz w:val="24"/>
          <w:lang w:val="en-GB"/>
        </w:rPr>
        <w:t xml:space="preserve">the status of brain insulin responsiveness using a robust and stable machine learning approach. Our results suggest that whole blood DNA methylation </w:t>
      </w:r>
      <w:r w:rsidR="004761DE" w:rsidRPr="001533EC">
        <w:rPr>
          <w:sz w:val="24"/>
          <w:lang w:val="en-GB"/>
        </w:rPr>
        <w:t xml:space="preserve">patterns </w:t>
      </w:r>
      <w:r w:rsidR="00C35B7A" w:rsidRPr="001533EC">
        <w:rPr>
          <w:sz w:val="24"/>
          <w:lang w:val="en-GB"/>
        </w:rPr>
        <w:t>mirror the brain epigenetic landscape</w:t>
      </w:r>
      <w:r w:rsidR="00C35B7A" w:rsidRPr="001533EC">
        <w:rPr>
          <w:sz w:val="24"/>
          <w:szCs w:val="24"/>
          <w:lang w:val="en-GB"/>
        </w:rPr>
        <w:t>, which reflects</w:t>
      </w:r>
      <w:r w:rsidR="00C35B7A" w:rsidRPr="001533EC">
        <w:rPr>
          <w:sz w:val="24"/>
          <w:szCs w:val="24"/>
        </w:rPr>
        <w:t xml:space="preserve"> brain insulin resistance.</w:t>
      </w:r>
      <w:r w:rsidR="00C35B7A" w:rsidRPr="001533EC">
        <w:t xml:space="preserve"> </w:t>
      </w:r>
      <w:r w:rsidR="00C35B7A" w:rsidRPr="001533EC">
        <w:rPr>
          <w:sz w:val="24"/>
          <w:szCs w:val="24"/>
        </w:rPr>
        <w:t xml:space="preserve">These findings </w:t>
      </w:r>
      <w:r w:rsidR="00410729">
        <w:rPr>
          <w:sz w:val="24"/>
          <w:szCs w:val="24"/>
        </w:rPr>
        <w:t xml:space="preserve">may </w:t>
      </w:r>
      <w:r w:rsidR="00C35B7A" w:rsidRPr="001533EC">
        <w:rPr>
          <w:sz w:val="24"/>
          <w:szCs w:val="24"/>
        </w:rPr>
        <w:t>provide a promising step toward the development of non-invasive, blood-based biomarkers for brain insulin resistance, with potential benefits for early diagnosis and personalized interventions in metabolic and neurodegenerative diseases.</w:t>
      </w:r>
      <w:r w:rsidR="00C361F6" w:rsidRPr="001533EC">
        <w:rPr>
          <w:b/>
          <w:sz w:val="24"/>
          <w:szCs w:val="24"/>
        </w:rPr>
        <w:br w:type="page"/>
      </w:r>
    </w:p>
    <w:p w14:paraId="6FF13620" w14:textId="076F66B5" w:rsidR="00C361F6" w:rsidRPr="001533EC" w:rsidRDefault="00C35B7A" w:rsidP="00C35B7A">
      <w:pPr>
        <w:spacing w:line="480" w:lineRule="auto"/>
        <w:jc w:val="both"/>
        <w:rPr>
          <w:b/>
          <w:sz w:val="24"/>
          <w:szCs w:val="24"/>
        </w:rPr>
      </w:pPr>
      <w:r w:rsidRPr="001533EC">
        <w:rPr>
          <w:b/>
          <w:sz w:val="24"/>
          <w:szCs w:val="24"/>
        </w:rPr>
        <w:lastRenderedPageBreak/>
        <w:t>MATERIALS AND METHODS</w:t>
      </w:r>
    </w:p>
    <w:p w14:paraId="69F3FD04" w14:textId="1028740A" w:rsidR="001533EC" w:rsidRPr="001533EC" w:rsidRDefault="001533EC" w:rsidP="00C35B7A">
      <w:pPr>
        <w:spacing w:line="480" w:lineRule="auto"/>
        <w:jc w:val="both"/>
        <w:rPr>
          <w:b/>
          <w:sz w:val="24"/>
          <w:szCs w:val="24"/>
        </w:rPr>
      </w:pPr>
      <w:r>
        <w:rPr>
          <w:b/>
          <w:sz w:val="24"/>
          <w:szCs w:val="24"/>
        </w:rPr>
        <w:t>Study design</w:t>
      </w:r>
    </w:p>
    <w:p w14:paraId="5B6B0878" w14:textId="1F3ABF25" w:rsidR="00DF42F9" w:rsidRDefault="00C35B7A" w:rsidP="00C35B7A">
      <w:pPr>
        <w:spacing w:line="480" w:lineRule="auto"/>
        <w:jc w:val="both"/>
        <w:rPr>
          <w:sz w:val="24"/>
          <w:szCs w:val="24"/>
        </w:rPr>
      </w:pPr>
      <w:bookmarkStart w:id="6" w:name="_Hlk202452404"/>
      <w:r w:rsidRPr="001533EC">
        <w:rPr>
          <w:sz w:val="24"/>
          <w:szCs w:val="24"/>
        </w:rPr>
        <w:t xml:space="preserve">This </w:t>
      </w:r>
      <w:r w:rsidR="00DF42F9">
        <w:rPr>
          <w:sz w:val="24"/>
          <w:szCs w:val="24"/>
        </w:rPr>
        <w:t xml:space="preserve">retrospective </w:t>
      </w:r>
      <w:r w:rsidRPr="001533EC">
        <w:rPr>
          <w:sz w:val="24"/>
          <w:szCs w:val="24"/>
        </w:rPr>
        <w:t xml:space="preserve">study included </w:t>
      </w:r>
      <w:r w:rsidR="00AB6874">
        <w:rPr>
          <w:sz w:val="24"/>
          <w:szCs w:val="24"/>
        </w:rPr>
        <w:t>three</w:t>
      </w:r>
      <w:r w:rsidRPr="001533EC">
        <w:rPr>
          <w:sz w:val="24"/>
          <w:szCs w:val="24"/>
        </w:rPr>
        <w:t xml:space="preserve"> study cohorts</w:t>
      </w:r>
      <w:r w:rsidR="00DF42F9">
        <w:rPr>
          <w:sz w:val="24"/>
          <w:szCs w:val="24"/>
        </w:rPr>
        <w:t xml:space="preserve"> of healthy volunteers of different weight groups based on previous studies </w:t>
      </w:r>
      <w:r w:rsidR="00DF42F9" w:rsidRPr="001533EC">
        <w:rPr>
          <w:rStyle w:val="Funotenzeichen"/>
          <w:sz w:val="24"/>
          <w:szCs w:val="24"/>
        </w:rPr>
        <w:fldChar w:fldCharType="begin" w:fldLock="1"/>
      </w:r>
      <w:r w:rsidR="0017498C">
        <w:rPr>
          <w:sz w:val="24"/>
          <w:szCs w:val="24"/>
        </w:rPr>
        <w:instrText>ADDIN CSL_CITATION {"citationItems":[{"id":"ITEM-1","itemData":{"DOI":"10.2337/dc14-2319","ISSN":"1935-5548 (Electronic)","PMID":"25795413","abstract":"OBJECTIVE: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 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 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 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author":[{"dropping-particle":"","family":"Kullmann","given":"Stephanie","non-dropping-particle":"","parse-names":false,"suffix":""},{"dropping-particle":"","family":"Heni","given":"Martin","non-dropping-particle":"","parse-names":false,"suffix":""},{"dropping-particle":"","family":"Veit","given":"Ralf","non-dropping-particle":"","parse-names":false,"suffix":""},{"dropping-particle":"","family":"Scheffler","given":"Klaus","non-dropping-particle":"","parse-names":false,"suffix":""},{"dropping-particle":"","family":"Machann","given":"Jürgen","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container-title":"Diabetes care","id":"ITEM-1","issue":"6","issued":{"date-parts":[["2015","6"]]},"language":"eng","page":"1044-1050","publisher-place":"United States","title":"Selective insulin resistance in homeostatic and cognitive control brain areas in  overweight and obese adults.","type":"article-journal","volume":"38"},"uris":["http://www.mendeley.com/documents/?uuid=b3c3bf05-2eca-47b0-b37b-9ccc13cf91af"]},{"id":"ITEM-2","itemData":{"DOI":"10.1172/jci.insight.161498","ISSN":"2379-3708 (Electronic)","PMID":"36134657","abstract":"BACKGROUNDInsulin resistance of the brain can unfavorably affect long-term weight  maintenance and body fat distribution. Little is known if and how brain insulin sensitivity can be restored in humans. We aimed to evaluate the effects of an exercise intervention on insulin sensitivity of the brain and how this relates to exercise-induced changes in whole-body metabolism and behavior.METHODSIn this clinical trial, sedentary participants who were overweight and obese underwent an 8-week supervised aerobic training intervention. Brain insulin sensitivity was assessed in 21 participants (14 women, 7 men; age range 21-59 years; BMI range 27.5-45.5 kg/m2) using functional MRI, combined with intranasal administration of insulin, before and after the intervention.RESULTSThe exercise program resulted in enhanced brain insulin action to the level of a person of healthy weight, demonstrated by increased insulin-induced striatal activity and strengthened hippocampal functional connectivity. Improved brain insulin action correlated with increased mitochondrial respiration in skeletal muscle, reductions in visceral fat and hunger, as well as improved cognition. Mediation analyses suggest that improved brain insulin responsiveness helps mediate the peripheral exercise effects leading to healthier body fat distribution and reduced perception of hunger.CONCLUSIONOur study demonstrates that an 8-week exercise intervention in sedentary individuals can restore insulin action in the brain. Hence, the ameliorating benefits of exercise toward brain insulin resistance may provide an objective therapeutic target in humans in the challenge to reduce diabetes risk factors.TRIAL REGISTRATIONClinicalTrials.gov (NCT03151590).FUNDINGBMBF/DZD 01GI0925.","author":[{"dropping-particle":"","family":"Kullmann","given":"Stephanie","non-dropping-particle":"","parse-names":false,"suffix":""},{"dropping-particle":"","family":"Goj","given":"Thomas","non-dropping-particle":"","parse-names":false,"suffix":""},{"dropping-particle":"","family":"Veit","given":"Ralf","non-dropping-particle":"","parse-names":false,"suffix":""},{"dropping-particle":"","family":"Fritsche","given":"Louise","non-dropping-particle":"","parse-names":false,"suffix":""},{"dropping-particle":"","family":"Wagner","given":"Lore","non-dropping-particle":"","parse-names":false,"suffix":""},{"dropping-particle":"","family":"Schneeweiss","given":"Patrick","non-dropping-particle":"","parse-names":false,"suffix":""},{"dropping-particle":"","family":"Hoene","given":"Miriam","non-dropping-particle":"","parse-names":false,"suffix":""},{"dropping-particle":"","family":"Hoffmann","given":"Christoph","non-dropping-particle":"","parse-names":false,"suffix":""},{"dropping-particle":"","family":"Machann","given":"Jürgen","non-dropping-particle":"","parse-names":false,"suffix":""},{"dropping-particle":"","family":"Niess","given":"Andreas","non-dropping-particle":"","parse-names":false,"suffix":""},{"dropping-particle":"","family":"Preissl","given":"Hubert","non-dropping-particle":"","parse-names":false,"suffix":""},{"dropping-particle":"","family":"Birkenfeld","given":"Andreas L","non-dropping-particle":"","parse-names":false,"suffix":""},{"dropping-particle":"","family":"Peter","given":"Andreas","non-dropping-particle":"","parse-names":false,"suffix":""},{"dropping-particle":"","family":"Häring","given":"Hans-Ulrich","non-dropping-particle":"","parse-names":false,"suffix":""},{"dropping-particle":"","family":"Fritsche","given":"Andreas","non-dropping-particle":"","parse-names":false,"suffix":""},{"dropping-particle":"","family":"Moller","given":"Anja","non-dropping-particle":"","parse-names":false,"suffix":""},{"dropping-particle":"","family":"Weigert","given":"Cora","non-dropping-particle":"","parse-names":false,"suffix":""},{"dropping-particle":"","family":"Heni","given":"Martin","non-dropping-particle":"","parse-names":false,"suffix":""}],"container-title":"JCI insight","id":"ITEM-2","issue":"18","issued":{"date-parts":[["2022","9"]]},"language":"eng","publisher-place":"United States","title":"Exercise restores brain insulin sensitivity in sedentary adults who are  overweight and obese.","type":"article-journal","volume":"7"},"uris":["http://www.mendeley.com/documents/?uuid=85acbd95-612c-4639-a70c-cec194bedb4f"]},{"id":"ITEM-3","itemData":{"DOI":"10.2337/dc21-1136","ISSN":"1935-5548 (Electronic)","PMID":"34716213","abstract":"OBJECTIVE: Insulin action in the human brain reduces food intake, improves  whole-body insulin sensitivity, and modulates body fat mass and its distribution. Obesity and type 2 diabetes are often associated with brain insulin resistance, resulting in impaired brain-derived modulation of peripheral metabolism. So far, no pharmacological treatment for brain insulin resistance has been established. Since sodium-glucose cotransporter 2 (SGLT2) inhibitors lower glucose levels and modulate energy metabolism, we hypothesized that SGLT2 inhibition may be a pharmacological approach to reverse brain insulin resistance. RESEARCH DESIGN AND METHODS: In this randomized, double-blind, placebo-controlled clinical trial, 40 patients (mean ± SD; age 60 ± 9 years; BMI 31.5 ± 3.8 kg/m2) with prediabetes were randomized to receive 25 mg empagliflozin every day or placebo. Before and after 8 weeks of treatment, brain insulin sensitivity was assessed by functional MRI combined with intranasal administration of insulin to the brain. RESULTS: We identified a significant interaction between time and treatment in the hypothalamic response to insulin. Post hoc analyses revealed that only empagliflozin-treated patients experienced increased hypothalamic insulin responsiveness. Hypothalamic insulin action significantly mediated the empagliflozin-induced decrease in fasting glucose and liver fat. CONCLUSIONS: Our results corroborate insulin resistance of the hypothalamus in humans with prediabetes. Treatment with empagliflozin for 8 weeks was able to restore hypothalamic insulin sensitivity, a favorable response that could contribute to the beneficial effects of SGLT2 inhibitors. Our findings position SGLT2 inhibition as the first pharmacological approach to reverse brain insulin resistance, with potential benefits for adiposity and whole-body metabolism.","author":[{"dropping-particle":"","family":"Kullmann","given":"Stephanie","non-dropping-particle":"","parse-names":false,"suffix":""},{"dropping-particle":"","family":"Hummel","given":"Julia","non-dropping-particle":"","parse-names":false,"suffix":""},{"dropping-particle":"","family":"Wagner","given":"Robert","non-dropping-particle":"","parse-names":false,"suffix":""},{"dropping-particle":"","family":"Dannecker","given":"Corinna","non-dropping-particle":"","parse-names":false,"suffix":""},{"dropping-particle":"","family":"Vosseler","given":"Andreas","non-dropping-particle":"","parse-names":false,"suffix":""},{"dropping-particle":"","family":"Fritsche","given":"Louise","non-dropping-particle":"","parse-names":false,"suffix":""},{"dropping-particle":"","family":"Veit","given":"Ralf","non-dropping-particle":"","parse-names":false,"suffix":""},{"dropping-particle":"","family":"Kantartzis","given":"Konstantinos","non-dropping-particle":"","parse-names":false,"suffix":""},{"dropping-particle":"","family":"Machann","given":"Jürgen","non-dropping-particle":"","parse-names":false,"suffix":""},{"dropping-particle":"","family":"Birkenfeld","given":"Andreas L","non-dropping-particle":"","parse-names":false,"suffix":""},{"dropping-particle":"","family":"Stefan","given":"Norbert","non-dropping-particle":"","parse-names":false,"suffix":""},{"dropping-particle":"","family":"Häring","given":"Hans-Ulrich","non-dropping-particle":"","parse-names":false,"suffix":""},{"dropping-particle":"","family":"Peter","given":"Andreas","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Diabetes care","id":"ITEM-3","issue":"2","issued":{"date-parts":[["2022","2"]]},"language":"eng","page":"398-406","publisher-place":"United States","title":"Empagliflozin Improves Insulin Sensitivity of the Hypothalamus in Humans With  Prediabetes: A Randomized, Double-Blind, Placebo-Controlled, Phase 2 Trial.","type":"article-journal","volume":"45"},"uris":["http://www.mendeley.com/documents/?uuid=202c73c6-0316-4f57-b1c8-a3960af651d6"]},{"id":"ITEM-4","itemData":{"DOI":"10.1111/dom.15094","ISSN":"1463-1326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metabolism","id":"ITEM-4","issue":"8","issued":{"date-parts":[["2023","8"]]},"language":"eng","page":"2171-2180","publisher-place":"England","title":"Brain insulin responsiveness is linked to age and peripheral insulin sensitivity.","type":"article-journal","volume":"25"},"uris":["http://www.mendeley.com/documents/?uuid=015f0716-46d7-3ffd-ae45-d9358a530a50"]}],"mendeley":{"formattedCitation":"&lt;i&gt;(15, 33, 34, 58)&lt;/i&gt;","plainTextFormattedCitation":"(15, 33, 34, 58)","previouslyFormattedCitation":"&lt;i&gt;(15, 33, 34, 58)&lt;/i&gt;"},"properties":{"noteIndex":0},"schema":"https://github.com/citation-style-language/schema/raw/master/csl-citation.json"}</w:instrText>
      </w:r>
      <w:r w:rsidR="00DF42F9" w:rsidRPr="001533EC">
        <w:rPr>
          <w:rStyle w:val="Funotenzeichen"/>
          <w:sz w:val="24"/>
          <w:szCs w:val="24"/>
        </w:rPr>
        <w:fldChar w:fldCharType="separate"/>
      </w:r>
      <w:r w:rsidR="00DF42F9" w:rsidRPr="001533EC">
        <w:rPr>
          <w:bCs/>
          <w:i/>
          <w:noProof/>
          <w:sz w:val="24"/>
          <w:szCs w:val="24"/>
        </w:rPr>
        <w:t>(15, 33, 34, 58)</w:t>
      </w:r>
      <w:r w:rsidR="00DF42F9" w:rsidRPr="001533EC">
        <w:rPr>
          <w:rStyle w:val="Funotenzeichen"/>
          <w:sz w:val="24"/>
          <w:szCs w:val="24"/>
        </w:rPr>
        <w:fldChar w:fldCharType="end"/>
      </w:r>
      <w:r w:rsidRPr="001533EC">
        <w:rPr>
          <w:sz w:val="24"/>
          <w:szCs w:val="24"/>
        </w:rPr>
        <w:t xml:space="preserve">: a discovery </w:t>
      </w:r>
      <w:r w:rsidR="002B4E3C">
        <w:rPr>
          <w:sz w:val="24"/>
          <w:szCs w:val="24"/>
        </w:rPr>
        <w:t>c</w:t>
      </w:r>
      <w:r w:rsidR="0009768D">
        <w:rPr>
          <w:sz w:val="24"/>
          <w:szCs w:val="24"/>
        </w:rPr>
        <w:t xml:space="preserve">ohort </w:t>
      </w:r>
      <w:r w:rsidRPr="001533EC">
        <w:rPr>
          <w:sz w:val="24"/>
          <w:szCs w:val="24"/>
        </w:rPr>
        <w:t xml:space="preserve">(n = 167) and two replication cohorts (replication cohort I; n = 33, replication cohort II; n = 24). </w:t>
      </w:r>
      <w:r w:rsidR="00DF42F9" w:rsidRPr="001533EC">
        <w:rPr>
          <w:sz w:val="24"/>
          <w:szCs w:val="24"/>
        </w:rPr>
        <w:t xml:space="preserve">Characteristics of the participants are detailed in Table 1. </w:t>
      </w:r>
      <w:r w:rsidR="00DF42F9">
        <w:rPr>
          <w:sz w:val="24"/>
          <w:szCs w:val="24"/>
        </w:rPr>
        <w:t xml:space="preserve">The sample size was based to provide sufficient power </w:t>
      </w:r>
      <w:r w:rsidR="00DF42F9" w:rsidRPr="00C641EB">
        <w:rPr>
          <w:sz w:val="24"/>
          <w:szCs w:val="24"/>
          <w:lang w:val="en-GB"/>
        </w:rPr>
        <w:t>(1-</w:t>
      </w:r>
      <w:r w:rsidR="00DF42F9" w:rsidRPr="00C641EB">
        <w:rPr>
          <w:sz w:val="24"/>
          <w:szCs w:val="24"/>
          <w:lang w:val="de-DE"/>
        </w:rPr>
        <w:t>β</w:t>
      </w:r>
      <w:r w:rsidR="00DF42F9" w:rsidRPr="00C641EB">
        <w:rPr>
          <w:sz w:val="24"/>
          <w:szCs w:val="24"/>
          <w:lang w:val="en-GB"/>
        </w:rPr>
        <w:t xml:space="preserve"> = </w:t>
      </w:r>
      <w:r w:rsidR="004C5556">
        <w:rPr>
          <w:sz w:val="24"/>
          <w:szCs w:val="24"/>
          <w:lang w:val="en-GB"/>
        </w:rPr>
        <w:t>0</w:t>
      </w:r>
      <w:r w:rsidR="00DF42F9" w:rsidRPr="00C641EB">
        <w:rPr>
          <w:sz w:val="24"/>
          <w:szCs w:val="24"/>
          <w:lang w:val="en-GB"/>
        </w:rPr>
        <w:t>.86) for moderate to large between group effects</w:t>
      </w:r>
      <w:r w:rsidR="00F02D43">
        <w:rPr>
          <w:sz w:val="24"/>
          <w:szCs w:val="24"/>
          <w:lang w:val="en-GB"/>
        </w:rPr>
        <w:t>,</w:t>
      </w:r>
      <w:r w:rsidR="00DF42F9" w:rsidRPr="00C641EB">
        <w:rPr>
          <w:sz w:val="24"/>
          <w:szCs w:val="24"/>
          <w:lang w:val="en-GB"/>
        </w:rPr>
        <w:t xml:space="preserve"> based on previous studies investigating brain insulin sensitivity in humans.</w:t>
      </w:r>
      <w:r w:rsidR="0017498C">
        <w:rPr>
          <w:sz w:val="24"/>
          <w:szCs w:val="24"/>
          <w:lang w:val="en-GB"/>
        </w:rPr>
        <w:fldChar w:fldCharType="begin" w:fldLock="1"/>
      </w:r>
      <w:r w:rsidR="0017498C">
        <w:rPr>
          <w:sz w:val="24"/>
          <w:szCs w:val="24"/>
          <w:lang w:val="en-GB"/>
        </w:rPr>
        <w:instrText>ADDIN CSL_CITATION {"citationItems":[{"id":"ITEM-1","itemData":{"DOI":"10.1111/dom.15094","ISSN":"1463-1326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 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metabolism","id":"ITEM-1","issue":"8","issued":{"date-parts":[["2023","8","1"]]},"language":"eng","page":"2171-2180","publisher":"John Wiley and Sons Inc","publisher-place":"England","title":"Brain insulin responsiveness is linked to age and peripheral insulin sensitivity.","type":"article-journal","volume":"25"},"uris":["http://www.mendeley.com/documents/?uuid=30c1b4f9-849a-42d9-8b0e-977a89ced318"]},{"id":"ITEM-2","itemData":{"DOI":"10.2337/dc14-2319","ISSN":"1935-5548 (Electronic)","PMID":"25795413","abstract":"OBJECTIVE: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 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 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 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author":[{"dropping-particle":"","family":"Kullmann","given":"Stephanie","non-dropping-particle":"","parse-names":false,"suffix":""},{"dropping-particle":"","family":"Heni","given":"Martin","non-dropping-particle":"","parse-names":false,"suffix":""},{"dropping-particle":"","family":"Veit","given":"Ralf","non-dropping-particle":"","parse-names":false,"suffix":""},{"dropping-particle":"","family":"Scheffler","given":"Klaus","non-dropping-particle":"","parse-names":false,"suffix":""},{"dropping-particle":"","family":"Machann","given":"Jürgen","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container-title":"Diabetes care","id":"ITEM-2","issue":"6","issued":{"date-parts":[["2015","6"]]},"language":"eng","page":"1044-1050","publisher-place":"United States","title":"Selective insulin resistance in homeostatic and cognitive control brain areas in  overweight and obese adults.","type":"article-journal","volume":"38"},"uris":["http://www.mendeley.com/documents/?uuid=b3c3bf05-2eca-47b0-b37b-9ccc13cf91af"]}],"mendeley":{"formattedCitation":"&lt;i&gt;(33, 59)&lt;/i&gt;","plainTextFormattedCitation":"(33, 59)","previouslyFormattedCitation":"&lt;i&gt;(33, 59)&lt;/i&gt;"},"properties":{"noteIndex":0},"schema":"https://github.com/citation-style-language/schema/raw/master/csl-citation.json"}</w:instrText>
      </w:r>
      <w:r w:rsidR="0017498C">
        <w:rPr>
          <w:sz w:val="24"/>
          <w:szCs w:val="24"/>
          <w:lang w:val="en-GB"/>
        </w:rPr>
        <w:fldChar w:fldCharType="separate"/>
      </w:r>
      <w:r w:rsidR="0017498C" w:rsidRPr="0017498C">
        <w:rPr>
          <w:i/>
          <w:noProof/>
          <w:sz w:val="24"/>
          <w:szCs w:val="24"/>
          <w:lang w:val="en-GB"/>
        </w:rPr>
        <w:t>(33, 59)</w:t>
      </w:r>
      <w:r w:rsidR="0017498C">
        <w:rPr>
          <w:sz w:val="24"/>
          <w:szCs w:val="24"/>
          <w:lang w:val="en-GB"/>
        </w:rPr>
        <w:fldChar w:fldCharType="end"/>
      </w:r>
      <w:r w:rsidR="00DF42F9" w:rsidRPr="001533EC" w:rsidDel="00923BC6">
        <w:rPr>
          <w:sz w:val="24"/>
          <w:szCs w:val="24"/>
        </w:rPr>
        <w:t xml:space="preserve"> </w:t>
      </w:r>
    </w:p>
    <w:p w14:paraId="35A45F96" w14:textId="487B29EA" w:rsidR="00DF42F9" w:rsidRDefault="00DF42F9" w:rsidP="00C35B7A">
      <w:pPr>
        <w:spacing w:line="480" w:lineRule="auto"/>
        <w:jc w:val="both"/>
        <w:rPr>
          <w:sz w:val="24"/>
        </w:rPr>
      </w:pPr>
      <w:r>
        <w:rPr>
          <w:sz w:val="24"/>
          <w:szCs w:val="24"/>
        </w:rPr>
        <w:t>P</w:t>
      </w:r>
      <w:r w:rsidR="00C35B7A" w:rsidRPr="001533EC">
        <w:rPr>
          <w:sz w:val="24"/>
          <w:szCs w:val="24"/>
        </w:rPr>
        <w:t>articipants were grouped as either brain insulin</w:t>
      </w:r>
      <w:r w:rsidR="00AD1D4E">
        <w:rPr>
          <w:sz w:val="24"/>
          <w:szCs w:val="24"/>
        </w:rPr>
        <w:t>-</w:t>
      </w:r>
      <w:r w:rsidR="00C35B7A" w:rsidRPr="001533EC">
        <w:rPr>
          <w:sz w:val="24"/>
          <w:szCs w:val="24"/>
        </w:rPr>
        <w:t>sensitive (BIS) or brain insulin</w:t>
      </w:r>
      <w:r w:rsidR="00AD1D4E">
        <w:rPr>
          <w:sz w:val="24"/>
          <w:szCs w:val="24"/>
        </w:rPr>
        <w:t>-</w:t>
      </w:r>
      <w:r w:rsidR="00C35B7A" w:rsidRPr="001533EC">
        <w:rPr>
          <w:sz w:val="24"/>
          <w:szCs w:val="24"/>
        </w:rPr>
        <w:t>resistant (BIR) based on the responsiveness of the brain to intranasal insulin. The hypothalamus is the main area of the brain that controls metabolism. Hence, brain insulin resistance was defined as the failure to show an insulin-induced inhibition of hypothalamic blood flow as recently described</w:t>
      </w:r>
      <w:r w:rsidR="005F724A" w:rsidRPr="001533EC">
        <w:rPr>
          <w:sz w:val="24"/>
          <w:szCs w:val="24"/>
        </w:rPr>
        <w:t xml:space="preserve"> </w:t>
      </w:r>
      <w:r w:rsidR="00122188" w:rsidRPr="001533EC">
        <w:rPr>
          <w:rStyle w:val="Funotenzeichen"/>
          <w:sz w:val="24"/>
          <w:szCs w:val="24"/>
        </w:rPr>
        <w:fldChar w:fldCharType="begin" w:fldLock="1"/>
      </w:r>
      <w:r w:rsidR="0017498C">
        <w:rPr>
          <w:sz w:val="24"/>
          <w:szCs w:val="24"/>
        </w:rPr>
        <w:instrText>ADDIN CSL_CITATION {"citationItems":[{"id":"ITEM-1","itemData":{"DOI":"10.2337/dc14-2319","ISSN":"1935-5548 (Electronic)","PMID":"25795413","abstract":"OBJECTIVE: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 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 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 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author":[{"dropping-particle":"","family":"Kullmann","given":"Stephanie","non-dropping-particle":"","parse-names":false,"suffix":""},{"dropping-particle":"","family":"Heni","given":"Martin","non-dropping-particle":"","parse-names":false,"suffix":""},{"dropping-particle":"","family":"Veit","given":"Ralf","non-dropping-particle":"","parse-names":false,"suffix":""},{"dropping-particle":"","family":"Scheffler","given":"Klaus","non-dropping-particle":"","parse-names":false,"suffix":""},{"dropping-particle":"","family":"Machann","given":"Jürgen","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container-title":"Diabetes care","id":"ITEM-1","issue":"6","issued":{"date-parts":[["2015","6"]]},"language":"eng","page":"1044-1050","publisher-place":"United States","title":"Selective insulin resistance in homeostatic and cognitive control brain areas in  overweight and obese adults.","type":"article-journal","volume":"38"},"uris":["http://www.mendeley.com/documents/?uuid=b3c3bf05-2eca-47b0-b37b-9ccc13cf91af"]},{"id":"ITEM-2","itemData":{"DOI":"10.1210/jc.2017-01976","ISSN":"1945-7197 (Electronic)","PMID":"29095982","abstract":"CONTEXT: Insulin action in the human brain influences eating behavior, cognition,  and whole-body metabolism. Studies investigating brain insulin rely on intranasal application. OBJECTIVE: To investigate effects of three doses of insulin and placebo as nasal sprays on the central and autonomous nervous system and analyze absorption of insulin into the bloodstream. DESIGN, PARTICIPANTS, AND METHODS: Nine healthy men received placebo or 40 U, 80 U, and 160 U insulin spray in randomized order. Before and after spray, brain activity was assessed by functional magnetic resonance imaging, and heart rate variability (HRV) was assessed from electrocardiogram. Plasma insulin, C-peptide, and glucose were measured regularly. SETTING: General community. RESULTS: Nasal insulin administration dose-dependently modulated regional brain activity and the normalized high-frequency component of the HRV. Post hoc analyses revealed that only 160 U insulin showed a considerable difference from placebo. Dose-dependent spillover of nasal insulin into the bloodstream was detected. The brain response was not correlated with this temporary rise in circulating insulin. CONCLUSIONS: Nasal insulin dose-dependently modulated regional brain activity with the strongest effects after 160 U. However, this dose was accompanied by a transient increase in circulating insulin concentrations due to a spillover into circulation. Our current results may serve as a basis for future studies with nasal insulin to untangle brain insulin effects in health and disease.","author":[{"dropping-particle":"","family":"Kullmann","given":"Stephanie","non-dropping-particle":"","parse-names":false,"suffix":""},{"dropping-particle":"","family":"Veit","given":"Ralf","non-dropping-particle":"","parse-names":false,"suffix":""},{"dropping-particle":"","family":"Peter","given":"Andreas","non-dropping-particle":"","parse-names":false,"suffix":""},{"dropping-particle":"","family":"Pohmann","given":"Rolf","non-dropping-particle":"","parse-names":false,"suffix":""},{"dropping-particle":"","family":"Scheffler","given":"Klaus","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dropping-particle":"","family":"Heni","given":"Martin","non-dropping-particle":"","parse-names":false,"suffix":""}],"container-title":"The Journal of clinical endocrinology and metabolism","id":"ITEM-2","issue":"1","issued":{"date-parts":[["2018","1"]]},"language":"eng","page":"253-262","publisher-place":"United States","title":"Dose-Dependent Effects of Intranasal Insulin on Resting-State Brain Activity.","type":"article-journal","volume":"103"},"uris":["http://www.mendeley.com/documents/?uuid=159f1686-16b7-471e-8b77-1d10284ba0aa"]},{"id":"ITEM-3","itemData":{"DOI":"10.2337/dc21-1136","ISSN":"1935-5548 (Electronic)","PMID":"34716213","abstract":"OBJECTIVE: Insulin action in the human brain reduces food intake, improves  whole-body insulin sensitivity, and modulates body fat mass and its distribution. Obesity and type 2 diabetes are often associated with brain insulin resistance, resulting in impaired brain-derived modulation of peripheral metabolism. So far, no pharmacological treatment for brain insulin resistance has been established. Since sodium-glucose cotransporter 2 (SGLT2) inhibitors lower glucose levels and modulate energy metabolism, we hypothesized that SGLT2 inhibition may be a pharmacological approach to reverse brain insulin resistance. RESEARCH DESIGN AND METHODS: In this randomized, double-blind, placebo-controlled clinical trial, 40 patients (mean ± SD; age 60 ± 9 years; BMI 31.5 ± 3.8 kg/m2) with prediabetes were randomized to receive 25 mg empagliflozin every day or placebo. Before and after 8 weeks of treatment, brain insulin sensitivity was assessed by functional MRI combined with intranasal administration of insulin to the brain. RESULTS: We identified a significant interaction between time and treatment in the hypothalamic response to insulin. Post hoc analyses revealed that only empagliflozin-treated patients experienced increased hypothalamic insulin responsiveness. Hypothalamic insulin action significantly mediated the empagliflozin-induced decrease in fasting glucose and liver fat. CONCLUSIONS: Our results corroborate insulin resistance of the hypothalamus in humans with prediabetes. Treatment with empagliflozin for 8 weeks was able to restore hypothalamic insulin sensitivity, a favorable response that could contribute to the beneficial effects of SGLT2 inhibitors. Our findings position SGLT2 inhibition as the first pharmacological approach to reverse brain insulin resistance, with potential benefits for adiposity and whole-body metabolism.","author":[{"dropping-particle":"","family":"Kullmann","given":"Stephanie","non-dropping-particle":"","parse-names":false,"suffix":""},{"dropping-particle":"","family":"Hummel","given":"Julia","non-dropping-particle":"","parse-names":false,"suffix":""},{"dropping-particle":"","family":"Wagner","given":"Robert","non-dropping-particle":"","parse-names":false,"suffix":""},{"dropping-particle":"","family":"Dannecker","given":"Corinna","non-dropping-particle":"","parse-names":false,"suffix":""},{"dropping-particle":"","family":"Vosseler","given":"Andreas","non-dropping-particle":"","parse-names":false,"suffix":""},{"dropping-particle":"","family":"Fritsche","given":"Louise","non-dropping-particle":"","parse-names":false,"suffix":""},{"dropping-particle":"","family":"Veit","given":"Ralf","non-dropping-particle":"","parse-names":false,"suffix":""},{"dropping-particle":"","family":"Kantartzis","given":"Konstantinos","non-dropping-particle":"","parse-names":false,"suffix":""},{"dropping-particle":"","family":"Machann","given":"Jürgen","non-dropping-particle":"","parse-names":false,"suffix":""},{"dropping-particle":"","family":"Birkenfeld","given":"Andreas L","non-dropping-particle":"","parse-names":false,"suffix":""},{"dropping-particle":"","family":"Stefan","given":"Norbert","non-dropping-particle":"","parse-names":false,"suffix":""},{"dropping-particle":"","family":"Häring","given":"Hans-Ulrich","non-dropping-particle":"","parse-names":false,"suffix":""},{"dropping-particle":"","family":"Peter","given":"Andreas","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Diabetes care","id":"ITEM-3","issue":"2","issued":{"date-parts":[["2022","2"]]},"language":"eng","page":"398-406","publisher-place":"United States","title":"Empagliflozin Improves Insulin Sensitivity of the Hypothalamus in Humans With  Prediabetes: A Randomized, Double-Blind, Placebo-Controlled, Phase 2 Trial.","type":"article-journal","volume":"45"},"uris":["http://www.mendeley.com/documents/?uuid=202c73c6-0316-4f57-b1c8-a3960af651d6"]},{"id":"ITEM-4","itemData":{"DOI":"10.1111/dom.15094","ISSN":"1463-1326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metabolism","id":"ITEM-4","issue":"8","issued":{"date-parts":[["2023","8"]]},"language":"eng","page":"2171-2180","publisher-place":"England","title":"Brain insulin responsiveness is linked to age and peripheral insulin sensitivity.","type":"article-journal","volume":"25"},"uris":["http://www.mendeley.com/documents/?uuid=015f0716-46d7-3ffd-ae45-d9358a530a50"]}],"mendeley":{"formattedCitation":"&lt;i&gt;(15, 19, 33, 34)&lt;/i&gt;","plainTextFormattedCitation":"(15, 19, 33, 34)","previouslyFormattedCitation":"&lt;i&gt;(15, 19, 33, 34)&lt;/i&gt;"},"properties":{"noteIndex":0},"schema":"https://github.com/citation-style-language/schema/raw/master/csl-citation.json"}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(15, 19, 33, 34)</w:t>
      </w:r>
      <w:r w:rsidR="00122188" w:rsidRPr="001533EC">
        <w:rPr>
          <w:rStyle w:val="Funotenzeichen"/>
          <w:sz w:val="24"/>
          <w:szCs w:val="24"/>
        </w:rPr>
        <w:fldChar w:fldCharType="end"/>
      </w:r>
      <w:r w:rsidR="00C35B7A" w:rsidRPr="001533EC">
        <w:rPr>
          <w:sz w:val="24"/>
          <w:szCs w:val="24"/>
        </w:rPr>
        <w:t>.</w:t>
      </w:r>
      <w:r w:rsidRPr="00DF42F9">
        <w:rPr>
          <w:sz w:val="24"/>
        </w:rPr>
        <w:t xml:space="preserve"> </w:t>
      </w:r>
      <w:r>
        <w:rPr>
          <w:sz w:val="24"/>
        </w:rPr>
        <w:t>The primary objective of the study was t</w:t>
      </w:r>
      <w:r w:rsidRPr="001533EC">
        <w:rPr>
          <w:sz w:val="24"/>
        </w:rPr>
        <w:t xml:space="preserve">o identify key epigenetic markers </w:t>
      </w:r>
      <w:r>
        <w:rPr>
          <w:sz w:val="24"/>
        </w:rPr>
        <w:t xml:space="preserve">of brain insulin sensitivity </w:t>
      </w:r>
      <w:r w:rsidRPr="001533EC">
        <w:rPr>
          <w:sz w:val="24"/>
        </w:rPr>
        <w:t xml:space="preserve">using a machine learning approach. </w:t>
      </w:r>
      <w:r>
        <w:rPr>
          <w:sz w:val="24"/>
        </w:rPr>
        <w:t xml:space="preserve">We hypothesized that persons with brain insulin resistance show a distinct epigenetic profile compared to brain insulin sensitive persons independent of </w:t>
      </w:r>
      <w:r w:rsidRPr="001533EC">
        <w:rPr>
          <w:sz w:val="24"/>
        </w:rPr>
        <w:t xml:space="preserve">peripheral insulin sensitivity. </w:t>
      </w:r>
    </w:p>
    <w:p w14:paraId="42232940" w14:textId="03D06733" w:rsidR="00DF42F9" w:rsidRDefault="00DF42F9" w:rsidP="00DF42F9">
      <w:pPr>
        <w:spacing w:line="480" w:lineRule="auto"/>
        <w:jc w:val="both"/>
        <w:rPr>
          <w:sz w:val="24"/>
          <w:szCs w:val="24"/>
        </w:rPr>
      </w:pPr>
      <w:r>
        <w:rPr>
          <w:sz w:val="24"/>
          <w:szCs w:val="24"/>
        </w:rPr>
        <w:t xml:space="preserve">Only healthy </w:t>
      </w:r>
      <w:r w:rsidRPr="001533EC">
        <w:rPr>
          <w:sz w:val="24"/>
          <w:szCs w:val="24"/>
        </w:rPr>
        <w:t>individuals with</w:t>
      </w:r>
      <w:r>
        <w:rPr>
          <w:sz w:val="24"/>
          <w:szCs w:val="24"/>
        </w:rPr>
        <w:t>out a diagnosis of</w:t>
      </w:r>
      <w:r w:rsidRPr="001533EC">
        <w:rPr>
          <w:sz w:val="24"/>
          <w:szCs w:val="24"/>
        </w:rPr>
        <w:t xml:space="preserve"> chronic diseases</w:t>
      </w:r>
      <w:r w:rsidR="00F02D43">
        <w:rPr>
          <w:sz w:val="24"/>
          <w:szCs w:val="24"/>
        </w:rPr>
        <w:t>,</w:t>
      </w:r>
      <w:r w:rsidRPr="001533EC">
        <w:rPr>
          <w:sz w:val="24"/>
          <w:szCs w:val="24"/>
        </w:rPr>
        <w:t xml:space="preserve"> or type 2 diabetes</w:t>
      </w:r>
      <w:r w:rsidR="00F02D43">
        <w:rPr>
          <w:sz w:val="24"/>
          <w:szCs w:val="24"/>
        </w:rPr>
        <w:t>,</w:t>
      </w:r>
      <w:r w:rsidRPr="001533EC">
        <w:rPr>
          <w:sz w:val="24"/>
          <w:szCs w:val="24"/>
        </w:rPr>
        <w:t xml:space="preserve"> or receiv</w:t>
      </w:r>
      <w:r>
        <w:rPr>
          <w:sz w:val="24"/>
          <w:szCs w:val="24"/>
        </w:rPr>
        <w:t>ing</w:t>
      </w:r>
      <w:r w:rsidRPr="001533EC">
        <w:rPr>
          <w:sz w:val="24"/>
          <w:szCs w:val="24"/>
        </w:rPr>
        <w:t xml:space="preserve"> glucose</w:t>
      </w:r>
      <w:r>
        <w:rPr>
          <w:sz w:val="24"/>
          <w:szCs w:val="24"/>
        </w:rPr>
        <w:t>-</w:t>
      </w:r>
      <w:r w:rsidRPr="001533EC">
        <w:rPr>
          <w:sz w:val="24"/>
          <w:szCs w:val="24"/>
        </w:rPr>
        <w:t>lowering medications</w:t>
      </w:r>
      <w:r>
        <w:rPr>
          <w:sz w:val="24"/>
          <w:szCs w:val="24"/>
        </w:rPr>
        <w:t xml:space="preserve"> were included in the study</w:t>
      </w:r>
      <w:r w:rsidRPr="001533EC">
        <w:rPr>
          <w:sz w:val="24"/>
          <w:szCs w:val="24"/>
        </w:rPr>
        <w:t>. In the discovery cohort, the participants only differed with respect to their brain but not peripheral insulin sensitivity, as assessed through a 5-point 75</w:t>
      </w:r>
      <w:r>
        <w:rPr>
          <w:sz w:val="24"/>
          <w:szCs w:val="24"/>
        </w:rPr>
        <w:t xml:space="preserve"> </w:t>
      </w:r>
      <w:r w:rsidRPr="001533EC">
        <w:rPr>
          <w:sz w:val="24"/>
          <w:szCs w:val="24"/>
        </w:rPr>
        <w:t xml:space="preserve">g oral glucose tolerance test; participants of replication cohort I </w:t>
      </w:r>
      <w:r w:rsidR="005A0CAB">
        <w:rPr>
          <w:sz w:val="24"/>
          <w:szCs w:val="24"/>
        </w:rPr>
        <w:t xml:space="preserve">and II </w:t>
      </w:r>
      <w:r w:rsidRPr="001533EC">
        <w:rPr>
          <w:sz w:val="24"/>
          <w:szCs w:val="24"/>
        </w:rPr>
        <w:t xml:space="preserve">had a more heterogenous phenotype (Table 1). </w:t>
      </w:r>
      <w:r>
        <w:rPr>
          <w:sz w:val="24"/>
          <w:szCs w:val="24"/>
        </w:rPr>
        <w:t>Only participants with b</w:t>
      </w:r>
      <w:r w:rsidRPr="001533EC">
        <w:rPr>
          <w:sz w:val="24"/>
          <w:szCs w:val="24"/>
        </w:rPr>
        <w:t>lood samples for DNA methylation measurements prior to intranasal insulin administration</w:t>
      </w:r>
      <w:r>
        <w:rPr>
          <w:sz w:val="24"/>
          <w:szCs w:val="24"/>
        </w:rPr>
        <w:t xml:space="preserve"> were included</w:t>
      </w:r>
      <w:r w:rsidRPr="001533EC">
        <w:rPr>
          <w:sz w:val="24"/>
          <w:szCs w:val="24"/>
        </w:rPr>
        <w:t>.</w:t>
      </w:r>
      <w:r>
        <w:rPr>
          <w:sz w:val="24"/>
          <w:szCs w:val="24"/>
        </w:rPr>
        <w:t xml:space="preserve"> </w:t>
      </w:r>
      <w:r w:rsidRPr="001533EC">
        <w:rPr>
          <w:sz w:val="24"/>
          <w:szCs w:val="24"/>
        </w:rPr>
        <w:t xml:space="preserve">The analyses included </w:t>
      </w:r>
      <w:r w:rsidR="00E15730">
        <w:rPr>
          <w:sz w:val="24"/>
          <w:szCs w:val="24"/>
        </w:rPr>
        <w:t xml:space="preserve">baseline </w:t>
      </w:r>
      <w:r w:rsidRPr="001533EC">
        <w:rPr>
          <w:sz w:val="24"/>
          <w:szCs w:val="24"/>
        </w:rPr>
        <w:t xml:space="preserve">data from previously published studies </w:t>
      </w:r>
      <w:r w:rsidRPr="001533EC">
        <w:rPr>
          <w:rStyle w:val="Funotenzeichen"/>
          <w:sz w:val="24"/>
          <w:szCs w:val="24"/>
        </w:rPr>
        <w:fldChar w:fldCharType="begin" w:fldLock="1"/>
      </w:r>
      <w:r w:rsidR="0017498C">
        <w:rPr>
          <w:sz w:val="24"/>
          <w:szCs w:val="24"/>
        </w:rPr>
        <w:instrText>ADDIN CSL_CITATION {"citationItems":[{"id":"ITEM-1","itemData":{"DOI":"10.2337/dc14-2319","ISSN":"1935-5548 (Electronic)","PMID":"25795413","abstract":"OBJECTIVE: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 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 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 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author":[{"dropping-particle":"","family":"Kullmann","given":"Stephanie","non-dropping-particle":"","parse-names":false,"suffix":""},{"dropping-particle":"","family":"Heni","given":"Martin","non-dropping-particle":"","parse-names":false,"suffix":""},{"dropping-particle":"","family":"Veit","given":"Ralf","non-dropping-particle":"","parse-names":false,"suffix":""},{"dropping-particle":"","family":"Scheffler","given":"Klaus","non-dropping-particle":"","parse-names":false,"suffix":""},{"dropping-particle":"","family":"Machann","given":"Jürgen","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container-title":"Diabetes care","id":"ITEM-1","issue":"6","issued":{"date-parts":[["2015","6"]]},"language":"eng","page":"1044-1050","publisher-place":"United States","title":"Selective insulin resistance in homeostatic and cognitive control brain areas in  overweight and obese adults.","type":"article-journal","volume":"38"},"uris":["http://www.mendeley.com/documents/?uuid=b3c3bf05-2eca-47b0-b37b-9ccc13cf91af"]},{"id":"ITEM-2","itemData":{"DOI":"10.1172/jci.insight.161498","ISSN":"2379-3708 (Electronic)","PMID":"36134657","abstract":"BACKGROUNDInsulin resistance of the brain can unfavorably affect long-term weight  maintenance and body fat distribution. Little is known if and how brain insulin sensitivity can be restored in humans. We aimed to evaluate the effects of an exercise intervention on insulin sensitivity of the brain and how this relates to exercise-induced changes in whole-body metabolism and behavior.METHODSIn this clinical trial, sedentary participants who were overweight and obese underwent an 8-week supervised aerobic training intervention. Brain insulin sensitivity was assessed in 21 participants (14 women, 7 men; age range 21-59 years; BMI range 27.5-45.5 kg/m2) using functional MRI, combined with intranasal administration of insulin, before and after the intervention.RESULTSThe exercise program resulted in enhanced brain insulin action to the level of a person of healthy weight, demonstrated by increased insulin-induced striatal activity and strengthened hippocampal functional connectivity. Improved brain insulin action correlated with increased mitochondrial respiration in skeletal muscle, reductions in visceral fat and hunger, as well as improved cognition. Mediation analyses suggest that improved brain insulin responsiveness helps mediate the peripheral exercise effects leading to healthier body fat distribution and reduced perception of hunger.CONCLUSIONOur study demonstrates that an 8-week exercise intervention in sedentary individuals can restore insulin action in the brain. Hence, the ameliorating benefits of exercise toward brain insulin resistance may provide an objective therapeutic target in humans in the challenge to reduce diabetes risk factors.TRIAL REGISTRATIONClinicalTrials.gov (NCT03151590).FUNDINGBMBF/DZD 01GI0925.","author":[{"dropping-particle":"","family":"Kullmann","given":"Stephanie","non-dropping-particle":"","parse-names":false,"suffix":""},{"dropping-particle":"","family":"Goj","given":"Thomas","non-dropping-particle":"","parse-names":false,"suffix":""},{"dropping-particle":"","family":"Veit","given":"Ralf","non-dropping-particle":"","parse-names":false,"suffix":""},{"dropping-particle":"","family":"Fritsche","given":"Louise","non-dropping-particle":"","parse-names":false,"suffix":""},{"dropping-particle":"","family":"Wagner","given":"Lore","non-dropping-particle":"","parse-names":false,"suffix":""},{"dropping-particle":"","family":"Schneeweiss","given":"Patrick","non-dropping-particle":"","parse-names":false,"suffix":""},{"dropping-particle":"","family":"Hoene","given":"Miriam","non-dropping-particle":"","parse-names":false,"suffix":""},{"dropping-particle":"","family":"Hoffmann","given":"Christoph","non-dropping-particle":"","parse-names":false,"suffix":""},{"dropping-particle":"","family":"Machann","given":"Jürgen","non-dropping-particle":"","parse-names":false,"suffix":""},{"dropping-particle":"","family":"Niess","given":"Andreas","non-dropping-particle":"","parse-names":false,"suffix":""},{"dropping-particle":"","family":"Preissl","given":"Hubert","non-dropping-particle":"","parse-names":false,"suffix":""},{"dropping-particle":"","family":"Birkenfeld","given":"Andreas L","non-dropping-particle":"","parse-names":false,"suffix":""},{"dropping-particle":"","family":"Peter","given":"Andreas","non-dropping-particle":"","parse-names":false,"suffix":""},{"dropping-particle":"","family":"Häring","given":"Hans-Ulrich","non-dropping-particle":"","parse-names":false,"suffix":""},{"dropping-particle":"","family":"Fritsche","given":"Andreas","non-dropping-particle":"","parse-names":false,"suffix":""},{"dropping-particle":"","family":"Moller","given":"Anja","non-dropping-particle":"","parse-names":false,"suffix":""},{"dropping-particle":"","family":"Weigert","given":"Cora","non-dropping-particle":"","parse-names":false,"suffix":""},{"dropping-particle":"","family":"Heni","given":"Martin","non-dropping-particle":"","parse-names":false,"suffix":""}],"container-title":"JCI insight","id":"ITEM-2","issue":"18","issued":{"date-parts":[["2022","9"]]},"language":"eng","publisher-place":"United States","title":"Exercise restores brain insulin sensitivity in sedentary adults who are  overweight and obese.","type":"article-journal","volume":"7"},"uris":["http://www.mendeley.com/documents/?uuid=85acbd95-612c-4639-a70c-cec194bedb4f"]},{"id":"ITEM-3","itemData":{"DOI":"10.2337/dc21-1136","ISSN":"1935-5548 (Electronic)","PMID":"34716213","abstract":"OBJECTIVE: Insulin action in the human brain reduces food intake, improves  whole-body insulin sensitivity, and modulates body fat mass and its distribution. Obesity and type 2 diabetes are often associated with brain insulin resistance, resulting in impaired brain-derived modulation of peripheral metabolism. So far, no pharmacological treatment for brain insulin resistance has been established. Since sodium-glucose cotransporter 2 (SGLT2) inhibitors lower glucose levels and modulate energy metabolism, we hypothesized that SGLT2 inhibition may be a pharmacological approach to reverse brain insulin resistance. RESEARCH DESIGN AND METHODS: In this randomized, double-blind, placebo-controlled clinical trial, 40 patients (mean ± SD; age 60 ± 9 years; BMI 31.5 ± 3.8 kg/m2) with prediabetes were randomized to receive 25 mg empagliflozin every day or placebo. Before and after 8 weeks of treatment, brain insulin sensitivity was assessed by functional MRI combined with intranasal administration of insulin to the brain. RESULTS: We identified a significant interaction between time and treatment in the hypothalamic response to insulin. Post hoc analyses revealed that only empagliflozin-treated patients experienced increased hypothalamic insulin responsiveness. Hypothalamic insulin action significantly mediated the empagliflozin-induced decrease in fasting glucose and liver fat. CONCLUSIONS: Our results corroborate insulin resistance of the hypothalamus in humans with prediabetes. Treatment with empagliflozin for 8 weeks was able to restore hypothalamic insulin sensitivity, a favorable response that could contribute to the beneficial effects of SGLT2 inhibitors. Our findings position SGLT2 inhibition as the first pharmacological approach to reverse brain insulin resistance, with potential benefits for adiposity and whole-body metabolism.","author":[{"dropping-particle":"","family":"Kullmann","given":"Stephanie","non-dropping-particle":"","parse-names":false,"suffix":""},{"dropping-particle":"","family":"Hummel","given":"Julia","non-dropping-particle":"","parse-names":false,"suffix":""},{"dropping-particle":"","family":"Wagner","given":"Robert","non-dropping-particle":"","parse-names":false,"suffix":""},{"dropping-particle":"","family":"Dannecker","given":"Corinna","non-dropping-particle":"","parse-names":false,"suffix":""},{"dropping-particle":"","family":"Vosseler","given":"Andreas","non-dropping-particle":"","parse-names":false,"suffix":""},{"dropping-particle":"","family":"Fritsche","given":"Louise","non-dropping-particle":"","parse-names":false,"suffix":""},{"dropping-particle":"","family":"Veit","given":"Ralf","non-dropping-particle":"","parse-names":false,"suffix":""},{"dropping-particle":"","family":"Kantartzis","given":"Konstantinos","non-dropping-particle":"","parse-names":false,"suffix":""},{"dropping-particle":"","family":"Machann","given":"Jürgen","non-dropping-particle":"","parse-names":false,"suffix":""},{"dropping-particle":"","family":"Birkenfeld","given":"Andreas L","non-dropping-particle":"","parse-names":false,"suffix":""},{"dropping-particle":"","family":"Stefan","given":"Norbert","non-dropping-particle":"","parse-names":false,"suffix":""},{"dropping-particle":"","family":"Häring","given":"Hans-Ulrich","non-dropping-particle":"","parse-names":false,"suffix":""},{"dropping-particle":"","family":"Peter","given":"Andreas","non-dropping-particle":"","parse-names":false,"suffix":""},{"dropping-particle":"","family":"Preissl","given":"Hubert","non-dropping-particle":"","parse-names":false,"suffix":""},{"dropping-particle":"","family":"Fritsche","given":"Andreas","non-dropping-particle":"","parse-names":false,"suffix":""},{"dropping-particle":"","family":"Heni","given":"Martin","non-dropping-particle":"","parse-names":false,"suffix":""}],"container-title":"Diabetes care","id":"ITEM-3","issue":"2","issued":{"date-parts":[["2022","2"]]},"language":"eng","page":"398-406","publisher-place":"United States","title":"Empagliflozin Improves Insulin Sensitivity of the Hypothalamus in Humans With  Prediabetes: A Randomized, Double-Blind, Placebo-Controlled, Phase 2 Trial.","type":"article-journal","volume":"45"},"uris":["http://www.mendeley.com/documents/?uuid=202c73c6-0316-4f57-b1c8-a3960af651d6"]},{"id":"ITEM-4","itemData":{"DOI":"10.1111/dom.15094","ISSN":"1463-1326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metabolism","id":"ITEM-4","issue":"8","issued":{"date-parts":[["2023","8"]]},"language":"eng","page":"2171-2180","publisher-place":"England","title":"Brain insulin responsiveness is linked to age and peripheral insulin sensitivity.","type":"article-journal","volume":"25"},"uris":["http://www.mendeley.com/documents/?uuid=015f0716-46d7-3ffd-ae45-d9358a530a50"]}],"mendeley":{"formattedCitation":"&lt;i&gt;(15, 33, 34, 58)&lt;/i&gt;","plainTextFormattedCitation":"(15, 33, 34, 58)","previouslyFormattedCitation":"&lt;i&gt;(15, 33, 34, 58)&lt;/i&gt;"},"properties":{"noteIndex":0},"schema":"https://github.com/citation-style-language/schema/raw/master/csl-citation.json"}</w:instrText>
      </w:r>
      <w:r w:rsidRPr="001533EC">
        <w:rPr>
          <w:rStyle w:val="Funotenzeichen"/>
          <w:sz w:val="24"/>
          <w:szCs w:val="24"/>
        </w:rPr>
        <w:fldChar w:fldCharType="separate"/>
      </w:r>
      <w:r w:rsidRPr="001533EC">
        <w:rPr>
          <w:bCs/>
          <w:i/>
          <w:noProof/>
          <w:sz w:val="24"/>
          <w:szCs w:val="24"/>
        </w:rPr>
        <w:t>(15, 33, 34, 58)</w:t>
      </w:r>
      <w:r w:rsidRPr="001533EC">
        <w:rPr>
          <w:rStyle w:val="Funotenzeichen"/>
          <w:sz w:val="24"/>
          <w:szCs w:val="24"/>
        </w:rPr>
        <w:fldChar w:fldCharType="end"/>
      </w:r>
      <w:r w:rsidR="00F02D43">
        <w:rPr>
          <w:sz w:val="24"/>
          <w:szCs w:val="24"/>
        </w:rPr>
        <w:t xml:space="preserve"> </w:t>
      </w:r>
      <w:r>
        <w:rPr>
          <w:sz w:val="24"/>
          <w:szCs w:val="24"/>
        </w:rPr>
        <w:t>that</w:t>
      </w:r>
      <w:r w:rsidRPr="001533EC">
        <w:rPr>
          <w:sz w:val="24"/>
          <w:szCs w:val="24"/>
        </w:rPr>
        <w:t xml:space="preserve"> were approved by the ethics committee of the University Clinic Tübingen</w:t>
      </w:r>
      <w:r w:rsidR="00E45487">
        <w:rPr>
          <w:sz w:val="24"/>
          <w:szCs w:val="24"/>
        </w:rPr>
        <w:t xml:space="preserve"> </w:t>
      </w:r>
      <w:r w:rsidR="00E45487">
        <w:rPr>
          <w:sz w:val="24"/>
          <w:szCs w:val="24"/>
        </w:rPr>
        <w:fldChar w:fldCharType="begin" w:fldLock="1"/>
      </w:r>
      <w:r w:rsidR="003663F0">
        <w:rPr>
          <w:sz w:val="24"/>
          <w:szCs w:val="24"/>
        </w:rPr>
        <w:instrText>ADDIN CSL_CITATION {"citationItems":[{"id":"ITEM-1","itemData":{"DOI":"10.1186/S12916-024-03771-8,","ISSN":"17417015","PMID":"39593091","abstract":"Background: The potential impact of specific food additives, common in Western diets, on the risk of developing type 2 diabetes is not well understood. This study focuses on carrageenan, a widely used food additive known to induce insulin resistance and gut inflammation in animal models, and its effects on human health. Methods: In a randomised, double-blind, placebo-controlled, cross-over trial conducted at a university hospital metabolic study centre, 20 males (age 27.4 ± 4.3 years, BMI 24.5 ± 2.5 kg/m2) participated. The intervention involved oral intake of carrageenan (250 mg) or placebo in the morning and in the evening and each intervention lasted 2 weeks. The primary outcome measured was insulin sensitivity (using oral glucose tolerance test [OGTT] and hyperinsulinaemic-euglycaemic clamp). Additional end-points included whole body and hepatic insulin sensitivity, MRI-measured brain inflammation and insulin resistance, intestinal permeability (via lactulose-mannitol test and plasma zonulin levels), and gut microbiome composition. Immune-cell activation and pro-inflammatory cytokine release from peripheral blood mononuclear cells were measured. Results: Overall insulin sensitivity did not show significant differences between the treatments. However, interactions between BMI and treatment were observed (OGTT-based insulin sensitivity index: p=0.04, fasting insulin resistance:p=0.01, hepatic insulin sensitivity index: p=0.04). In overweight participants, carrageenan exposure resulted in lower whole body and hepatic insulin sensitivity, a trend towards increased brain inflammation, and elevated C-reactive protein (CRP) and IL-6 levels compared to placebo. Additionally, carrageenan was associated with increased intestinal permeability. In vitro natural killer (NK-)cell activation and increased pro-inflammatory cytokine release were found after carrageenan exposure in the participant’s peripheral blood mononuclear cells. Conclusions: These findings suggest that carrageenan, a common food additive, may contribute to insulin resistance and subclinical inflammation in overweight individuals through pro-inflammatory mechanisms in the gut. Further investigation into the long-term health impacts of carrageenan and other food additives is warranted. Trial registration: NCT02629705.","author":[{"dropping-particle":"","family":"Wagner","given":"Robert","non-dropping-particle":"","parse-names":false,"suffix":""},{"dropping-particle":"","family":"Buettner","given":"Janine","non-dropping-particle":"","parse-names":false,"suffix":""},{"dropping-particle":"","family":"Heni","given":"Martin","non-dropping-particle":"","parse-names":false,"suffix":""},{"dropping-particle":"","family":"Fritsche","given":"Louise","non-dropping-particle":"","parse-names":false,"suffix":""},{"dropping-particle":"","family":"Kullmann","given":"Stephanie","non-dropping-particle":"","parse-names":false,"suffix":""},{"dropping-particle":"","family":"Wagmüller","given":"Moritz","non-dropping-particle":"","parse-names":false,"suffix":""},{"dropping-particle":"","family":"Peter","given":"Andreas","non-dropping-particle":"","parse-names":false,"suffix":""},{"dropping-particle":"","family":"Preissl","given":"Hubert","non-dropping-particle":"","parse-names":false,"suffix":""},{"dropping-particle":"","family":"Machann","given":"Jürgen","non-dropping-particle":"","parse-names":false,"suffix":""},{"dropping-particle":"","family":"Jumpertz von Schwartzenberg","given":"Reiner","non-dropping-particle":"","parse-names":false,"suffix":""},{"dropping-particle":"","family":"Birkenfeld","given":"Andreas L.","non-dropping-particle":"","parse-names":false,"suffix":""},{"dropping-particle":"","family":"Pape","given":"Ulrich Frank","non-dropping-particle":"","parse-names":false,"suffix":""},{"dropping-particle":"","family":"Hall","given":"Gerrit","non-dropping-particle":"van","parse-names":false,"suffix":""},{"dropping-particle":"","family":"Plomgaard","given":"Peter","non-dropping-particle":"","parse-names":false,"suffix":""},{"dropping-particle":"","family":"Häring","given":"Hans Ulrich","non-dropping-particle":"","parse-names":false,"suffix":""},{"dropping-particle":"","family":"Fritsche","given":"Andreas","non-dropping-particle":"","parse-names":false,"suffix":""},{"dropping-particle":"","family":"Thompson","given":"Kelsey N.","non-dropping-particle":"","parse-names":false,"suffix":""},{"dropping-particle":"","family":"Klein","given":"Reinhild","non-dropping-particle":"","parse-names":false,"suffix":""},{"dropping-particle":"","family":"Stefan","given":"Norbert","non-dropping-particle":"","parse-names":false,"suffix":""}],"container-title":"BMC Medicine","id":"ITEM-1","issue":"1","issued":{"date-parts":[["2024","12","1"]]},"publisher":"BioMed Central Ltd","title":"Carrageenan and insulin resistance in humans: a randomised double-blind cross-over trial","type":"article-journal","volume":"22"},"uris":["http://www.mendeley.com/documents/?uuid=60614bdd-b10a-36fe-bb3e-258719e8c290"]},{"id":"ITEM-2","itemData":{"DOI":"10.1038/S42255-025-01226-9","ISSN":"25225812","PMID":"39984682","abstract":"Brain insulin responsiveness is linked to long-term weight gain and unhealthy body fat distribution. Here we show that short-term overeating with calorie-rich sweet and fatty foods triggers liver fat accumulation and disrupted brain insulin action that outlasted the time-frame of its consumption in healthy weight men. Hence, brain response to insulin can adapt to short-term changes in diet before weight gain and may facilitate the development of obesity and associated diseases.","author":[{"dropping-particle":"","family":"Kullmann","given":"Stephanie","non-dropping-particle":"","parse-names":false,"suffix":""},{"dropping-particle":"","family":"Wagner","given":"Lore","non-dropping-particle":"","parse-names":false,"suffix":""},{"dropping-particle":"","family":"Hauffe","given":"Robert","non-dropping-particle":"","parse-names":false,"suffix":""},{"dropping-particle":"","family":"Kühnel","given":"Anne","non-dropping-particle":"","parse-names":false,"suffix":""},{"dropping-particle":"","family":"Sandforth","given":"Leontine","non-dropping-particle":"","parse-names":false,"suffix":""},{"dropping-particle":"","family":"Veit","given":"Ralf","non-dropping-particle":"","parse-names":false,"suffix":""},{"dropping-particle":"","family":"Dannecker","given":"Corinna","non-dropping-particle":"","parse-names":false,"suffix":""},{"dropping-particle":"","family":"Machann","given":"Jürgen","non-dropping-particle":"","parse-names":false,"suffix":""},{"dropping-particle":"","family":"Fritsche","given":"Andreas","non-dropping-particle":"","parse-names":false,"suffix":""},{"dropping-particle":"","family":"Stefan","given":"Nobert","non-dropping-particle":"","parse-names":false,"suffix":""},{"dropping-particle":"","family":"Preissl","given":"Hubert","non-dropping-particle":"","parse-names":false,"suffix":""},{"dropping-particle":"","family":"Kroemer","given":"Nils B.","non-dropping-particle":"","parse-names":false,"suffix":""},{"dropping-particle":"","family":"Heni","given":"Martin","non-dropping-particle":"","parse-names":false,"suffix":""},{"dropping-particle":"","family":"Kleinridders","given":"André","non-dropping-particle":"","parse-names":false,"suffix":""},{"dropping-particle":"","family":"Birkenfeld","given":"Andreas L.","non-dropping-particle":"","parse-names":false,"suffix":""}],"container-title":"Nature Metabolism","id":"ITEM-2","issue":"3","issued":{"date-parts":[["2025","3","1"]]},"page":"469","publisher":"Nature Research","title":"A short-term, high-caloric diet has prolonged effects on brain insulin action in men","type":"article-journal","volume":"7"},"uris":["http://www.mendeley.com/documents/?uuid=8b2cfe8b-da7e-3c9e-a29a-73e5f11f74f4"]},{"id":"ITEM-3","itemData":{"DOI":"10.1016/S2213-8587(23)00286-3","ISSN":"22138595","PMID":"37866366","author":[{"dropping-particle":"","family":"Hummel","given":"Julia","non-dropping-particle":"","parse-names":false,"suffix":""},{"dropping-particle":"","family":"Kullmann","given":"Stephanie","non-dropping-particle":"","parse-names":false,"suffix":""},{"dropping-particle":"","family":"Wagner","given":"Róbert","non-dropping-particle":"","parse-names":false,"suffix":""},{"dropping-particle":"","family":"Heni","given":"Martin","non-dropping-particle":"","parse-names":false,"suffix":""}],"container-title":"The Lancet Diabetes and Endocrinology","id":"ITEM-3","issue":"12","issued":{"date-parts":[["2023","12","1"]]},"page":"883-884","publisher":"Elsevier Ltd","title":"Glycaemic fluctuations across the menstrual cycle: possible effect of the brain","type":"article-journal","volume":"11"},"uris":["http://www.mendeley.com/documents/?uuid=34766230-db60-3f22-ab9b-c2a01ddca528"]}],"mendeley":{"formattedCitation":"&lt;i&gt;(60–62)&lt;/i&gt;","plainTextFormattedCitation":"(60–62)","previouslyFormattedCitation":"&lt;i&gt;(60–62)&lt;/i&gt;"},"properties":{"noteIndex":0},"schema":"https://github.com/citation-style-language/schema/raw/master/csl-citation.json"}</w:instrText>
      </w:r>
      <w:r w:rsidR="00E45487">
        <w:rPr>
          <w:sz w:val="24"/>
          <w:szCs w:val="24"/>
        </w:rPr>
        <w:fldChar w:fldCharType="separate"/>
      </w:r>
      <w:r w:rsidR="00E45487" w:rsidRPr="00E45487">
        <w:rPr>
          <w:i/>
          <w:noProof/>
          <w:sz w:val="24"/>
          <w:szCs w:val="24"/>
        </w:rPr>
        <w:t>(60–62)</w:t>
      </w:r>
      <w:r w:rsidR="00E45487">
        <w:rPr>
          <w:sz w:val="24"/>
          <w:szCs w:val="24"/>
        </w:rPr>
        <w:fldChar w:fldCharType="end"/>
      </w:r>
      <w:r w:rsidR="00C83BAB">
        <w:rPr>
          <w:sz w:val="24"/>
          <w:szCs w:val="24"/>
        </w:rPr>
        <w:t xml:space="preserve"> and belonging to different clinical trial </w:t>
      </w:r>
      <w:r w:rsidR="00C83BAB" w:rsidRPr="00023012">
        <w:rPr>
          <w:sz w:val="24"/>
          <w:szCs w:val="24"/>
        </w:rPr>
        <w:t>NCT04372849</w:t>
      </w:r>
      <w:r w:rsidR="00C83BAB">
        <w:rPr>
          <w:sz w:val="24"/>
          <w:szCs w:val="24"/>
        </w:rPr>
        <w:t xml:space="preserve">, </w:t>
      </w:r>
      <w:r w:rsidR="00C83BAB" w:rsidRPr="00023012">
        <w:rPr>
          <w:sz w:val="24"/>
          <w:szCs w:val="24"/>
        </w:rPr>
        <w:t>NCT01797601</w:t>
      </w:r>
      <w:r w:rsidR="00C83BAB">
        <w:rPr>
          <w:sz w:val="24"/>
          <w:szCs w:val="24"/>
        </w:rPr>
        <w:t>,</w:t>
      </w:r>
      <w:r w:rsidR="00C83BAB" w:rsidRPr="00023012">
        <w:rPr>
          <w:sz w:val="24"/>
          <w:szCs w:val="24"/>
        </w:rPr>
        <w:t xml:space="preserve"> NCT03227484</w:t>
      </w:r>
      <w:r w:rsidR="00C83BAB">
        <w:rPr>
          <w:sz w:val="24"/>
          <w:szCs w:val="24"/>
        </w:rPr>
        <w:t xml:space="preserve">, </w:t>
      </w:r>
      <w:r w:rsidR="00C83BAB" w:rsidRPr="00023012">
        <w:rPr>
          <w:sz w:val="24"/>
          <w:szCs w:val="24"/>
        </w:rPr>
        <w:t>NCT03151590</w:t>
      </w:r>
      <w:r w:rsidR="00C83BAB">
        <w:rPr>
          <w:sz w:val="24"/>
          <w:szCs w:val="24"/>
        </w:rPr>
        <w:t xml:space="preserve">, </w:t>
      </w:r>
      <w:r w:rsidR="00C83BAB" w:rsidRPr="00493918">
        <w:rPr>
          <w:color w:val="0069A6"/>
          <w:sz w:val="24"/>
          <w:szCs w:val="24"/>
          <w:lang w:val="en-GB"/>
        </w:rPr>
        <w:t>NCT03590561</w:t>
      </w:r>
      <w:r w:rsidR="00C83BAB" w:rsidRPr="00493918">
        <w:rPr>
          <w:color w:val="000000"/>
          <w:sz w:val="24"/>
          <w:szCs w:val="24"/>
          <w:lang w:val="en-GB"/>
        </w:rPr>
        <w:t>, NCT03929419, NCT02629705</w:t>
      </w:r>
      <w:r w:rsidRPr="001533EC">
        <w:rPr>
          <w:sz w:val="24"/>
          <w:szCs w:val="24"/>
        </w:rPr>
        <w:t xml:space="preserve">. </w:t>
      </w:r>
      <w:r w:rsidRPr="001533EC">
        <w:rPr>
          <w:rFonts w:eastAsia="GuardianSansGR-Regular"/>
          <w:sz w:val="24"/>
          <w:szCs w:val="24"/>
        </w:rPr>
        <w:t>The stud</w:t>
      </w:r>
      <w:r>
        <w:rPr>
          <w:rFonts w:eastAsia="GuardianSansGR-Regular"/>
          <w:sz w:val="24"/>
          <w:szCs w:val="24"/>
        </w:rPr>
        <w:t>ies were</w:t>
      </w:r>
      <w:r w:rsidRPr="001533EC">
        <w:rPr>
          <w:rFonts w:eastAsia="GuardianSansGR-Regular"/>
          <w:sz w:val="24"/>
          <w:szCs w:val="24"/>
        </w:rPr>
        <w:t xml:space="preserve"> </w:t>
      </w:r>
      <w:r>
        <w:rPr>
          <w:rFonts w:eastAsia="GuardianSansGR-Regular"/>
          <w:sz w:val="24"/>
          <w:szCs w:val="24"/>
        </w:rPr>
        <w:t>a</w:t>
      </w:r>
      <w:r w:rsidRPr="001533EC">
        <w:rPr>
          <w:rFonts w:eastAsia="GuardianSansGR-Regular"/>
          <w:sz w:val="24"/>
          <w:szCs w:val="24"/>
        </w:rPr>
        <w:t xml:space="preserve"> basic experimental study </w:t>
      </w:r>
      <w:r w:rsidRPr="001533EC">
        <w:rPr>
          <w:rFonts w:eastAsia="GuardianSansGR-Regular"/>
          <w:sz w:val="24"/>
          <w:szCs w:val="24"/>
        </w:rPr>
        <w:lastRenderedPageBreak/>
        <w:t xml:space="preserve">involving humans (BESH). </w:t>
      </w:r>
      <w:r w:rsidRPr="001533EC">
        <w:rPr>
          <w:sz w:val="24"/>
          <w:szCs w:val="24"/>
        </w:rPr>
        <w:t>Written informed consent was obtained by all the participants before the onset of the study</w:t>
      </w:r>
      <w:r>
        <w:rPr>
          <w:sz w:val="24"/>
          <w:szCs w:val="24"/>
        </w:rPr>
        <w:t>.</w:t>
      </w:r>
    </w:p>
    <w:bookmarkEnd w:id="6"/>
    <w:p w14:paraId="1E789DDD" w14:textId="77777777" w:rsidR="00C361F6" w:rsidRPr="001533EC" w:rsidRDefault="00C361F6" w:rsidP="00C35B7A">
      <w:pPr>
        <w:spacing w:line="480" w:lineRule="auto"/>
        <w:jc w:val="both"/>
        <w:rPr>
          <w:b/>
          <w:sz w:val="24"/>
          <w:szCs w:val="24"/>
        </w:rPr>
      </w:pPr>
    </w:p>
    <w:p w14:paraId="7F5C5C79" w14:textId="654B8D4D" w:rsidR="00C35B7A" w:rsidRPr="001533EC" w:rsidRDefault="00C35B7A" w:rsidP="00C35B7A">
      <w:pPr>
        <w:spacing w:line="480" w:lineRule="auto"/>
        <w:jc w:val="both"/>
        <w:rPr>
          <w:b/>
          <w:sz w:val="24"/>
          <w:szCs w:val="24"/>
        </w:rPr>
      </w:pPr>
      <w:r w:rsidRPr="001533EC">
        <w:rPr>
          <w:b/>
          <w:sz w:val="24"/>
          <w:szCs w:val="24"/>
        </w:rPr>
        <w:t>Functional MRI</w:t>
      </w:r>
    </w:p>
    <w:p w14:paraId="1554937B" w14:textId="68C70513" w:rsidR="00C35B7A" w:rsidRPr="001533EC" w:rsidRDefault="00C35B7A" w:rsidP="00C35B7A">
      <w:pPr>
        <w:autoSpaceDE w:val="0"/>
        <w:autoSpaceDN w:val="0"/>
        <w:adjustRightInd w:val="0"/>
        <w:spacing w:line="480" w:lineRule="auto"/>
        <w:jc w:val="both"/>
        <w:rPr>
          <w:sz w:val="24"/>
          <w:szCs w:val="24"/>
        </w:rPr>
      </w:pPr>
      <w:r w:rsidRPr="001533EC">
        <w:rPr>
          <w:sz w:val="24"/>
          <w:szCs w:val="24"/>
        </w:rPr>
        <w:t>Scanning was conducted at 3 Tesla whole-body scanner (</w:t>
      </w:r>
      <w:proofErr w:type="spellStart"/>
      <w:r w:rsidRPr="001533EC">
        <w:rPr>
          <w:sz w:val="24"/>
          <w:szCs w:val="24"/>
        </w:rPr>
        <w:t>Magnetom</w:t>
      </w:r>
      <w:proofErr w:type="spellEnd"/>
      <w:r w:rsidRPr="001533EC">
        <w:rPr>
          <w:sz w:val="24"/>
          <w:szCs w:val="24"/>
        </w:rPr>
        <w:t xml:space="preserve"> Trio, A Tim System; Siemens Healthcare or </w:t>
      </w:r>
      <w:proofErr w:type="spellStart"/>
      <w:r w:rsidRPr="001533EC">
        <w:rPr>
          <w:sz w:val="24"/>
          <w:szCs w:val="24"/>
        </w:rPr>
        <w:t>Magnetom</w:t>
      </w:r>
      <w:proofErr w:type="spellEnd"/>
      <w:r w:rsidRPr="001533EC">
        <w:rPr>
          <w:sz w:val="24"/>
          <w:szCs w:val="24"/>
        </w:rPr>
        <w:t xml:space="preserve"> Prisma). To acquire cerebral blood flow (CBF) maps, pulsed arterial spin labeling (PASL) images were obtained, as detailed previously </w:t>
      </w:r>
      <w:r w:rsidR="00122188" w:rsidRPr="001533EC">
        <w:rPr>
          <w:rStyle w:val="Funotenzeichen"/>
          <w:sz w:val="24"/>
          <w:szCs w:val="24"/>
        </w:rPr>
        <w:fldChar w:fldCharType="begin" w:fldLock="1"/>
      </w:r>
      <w:r w:rsidR="0017498C">
        <w:rPr>
          <w:sz w:val="24"/>
          <w:szCs w:val="24"/>
        </w:rPr>
        <w:instrText>ADDIN CSL_CITATION {"citationItems":[{"id":"ITEM-1","itemData":{"DOI":"10.1111/dom.15094","ISSN":"1463-1326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metabolism","id":"ITEM-1","issue":"8","issued":{"date-parts":[["2023","8"]]},"language":"eng","page":"2171-2180","publisher-place":"England","title":"Brain insulin responsiveness is linked to age and peripheral insulin sensitivity.","type":"article-journal","volume":"25"},"uris":["http://www.mendeley.com/documents/?uuid=015f0716-46d7-3ffd-ae45-d9358a530a50"]}],"mendeley":{"formattedCitation":"&lt;i&gt;(34)&lt;/i&gt;","plainTextFormattedCitation":"(34)","previouslyFormattedCitation":"&lt;i&gt;(34)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(34)</w:t>
      </w:r>
      <w:r w:rsidR="00122188" w:rsidRPr="001533EC">
        <w:rPr>
          <w:rStyle w:val="Funotenzeichen"/>
          <w:sz w:val="24"/>
          <w:szCs w:val="24"/>
        </w:rPr>
        <w:fldChar w:fldCharType="end"/>
      </w:r>
      <w:r w:rsidRPr="001533EC">
        <w:rPr>
          <w:sz w:val="24"/>
          <w:szCs w:val="24"/>
        </w:rPr>
        <w:t>. CBF was acquired at baseline in the fasted state and 30 minutes after 160 IU of nasal insulin. The insulin dose was chosen based on previous work, as 160</w:t>
      </w:r>
      <w:r w:rsidR="00D138B5">
        <w:rPr>
          <w:sz w:val="24"/>
          <w:szCs w:val="24"/>
        </w:rPr>
        <w:t xml:space="preserve"> </w:t>
      </w:r>
      <w:r w:rsidRPr="001533EC">
        <w:rPr>
          <w:sz w:val="24"/>
          <w:szCs w:val="24"/>
        </w:rPr>
        <w:t>U induced the most prominent acute effect on hypothalamic blood flow</w:t>
      </w:r>
      <w:r w:rsidR="00383B56"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{"citationItems":[{"id":"ITEM-1","itemData":{"DOI":"10.1210/jc.2017-01976","ISSN":"1945-7197 (Electronic)","PMID":"29095982","abstract":"CONTEXT: Insulin action in the human brain influences eating behavior, cognition,  and whole-body metabolism. Studies investigating brain insulin rely on intranasal application. OBJECTIVE: To investigate effects of three doses of insulin and placebo as nasal sprays on the central and autonomous nervous system and analyze absorption of insulin into the bloodstream. DESIGN, PARTICIPANTS, AND METHODS: Nine healthy men received placebo or 40 U, 80 U, and 160 U insulin spray in randomized order. Before and after spray, brain activity was assessed by functional magnetic resonance imaging, and heart rate variability (HRV) was assessed from electrocardiogram. Plasma insulin, C-peptide, and glucose were measured regularly. SETTING: General community. RESULTS: Nasal insulin administration dose-dependently modulated regional brain activity and the normalized high-frequency component of the HRV. Post hoc analyses revealed that only 160 U insulin showed a considerable difference from placebo. Dose-dependent spillover of nasal insulin into the bloodstream was detected. The brain response was not correlated with this temporary rise in circulating insulin. CONCLUSIONS: Nasal insulin dose-dependently modulated regional brain activity with the strongest effects after 160 U. However, this dose was accompanied by a transient increase in circulating insulin concentrations due to a spillover into circulation. Our current results may serve as a basis for future studies with nasal insulin to untangle brain insulin effects in health and disease.","author":[{"dropping-particle":"","family":"Kullmann","given":"Stephanie","non-dropping-particle":"","parse-names":false,"suffix":""},{"dropping-particle":"","family":"Veit","given":"Ralf","non-dropping-particle":"","parse-names":false,"suffix":""},{"dropping-particle":"","family":"Peter","given":"Andreas","non-dropping-particle":"","parse-names":false,"suffix":""},{"dropping-particle":"","family":"Pohmann","given":"Rolf","non-dropping-particle":"","parse-names":false,"suffix":""},{"dropping-particle":"","family":"Scheffler","given":"Klaus","non-dropping-particle":"","parse-names":false,"suffix":""},{"dropping-particle":"","family":"Häring","given":"Hans-Ulrich","non-dropping-particle":"","parse-names":false,"suffix":""},{"dropping-particle":"","family":"Fritsche","given":"Andreas","non-dropping-particle":"","parse-names":false,"suffix":""},{"dropping-particle":"","family":"Preissl","given":"Hubert","non-dropping-particle":"","parse-names":false,"suffix":""},{"dropping-particle":"","family":"Heni","given":"Martin","non-dropping-particle":"","parse-names":false,"suffix":""}],"container-title":"The Journal of clinical endocrinology and metabolism","id":"ITEM-1","issue":"1","issued":{"date-parts":[["2018","1"]]},"language":"eng","page":"253-262","publisher-place":"United States","title":"Dose-Dependent Effects of Intranasal Insulin on Resting-State Brain Activity.","type":"article-journal","volume":"103"},"uris":["http://www.mendeley.com/documents/?uuid=159f1686-16b7-471e-8b77-1d10284ba0aa"]}],"mendeley":{"formattedCitation":"&lt;i&gt;(19)&lt;/i&gt;","plainTextFormattedCitation":"(19)","previouslyFormattedCitation":"&lt;i&gt;(19)&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(19)</w:t>
      </w:r>
      <w:r w:rsidR="00122188" w:rsidRPr="001533EC">
        <w:rPr>
          <w:rStyle w:val="Funotenzeichen"/>
          <w:sz w:val="24"/>
          <w:szCs w:val="24"/>
        </w:rPr>
        <w:fldChar w:fldCharType="end"/>
      </w:r>
      <w:r w:rsidRPr="001533EC">
        <w:rPr>
          <w:rFonts w:cstheme="minorHAnsi"/>
          <w:sz w:val="24"/>
          <w:szCs w:val="24"/>
        </w:rPr>
        <w:t xml:space="preserve">. </w:t>
      </w:r>
      <w:r w:rsidRPr="001533EC">
        <w:rPr>
          <w:sz w:val="24"/>
          <w:szCs w:val="24"/>
        </w:rPr>
        <w:t xml:space="preserve">Image preprocessing was performed by using the </w:t>
      </w:r>
      <w:proofErr w:type="spellStart"/>
      <w:r w:rsidRPr="001533EC">
        <w:rPr>
          <w:sz w:val="24"/>
          <w:szCs w:val="24"/>
        </w:rPr>
        <w:t>ASLtbx</w:t>
      </w:r>
      <w:proofErr w:type="spellEnd"/>
      <w:r w:rsidRPr="001533EC">
        <w:rPr>
          <w:sz w:val="24"/>
          <w:szCs w:val="24"/>
        </w:rPr>
        <w:t xml:space="preserve"> with SPM12 (</w:t>
      </w:r>
      <w:proofErr w:type="spellStart"/>
      <w:r w:rsidRPr="001533EC">
        <w:rPr>
          <w:sz w:val="24"/>
          <w:szCs w:val="24"/>
        </w:rPr>
        <w:t>Wellcome</w:t>
      </w:r>
      <w:proofErr w:type="spellEnd"/>
      <w:r w:rsidRPr="001533EC">
        <w:rPr>
          <w:sz w:val="24"/>
          <w:szCs w:val="24"/>
        </w:rPr>
        <w:t xml:space="preserve"> Trust Centre for Neuroimaging) (for details see </w:t>
      </w:r>
      <w:r w:rsidR="00122188" w:rsidRPr="001533EC">
        <w:rPr>
          <w:rStyle w:val="Funotenzeichen"/>
          <w:sz w:val="24"/>
          <w:szCs w:val="24"/>
        </w:rPr>
        <w:fldChar w:fldCharType="begin" w:fldLock="1"/>
      </w:r>
      <w:r w:rsidR="0017498C">
        <w:rPr>
          <w:sz w:val="24"/>
          <w:szCs w:val="24"/>
        </w:rPr>
        <w:instrText>ADDIN CSL_CITATION {"citationItems":[{"id":"ITEM-1","itemData":{"DOI":"10.1111/dom.15094","ISSN":"1463-1326 (Electronic)","PMID":"37046367","abstract":"AIMS: Insulin action in the brain influences cognitive processes, peripheral  metabolism and eating behaviour. However, the influence of age and peripheral insulin sensitivity on brain insulin action remains unclear. MATERIALS AND METHODS: We used intranasal administration of insulin and functional magnetic resonance imaging in a randomized, placebo-controlled within-subject design in 110 participants (54 women, body mass index 18-49 kg/m(2) , age 21-74 years). Cerebral blood flow was measured before and after nasal spray application to assess brain insulin action. Peripheral insulin sensitivity was assessed by a five-point oral glucose tolerance test. Linear regressions were used to investigate associations between age and peripheral insulin sensitivity with brain insulin action in predefined region of interests (i.e. insulin-sensitive brain regions). RESULTS: We found significant negative associations between age and insulin action in the hippocampus (β = -0.215; p = .017) and caudate nucleus (β = -0.184; p = .047); and between peripheral insulin sensitivity and insulin action in the amygdala (β = -0.190, p = .023). Insulin action in the insular cortex showed an interaction effect between age and peripheral insulin sensitivity (β = -0.219 p = .005). Furthermore, women showed the strongest negative association between age and hippocampal insulin action, while men showed the strongest associations with peripheral insulin sensitivity and age in reward-related brain regions. CONCLUSION: We could show a region-specific relationship between brain insulin responsiveness, age and peripheral insulin sensitivity. Our findings underline the need to study brain insulin action in both men and women and further substantiate that brain insulin sensitivity is a possible link between systemic metabolism and neurocognitive functions.","author":[{"dropping-particle":"","family":"Wagner","given":"Lore","non-dropping-particle":"","parse-names":false,"suffix":""},{"dropping-particle":"","family":"Veit","given":"Ralf","non-dropping-particle":"","parse-names":false,"suffix":""},{"dropping-particle":"","family":"Kübler","given":"Christian","non-dropping-particle":"","parse-names":false,"suffix":""},{"dropping-particle":"","family":"Fritsche","given":"Andreas","non-dropping-particle":"","parse-names":false,"suffix":""},{"dropping-particle":"","family":"Häring","given":"Hans-Ulrich","non-dropping-particle":"","parse-names":false,"suffix":""},{"dropping-particle":"","family":"Birkenfeld","given":"Andreas L","non-dropping-particle":"","parse-names":false,"suffix":""},{"dropping-particle":"","family":"Heni","given":"Martin","non-dropping-particle":"","parse-names":false,"suffix":""},{"dropping-particle":"","family":"Preissl","given":"Hubert","non-dropping-particle":"","parse-names":false,"suffix":""},{"dropping-particle":"","family":"Kullmann","given":"Stephanie","non-dropping-particle":"","parse-names":false,"suffix":""}],"container-title":"Diabetes, obesity &amp; metabolism","id":"ITEM-1","issue":"8","issued":{"date-parts":[["2023","8"]]},"language":"eng","page":"2171-2180","publisher-place":"England","title":"Brain insulin responsiveness is linked to age and peripheral insulin sensitivity.","type":"article-journal","volume":"25"},"uris":["http://www.mendeley.com/documents/?uuid=015f0716-46d7-3ffd-ae45-d9358a530a50"]}],"mendeley":{"formattedCitation":"&lt;i&gt;(34)&lt;/i&gt;","plainTextFormattedCitation":"(34)","previouslyFormattedCitation":"&lt;i&gt;(34)&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(34)</w:t>
      </w:r>
      <w:r w:rsidR="00122188" w:rsidRPr="001533EC">
        <w:rPr>
          <w:rStyle w:val="Funotenzeichen"/>
          <w:sz w:val="24"/>
          <w:szCs w:val="24"/>
        </w:rPr>
        <w:fldChar w:fldCharType="end"/>
      </w:r>
      <w:r w:rsidRPr="001533EC">
        <w:rPr>
          <w:sz w:val="24"/>
          <w:szCs w:val="24"/>
        </w:rPr>
        <w:t xml:space="preserve">). CBF values of each measurement were extracted for the hypothalamus. The hypothalamus mask was based on the </w:t>
      </w:r>
      <w:proofErr w:type="spellStart"/>
      <w:r w:rsidRPr="001533EC">
        <w:rPr>
          <w:i/>
          <w:sz w:val="24"/>
          <w:szCs w:val="24"/>
        </w:rPr>
        <w:t>wfu</w:t>
      </w:r>
      <w:proofErr w:type="spellEnd"/>
      <w:r w:rsidRPr="001533EC">
        <w:rPr>
          <w:sz w:val="24"/>
          <w:szCs w:val="24"/>
        </w:rPr>
        <w:t xml:space="preserve"> pick atlas (</w:t>
      </w:r>
      <w:r w:rsidRPr="00473A45">
        <w:rPr>
          <w:sz w:val="24"/>
          <w:szCs w:val="24"/>
        </w:rPr>
        <w:fldChar w:fldCharType="begin"/>
      </w:r>
      <w:r w:rsidRPr="00473A45">
        <w:rPr>
          <w:sz w:val="24"/>
          <w:szCs w:val="24"/>
        </w:rPr>
        <w:instrText xml:space="preserve"> https://www.nitrc.org/projects/wfu_pickatlas/" </w:instrText>
      </w:r>
      <w:r w:rsidRPr="00473A45">
        <w:rPr>
          <w:sz w:val="24"/>
          <w:szCs w:val="24"/>
        </w:rPr>
        <w:fldChar w:fldCharType="end"/>
      </w:r>
      <w:hyperlink r:id="rId12" w:history="1">
        <w:r w:rsidRPr="00473A45">
          <w:rPr>
            <w:rStyle w:val="Hyperlink"/>
            <w:color w:val="auto"/>
            <w:sz w:val="24"/>
            <w:szCs w:val="24"/>
          </w:rPr>
          <w:t>https://www.nitrc.org/projects/wfu_pickatlas</w:t>
        </w:r>
      </w:hyperlink>
      <w:r w:rsidRPr="001533EC">
        <w:rPr>
          <w:sz w:val="24"/>
          <w:szCs w:val="24"/>
        </w:rPr>
        <w:t>).</w:t>
      </w:r>
    </w:p>
    <w:p w14:paraId="68AAA388" w14:textId="77777777" w:rsidR="00C35B7A" w:rsidRPr="001533EC" w:rsidRDefault="00C35B7A" w:rsidP="00C35B7A">
      <w:pPr>
        <w:spacing w:line="480" w:lineRule="auto"/>
        <w:jc w:val="both"/>
        <w:rPr>
          <w:sz w:val="24"/>
          <w:szCs w:val="24"/>
        </w:rPr>
      </w:pPr>
      <w:r w:rsidRPr="001533EC">
        <w:rPr>
          <w:sz w:val="24"/>
          <w:szCs w:val="24"/>
        </w:rPr>
        <w:t>We used the hypothalamic blood flow response from before to 30 min after 160 IU intranasal insulin, adjusted for global cerebral blood flow, as the classifier for brain insulin sensitivity (</w:t>
      </w:r>
      <w:proofErr w:type="spellStart"/>
      <w:r w:rsidRPr="001533EC">
        <w:rPr>
          <w:sz w:val="24"/>
          <w:szCs w:val="24"/>
        </w:rPr>
        <w:t>ΔCBFn</w:t>
      </w:r>
      <w:proofErr w:type="spellEnd"/>
      <w:r w:rsidRPr="001533EC">
        <w:rPr>
          <w:sz w:val="24"/>
          <w:szCs w:val="24"/>
        </w:rPr>
        <w:t xml:space="preserve">-Hypothalamus). Only participants with a negative insulin-induced hypothalamus index were grouped as brain insulin sensitive, all others as brain insulin resistant. </w:t>
      </w:r>
    </w:p>
    <w:p w14:paraId="4E784ADD" w14:textId="77777777" w:rsidR="00C361F6" w:rsidRPr="001533EC" w:rsidRDefault="00C361F6" w:rsidP="00C35B7A">
      <w:pPr>
        <w:spacing w:line="480" w:lineRule="auto"/>
        <w:jc w:val="both"/>
        <w:rPr>
          <w:b/>
          <w:sz w:val="24"/>
        </w:rPr>
      </w:pPr>
      <w:bookmarkStart w:id="7" w:name="_Hlk179300769"/>
    </w:p>
    <w:p w14:paraId="75508E0A" w14:textId="46B5FB58" w:rsidR="00C35B7A" w:rsidRPr="001533EC" w:rsidRDefault="00C35B7A" w:rsidP="00C35B7A">
      <w:pPr>
        <w:spacing w:line="480" w:lineRule="auto"/>
        <w:jc w:val="both"/>
        <w:rPr>
          <w:b/>
          <w:sz w:val="24"/>
        </w:rPr>
      </w:pPr>
      <w:r w:rsidRPr="001533EC">
        <w:rPr>
          <w:b/>
          <w:sz w:val="24"/>
        </w:rPr>
        <w:t xml:space="preserve">Genome-wide DNA methylation profiling </w:t>
      </w:r>
      <w:bookmarkEnd w:id="7"/>
    </w:p>
    <w:p w14:paraId="2E661C94" w14:textId="5E9D411C" w:rsidR="00C35B7A" w:rsidRPr="001533EC" w:rsidRDefault="00C35B7A" w:rsidP="00C35B7A">
      <w:pPr>
        <w:spacing w:line="480" w:lineRule="auto"/>
        <w:jc w:val="both"/>
        <w:rPr>
          <w:sz w:val="24"/>
          <w:szCs w:val="24"/>
        </w:rPr>
      </w:pPr>
      <w:r w:rsidRPr="001533EC">
        <w:rPr>
          <w:sz w:val="24"/>
          <w:szCs w:val="24"/>
        </w:rPr>
        <w:t xml:space="preserve">Genomic DNA was isolated from blood cells via precipitation with sodium acetate. </w:t>
      </w:r>
      <w:r w:rsidR="00B53A1C" w:rsidRPr="001533EC">
        <w:rPr>
          <w:sz w:val="24"/>
          <w:szCs w:val="24"/>
        </w:rPr>
        <w:t xml:space="preserve">The measurement of </w:t>
      </w:r>
      <w:r w:rsidRPr="001533EC">
        <w:rPr>
          <w:sz w:val="24"/>
          <w:szCs w:val="24"/>
        </w:rPr>
        <w:t xml:space="preserve">DNA methylation, after bisulfite treatment, were determined by the Infinium </w:t>
      </w:r>
      <w:proofErr w:type="spellStart"/>
      <w:r w:rsidRPr="001533EC">
        <w:rPr>
          <w:sz w:val="24"/>
          <w:szCs w:val="24"/>
        </w:rPr>
        <w:t>MethylationEPIC</w:t>
      </w:r>
      <w:proofErr w:type="spellEnd"/>
      <w:r w:rsidRPr="001533EC">
        <w:rPr>
          <w:sz w:val="24"/>
          <w:szCs w:val="24"/>
        </w:rPr>
        <w:t xml:space="preserve"> </w:t>
      </w:r>
      <w:proofErr w:type="spellStart"/>
      <w:r w:rsidRPr="001533EC">
        <w:rPr>
          <w:sz w:val="24"/>
          <w:szCs w:val="24"/>
        </w:rPr>
        <w:t>BeadChip</w:t>
      </w:r>
      <w:proofErr w:type="spellEnd"/>
      <w:r w:rsidRPr="001533EC">
        <w:rPr>
          <w:sz w:val="24"/>
          <w:szCs w:val="24"/>
        </w:rPr>
        <w:t xml:space="preserve"> (EPIC</w:t>
      </w:r>
      <w:r w:rsidR="00EA5493">
        <w:rPr>
          <w:sz w:val="24"/>
          <w:szCs w:val="24"/>
        </w:rPr>
        <w:t xml:space="preserve"> </w:t>
      </w:r>
      <w:r w:rsidRPr="001533EC">
        <w:rPr>
          <w:sz w:val="24"/>
          <w:szCs w:val="24"/>
        </w:rPr>
        <w:t>v</w:t>
      </w:r>
      <w:r w:rsidR="00EA5493">
        <w:rPr>
          <w:sz w:val="24"/>
          <w:szCs w:val="24"/>
        </w:rPr>
        <w:t xml:space="preserve">ersion </w:t>
      </w:r>
      <w:r w:rsidRPr="001533EC">
        <w:rPr>
          <w:sz w:val="24"/>
          <w:szCs w:val="24"/>
        </w:rPr>
        <w:t>1.0, 850K</w:t>
      </w:r>
      <w:r w:rsidR="00EA5493">
        <w:rPr>
          <w:sz w:val="24"/>
          <w:szCs w:val="24"/>
        </w:rPr>
        <w:t xml:space="preserve"> for discovery, replication I and EPIC- Potsdam Replication II</w:t>
      </w:r>
      <w:r w:rsidR="00BC3ED5">
        <w:rPr>
          <w:sz w:val="24"/>
          <w:szCs w:val="24"/>
        </w:rPr>
        <w:t xml:space="preserve"> with EPIC version 2.0, 930K).</w:t>
      </w:r>
      <w:r w:rsidRPr="001533EC">
        <w:rPr>
          <w:sz w:val="24"/>
          <w:szCs w:val="24"/>
        </w:rPr>
        <w:t xml:space="preserve"> Bisulfite treatment and array hybridization were assessed by LIFE &amp; BRAIN GENOMICS GmbH. </w:t>
      </w:r>
      <w:r w:rsidR="00EC7AD0">
        <w:rPr>
          <w:sz w:val="24"/>
          <w:szCs w:val="24"/>
        </w:rPr>
        <w:t>D</w:t>
      </w:r>
      <w:r w:rsidRPr="001533EC">
        <w:rPr>
          <w:sz w:val="24"/>
          <w:szCs w:val="24"/>
        </w:rPr>
        <w:t>ata were processed using R (v.4) packages “</w:t>
      </w:r>
      <w:proofErr w:type="spellStart"/>
      <w:r w:rsidRPr="001533EC">
        <w:rPr>
          <w:sz w:val="24"/>
          <w:szCs w:val="24"/>
        </w:rPr>
        <w:t>meffil</w:t>
      </w:r>
      <w:proofErr w:type="spellEnd"/>
      <w:r w:rsidRPr="001533EC">
        <w:rPr>
          <w:sz w:val="24"/>
          <w:szCs w:val="24"/>
        </w:rPr>
        <w:t>” (v.1.3.1) and “</w:t>
      </w:r>
      <w:proofErr w:type="spellStart"/>
      <w:r w:rsidRPr="001533EC">
        <w:rPr>
          <w:sz w:val="24"/>
          <w:szCs w:val="24"/>
        </w:rPr>
        <w:t>ChAMP</w:t>
      </w:r>
      <w:proofErr w:type="spellEnd"/>
      <w:r w:rsidRPr="001533EC">
        <w:rPr>
          <w:sz w:val="24"/>
          <w:szCs w:val="24"/>
        </w:rPr>
        <w:t>” (v. 2.24.0) as described earlier</w:t>
      </w:r>
      <w:r w:rsidR="00383B56"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{"citationItems":[{"id":"ITEM-1","itemData":{"DOI":"10.1016/j.molmet.2023.101774","ISSN":"2212-8778 (Electronic)","PMID":"37429525","abstract":"OBJECTIVES: Better disease management can be achieved with earlier detection  through robust, sensitive, and easily accessible biomarkers. The aim of the current study was to identify novel epigenetic biomarkers determining the risk of type 2 diabetes (T2D). METHODS: Livers of 10-week-old female New Zealand Obese (NZO) mice, slightly differing in their degree of hyperglycemia and liver fat content and thereby in their diabetes susceptibility were used for expression and methylation profiling. We screened for differences in hepatic expression and DNA methylation in diabetes-prone and -resistant mice, and verified a candidate (HAMP) in human livers and blood cells. Hamp expression was manipulated in primary hepatocytes and insulin-stimulated pAKT was detected. Luciferase reporter assays were conducted in a murine liver cell line to test the impact of DNA methylation on promoter activity. RESULTS: In livers of NZO mice, the overlap of methylome and transcriptome analyses revealed a potential transcriptional dysregulation of 12 hepatokines. The strongest effect with a 52% decreased expression in livers of diabetes-prone mice was detected for the Hamp gene, mediated by elevated DNA methylation of two CpG sites located in the promoter. Hamp encodes the iron-regulatory hormone hepcidin, which had a lower abundance in the livers of mice prone to developing diabetes. Suppression of Hamp reduces the levels of pAKT in insulin-treated hepatocytes. In liver biopsies of obese insulin-resistant women, HAMP expression was significantly downregulated along with increased DNA methylation of a homologous CpG site. In blood cells of incident T2D cases from the prospective EPIC-Potsdam cohort, higher DNA methylation of two CpG sites was related to increased risk of incident diabetes. CONCLUSIONS: We identified epigenetic changes in the HAMP gene which may be used as an early marker preceding T2D.","author":[{"dropping-particle":"","family":"Ouni","given":"Meriem","non-dropping-particle":"","parse-names":false,"suffix":""},{"dropping-particle":"","family":"Eichelmann","given":"Fabian","non-dropping-particle":"","parse-names":false,"suffix":""},{"dropping-particle":"","family":"Jähnert","given":"Markus","non-dropping-particle":"","parse-names":false,"suffix":""},{"dropping-particle":"","family":"Krause","given":"Christin","non-dropping-particle":"","parse-names":false,"suffix":""},{"dropping-particle":"","family":"Saussenthaler","given":"Sophie","non-dropping-particle":"","parse-names":false,"suffix":""},{"dropping-particle":"","family":"Ott","given":"Christiane","non-dropping-particle":"","parse-names":false,"suffix":""},{"dropping-particle":"","family":"Gottmann","given":"Pascal","non-dropping-particle":"","parse-names":false,"suffix":""},{"dropping-particle":"","family":"Speckmann","given":"Thilo","non-dropping-particle":"","parse-names":false,"suffix":""},{"dropping-particle":"","family":"Huypens","given":"Peter","non-dropping-particle":"","parse-names":false,"suffix":""},{"dropping-particle":"","family":"Wolter","given":"Stefan","non-dropping-particle":"","parse-names":false,"suffix":""},{"dropping-particle":"","family":"Mann","given":"Oliver","non-dropping-particle":"","parse-names":false,"suffix":""},{"dropping-particle":"","family":"Angelis","given":"Martin Hrabé","non-dropping-particle":"De","parse-names":false,"suffix":""},{"dropping-particle":"","family":"Beckers","given":"Johannes","non-dropping-particle":"","parse-names":false,"suffix":""},{"dropping-particle":"","family":"Kirchner","given":"Henriette","non-dropping-particle":"","parse-names":false,"suffix":""},{"dropping-particle":"","family":"Schulze","given":"Matthias B","non-dropping-particle":"","parse-names":false,"suffix":""},{"dropping-particle":"","family":"Schürmann","given":"Annette","non-dropping-particle":"","parse-names":false,"suffix":""}],"container-title":"Molecular metabolism","id":"ITEM-1","issued":{"date-parts":[["2023","9"]]},"language":"eng","page":"101774","publisher-place":"Germany","title":"Differences in DNA methylation of HAMP in blood cells predicts the development of  type 2 diabetes.","type":"article-journal","volume":"75"},"uris":["http://www.mendeley.com/documents/?uuid=fc988422-3679-450d-9ac1-398755de513c"]},{"id":"ITEM-2","itemData":{"DOI":"10.2337/db20-0204","ISSN":"0012-1797","abstract":"The identification of individuals with a high risk of developing type 2 diabetes (T2D) is fundamental for prevention. Here, we used a translational approach and prediction criteria to identify changes in DNA methylation visible before the development of T2D. Islets of Langerhans were isolated from genetically identical 10-week-old female New Zealand Obese mice, which differ in their degree of hyperglycemia and in liver fat content. The application of a semiexplorative approach identified 497 differentially expressed and methylated genes (P = 6.42e-09, hypergeometric test) enriched in pathways linked to insulin secretion and extracellular matrix-receptor interaction. The comparison of mouse data with DNA methylation levels of incident T2D cases from the prospective European Prospective Investigation of Cancer (EPIC)-Potsdam cohort, revealed 105 genes with altered DNA methylation at 605 cytosine-phosphate-guanine (CpG) sites, which were associated with future T2D. AKAP13, TENM2, CTDSPL, PTPRN2, and PTPRS showed the strongest predictive potential (area under the receiver operating characteristic curve values 0.62–0.73). Among the new candidates identified in blood cells, 655 CpG sites, located in 99 genes, were differentially methylated in islets of humans with T2D. Using correction for multiple testing detected 236 genes with an altered DNA methylation in blood cells and 201 genes in diabetic islets. Thus, the introduced translational approach identified novel putative biomarkers for early pancreatic islet aberrations preceding T2D.","author":[{"dropping-particle":"","family":"Ouni","given":"Meriem","non-dropping-particle":"","parse-names":false,"suffix":""},{"dropping-particle":"","family":"Saussenthaler","given":"Sophie","non-dropping-particle":"","parse-names":false,"suffix":""},{"dropping-particle":"","family":"Eichelmann","given":"Fabian","non-dropping-particle":"","parse-names":false,"suffix":""},{"dropping-particle":"","family":"Jähnert","given":"Markus","non-dropping-particle":"","parse-names":false,"suffix":""},{"dropping-particle":"","family":"Stadion","given":"Mandy","non-dropping-particle":"","parse-names":false,"suffix":""},{"dropping-particle":"","family":"Wittenbecher","given":"Clemens","non-dropping-particle":"","parse-names":false,"suffix":""},{"dropping-particle":"","family":"Rönn","given":"Tina","non-dropping-particle":"","parse-names":false,"suffix":""},{"dropping-particle":"","family":"Zellner","given":"Lisa","non-dropping-particle":"","parse-names":false,"suffix":""},{"dropping-particle":"","family":"Gottmann","given":"Pascal","non-dropping-particle":"","parse-names":false,"suffix":""},{"dropping-particle":"","family":"Ling","given":"Charlotte","non-dropping-particle":"","parse-names":false,"suffix":""},{"dropping-particle":"","family":"Schulze","given":"Matthias B","non-dropping-particle":"","parse-names":false,"suffix":""},{"dropping-particle":"","family":"Schürmann","given":"Annette","non-dropping-particle":"","parse-names":false,"suffix":""}],"container-title":"Diabetes","id":"ITEM-2","issue":"11","issued":{"date-parts":[["2020","8"]]},"page":"2503-2517","title":"Epigenetic Changes in Islets of Langerhans Preceding the Onset of Diabetes","type":"article-journal","volume":"69"},"uris":["http://www.mendeley.com/documents/?uuid=a0fbf9a0-15a6-4c1b-876b-490b35b8d5b1"]}],"mendeley":{"formattedCitation":"&lt;i&gt;(36, 37)&lt;/i&gt;","plainTextFormattedCitation":"(36, 37)","previouslyFormattedCitation":"&lt;i&gt;(36, 37)&lt;/i&gt;"},"properties":{"noteIndex":0},"schema":"https://github.com/citation-style-language/schema/raw/master/csl-citation.json"}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(36, 37)</w:t>
      </w:r>
      <w:r w:rsidR="00122188" w:rsidRPr="001533EC">
        <w:rPr>
          <w:rStyle w:val="Funotenzeichen"/>
          <w:sz w:val="24"/>
          <w:szCs w:val="24"/>
        </w:rPr>
        <w:fldChar w:fldCharType="end"/>
      </w:r>
      <w:r w:rsidRPr="001533EC">
        <w:rPr>
          <w:sz w:val="24"/>
          <w:szCs w:val="24"/>
        </w:rPr>
        <w:t xml:space="preserve">. </w:t>
      </w:r>
    </w:p>
    <w:p w14:paraId="1BE7CB76" w14:textId="77777777" w:rsidR="00B674F4" w:rsidRPr="001533EC" w:rsidRDefault="00B674F4" w:rsidP="00C35B7A">
      <w:pPr>
        <w:spacing w:line="480" w:lineRule="auto"/>
        <w:jc w:val="both"/>
        <w:rPr>
          <w:b/>
          <w:sz w:val="24"/>
        </w:rPr>
      </w:pPr>
    </w:p>
    <w:p w14:paraId="5C4B5027" w14:textId="1F51B05E" w:rsidR="0040171C" w:rsidRPr="001533EC" w:rsidRDefault="00046674" w:rsidP="00C35B7A">
      <w:pPr>
        <w:spacing w:line="480" w:lineRule="auto"/>
        <w:jc w:val="both"/>
        <w:rPr>
          <w:b/>
          <w:sz w:val="24"/>
        </w:rPr>
      </w:pPr>
      <w:r w:rsidRPr="001533EC">
        <w:rPr>
          <w:b/>
          <w:sz w:val="24"/>
        </w:rPr>
        <w:t>DNA methylation profiling with c</w:t>
      </w:r>
      <w:r w:rsidR="0040171C" w:rsidRPr="001533EC">
        <w:rPr>
          <w:b/>
          <w:sz w:val="24"/>
        </w:rPr>
        <w:t>ustomized enzymatic sequencing</w:t>
      </w:r>
    </w:p>
    <w:p w14:paraId="121538C8" w14:textId="20924059" w:rsidR="00B674F4" w:rsidRDefault="000741FB" w:rsidP="00C35B7A">
      <w:pPr>
        <w:spacing w:line="480" w:lineRule="auto"/>
        <w:jc w:val="both"/>
        <w:rPr>
          <w:sz w:val="24"/>
          <w:szCs w:val="24"/>
          <w:lang w:val="en-GB"/>
        </w:rPr>
      </w:pPr>
      <w:r>
        <w:rPr>
          <w:sz w:val="24"/>
        </w:rPr>
        <w:t>To</w:t>
      </w:r>
      <w:r w:rsidR="000E56BE" w:rsidRPr="001533EC">
        <w:rPr>
          <w:sz w:val="24"/>
        </w:rPr>
        <w:t xml:space="preserve"> </w:t>
      </w:r>
      <w:r w:rsidR="000E56BE" w:rsidRPr="001533EC">
        <w:rPr>
          <w:sz w:val="24"/>
          <w:szCs w:val="24"/>
          <w:lang w:val="en-GB"/>
        </w:rPr>
        <w:t xml:space="preserve">validated our findings </w:t>
      </w:r>
      <w:r w:rsidR="00602210">
        <w:rPr>
          <w:sz w:val="24"/>
          <w:szCs w:val="24"/>
          <w:lang w:val="en-GB"/>
        </w:rPr>
        <w:t>using</w:t>
      </w:r>
      <w:r w:rsidR="000E56BE" w:rsidRPr="001533EC">
        <w:rPr>
          <w:sz w:val="24"/>
          <w:szCs w:val="24"/>
          <w:lang w:val="en-GB"/>
        </w:rPr>
        <w:t xml:space="preserve"> an alternative </w:t>
      </w:r>
      <w:r w:rsidR="00602210">
        <w:rPr>
          <w:sz w:val="24"/>
          <w:szCs w:val="24"/>
          <w:lang w:val="en-GB"/>
        </w:rPr>
        <w:t>method</w:t>
      </w:r>
      <w:r w:rsidR="000E56BE" w:rsidRPr="001533EC">
        <w:rPr>
          <w:sz w:val="24"/>
          <w:szCs w:val="24"/>
          <w:lang w:val="en-GB"/>
        </w:rPr>
        <w:t xml:space="preserve">, we </w:t>
      </w:r>
      <w:r w:rsidR="00602210">
        <w:rPr>
          <w:sz w:val="24"/>
          <w:szCs w:val="24"/>
          <w:lang w:val="en-GB"/>
        </w:rPr>
        <w:t>performed</w:t>
      </w:r>
      <w:r w:rsidR="00602210" w:rsidRPr="001533EC">
        <w:rPr>
          <w:sz w:val="24"/>
          <w:szCs w:val="24"/>
          <w:lang w:val="en-GB"/>
        </w:rPr>
        <w:t xml:space="preserve"> </w:t>
      </w:r>
      <w:r w:rsidR="000E56BE" w:rsidRPr="001533EC">
        <w:rPr>
          <w:sz w:val="24"/>
          <w:szCs w:val="24"/>
          <w:lang w:val="en-GB"/>
        </w:rPr>
        <w:t xml:space="preserve"> </w:t>
      </w:r>
      <w:r w:rsidR="007A7411">
        <w:rPr>
          <w:sz w:val="24"/>
          <w:szCs w:val="24"/>
          <w:lang w:val="en-GB"/>
        </w:rPr>
        <w:t xml:space="preserve">enzymatic </w:t>
      </w:r>
      <w:r w:rsidR="000E56BE" w:rsidRPr="001533EC">
        <w:rPr>
          <w:sz w:val="24"/>
          <w:szCs w:val="24"/>
          <w:lang w:val="en-GB"/>
        </w:rPr>
        <w:t>methyl sequencing</w:t>
      </w:r>
      <w:r w:rsidR="007A7411">
        <w:rPr>
          <w:sz w:val="24"/>
          <w:szCs w:val="24"/>
          <w:lang w:val="en-GB"/>
        </w:rPr>
        <w:t xml:space="preserve"> (EM </w:t>
      </w:r>
      <w:proofErr w:type="spellStart"/>
      <w:r w:rsidR="007A7411">
        <w:rPr>
          <w:sz w:val="24"/>
          <w:szCs w:val="24"/>
          <w:lang w:val="en-GB"/>
        </w:rPr>
        <w:t>seq</w:t>
      </w:r>
      <w:proofErr w:type="spellEnd"/>
      <w:r w:rsidR="007A7411">
        <w:rPr>
          <w:sz w:val="24"/>
          <w:szCs w:val="24"/>
          <w:lang w:val="en-GB"/>
        </w:rPr>
        <w:t>)</w:t>
      </w:r>
      <w:r w:rsidR="000E56BE" w:rsidRPr="001533EC">
        <w:rPr>
          <w:sz w:val="24"/>
          <w:szCs w:val="24"/>
          <w:lang w:val="en-GB"/>
        </w:rPr>
        <w:t xml:space="preserve"> </w:t>
      </w:r>
      <w:r w:rsidR="00602210">
        <w:rPr>
          <w:sz w:val="24"/>
          <w:szCs w:val="24"/>
          <w:lang w:val="en-GB"/>
        </w:rPr>
        <w:t xml:space="preserve">with </w:t>
      </w:r>
      <w:r w:rsidR="0090235E">
        <w:rPr>
          <w:sz w:val="24"/>
          <w:szCs w:val="24"/>
          <w:lang w:val="en-GB"/>
        </w:rPr>
        <w:t xml:space="preserve">a </w:t>
      </w:r>
      <w:r w:rsidR="000E56BE" w:rsidRPr="001533EC">
        <w:rPr>
          <w:sz w:val="24"/>
          <w:szCs w:val="24"/>
          <w:lang w:val="en-GB"/>
        </w:rPr>
        <w:t>customized panel</w:t>
      </w:r>
      <w:r w:rsidR="00A41C10" w:rsidRPr="001533EC">
        <w:rPr>
          <w:sz w:val="24"/>
          <w:szCs w:val="24"/>
          <w:lang w:val="en-GB"/>
        </w:rPr>
        <w:t xml:space="preserve"> </w:t>
      </w:r>
      <w:r w:rsidR="00122188" w:rsidRPr="001533EC">
        <w:rPr>
          <w:rStyle w:val="Funotenzeichen"/>
          <w:sz w:val="24"/>
          <w:szCs w:val="24"/>
          <w:lang w:val="en-GB"/>
        </w:rPr>
        <w:fldChar w:fldCharType="begin" w:fldLock="1"/>
      </w:r>
      <w:r w:rsidR="003663F0">
        <w:rPr>
          <w:sz w:val="24"/>
          <w:szCs w:val="24"/>
          <w:lang w:val="en-GB"/>
        </w:rPr>
        <w:instrText>ADDIN CSL_CITATION {"citationItems":[{"id":"ITEM-1","itemData":{"DOI":"10.1101/gr.266551.120","ISSN":"1549-5469 (Electronic)","PMID":"34140313","abstract":"Bisulfite sequencing detects 5mC and 5hmC at single-base resolution. However,  bisulfite treatment damages DNA, which results in fragmentation, DNA loss, and biased sequencing data. To overcome these problems, enzymatic methyl-seq (EM-seq) was developed. This method detects 5mC and 5hmC using two sets of enzymatic reactions. In the first reaction, TET2 and T4-BGT convert 5mC and 5hmC into products that cannot be deaminated by APOBEC3A. In the second reaction, APOBEC3A deaminates unmodified cytosines by converting them to uracils. Therefore, these three enzymes enable the identification of 5mC and 5hmC. EM-seq libraries were compared with bisulfite-converted DNA, and each library type was ligated to Illumina adaptors before conversion. Libraries were made using NA12878 genomic DNA, cell-free DNA, and FFPE DNA over a range of DNA inputs. The 5mC and 5hmC detected in EM-seq libraries were similar to those of bisulfite libraries. However, libraries made using EM-seq outperformed bisulfite-converted libraries in all specific measures examined (coverage, duplication, sensitivity, etc.). EM-seq libraries displayed even GC distribution, better correlations across DNA inputs, increased numbers of CpGs within genomic features, and accuracy of cytosine methylation calls. EM-seq was effective using as little as 100 pg of DNA, and these libraries maintained the described advantages over bisulfite sequencing. EM-seq library construction, using challenging samples and lower DNA inputs, opens new avenues for research and clinical applications.","author":[{"dropping-particle":"","family":"Vaisvila","given":"Romualdas","non-dropping-particle":"","parse-names":false,"suffix":""},{"dropping-particle":"","family":"Ponnaluri","given":"V K Chaithanya","non-dropping-particle":"","parse-names":false,"suffix":""},{"dropping-particle":"","family":"Sun","given":"Zhiyi","non-dropping-particle":"","parse-names":false,"suffix":""},{"dropping-particle":"","family":"Langhorst","given":"Bradley W","non-dropping-particle":"","parse-names":false,"suffix":""},{"dropping-particle":"","family":"Saleh","given":"Lana","non-dropping-particle":"","parse-names":false,"suffix":""},{"dropping-particle":"","family":"Guan","given":"Shengxi","non-dropping-particle":"","parse-names":false,"suffix":""},{"dropping-particle":"","family":"Dai","given":"Nan","non-dropping-particle":"","parse-names":false,"suffix":""},{"dropping-particle":"","family":"Campbell","given":"Matthew A","non-dropping-particle":"","parse-names":false,"suffix":""},{"dropping-particle":"","family":"Sexton","given":"Brittany S","non-dropping-particle":"","parse-names":false,"suffix":""},{"dropping-particle":"","family":"Marks","given":"Katherine","non-dropping-particle":"","parse-names":false,"suffix":""},{"dropping-particle":"","family":"Samaranayake","given":"Mala","non-dropping-particle":"","parse-names":false,"suffix":""},{"dropping-particle":"","family":"Samuelson","given":"James C","non-dropping-particle":"","parse-names":false,"suffix":""},{"dropping-particle":"","family":"Church","given":"Heidi E","non-dropping-particle":"","parse-names":false,"suffix":""},{"dropping-particle":"","family":"Tamanaha","given":"Esta","non-dropping-particle":"","parse-names":false,"suffix":""},{"dropping-particle":"","family":"Corrêa","given":"Ivan R Jr","non-dropping-particle":"","parse-names":false,"suffix":""},{"dropping-particle":"","family":"Pradhan","given":"Sriharsa","non-dropping-particle":"","parse-names":false,"suffix":""},{"dropping-particle":"","family":"Dimalanta","given":"Eileen T","non-dropping-particle":"","parse-names":false,"suffix":""},{"dropping-particle":"","family":"Evans","given":"Thomas C Jr","non-dropping-particle":"","parse-names":false,"suffix":""},{"dropping-particle":"","family":"Williams","given":"Louise","non-dropping-particle":"","parse-names":false,"suffix":""},{"dropping-particle":"","family":"Davis","given":"Theodore B","non-dropping-particle":"","parse-names":false,"suffix":""}],"container-title":"Genome research","id":"ITEM-1","issue":"7","issued":{"date-parts":[["2021","7"]]},"language":"eng","page":"1280-1289","publisher-place":"United States","title":"Enzymatic methyl sequencing detects DNA methylation at single-base resolution  from picograms of DNA.","type":"article-journal","volume":"31"},"uris":["http://www.mendeley.com/documents/?uuid=59f550eb-02b4-3128-a34a-4f17a78df5eb"]}],"mendeley":{"formattedCitation":"&lt;i&gt;(63)&lt;/i&gt;","plainTextFormattedCitation":"(63)","previouslyFormattedCitation":"&lt;i&gt;(63)&lt;/i&gt;"},"properties":{"noteIndex":0},"schema":"https://github.com/citation-style-language/schema/raw/master/csl-citation.json"}</w:instrText>
      </w:r>
      <w:r w:rsidR="00122188" w:rsidRPr="001533EC">
        <w:rPr>
          <w:rStyle w:val="Funotenzeichen"/>
          <w:sz w:val="24"/>
          <w:szCs w:val="24"/>
          <w:lang w:val="en-GB"/>
        </w:rPr>
        <w:fldChar w:fldCharType="separate"/>
      </w:r>
      <w:r w:rsidR="00E45487" w:rsidRPr="00E45487">
        <w:rPr>
          <w:bCs/>
          <w:i/>
          <w:noProof/>
          <w:sz w:val="24"/>
          <w:szCs w:val="24"/>
        </w:rPr>
        <w:t>(63)</w:t>
      </w:r>
      <w:r w:rsidR="00122188" w:rsidRPr="001533EC">
        <w:rPr>
          <w:rStyle w:val="Funotenzeichen"/>
          <w:sz w:val="24"/>
          <w:szCs w:val="24"/>
          <w:lang w:val="en-GB"/>
        </w:rPr>
        <w:fldChar w:fldCharType="end"/>
      </w:r>
      <w:r w:rsidR="000E56BE" w:rsidRPr="001533EC">
        <w:rPr>
          <w:sz w:val="24"/>
          <w:szCs w:val="24"/>
          <w:lang w:val="en-GB"/>
        </w:rPr>
        <w:t>. In a pilot experiment in cooperation with T</w:t>
      </w:r>
      <w:r w:rsidR="00BB1878" w:rsidRPr="001533EC">
        <w:rPr>
          <w:sz w:val="24"/>
          <w:szCs w:val="24"/>
          <w:lang w:val="en-GB"/>
        </w:rPr>
        <w:t>wist</w:t>
      </w:r>
      <w:r w:rsidR="000E56BE" w:rsidRPr="001533EC">
        <w:rPr>
          <w:sz w:val="24"/>
          <w:szCs w:val="24"/>
          <w:lang w:val="en-GB"/>
        </w:rPr>
        <w:t xml:space="preserve"> Bioscience, we designed a customized panel containing different primer sequences targeting the 7,233 CpG sites, originally identified with all models of E-net.</w:t>
      </w:r>
      <w:r w:rsidR="00A41B29" w:rsidRPr="001533EC">
        <w:rPr>
          <w:sz w:val="24"/>
          <w:szCs w:val="24"/>
          <w:lang w:val="en-GB"/>
        </w:rPr>
        <w:t xml:space="preserve"> </w:t>
      </w:r>
      <w:r w:rsidR="00BF397C" w:rsidRPr="001533EC">
        <w:rPr>
          <w:sz w:val="24"/>
          <w:szCs w:val="24"/>
          <w:lang w:val="en-GB"/>
        </w:rPr>
        <w:t xml:space="preserve">Sequencing was carried out by </w:t>
      </w:r>
      <w:r w:rsidR="00BF397C" w:rsidRPr="001533EC">
        <w:rPr>
          <w:sz w:val="24"/>
          <w:szCs w:val="24"/>
        </w:rPr>
        <w:t xml:space="preserve">LIFE &amp; BRAIN GENOMICS GmbH and </w:t>
      </w:r>
      <w:r w:rsidR="008878B2" w:rsidRPr="001533EC">
        <w:rPr>
          <w:sz w:val="24"/>
          <w:szCs w:val="24"/>
        </w:rPr>
        <w:t>bioinformatics</w:t>
      </w:r>
      <w:r w:rsidR="00BF397C" w:rsidRPr="001533EC">
        <w:rPr>
          <w:sz w:val="24"/>
          <w:szCs w:val="24"/>
        </w:rPr>
        <w:t xml:space="preserve"> analysis was done a</w:t>
      </w:r>
      <w:r w:rsidR="00A86A99" w:rsidRPr="001533EC">
        <w:rPr>
          <w:sz w:val="24"/>
          <w:szCs w:val="24"/>
          <w:lang w:val="en-GB"/>
        </w:rPr>
        <w:t>s described earlier</w:t>
      </w:r>
      <w:r w:rsidR="00A41C10" w:rsidRPr="001533EC">
        <w:rPr>
          <w:sz w:val="24"/>
          <w:szCs w:val="24"/>
          <w:lang w:val="en-GB"/>
        </w:rPr>
        <w:t xml:space="preserve"> </w:t>
      </w:r>
      <w:r w:rsidR="00122188" w:rsidRPr="001533EC">
        <w:rPr>
          <w:rStyle w:val="Funotenzeichen"/>
          <w:sz w:val="24"/>
          <w:szCs w:val="24"/>
          <w:lang w:val="en-GB"/>
        </w:rPr>
        <w:fldChar w:fldCharType="begin" w:fldLock="1"/>
      </w:r>
      <w:r w:rsidR="003663F0">
        <w:rPr>
          <w:sz w:val="24"/>
          <w:szCs w:val="24"/>
          <w:lang w:val="en-GB"/>
        </w:rPr>
        <w:instrText>ADDIN CSL_CITATION {"citationItems":[{"id":"ITEM-1","itemData":{"DOI":"10.1101/gr.266551.120","ISSN":"1549-5469 (Electronic)","PMID":"34140313","abstract":"Bisulfite sequencing detects 5mC and 5hmC at single-base resolution. However,  bisulfite treatment damages DNA, which results in fragmentation, DNA loss, and biased sequencing data. To overcome these problems, enzymatic methyl-seq (EM-seq) was developed. This method detects 5mC and 5hmC using two sets of enzymatic reactions. In the first reaction, TET2 and T4-BGT convert 5mC and 5hmC into products that cannot be deaminated by APOBEC3A. In the second reaction, APOBEC3A deaminates unmodified cytosines by converting them to uracils. Therefore, these three enzymes enable the identification of 5mC and 5hmC. EM-seq libraries were compared with bisulfite-converted DNA, and each library type was ligated to Illumina adaptors before conversion. Libraries were made using NA12878 genomic DNA, cell-free DNA, and FFPE DNA over a range of DNA inputs. The 5mC and 5hmC detected in EM-seq libraries were similar to those of bisulfite libraries. However, libraries made using EM-seq outperformed bisulfite-converted libraries in all specific measures examined (coverage, duplication, sensitivity, etc.). EM-seq libraries displayed even GC distribution, better correlations across DNA inputs, increased numbers of CpGs within genomic features, and accuracy of cytosine methylation calls. EM-seq was effective using as little as 100 pg of DNA, and these libraries maintained the described advantages over bisulfite sequencing. EM-seq library construction, using challenging samples and lower DNA inputs, opens new avenues for research and clinical applications.","author":[{"dropping-particle":"","family":"Vaisvila","given":"Romualdas","non-dropping-particle":"","parse-names":false,"suffix":""},{"dropping-particle":"","family":"Ponnaluri","given":"V K Chaithanya","non-dropping-particle":"","parse-names":false,"suffix":""},{"dropping-particle":"","family":"Sun","given":"Zhiyi","non-dropping-particle":"","parse-names":false,"suffix":""},{"dropping-particle":"","family":"Langhorst","given":"Bradley W","non-dropping-particle":"","parse-names":false,"suffix":""},{"dropping-particle":"","family":"Saleh","given":"Lana","non-dropping-particle":"","parse-names":false,"suffix":""},{"dropping-particle":"","family":"Guan","given":"Shengxi","non-dropping-particle":"","parse-names":false,"suffix":""},{"dropping-particle":"","family":"Dai","given":"Nan","non-dropping-particle":"","parse-names":false,"suffix":""},{"dropping-particle":"","family":"Campbell","given":"Matthew A","non-dropping-particle":"","parse-names":false,"suffix":""},{"dropping-particle":"","family":"Sexton","given":"Brittany S","non-dropping-particle":"","parse-names":false,"suffix":""},{"dropping-particle":"","family":"Marks","given":"Katherine","non-dropping-particle":"","parse-names":false,"suffix":""},{"dropping-particle":"","family":"Samaranayake","given":"Mala","non-dropping-particle":"","parse-names":false,"suffix":""},{"dropping-particle":"","family":"Samuelson","given":"James C","non-dropping-particle":"","parse-names":false,"suffix":""},{"dropping-particle":"","family":"Church","given":"Heidi E","non-dropping-particle":"","parse-names":false,"suffix":""},{"dropping-particle":"","family":"Tamanaha","given":"Esta","non-dropping-particle":"","parse-names":false,"suffix":""},{"dropping-particle":"","family":"Corrêa","given":"Ivan R Jr","non-dropping-particle":"","parse-names":false,"suffix":""},{"dropping-particle":"","family":"Pradhan","given":"Sriharsa","non-dropping-particle":"","parse-names":false,"suffix":""},{"dropping-particle":"","family":"Dimalanta","given":"Eileen T","non-dropping-particle":"","parse-names":false,"suffix":""},{"dropping-particle":"","family":"Evans","given":"Thomas C Jr","non-dropping-particle":"","parse-names":false,"suffix":""},{"dropping-particle":"","family":"Williams","given":"Louise","non-dropping-particle":"","parse-names":false,"suffix":""},{"dropping-particle":"","family":"Davis","given":"Theodore B","non-dropping-particle":"","parse-names":false,"suffix":""}],"container-title":"Genome research","id":"ITEM-1","issue":"7","issued":{"date-parts":[["2021","7"]]},"language":"eng","page":"1280-1289","publisher-place":"United States","title":"Enzymatic methyl sequencing detects DNA methylation at single-base resolution  from picograms of DNA.","type":"article-journal","volume":"31"},"uris":["http://www.mendeley.com/documents/?uuid=59f550eb-02b4-3128-a34a-4f17a78df5eb"]}],"mendeley":{"formattedCitation":"&lt;i&gt;(63)&lt;/i&gt;","plainTextFormattedCitation":"(63)","previouslyFormattedCitation":"&lt;i&gt;(63)&lt;/i&gt;"},"properties":{"noteIndex":0},"schema":"https://github.com/citation-style-language/schema/raw/master/csl-citation.json"}</w:instrText>
      </w:r>
      <w:r w:rsidR="00122188" w:rsidRPr="001533EC">
        <w:rPr>
          <w:rStyle w:val="Funotenzeichen"/>
          <w:sz w:val="24"/>
          <w:szCs w:val="24"/>
          <w:lang w:val="en-GB"/>
        </w:rPr>
        <w:fldChar w:fldCharType="separate"/>
      </w:r>
      <w:r w:rsidR="00E45487" w:rsidRPr="00E45487">
        <w:rPr>
          <w:i/>
          <w:noProof/>
          <w:sz w:val="24"/>
          <w:szCs w:val="24"/>
          <w:lang w:val="en-GB"/>
        </w:rPr>
        <w:t>(63)</w:t>
      </w:r>
      <w:r w:rsidR="00122188" w:rsidRPr="001533EC">
        <w:rPr>
          <w:rStyle w:val="Funotenzeichen"/>
          <w:sz w:val="24"/>
          <w:szCs w:val="24"/>
          <w:lang w:val="en-GB"/>
        </w:rPr>
        <w:fldChar w:fldCharType="end"/>
      </w:r>
      <w:r w:rsidR="00BB1878" w:rsidRPr="001533EC">
        <w:rPr>
          <w:sz w:val="24"/>
          <w:szCs w:val="24"/>
          <w:lang w:val="en-GB"/>
        </w:rPr>
        <w:t>. We only measured the methylation profiles of eight samples,</w:t>
      </w:r>
      <w:r w:rsidR="00635A62" w:rsidRPr="001533EC">
        <w:rPr>
          <w:sz w:val="24"/>
          <w:szCs w:val="24"/>
          <w:lang w:val="en-GB"/>
        </w:rPr>
        <w:t xml:space="preserve"> previously </w:t>
      </w:r>
      <w:r w:rsidR="008878B2" w:rsidRPr="001533EC">
        <w:rPr>
          <w:sz w:val="24"/>
          <w:szCs w:val="24"/>
          <w:lang w:val="en-GB"/>
        </w:rPr>
        <w:t>assessed</w:t>
      </w:r>
      <w:r w:rsidR="00635A62" w:rsidRPr="001533EC">
        <w:rPr>
          <w:sz w:val="24"/>
          <w:szCs w:val="24"/>
          <w:lang w:val="en-GB"/>
        </w:rPr>
        <w:t xml:space="preserve"> with EPIC arrays</w:t>
      </w:r>
      <w:r w:rsidR="00BB1878" w:rsidRPr="001533EC">
        <w:rPr>
          <w:sz w:val="24"/>
          <w:szCs w:val="24"/>
          <w:lang w:val="en-GB"/>
        </w:rPr>
        <w:t>,</w:t>
      </w:r>
      <w:r w:rsidR="000E56BE" w:rsidRPr="001533EC">
        <w:rPr>
          <w:sz w:val="24"/>
          <w:szCs w:val="24"/>
          <w:lang w:val="en-GB"/>
        </w:rPr>
        <w:t xml:space="preserve"> in which we applied a threshold of at least </w:t>
      </w:r>
      <w:r w:rsidR="00DA3008" w:rsidRPr="001533EC">
        <w:rPr>
          <w:sz w:val="24"/>
          <w:szCs w:val="24"/>
          <w:lang w:val="en-GB"/>
        </w:rPr>
        <w:t xml:space="preserve">10 </w:t>
      </w:r>
      <w:r w:rsidR="00D52A28" w:rsidRPr="001533EC">
        <w:rPr>
          <w:sz w:val="24"/>
          <w:szCs w:val="24"/>
          <w:lang w:val="en-GB"/>
        </w:rPr>
        <w:t xml:space="preserve">reads. In order to test accuracy of the </w:t>
      </w:r>
      <w:r w:rsidR="00934294">
        <w:rPr>
          <w:sz w:val="24"/>
          <w:szCs w:val="24"/>
          <w:lang w:val="en-GB"/>
        </w:rPr>
        <w:t>classification</w:t>
      </w:r>
      <w:r w:rsidR="00934294" w:rsidRPr="001533EC">
        <w:rPr>
          <w:sz w:val="24"/>
          <w:szCs w:val="24"/>
          <w:lang w:val="en-GB"/>
        </w:rPr>
        <w:t xml:space="preserve"> </w:t>
      </w:r>
      <w:r w:rsidR="00D52A28" w:rsidRPr="001533EC">
        <w:rPr>
          <w:sz w:val="24"/>
          <w:szCs w:val="24"/>
          <w:lang w:val="en-GB"/>
        </w:rPr>
        <w:t xml:space="preserve">with this customized sequencing, we increased the threshold of sequencing depth to </w:t>
      </w:r>
      <w:r w:rsidR="000E56BE" w:rsidRPr="001533EC">
        <w:rPr>
          <w:sz w:val="24"/>
          <w:szCs w:val="24"/>
          <w:lang w:val="en-GB"/>
        </w:rPr>
        <w:t xml:space="preserve">30 read counts. </w:t>
      </w:r>
    </w:p>
    <w:p w14:paraId="1494679A" w14:textId="77777777" w:rsidR="001C720C" w:rsidRPr="001533EC" w:rsidRDefault="001C720C" w:rsidP="00C35B7A">
      <w:pPr>
        <w:spacing w:line="480" w:lineRule="auto"/>
        <w:jc w:val="both"/>
        <w:rPr>
          <w:sz w:val="24"/>
          <w:szCs w:val="24"/>
          <w:lang w:val="en-GB"/>
        </w:rPr>
      </w:pPr>
    </w:p>
    <w:p w14:paraId="1E6338DA" w14:textId="57833C31" w:rsidR="00C35B7A" w:rsidRPr="001533EC" w:rsidRDefault="00C35B7A" w:rsidP="00C35B7A">
      <w:pPr>
        <w:spacing w:line="480" w:lineRule="auto"/>
        <w:jc w:val="both"/>
        <w:rPr>
          <w:b/>
          <w:sz w:val="24"/>
        </w:rPr>
      </w:pPr>
      <w:r w:rsidRPr="001533EC">
        <w:rPr>
          <w:b/>
          <w:sz w:val="24"/>
        </w:rPr>
        <w:t>Machine learning model</w:t>
      </w:r>
      <w:r w:rsidRPr="001533EC">
        <w:rPr>
          <w:b/>
          <w:sz w:val="24"/>
          <w:szCs w:val="24"/>
        </w:rPr>
        <w:t xml:space="preserve"> workflow</w:t>
      </w:r>
    </w:p>
    <w:p w14:paraId="5F88C9ED" w14:textId="1D86F650" w:rsidR="00C35B7A" w:rsidRPr="001533EC" w:rsidRDefault="00C35B7A" w:rsidP="00C35B7A">
      <w:pPr>
        <w:spacing w:line="480" w:lineRule="auto"/>
        <w:jc w:val="both"/>
        <w:rPr>
          <w:sz w:val="24"/>
          <w:szCs w:val="24"/>
        </w:rPr>
      </w:pPr>
      <w:r w:rsidRPr="001533EC">
        <w:rPr>
          <w:sz w:val="24"/>
          <w:szCs w:val="24"/>
        </w:rPr>
        <w:t>The machine learning model developed in the present study was based on the discovery cohort (n =</w:t>
      </w:r>
      <w:r w:rsidR="00261D83">
        <w:rPr>
          <w:sz w:val="24"/>
          <w:szCs w:val="24"/>
        </w:rPr>
        <w:t xml:space="preserve"> </w:t>
      </w:r>
      <w:r w:rsidRPr="001533EC">
        <w:rPr>
          <w:sz w:val="24"/>
          <w:szCs w:val="24"/>
        </w:rPr>
        <w:t xml:space="preserve">167). </w:t>
      </w:r>
      <w:r w:rsidR="009410AE">
        <w:rPr>
          <w:sz w:val="24"/>
          <w:szCs w:val="24"/>
        </w:rPr>
        <w:t xml:space="preserve">Using a bootstrap method, </w:t>
      </w:r>
      <w:r w:rsidRPr="001533EC">
        <w:rPr>
          <w:sz w:val="24"/>
          <w:szCs w:val="24"/>
        </w:rPr>
        <w:t xml:space="preserve">DNA methylation data from 70% (n = 118) of </w:t>
      </w:r>
      <w:r w:rsidR="000466A8">
        <w:rPr>
          <w:sz w:val="24"/>
          <w:szCs w:val="24"/>
        </w:rPr>
        <w:t>the</w:t>
      </w:r>
      <w:r w:rsidRPr="001533EC">
        <w:rPr>
          <w:sz w:val="24"/>
          <w:szCs w:val="24"/>
        </w:rPr>
        <w:t xml:space="preserve"> 167 </w:t>
      </w:r>
      <w:r w:rsidR="000466A8">
        <w:rPr>
          <w:sz w:val="24"/>
          <w:szCs w:val="24"/>
        </w:rPr>
        <w:t xml:space="preserve">individuals selected at random </w:t>
      </w:r>
      <w:r w:rsidRPr="001533EC">
        <w:rPr>
          <w:sz w:val="24"/>
          <w:szCs w:val="24"/>
        </w:rPr>
        <w:t>was assigned to the training set, and the remaining 30% (n = 49) to the test set</w:t>
      </w:r>
      <w:r w:rsidR="00CE5A7D">
        <w:rPr>
          <w:sz w:val="24"/>
          <w:szCs w:val="24"/>
        </w:rPr>
        <w:t>,</w:t>
      </w:r>
      <w:r w:rsidRPr="001533EC">
        <w:rPr>
          <w:sz w:val="24"/>
          <w:szCs w:val="24"/>
        </w:rPr>
        <w:t xml:space="preserve"> 1000 times (Fig. 1, fig. S1). For each split, the phenotype distributions were assessed between brain insulin resistant and </w:t>
      </w:r>
      <w:r w:rsidR="00940E30">
        <w:rPr>
          <w:sz w:val="24"/>
          <w:szCs w:val="24"/>
        </w:rPr>
        <w:t>sensitive groups</w:t>
      </w:r>
      <w:r w:rsidRPr="001533EC">
        <w:rPr>
          <w:sz w:val="24"/>
          <w:szCs w:val="24"/>
        </w:rPr>
        <w:t xml:space="preserve"> to ensure no significant differences existed besides the hypothalamus index, and 360 out of 1000 </w:t>
      </w:r>
      <w:r w:rsidR="0047375A">
        <w:rPr>
          <w:sz w:val="24"/>
          <w:szCs w:val="24"/>
        </w:rPr>
        <w:t xml:space="preserve">splits </w:t>
      </w:r>
      <w:r w:rsidRPr="001533EC">
        <w:rPr>
          <w:sz w:val="24"/>
          <w:szCs w:val="24"/>
        </w:rPr>
        <w:t xml:space="preserve">qualified the set criteria. This step was included to stabilize the feature and avoid potential confounders. For each of these 360 splits, Elastic net (E-net) logistic regression was applied to the training data using the R </w:t>
      </w:r>
      <w:proofErr w:type="spellStart"/>
      <w:r w:rsidRPr="001533EC">
        <w:rPr>
          <w:sz w:val="24"/>
          <w:szCs w:val="24"/>
        </w:rPr>
        <w:t>glmnet</w:t>
      </w:r>
      <w:proofErr w:type="spellEnd"/>
      <w:r w:rsidRPr="001533EC">
        <w:rPr>
          <w:sz w:val="24"/>
          <w:szCs w:val="24"/>
        </w:rPr>
        <w:t xml:space="preserve"> package</w:t>
      </w:r>
      <w:r w:rsidR="00267494">
        <w:rPr>
          <w:sz w:val="24"/>
          <w:szCs w:val="24"/>
        </w:rPr>
        <w:t xml:space="preserve"> </w:t>
      </w:r>
      <w:r w:rsidR="00122188" w:rsidRPr="001533EC">
        <w:rPr>
          <w:rStyle w:val="Funotenzeichen"/>
          <w:sz w:val="24"/>
          <w:szCs w:val="24"/>
        </w:rPr>
        <w:fldChar w:fldCharType="begin" w:fldLock="1"/>
      </w:r>
      <w:r w:rsidR="003663F0">
        <w:rPr>
          <w:sz w:val="24"/>
          <w:szCs w:val="24"/>
        </w:rPr>
        <w:instrText>ADDIN CSL_CITATION {"citationItems":[{"id":"ITEM-1","itemData":{"DOI":"10.1186/s13148-019-0730-1","ISSN":"1868-7083","abstract":"Elastic net type regression methods have become very popular for prediction of certain outcomes in epigenome-wide association studies (EWAS). The methods considered accept biased coefficient estimates in return for lower variance thus obtaining improved prediction accuracy. We provide guidelines on how to obtain parsimonious models with low mean squared error and include easy to follow walk-through examples for each step in R.","author":[{"dropping-particle":"","family":"Engebretsen","given":"Solveig","non-dropping-particle":"","parse-names":false,"suffix":""},{"dropping-particle":"","family":"Bohlin","given":"Jon","non-dropping-particle":"","parse-names":false,"suffix":""}],"container-title":"Clinical Epigenetics","id":"ITEM-1","issue":"1","issued":{"date-parts":[["2019"]]},"page":"123","title":"Statistical predictions with glmnet","type":"article-journal","volume":"11"},"uris":["http://www.mendeley.com/documents/?uuid=20f6fca9-433d-3242-b5e0-8978e5cb7dfa"]}],"mendeley":{"formattedCitation":"&lt;i&gt;(64)&lt;/i&gt;","plainTextFormattedCitation":"(64)","previouslyFormattedCitation":"&lt;i&gt;(64)&lt;/i&gt;"},"properties":{"noteIndex":0},"schema":"https://github.com/citation-style-language/schema/raw/master/csl-citation.json"}</w:instrText>
      </w:r>
      <w:r w:rsidR="00122188" w:rsidRPr="001533EC">
        <w:rPr>
          <w:rStyle w:val="Funotenzeichen"/>
          <w:sz w:val="24"/>
          <w:szCs w:val="24"/>
        </w:rPr>
        <w:fldChar w:fldCharType="separate"/>
      </w:r>
      <w:r w:rsidR="00E45487" w:rsidRPr="00E45487">
        <w:rPr>
          <w:bCs/>
          <w:i/>
          <w:noProof/>
          <w:sz w:val="24"/>
          <w:szCs w:val="24"/>
        </w:rPr>
        <w:t>(64)</w:t>
      </w:r>
      <w:r w:rsidR="00122188" w:rsidRPr="001533EC">
        <w:rPr>
          <w:rStyle w:val="Funotenzeichen"/>
          <w:sz w:val="24"/>
          <w:szCs w:val="24"/>
        </w:rPr>
        <w:fldChar w:fldCharType="end"/>
      </w:r>
      <w:r w:rsidRPr="001533EC">
        <w:rPr>
          <w:sz w:val="24"/>
          <w:szCs w:val="24"/>
        </w:rPr>
        <w:t>. Using E-net, the optimal regularization parameter (λ) was identified through 10-fold cross-validation within the training data</w:t>
      </w:r>
      <w:r w:rsidR="00B116E6" w:rsidRPr="001533EC">
        <w:rPr>
          <w:sz w:val="24"/>
          <w:szCs w:val="24"/>
        </w:rPr>
        <w:t xml:space="preserve"> </w:t>
      </w:r>
      <w:r w:rsidR="00122188" w:rsidRPr="001533EC">
        <w:rPr>
          <w:rStyle w:val="Funotenzeichen"/>
          <w:sz w:val="24"/>
          <w:szCs w:val="24"/>
        </w:rPr>
        <w:fldChar w:fldCharType="begin" w:fldLock="1"/>
      </w:r>
      <w:r w:rsidR="00607440" w:rsidRPr="001533EC">
        <w:rPr>
          <w:sz w:val="24"/>
          <w:szCs w:val="24"/>
        </w:rPr>
        <w:instrText>ADDIN CSL_CITATION {"citationItems":[{"id":"ITEM-1","itemData":{"DOI":"10.1093/bioinformatics/btaa046","ISSN":"1367-4811 (Electronic)","PMID":"31985777","abstract":"SUMMARY: Feature selection can improve the accuracy of machine-learning models,  but appropriate steps must be taken to avoid overfitting. Nested cross-validation (nCV) is a common approach that chooses the classification model and features to represent a given outer fold based on features that give the maximum inner-fold accuracy. Differential privacy is a related technique to avoid overfitting that uses a privacy-preserving noise mechanism to identify features that are stable between training and holdout sets.We develop consensus nested cross-validation (cnCV) that combines the idea of feature stability from differential privacy with nCV. Feature selection is applied in each inner fold and the consensus of top features across folds is used as a measure of feature stability or reliability instead of classification accuracy, which is used in standard nCV. We use simulated data with main effects, correlation and interactions to compare the classification accuracy and feature selection performance of the new cnCV with standard nCV, Elastic Net optimized by cross-validation, differential privacy and private evaporative cooling (pEC). We also compare these methods using real RNA-seq data from a study of major depressive disorder.The cnCV method has similar training and validation accuracy to nCV, but cnCV has much shorter run times because it does not construct classifiers in the inner folds. The cnCV method chooses a more parsimonious set of features with fewer false positives than nCV. The cnCV method has similar accuracy to pEC and cnCV selects stable features between folds without the need to specify a privacy threshold. We show that cnCV is an effective and efficient approach for combining feature selection with classification. AVAILABILITY AND IMPLEMENTATION: Code available at https://github.com/insilico/cncv. SUPPLEMENTARY INFORMATION: Supplementary data are available at Bioinformatics online.","author":[{"dropping-particle":"","family":"Parvandeh","given":"Saeid","non-dropping-particle":"","parse-names":false,"suffix":""},{"dropping-particle":"","family":"Yeh","given":"Hung-Wen","non-dropping-particle":"","parse-names":false,"suffix":""},{"dropping-particle":"","family":"Paulus","given":"Martin P","non-dropping-particle":"","parse-names":false,"suffix":""},{"dropping-particle":"","family":"McKinney","given":"Brett A","non-dropping-particle":"","parse-names":false,"suffix":""}],"container-title":"Bioinformatics (Oxford, England)","id":"ITEM-1","issue":"10","issued":{"date-parts":[["2020","5"]]},"language":"eng","page":"3093-3098","publisher-place":"England","title":"Consensus features nested cross-validation.","type":"article-journal","volume":"36"},"uris":["http://www.mendeley.com/documents/?uuid=d13551f0-bc1f-42f4-9e05-eaba93d20aa5"]}],"mendeley":{"formattedCitation":"&lt;i&gt;(22)&lt;/i&gt;","plainTextFormattedCitation":"(22)","previouslyFormattedCitation":"&lt;i&gt;(22)&lt;/i&gt;"},"properties":{"noteIndex":0},"schema":"https://github.com/citation-style-language/schema/raw/master/csl-citation.json"}</w:instrText>
      </w:r>
      <w:r w:rsidR="00122188" w:rsidRPr="001533EC">
        <w:rPr>
          <w:rStyle w:val="Funotenzeichen"/>
          <w:sz w:val="24"/>
          <w:szCs w:val="24"/>
        </w:rPr>
        <w:fldChar w:fldCharType="separate"/>
      </w:r>
      <w:r w:rsidR="00607440" w:rsidRPr="001533EC">
        <w:rPr>
          <w:i/>
          <w:noProof/>
          <w:sz w:val="24"/>
          <w:szCs w:val="24"/>
        </w:rPr>
        <w:t>(22)</w:t>
      </w:r>
      <w:r w:rsidR="00122188" w:rsidRPr="001533EC">
        <w:rPr>
          <w:rStyle w:val="Funotenzeichen"/>
          <w:sz w:val="24"/>
          <w:szCs w:val="24"/>
        </w:rPr>
        <w:fldChar w:fldCharType="end"/>
      </w:r>
      <w:r w:rsidRPr="001533EC">
        <w:rPr>
          <w:sz w:val="24"/>
          <w:szCs w:val="24"/>
        </w:rPr>
        <w:t xml:space="preserve">. Each trained model was subsequently evaluated on its corresponding test set and all the features from these models (n = 360) were retained for further analysis (Table S1). </w:t>
      </w:r>
    </w:p>
    <w:p w14:paraId="1DB774EC" w14:textId="5DA41CB3" w:rsidR="00C35B7A" w:rsidRPr="001533EC" w:rsidRDefault="00C35B7A" w:rsidP="00C35B7A">
      <w:pPr>
        <w:spacing w:line="480" w:lineRule="auto"/>
        <w:jc w:val="both"/>
        <w:rPr>
          <w:sz w:val="24"/>
          <w:szCs w:val="24"/>
        </w:rPr>
      </w:pPr>
      <w:r w:rsidRPr="001533EC">
        <w:rPr>
          <w:sz w:val="24"/>
          <w:szCs w:val="24"/>
        </w:rPr>
        <w:lastRenderedPageBreak/>
        <w:t xml:space="preserve">Features that appeared in at least 10% (36 out of 360) of the models were deemed stable and used to train </w:t>
      </w:r>
      <w:bookmarkStart w:id="8" w:name="_Hlk193795551"/>
      <w:r w:rsidRPr="001533EC">
        <w:rPr>
          <w:sz w:val="24"/>
          <w:szCs w:val="24"/>
        </w:rPr>
        <w:t xml:space="preserve">Random Forest </w:t>
      </w:r>
      <w:bookmarkEnd w:id="8"/>
      <w:r w:rsidRPr="001533EC">
        <w:rPr>
          <w:sz w:val="24"/>
          <w:szCs w:val="24"/>
        </w:rPr>
        <w:t xml:space="preserve">(RF) and </w:t>
      </w:r>
      <w:bookmarkStart w:id="9" w:name="_Hlk193795616"/>
      <w:r w:rsidRPr="001533EC">
        <w:rPr>
          <w:sz w:val="24"/>
          <w:szCs w:val="24"/>
        </w:rPr>
        <w:t xml:space="preserve">Support Vector Machine </w:t>
      </w:r>
      <w:bookmarkEnd w:id="9"/>
      <w:r w:rsidRPr="001533EC">
        <w:rPr>
          <w:sz w:val="24"/>
          <w:szCs w:val="24"/>
        </w:rPr>
        <w:t>(SVM) classification models</w:t>
      </w:r>
      <w:r w:rsidR="00B116E6" w:rsidRPr="001533EC">
        <w:rPr>
          <w:sz w:val="24"/>
          <w:szCs w:val="24"/>
        </w:rPr>
        <w:t xml:space="preserve"> </w:t>
      </w:r>
      <w:r w:rsidR="00122188" w:rsidRPr="001533EC">
        <w:rPr>
          <w:rStyle w:val="Funotenzeichen"/>
          <w:sz w:val="24"/>
          <w:szCs w:val="24"/>
        </w:rPr>
        <w:fldChar w:fldCharType="begin" w:fldLock="1"/>
      </w:r>
      <w:r w:rsidR="003663F0">
        <w:rPr>
          <w:sz w:val="24"/>
          <w:szCs w:val="24"/>
        </w:rPr>
        <w:instrText>ADDIN CSL_CITATION {"citationItems":[{"id":"ITEM-1","itemData":{"DOI":"https://doi.org/10.1111/j.1467-9868.2010.00740.x","ISSN":"1369-7412","abstract":"Summary.? Estimation of structure, such as in variable selection, graphical modelling or cluster analysis, is notoriously difficult, especially for high dimensional data. We introduce stability selection. It is based on subsampling in combination with (high dimensional) selection algorithms. As such, the method is extremely general and has a very wide range of applicability. Stability selection provides finite sample control for some error rates of false discoveries and hence a transparent principle to choose a proper amount of regularization for structure estimation. Variable selection and structure estimation improve markedly for a range of selection methods if stability selection is applied. We prove for the randomized lasso that stability selection will be variable selection consistent even if the necessary conditions for consistency of the original lasso method are violated. We demonstrate stability selection for variable selection and Gaussian graphical modelling, using real and simulated data.","author":[{"dropping-particle":"","family":"Meinshausen","given":"Nicolai","non-dropping-particle":"","parse-names":false,"suffix":""},{"dropping-particle":"","family":"Bühlmann","given":"Peter","non-dropping-particle":"","parse-names":false,"suffix":""}],"container-title":"Journal of the Royal Statistical Society: Series B (Statistical Methodology)","id":"ITEM-1","issue":"4","issued":{"date-parts":[["2010","9","1"]]},"page":"417-473","publisher":"John Wiley &amp; Sons, Ltd","title":"Stability selection","type":"article-journal","volume":"72"},"uris":["http://www.mendeley.com/documents/?uuid=84baaa49-6b3e-43a9-a9e5-dee25d1b42e5"]}],"mendeley":{"formattedCitation":"&lt;i&gt;(65)&lt;/i&gt;","plainTextFormattedCitation":"(65)","previouslyFormattedCitation":"&lt;i&gt;(65)&lt;/i&gt;"},"properties":{"noteIndex":0},"schema":"https://github.com/citation-style-language/schema/raw/master/csl-citation.json"}</w:instrText>
      </w:r>
      <w:r w:rsidR="00122188" w:rsidRPr="001533EC">
        <w:rPr>
          <w:rStyle w:val="Funotenzeichen"/>
          <w:sz w:val="24"/>
          <w:szCs w:val="24"/>
        </w:rPr>
        <w:fldChar w:fldCharType="separate"/>
      </w:r>
      <w:r w:rsidR="00E45487" w:rsidRPr="00E45487">
        <w:rPr>
          <w:bCs/>
          <w:i/>
          <w:noProof/>
          <w:sz w:val="24"/>
          <w:szCs w:val="24"/>
        </w:rPr>
        <w:t>(65)</w:t>
      </w:r>
      <w:r w:rsidR="00122188" w:rsidRPr="001533EC">
        <w:rPr>
          <w:rStyle w:val="Funotenzeichen"/>
          <w:sz w:val="24"/>
          <w:szCs w:val="24"/>
        </w:rPr>
        <w:fldChar w:fldCharType="end"/>
      </w:r>
      <w:r w:rsidRPr="001533EC">
        <w:rPr>
          <w:sz w:val="24"/>
          <w:szCs w:val="24"/>
        </w:rPr>
        <w:t xml:space="preserve">. To ensure robust model training, both models were trained on the entire discovery dataset (n = 167) leveraging maximum information for learning. This potentially improves accuracy and generalizes performance. </w:t>
      </w:r>
      <w:r w:rsidR="00D51E4C">
        <w:rPr>
          <w:sz w:val="24"/>
          <w:szCs w:val="24"/>
        </w:rPr>
        <w:t>Whereas</w:t>
      </w:r>
      <w:r w:rsidR="00D51E4C" w:rsidRPr="001533EC">
        <w:rPr>
          <w:sz w:val="24"/>
          <w:szCs w:val="24"/>
        </w:rPr>
        <w:t xml:space="preserve"> </w:t>
      </w:r>
      <w:r w:rsidRPr="001533EC">
        <w:rPr>
          <w:sz w:val="24"/>
          <w:szCs w:val="24"/>
        </w:rPr>
        <w:t xml:space="preserve">the discovery data was initially split into training and test set for the feature selection, the final models were rigorously evaluated on two independent replication cohorts (replication I, n = 33 and replication II, n = 24) that were not used during the training or feature selection. Performance metrics, including accuracy, precision, recall, and the area under the Receiver Operating Characteristic (ROC) curve (AUC) were computed to assess </w:t>
      </w:r>
      <w:proofErr w:type="gramStart"/>
      <w:r w:rsidRPr="001533EC">
        <w:rPr>
          <w:sz w:val="24"/>
          <w:szCs w:val="24"/>
        </w:rPr>
        <w:t xml:space="preserve">the </w:t>
      </w:r>
      <w:r w:rsidR="005437A5">
        <w:rPr>
          <w:sz w:val="24"/>
          <w:szCs w:val="24"/>
        </w:rPr>
        <w:t xml:space="preserve"> discriminative</w:t>
      </w:r>
      <w:proofErr w:type="gramEnd"/>
      <w:r w:rsidR="005437A5">
        <w:rPr>
          <w:sz w:val="24"/>
          <w:szCs w:val="24"/>
        </w:rPr>
        <w:t xml:space="preserve"> </w:t>
      </w:r>
      <w:r w:rsidRPr="001533EC">
        <w:rPr>
          <w:sz w:val="24"/>
          <w:szCs w:val="24"/>
        </w:rPr>
        <w:t>power and generalizability of the models. Additionally, the Matthew correlation coefficient was calculated to assess the performance of the replication cohort</w:t>
      </w:r>
      <w:r w:rsidR="00772D20">
        <w:rPr>
          <w:sz w:val="24"/>
          <w:szCs w:val="24"/>
        </w:rPr>
        <w:t>s</w:t>
      </w:r>
      <w:r w:rsidRPr="001533EC">
        <w:rPr>
          <w:sz w:val="24"/>
          <w:szCs w:val="24"/>
        </w:rPr>
        <w:t>.</w:t>
      </w:r>
    </w:p>
    <w:p w14:paraId="30010E60" w14:textId="28B346F7" w:rsidR="001533EC" w:rsidRPr="0088126A" w:rsidRDefault="001533EC" w:rsidP="0088126A">
      <w:pPr>
        <w:spacing w:line="480" w:lineRule="auto"/>
        <w:jc w:val="both"/>
        <w:rPr>
          <w:rFonts w:ascii="Calibri"/>
          <w:b/>
          <w:i/>
          <w:sz w:val="24"/>
          <w:szCs w:val="24"/>
        </w:rPr>
      </w:pPr>
      <w:bookmarkStart w:id="10" w:name="_Hlk179013913"/>
      <w:bookmarkStart w:id="11" w:name="_Hlk179301061"/>
      <w:r w:rsidRPr="0088126A">
        <w:rPr>
          <w:b/>
          <w:sz w:val="24"/>
          <w:szCs w:val="24"/>
        </w:rPr>
        <w:t>Statistical</w:t>
      </w:r>
      <w:r w:rsidRPr="0088126A">
        <w:rPr>
          <w:b/>
          <w:spacing w:val="-1"/>
          <w:sz w:val="24"/>
          <w:szCs w:val="24"/>
        </w:rPr>
        <w:t xml:space="preserve"> </w:t>
      </w:r>
      <w:r w:rsidRPr="0088126A">
        <w:rPr>
          <w:b/>
          <w:spacing w:val="-2"/>
          <w:sz w:val="24"/>
          <w:szCs w:val="24"/>
        </w:rPr>
        <w:t>analyses</w:t>
      </w:r>
    </w:p>
    <w:p w14:paraId="339138CA" w14:textId="77777777" w:rsidR="001533EC" w:rsidRPr="00A42B09" w:rsidRDefault="001533EC" w:rsidP="0088126A">
      <w:pPr>
        <w:widowControl w:val="0"/>
        <w:tabs>
          <w:tab w:val="left" w:pos="796"/>
        </w:tabs>
        <w:autoSpaceDE w:val="0"/>
        <w:autoSpaceDN w:val="0"/>
        <w:spacing w:line="480" w:lineRule="auto"/>
        <w:jc w:val="both"/>
        <w:rPr>
          <w:rFonts w:ascii="Calibri" w:hAnsi="Calibri"/>
        </w:rPr>
      </w:pPr>
      <w:r w:rsidRPr="00A42B09">
        <w:rPr>
          <w:sz w:val="24"/>
        </w:rPr>
        <w:t>The</w:t>
      </w:r>
      <w:r w:rsidRPr="00A42B09">
        <w:rPr>
          <w:spacing w:val="-10"/>
          <w:sz w:val="24"/>
        </w:rPr>
        <w:t xml:space="preserve"> </w:t>
      </w:r>
      <w:r w:rsidRPr="00A42B09">
        <w:rPr>
          <w:sz w:val="24"/>
        </w:rPr>
        <w:t>clinical</w:t>
      </w:r>
      <w:r w:rsidRPr="00A42B09">
        <w:rPr>
          <w:spacing w:val="-9"/>
          <w:sz w:val="24"/>
        </w:rPr>
        <w:t xml:space="preserve"> </w:t>
      </w:r>
      <w:r w:rsidRPr="00A42B09">
        <w:rPr>
          <w:sz w:val="24"/>
        </w:rPr>
        <w:t>characteristics</w:t>
      </w:r>
      <w:r w:rsidRPr="00A42B09">
        <w:rPr>
          <w:spacing w:val="-8"/>
          <w:sz w:val="24"/>
        </w:rPr>
        <w:t xml:space="preserve"> </w:t>
      </w:r>
      <w:r w:rsidRPr="00A42B09">
        <w:rPr>
          <w:sz w:val="24"/>
        </w:rPr>
        <w:t>of</w:t>
      </w:r>
      <w:r w:rsidRPr="00A42B09">
        <w:rPr>
          <w:spacing w:val="-14"/>
          <w:sz w:val="24"/>
        </w:rPr>
        <w:t xml:space="preserve"> </w:t>
      </w:r>
      <w:r w:rsidRPr="00A42B09">
        <w:rPr>
          <w:sz w:val="24"/>
        </w:rPr>
        <w:t>the</w:t>
      </w:r>
      <w:r w:rsidRPr="00A42B09">
        <w:rPr>
          <w:spacing w:val="-7"/>
          <w:sz w:val="24"/>
        </w:rPr>
        <w:t xml:space="preserve"> </w:t>
      </w:r>
      <w:r w:rsidRPr="00A42B09">
        <w:rPr>
          <w:sz w:val="24"/>
        </w:rPr>
        <w:t>individuals</w:t>
      </w:r>
      <w:r w:rsidRPr="00A42B09">
        <w:rPr>
          <w:spacing w:val="-8"/>
          <w:sz w:val="24"/>
        </w:rPr>
        <w:t xml:space="preserve"> </w:t>
      </w:r>
      <w:r w:rsidRPr="00A42B09">
        <w:rPr>
          <w:sz w:val="24"/>
        </w:rPr>
        <w:t>were</w:t>
      </w:r>
      <w:r w:rsidRPr="00A42B09">
        <w:rPr>
          <w:spacing w:val="-7"/>
          <w:sz w:val="24"/>
        </w:rPr>
        <w:t xml:space="preserve"> </w:t>
      </w:r>
      <w:r w:rsidRPr="00A42B09">
        <w:rPr>
          <w:sz w:val="24"/>
        </w:rPr>
        <w:t>summarized</w:t>
      </w:r>
      <w:r w:rsidRPr="00A42B09">
        <w:rPr>
          <w:spacing w:val="-6"/>
          <w:sz w:val="24"/>
        </w:rPr>
        <w:t xml:space="preserve"> </w:t>
      </w:r>
      <w:r w:rsidRPr="00A42B09">
        <w:rPr>
          <w:sz w:val="24"/>
        </w:rPr>
        <w:t>as</w:t>
      </w:r>
      <w:r w:rsidRPr="00A42B09">
        <w:rPr>
          <w:spacing w:val="-3"/>
          <w:sz w:val="24"/>
        </w:rPr>
        <w:t xml:space="preserve"> </w:t>
      </w:r>
      <w:r w:rsidRPr="00A42B09">
        <w:rPr>
          <w:sz w:val="24"/>
        </w:rPr>
        <w:t>mean</w:t>
      </w:r>
      <w:r w:rsidRPr="00A42B09">
        <w:rPr>
          <w:spacing w:val="-11"/>
          <w:sz w:val="24"/>
        </w:rPr>
        <w:t xml:space="preserve"> </w:t>
      </w:r>
      <w:r w:rsidRPr="00A42B09">
        <w:rPr>
          <w:sz w:val="24"/>
        </w:rPr>
        <w:t>±</w:t>
      </w:r>
      <w:r w:rsidRPr="00A42B09">
        <w:rPr>
          <w:spacing w:val="-8"/>
          <w:sz w:val="24"/>
        </w:rPr>
        <w:t xml:space="preserve"> </w:t>
      </w:r>
      <w:r w:rsidRPr="00A42B09">
        <w:rPr>
          <w:sz w:val="24"/>
        </w:rPr>
        <w:t>SD. The</w:t>
      </w:r>
      <w:r w:rsidRPr="00A42B09">
        <w:rPr>
          <w:spacing w:val="-7"/>
          <w:sz w:val="24"/>
        </w:rPr>
        <w:t xml:space="preserve"> </w:t>
      </w:r>
      <w:r w:rsidRPr="00A42B09">
        <w:rPr>
          <w:sz w:val="24"/>
        </w:rPr>
        <w:t>two-</w:t>
      </w:r>
      <w:r w:rsidRPr="00A42B09">
        <w:rPr>
          <w:spacing w:val="-2"/>
          <w:sz w:val="24"/>
        </w:rPr>
        <w:t>sample</w:t>
      </w:r>
    </w:p>
    <w:p w14:paraId="653C74E6" w14:textId="77777777" w:rsidR="001533EC" w:rsidRPr="00A42B09" w:rsidRDefault="001533EC" w:rsidP="0088126A">
      <w:pPr>
        <w:widowControl w:val="0"/>
        <w:tabs>
          <w:tab w:val="left" w:pos="796"/>
        </w:tabs>
        <w:autoSpaceDE w:val="0"/>
        <w:autoSpaceDN w:val="0"/>
        <w:spacing w:line="480" w:lineRule="auto"/>
        <w:jc w:val="both"/>
        <w:rPr>
          <w:rFonts w:ascii="Calibri"/>
        </w:rPr>
      </w:pPr>
      <w:r w:rsidRPr="00A42B09">
        <w:rPr>
          <w:sz w:val="24"/>
        </w:rPr>
        <w:t>Wilcoxon</w:t>
      </w:r>
      <w:r w:rsidRPr="00A42B09">
        <w:rPr>
          <w:spacing w:val="1"/>
          <w:sz w:val="24"/>
        </w:rPr>
        <w:t xml:space="preserve"> </w:t>
      </w:r>
      <w:r w:rsidRPr="00A42B09">
        <w:rPr>
          <w:sz w:val="24"/>
        </w:rPr>
        <w:t>rank</w:t>
      </w:r>
      <w:r w:rsidRPr="00A42B09">
        <w:rPr>
          <w:spacing w:val="9"/>
          <w:sz w:val="24"/>
        </w:rPr>
        <w:t xml:space="preserve"> </w:t>
      </w:r>
      <w:r w:rsidRPr="00A42B09">
        <w:rPr>
          <w:sz w:val="24"/>
        </w:rPr>
        <w:t>test</w:t>
      </w:r>
      <w:r w:rsidRPr="00A42B09">
        <w:rPr>
          <w:spacing w:val="5"/>
          <w:sz w:val="24"/>
        </w:rPr>
        <w:t xml:space="preserve"> </w:t>
      </w:r>
      <w:r w:rsidRPr="00A42B09">
        <w:rPr>
          <w:sz w:val="24"/>
        </w:rPr>
        <w:t>or</w:t>
      </w:r>
      <w:r w:rsidRPr="00A42B09">
        <w:rPr>
          <w:spacing w:val="6"/>
          <w:sz w:val="24"/>
        </w:rPr>
        <w:t xml:space="preserve"> </w:t>
      </w:r>
      <w:r w:rsidRPr="00A42B09">
        <w:rPr>
          <w:sz w:val="24"/>
        </w:rPr>
        <w:t>Unpaired</w:t>
      </w:r>
      <w:r w:rsidRPr="00A42B09">
        <w:rPr>
          <w:spacing w:val="8"/>
          <w:sz w:val="24"/>
        </w:rPr>
        <w:t xml:space="preserve"> </w:t>
      </w:r>
      <w:r w:rsidRPr="00A42B09">
        <w:rPr>
          <w:sz w:val="24"/>
        </w:rPr>
        <w:t>t-test</w:t>
      </w:r>
      <w:r w:rsidRPr="00A42B09">
        <w:rPr>
          <w:spacing w:val="10"/>
          <w:sz w:val="24"/>
        </w:rPr>
        <w:t xml:space="preserve"> </w:t>
      </w:r>
      <w:r w:rsidRPr="00A42B09">
        <w:rPr>
          <w:sz w:val="24"/>
        </w:rPr>
        <w:t>was</w:t>
      </w:r>
      <w:r w:rsidRPr="00A42B09">
        <w:rPr>
          <w:spacing w:val="7"/>
          <w:sz w:val="24"/>
        </w:rPr>
        <w:t xml:space="preserve"> </w:t>
      </w:r>
      <w:r w:rsidRPr="00A42B09">
        <w:rPr>
          <w:sz w:val="24"/>
        </w:rPr>
        <w:t>used</w:t>
      </w:r>
      <w:r w:rsidRPr="00A42B09">
        <w:rPr>
          <w:spacing w:val="9"/>
          <w:sz w:val="24"/>
        </w:rPr>
        <w:t xml:space="preserve"> </w:t>
      </w:r>
      <w:r w:rsidRPr="00A42B09">
        <w:rPr>
          <w:sz w:val="24"/>
        </w:rPr>
        <w:t>based</w:t>
      </w:r>
      <w:r w:rsidRPr="00A42B09">
        <w:rPr>
          <w:spacing w:val="8"/>
          <w:sz w:val="24"/>
        </w:rPr>
        <w:t xml:space="preserve"> </w:t>
      </w:r>
      <w:r w:rsidRPr="00A42B09">
        <w:rPr>
          <w:sz w:val="24"/>
        </w:rPr>
        <w:t>on the</w:t>
      </w:r>
      <w:r w:rsidRPr="00A42B09">
        <w:rPr>
          <w:spacing w:val="8"/>
          <w:sz w:val="24"/>
        </w:rPr>
        <w:t xml:space="preserve"> </w:t>
      </w:r>
      <w:r w:rsidRPr="00A42B09">
        <w:rPr>
          <w:sz w:val="24"/>
        </w:rPr>
        <w:t>data</w:t>
      </w:r>
      <w:r w:rsidRPr="00A42B09">
        <w:rPr>
          <w:spacing w:val="8"/>
          <w:sz w:val="24"/>
        </w:rPr>
        <w:t xml:space="preserve"> </w:t>
      </w:r>
      <w:r w:rsidRPr="00A42B09">
        <w:rPr>
          <w:sz w:val="24"/>
        </w:rPr>
        <w:t>normality tested</w:t>
      </w:r>
      <w:r w:rsidRPr="00A42B09">
        <w:rPr>
          <w:spacing w:val="9"/>
          <w:sz w:val="24"/>
        </w:rPr>
        <w:t xml:space="preserve"> </w:t>
      </w:r>
      <w:r w:rsidRPr="00A42B09">
        <w:rPr>
          <w:sz w:val="24"/>
        </w:rPr>
        <w:t xml:space="preserve">by </w:t>
      </w:r>
      <w:r w:rsidRPr="00A42B09">
        <w:rPr>
          <w:spacing w:val="-2"/>
          <w:sz w:val="24"/>
        </w:rPr>
        <w:t>Shapiro</w:t>
      </w:r>
    </w:p>
    <w:p w14:paraId="6703A0C5" w14:textId="7BEDDD5C" w:rsidR="001533EC" w:rsidRPr="00A42B09" w:rsidRDefault="001533EC" w:rsidP="0088126A">
      <w:pPr>
        <w:widowControl w:val="0"/>
        <w:tabs>
          <w:tab w:val="left" w:pos="796"/>
        </w:tabs>
        <w:autoSpaceDE w:val="0"/>
        <w:autoSpaceDN w:val="0"/>
        <w:spacing w:line="480" w:lineRule="auto"/>
        <w:jc w:val="both"/>
        <w:rPr>
          <w:rFonts w:ascii="Calibri"/>
        </w:rPr>
      </w:pPr>
      <w:r w:rsidRPr="00A42B09">
        <w:rPr>
          <w:sz w:val="24"/>
        </w:rPr>
        <w:t>Wilk</w:t>
      </w:r>
      <w:r w:rsidRPr="00A42B09">
        <w:rPr>
          <w:spacing w:val="7"/>
          <w:sz w:val="24"/>
        </w:rPr>
        <w:t xml:space="preserve"> </w:t>
      </w:r>
      <w:r w:rsidRPr="00A42B09">
        <w:rPr>
          <w:sz w:val="24"/>
        </w:rPr>
        <w:t>normality</w:t>
      </w:r>
      <w:r w:rsidRPr="00A42B09">
        <w:rPr>
          <w:spacing w:val="1"/>
          <w:sz w:val="24"/>
        </w:rPr>
        <w:t xml:space="preserve"> </w:t>
      </w:r>
      <w:r w:rsidRPr="00A42B09">
        <w:rPr>
          <w:sz w:val="24"/>
        </w:rPr>
        <w:t>test</w:t>
      </w:r>
      <w:r w:rsidRPr="00A42B09">
        <w:rPr>
          <w:spacing w:val="11"/>
          <w:sz w:val="24"/>
        </w:rPr>
        <w:t xml:space="preserve"> </w:t>
      </w:r>
      <w:r w:rsidRPr="00A42B09">
        <w:rPr>
          <w:sz w:val="24"/>
        </w:rPr>
        <w:t>and</w:t>
      </w:r>
      <w:r w:rsidRPr="00A42B09">
        <w:rPr>
          <w:spacing w:val="9"/>
          <w:sz w:val="24"/>
        </w:rPr>
        <w:t xml:space="preserve"> </w:t>
      </w:r>
      <w:r w:rsidRPr="00A42B09">
        <w:rPr>
          <w:sz w:val="24"/>
        </w:rPr>
        <w:t>variance</w:t>
      </w:r>
      <w:r w:rsidRPr="00A42B09">
        <w:rPr>
          <w:spacing w:val="9"/>
          <w:sz w:val="24"/>
        </w:rPr>
        <w:t xml:space="preserve"> </w:t>
      </w:r>
      <w:r w:rsidRPr="00A42B09">
        <w:rPr>
          <w:sz w:val="24"/>
        </w:rPr>
        <w:t>with</w:t>
      </w:r>
      <w:r w:rsidRPr="00A42B09">
        <w:rPr>
          <w:spacing w:val="5"/>
          <w:sz w:val="24"/>
        </w:rPr>
        <w:t xml:space="preserve"> </w:t>
      </w:r>
      <w:r w:rsidRPr="00A42B09">
        <w:rPr>
          <w:sz w:val="24"/>
        </w:rPr>
        <w:t>F</w:t>
      </w:r>
      <w:r w:rsidRPr="00A42B09">
        <w:rPr>
          <w:spacing w:val="6"/>
          <w:sz w:val="24"/>
        </w:rPr>
        <w:t xml:space="preserve"> </w:t>
      </w:r>
      <w:r w:rsidRPr="00A42B09">
        <w:rPr>
          <w:sz w:val="24"/>
        </w:rPr>
        <w:t>test.</w:t>
      </w:r>
      <w:r w:rsidRPr="00A42B09">
        <w:rPr>
          <w:spacing w:val="7"/>
          <w:sz w:val="24"/>
        </w:rPr>
        <w:t xml:space="preserve"> </w:t>
      </w:r>
      <w:r w:rsidRPr="00A42B09">
        <w:rPr>
          <w:sz w:val="24"/>
        </w:rPr>
        <w:t>For</w:t>
      </w:r>
      <w:r w:rsidRPr="00A42B09">
        <w:rPr>
          <w:spacing w:val="2"/>
          <w:sz w:val="24"/>
        </w:rPr>
        <w:t xml:space="preserve"> </w:t>
      </w:r>
      <w:r w:rsidRPr="00A42B09">
        <w:rPr>
          <w:sz w:val="24"/>
        </w:rPr>
        <w:t>the</w:t>
      </w:r>
      <w:r w:rsidRPr="00A42B09">
        <w:rPr>
          <w:spacing w:val="9"/>
          <w:sz w:val="24"/>
        </w:rPr>
        <w:t xml:space="preserve"> </w:t>
      </w:r>
      <w:r w:rsidRPr="00A42B09">
        <w:rPr>
          <w:sz w:val="24"/>
        </w:rPr>
        <w:t>categorical</w:t>
      </w:r>
      <w:r w:rsidRPr="00A42B09">
        <w:rPr>
          <w:spacing w:val="1"/>
          <w:sz w:val="24"/>
        </w:rPr>
        <w:t xml:space="preserve"> </w:t>
      </w:r>
      <w:r w:rsidRPr="00A42B09">
        <w:rPr>
          <w:sz w:val="24"/>
        </w:rPr>
        <w:t>data,</w:t>
      </w:r>
      <w:r w:rsidRPr="00A42B09">
        <w:rPr>
          <w:spacing w:val="7"/>
          <w:sz w:val="24"/>
        </w:rPr>
        <w:t xml:space="preserve"> </w:t>
      </w:r>
      <w:r w:rsidRPr="00A42B09">
        <w:rPr>
          <w:sz w:val="24"/>
        </w:rPr>
        <w:t>the</w:t>
      </w:r>
      <w:r w:rsidRPr="00A42B09">
        <w:rPr>
          <w:spacing w:val="9"/>
          <w:sz w:val="24"/>
        </w:rPr>
        <w:t xml:space="preserve"> </w:t>
      </w:r>
      <w:r w:rsidRPr="00A42B09">
        <w:rPr>
          <w:sz w:val="24"/>
        </w:rPr>
        <w:t>Chi-square</w:t>
      </w:r>
      <w:r w:rsidRPr="00A42B09">
        <w:rPr>
          <w:spacing w:val="5"/>
          <w:sz w:val="24"/>
        </w:rPr>
        <w:t xml:space="preserve"> </w:t>
      </w:r>
      <w:r w:rsidRPr="00A42B09">
        <w:rPr>
          <w:sz w:val="24"/>
        </w:rPr>
        <w:t>test</w:t>
      </w:r>
      <w:r w:rsidRPr="00A42B09">
        <w:rPr>
          <w:spacing w:val="11"/>
          <w:sz w:val="24"/>
        </w:rPr>
        <w:t xml:space="preserve"> </w:t>
      </w:r>
      <w:r w:rsidRPr="00A42B09">
        <w:rPr>
          <w:spacing w:val="-5"/>
          <w:sz w:val="24"/>
        </w:rPr>
        <w:t>was</w:t>
      </w:r>
      <w:r w:rsidR="00820CE9">
        <w:rPr>
          <w:rFonts w:ascii="Calibri"/>
        </w:rPr>
        <w:t xml:space="preserve"> </w:t>
      </w:r>
      <w:r w:rsidRPr="00A42B09">
        <w:rPr>
          <w:sz w:val="24"/>
        </w:rPr>
        <w:t>used,</w:t>
      </w:r>
      <w:r w:rsidRPr="00A42B09">
        <w:rPr>
          <w:spacing w:val="-7"/>
          <w:sz w:val="24"/>
        </w:rPr>
        <w:t xml:space="preserve"> </w:t>
      </w:r>
      <w:r w:rsidRPr="00A42B09">
        <w:rPr>
          <w:sz w:val="24"/>
        </w:rPr>
        <w:t>and</w:t>
      </w:r>
      <w:r w:rsidRPr="00A42B09">
        <w:rPr>
          <w:spacing w:val="-2"/>
          <w:sz w:val="24"/>
        </w:rPr>
        <w:t xml:space="preserve"> </w:t>
      </w:r>
      <w:r w:rsidRPr="00A42B09">
        <w:rPr>
          <w:sz w:val="24"/>
        </w:rPr>
        <w:t>for</w:t>
      </w:r>
      <w:r w:rsidRPr="00A42B09">
        <w:rPr>
          <w:spacing w:val="-10"/>
          <w:sz w:val="24"/>
        </w:rPr>
        <w:t xml:space="preserve"> </w:t>
      </w:r>
      <w:r w:rsidRPr="00A42B09">
        <w:rPr>
          <w:sz w:val="24"/>
        </w:rPr>
        <w:t>the</w:t>
      </w:r>
      <w:r w:rsidRPr="00A42B09">
        <w:rPr>
          <w:spacing w:val="-8"/>
          <w:sz w:val="24"/>
        </w:rPr>
        <w:t xml:space="preserve"> </w:t>
      </w:r>
      <w:r w:rsidRPr="00A42B09">
        <w:rPr>
          <w:sz w:val="24"/>
        </w:rPr>
        <w:t>analyses,</w:t>
      </w:r>
      <w:r w:rsidRPr="00A42B09">
        <w:rPr>
          <w:spacing w:val="-5"/>
          <w:sz w:val="24"/>
        </w:rPr>
        <w:t xml:space="preserve"> </w:t>
      </w:r>
      <w:r w:rsidR="00820CE9">
        <w:rPr>
          <w:sz w:val="24"/>
        </w:rPr>
        <w:t>P</w:t>
      </w:r>
      <w:r w:rsidRPr="00A42B09">
        <w:rPr>
          <w:spacing w:val="-6"/>
          <w:sz w:val="24"/>
        </w:rPr>
        <w:t xml:space="preserve"> </w:t>
      </w:r>
      <w:r w:rsidRPr="00A42B09">
        <w:rPr>
          <w:sz w:val="24"/>
        </w:rPr>
        <w:t>&lt;</w:t>
      </w:r>
      <w:r w:rsidRPr="00A42B09">
        <w:rPr>
          <w:spacing w:val="-8"/>
          <w:sz w:val="24"/>
        </w:rPr>
        <w:t xml:space="preserve"> </w:t>
      </w:r>
      <w:r w:rsidRPr="00A42B09">
        <w:rPr>
          <w:sz w:val="24"/>
        </w:rPr>
        <w:t>0.05</w:t>
      </w:r>
      <w:r w:rsidRPr="00A42B09">
        <w:rPr>
          <w:spacing w:val="-7"/>
          <w:sz w:val="24"/>
        </w:rPr>
        <w:t xml:space="preserve"> </w:t>
      </w:r>
      <w:r w:rsidRPr="00A42B09">
        <w:rPr>
          <w:sz w:val="24"/>
        </w:rPr>
        <w:t>was</w:t>
      </w:r>
      <w:r w:rsidRPr="00A42B09">
        <w:rPr>
          <w:spacing w:val="-8"/>
          <w:sz w:val="24"/>
        </w:rPr>
        <w:t xml:space="preserve"> </w:t>
      </w:r>
      <w:r w:rsidRPr="00A42B09">
        <w:rPr>
          <w:sz w:val="24"/>
        </w:rPr>
        <w:t>considered</w:t>
      </w:r>
      <w:r w:rsidRPr="00A42B09">
        <w:rPr>
          <w:spacing w:val="2"/>
          <w:sz w:val="24"/>
        </w:rPr>
        <w:t xml:space="preserve"> </w:t>
      </w:r>
      <w:r w:rsidRPr="00A42B09">
        <w:rPr>
          <w:sz w:val="24"/>
        </w:rPr>
        <w:t>significant.</w:t>
      </w:r>
      <w:r w:rsidRPr="00A42B09">
        <w:rPr>
          <w:spacing w:val="-5"/>
          <w:sz w:val="24"/>
        </w:rPr>
        <w:t xml:space="preserve"> </w:t>
      </w:r>
      <w:r w:rsidRPr="00A42B09">
        <w:rPr>
          <w:sz w:val="24"/>
        </w:rPr>
        <w:t>For</w:t>
      </w:r>
      <w:r w:rsidRPr="00A42B09">
        <w:rPr>
          <w:spacing w:val="-9"/>
          <w:sz w:val="24"/>
        </w:rPr>
        <w:t xml:space="preserve"> </w:t>
      </w:r>
      <w:r w:rsidRPr="00A42B09">
        <w:rPr>
          <w:sz w:val="24"/>
        </w:rPr>
        <w:t>the</w:t>
      </w:r>
      <w:r w:rsidRPr="00A42B09">
        <w:rPr>
          <w:spacing w:val="-8"/>
          <w:sz w:val="24"/>
        </w:rPr>
        <w:t xml:space="preserve"> </w:t>
      </w:r>
      <w:r w:rsidRPr="00A42B09">
        <w:rPr>
          <w:sz w:val="24"/>
        </w:rPr>
        <w:t>differential</w:t>
      </w:r>
      <w:r w:rsidR="0088126A">
        <w:rPr>
          <w:spacing w:val="-10"/>
          <w:sz w:val="24"/>
        </w:rPr>
        <w:t xml:space="preserve"> </w:t>
      </w:r>
      <w:r w:rsidRPr="00A42B09">
        <w:rPr>
          <w:spacing w:val="-2"/>
          <w:sz w:val="24"/>
        </w:rPr>
        <w:t>methylation</w:t>
      </w:r>
      <w:r w:rsidR="00820CE9">
        <w:rPr>
          <w:spacing w:val="-2"/>
          <w:sz w:val="24"/>
        </w:rPr>
        <w:t xml:space="preserve"> </w:t>
      </w:r>
      <w:r w:rsidRPr="00A42B09">
        <w:rPr>
          <w:sz w:val="24"/>
        </w:rPr>
        <w:t>analysis,</w:t>
      </w:r>
      <w:r w:rsidRPr="00A42B09">
        <w:rPr>
          <w:spacing w:val="12"/>
          <w:sz w:val="24"/>
        </w:rPr>
        <w:t xml:space="preserve"> </w:t>
      </w:r>
      <w:r w:rsidRPr="00A42B09">
        <w:rPr>
          <w:sz w:val="24"/>
        </w:rPr>
        <w:t>default</w:t>
      </w:r>
      <w:r w:rsidRPr="00A42B09">
        <w:rPr>
          <w:spacing w:val="17"/>
          <w:sz w:val="24"/>
        </w:rPr>
        <w:t xml:space="preserve"> </w:t>
      </w:r>
      <w:proofErr w:type="spellStart"/>
      <w:r w:rsidRPr="00A42B09">
        <w:rPr>
          <w:sz w:val="24"/>
        </w:rPr>
        <w:t>ChAMP</w:t>
      </w:r>
      <w:proofErr w:type="spellEnd"/>
      <w:r w:rsidRPr="00A42B09">
        <w:rPr>
          <w:spacing w:val="13"/>
          <w:sz w:val="24"/>
        </w:rPr>
        <w:t xml:space="preserve"> </w:t>
      </w:r>
      <w:r w:rsidRPr="00A42B09">
        <w:rPr>
          <w:sz w:val="24"/>
        </w:rPr>
        <w:t>parameters</w:t>
      </w:r>
      <w:r w:rsidRPr="00A42B09">
        <w:rPr>
          <w:spacing w:val="11"/>
          <w:sz w:val="24"/>
        </w:rPr>
        <w:t xml:space="preserve"> </w:t>
      </w:r>
      <w:r w:rsidRPr="00A42B09">
        <w:rPr>
          <w:sz w:val="24"/>
        </w:rPr>
        <w:t>were</w:t>
      </w:r>
      <w:r w:rsidRPr="00A42B09">
        <w:rPr>
          <w:spacing w:val="11"/>
          <w:sz w:val="24"/>
        </w:rPr>
        <w:t xml:space="preserve"> </w:t>
      </w:r>
      <w:r w:rsidRPr="00A42B09">
        <w:rPr>
          <w:sz w:val="24"/>
        </w:rPr>
        <w:t>used</w:t>
      </w:r>
      <w:r w:rsidRPr="00A42B09">
        <w:rPr>
          <w:spacing w:val="12"/>
          <w:sz w:val="24"/>
        </w:rPr>
        <w:t xml:space="preserve"> </w:t>
      </w:r>
      <w:r w:rsidRPr="00A42B09">
        <w:rPr>
          <w:sz w:val="24"/>
        </w:rPr>
        <w:t>and</w:t>
      </w:r>
      <w:r w:rsidRPr="00A42B09">
        <w:rPr>
          <w:spacing w:val="18"/>
          <w:sz w:val="24"/>
        </w:rPr>
        <w:t xml:space="preserve"> </w:t>
      </w:r>
      <w:r w:rsidRPr="00A42B09">
        <w:rPr>
          <w:sz w:val="24"/>
        </w:rPr>
        <w:t>AdjP</w:t>
      </w:r>
      <w:r w:rsidRPr="00A42B09">
        <w:rPr>
          <w:spacing w:val="13"/>
          <w:sz w:val="24"/>
        </w:rPr>
        <w:t xml:space="preserve"> </w:t>
      </w:r>
      <w:r w:rsidRPr="00A42B09">
        <w:rPr>
          <w:sz w:val="24"/>
        </w:rPr>
        <w:t>&lt;</w:t>
      </w:r>
      <w:r w:rsidRPr="00A42B09">
        <w:rPr>
          <w:spacing w:val="11"/>
          <w:sz w:val="24"/>
        </w:rPr>
        <w:t xml:space="preserve"> </w:t>
      </w:r>
      <w:r w:rsidRPr="00A42B09">
        <w:rPr>
          <w:sz w:val="24"/>
        </w:rPr>
        <w:t>0.05</w:t>
      </w:r>
      <w:r w:rsidRPr="00A42B09">
        <w:rPr>
          <w:spacing w:val="13"/>
          <w:sz w:val="24"/>
        </w:rPr>
        <w:t xml:space="preserve"> </w:t>
      </w:r>
      <w:r w:rsidRPr="00A42B09">
        <w:rPr>
          <w:sz w:val="24"/>
        </w:rPr>
        <w:t>was</w:t>
      </w:r>
      <w:r w:rsidRPr="00A42B09">
        <w:rPr>
          <w:spacing w:val="10"/>
          <w:sz w:val="24"/>
        </w:rPr>
        <w:t xml:space="preserve"> </w:t>
      </w:r>
      <w:r w:rsidRPr="00A42B09">
        <w:rPr>
          <w:sz w:val="24"/>
        </w:rPr>
        <w:t>considered</w:t>
      </w:r>
      <w:r w:rsidRPr="00A42B09">
        <w:rPr>
          <w:spacing w:val="13"/>
          <w:sz w:val="24"/>
        </w:rPr>
        <w:t xml:space="preserve"> </w:t>
      </w:r>
      <w:r w:rsidRPr="00A42B09">
        <w:rPr>
          <w:spacing w:val="-2"/>
          <w:sz w:val="24"/>
        </w:rPr>
        <w:t>statistically</w:t>
      </w:r>
      <w:r w:rsidR="0088126A">
        <w:rPr>
          <w:rFonts w:ascii="Calibri"/>
        </w:rPr>
        <w:t xml:space="preserve"> </w:t>
      </w:r>
      <w:r w:rsidRPr="00A42B09">
        <w:rPr>
          <w:position w:val="2"/>
          <w:sz w:val="24"/>
        </w:rPr>
        <w:t>significant.</w:t>
      </w:r>
      <w:r w:rsidRPr="00A42B09">
        <w:rPr>
          <w:spacing w:val="-9"/>
          <w:position w:val="2"/>
          <w:sz w:val="24"/>
        </w:rPr>
        <w:t xml:space="preserve"> </w:t>
      </w:r>
      <w:r w:rsidRPr="00A42B09">
        <w:rPr>
          <w:position w:val="2"/>
          <w:sz w:val="24"/>
        </w:rPr>
        <w:t>The</w:t>
      </w:r>
      <w:r w:rsidRPr="00A42B09">
        <w:rPr>
          <w:spacing w:val="-12"/>
          <w:position w:val="2"/>
          <w:sz w:val="24"/>
        </w:rPr>
        <w:t xml:space="preserve"> </w:t>
      </w:r>
      <w:r w:rsidRPr="00A42B09">
        <w:rPr>
          <w:position w:val="2"/>
          <w:sz w:val="24"/>
        </w:rPr>
        <w:t>top</w:t>
      </w:r>
      <w:r w:rsidRPr="00A42B09">
        <w:rPr>
          <w:spacing w:val="-10"/>
          <w:position w:val="2"/>
          <w:sz w:val="24"/>
        </w:rPr>
        <w:t xml:space="preserve"> </w:t>
      </w:r>
      <w:r w:rsidRPr="00A42B09">
        <w:rPr>
          <w:position w:val="2"/>
          <w:sz w:val="24"/>
        </w:rPr>
        <w:t>differentially</w:t>
      </w:r>
      <w:r w:rsidRPr="00A42B09">
        <w:rPr>
          <w:spacing w:val="-11"/>
          <w:position w:val="2"/>
          <w:sz w:val="24"/>
        </w:rPr>
        <w:t xml:space="preserve"> </w:t>
      </w:r>
      <w:r w:rsidRPr="00A42B09">
        <w:rPr>
          <w:position w:val="2"/>
          <w:sz w:val="24"/>
        </w:rPr>
        <w:t>methylated</w:t>
      </w:r>
      <w:r w:rsidRPr="00A42B09">
        <w:rPr>
          <w:spacing w:val="-10"/>
          <w:position w:val="2"/>
          <w:sz w:val="24"/>
        </w:rPr>
        <w:t xml:space="preserve"> </w:t>
      </w:r>
      <w:r w:rsidRPr="00A42B09">
        <w:rPr>
          <w:position w:val="2"/>
          <w:sz w:val="24"/>
        </w:rPr>
        <w:t>positions</w:t>
      </w:r>
      <w:r w:rsidRPr="00A42B09">
        <w:rPr>
          <w:spacing w:val="-13"/>
          <w:position w:val="2"/>
          <w:sz w:val="24"/>
        </w:rPr>
        <w:t xml:space="preserve"> </w:t>
      </w:r>
      <w:r w:rsidRPr="00A42B09">
        <w:rPr>
          <w:position w:val="2"/>
          <w:sz w:val="24"/>
        </w:rPr>
        <w:t>were</w:t>
      </w:r>
      <w:r w:rsidRPr="00A42B09">
        <w:rPr>
          <w:spacing w:val="-11"/>
          <w:position w:val="2"/>
          <w:sz w:val="24"/>
        </w:rPr>
        <w:t xml:space="preserve"> </w:t>
      </w:r>
      <w:r w:rsidRPr="00A42B09">
        <w:rPr>
          <w:position w:val="2"/>
          <w:sz w:val="24"/>
        </w:rPr>
        <w:t>defined</w:t>
      </w:r>
      <w:r w:rsidRPr="00A42B09">
        <w:rPr>
          <w:spacing w:val="-11"/>
          <w:position w:val="2"/>
          <w:sz w:val="24"/>
        </w:rPr>
        <w:t xml:space="preserve"> </w:t>
      </w:r>
      <w:r w:rsidRPr="00A42B09">
        <w:rPr>
          <w:position w:val="2"/>
          <w:sz w:val="24"/>
        </w:rPr>
        <w:t>as</w:t>
      </w:r>
      <w:r w:rsidRPr="00A42B09">
        <w:rPr>
          <w:spacing w:val="-12"/>
          <w:position w:val="2"/>
          <w:sz w:val="24"/>
        </w:rPr>
        <w:t xml:space="preserve"> </w:t>
      </w:r>
      <w:r w:rsidRPr="00A42B09">
        <w:rPr>
          <w:position w:val="2"/>
          <w:sz w:val="24"/>
        </w:rPr>
        <w:t>|Δβ|</w:t>
      </w:r>
      <w:r w:rsidRPr="00A42B09">
        <w:rPr>
          <w:spacing w:val="-11"/>
          <w:position w:val="2"/>
          <w:sz w:val="24"/>
        </w:rPr>
        <w:t xml:space="preserve"> </w:t>
      </w:r>
      <w:r w:rsidRPr="00A42B09">
        <w:rPr>
          <w:position w:val="2"/>
          <w:sz w:val="24"/>
        </w:rPr>
        <w:t>=</w:t>
      </w:r>
      <w:r w:rsidRPr="00A42B09">
        <w:rPr>
          <w:spacing w:val="-6"/>
          <w:position w:val="2"/>
          <w:sz w:val="24"/>
        </w:rPr>
        <w:t xml:space="preserve"> </w:t>
      </w:r>
      <w:r w:rsidRPr="00A42B09">
        <w:rPr>
          <w:position w:val="2"/>
          <w:sz w:val="24"/>
        </w:rPr>
        <w:t>β</w:t>
      </w:r>
      <w:r w:rsidRPr="00A42B09">
        <w:rPr>
          <w:sz w:val="16"/>
        </w:rPr>
        <w:t>BIS</w:t>
      </w:r>
      <w:r w:rsidRPr="00A42B09">
        <w:rPr>
          <w:spacing w:val="-10"/>
          <w:sz w:val="16"/>
        </w:rPr>
        <w:t xml:space="preserve"> </w:t>
      </w:r>
      <w:r w:rsidRPr="00A42B09">
        <w:rPr>
          <w:position w:val="2"/>
          <w:sz w:val="24"/>
        </w:rPr>
        <w:t>-</w:t>
      </w:r>
      <w:r w:rsidRPr="00A42B09">
        <w:rPr>
          <w:spacing w:val="-8"/>
          <w:position w:val="2"/>
          <w:sz w:val="24"/>
        </w:rPr>
        <w:t xml:space="preserve"> </w:t>
      </w:r>
      <w:r w:rsidRPr="00A42B09">
        <w:rPr>
          <w:position w:val="2"/>
          <w:sz w:val="24"/>
        </w:rPr>
        <w:t>β</w:t>
      </w:r>
      <w:r w:rsidRPr="00A42B09">
        <w:rPr>
          <w:sz w:val="16"/>
        </w:rPr>
        <w:t>BIR</w:t>
      </w:r>
      <w:r w:rsidRPr="00A42B09">
        <w:rPr>
          <w:spacing w:val="14"/>
          <w:sz w:val="16"/>
        </w:rPr>
        <w:t xml:space="preserve"> </w:t>
      </w:r>
      <w:r w:rsidRPr="00A42B09">
        <w:rPr>
          <w:position w:val="2"/>
          <w:sz w:val="24"/>
        </w:rPr>
        <w:t>≥</w:t>
      </w:r>
      <w:r w:rsidRPr="00A42B09">
        <w:rPr>
          <w:spacing w:val="-13"/>
          <w:position w:val="2"/>
          <w:sz w:val="24"/>
        </w:rPr>
        <w:t xml:space="preserve"> </w:t>
      </w:r>
      <w:r w:rsidRPr="00A42B09">
        <w:rPr>
          <w:spacing w:val="-4"/>
          <w:position w:val="2"/>
          <w:sz w:val="24"/>
        </w:rPr>
        <w:t>2.5%</w:t>
      </w:r>
      <w:r w:rsidR="0088126A">
        <w:rPr>
          <w:rFonts w:ascii="Calibri"/>
        </w:rPr>
        <w:t xml:space="preserve"> </w:t>
      </w:r>
      <w:r w:rsidRPr="00A42B09">
        <w:rPr>
          <w:sz w:val="24"/>
        </w:rPr>
        <w:t>and</w:t>
      </w:r>
      <w:r w:rsidRPr="00A42B09">
        <w:rPr>
          <w:spacing w:val="-9"/>
          <w:sz w:val="24"/>
        </w:rPr>
        <w:t xml:space="preserve"> </w:t>
      </w:r>
      <w:r w:rsidRPr="00A42B09">
        <w:rPr>
          <w:sz w:val="24"/>
        </w:rPr>
        <w:t>AdjP</w:t>
      </w:r>
      <w:r w:rsidRPr="00A42B09">
        <w:rPr>
          <w:spacing w:val="-5"/>
          <w:sz w:val="24"/>
        </w:rPr>
        <w:t xml:space="preserve"> </w:t>
      </w:r>
      <w:r w:rsidRPr="00A42B09">
        <w:rPr>
          <w:sz w:val="24"/>
        </w:rPr>
        <w:t>&lt;</w:t>
      </w:r>
      <w:r w:rsidRPr="00A42B09">
        <w:rPr>
          <w:spacing w:val="-7"/>
          <w:sz w:val="24"/>
        </w:rPr>
        <w:t xml:space="preserve"> </w:t>
      </w:r>
      <w:r w:rsidRPr="00A42B09">
        <w:rPr>
          <w:sz w:val="24"/>
        </w:rPr>
        <w:t>0.05.</w:t>
      </w:r>
      <w:r w:rsidRPr="00A42B09">
        <w:rPr>
          <w:spacing w:val="-13"/>
          <w:sz w:val="24"/>
        </w:rPr>
        <w:t xml:space="preserve"> </w:t>
      </w:r>
      <w:r w:rsidRPr="00A42B09">
        <w:rPr>
          <w:sz w:val="24"/>
        </w:rPr>
        <w:t>The</w:t>
      </w:r>
      <w:r w:rsidRPr="00A42B09">
        <w:rPr>
          <w:spacing w:val="-7"/>
          <w:sz w:val="24"/>
        </w:rPr>
        <w:t xml:space="preserve"> </w:t>
      </w:r>
      <w:r w:rsidRPr="00A42B09">
        <w:rPr>
          <w:sz w:val="24"/>
        </w:rPr>
        <w:t>Spearman</w:t>
      </w:r>
      <w:r w:rsidRPr="00A42B09">
        <w:rPr>
          <w:spacing w:val="-10"/>
          <w:sz w:val="24"/>
        </w:rPr>
        <w:t xml:space="preserve"> </w:t>
      </w:r>
      <w:r w:rsidRPr="00A42B09">
        <w:rPr>
          <w:sz w:val="24"/>
        </w:rPr>
        <w:t>test</w:t>
      </w:r>
      <w:r w:rsidRPr="00A42B09">
        <w:rPr>
          <w:spacing w:val="-2"/>
          <w:sz w:val="24"/>
        </w:rPr>
        <w:t xml:space="preserve"> </w:t>
      </w:r>
      <w:r w:rsidRPr="00A42B09">
        <w:rPr>
          <w:sz w:val="24"/>
        </w:rPr>
        <w:t>was</w:t>
      </w:r>
      <w:r w:rsidRPr="00A42B09">
        <w:rPr>
          <w:spacing w:val="-13"/>
          <w:sz w:val="24"/>
        </w:rPr>
        <w:t xml:space="preserve"> </w:t>
      </w:r>
      <w:r w:rsidRPr="00A42B09">
        <w:rPr>
          <w:sz w:val="24"/>
        </w:rPr>
        <w:t>performed</w:t>
      </w:r>
      <w:r w:rsidRPr="00A42B09">
        <w:rPr>
          <w:spacing w:val="-10"/>
          <w:sz w:val="24"/>
        </w:rPr>
        <w:t xml:space="preserve"> </w:t>
      </w:r>
      <w:r w:rsidRPr="00A42B09">
        <w:rPr>
          <w:sz w:val="24"/>
        </w:rPr>
        <w:t>to</w:t>
      </w:r>
      <w:r w:rsidRPr="00A42B09">
        <w:rPr>
          <w:spacing w:val="-6"/>
          <w:sz w:val="24"/>
        </w:rPr>
        <w:t xml:space="preserve"> </w:t>
      </w:r>
      <w:r w:rsidRPr="00A42B09">
        <w:rPr>
          <w:sz w:val="24"/>
        </w:rPr>
        <w:t>check</w:t>
      </w:r>
      <w:r w:rsidRPr="00A42B09">
        <w:rPr>
          <w:spacing w:val="-6"/>
          <w:sz w:val="24"/>
        </w:rPr>
        <w:t xml:space="preserve"> </w:t>
      </w:r>
      <w:r w:rsidRPr="00A42B09">
        <w:rPr>
          <w:sz w:val="24"/>
        </w:rPr>
        <w:t>the</w:t>
      </w:r>
      <w:r w:rsidRPr="00A42B09">
        <w:rPr>
          <w:spacing w:val="-7"/>
          <w:sz w:val="24"/>
        </w:rPr>
        <w:t xml:space="preserve"> </w:t>
      </w:r>
      <w:r w:rsidRPr="00A42B09">
        <w:rPr>
          <w:sz w:val="24"/>
        </w:rPr>
        <w:t>correlation</w:t>
      </w:r>
      <w:r w:rsidR="0088126A">
        <w:rPr>
          <w:spacing w:val="-11"/>
          <w:sz w:val="24"/>
        </w:rPr>
        <w:t xml:space="preserve"> </w:t>
      </w:r>
      <w:r w:rsidRPr="00A42B09">
        <w:rPr>
          <w:sz w:val="24"/>
        </w:rPr>
        <w:t>between</w:t>
      </w:r>
      <w:r w:rsidRPr="00A42B09">
        <w:rPr>
          <w:spacing w:val="-10"/>
          <w:sz w:val="24"/>
        </w:rPr>
        <w:t xml:space="preserve"> </w:t>
      </w:r>
      <w:r w:rsidRPr="00A42B09">
        <w:rPr>
          <w:sz w:val="24"/>
        </w:rPr>
        <w:t>the</w:t>
      </w:r>
      <w:r w:rsidRPr="00A42B09">
        <w:rPr>
          <w:spacing w:val="-7"/>
          <w:sz w:val="24"/>
        </w:rPr>
        <w:t xml:space="preserve"> </w:t>
      </w:r>
      <w:r w:rsidRPr="00A42B09">
        <w:rPr>
          <w:spacing w:val="-2"/>
          <w:sz w:val="24"/>
        </w:rPr>
        <w:t>subset</w:t>
      </w:r>
      <w:r w:rsidR="0088126A">
        <w:rPr>
          <w:rFonts w:ascii="Calibri"/>
        </w:rPr>
        <w:t xml:space="preserve"> </w:t>
      </w:r>
      <w:r w:rsidRPr="00A42B09">
        <w:rPr>
          <w:sz w:val="24"/>
        </w:rPr>
        <w:t>of</w:t>
      </w:r>
      <w:r w:rsidRPr="00A42B09">
        <w:rPr>
          <w:spacing w:val="20"/>
          <w:sz w:val="24"/>
        </w:rPr>
        <w:t xml:space="preserve"> </w:t>
      </w:r>
      <w:proofErr w:type="spellStart"/>
      <w:r w:rsidRPr="00A42B09">
        <w:rPr>
          <w:sz w:val="24"/>
        </w:rPr>
        <w:t>CpGs</w:t>
      </w:r>
      <w:proofErr w:type="spellEnd"/>
      <w:r w:rsidRPr="00A42B09">
        <w:rPr>
          <w:spacing w:val="29"/>
          <w:sz w:val="24"/>
        </w:rPr>
        <w:t xml:space="preserve"> </w:t>
      </w:r>
      <w:r w:rsidRPr="00A42B09">
        <w:rPr>
          <w:sz w:val="24"/>
        </w:rPr>
        <w:t>(beta</w:t>
      </w:r>
      <w:r w:rsidRPr="00A42B09">
        <w:rPr>
          <w:spacing w:val="26"/>
          <w:sz w:val="24"/>
        </w:rPr>
        <w:t xml:space="preserve"> </w:t>
      </w:r>
      <w:r w:rsidRPr="00A42B09">
        <w:rPr>
          <w:sz w:val="24"/>
        </w:rPr>
        <w:t>values)</w:t>
      </w:r>
      <w:r w:rsidRPr="00A42B09">
        <w:rPr>
          <w:spacing w:val="32"/>
          <w:sz w:val="24"/>
        </w:rPr>
        <w:t xml:space="preserve"> </w:t>
      </w:r>
      <w:r w:rsidRPr="00A42B09">
        <w:rPr>
          <w:sz w:val="24"/>
        </w:rPr>
        <w:t>and</w:t>
      </w:r>
      <w:r w:rsidRPr="00A42B09">
        <w:rPr>
          <w:spacing w:val="30"/>
          <w:sz w:val="24"/>
        </w:rPr>
        <w:t xml:space="preserve"> </w:t>
      </w:r>
      <w:r w:rsidRPr="00A42B09">
        <w:rPr>
          <w:sz w:val="24"/>
        </w:rPr>
        <w:t>the</w:t>
      </w:r>
      <w:r w:rsidRPr="00A42B09">
        <w:rPr>
          <w:spacing w:val="30"/>
          <w:sz w:val="24"/>
        </w:rPr>
        <w:t xml:space="preserve"> </w:t>
      </w:r>
      <w:r w:rsidRPr="00A42B09">
        <w:rPr>
          <w:sz w:val="24"/>
        </w:rPr>
        <w:t>clinical</w:t>
      </w:r>
      <w:r w:rsidRPr="00A42B09">
        <w:rPr>
          <w:spacing w:val="21"/>
          <w:sz w:val="24"/>
        </w:rPr>
        <w:t xml:space="preserve"> </w:t>
      </w:r>
      <w:r w:rsidRPr="00A42B09">
        <w:rPr>
          <w:sz w:val="24"/>
        </w:rPr>
        <w:t>and</w:t>
      </w:r>
      <w:r w:rsidRPr="00A42B09">
        <w:rPr>
          <w:spacing w:val="31"/>
          <w:sz w:val="24"/>
        </w:rPr>
        <w:t xml:space="preserve"> </w:t>
      </w:r>
      <w:r w:rsidRPr="00A42B09">
        <w:rPr>
          <w:sz w:val="24"/>
        </w:rPr>
        <w:t>anthropometric</w:t>
      </w:r>
      <w:r w:rsidR="0088126A">
        <w:rPr>
          <w:spacing w:val="34"/>
          <w:sz w:val="24"/>
        </w:rPr>
        <w:t xml:space="preserve"> </w:t>
      </w:r>
      <w:r w:rsidRPr="00A42B09">
        <w:rPr>
          <w:sz w:val="24"/>
        </w:rPr>
        <w:t>measurements.</w:t>
      </w:r>
      <w:r w:rsidRPr="00A42B09">
        <w:rPr>
          <w:spacing w:val="32"/>
          <w:sz w:val="24"/>
        </w:rPr>
        <w:t xml:space="preserve"> </w:t>
      </w:r>
      <w:r w:rsidRPr="00A42B09">
        <w:rPr>
          <w:sz w:val="24"/>
        </w:rPr>
        <w:t>The</w:t>
      </w:r>
      <w:r w:rsidRPr="00A42B09">
        <w:rPr>
          <w:spacing w:val="29"/>
          <w:sz w:val="24"/>
        </w:rPr>
        <w:t xml:space="preserve"> </w:t>
      </w:r>
      <w:r w:rsidRPr="00A42B09">
        <w:rPr>
          <w:sz w:val="24"/>
        </w:rPr>
        <w:t>p-value</w:t>
      </w:r>
      <w:r w:rsidRPr="00A42B09">
        <w:rPr>
          <w:spacing w:val="30"/>
          <w:sz w:val="24"/>
        </w:rPr>
        <w:t xml:space="preserve"> </w:t>
      </w:r>
      <w:r w:rsidRPr="00A42B09">
        <w:rPr>
          <w:spacing w:val="-5"/>
          <w:sz w:val="24"/>
        </w:rPr>
        <w:t>was</w:t>
      </w:r>
      <w:r w:rsidR="0088126A">
        <w:rPr>
          <w:rFonts w:ascii="Calibri"/>
        </w:rPr>
        <w:t xml:space="preserve"> </w:t>
      </w:r>
      <w:r w:rsidRPr="00A42B09">
        <w:rPr>
          <w:sz w:val="24"/>
        </w:rPr>
        <w:t>adjusted</w:t>
      </w:r>
      <w:r w:rsidRPr="00A42B09">
        <w:rPr>
          <w:spacing w:val="49"/>
          <w:sz w:val="24"/>
        </w:rPr>
        <w:t xml:space="preserve"> </w:t>
      </w:r>
      <w:r w:rsidRPr="00A42B09">
        <w:rPr>
          <w:sz w:val="24"/>
        </w:rPr>
        <w:t>using</w:t>
      </w:r>
      <w:r w:rsidRPr="00A42B09">
        <w:rPr>
          <w:spacing w:val="51"/>
          <w:sz w:val="24"/>
        </w:rPr>
        <w:t xml:space="preserve"> </w:t>
      </w:r>
      <w:r w:rsidRPr="00A42B09">
        <w:rPr>
          <w:sz w:val="24"/>
        </w:rPr>
        <w:t>the</w:t>
      </w:r>
      <w:r w:rsidRPr="00A42B09">
        <w:rPr>
          <w:spacing w:val="51"/>
          <w:sz w:val="24"/>
        </w:rPr>
        <w:t xml:space="preserve"> </w:t>
      </w:r>
      <w:r w:rsidRPr="00A42B09">
        <w:rPr>
          <w:sz w:val="24"/>
        </w:rPr>
        <w:t>Benjamini-Hochberg</w:t>
      </w:r>
      <w:r w:rsidRPr="00A42B09">
        <w:rPr>
          <w:spacing w:val="57"/>
          <w:sz w:val="24"/>
        </w:rPr>
        <w:t xml:space="preserve"> </w:t>
      </w:r>
      <w:r w:rsidRPr="00A42B09">
        <w:rPr>
          <w:sz w:val="24"/>
        </w:rPr>
        <w:t>method,</w:t>
      </w:r>
      <w:r w:rsidRPr="00A42B09">
        <w:rPr>
          <w:spacing w:val="49"/>
          <w:sz w:val="24"/>
        </w:rPr>
        <w:t xml:space="preserve"> </w:t>
      </w:r>
      <w:r w:rsidRPr="00A42B09">
        <w:rPr>
          <w:sz w:val="24"/>
        </w:rPr>
        <w:t>and</w:t>
      </w:r>
      <w:r w:rsidRPr="00A42B09">
        <w:rPr>
          <w:spacing w:val="51"/>
          <w:sz w:val="24"/>
        </w:rPr>
        <w:t xml:space="preserve"> </w:t>
      </w:r>
      <w:r w:rsidRPr="00A42B09">
        <w:rPr>
          <w:sz w:val="24"/>
        </w:rPr>
        <w:t>a</w:t>
      </w:r>
      <w:r w:rsidRPr="00A42B09">
        <w:rPr>
          <w:spacing w:val="55"/>
          <w:sz w:val="24"/>
        </w:rPr>
        <w:t xml:space="preserve"> </w:t>
      </w:r>
      <w:r w:rsidRPr="00A42B09">
        <w:rPr>
          <w:sz w:val="24"/>
        </w:rPr>
        <w:t>value</w:t>
      </w:r>
      <w:r w:rsidRPr="00A42B09">
        <w:rPr>
          <w:spacing w:val="56"/>
          <w:sz w:val="24"/>
        </w:rPr>
        <w:t xml:space="preserve"> </w:t>
      </w:r>
      <w:r w:rsidRPr="00A42B09">
        <w:rPr>
          <w:sz w:val="24"/>
        </w:rPr>
        <w:t>below</w:t>
      </w:r>
      <w:r w:rsidRPr="00A42B09">
        <w:rPr>
          <w:spacing w:val="51"/>
          <w:sz w:val="24"/>
        </w:rPr>
        <w:t xml:space="preserve"> </w:t>
      </w:r>
      <w:r w:rsidRPr="00A42B09">
        <w:rPr>
          <w:sz w:val="24"/>
        </w:rPr>
        <w:t>0.05</w:t>
      </w:r>
      <w:r w:rsidRPr="00A42B09">
        <w:rPr>
          <w:spacing w:val="51"/>
          <w:sz w:val="24"/>
        </w:rPr>
        <w:t xml:space="preserve"> </w:t>
      </w:r>
      <w:r w:rsidRPr="00A42B09">
        <w:rPr>
          <w:sz w:val="24"/>
        </w:rPr>
        <w:t>was</w:t>
      </w:r>
      <w:r w:rsidRPr="00A42B09">
        <w:rPr>
          <w:spacing w:val="50"/>
          <w:sz w:val="24"/>
        </w:rPr>
        <w:t xml:space="preserve"> </w:t>
      </w:r>
      <w:r w:rsidRPr="00A42B09">
        <w:rPr>
          <w:spacing w:val="-2"/>
          <w:sz w:val="24"/>
        </w:rPr>
        <w:t>considered</w:t>
      </w:r>
      <w:r w:rsidR="0088126A">
        <w:rPr>
          <w:rFonts w:ascii="Calibri"/>
        </w:rPr>
        <w:t xml:space="preserve"> </w:t>
      </w:r>
      <w:r w:rsidRPr="00A42B09">
        <w:rPr>
          <w:sz w:val="24"/>
        </w:rPr>
        <w:t>statistically</w:t>
      </w:r>
      <w:r w:rsidRPr="00A42B09">
        <w:rPr>
          <w:spacing w:val="10"/>
          <w:sz w:val="24"/>
        </w:rPr>
        <w:t xml:space="preserve"> </w:t>
      </w:r>
      <w:r w:rsidRPr="00A42B09">
        <w:rPr>
          <w:sz w:val="24"/>
        </w:rPr>
        <w:t>significant.</w:t>
      </w:r>
      <w:r w:rsidRPr="00A42B09">
        <w:rPr>
          <w:spacing w:val="24"/>
          <w:sz w:val="24"/>
        </w:rPr>
        <w:t xml:space="preserve"> </w:t>
      </w:r>
      <w:r w:rsidRPr="00A42B09">
        <w:rPr>
          <w:sz w:val="24"/>
        </w:rPr>
        <w:t>For</w:t>
      </w:r>
      <w:r w:rsidRPr="00A42B09">
        <w:rPr>
          <w:spacing w:val="18"/>
          <w:sz w:val="24"/>
        </w:rPr>
        <w:t xml:space="preserve"> </w:t>
      </w:r>
      <w:r w:rsidRPr="00A42B09">
        <w:rPr>
          <w:sz w:val="24"/>
        </w:rPr>
        <w:t>the</w:t>
      </w:r>
      <w:r w:rsidRPr="00A42B09">
        <w:rPr>
          <w:spacing w:val="22"/>
          <w:sz w:val="24"/>
        </w:rPr>
        <w:t xml:space="preserve"> </w:t>
      </w:r>
      <w:r w:rsidRPr="00A42B09">
        <w:rPr>
          <w:sz w:val="24"/>
        </w:rPr>
        <w:t>blood-brain</w:t>
      </w:r>
      <w:r w:rsidRPr="00A42B09">
        <w:rPr>
          <w:spacing w:val="17"/>
          <w:sz w:val="24"/>
        </w:rPr>
        <w:t xml:space="preserve"> </w:t>
      </w:r>
      <w:r w:rsidRPr="00A42B09">
        <w:rPr>
          <w:sz w:val="24"/>
        </w:rPr>
        <w:t>enrichment</w:t>
      </w:r>
      <w:r w:rsidR="0088126A">
        <w:rPr>
          <w:spacing w:val="27"/>
          <w:sz w:val="24"/>
        </w:rPr>
        <w:t xml:space="preserve"> </w:t>
      </w:r>
      <w:r w:rsidRPr="00A42B09">
        <w:rPr>
          <w:sz w:val="24"/>
        </w:rPr>
        <w:t>using</w:t>
      </w:r>
      <w:r w:rsidRPr="00A42B09">
        <w:rPr>
          <w:spacing w:val="22"/>
          <w:sz w:val="24"/>
        </w:rPr>
        <w:t xml:space="preserve"> </w:t>
      </w:r>
      <w:r w:rsidRPr="00A42B09">
        <w:rPr>
          <w:sz w:val="24"/>
        </w:rPr>
        <w:t>the</w:t>
      </w:r>
      <w:r w:rsidRPr="00A42B09">
        <w:rPr>
          <w:spacing w:val="16"/>
          <w:sz w:val="24"/>
        </w:rPr>
        <w:t xml:space="preserve"> </w:t>
      </w:r>
      <w:r w:rsidRPr="00A42B09">
        <w:rPr>
          <w:sz w:val="24"/>
        </w:rPr>
        <w:t>online</w:t>
      </w:r>
      <w:r w:rsidRPr="00A42B09">
        <w:rPr>
          <w:spacing w:val="21"/>
          <w:sz w:val="24"/>
        </w:rPr>
        <w:t xml:space="preserve"> </w:t>
      </w:r>
      <w:r w:rsidRPr="00A42B09">
        <w:rPr>
          <w:sz w:val="24"/>
        </w:rPr>
        <w:t>database,</w:t>
      </w:r>
      <w:r w:rsidRPr="00A42B09">
        <w:rPr>
          <w:spacing w:val="24"/>
          <w:sz w:val="24"/>
        </w:rPr>
        <w:t xml:space="preserve"> </w:t>
      </w:r>
      <w:r w:rsidRPr="00A42B09">
        <w:rPr>
          <w:sz w:val="24"/>
        </w:rPr>
        <w:t>a</w:t>
      </w:r>
      <w:r w:rsidRPr="00A42B09">
        <w:rPr>
          <w:spacing w:val="22"/>
          <w:sz w:val="24"/>
        </w:rPr>
        <w:t xml:space="preserve"> </w:t>
      </w:r>
      <w:r w:rsidRPr="00A42B09">
        <w:rPr>
          <w:spacing w:val="-2"/>
          <w:sz w:val="24"/>
        </w:rPr>
        <w:t>Pearson</w:t>
      </w:r>
      <w:r w:rsidR="0088126A">
        <w:rPr>
          <w:rFonts w:ascii="Calibri"/>
        </w:rPr>
        <w:t xml:space="preserve"> </w:t>
      </w:r>
      <w:r w:rsidRPr="00A42B09">
        <w:rPr>
          <w:sz w:val="24"/>
        </w:rPr>
        <w:t>correlation</w:t>
      </w:r>
      <w:r w:rsidRPr="00A42B09">
        <w:rPr>
          <w:spacing w:val="-9"/>
          <w:sz w:val="24"/>
        </w:rPr>
        <w:t xml:space="preserve"> </w:t>
      </w:r>
      <w:r w:rsidRPr="00A42B09">
        <w:rPr>
          <w:sz w:val="24"/>
        </w:rPr>
        <w:t>p-value</w:t>
      </w:r>
      <w:r w:rsidR="00FB2B62">
        <w:rPr>
          <w:sz w:val="24"/>
        </w:rPr>
        <w:t xml:space="preserve"> below</w:t>
      </w:r>
      <w:r w:rsidR="00FB2B62">
        <w:rPr>
          <w:spacing w:val="-3"/>
          <w:sz w:val="24"/>
        </w:rPr>
        <w:t xml:space="preserve"> P </w:t>
      </w:r>
      <w:r w:rsidRPr="00A42B09">
        <w:rPr>
          <w:sz w:val="24"/>
        </w:rPr>
        <w:t>&lt;</w:t>
      </w:r>
      <w:r w:rsidRPr="00A42B09">
        <w:rPr>
          <w:spacing w:val="-3"/>
          <w:sz w:val="24"/>
        </w:rPr>
        <w:t xml:space="preserve"> </w:t>
      </w:r>
      <w:r w:rsidRPr="00A42B09">
        <w:rPr>
          <w:sz w:val="24"/>
        </w:rPr>
        <w:t>0.05</w:t>
      </w:r>
      <w:r w:rsidRPr="00A42B09">
        <w:rPr>
          <w:spacing w:val="-2"/>
          <w:sz w:val="24"/>
        </w:rPr>
        <w:t xml:space="preserve"> </w:t>
      </w:r>
      <w:r w:rsidRPr="00A42B09">
        <w:rPr>
          <w:sz w:val="24"/>
        </w:rPr>
        <w:t>was</w:t>
      </w:r>
      <w:r w:rsidRPr="00A42B09">
        <w:rPr>
          <w:spacing w:val="-4"/>
          <w:sz w:val="24"/>
        </w:rPr>
        <w:t xml:space="preserve"> </w:t>
      </w:r>
      <w:r w:rsidRPr="00A42B09">
        <w:rPr>
          <w:sz w:val="24"/>
        </w:rPr>
        <w:t>considered</w:t>
      </w:r>
      <w:r w:rsidRPr="00A42B09">
        <w:rPr>
          <w:spacing w:val="-2"/>
          <w:sz w:val="24"/>
        </w:rPr>
        <w:t xml:space="preserve"> </w:t>
      </w:r>
      <w:r w:rsidRPr="00A42B09">
        <w:rPr>
          <w:sz w:val="24"/>
        </w:rPr>
        <w:t>statistically</w:t>
      </w:r>
      <w:r w:rsidRPr="00A42B09">
        <w:rPr>
          <w:spacing w:val="-6"/>
          <w:sz w:val="24"/>
        </w:rPr>
        <w:t xml:space="preserve"> </w:t>
      </w:r>
      <w:r w:rsidRPr="00A42B09">
        <w:rPr>
          <w:spacing w:val="-2"/>
          <w:sz w:val="24"/>
        </w:rPr>
        <w:t>significant.</w:t>
      </w:r>
    </w:p>
    <w:bookmarkEnd w:id="10"/>
    <w:bookmarkEnd w:id="11"/>
    <w:p w14:paraId="36C6C1D7" w14:textId="77777777" w:rsidR="00C361F6" w:rsidRPr="001533EC" w:rsidRDefault="00C361F6" w:rsidP="00C35B7A">
      <w:pPr>
        <w:spacing w:before="120" w:after="120" w:line="480" w:lineRule="auto"/>
        <w:jc w:val="both"/>
        <w:rPr>
          <w:b/>
          <w:bCs/>
          <w:sz w:val="24"/>
          <w:szCs w:val="24"/>
        </w:rPr>
      </w:pPr>
    </w:p>
    <w:p w14:paraId="15C7D5F7" w14:textId="2D79DAAC" w:rsidR="00C35B7A" w:rsidRPr="001533EC" w:rsidRDefault="00C35B7A" w:rsidP="00C35B7A">
      <w:pPr>
        <w:spacing w:before="120" w:after="120" w:line="480" w:lineRule="auto"/>
        <w:jc w:val="both"/>
        <w:rPr>
          <w:b/>
          <w:bCs/>
          <w:sz w:val="24"/>
          <w:szCs w:val="24"/>
        </w:rPr>
      </w:pPr>
      <w:r w:rsidRPr="001533EC">
        <w:rPr>
          <w:b/>
          <w:bCs/>
          <w:sz w:val="24"/>
          <w:szCs w:val="24"/>
        </w:rPr>
        <w:t>Acknowledgments</w:t>
      </w:r>
    </w:p>
    <w:p w14:paraId="2E6820C0" w14:textId="6525EAE4" w:rsidR="00C35B7A" w:rsidRPr="001533EC" w:rsidRDefault="00C35B7A" w:rsidP="00C35B7A">
      <w:pPr>
        <w:spacing w:line="480" w:lineRule="auto"/>
        <w:jc w:val="both"/>
        <w:outlineLvl w:val="2"/>
        <w:rPr>
          <w:sz w:val="24"/>
          <w:szCs w:val="24"/>
        </w:rPr>
      </w:pPr>
      <w:r w:rsidRPr="001533EC">
        <w:rPr>
          <w:sz w:val="24"/>
          <w:szCs w:val="24"/>
        </w:rPr>
        <w:lastRenderedPageBreak/>
        <w:t>The authors thank Eva Arlt from the German Institute for Human Nutrition for their excellent technical a</w:t>
      </w:r>
      <w:r w:rsidR="008878B2" w:rsidRPr="001533EC">
        <w:rPr>
          <w:sz w:val="24"/>
          <w:szCs w:val="24"/>
        </w:rPr>
        <w:t xml:space="preserve">ssistance. Figure 1 </w:t>
      </w:r>
      <w:r w:rsidR="00F273C6">
        <w:rPr>
          <w:sz w:val="24"/>
          <w:szCs w:val="24"/>
        </w:rPr>
        <w:t>and</w:t>
      </w:r>
      <w:r w:rsidRPr="001533EC">
        <w:rPr>
          <w:sz w:val="24"/>
          <w:szCs w:val="24"/>
        </w:rPr>
        <w:t xml:space="preserve"> fig. S1 were created with BioRender.com.</w:t>
      </w:r>
    </w:p>
    <w:p w14:paraId="19206099" w14:textId="77777777" w:rsidR="00E418DE" w:rsidRPr="001533EC" w:rsidRDefault="00E418DE" w:rsidP="00C35B7A">
      <w:pPr>
        <w:spacing w:line="480" w:lineRule="auto"/>
        <w:jc w:val="both"/>
        <w:rPr>
          <w:b/>
          <w:sz w:val="24"/>
          <w:szCs w:val="24"/>
        </w:rPr>
      </w:pPr>
    </w:p>
    <w:p w14:paraId="6BBD2C2E" w14:textId="42F05602" w:rsidR="00C35B7A" w:rsidRPr="001533EC" w:rsidRDefault="00C35B7A" w:rsidP="00C35B7A">
      <w:pPr>
        <w:spacing w:line="480" w:lineRule="auto"/>
        <w:jc w:val="both"/>
        <w:rPr>
          <w:b/>
          <w:sz w:val="24"/>
          <w:szCs w:val="24"/>
        </w:rPr>
      </w:pPr>
      <w:r w:rsidRPr="001533EC">
        <w:rPr>
          <w:b/>
          <w:sz w:val="24"/>
          <w:szCs w:val="24"/>
        </w:rPr>
        <w:t>Funding</w:t>
      </w:r>
    </w:p>
    <w:p w14:paraId="5354D706" w14:textId="6F52068F" w:rsidR="00C35B7A" w:rsidRPr="0009168B" w:rsidRDefault="00C35B7A" w:rsidP="00C35B7A">
      <w:pPr>
        <w:spacing w:line="480" w:lineRule="auto"/>
        <w:jc w:val="both"/>
        <w:outlineLvl w:val="2"/>
        <w:rPr>
          <w:sz w:val="24"/>
          <w:szCs w:val="24"/>
        </w:rPr>
      </w:pPr>
      <w:r w:rsidRPr="001533EC">
        <w:rPr>
          <w:sz w:val="24"/>
          <w:szCs w:val="24"/>
        </w:rPr>
        <w:t xml:space="preserve">The work was supported by the German Ministry of Education and Research (BMBF: DZD grant 82DZD03D03) and the Brandenburg State. MO and SK received a grant from the German Center for Diabetes Research (DZD </w:t>
      </w:r>
      <w:proofErr w:type="spellStart"/>
      <w:r w:rsidRPr="001533EC">
        <w:rPr>
          <w:sz w:val="24"/>
          <w:szCs w:val="24"/>
        </w:rPr>
        <w:t>e.V.</w:t>
      </w:r>
      <w:proofErr w:type="spellEnd"/>
      <w:r w:rsidRPr="001533EC">
        <w:rPr>
          <w:sz w:val="24"/>
          <w:szCs w:val="24"/>
        </w:rPr>
        <w:t xml:space="preserve"> DZD </w:t>
      </w:r>
      <w:r w:rsidR="0009168B">
        <w:rPr>
          <w:sz w:val="24"/>
          <w:szCs w:val="24"/>
        </w:rPr>
        <w:t xml:space="preserve">Twining </w:t>
      </w:r>
      <w:r w:rsidRPr="001533EC">
        <w:rPr>
          <w:sz w:val="24"/>
          <w:szCs w:val="24"/>
        </w:rPr>
        <w:t>Grant 2023). MO was supported by a grant from the German Diabetes Society (DDG) and the German Research Foundation (DFG, project number 525802829).</w:t>
      </w:r>
      <w:r w:rsidR="0009168B">
        <w:rPr>
          <w:sz w:val="24"/>
          <w:szCs w:val="24"/>
        </w:rPr>
        <w:t xml:space="preserve"> </w:t>
      </w:r>
      <w:r w:rsidR="0009168B" w:rsidRPr="0088126A">
        <w:rPr>
          <w:sz w:val="24"/>
          <w:szCs w:val="24"/>
          <w:lang w:val="en-GB"/>
        </w:rPr>
        <w:t>L.S. is supported by the German Research Association as a Clinician Scientist.</w:t>
      </w:r>
    </w:p>
    <w:p w14:paraId="5917628F" w14:textId="77777777" w:rsidR="00E418DE" w:rsidRPr="001533EC" w:rsidRDefault="00E418DE" w:rsidP="00C35B7A">
      <w:pPr>
        <w:spacing w:before="120" w:after="120" w:line="480" w:lineRule="auto"/>
        <w:jc w:val="both"/>
        <w:rPr>
          <w:b/>
          <w:sz w:val="24"/>
          <w:szCs w:val="24"/>
        </w:rPr>
      </w:pPr>
    </w:p>
    <w:p w14:paraId="78C9D3D3" w14:textId="361EDD2A" w:rsidR="00C35B7A" w:rsidRPr="001533EC" w:rsidRDefault="00C35B7A" w:rsidP="00C35B7A">
      <w:pPr>
        <w:spacing w:before="120" w:after="120" w:line="480" w:lineRule="auto"/>
        <w:jc w:val="both"/>
        <w:rPr>
          <w:b/>
          <w:sz w:val="24"/>
          <w:szCs w:val="24"/>
        </w:rPr>
      </w:pPr>
      <w:r w:rsidRPr="001533EC">
        <w:rPr>
          <w:b/>
          <w:sz w:val="24"/>
          <w:szCs w:val="24"/>
        </w:rPr>
        <w:t>Authors' contributions</w:t>
      </w:r>
    </w:p>
    <w:p w14:paraId="7D35AD32" w14:textId="67C04C54" w:rsidR="00C361F6" w:rsidRPr="001533EC" w:rsidRDefault="00C35B7A" w:rsidP="00C361F6">
      <w:pPr>
        <w:spacing w:before="120" w:after="120" w:line="480" w:lineRule="auto"/>
        <w:jc w:val="both"/>
        <w:rPr>
          <w:sz w:val="24"/>
          <w:szCs w:val="24"/>
        </w:rPr>
      </w:pPr>
      <w:r w:rsidRPr="001533EC">
        <w:rPr>
          <w:sz w:val="24"/>
          <w:szCs w:val="24"/>
        </w:rPr>
        <w:t xml:space="preserve">MO, SK and </w:t>
      </w:r>
      <w:proofErr w:type="spellStart"/>
      <w:r w:rsidRPr="001533EC">
        <w:rPr>
          <w:sz w:val="24"/>
          <w:szCs w:val="24"/>
        </w:rPr>
        <w:t>ASc</w:t>
      </w:r>
      <w:proofErr w:type="spellEnd"/>
      <w:r w:rsidRPr="001533EC">
        <w:rPr>
          <w:sz w:val="24"/>
          <w:szCs w:val="24"/>
        </w:rPr>
        <w:t xml:space="preserve"> </w:t>
      </w:r>
      <w:r w:rsidR="00602E2F">
        <w:rPr>
          <w:sz w:val="24"/>
          <w:szCs w:val="24"/>
        </w:rPr>
        <w:t>conceived and designed the study</w:t>
      </w:r>
      <w:r w:rsidRPr="001533EC">
        <w:rPr>
          <w:sz w:val="24"/>
          <w:szCs w:val="24"/>
        </w:rPr>
        <w:t xml:space="preserve">. SK designed and analyzed fMRI data. </w:t>
      </w:r>
      <w:proofErr w:type="spellStart"/>
      <w:r w:rsidRPr="001533EC">
        <w:rPr>
          <w:sz w:val="24"/>
          <w:szCs w:val="24"/>
          <w:lang w:val="en-GB"/>
        </w:rPr>
        <w:t>ASi</w:t>
      </w:r>
      <w:proofErr w:type="spellEnd"/>
      <w:r w:rsidRPr="001533EC">
        <w:rPr>
          <w:sz w:val="24"/>
          <w:szCs w:val="24"/>
          <w:lang w:val="en-GB"/>
        </w:rPr>
        <w:t xml:space="preserve"> performed bioinformatics analysis, machine learning based feature selection</w:t>
      </w:r>
      <w:r w:rsidR="009F143D">
        <w:rPr>
          <w:sz w:val="24"/>
          <w:szCs w:val="24"/>
          <w:lang w:val="en-GB"/>
        </w:rPr>
        <w:t>,</w:t>
      </w:r>
      <w:r w:rsidRPr="001533EC">
        <w:rPr>
          <w:sz w:val="24"/>
          <w:szCs w:val="24"/>
          <w:lang w:val="en-GB"/>
        </w:rPr>
        <w:t xml:space="preserve"> and validation on independent datasets. </w:t>
      </w:r>
      <w:r w:rsidRPr="001533EC">
        <w:rPr>
          <w:sz w:val="24"/>
          <w:szCs w:val="24"/>
        </w:rPr>
        <w:t>RS performed bioinformatic and statistical analyses. MJ and DW critically reviewed the bioinformatic workflow. AP provided clinical data. LS analyzed the clinical data. BW and SM</w:t>
      </w:r>
      <w:r w:rsidRPr="001533EC">
        <w:t xml:space="preserve"> </w:t>
      </w:r>
      <w:r w:rsidRPr="001533EC">
        <w:rPr>
          <w:sz w:val="24"/>
          <w:szCs w:val="24"/>
        </w:rPr>
        <w:t xml:space="preserve">performed neuroimaging experiments </w:t>
      </w:r>
      <w:r w:rsidR="00F941CF">
        <w:rPr>
          <w:sz w:val="24"/>
          <w:szCs w:val="24"/>
        </w:rPr>
        <w:t>on</w:t>
      </w:r>
      <w:r w:rsidR="00F941CF" w:rsidRPr="001533EC">
        <w:rPr>
          <w:sz w:val="24"/>
          <w:szCs w:val="24"/>
        </w:rPr>
        <w:t xml:space="preserve"> </w:t>
      </w:r>
      <w:r w:rsidRPr="001533EC">
        <w:rPr>
          <w:sz w:val="24"/>
          <w:szCs w:val="24"/>
        </w:rPr>
        <w:t>the second replication cohort.</w:t>
      </w:r>
      <w:r w:rsidR="00CF191C" w:rsidRPr="001533EC">
        <w:rPr>
          <w:sz w:val="24"/>
          <w:szCs w:val="24"/>
        </w:rPr>
        <w:t xml:space="preserve"> FE conducted replication analyses in EPIC-Potsdam. MBS is the primary investigator of EPIC-Potsdam and responsible for </w:t>
      </w:r>
      <w:r w:rsidR="00D56227" w:rsidRPr="001533EC">
        <w:rPr>
          <w:sz w:val="24"/>
          <w:szCs w:val="24"/>
        </w:rPr>
        <w:t xml:space="preserve">the </w:t>
      </w:r>
      <w:r w:rsidR="00CF191C" w:rsidRPr="001533EC">
        <w:rPr>
          <w:sz w:val="24"/>
          <w:szCs w:val="24"/>
        </w:rPr>
        <w:t>data curatio</w:t>
      </w:r>
      <w:r w:rsidR="00D56227" w:rsidRPr="001533EC">
        <w:rPr>
          <w:sz w:val="24"/>
          <w:szCs w:val="24"/>
        </w:rPr>
        <w:t>n</w:t>
      </w:r>
      <w:r w:rsidR="00F010E1">
        <w:rPr>
          <w:sz w:val="24"/>
          <w:szCs w:val="24"/>
        </w:rPr>
        <w:t xml:space="preserve"> </w:t>
      </w:r>
      <w:r w:rsidR="00CF191C" w:rsidRPr="001533EC">
        <w:rPr>
          <w:sz w:val="24"/>
          <w:szCs w:val="24"/>
        </w:rPr>
        <w:t xml:space="preserve">and </w:t>
      </w:r>
      <w:r w:rsidR="00D56227" w:rsidRPr="001533EC">
        <w:rPr>
          <w:sz w:val="24"/>
          <w:szCs w:val="24"/>
        </w:rPr>
        <w:t xml:space="preserve">study </w:t>
      </w:r>
      <w:r w:rsidR="00CF191C" w:rsidRPr="001533EC">
        <w:rPr>
          <w:sz w:val="24"/>
          <w:szCs w:val="24"/>
        </w:rPr>
        <w:t>supervision</w:t>
      </w:r>
      <w:r w:rsidR="00D56227" w:rsidRPr="001533EC">
        <w:rPr>
          <w:sz w:val="24"/>
          <w:szCs w:val="24"/>
        </w:rPr>
        <w:t>.</w:t>
      </w:r>
      <w:r w:rsidRPr="001533EC">
        <w:rPr>
          <w:sz w:val="24"/>
          <w:szCs w:val="24"/>
        </w:rPr>
        <w:t xml:space="preserve"> MH, HUH, HP, ALB, LS</w:t>
      </w:r>
      <w:r w:rsidR="00333F02">
        <w:rPr>
          <w:sz w:val="24"/>
          <w:szCs w:val="24"/>
        </w:rPr>
        <w:t>,</w:t>
      </w:r>
      <w:r w:rsidRPr="001533EC">
        <w:rPr>
          <w:sz w:val="24"/>
          <w:szCs w:val="24"/>
        </w:rPr>
        <w:t xml:space="preserve"> and </w:t>
      </w:r>
      <w:proofErr w:type="spellStart"/>
      <w:r w:rsidRPr="001533EC">
        <w:rPr>
          <w:sz w:val="24"/>
          <w:szCs w:val="24"/>
        </w:rPr>
        <w:t>ASc</w:t>
      </w:r>
      <w:proofErr w:type="spellEnd"/>
      <w:r w:rsidRPr="001533EC">
        <w:rPr>
          <w:sz w:val="24"/>
          <w:szCs w:val="24"/>
        </w:rPr>
        <w:t xml:space="preserve"> contributed to the discussion and critically edited and reviewed the results. SK, RS</w:t>
      </w:r>
      <w:r w:rsidR="005B5E46">
        <w:rPr>
          <w:sz w:val="24"/>
          <w:szCs w:val="24"/>
        </w:rPr>
        <w:t>,</w:t>
      </w:r>
      <w:r w:rsidRPr="001533EC">
        <w:rPr>
          <w:sz w:val="24"/>
          <w:szCs w:val="24"/>
        </w:rPr>
        <w:t xml:space="preserve"> and MO wrote the manuscript. MO and SK have primary responsibility for the final content of this manuscript. All authors read, critically and revised the manuscript and approved the final version.</w:t>
      </w:r>
    </w:p>
    <w:p w14:paraId="4786A998" w14:textId="77777777" w:rsidR="00C361F6" w:rsidRPr="001533EC" w:rsidRDefault="00C361F6" w:rsidP="00C35B7A">
      <w:pPr>
        <w:spacing w:line="480" w:lineRule="auto"/>
        <w:jc w:val="both"/>
        <w:rPr>
          <w:b/>
          <w:bCs/>
          <w:sz w:val="24"/>
          <w:szCs w:val="24"/>
        </w:rPr>
      </w:pPr>
    </w:p>
    <w:p w14:paraId="69C1170C" w14:textId="56745250" w:rsidR="00C35B7A" w:rsidRPr="001533EC" w:rsidRDefault="00C35B7A" w:rsidP="00C35B7A">
      <w:pPr>
        <w:spacing w:line="480" w:lineRule="auto"/>
        <w:jc w:val="both"/>
        <w:rPr>
          <w:b/>
          <w:bCs/>
          <w:sz w:val="24"/>
          <w:szCs w:val="24"/>
        </w:rPr>
      </w:pPr>
      <w:r w:rsidRPr="001533EC">
        <w:rPr>
          <w:b/>
          <w:bCs/>
          <w:sz w:val="24"/>
          <w:szCs w:val="24"/>
        </w:rPr>
        <w:t>Conflicts of interest</w:t>
      </w:r>
    </w:p>
    <w:p w14:paraId="2F9E1102" w14:textId="6D8F7462" w:rsidR="00C35B7A" w:rsidRDefault="00C35B7A" w:rsidP="00C35B7A">
      <w:pPr>
        <w:spacing w:line="480" w:lineRule="auto"/>
        <w:jc w:val="both"/>
        <w:rPr>
          <w:sz w:val="24"/>
          <w:szCs w:val="24"/>
          <w:lang w:val="en-GB"/>
        </w:rPr>
      </w:pPr>
      <w:r w:rsidRPr="001533EC">
        <w:rPr>
          <w:sz w:val="24"/>
          <w:szCs w:val="24"/>
          <w:lang w:val="en-GB"/>
        </w:rPr>
        <w:lastRenderedPageBreak/>
        <w:t xml:space="preserve">Outside of the current work, MH reports research grants from Boehringer Ingelheim and Sanofi to the University Hospital of Tübingen, participation in advisory board for Boehringer Ingelheim, Sanofi, and Amryt, and lecture fees from </w:t>
      </w:r>
      <w:proofErr w:type="spellStart"/>
      <w:r w:rsidRPr="001533EC">
        <w:rPr>
          <w:sz w:val="24"/>
          <w:szCs w:val="24"/>
          <w:lang w:val="en-GB"/>
        </w:rPr>
        <w:t>Amryt</w:t>
      </w:r>
      <w:proofErr w:type="spellEnd"/>
      <w:r w:rsidRPr="001533EC">
        <w:rPr>
          <w:sz w:val="24"/>
          <w:szCs w:val="24"/>
          <w:lang w:val="en-GB"/>
        </w:rPr>
        <w:t>, AstraZeneca, Bayer, Boehringer Ingelheim, Eli Lilly, Novartis, Novo Nordisk, and Sanofi.</w:t>
      </w:r>
      <w:r w:rsidR="00C35AC2">
        <w:rPr>
          <w:sz w:val="24"/>
          <w:szCs w:val="24"/>
          <w:lang w:val="en-GB"/>
        </w:rPr>
        <w:t xml:space="preserve"> MH</w:t>
      </w:r>
      <w:r w:rsidR="004B0C4A" w:rsidRPr="004B0C4A">
        <w:rPr>
          <w:sz w:val="24"/>
          <w:szCs w:val="24"/>
          <w:lang w:val="en-GB"/>
        </w:rPr>
        <w:t xml:space="preserve"> is currently board member of the German Diabetes Association (DDG).</w:t>
      </w:r>
    </w:p>
    <w:p w14:paraId="1E2A70C5" w14:textId="3198DEC5" w:rsidR="001A6DB0" w:rsidRPr="001533EC" w:rsidRDefault="00A53F07" w:rsidP="00C35B7A">
      <w:pPr>
        <w:spacing w:line="480" w:lineRule="auto"/>
        <w:jc w:val="both"/>
        <w:rPr>
          <w:sz w:val="24"/>
          <w:szCs w:val="24"/>
          <w:lang w:val="en-GB"/>
        </w:rPr>
      </w:pPr>
      <w:r>
        <w:rPr>
          <w:sz w:val="24"/>
          <w:szCs w:val="24"/>
          <w:lang w:val="en-GB"/>
        </w:rPr>
        <w:t xml:space="preserve">SK, </w:t>
      </w:r>
      <w:proofErr w:type="spellStart"/>
      <w:r>
        <w:rPr>
          <w:sz w:val="24"/>
          <w:szCs w:val="24"/>
          <w:lang w:val="en-GB"/>
        </w:rPr>
        <w:t>ASi</w:t>
      </w:r>
      <w:proofErr w:type="spellEnd"/>
      <w:r>
        <w:rPr>
          <w:sz w:val="24"/>
          <w:szCs w:val="24"/>
          <w:lang w:val="en-GB"/>
        </w:rPr>
        <w:t xml:space="preserve">, </w:t>
      </w:r>
      <w:r w:rsidR="00F338C7">
        <w:rPr>
          <w:sz w:val="24"/>
          <w:szCs w:val="24"/>
          <w:lang w:val="en-GB"/>
        </w:rPr>
        <w:t>RS, FE, LS, BW, MJ, AP, SM, DW, HP,</w:t>
      </w:r>
      <w:r w:rsidR="00C411D9">
        <w:rPr>
          <w:sz w:val="24"/>
          <w:szCs w:val="24"/>
          <w:lang w:val="en-GB"/>
        </w:rPr>
        <w:t xml:space="preserve"> </w:t>
      </w:r>
      <w:r w:rsidR="00F338C7">
        <w:rPr>
          <w:sz w:val="24"/>
          <w:szCs w:val="24"/>
          <w:lang w:val="en-GB"/>
        </w:rPr>
        <w:t>HUH, MBS, MH, ALB</w:t>
      </w:r>
      <w:r w:rsidR="00AC2171">
        <w:rPr>
          <w:sz w:val="24"/>
          <w:szCs w:val="24"/>
          <w:lang w:val="en-GB"/>
        </w:rPr>
        <w:t xml:space="preserve">, </w:t>
      </w:r>
      <w:proofErr w:type="spellStart"/>
      <w:r w:rsidR="00AC2171">
        <w:rPr>
          <w:sz w:val="24"/>
          <w:szCs w:val="24"/>
          <w:lang w:val="en-GB"/>
        </w:rPr>
        <w:t>ASc</w:t>
      </w:r>
      <w:proofErr w:type="spellEnd"/>
      <w:r w:rsidR="00AC2171">
        <w:rPr>
          <w:sz w:val="24"/>
          <w:szCs w:val="24"/>
          <w:lang w:val="en-GB"/>
        </w:rPr>
        <w:t xml:space="preserve"> and MO</w:t>
      </w:r>
      <w:r w:rsidR="001A6DB0">
        <w:rPr>
          <w:sz w:val="24"/>
          <w:szCs w:val="24"/>
          <w:lang w:val="en-GB"/>
        </w:rPr>
        <w:t xml:space="preserve"> declare </w:t>
      </w:r>
      <w:r w:rsidR="00AC2171">
        <w:rPr>
          <w:sz w:val="24"/>
          <w:szCs w:val="24"/>
          <w:lang w:val="en-GB"/>
        </w:rPr>
        <w:t xml:space="preserve">that they have </w:t>
      </w:r>
      <w:r w:rsidR="001A6DB0">
        <w:rPr>
          <w:sz w:val="24"/>
          <w:szCs w:val="24"/>
          <w:lang w:val="en-GB"/>
        </w:rPr>
        <w:t xml:space="preserve">no conflict of </w:t>
      </w:r>
      <w:r>
        <w:rPr>
          <w:sz w:val="24"/>
          <w:szCs w:val="24"/>
          <w:lang w:val="en-GB"/>
        </w:rPr>
        <w:t>interest</w:t>
      </w:r>
      <w:r w:rsidR="00C411D9">
        <w:rPr>
          <w:sz w:val="24"/>
          <w:szCs w:val="24"/>
          <w:lang w:val="en-GB"/>
        </w:rPr>
        <w:t>.</w:t>
      </w:r>
    </w:p>
    <w:p w14:paraId="5DFF57E9" w14:textId="77777777" w:rsidR="00C35B7A" w:rsidRPr="001533EC" w:rsidRDefault="00C35B7A" w:rsidP="00C35B7A">
      <w:pPr>
        <w:rPr>
          <w:b/>
          <w:sz w:val="24"/>
          <w:szCs w:val="24"/>
        </w:rPr>
      </w:pPr>
    </w:p>
    <w:p w14:paraId="0994D3D7" w14:textId="236AA197" w:rsidR="00C361F6" w:rsidRPr="001533EC" w:rsidRDefault="00C35B7A" w:rsidP="00C361F6">
      <w:pPr>
        <w:spacing w:line="480" w:lineRule="auto"/>
        <w:rPr>
          <w:b/>
          <w:sz w:val="24"/>
        </w:rPr>
      </w:pPr>
      <w:r w:rsidRPr="001533EC">
        <w:rPr>
          <w:b/>
          <w:sz w:val="24"/>
        </w:rPr>
        <w:t>Data and materials availability</w:t>
      </w:r>
    </w:p>
    <w:p w14:paraId="4E223461" w14:textId="74FF832B" w:rsidR="00C35B7A" w:rsidRPr="001533EC" w:rsidRDefault="00AF549C" w:rsidP="00C361F6">
      <w:pPr>
        <w:spacing w:line="480" w:lineRule="auto"/>
        <w:jc w:val="both"/>
        <w:rPr>
          <w:sz w:val="24"/>
        </w:rPr>
      </w:pPr>
      <w:r>
        <w:rPr>
          <w:sz w:val="24"/>
        </w:rPr>
        <w:t>All data associated with this paper are present in the paper or supplementary materials. Raw data</w:t>
      </w:r>
      <w:r w:rsidR="00C35B7A" w:rsidRPr="001533EC">
        <w:rPr>
          <w:sz w:val="24"/>
        </w:rPr>
        <w:t xml:space="preserve"> are included in the Supplementary Tables</w:t>
      </w:r>
      <w:r>
        <w:rPr>
          <w:sz w:val="24"/>
        </w:rPr>
        <w:t xml:space="preserve"> in data file S1</w:t>
      </w:r>
      <w:r w:rsidR="00C35B7A" w:rsidRPr="001533EC">
        <w:rPr>
          <w:sz w:val="24"/>
        </w:rPr>
        <w:t>, and</w:t>
      </w:r>
      <w:r w:rsidR="003340B4">
        <w:rPr>
          <w:sz w:val="24"/>
        </w:rPr>
        <w:t xml:space="preserve"> data from main and supplemental figures are in data file S2.</w:t>
      </w:r>
      <w:r w:rsidR="00C35B7A" w:rsidRPr="001533EC">
        <w:rPr>
          <w:sz w:val="24"/>
        </w:rPr>
        <w:t xml:space="preserve"> </w:t>
      </w:r>
      <w:r w:rsidR="003340B4">
        <w:rPr>
          <w:sz w:val="24"/>
        </w:rPr>
        <w:t>R</w:t>
      </w:r>
      <w:r w:rsidR="00C35B7A" w:rsidRPr="001533EC">
        <w:rPr>
          <w:sz w:val="24"/>
        </w:rPr>
        <w:t xml:space="preserve">aw methylation data </w:t>
      </w:r>
      <w:r w:rsidR="00991C64">
        <w:rPr>
          <w:sz w:val="24"/>
        </w:rPr>
        <w:t>is</w:t>
      </w:r>
      <w:r w:rsidR="00C35B7A" w:rsidRPr="001533EC">
        <w:rPr>
          <w:sz w:val="24"/>
        </w:rPr>
        <w:t xml:space="preserve"> available in the GEO repository </w:t>
      </w:r>
      <w:r w:rsidR="00991C64">
        <w:rPr>
          <w:sz w:val="24"/>
        </w:rPr>
        <w:t>under accession XXXXXX</w:t>
      </w:r>
      <w:r w:rsidR="00C35B7A" w:rsidRPr="001533EC">
        <w:rPr>
          <w:sz w:val="24"/>
        </w:rPr>
        <w:t>. Metabolic and an</w:t>
      </w:r>
      <w:r w:rsidR="008878B2" w:rsidRPr="001533EC">
        <w:rPr>
          <w:sz w:val="24"/>
        </w:rPr>
        <w:t>throp</w:t>
      </w:r>
      <w:r w:rsidR="00C35B7A" w:rsidRPr="001533EC">
        <w:rPr>
          <w:sz w:val="24"/>
        </w:rPr>
        <w:t xml:space="preserve">ometric data </w:t>
      </w:r>
      <w:r w:rsidR="00714B6A">
        <w:rPr>
          <w:sz w:val="24"/>
        </w:rPr>
        <w:t xml:space="preserve">from the discovery cohort, replication I and II </w:t>
      </w:r>
      <w:r w:rsidR="00C35B7A" w:rsidRPr="001533EC">
        <w:rPr>
          <w:sz w:val="24"/>
        </w:rPr>
        <w:t>are available</w:t>
      </w:r>
      <w:r w:rsidR="00665A5A">
        <w:rPr>
          <w:sz w:val="24"/>
        </w:rPr>
        <w:t xml:space="preserve"> in Data file 2</w:t>
      </w:r>
      <w:r w:rsidR="00714B6A">
        <w:rPr>
          <w:sz w:val="24"/>
        </w:rPr>
        <w:t>.</w:t>
      </w:r>
      <w:r w:rsidR="00887D52">
        <w:rPr>
          <w:sz w:val="24"/>
        </w:rPr>
        <w:t xml:space="preserve"> </w:t>
      </w:r>
      <w:r w:rsidR="008A1BE3" w:rsidRPr="008A1BE3">
        <w:rPr>
          <w:sz w:val="24"/>
          <w:szCs w:val="24"/>
        </w:rPr>
        <w:t xml:space="preserve">Access to the </w:t>
      </w:r>
      <w:r w:rsidR="008A1BE3">
        <w:rPr>
          <w:sz w:val="24"/>
          <w:szCs w:val="24"/>
        </w:rPr>
        <w:t xml:space="preserve">EPIC-Potsdam </w:t>
      </w:r>
      <w:r w:rsidR="008A1BE3" w:rsidRPr="008A1BE3">
        <w:rPr>
          <w:sz w:val="24"/>
          <w:szCs w:val="24"/>
        </w:rPr>
        <w:t>datasets is available for research and validation purposes, subject to adherence to the institutional data security protocols. According to a standard controlled access procedure, applications to use resources from EPIC-Potsdam will be reviewed by the Scientific Steering Committee to verify that the proposed use maintains the protection of the privacy of the participants and the confidentiality of the data in EPIC-Potsdam (convening monthly</w:t>
      </w:r>
      <w:proofErr w:type="gramStart"/>
      <w:r w:rsidR="008A1BE3" w:rsidRPr="008A1BE3">
        <w:rPr>
          <w:sz w:val="24"/>
          <w:szCs w:val="24"/>
        </w:rPr>
        <w:t>).</w:t>
      </w:r>
      <w:r w:rsidR="00C35B7A" w:rsidRPr="008A1BE3">
        <w:rPr>
          <w:sz w:val="24"/>
          <w:szCs w:val="24"/>
        </w:rPr>
        <w:t>.</w:t>
      </w:r>
      <w:proofErr w:type="gramEnd"/>
      <w:r w:rsidR="00C35B7A" w:rsidRPr="001533EC">
        <w:rPr>
          <w:sz w:val="24"/>
        </w:rPr>
        <w:t xml:space="preserve"> </w:t>
      </w:r>
    </w:p>
    <w:p w14:paraId="2BB9D3CB" w14:textId="77777777" w:rsidR="00E418DE" w:rsidRPr="001533EC" w:rsidRDefault="00E418DE" w:rsidP="00C35B7A">
      <w:pPr>
        <w:rPr>
          <w:b/>
          <w:sz w:val="24"/>
          <w:szCs w:val="24"/>
        </w:rPr>
      </w:pPr>
    </w:p>
    <w:p w14:paraId="11405132" w14:textId="24896229" w:rsidR="00C35B7A" w:rsidRPr="001533EC" w:rsidRDefault="00C35B7A" w:rsidP="00C35B7A">
      <w:pPr>
        <w:rPr>
          <w:b/>
          <w:sz w:val="24"/>
          <w:szCs w:val="24"/>
        </w:rPr>
      </w:pPr>
      <w:r w:rsidRPr="001533EC">
        <w:rPr>
          <w:b/>
          <w:sz w:val="24"/>
          <w:szCs w:val="24"/>
        </w:rPr>
        <w:t>Supplementary Materials</w:t>
      </w:r>
    </w:p>
    <w:p w14:paraId="45E1EA0F" w14:textId="53F97A96" w:rsidR="00B52A57" w:rsidRDefault="00B52A57" w:rsidP="00C35B7A">
      <w:pPr>
        <w:rPr>
          <w:sz w:val="24"/>
          <w:szCs w:val="24"/>
        </w:rPr>
      </w:pPr>
      <w:r>
        <w:rPr>
          <w:sz w:val="24"/>
          <w:szCs w:val="24"/>
        </w:rPr>
        <w:t>Materials and Methods</w:t>
      </w:r>
    </w:p>
    <w:p w14:paraId="6B77AA7A" w14:textId="77702F14" w:rsidR="00C35B7A" w:rsidRPr="001533EC" w:rsidRDefault="00C35B7A" w:rsidP="00C35B7A">
      <w:pPr>
        <w:rPr>
          <w:sz w:val="24"/>
          <w:szCs w:val="24"/>
        </w:rPr>
      </w:pPr>
      <w:r w:rsidRPr="001533EC">
        <w:rPr>
          <w:sz w:val="24"/>
          <w:szCs w:val="24"/>
        </w:rPr>
        <w:t>figs. S1 to S</w:t>
      </w:r>
      <w:r w:rsidR="00B674F4" w:rsidRPr="001533EC">
        <w:rPr>
          <w:sz w:val="24"/>
          <w:szCs w:val="24"/>
        </w:rPr>
        <w:t>8</w:t>
      </w:r>
    </w:p>
    <w:p w14:paraId="613D55C1" w14:textId="6F4AA9AA" w:rsidR="003340B4" w:rsidRDefault="00B52A57" w:rsidP="003340B4">
      <w:pPr>
        <w:rPr>
          <w:sz w:val="24"/>
          <w:szCs w:val="24"/>
          <w:u w:val="double"/>
        </w:rPr>
      </w:pPr>
      <w:r>
        <w:rPr>
          <w:sz w:val="24"/>
          <w:szCs w:val="24"/>
        </w:rPr>
        <w:t>data file</w:t>
      </w:r>
      <w:r w:rsidR="003340B4">
        <w:rPr>
          <w:sz w:val="24"/>
          <w:szCs w:val="24"/>
        </w:rPr>
        <w:t>s</w:t>
      </w:r>
      <w:r>
        <w:rPr>
          <w:sz w:val="24"/>
          <w:szCs w:val="24"/>
        </w:rPr>
        <w:t xml:space="preserve"> S1</w:t>
      </w:r>
      <w:r w:rsidR="003340B4">
        <w:rPr>
          <w:sz w:val="24"/>
          <w:szCs w:val="24"/>
        </w:rPr>
        <w:t>-S2</w:t>
      </w:r>
    </w:p>
    <w:p w14:paraId="494400DF" w14:textId="7C08FC24" w:rsidR="00B52A57" w:rsidRPr="00665A5A" w:rsidRDefault="00B52A57" w:rsidP="00C35B7A">
      <w:pPr>
        <w:rPr>
          <w:sz w:val="24"/>
          <w:szCs w:val="24"/>
        </w:rPr>
      </w:pPr>
      <w:r w:rsidRPr="00665A5A">
        <w:rPr>
          <w:sz w:val="24"/>
          <w:szCs w:val="24"/>
        </w:rPr>
        <w:t>MDAR checklist</w:t>
      </w:r>
    </w:p>
    <w:p w14:paraId="26B08A5E" w14:textId="1E5BD9B8" w:rsidR="00C35B7A" w:rsidRPr="001533EC" w:rsidRDefault="00C35B7A" w:rsidP="00C35B7A">
      <w:pPr>
        <w:rPr>
          <w:sz w:val="24"/>
          <w:szCs w:val="24"/>
        </w:rPr>
      </w:pPr>
    </w:p>
    <w:p w14:paraId="5DB8F4D7" w14:textId="77777777" w:rsidR="00C35B7A" w:rsidRPr="001533EC" w:rsidRDefault="00C35B7A" w:rsidP="00C35B7A">
      <w:pPr>
        <w:rPr>
          <w:sz w:val="24"/>
          <w:szCs w:val="24"/>
        </w:rPr>
      </w:pPr>
    </w:p>
    <w:p w14:paraId="5A2F8E0D" w14:textId="7CB127F1" w:rsidR="00C35B7A" w:rsidRPr="001533EC" w:rsidRDefault="00C35B7A" w:rsidP="00E418DE">
      <w:pPr>
        <w:rPr>
          <w:b/>
          <w:sz w:val="24"/>
          <w:szCs w:val="24"/>
        </w:rPr>
      </w:pPr>
      <w:r w:rsidRPr="001533EC">
        <w:rPr>
          <w:b/>
          <w:sz w:val="24"/>
          <w:szCs w:val="24"/>
        </w:rPr>
        <w:br w:type="page"/>
      </w:r>
      <w:bookmarkEnd w:id="5"/>
    </w:p>
    <w:p w14:paraId="6D695EAA" w14:textId="77777777" w:rsidR="00C35B7A" w:rsidRPr="001533EC" w:rsidRDefault="00C35B7A" w:rsidP="00C35B7A">
      <w:pPr>
        <w:spacing w:line="480" w:lineRule="auto"/>
        <w:jc w:val="both"/>
        <w:rPr>
          <w:b/>
          <w:sz w:val="24"/>
          <w:szCs w:val="24"/>
        </w:rPr>
      </w:pPr>
      <w:r w:rsidRPr="001533EC">
        <w:rPr>
          <w:b/>
          <w:sz w:val="24"/>
          <w:szCs w:val="24"/>
        </w:rPr>
        <w:lastRenderedPageBreak/>
        <w:t>References:</w:t>
      </w:r>
    </w:p>
    <w:p w14:paraId="1F3BAA11" w14:textId="3A74B4C0" w:rsidR="003663F0" w:rsidRPr="003663F0" w:rsidRDefault="00C35B7A" w:rsidP="003663F0">
      <w:pPr>
        <w:widowControl w:val="0"/>
        <w:autoSpaceDE w:val="0"/>
        <w:autoSpaceDN w:val="0"/>
        <w:adjustRightInd w:val="0"/>
        <w:rPr>
          <w:noProof/>
          <w:sz w:val="24"/>
          <w:szCs w:val="24"/>
        </w:rPr>
      </w:pPr>
      <w:r w:rsidRPr="001533EC">
        <w:rPr>
          <w:b/>
          <w:sz w:val="24"/>
          <w:szCs w:val="24"/>
        </w:rPr>
        <w:fldChar w:fldCharType="begin" w:fldLock="1"/>
      </w:r>
      <w:r w:rsidRPr="001533EC">
        <w:rPr>
          <w:b/>
          <w:sz w:val="24"/>
          <w:szCs w:val="24"/>
        </w:rPr>
        <w:instrText xml:space="preserve">ADDIN Mendeley Bibliography CSL_BIBLIOGRAPHY </w:instrText>
      </w:r>
      <w:r w:rsidRPr="001533EC">
        <w:rPr>
          <w:b/>
          <w:sz w:val="24"/>
          <w:szCs w:val="24"/>
        </w:rPr>
        <w:fldChar w:fldCharType="separate"/>
      </w:r>
      <w:r w:rsidR="003663F0" w:rsidRPr="003663F0">
        <w:rPr>
          <w:noProof/>
          <w:sz w:val="24"/>
          <w:szCs w:val="24"/>
        </w:rPr>
        <w:t xml:space="preserve">1. R. Agrawal, C. M. Reno, S. Sharma, C. Christensen, Y. Huang, S. J. Fisher, Insulin action in the brain regulates both central and peripheral functions. </w:t>
      </w:r>
      <w:r w:rsidR="003663F0" w:rsidRPr="003663F0">
        <w:rPr>
          <w:i/>
          <w:iCs/>
          <w:noProof/>
          <w:sz w:val="24"/>
          <w:szCs w:val="24"/>
        </w:rPr>
        <w:t>Am. J. Physiol. Metab.</w:t>
      </w:r>
      <w:r w:rsidR="003663F0" w:rsidRPr="003663F0">
        <w:rPr>
          <w:noProof/>
          <w:sz w:val="24"/>
          <w:szCs w:val="24"/>
        </w:rPr>
        <w:t xml:space="preserve"> </w:t>
      </w:r>
      <w:r w:rsidR="003663F0" w:rsidRPr="003663F0">
        <w:rPr>
          <w:b/>
          <w:bCs/>
          <w:noProof/>
          <w:sz w:val="24"/>
          <w:szCs w:val="24"/>
        </w:rPr>
        <w:t>321</w:t>
      </w:r>
      <w:r w:rsidR="003663F0" w:rsidRPr="003663F0">
        <w:rPr>
          <w:noProof/>
          <w:sz w:val="24"/>
          <w:szCs w:val="24"/>
        </w:rPr>
        <w:t>, E156–E163 (2021).</w:t>
      </w:r>
    </w:p>
    <w:p w14:paraId="4EF8178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 E. Blázquez, V. Hurtado-Carneiro, Y. LeBaut-Ayuso, E. Velázquez, L. García-García, F. Gómez-Oliver, J. M. Ruiz-Albusac, J. Ávila, M. Á. Pozo, Significance of Brain Glucose Hypometabolism, Altered Insulin Signal  Transduction, and Insulin Resistance in Several Neurological Diseases. </w:t>
      </w:r>
      <w:r w:rsidRPr="003663F0">
        <w:rPr>
          <w:i/>
          <w:iCs/>
          <w:noProof/>
          <w:sz w:val="24"/>
          <w:szCs w:val="24"/>
        </w:rPr>
        <w:t>Front. Endocrinol. (Lausanne).</w:t>
      </w:r>
      <w:r w:rsidRPr="003663F0">
        <w:rPr>
          <w:noProof/>
          <w:sz w:val="24"/>
          <w:szCs w:val="24"/>
        </w:rPr>
        <w:t xml:space="preserve"> </w:t>
      </w:r>
      <w:r w:rsidRPr="003663F0">
        <w:rPr>
          <w:b/>
          <w:bCs/>
          <w:noProof/>
          <w:sz w:val="24"/>
          <w:szCs w:val="24"/>
        </w:rPr>
        <w:t>13</w:t>
      </w:r>
      <w:r w:rsidRPr="003663F0">
        <w:rPr>
          <w:noProof/>
          <w:sz w:val="24"/>
          <w:szCs w:val="24"/>
        </w:rPr>
        <w:t>, 873301 (2022).</w:t>
      </w:r>
    </w:p>
    <w:p w14:paraId="1EAB8F94"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 S. Kullmann, M. Heni, M. Hallschmid, A. Fritsche, H. Preissl, H.-U. Häring, Brain Insulin Resistance at the Crossroads of Metabolic and Cognitive Disorders  in Humans. </w:t>
      </w:r>
      <w:r w:rsidRPr="003663F0">
        <w:rPr>
          <w:i/>
          <w:iCs/>
          <w:noProof/>
          <w:sz w:val="24"/>
          <w:szCs w:val="24"/>
        </w:rPr>
        <w:t>Physiol. Rev.</w:t>
      </w:r>
      <w:r w:rsidRPr="003663F0">
        <w:rPr>
          <w:noProof/>
          <w:sz w:val="24"/>
          <w:szCs w:val="24"/>
        </w:rPr>
        <w:t xml:space="preserve"> </w:t>
      </w:r>
      <w:r w:rsidRPr="003663F0">
        <w:rPr>
          <w:b/>
          <w:bCs/>
          <w:noProof/>
          <w:sz w:val="24"/>
          <w:szCs w:val="24"/>
        </w:rPr>
        <w:t>96</w:t>
      </w:r>
      <w:r w:rsidRPr="003663F0">
        <w:rPr>
          <w:noProof/>
          <w:sz w:val="24"/>
          <w:szCs w:val="24"/>
        </w:rPr>
        <w:t>, 1169–1209 (2016).</w:t>
      </w:r>
    </w:p>
    <w:p w14:paraId="36AFEC12"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 W. Chen, W. Cai, B. Hoover, C. R. Kahn, Insulin action in the brain: cell types, circuits, and diseases. </w:t>
      </w:r>
      <w:r w:rsidRPr="003663F0">
        <w:rPr>
          <w:i/>
          <w:iCs/>
          <w:noProof/>
          <w:sz w:val="24"/>
          <w:szCs w:val="24"/>
        </w:rPr>
        <w:t>Trends Neurosci.</w:t>
      </w:r>
      <w:r w:rsidRPr="003663F0">
        <w:rPr>
          <w:noProof/>
          <w:sz w:val="24"/>
          <w:szCs w:val="24"/>
        </w:rPr>
        <w:t xml:space="preserve"> </w:t>
      </w:r>
      <w:r w:rsidRPr="003663F0">
        <w:rPr>
          <w:b/>
          <w:bCs/>
          <w:noProof/>
          <w:sz w:val="24"/>
          <w:szCs w:val="24"/>
        </w:rPr>
        <w:t>45</w:t>
      </w:r>
      <w:r w:rsidRPr="003663F0">
        <w:rPr>
          <w:noProof/>
          <w:sz w:val="24"/>
          <w:szCs w:val="24"/>
        </w:rPr>
        <w:t>, 384–400 (2022).</w:t>
      </w:r>
    </w:p>
    <w:p w14:paraId="16003713"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 E. M. Rhea, M. Leclerc, H. N. Yassine, A. W. Capuano, H. Tong, V. A. Petyuk, S. L. Macauley, X. Fioramonti, O. Carmichael, F. Calon, Z. Arvanitakis, State of the Science on Brain Insulin Resistance and Cognitive Decline Due to  Alzheimer’s Disease. </w:t>
      </w:r>
      <w:r w:rsidRPr="003663F0">
        <w:rPr>
          <w:i/>
          <w:iCs/>
          <w:noProof/>
          <w:sz w:val="24"/>
          <w:szCs w:val="24"/>
        </w:rPr>
        <w:t>Aging Dis.</w:t>
      </w:r>
      <w:r w:rsidRPr="003663F0">
        <w:rPr>
          <w:noProof/>
          <w:sz w:val="24"/>
          <w:szCs w:val="24"/>
        </w:rPr>
        <w:t xml:space="preserve"> </w:t>
      </w:r>
      <w:r w:rsidRPr="003663F0">
        <w:rPr>
          <w:b/>
          <w:bCs/>
          <w:noProof/>
          <w:sz w:val="24"/>
          <w:szCs w:val="24"/>
        </w:rPr>
        <w:t>15</w:t>
      </w:r>
      <w:r w:rsidRPr="003663F0">
        <w:rPr>
          <w:noProof/>
          <w:sz w:val="24"/>
          <w:szCs w:val="24"/>
        </w:rPr>
        <w:t>, 1688–1725 (2024).</w:t>
      </w:r>
    </w:p>
    <w:p w14:paraId="214D80C9"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6. S. Kullmann, A. Kleinridders, D. M. Small, A. Fritsche, H.-U. Häring, H. Preissl, M. Heni, Central nervous pathways of insulin action in the control of metabolism and food  intake. </w:t>
      </w:r>
      <w:r w:rsidRPr="003663F0">
        <w:rPr>
          <w:i/>
          <w:iCs/>
          <w:noProof/>
          <w:sz w:val="24"/>
          <w:szCs w:val="24"/>
        </w:rPr>
        <w:t>lancet. Diabetes Endocrinol.</w:t>
      </w:r>
      <w:r w:rsidRPr="003663F0">
        <w:rPr>
          <w:noProof/>
          <w:sz w:val="24"/>
          <w:szCs w:val="24"/>
        </w:rPr>
        <w:t xml:space="preserve"> </w:t>
      </w:r>
      <w:r w:rsidRPr="003663F0">
        <w:rPr>
          <w:b/>
          <w:bCs/>
          <w:noProof/>
          <w:sz w:val="24"/>
          <w:szCs w:val="24"/>
        </w:rPr>
        <w:t>8</w:t>
      </w:r>
      <w:r w:rsidRPr="003663F0">
        <w:rPr>
          <w:noProof/>
          <w:sz w:val="24"/>
          <w:szCs w:val="24"/>
        </w:rPr>
        <w:t>, 524–534 (2020).</w:t>
      </w:r>
    </w:p>
    <w:p w14:paraId="3552714B"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7. E. Rebelos, M. Bucci, T. Karjalainen, V. Oikonen, A. Bertoldo, J. C. Hannukainen, K. A. Virtanen, A. Latva-Rasku, J. Hirvonen, I. Heinonen, R. Parkkola, M. Laakso, E. Ferrannini, P. Iozzo, L. Nummenmaa, P. Nuutila, Insulin Resistance Is Associated With Enhanced Brain Glucose Uptake During  Euglycemic Hyperinsulinemia: A Large-Scale PET Cohort. </w:t>
      </w:r>
      <w:r w:rsidRPr="003663F0">
        <w:rPr>
          <w:i/>
          <w:iCs/>
          <w:noProof/>
          <w:sz w:val="24"/>
          <w:szCs w:val="24"/>
        </w:rPr>
        <w:t>Diabetes Care</w:t>
      </w:r>
      <w:r w:rsidRPr="003663F0">
        <w:rPr>
          <w:noProof/>
          <w:sz w:val="24"/>
          <w:szCs w:val="24"/>
        </w:rPr>
        <w:t xml:space="preserve"> </w:t>
      </w:r>
      <w:r w:rsidRPr="003663F0">
        <w:rPr>
          <w:b/>
          <w:bCs/>
          <w:noProof/>
          <w:sz w:val="24"/>
          <w:szCs w:val="24"/>
        </w:rPr>
        <w:t>44</w:t>
      </w:r>
      <w:r w:rsidRPr="003663F0">
        <w:rPr>
          <w:noProof/>
          <w:sz w:val="24"/>
          <w:szCs w:val="24"/>
        </w:rPr>
        <w:t>, 788–794 (2021).</w:t>
      </w:r>
    </w:p>
    <w:p w14:paraId="36D10EA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8. M. Heni, The insulin resistant brain: impact on whole-body metabolism and body fat distribution. </w:t>
      </w:r>
      <w:r w:rsidRPr="003663F0">
        <w:rPr>
          <w:i/>
          <w:iCs/>
          <w:noProof/>
          <w:sz w:val="24"/>
          <w:szCs w:val="24"/>
        </w:rPr>
        <w:t>Diabetologia</w:t>
      </w:r>
      <w:r w:rsidRPr="003663F0">
        <w:rPr>
          <w:noProof/>
          <w:sz w:val="24"/>
          <w:szCs w:val="24"/>
        </w:rPr>
        <w:t xml:space="preserve"> (2024), doi:10.1007/s00125-024-06104-9.</w:t>
      </w:r>
    </w:p>
    <w:p w14:paraId="0D2C16A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9. D. Kapogiannis, A. Boxer, J. B. Schwartz, E. L. Abner, A. Biragyn, U. Masharani, L. Frassetto, R. C. Petersen, B. L. Miller, E. J. Goetzl, Dysfunctionally phosphorylated type 1 insulin receptor substrate in neural-derived blood exosomes of preclinical Alzheimer’s disease. </w:t>
      </w:r>
      <w:r w:rsidRPr="003663F0">
        <w:rPr>
          <w:i/>
          <w:iCs/>
          <w:noProof/>
          <w:sz w:val="24"/>
          <w:szCs w:val="24"/>
        </w:rPr>
        <w:t>FASEB J.</w:t>
      </w:r>
      <w:r w:rsidRPr="003663F0">
        <w:rPr>
          <w:noProof/>
          <w:sz w:val="24"/>
          <w:szCs w:val="24"/>
        </w:rPr>
        <w:t xml:space="preserve"> </w:t>
      </w:r>
      <w:r w:rsidRPr="003663F0">
        <w:rPr>
          <w:b/>
          <w:bCs/>
          <w:noProof/>
          <w:sz w:val="24"/>
          <w:szCs w:val="24"/>
        </w:rPr>
        <w:t>29</w:t>
      </w:r>
      <w:r w:rsidRPr="003663F0">
        <w:rPr>
          <w:noProof/>
          <w:sz w:val="24"/>
          <w:szCs w:val="24"/>
        </w:rPr>
        <w:t>, 589–596 (2015).</w:t>
      </w:r>
    </w:p>
    <w:p w14:paraId="6F6DD36A"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10. S. A. Hari Dass, K. McCracken, I. Pokhvisneva, L. M. Chen, E. Garg, T. T. T. Nguyen, Z. Wang, B. Barth, M. Yaqubi, L. M. McEwen, J. L. MacIsaac, J. Diorio, M. S. Kobor, K. J. O’Donnell, M. J. Meaney, P. P. Silveira, A biologically-informed polygenic score identifies endophenotypes and clinical  conditions associated with the insulin receptor function on specific brain regions. </w:t>
      </w:r>
      <w:r w:rsidRPr="003663F0">
        <w:rPr>
          <w:i/>
          <w:iCs/>
          <w:noProof/>
          <w:sz w:val="24"/>
          <w:szCs w:val="24"/>
        </w:rPr>
        <w:t>EBioMedicine</w:t>
      </w:r>
      <w:r w:rsidRPr="003663F0">
        <w:rPr>
          <w:noProof/>
          <w:sz w:val="24"/>
          <w:szCs w:val="24"/>
        </w:rPr>
        <w:t xml:space="preserve"> </w:t>
      </w:r>
      <w:r w:rsidRPr="003663F0">
        <w:rPr>
          <w:b/>
          <w:bCs/>
          <w:noProof/>
          <w:sz w:val="24"/>
          <w:szCs w:val="24"/>
        </w:rPr>
        <w:t>42</w:t>
      </w:r>
      <w:r w:rsidRPr="003663F0">
        <w:rPr>
          <w:noProof/>
          <w:sz w:val="24"/>
          <w:szCs w:val="24"/>
        </w:rPr>
        <w:t>, 188–202 (2019).</w:t>
      </w:r>
    </w:p>
    <w:p w14:paraId="63548609"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11. R. J. Mullins, M. Mustapic, E. J. Goetzl, D. Kapogiannis, Exosomal biomarkers of brain insulin resistance associated with regional atrophy  in Alzheimer’s disease. </w:t>
      </w:r>
      <w:r w:rsidRPr="003663F0">
        <w:rPr>
          <w:i/>
          <w:iCs/>
          <w:noProof/>
          <w:sz w:val="24"/>
          <w:szCs w:val="24"/>
        </w:rPr>
        <w:t>Hum. Brain Mapp.</w:t>
      </w:r>
      <w:r w:rsidRPr="003663F0">
        <w:rPr>
          <w:noProof/>
          <w:sz w:val="24"/>
          <w:szCs w:val="24"/>
        </w:rPr>
        <w:t xml:space="preserve"> </w:t>
      </w:r>
      <w:r w:rsidRPr="003663F0">
        <w:rPr>
          <w:b/>
          <w:bCs/>
          <w:noProof/>
          <w:sz w:val="24"/>
          <w:szCs w:val="24"/>
        </w:rPr>
        <w:t>38</w:t>
      </w:r>
      <w:r w:rsidRPr="003663F0">
        <w:rPr>
          <w:noProof/>
          <w:sz w:val="24"/>
          <w:szCs w:val="24"/>
        </w:rPr>
        <w:t>, 1933–1940 (2017).</w:t>
      </w:r>
    </w:p>
    <w:p w14:paraId="3CA70347"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12. C. Sarnowski, T. Huan, Y. Ma, R. Joehanes, A. Beiser, C. S. DeCarli, N. L. Heard-Costa, D. Levy, H. Lin, C.-T. Liu, C. Liu, J. B. Meigs, C. L. Satizabal, J. C. Florez, M.-F. Hivert, J. Dupuis, P. L. De Jager, D. A. Bennett, S. Seshadri, A. C. Morrison, Multi-tissue epigenetic analysis identifies distinct associations underlying  insulin resistance and Alzheimer’s disease at CPT1A locus. </w:t>
      </w:r>
      <w:r w:rsidRPr="003663F0">
        <w:rPr>
          <w:i/>
          <w:iCs/>
          <w:noProof/>
          <w:sz w:val="24"/>
          <w:szCs w:val="24"/>
        </w:rPr>
        <w:t>Clin. Epigenetics</w:t>
      </w:r>
      <w:r w:rsidRPr="003663F0">
        <w:rPr>
          <w:noProof/>
          <w:sz w:val="24"/>
          <w:szCs w:val="24"/>
        </w:rPr>
        <w:t xml:space="preserve"> </w:t>
      </w:r>
      <w:r w:rsidRPr="003663F0">
        <w:rPr>
          <w:b/>
          <w:bCs/>
          <w:noProof/>
          <w:sz w:val="24"/>
          <w:szCs w:val="24"/>
        </w:rPr>
        <w:t>15</w:t>
      </w:r>
      <w:r w:rsidRPr="003663F0">
        <w:rPr>
          <w:noProof/>
          <w:sz w:val="24"/>
          <w:szCs w:val="24"/>
        </w:rPr>
        <w:t>, 173 (2023).</w:t>
      </w:r>
    </w:p>
    <w:p w14:paraId="6E3585DE"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13. Z. Zhou, Y. Zhu, Y. Liu, Y. Yin, Comprehensive transcriptomic analysis indicates brain regional specific  alterations in type 2 diabetes. </w:t>
      </w:r>
      <w:r w:rsidRPr="003663F0">
        <w:rPr>
          <w:i/>
          <w:iCs/>
          <w:noProof/>
          <w:sz w:val="24"/>
          <w:szCs w:val="24"/>
        </w:rPr>
        <w:t>Aging (Albany. NY).</w:t>
      </w:r>
      <w:r w:rsidRPr="003663F0">
        <w:rPr>
          <w:noProof/>
          <w:sz w:val="24"/>
          <w:szCs w:val="24"/>
        </w:rPr>
        <w:t xml:space="preserve"> </w:t>
      </w:r>
      <w:r w:rsidRPr="003663F0">
        <w:rPr>
          <w:b/>
          <w:bCs/>
          <w:noProof/>
          <w:sz w:val="24"/>
          <w:szCs w:val="24"/>
        </w:rPr>
        <w:t>11</w:t>
      </w:r>
      <w:r w:rsidRPr="003663F0">
        <w:rPr>
          <w:noProof/>
          <w:sz w:val="24"/>
          <w:szCs w:val="24"/>
        </w:rPr>
        <w:t>, 6398–6421 (2019).</w:t>
      </w:r>
    </w:p>
    <w:p w14:paraId="165D9601"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14. S. Kullmann, V. Valenta, R. Wagner, O. Tschritter, J. Machann, H. U. Häring, H. Preissl, A. Fritsche, M. Heni, Brain insulin sensitivity is linked to adiposity and body fat distribution. </w:t>
      </w:r>
      <w:r w:rsidRPr="003663F0">
        <w:rPr>
          <w:i/>
          <w:iCs/>
          <w:noProof/>
          <w:sz w:val="24"/>
          <w:szCs w:val="24"/>
        </w:rPr>
        <w:t>Nat. Commun.</w:t>
      </w:r>
      <w:r w:rsidRPr="003663F0">
        <w:rPr>
          <w:noProof/>
          <w:sz w:val="24"/>
          <w:szCs w:val="24"/>
        </w:rPr>
        <w:t xml:space="preserve"> </w:t>
      </w:r>
      <w:r w:rsidRPr="003663F0">
        <w:rPr>
          <w:b/>
          <w:bCs/>
          <w:noProof/>
          <w:sz w:val="24"/>
          <w:szCs w:val="24"/>
        </w:rPr>
        <w:t>11</w:t>
      </w:r>
      <w:r w:rsidRPr="003663F0">
        <w:rPr>
          <w:noProof/>
          <w:sz w:val="24"/>
          <w:szCs w:val="24"/>
        </w:rPr>
        <w:t xml:space="preserve"> (2020), doi:10.1038/s41467-020-15686-y.</w:t>
      </w:r>
    </w:p>
    <w:p w14:paraId="1F505DB0"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15. S. Kullmann, J. Hummel, R. Wagner, C. Dannecker, A. Vosseler, L. Fritsche, R. Veit, K. </w:t>
      </w:r>
      <w:r w:rsidRPr="003663F0">
        <w:rPr>
          <w:noProof/>
          <w:sz w:val="24"/>
          <w:szCs w:val="24"/>
        </w:rPr>
        <w:lastRenderedPageBreak/>
        <w:t xml:space="preserve">Kantartzis, J. Machann, A. L. Birkenfeld, N. Stefan, H.-U. Häring, A. Peter, H. Preissl, A. Fritsche, M. Heni, Empagliflozin Improves Insulin Sensitivity of the Hypothalamus in Humans With  Prediabetes: A Randomized, Double-Blind, Placebo-Controlled, Phase 2 Trial. </w:t>
      </w:r>
      <w:r w:rsidRPr="003663F0">
        <w:rPr>
          <w:i/>
          <w:iCs/>
          <w:noProof/>
          <w:sz w:val="24"/>
          <w:szCs w:val="24"/>
        </w:rPr>
        <w:t>Diabetes Care</w:t>
      </w:r>
      <w:r w:rsidRPr="003663F0">
        <w:rPr>
          <w:noProof/>
          <w:sz w:val="24"/>
          <w:szCs w:val="24"/>
        </w:rPr>
        <w:t xml:space="preserve"> </w:t>
      </w:r>
      <w:r w:rsidRPr="003663F0">
        <w:rPr>
          <w:b/>
          <w:bCs/>
          <w:noProof/>
          <w:sz w:val="24"/>
          <w:szCs w:val="24"/>
        </w:rPr>
        <w:t>45</w:t>
      </w:r>
      <w:r w:rsidRPr="003663F0">
        <w:rPr>
          <w:noProof/>
          <w:sz w:val="24"/>
          <w:szCs w:val="24"/>
        </w:rPr>
        <w:t>, 398–406 (2022).</w:t>
      </w:r>
    </w:p>
    <w:p w14:paraId="6926DAB0"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16. C. Ling, T. Rönn, Epigenetics in Human Obesity and Type 2 Diabetes. </w:t>
      </w:r>
      <w:r w:rsidRPr="003663F0">
        <w:rPr>
          <w:i/>
          <w:iCs/>
          <w:noProof/>
          <w:sz w:val="24"/>
          <w:szCs w:val="24"/>
        </w:rPr>
        <w:t>Cell Metab.</w:t>
      </w:r>
      <w:r w:rsidRPr="003663F0">
        <w:rPr>
          <w:noProof/>
          <w:sz w:val="24"/>
          <w:szCs w:val="24"/>
        </w:rPr>
        <w:t xml:space="preserve"> </w:t>
      </w:r>
      <w:r w:rsidRPr="003663F0">
        <w:rPr>
          <w:b/>
          <w:bCs/>
          <w:noProof/>
          <w:sz w:val="24"/>
          <w:szCs w:val="24"/>
        </w:rPr>
        <w:t>29</w:t>
      </w:r>
      <w:r w:rsidRPr="003663F0">
        <w:rPr>
          <w:noProof/>
          <w:sz w:val="24"/>
          <w:szCs w:val="24"/>
        </w:rPr>
        <w:t>, 1028–1044 (2019).</w:t>
      </w:r>
    </w:p>
    <w:p w14:paraId="12A0832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17. H. Dong, Y. Sun, L. Nie, A. Cui, P. Zhao, W. K. Leung, Q. Wang, Metabolic memory: mechanisms and diseases. </w:t>
      </w:r>
      <w:r w:rsidRPr="003663F0">
        <w:rPr>
          <w:i/>
          <w:iCs/>
          <w:noProof/>
          <w:sz w:val="24"/>
          <w:szCs w:val="24"/>
        </w:rPr>
        <w:t>Signal Transduct. Target. Ther.</w:t>
      </w:r>
      <w:r w:rsidRPr="003663F0">
        <w:rPr>
          <w:noProof/>
          <w:sz w:val="24"/>
          <w:szCs w:val="24"/>
        </w:rPr>
        <w:t xml:space="preserve"> </w:t>
      </w:r>
      <w:r w:rsidRPr="003663F0">
        <w:rPr>
          <w:b/>
          <w:bCs/>
          <w:noProof/>
          <w:sz w:val="24"/>
          <w:szCs w:val="24"/>
        </w:rPr>
        <w:t>9</w:t>
      </w:r>
      <w:r w:rsidRPr="003663F0">
        <w:rPr>
          <w:noProof/>
          <w:sz w:val="24"/>
          <w:szCs w:val="24"/>
        </w:rPr>
        <w:t>, 38 (2024).</w:t>
      </w:r>
    </w:p>
    <w:p w14:paraId="32D45A9E"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18. K. Smith, J. Fan, G. A. Marriner, J. Gerdes, R. Kessler, K. R. Zinn, Distribution of insulin in primate brain following nose-to-brain transport. </w:t>
      </w:r>
      <w:r w:rsidRPr="003663F0">
        <w:rPr>
          <w:i/>
          <w:iCs/>
          <w:noProof/>
          <w:sz w:val="24"/>
          <w:szCs w:val="24"/>
        </w:rPr>
        <w:t>Alzheimer’s Dement. (New York, N. Y.)</w:t>
      </w:r>
      <w:r w:rsidRPr="003663F0">
        <w:rPr>
          <w:noProof/>
          <w:sz w:val="24"/>
          <w:szCs w:val="24"/>
        </w:rPr>
        <w:t xml:space="preserve"> </w:t>
      </w:r>
      <w:r w:rsidRPr="003663F0">
        <w:rPr>
          <w:b/>
          <w:bCs/>
          <w:noProof/>
          <w:sz w:val="24"/>
          <w:szCs w:val="24"/>
        </w:rPr>
        <w:t>10</w:t>
      </w:r>
      <w:r w:rsidRPr="003663F0">
        <w:rPr>
          <w:noProof/>
          <w:sz w:val="24"/>
          <w:szCs w:val="24"/>
        </w:rPr>
        <w:t>, e12459 (2024).</w:t>
      </w:r>
    </w:p>
    <w:p w14:paraId="17A52502"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19. S. Kullmann, R. Veit, A. Peter, R. Pohmann, K. Scheffler, H.-U. Häring, A. Fritsche, H. Preissl, M. Heni, Dose-Dependent Effects of Intranasal Insulin on Resting-State Brain Activity. </w:t>
      </w:r>
      <w:r w:rsidRPr="003663F0">
        <w:rPr>
          <w:i/>
          <w:iCs/>
          <w:noProof/>
          <w:sz w:val="24"/>
          <w:szCs w:val="24"/>
        </w:rPr>
        <w:t>J. Clin. Endocrinol. Metab.</w:t>
      </w:r>
      <w:r w:rsidRPr="003663F0">
        <w:rPr>
          <w:noProof/>
          <w:sz w:val="24"/>
          <w:szCs w:val="24"/>
        </w:rPr>
        <w:t xml:space="preserve"> </w:t>
      </w:r>
      <w:r w:rsidRPr="003663F0">
        <w:rPr>
          <w:b/>
          <w:bCs/>
          <w:noProof/>
          <w:sz w:val="24"/>
          <w:szCs w:val="24"/>
        </w:rPr>
        <w:t>103</w:t>
      </w:r>
      <w:r w:rsidRPr="003663F0">
        <w:rPr>
          <w:noProof/>
          <w:sz w:val="24"/>
          <w:szCs w:val="24"/>
        </w:rPr>
        <w:t>, 253–262 (2018).</w:t>
      </w:r>
    </w:p>
    <w:p w14:paraId="35898DC0"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20. H. Martin, S. Bullich, M. Martinat, M. Chataigner, M. Di Miceli, V. Simon, S. Clark, J. Butler, M. Schell, S. Chopra, F. Chaouloff, A. Kleinridders, D. Cota, P. De Deurwaerdere, L. Pénicaud, S. Layé, B. P. Guiard, X. Fioramonti, Insulin modulates emotional behavior through a serotonin-dependent mechanism. </w:t>
      </w:r>
      <w:r w:rsidRPr="003663F0">
        <w:rPr>
          <w:i/>
          <w:iCs/>
          <w:noProof/>
          <w:sz w:val="24"/>
          <w:szCs w:val="24"/>
        </w:rPr>
        <w:t>Mol. Psychiatry</w:t>
      </w:r>
      <w:r w:rsidRPr="003663F0">
        <w:rPr>
          <w:noProof/>
          <w:sz w:val="24"/>
          <w:szCs w:val="24"/>
        </w:rPr>
        <w:t xml:space="preserve"> </w:t>
      </w:r>
      <w:r w:rsidRPr="003663F0">
        <w:rPr>
          <w:b/>
          <w:bCs/>
          <w:noProof/>
          <w:sz w:val="24"/>
          <w:szCs w:val="24"/>
        </w:rPr>
        <w:t>29</w:t>
      </w:r>
      <w:r w:rsidRPr="003663F0">
        <w:rPr>
          <w:noProof/>
          <w:sz w:val="24"/>
          <w:szCs w:val="24"/>
        </w:rPr>
        <w:t>, 1610–1619 (2024).</w:t>
      </w:r>
    </w:p>
    <w:p w14:paraId="790FD849"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21. L. Wagner, R. Veit, L. Fritsche, H.-U. Häring, A. Fritsche, A. L. Birkenfeld, M. Heni, H. Preissl, S. Kullmann, Sex differences in central insulin action: Effect of intranasal insulin on neural  food cue reactivity in adults with normal weight and overweight. </w:t>
      </w:r>
      <w:r w:rsidRPr="003663F0">
        <w:rPr>
          <w:i/>
          <w:iCs/>
          <w:noProof/>
          <w:sz w:val="24"/>
          <w:szCs w:val="24"/>
        </w:rPr>
        <w:t>Int. J. Obes. (Lond).</w:t>
      </w:r>
      <w:r w:rsidRPr="003663F0">
        <w:rPr>
          <w:noProof/>
          <w:sz w:val="24"/>
          <w:szCs w:val="24"/>
        </w:rPr>
        <w:t xml:space="preserve"> </w:t>
      </w:r>
      <w:r w:rsidRPr="003663F0">
        <w:rPr>
          <w:b/>
          <w:bCs/>
          <w:noProof/>
          <w:sz w:val="24"/>
          <w:szCs w:val="24"/>
        </w:rPr>
        <w:t>46</w:t>
      </w:r>
      <w:r w:rsidRPr="003663F0">
        <w:rPr>
          <w:noProof/>
          <w:sz w:val="24"/>
          <w:szCs w:val="24"/>
        </w:rPr>
        <w:t>, 1662–1670 (2022).</w:t>
      </w:r>
    </w:p>
    <w:p w14:paraId="6FE96B0B"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22. S. Parvandeh, H.-W. Yeh, M. P. Paulus, B. A. McKinney, Consensus features nested cross-validation. </w:t>
      </w:r>
      <w:r w:rsidRPr="003663F0">
        <w:rPr>
          <w:i/>
          <w:iCs/>
          <w:noProof/>
          <w:sz w:val="24"/>
          <w:szCs w:val="24"/>
        </w:rPr>
        <w:t>Bioinformatics</w:t>
      </w:r>
      <w:r w:rsidRPr="003663F0">
        <w:rPr>
          <w:noProof/>
          <w:sz w:val="24"/>
          <w:szCs w:val="24"/>
        </w:rPr>
        <w:t xml:space="preserve"> </w:t>
      </w:r>
      <w:r w:rsidRPr="003663F0">
        <w:rPr>
          <w:b/>
          <w:bCs/>
          <w:noProof/>
          <w:sz w:val="24"/>
          <w:szCs w:val="24"/>
        </w:rPr>
        <w:t>36</w:t>
      </w:r>
      <w:r w:rsidRPr="003663F0">
        <w:rPr>
          <w:noProof/>
          <w:sz w:val="24"/>
          <w:szCs w:val="24"/>
        </w:rPr>
        <w:t>, 3093–3098 (2020).</w:t>
      </w:r>
    </w:p>
    <w:p w14:paraId="68BC6F04"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23. D. Chicco, G. Jurman, The advantages of the Matthews correlation coefficient (MCC) over F1 score and  accuracy in binary classification evaluation. </w:t>
      </w:r>
      <w:r w:rsidRPr="003663F0">
        <w:rPr>
          <w:i/>
          <w:iCs/>
          <w:noProof/>
          <w:sz w:val="24"/>
          <w:szCs w:val="24"/>
        </w:rPr>
        <w:t>BMC Genomics</w:t>
      </w:r>
      <w:r w:rsidRPr="003663F0">
        <w:rPr>
          <w:noProof/>
          <w:sz w:val="24"/>
          <w:szCs w:val="24"/>
        </w:rPr>
        <w:t xml:space="preserve"> </w:t>
      </w:r>
      <w:r w:rsidRPr="003663F0">
        <w:rPr>
          <w:b/>
          <w:bCs/>
          <w:noProof/>
          <w:sz w:val="24"/>
          <w:szCs w:val="24"/>
        </w:rPr>
        <w:t>21</w:t>
      </w:r>
      <w:r w:rsidRPr="003663F0">
        <w:rPr>
          <w:noProof/>
          <w:sz w:val="24"/>
          <w:szCs w:val="24"/>
        </w:rPr>
        <w:t>, 6 (2020).</w:t>
      </w:r>
    </w:p>
    <w:p w14:paraId="1FFBED8F"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24. M. A. Varela, T. C. Roberts, M. J. A. Wood, Epigenetics and ncRNAs in Brain Function and Disease: Mechanisms and Prospects for Therapy. </w:t>
      </w:r>
      <w:r w:rsidRPr="003663F0">
        <w:rPr>
          <w:i/>
          <w:iCs/>
          <w:noProof/>
          <w:sz w:val="24"/>
          <w:szCs w:val="24"/>
        </w:rPr>
        <w:t>Neurotherapeutics</w:t>
      </w:r>
      <w:r w:rsidRPr="003663F0">
        <w:rPr>
          <w:noProof/>
          <w:sz w:val="24"/>
          <w:szCs w:val="24"/>
        </w:rPr>
        <w:t xml:space="preserve"> </w:t>
      </w:r>
      <w:r w:rsidRPr="003663F0">
        <w:rPr>
          <w:b/>
          <w:bCs/>
          <w:noProof/>
          <w:sz w:val="24"/>
          <w:szCs w:val="24"/>
        </w:rPr>
        <w:t>10</w:t>
      </w:r>
      <w:r w:rsidRPr="003663F0">
        <w:rPr>
          <w:noProof/>
          <w:sz w:val="24"/>
          <w:szCs w:val="24"/>
        </w:rPr>
        <w:t>, 621–631 (2013).</w:t>
      </w:r>
    </w:p>
    <w:p w14:paraId="1ED53927"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25. H. Boeing, A. Korfmann, M. M. Bergmann, Recruitment procedures of EPIC-Germany. European Investigation into Cancer and  Nutrition. </w:t>
      </w:r>
      <w:r w:rsidRPr="003663F0">
        <w:rPr>
          <w:i/>
          <w:iCs/>
          <w:noProof/>
          <w:sz w:val="24"/>
          <w:szCs w:val="24"/>
        </w:rPr>
        <w:t>Ann. Nutr. Metab.</w:t>
      </w:r>
      <w:r w:rsidRPr="003663F0">
        <w:rPr>
          <w:noProof/>
          <w:sz w:val="24"/>
          <w:szCs w:val="24"/>
        </w:rPr>
        <w:t xml:space="preserve"> </w:t>
      </w:r>
      <w:r w:rsidRPr="003663F0">
        <w:rPr>
          <w:b/>
          <w:bCs/>
          <w:noProof/>
          <w:sz w:val="24"/>
          <w:szCs w:val="24"/>
        </w:rPr>
        <w:t>43</w:t>
      </w:r>
      <w:r w:rsidRPr="003663F0">
        <w:rPr>
          <w:noProof/>
          <w:sz w:val="24"/>
          <w:szCs w:val="24"/>
        </w:rPr>
        <w:t>, 205–215 (1999).</w:t>
      </w:r>
    </w:p>
    <w:p w14:paraId="74FE5B77"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26. W. Zhang, J. I. Young, L. Gomez, M. A. Schmidt, D. Lukacsovich, A. Varma, X. S. Chen, B. Kunkle, E. R. Martin, L. Wang, Critical evaluation of the reliability of DNA methylation probes on the Illumina  MethylationEPIC v1.0 BeadChip microarrays. </w:t>
      </w:r>
      <w:r w:rsidRPr="003663F0">
        <w:rPr>
          <w:i/>
          <w:iCs/>
          <w:noProof/>
          <w:sz w:val="24"/>
          <w:szCs w:val="24"/>
        </w:rPr>
        <w:t>Epigenetics</w:t>
      </w:r>
      <w:r w:rsidRPr="003663F0">
        <w:rPr>
          <w:noProof/>
          <w:sz w:val="24"/>
          <w:szCs w:val="24"/>
        </w:rPr>
        <w:t xml:space="preserve"> </w:t>
      </w:r>
      <w:r w:rsidRPr="003663F0">
        <w:rPr>
          <w:b/>
          <w:bCs/>
          <w:noProof/>
          <w:sz w:val="24"/>
          <w:szCs w:val="24"/>
        </w:rPr>
        <w:t>19</w:t>
      </w:r>
      <w:r w:rsidRPr="003663F0">
        <w:rPr>
          <w:noProof/>
          <w:sz w:val="24"/>
          <w:szCs w:val="24"/>
        </w:rPr>
        <w:t>, 2333660 (2024).</w:t>
      </w:r>
    </w:p>
    <w:p w14:paraId="5D07DD50"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27. M. Hallschmid, Intranasal insulin. </w:t>
      </w:r>
      <w:r w:rsidRPr="003663F0">
        <w:rPr>
          <w:i/>
          <w:iCs/>
          <w:noProof/>
          <w:sz w:val="24"/>
          <w:szCs w:val="24"/>
        </w:rPr>
        <w:t>J. Neuroendocrinol.</w:t>
      </w:r>
      <w:r w:rsidRPr="003663F0">
        <w:rPr>
          <w:noProof/>
          <w:sz w:val="24"/>
          <w:szCs w:val="24"/>
        </w:rPr>
        <w:t xml:space="preserve"> </w:t>
      </w:r>
      <w:r w:rsidRPr="003663F0">
        <w:rPr>
          <w:b/>
          <w:bCs/>
          <w:noProof/>
          <w:sz w:val="24"/>
          <w:szCs w:val="24"/>
        </w:rPr>
        <w:t>33</w:t>
      </w:r>
      <w:r w:rsidRPr="003663F0">
        <w:rPr>
          <w:noProof/>
          <w:sz w:val="24"/>
          <w:szCs w:val="24"/>
        </w:rPr>
        <w:t>, e12934 (2021).</w:t>
      </w:r>
    </w:p>
    <w:p w14:paraId="11C23449"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28. J. Ruud, S. M. Steculorum, J. C. Brüning, Neuronal control of peripheral insulin sensitivity and glucose metabolism. </w:t>
      </w:r>
      <w:r w:rsidRPr="003663F0">
        <w:rPr>
          <w:i/>
          <w:iCs/>
          <w:noProof/>
          <w:sz w:val="24"/>
          <w:szCs w:val="24"/>
        </w:rPr>
        <w:t>Nat. Commun.</w:t>
      </w:r>
      <w:r w:rsidRPr="003663F0">
        <w:rPr>
          <w:noProof/>
          <w:sz w:val="24"/>
          <w:szCs w:val="24"/>
        </w:rPr>
        <w:t xml:space="preserve"> </w:t>
      </w:r>
      <w:r w:rsidRPr="003663F0">
        <w:rPr>
          <w:b/>
          <w:bCs/>
          <w:noProof/>
          <w:sz w:val="24"/>
          <w:szCs w:val="24"/>
        </w:rPr>
        <w:t>8</w:t>
      </w:r>
      <w:r w:rsidRPr="003663F0">
        <w:rPr>
          <w:noProof/>
          <w:sz w:val="24"/>
          <w:szCs w:val="24"/>
        </w:rPr>
        <w:t>, 15259 (2017).</w:t>
      </w:r>
    </w:p>
    <w:p w14:paraId="625C8F69"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29. J. Hummel, C. Benkendorff, L. Fritsche, K. Prystupa, A. Vosseler, S. Gancheva, S. Trenkamp, A. L. Birkenfeld, H. Preissl, M. Roden, H.-U. Häring, A. Fritsche, A. Peter, R. Wagner, S. Kullmann, M. Heni, Brain insulin action on peripheral insulin sensitivity in women depends on  menstrual cycle phase. </w:t>
      </w:r>
      <w:r w:rsidRPr="003663F0">
        <w:rPr>
          <w:i/>
          <w:iCs/>
          <w:noProof/>
          <w:sz w:val="24"/>
          <w:szCs w:val="24"/>
        </w:rPr>
        <w:t>Nat. Metab.</w:t>
      </w:r>
      <w:r w:rsidRPr="003663F0">
        <w:rPr>
          <w:noProof/>
          <w:sz w:val="24"/>
          <w:szCs w:val="24"/>
        </w:rPr>
        <w:t xml:space="preserve"> </w:t>
      </w:r>
      <w:r w:rsidRPr="003663F0">
        <w:rPr>
          <w:b/>
          <w:bCs/>
          <w:noProof/>
          <w:sz w:val="24"/>
          <w:szCs w:val="24"/>
        </w:rPr>
        <w:t>5</w:t>
      </w:r>
      <w:r w:rsidRPr="003663F0">
        <w:rPr>
          <w:noProof/>
          <w:sz w:val="24"/>
          <w:szCs w:val="24"/>
        </w:rPr>
        <w:t>, 1475–1482 (2023).</w:t>
      </w:r>
    </w:p>
    <w:p w14:paraId="13F6A682"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30. M. Heni, R. Wagner, S. Kullmann, R. Veit, H. Mat Husin, K. Linder, C. Benkendorff, A. Peter, N. Stefan, H.-U. Häring, H. Preissl, A. Fritsche, Central insulin administration improves whole-body insulin sensitivity via  hypothalamus and parasympathetic outputs in men. </w:t>
      </w:r>
      <w:r w:rsidRPr="003663F0">
        <w:rPr>
          <w:i/>
          <w:iCs/>
          <w:noProof/>
          <w:sz w:val="24"/>
          <w:szCs w:val="24"/>
        </w:rPr>
        <w:t>Diabetes</w:t>
      </w:r>
      <w:r w:rsidRPr="003663F0">
        <w:rPr>
          <w:noProof/>
          <w:sz w:val="24"/>
          <w:szCs w:val="24"/>
        </w:rPr>
        <w:t xml:space="preserve"> </w:t>
      </w:r>
      <w:r w:rsidRPr="003663F0">
        <w:rPr>
          <w:b/>
          <w:bCs/>
          <w:noProof/>
          <w:sz w:val="24"/>
          <w:szCs w:val="24"/>
        </w:rPr>
        <w:t>63</w:t>
      </w:r>
      <w:r w:rsidRPr="003663F0">
        <w:rPr>
          <w:noProof/>
          <w:sz w:val="24"/>
          <w:szCs w:val="24"/>
        </w:rPr>
        <w:t>, 4083–4088 (2014).</w:t>
      </w:r>
    </w:p>
    <w:p w14:paraId="785E8A43"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31. M. Heni, R. Wagner, S. Kullmann, S. Gancheva, M. Roden, A. Peter, N. Stefan, H. Preissl, H.-U. Häring, A. Fritsche, Hypothalamic and Striatal Insulin Action Suppresses Endogenous Glucose Production  and May Stimulate Glucose Uptake During Hyperinsulinemia in Lean but Not in Overweight Men. </w:t>
      </w:r>
      <w:r w:rsidRPr="003663F0">
        <w:rPr>
          <w:i/>
          <w:iCs/>
          <w:noProof/>
          <w:sz w:val="24"/>
          <w:szCs w:val="24"/>
        </w:rPr>
        <w:t>Diabetes</w:t>
      </w:r>
      <w:r w:rsidRPr="003663F0">
        <w:rPr>
          <w:noProof/>
          <w:sz w:val="24"/>
          <w:szCs w:val="24"/>
        </w:rPr>
        <w:t xml:space="preserve"> </w:t>
      </w:r>
      <w:r w:rsidRPr="003663F0">
        <w:rPr>
          <w:b/>
          <w:bCs/>
          <w:noProof/>
          <w:sz w:val="24"/>
          <w:szCs w:val="24"/>
        </w:rPr>
        <w:t>66</w:t>
      </w:r>
      <w:r w:rsidRPr="003663F0">
        <w:rPr>
          <w:noProof/>
          <w:sz w:val="24"/>
          <w:szCs w:val="24"/>
        </w:rPr>
        <w:t>, 1797–1806 (2017).</w:t>
      </w:r>
    </w:p>
    <w:p w14:paraId="5DEB1FA7"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32. M. Heni, R. Wagner, C. Willmann, B. A. Jaghutriz, A. Vosseler, C. Kübler, V. Hund, K. Scheffler, A. Peter, H.-U. Häring, H. Preissl, S. Kullmann, A. Fritsche, Insulin Action in the </w:t>
      </w:r>
      <w:r w:rsidRPr="003663F0">
        <w:rPr>
          <w:noProof/>
          <w:sz w:val="24"/>
          <w:szCs w:val="24"/>
        </w:rPr>
        <w:lastRenderedPageBreak/>
        <w:t xml:space="preserve">Hypothalamus Increases Second-Phase Insulin Secretion in  Humans. </w:t>
      </w:r>
      <w:r w:rsidRPr="003663F0">
        <w:rPr>
          <w:i/>
          <w:iCs/>
          <w:noProof/>
          <w:sz w:val="24"/>
          <w:szCs w:val="24"/>
        </w:rPr>
        <w:t>Neuroendocrinology</w:t>
      </w:r>
      <w:r w:rsidRPr="003663F0">
        <w:rPr>
          <w:noProof/>
          <w:sz w:val="24"/>
          <w:szCs w:val="24"/>
        </w:rPr>
        <w:t xml:space="preserve"> </w:t>
      </w:r>
      <w:r w:rsidRPr="003663F0">
        <w:rPr>
          <w:b/>
          <w:bCs/>
          <w:noProof/>
          <w:sz w:val="24"/>
          <w:szCs w:val="24"/>
        </w:rPr>
        <w:t>110</w:t>
      </w:r>
      <w:r w:rsidRPr="003663F0">
        <w:rPr>
          <w:noProof/>
          <w:sz w:val="24"/>
          <w:szCs w:val="24"/>
        </w:rPr>
        <w:t>, 929–937 (2020).</w:t>
      </w:r>
    </w:p>
    <w:p w14:paraId="202A387D"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33. S. Kullmann, M. Heni, R. Veit, K. Scheffler, J. Machann, H.-U. Häring, A. Fritsche, H. Preissl, Selective insulin resistance in homeostatic and cognitive control brain areas in  overweight and obese adults. </w:t>
      </w:r>
      <w:r w:rsidRPr="003663F0">
        <w:rPr>
          <w:i/>
          <w:iCs/>
          <w:noProof/>
          <w:sz w:val="24"/>
          <w:szCs w:val="24"/>
        </w:rPr>
        <w:t>Diabetes Care</w:t>
      </w:r>
      <w:r w:rsidRPr="003663F0">
        <w:rPr>
          <w:noProof/>
          <w:sz w:val="24"/>
          <w:szCs w:val="24"/>
        </w:rPr>
        <w:t xml:space="preserve"> </w:t>
      </w:r>
      <w:r w:rsidRPr="003663F0">
        <w:rPr>
          <w:b/>
          <w:bCs/>
          <w:noProof/>
          <w:sz w:val="24"/>
          <w:szCs w:val="24"/>
        </w:rPr>
        <w:t>38</w:t>
      </w:r>
      <w:r w:rsidRPr="003663F0">
        <w:rPr>
          <w:noProof/>
          <w:sz w:val="24"/>
          <w:szCs w:val="24"/>
        </w:rPr>
        <w:t xml:space="preserve">, </w:t>
      </w:r>
      <w:r w:rsidRPr="00D3480C">
        <w:rPr>
          <w:noProof/>
          <w:sz w:val="24"/>
          <w:szCs w:val="24"/>
        </w:rPr>
        <w:t>1044</w:t>
      </w:r>
      <w:r w:rsidRPr="003663F0">
        <w:rPr>
          <w:noProof/>
          <w:sz w:val="24"/>
          <w:szCs w:val="24"/>
        </w:rPr>
        <w:t>–1050 (2015).</w:t>
      </w:r>
    </w:p>
    <w:p w14:paraId="0EC5DFB1"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34. L. Wagner, R. Veit, C. Kübler, A. Fritsche, H.-U. Häring, A. L. Birkenfeld, M. Heni, H. Preissl, S. Kullmann, Brain insulin responsiveness is linked to age and peripheral insulin sensitivity. </w:t>
      </w:r>
      <w:r w:rsidRPr="003663F0">
        <w:rPr>
          <w:i/>
          <w:iCs/>
          <w:noProof/>
          <w:sz w:val="24"/>
          <w:szCs w:val="24"/>
        </w:rPr>
        <w:t>Diabetes. Obes. Metab.</w:t>
      </w:r>
      <w:r w:rsidRPr="003663F0">
        <w:rPr>
          <w:noProof/>
          <w:sz w:val="24"/>
          <w:szCs w:val="24"/>
        </w:rPr>
        <w:t xml:space="preserve"> </w:t>
      </w:r>
      <w:r w:rsidRPr="003663F0">
        <w:rPr>
          <w:b/>
          <w:bCs/>
          <w:noProof/>
          <w:sz w:val="24"/>
          <w:szCs w:val="24"/>
        </w:rPr>
        <w:t>25</w:t>
      </w:r>
      <w:r w:rsidRPr="003663F0">
        <w:rPr>
          <w:noProof/>
          <w:sz w:val="24"/>
          <w:szCs w:val="24"/>
        </w:rPr>
        <w:t>, 2171–2180 (2023).</w:t>
      </w:r>
    </w:p>
    <w:p w14:paraId="58233954"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35. S. Gancheva, M. Ouni, T. Jelenik, C. Koliaki, J. Szendroedi, F. G. S. Toledo, D. F. Markgraf, D. H. Pesta, L. Mastrototaro, E. De Filippo, C. Herder, M. Jähnert, J. Weiss, K. Strassburger, M. Schlensak, A. Schürmann, M. Roden, Dynamic changes of muscle insulin sensitivity after metabolic surgery. </w:t>
      </w:r>
      <w:r w:rsidRPr="003663F0">
        <w:rPr>
          <w:i/>
          <w:iCs/>
          <w:noProof/>
          <w:sz w:val="24"/>
          <w:szCs w:val="24"/>
        </w:rPr>
        <w:t>Nat. Commun.</w:t>
      </w:r>
      <w:r w:rsidRPr="003663F0">
        <w:rPr>
          <w:noProof/>
          <w:sz w:val="24"/>
          <w:szCs w:val="24"/>
        </w:rPr>
        <w:t xml:space="preserve"> </w:t>
      </w:r>
      <w:r w:rsidRPr="003663F0">
        <w:rPr>
          <w:b/>
          <w:bCs/>
          <w:noProof/>
          <w:sz w:val="24"/>
          <w:szCs w:val="24"/>
        </w:rPr>
        <w:t>10</w:t>
      </w:r>
      <w:r w:rsidRPr="003663F0">
        <w:rPr>
          <w:noProof/>
          <w:sz w:val="24"/>
          <w:szCs w:val="24"/>
        </w:rPr>
        <w:t>, 4179 (2019).</w:t>
      </w:r>
    </w:p>
    <w:p w14:paraId="5A5B35EA" w14:textId="77777777" w:rsidR="003663F0" w:rsidRPr="00356ABE" w:rsidRDefault="003663F0" w:rsidP="003663F0">
      <w:pPr>
        <w:widowControl w:val="0"/>
        <w:autoSpaceDE w:val="0"/>
        <w:autoSpaceDN w:val="0"/>
        <w:adjustRightInd w:val="0"/>
        <w:rPr>
          <w:noProof/>
          <w:sz w:val="24"/>
          <w:szCs w:val="24"/>
          <w:lang w:val="de-DE"/>
        </w:rPr>
      </w:pPr>
      <w:r w:rsidRPr="003663F0">
        <w:rPr>
          <w:noProof/>
          <w:sz w:val="24"/>
          <w:szCs w:val="24"/>
        </w:rPr>
        <w:t xml:space="preserve">36. M. Ouni, F. Eichelmann, M. Jähnert, C. Krause, S. Saussenthaler, C. Ott, P. Gottmann, T. Speckmann, P. Huypens, S. Wolter, O. Mann, M. H. De Angelis, J. Beckers, H. Kirchner, M. B. Schulze, A. Schürmann, Differences in DNA methylation of HAMP in blood cells predicts the development of  type 2 diabetes. </w:t>
      </w:r>
      <w:r w:rsidRPr="00356ABE">
        <w:rPr>
          <w:i/>
          <w:iCs/>
          <w:noProof/>
          <w:sz w:val="24"/>
          <w:szCs w:val="24"/>
          <w:lang w:val="de-DE"/>
        </w:rPr>
        <w:t>Mol. Metab.</w:t>
      </w:r>
      <w:r w:rsidRPr="00356ABE">
        <w:rPr>
          <w:noProof/>
          <w:sz w:val="24"/>
          <w:szCs w:val="24"/>
          <w:lang w:val="de-DE"/>
        </w:rPr>
        <w:t xml:space="preserve"> </w:t>
      </w:r>
      <w:r w:rsidRPr="00356ABE">
        <w:rPr>
          <w:b/>
          <w:bCs/>
          <w:noProof/>
          <w:sz w:val="24"/>
          <w:szCs w:val="24"/>
          <w:lang w:val="de-DE"/>
        </w:rPr>
        <w:t>75</w:t>
      </w:r>
      <w:r w:rsidRPr="00356ABE">
        <w:rPr>
          <w:noProof/>
          <w:sz w:val="24"/>
          <w:szCs w:val="24"/>
          <w:lang w:val="de-DE"/>
        </w:rPr>
        <w:t>, 101774 (2023).</w:t>
      </w:r>
    </w:p>
    <w:p w14:paraId="78302925" w14:textId="77777777" w:rsidR="003663F0" w:rsidRPr="003663F0" w:rsidRDefault="003663F0" w:rsidP="003663F0">
      <w:pPr>
        <w:widowControl w:val="0"/>
        <w:autoSpaceDE w:val="0"/>
        <w:autoSpaceDN w:val="0"/>
        <w:adjustRightInd w:val="0"/>
        <w:rPr>
          <w:noProof/>
          <w:sz w:val="24"/>
          <w:szCs w:val="24"/>
        </w:rPr>
      </w:pPr>
      <w:r w:rsidRPr="00356ABE">
        <w:rPr>
          <w:noProof/>
          <w:sz w:val="24"/>
          <w:szCs w:val="24"/>
          <w:lang w:val="de-DE"/>
        </w:rPr>
        <w:t xml:space="preserve">37. M. Ouni, S. Saussenthaler, F. Eichelmann, M. Jähnert, M. Stadion, C. Wittenbecher, T. Rönn, L. Zellner, P. Gottmann, C. Ling, M. B. Schulze, A. Schürmann, Epigenetic Changes in Islets of Langerhans Preceding the Onset of Diabetes. </w:t>
      </w:r>
      <w:r w:rsidRPr="003663F0">
        <w:rPr>
          <w:i/>
          <w:iCs/>
          <w:noProof/>
          <w:sz w:val="24"/>
          <w:szCs w:val="24"/>
        </w:rPr>
        <w:t>Diabetes</w:t>
      </w:r>
      <w:r w:rsidRPr="003663F0">
        <w:rPr>
          <w:noProof/>
          <w:sz w:val="24"/>
          <w:szCs w:val="24"/>
        </w:rPr>
        <w:t xml:space="preserve"> </w:t>
      </w:r>
      <w:r w:rsidRPr="003663F0">
        <w:rPr>
          <w:b/>
          <w:bCs/>
          <w:noProof/>
          <w:sz w:val="24"/>
          <w:szCs w:val="24"/>
        </w:rPr>
        <w:t>69</w:t>
      </w:r>
      <w:r w:rsidRPr="003663F0">
        <w:rPr>
          <w:noProof/>
          <w:sz w:val="24"/>
          <w:szCs w:val="24"/>
        </w:rPr>
        <w:t>, 2503–2517 (2020).</w:t>
      </w:r>
    </w:p>
    <w:p w14:paraId="6AA77A2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38. V. Mendonça, S. C. Soares-Lima, M. A. M. Moreira, Exploring cross-tissue DNA methylation patterns: blood–brain CpGs as potential neurodegenerative disease biomarkers. </w:t>
      </w:r>
      <w:r w:rsidRPr="003663F0">
        <w:rPr>
          <w:i/>
          <w:iCs/>
          <w:noProof/>
          <w:sz w:val="24"/>
          <w:szCs w:val="24"/>
        </w:rPr>
        <w:t>Commun. Biol.</w:t>
      </w:r>
      <w:r w:rsidRPr="003663F0">
        <w:rPr>
          <w:noProof/>
          <w:sz w:val="24"/>
          <w:szCs w:val="24"/>
        </w:rPr>
        <w:t xml:space="preserve"> </w:t>
      </w:r>
      <w:r w:rsidRPr="003663F0">
        <w:rPr>
          <w:b/>
          <w:bCs/>
          <w:noProof/>
          <w:sz w:val="24"/>
          <w:szCs w:val="24"/>
        </w:rPr>
        <w:t>7</w:t>
      </w:r>
      <w:r w:rsidRPr="003663F0">
        <w:rPr>
          <w:noProof/>
          <w:sz w:val="24"/>
          <w:szCs w:val="24"/>
        </w:rPr>
        <w:t>, 904 (2024).</w:t>
      </w:r>
    </w:p>
    <w:p w14:paraId="36064B57"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39. E. Walton, J. Hass, J. Liu, J. L. Roffman, F. Bernardoni, V. Roessner, M. Kirsch, G. Schackert, V. Calhoun, S. Ehrlich, Correspondence of DNA Methylation Between Blood and Brain Tissue and Its Application to Schizophrenia Research. </w:t>
      </w:r>
      <w:r w:rsidRPr="003663F0">
        <w:rPr>
          <w:i/>
          <w:iCs/>
          <w:noProof/>
          <w:sz w:val="24"/>
          <w:szCs w:val="24"/>
        </w:rPr>
        <w:t>Schizophr. Bull.</w:t>
      </w:r>
      <w:r w:rsidRPr="003663F0">
        <w:rPr>
          <w:noProof/>
          <w:sz w:val="24"/>
          <w:szCs w:val="24"/>
        </w:rPr>
        <w:t xml:space="preserve"> </w:t>
      </w:r>
      <w:r w:rsidRPr="003663F0">
        <w:rPr>
          <w:b/>
          <w:bCs/>
          <w:noProof/>
          <w:sz w:val="24"/>
          <w:szCs w:val="24"/>
        </w:rPr>
        <w:t>42</w:t>
      </w:r>
      <w:r w:rsidRPr="003663F0">
        <w:rPr>
          <w:noProof/>
          <w:sz w:val="24"/>
          <w:szCs w:val="24"/>
        </w:rPr>
        <w:t>, 406–414 (2016).</w:t>
      </w:r>
    </w:p>
    <w:p w14:paraId="2A85174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40. P. R. Braun, S. Han, B. Hing, Y. Nagahama, L. N. Gaul, J. T. Heinzman, A. J. Grossbach, L. Close, B. J. Dlouhy, M. A. Howard, H. Kawasaki, J. B. Potash, G. Shinozaki, Genome-wide DNA methylation comparison between live human brain and peripheral tissues within individuals. </w:t>
      </w:r>
      <w:r w:rsidRPr="003663F0">
        <w:rPr>
          <w:i/>
          <w:iCs/>
          <w:noProof/>
          <w:sz w:val="24"/>
          <w:szCs w:val="24"/>
        </w:rPr>
        <w:t>Transl. Psychiatry</w:t>
      </w:r>
      <w:r w:rsidRPr="003663F0">
        <w:rPr>
          <w:noProof/>
          <w:sz w:val="24"/>
          <w:szCs w:val="24"/>
        </w:rPr>
        <w:t xml:space="preserve"> </w:t>
      </w:r>
      <w:r w:rsidRPr="003663F0">
        <w:rPr>
          <w:b/>
          <w:bCs/>
          <w:noProof/>
          <w:sz w:val="24"/>
          <w:szCs w:val="24"/>
        </w:rPr>
        <w:t>9</w:t>
      </w:r>
      <w:r w:rsidRPr="003663F0">
        <w:rPr>
          <w:noProof/>
          <w:sz w:val="24"/>
          <w:szCs w:val="24"/>
        </w:rPr>
        <w:t>, 47 (2019).</w:t>
      </w:r>
    </w:p>
    <w:p w14:paraId="4EDAF45B"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41. M. Ouni, Y. Gunes, M.-P. Belot, A.-L. Castell, D. Fradin, P. Bougnères, The IGF1 P2 promoter is an epigenetic QTL for circulating IGF1 and human growth. </w:t>
      </w:r>
      <w:r w:rsidRPr="003663F0">
        <w:rPr>
          <w:i/>
          <w:iCs/>
          <w:noProof/>
          <w:sz w:val="24"/>
          <w:szCs w:val="24"/>
        </w:rPr>
        <w:t>Clin. Epigenetics</w:t>
      </w:r>
      <w:r w:rsidRPr="003663F0">
        <w:rPr>
          <w:noProof/>
          <w:sz w:val="24"/>
          <w:szCs w:val="24"/>
        </w:rPr>
        <w:t xml:space="preserve"> </w:t>
      </w:r>
      <w:r w:rsidRPr="003663F0">
        <w:rPr>
          <w:b/>
          <w:bCs/>
          <w:noProof/>
          <w:sz w:val="24"/>
          <w:szCs w:val="24"/>
        </w:rPr>
        <w:t>7</w:t>
      </w:r>
      <w:r w:rsidRPr="003663F0">
        <w:rPr>
          <w:noProof/>
          <w:sz w:val="24"/>
          <w:szCs w:val="24"/>
        </w:rPr>
        <w:t>, 22 (2015).</w:t>
      </w:r>
    </w:p>
    <w:p w14:paraId="40DD20AC"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42. C. Wittenbecher, M. Ouni, O. Kuxhaus, M. Jähnert, P. Gottmann, A. Teichmann, K. Meidtner, J. Kriebel, H. Grallert, T. Pischon, H. Boeing, M. B. Schulze, A. Schürmann, Insulin-Like Growth Factor Binding Protein 2 (IGFBP-2) and the Risk of Developing  Type 2 Diabetes. </w:t>
      </w:r>
      <w:r w:rsidRPr="003663F0">
        <w:rPr>
          <w:i/>
          <w:iCs/>
          <w:noProof/>
          <w:sz w:val="24"/>
          <w:szCs w:val="24"/>
        </w:rPr>
        <w:t>Diabetes</w:t>
      </w:r>
      <w:r w:rsidRPr="003663F0">
        <w:rPr>
          <w:noProof/>
          <w:sz w:val="24"/>
          <w:szCs w:val="24"/>
        </w:rPr>
        <w:t xml:space="preserve"> </w:t>
      </w:r>
      <w:r w:rsidRPr="003663F0">
        <w:rPr>
          <w:b/>
          <w:bCs/>
          <w:noProof/>
          <w:sz w:val="24"/>
          <w:szCs w:val="24"/>
        </w:rPr>
        <w:t>68</w:t>
      </w:r>
      <w:r w:rsidRPr="003663F0">
        <w:rPr>
          <w:noProof/>
          <w:sz w:val="24"/>
          <w:szCs w:val="24"/>
        </w:rPr>
        <w:t>, 188–197 (2019).</w:t>
      </w:r>
    </w:p>
    <w:p w14:paraId="7E3B499C"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43. M. Ouni, A.-L. Castell, A. Linglart, P. Bougnères, Genetic and Epigenetic Modulation of Growth Hormone Sensitivity Studied With the  IGF-1 Generation Test. </w:t>
      </w:r>
      <w:r w:rsidRPr="003663F0">
        <w:rPr>
          <w:i/>
          <w:iCs/>
          <w:noProof/>
          <w:sz w:val="24"/>
          <w:szCs w:val="24"/>
        </w:rPr>
        <w:t>J. Clin. Endocrinol. Metab.</w:t>
      </w:r>
      <w:r w:rsidRPr="003663F0">
        <w:rPr>
          <w:noProof/>
          <w:sz w:val="24"/>
          <w:szCs w:val="24"/>
        </w:rPr>
        <w:t xml:space="preserve"> </w:t>
      </w:r>
      <w:r w:rsidRPr="003663F0">
        <w:rPr>
          <w:b/>
          <w:bCs/>
          <w:noProof/>
          <w:sz w:val="24"/>
          <w:szCs w:val="24"/>
        </w:rPr>
        <w:t>100</w:t>
      </w:r>
      <w:r w:rsidRPr="003663F0">
        <w:rPr>
          <w:noProof/>
          <w:sz w:val="24"/>
          <w:szCs w:val="24"/>
        </w:rPr>
        <w:t>, E919-25 (2015).</w:t>
      </w:r>
    </w:p>
    <w:p w14:paraId="4383F1CA"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44. M. Derakhshan, N. J. Kessler, G. Hellenthal, M. J. Silver, Metastable epialleles in humans. </w:t>
      </w:r>
      <w:r w:rsidRPr="003663F0">
        <w:rPr>
          <w:i/>
          <w:iCs/>
          <w:noProof/>
          <w:sz w:val="24"/>
          <w:szCs w:val="24"/>
        </w:rPr>
        <w:t>Trends Genet.</w:t>
      </w:r>
      <w:r w:rsidRPr="003663F0">
        <w:rPr>
          <w:noProof/>
          <w:sz w:val="24"/>
          <w:szCs w:val="24"/>
        </w:rPr>
        <w:t xml:space="preserve"> </w:t>
      </w:r>
      <w:r w:rsidRPr="003663F0">
        <w:rPr>
          <w:b/>
          <w:bCs/>
          <w:noProof/>
          <w:sz w:val="24"/>
          <w:szCs w:val="24"/>
        </w:rPr>
        <w:t>40</w:t>
      </w:r>
      <w:r w:rsidRPr="003663F0">
        <w:rPr>
          <w:noProof/>
          <w:sz w:val="24"/>
          <w:szCs w:val="24"/>
        </w:rPr>
        <w:t>, 52–68 (2024).</w:t>
      </w:r>
    </w:p>
    <w:p w14:paraId="37DF9FA2"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45. H. Zhu, G. Ding, X. Liu, H. Huang, Developmental origins of diabetes mellitus: Environmental epigenomics and  emerging patterns. </w:t>
      </w:r>
      <w:r w:rsidRPr="003663F0">
        <w:rPr>
          <w:i/>
          <w:iCs/>
          <w:noProof/>
          <w:sz w:val="24"/>
          <w:szCs w:val="24"/>
        </w:rPr>
        <w:t>J. Diabetes</w:t>
      </w:r>
      <w:r w:rsidRPr="003663F0">
        <w:rPr>
          <w:noProof/>
          <w:sz w:val="24"/>
          <w:szCs w:val="24"/>
        </w:rPr>
        <w:t xml:space="preserve"> </w:t>
      </w:r>
      <w:r w:rsidRPr="003663F0">
        <w:rPr>
          <w:b/>
          <w:bCs/>
          <w:noProof/>
          <w:sz w:val="24"/>
          <w:szCs w:val="24"/>
        </w:rPr>
        <w:t>15</w:t>
      </w:r>
      <w:r w:rsidRPr="003663F0">
        <w:rPr>
          <w:noProof/>
          <w:sz w:val="24"/>
          <w:szCs w:val="24"/>
        </w:rPr>
        <w:t>, 569–582 (2023).</w:t>
      </w:r>
    </w:p>
    <w:p w14:paraId="18FBEE1C" w14:textId="77777777" w:rsidR="003663F0" w:rsidRPr="00356ABE" w:rsidRDefault="003663F0" w:rsidP="003663F0">
      <w:pPr>
        <w:widowControl w:val="0"/>
        <w:autoSpaceDE w:val="0"/>
        <w:autoSpaceDN w:val="0"/>
        <w:adjustRightInd w:val="0"/>
        <w:rPr>
          <w:noProof/>
          <w:sz w:val="24"/>
          <w:szCs w:val="24"/>
          <w:lang w:val="de-DE"/>
        </w:rPr>
      </w:pPr>
      <w:r w:rsidRPr="003663F0">
        <w:rPr>
          <w:noProof/>
          <w:sz w:val="24"/>
          <w:szCs w:val="24"/>
        </w:rPr>
        <w:t xml:space="preserve">46. A. Kazachenka, T. M. Bertozzi, M. K. Sjoberg-Herrera, N. Walker, J. Gardner, R. Gunning, E. Pahita, S. Adams, D. Adams, A. C. Ferguson-Smith, Identification, Characterization, and Heritability of Murine Metastable  Epialleles: Implications for Non-genetic Inheritance. </w:t>
      </w:r>
      <w:r w:rsidRPr="00356ABE">
        <w:rPr>
          <w:i/>
          <w:iCs/>
          <w:noProof/>
          <w:sz w:val="24"/>
          <w:szCs w:val="24"/>
          <w:lang w:val="de-DE"/>
        </w:rPr>
        <w:t>Cell</w:t>
      </w:r>
      <w:r w:rsidRPr="00356ABE">
        <w:rPr>
          <w:noProof/>
          <w:sz w:val="24"/>
          <w:szCs w:val="24"/>
          <w:lang w:val="de-DE"/>
        </w:rPr>
        <w:t xml:space="preserve"> </w:t>
      </w:r>
      <w:r w:rsidRPr="00356ABE">
        <w:rPr>
          <w:b/>
          <w:bCs/>
          <w:noProof/>
          <w:sz w:val="24"/>
          <w:szCs w:val="24"/>
          <w:lang w:val="de-DE"/>
        </w:rPr>
        <w:t>175</w:t>
      </w:r>
      <w:r w:rsidRPr="00356ABE">
        <w:rPr>
          <w:noProof/>
          <w:sz w:val="24"/>
          <w:szCs w:val="24"/>
          <w:lang w:val="de-DE"/>
        </w:rPr>
        <w:t>, 1259-1271.e13 (2018).</w:t>
      </w:r>
    </w:p>
    <w:p w14:paraId="13EA5D00" w14:textId="77777777" w:rsidR="003663F0" w:rsidRPr="003663F0" w:rsidRDefault="003663F0" w:rsidP="003663F0">
      <w:pPr>
        <w:widowControl w:val="0"/>
        <w:autoSpaceDE w:val="0"/>
        <w:autoSpaceDN w:val="0"/>
        <w:adjustRightInd w:val="0"/>
        <w:rPr>
          <w:noProof/>
          <w:sz w:val="24"/>
          <w:szCs w:val="24"/>
        </w:rPr>
      </w:pPr>
      <w:r w:rsidRPr="00356ABE">
        <w:rPr>
          <w:noProof/>
          <w:sz w:val="24"/>
          <w:szCs w:val="24"/>
          <w:lang w:val="de-DE"/>
        </w:rPr>
        <w:t xml:space="preserve">47. K. Linder, F. Schleger, I. Kiefer-Schmidt, L. Fritsche, S. Kümmel, M. Böcker, M. Heni, M. Weiss, H.-U. Häring, H. Preissl, A. Fritsche, Gestational Diabetes Impairs Human Fetal Postprandial Brain Activity. </w:t>
      </w:r>
      <w:r w:rsidRPr="003663F0">
        <w:rPr>
          <w:i/>
          <w:iCs/>
          <w:noProof/>
          <w:sz w:val="24"/>
          <w:szCs w:val="24"/>
        </w:rPr>
        <w:t>J. Clin. Endocrinol. Metab.</w:t>
      </w:r>
      <w:r w:rsidRPr="003663F0">
        <w:rPr>
          <w:noProof/>
          <w:sz w:val="24"/>
          <w:szCs w:val="24"/>
        </w:rPr>
        <w:t xml:space="preserve"> </w:t>
      </w:r>
      <w:r w:rsidRPr="003663F0">
        <w:rPr>
          <w:b/>
          <w:bCs/>
          <w:noProof/>
          <w:sz w:val="24"/>
          <w:szCs w:val="24"/>
        </w:rPr>
        <w:t>100</w:t>
      </w:r>
      <w:r w:rsidRPr="003663F0">
        <w:rPr>
          <w:noProof/>
          <w:sz w:val="24"/>
          <w:szCs w:val="24"/>
        </w:rPr>
        <w:t>, 4029–4036 (2015).</w:t>
      </w:r>
    </w:p>
    <w:p w14:paraId="20FE7EA7"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lastRenderedPageBreak/>
        <w:t xml:space="preserve">48. K. A. Page, S. Luo, X. Wang, T. Chow, J. Alves, T. A. Buchanan, A. H. Xiang, Children Exposed to Maternal Obesity or Gestational Diabetes Mellitus During  Early Fetal Development Have Hypothalamic Alterations That Predict Future Weight Gain. </w:t>
      </w:r>
      <w:r w:rsidRPr="003663F0">
        <w:rPr>
          <w:i/>
          <w:iCs/>
          <w:noProof/>
          <w:sz w:val="24"/>
          <w:szCs w:val="24"/>
        </w:rPr>
        <w:t>Diabetes Care</w:t>
      </w:r>
      <w:r w:rsidRPr="003663F0">
        <w:rPr>
          <w:noProof/>
          <w:sz w:val="24"/>
          <w:szCs w:val="24"/>
        </w:rPr>
        <w:t xml:space="preserve"> </w:t>
      </w:r>
      <w:r w:rsidRPr="003663F0">
        <w:rPr>
          <w:b/>
          <w:bCs/>
          <w:noProof/>
          <w:sz w:val="24"/>
          <w:szCs w:val="24"/>
        </w:rPr>
        <w:t>42</w:t>
      </w:r>
      <w:r w:rsidRPr="003663F0">
        <w:rPr>
          <w:noProof/>
          <w:sz w:val="24"/>
          <w:szCs w:val="24"/>
        </w:rPr>
        <w:t>, 1473–1480 (2019).</w:t>
      </w:r>
    </w:p>
    <w:p w14:paraId="5E4D823D"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49. K. Talbot, H.-Y. Wang, H. Kazi, L.-Y. Han, K. P. Bakshi, A. Stucky, R. L. Fuino, K. R. Kawaguchi, A. J. Samoyedny, R. S. Wilson, Z. Arvanitakis, J. A. Schneider, B. A. Wolf, D. A. Bennett, J. Q. Trojanowski, S. E. Arnold, Demonstrated brain insulin resistance in Alzheimer’s disease patients is  associated with IGF-1 resistance, IRS-1 dysregulation, and cognitive decline. </w:t>
      </w:r>
      <w:r w:rsidRPr="003663F0">
        <w:rPr>
          <w:i/>
          <w:iCs/>
          <w:noProof/>
          <w:sz w:val="24"/>
          <w:szCs w:val="24"/>
        </w:rPr>
        <w:t>J. Clin. Invest.</w:t>
      </w:r>
      <w:r w:rsidRPr="003663F0">
        <w:rPr>
          <w:noProof/>
          <w:sz w:val="24"/>
          <w:szCs w:val="24"/>
        </w:rPr>
        <w:t xml:space="preserve"> </w:t>
      </w:r>
      <w:r w:rsidRPr="003663F0">
        <w:rPr>
          <w:b/>
          <w:bCs/>
          <w:noProof/>
          <w:sz w:val="24"/>
          <w:szCs w:val="24"/>
        </w:rPr>
        <w:t>122</w:t>
      </w:r>
      <w:r w:rsidRPr="003663F0">
        <w:rPr>
          <w:noProof/>
          <w:sz w:val="24"/>
          <w:szCs w:val="24"/>
        </w:rPr>
        <w:t>, 1316–1338 (2012).</w:t>
      </w:r>
    </w:p>
    <w:p w14:paraId="5E8A597E"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50. A. M. Moloney, R. J. Griffin, S. Timmons, R. O’Connor, R. Ravid, C. O’Neill, Defects in IGF-1 receptor, insulin receptor and IRS-1/2 in Alzheimer’s disease indicate possible resistance to IGF-1 and insulin signalling. </w:t>
      </w:r>
      <w:r w:rsidRPr="003663F0">
        <w:rPr>
          <w:i/>
          <w:iCs/>
          <w:noProof/>
          <w:sz w:val="24"/>
          <w:szCs w:val="24"/>
        </w:rPr>
        <w:t>Neurobiol. Aging</w:t>
      </w:r>
      <w:r w:rsidRPr="003663F0">
        <w:rPr>
          <w:noProof/>
          <w:sz w:val="24"/>
          <w:szCs w:val="24"/>
        </w:rPr>
        <w:t xml:space="preserve"> </w:t>
      </w:r>
      <w:r w:rsidRPr="003663F0">
        <w:rPr>
          <w:b/>
          <w:bCs/>
          <w:noProof/>
          <w:sz w:val="24"/>
          <w:szCs w:val="24"/>
        </w:rPr>
        <w:t>31</w:t>
      </w:r>
      <w:r w:rsidRPr="003663F0">
        <w:rPr>
          <w:noProof/>
          <w:sz w:val="24"/>
          <w:szCs w:val="24"/>
        </w:rPr>
        <w:t>, 224–243 (2010).</w:t>
      </w:r>
    </w:p>
    <w:p w14:paraId="7C980FDC"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51. K. A. Alam, P. Svalastoga, A. Martinez, J. C. Glennon, J. Haavik, Potassium channels in behavioral brain disorders. Molecular mechanisms and therapeutic potential: A narrative review. </w:t>
      </w:r>
      <w:r w:rsidRPr="003663F0">
        <w:rPr>
          <w:i/>
          <w:iCs/>
          <w:noProof/>
          <w:sz w:val="24"/>
          <w:szCs w:val="24"/>
        </w:rPr>
        <w:t>Neurosci. Biobehav. Rev.</w:t>
      </w:r>
      <w:r w:rsidRPr="003663F0">
        <w:rPr>
          <w:noProof/>
          <w:sz w:val="24"/>
          <w:szCs w:val="24"/>
        </w:rPr>
        <w:t xml:space="preserve"> </w:t>
      </w:r>
      <w:r w:rsidRPr="003663F0">
        <w:rPr>
          <w:b/>
          <w:bCs/>
          <w:noProof/>
          <w:sz w:val="24"/>
          <w:szCs w:val="24"/>
        </w:rPr>
        <w:t>152</w:t>
      </w:r>
      <w:r w:rsidRPr="003663F0">
        <w:rPr>
          <w:noProof/>
          <w:sz w:val="24"/>
          <w:szCs w:val="24"/>
        </w:rPr>
        <w:t>, 105301 (2023).</w:t>
      </w:r>
    </w:p>
    <w:p w14:paraId="70A569FF"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52. L. S. Abasi, N. Elathram, M. Movva, A. Deep, K. D. Corbett, G. T. Debelouchina, Phosphorylation regulates tau’s phase separation behavior and interactions with  chromatin. </w:t>
      </w:r>
      <w:r w:rsidRPr="003663F0">
        <w:rPr>
          <w:i/>
          <w:iCs/>
          <w:noProof/>
          <w:sz w:val="24"/>
          <w:szCs w:val="24"/>
        </w:rPr>
        <w:t>Commun. Biol.</w:t>
      </w:r>
      <w:r w:rsidRPr="003663F0">
        <w:rPr>
          <w:noProof/>
          <w:sz w:val="24"/>
          <w:szCs w:val="24"/>
        </w:rPr>
        <w:t xml:space="preserve"> </w:t>
      </w:r>
      <w:r w:rsidRPr="003663F0">
        <w:rPr>
          <w:b/>
          <w:bCs/>
          <w:noProof/>
          <w:sz w:val="24"/>
          <w:szCs w:val="24"/>
        </w:rPr>
        <w:t>7</w:t>
      </w:r>
      <w:r w:rsidRPr="003663F0">
        <w:rPr>
          <w:noProof/>
          <w:sz w:val="24"/>
          <w:szCs w:val="24"/>
        </w:rPr>
        <w:t>, 251 (2024).</w:t>
      </w:r>
    </w:p>
    <w:p w14:paraId="14E05E3D"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53. E. Drummond, G. Pires, C. MacMurray, M. Askenazi, S. Nayak, M. Bourdon, J. Safar, B. Ueberheide, T. Wisniewski, Phosphorylated tau interactome in the human Alzheimer’s disease brain. </w:t>
      </w:r>
      <w:r w:rsidRPr="003663F0">
        <w:rPr>
          <w:i/>
          <w:iCs/>
          <w:noProof/>
          <w:sz w:val="24"/>
          <w:szCs w:val="24"/>
        </w:rPr>
        <w:t>Brain</w:t>
      </w:r>
      <w:r w:rsidRPr="003663F0">
        <w:rPr>
          <w:noProof/>
          <w:sz w:val="24"/>
          <w:szCs w:val="24"/>
        </w:rPr>
        <w:t xml:space="preserve"> </w:t>
      </w:r>
      <w:r w:rsidRPr="003663F0">
        <w:rPr>
          <w:b/>
          <w:bCs/>
          <w:noProof/>
          <w:sz w:val="24"/>
          <w:szCs w:val="24"/>
        </w:rPr>
        <w:t>143</w:t>
      </w:r>
      <w:r w:rsidRPr="003663F0">
        <w:rPr>
          <w:noProof/>
          <w:sz w:val="24"/>
          <w:szCs w:val="24"/>
        </w:rPr>
        <w:t>, 2803–2817 (2020).</w:t>
      </w:r>
    </w:p>
    <w:p w14:paraId="7E8C14B6"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54. R. Xu, K. Wang, Z. Yao, Y. Zhang, L. Jin, J. Pang, Y. Zhou, K. Wang, D. Liu, Y. Zhang, P. Sun, F. Wang, X. Chang, T. Liu, S. Wang, Y. Zhang, S. Lin, C. Hu, Y. Zhu, X. Han, BRSK2 in pancreatic β cells promotes hyperinsulinemia-coupled insulin resistance  and its genetic variants are associated with human type 2 diabetes. </w:t>
      </w:r>
      <w:r w:rsidRPr="003663F0">
        <w:rPr>
          <w:i/>
          <w:iCs/>
          <w:noProof/>
          <w:sz w:val="24"/>
          <w:szCs w:val="24"/>
        </w:rPr>
        <w:t>J. Mol. Cell Biol.</w:t>
      </w:r>
      <w:r w:rsidRPr="003663F0">
        <w:rPr>
          <w:noProof/>
          <w:sz w:val="24"/>
          <w:szCs w:val="24"/>
        </w:rPr>
        <w:t xml:space="preserve"> </w:t>
      </w:r>
      <w:r w:rsidRPr="003663F0">
        <w:rPr>
          <w:b/>
          <w:bCs/>
          <w:noProof/>
          <w:sz w:val="24"/>
          <w:szCs w:val="24"/>
        </w:rPr>
        <w:t>15</w:t>
      </w:r>
      <w:r w:rsidRPr="003663F0">
        <w:rPr>
          <w:noProof/>
          <w:sz w:val="24"/>
          <w:szCs w:val="24"/>
        </w:rPr>
        <w:t xml:space="preserve"> (2023), doi:10.1093/jmcb/mjad033.</w:t>
      </w:r>
    </w:p>
    <w:p w14:paraId="5F03800E"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55. L. Xing, J. M. Newbern, W. D. Snider, Neuronal Development: SAD Kinases Make Happy Axons. </w:t>
      </w:r>
      <w:r w:rsidRPr="003663F0">
        <w:rPr>
          <w:i/>
          <w:iCs/>
          <w:noProof/>
          <w:sz w:val="24"/>
          <w:szCs w:val="24"/>
        </w:rPr>
        <w:t>Curr. Biol.</w:t>
      </w:r>
      <w:r w:rsidRPr="003663F0">
        <w:rPr>
          <w:noProof/>
          <w:sz w:val="24"/>
          <w:szCs w:val="24"/>
        </w:rPr>
        <w:t xml:space="preserve"> </w:t>
      </w:r>
      <w:r w:rsidRPr="003663F0">
        <w:rPr>
          <w:b/>
          <w:bCs/>
          <w:noProof/>
          <w:sz w:val="24"/>
          <w:szCs w:val="24"/>
        </w:rPr>
        <w:t>23</w:t>
      </w:r>
      <w:r w:rsidRPr="003663F0">
        <w:rPr>
          <w:noProof/>
          <w:sz w:val="24"/>
          <w:szCs w:val="24"/>
        </w:rPr>
        <w:t>, R720–R723 (2013).</w:t>
      </w:r>
    </w:p>
    <w:p w14:paraId="24546F55"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56. B. N. Lilley, A. Krishnaswamy, Z. Wang, M. Kishi, E. Frank, J. R. Sanes, SAD kinases control the maturation of nerve terminals in the mammalian peripheral  and central nervous systems. </w:t>
      </w:r>
      <w:r w:rsidRPr="003663F0">
        <w:rPr>
          <w:i/>
          <w:iCs/>
          <w:noProof/>
          <w:sz w:val="24"/>
          <w:szCs w:val="24"/>
        </w:rPr>
        <w:t>Proc. Natl. Acad. Sci. U. S. A.</w:t>
      </w:r>
      <w:r w:rsidRPr="003663F0">
        <w:rPr>
          <w:noProof/>
          <w:sz w:val="24"/>
          <w:szCs w:val="24"/>
        </w:rPr>
        <w:t xml:space="preserve"> </w:t>
      </w:r>
      <w:r w:rsidRPr="003663F0">
        <w:rPr>
          <w:b/>
          <w:bCs/>
          <w:noProof/>
          <w:sz w:val="24"/>
          <w:szCs w:val="24"/>
        </w:rPr>
        <w:t>111</w:t>
      </w:r>
      <w:r w:rsidRPr="003663F0">
        <w:rPr>
          <w:noProof/>
          <w:sz w:val="24"/>
          <w:szCs w:val="24"/>
        </w:rPr>
        <w:t>, 1138–1143 (2014).</w:t>
      </w:r>
    </w:p>
    <w:p w14:paraId="563FC5FA"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57. Y. Wang, B. Wan, D. Li, J. Zhou, R. Li, M. Bai, F. Chen, L. Yu, BRSK2 is regulated by ER stress in protein level and involved in ER stress-induced apoptosis. </w:t>
      </w:r>
      <w:r w:rsidRPr="003663F0">
        <w:rPr>
          <w:i/>
          <w:iCs/>
          <w:noProof/>
          <w:sz w:val="24"/>
          <w:szCs w:val="24"/>
        </w:rPr>
        <w:t>Biochem. Biophys. Res. Commun.</w:t>
      </w:r>
      <w:r w:rsidRPr="003663F0">
        <w:rPr>
          <w:noProof/>
          <w:sz w:val="24"/>
          <w:szCs w:val="24"/>
        </w:rPr>
        <w:t xml:space="preserve"> </w:t>
      </w:r>
      <w:r w:rsidRPr="003663F0">
        <w:rPr>
          <w:b/>
          <w:bCs/>
          <w:noProof/>
          <w:sz w:val="24"/>
          <w:szCs w:val="24"/>
        </w:rPr>
        <w:t>423</w:t>
      </w:r>
      <w:r w:rsidRPr="003663F0">
        <w:rPr>
          <w:noProof/>
          <w:sz w:val="24"/>
          <w:szCs w:val="24"/>
        </w:rPr>
        <w:t>, 813–818 (2012).</w:t>
      </w:r>
    </w:p>
    <w:p w14:paraId="679AE734"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58. S. Kullmann, T. Goj, R. Veit, L. Fritsche, L. Wagner, P. Schneeweiss, M. Hoene, C. Hoffmann, J. Machann, A. Niess, H. Preissl, A. L. Birkenfeld, A. Peter, H.-U. Häring, A. Fritsche, A. Moller, C. Weigert, M. Heni, Exercise restores brain insulin sensitivity in sedentary adults who are  overweight and obese. </w:t>
      </w:r>
      <w:r w:rsidRPr="003663F0">
        <w:rPr>
          <w:i/>
          <w:iCs/>
          <w:noProof/>
          <w:sz w:val="24"/>
          <w:szCs w:val="24"/>
        </w:rPr>
        <w:t>JCI insight</w:t>
      </w:r>
      <w:r w:rsidRPr="003663F0">
        <w:rPr>
          <w:noProof/>
          <w:sz w:val="24"/>
          <w:szCs w:val="24"/>
        </w:rPr>
        <w:t xml:space="preserve"> </w:t>
      </w:r>
      <w:r w:rsidRPr="003663F0">
        <w:rPr>
          <w:b/>
          <w:bCs/>
          <w:noProof/>
          <w:sz w:val="24"/>
          <w:szCs w:val="24"/>
        </w:rPr>
        <w:t>7</w:t>
      </w:r>
      <w:r w:rsidRPr="003663F0">
        <w:rPr>
          <w:noProof/>
          <w:sz w:val="24"/>
          <w:szCs w:val="24"/>
        </w:rPr>
        <w:t xml:space="preserve"> (2022), doi:10.1172/jci.insight.161498.</w:t>
      </w:r>
    </w:p>
    <w:p w14:paraId="3CA4987F"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59. L. Wagner, R. Veit, C. Kübler, A. Fritsche, H.-U. U. Häring, A. L. Birkenfeld, M. Heni, H. Preissl, S. Kullmann, Brain insulin responsiveness is linked to age and peripheral insulin sensitivity. </w:t>
      </w:r>
      <w:r w:rsidRPr="003663F0">
        <w:rPr>
          <w:i/>
          <w:iCs/>
          <w:noProof/>
          <w:sz w:val="24"/>
          <w:szCs w:val="24"/>
        </w:rPr>
        <w:t>Diabetes. Obes. Metab.</w:t>
      </w:r>
      <w:r w:rsidRPr="003663F0">
        <w:rPr>
          <w:noProof/>
          <w:sz w:val="24"/>
          <w:szCs w:val="24"/>
        </w:rPr>
        <w:t xml:space="preserve"> </w:t>
      </w:r>
      <w:r w:rsidRPr="003663F0">
        <w:rPr>
          <w:b/>
          <w:bCs/>
          <w:noProof/>
          <w:sz w:val="24"/>
          <w:szCs w:val="24"/>
        </w:rPr>
        <w:t>25</w:t>
      </w:r>
      <w:r w:rsidRPr="003663F0">
        <w:rPr>
          <w:noProof/>
          <w:sz w:val="24"/>
          <w:szCs w:val="24"/>
        </w:rPr>
        <w:t>, 2171–2180 (2023).</w:t>
      </w:r>
    </w:p>
    <w:p w14:paraId="117B1B7A"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60. R. Wagner, J. Buettner, M. Heni, L. Fritsche, S. Kullmann, M. Wagmüller, A. Peter, H. Preissl, J. Machann, R. Jumpertz von Schwartzenberg, A. L. Birkenfeld, U. F. Pape, G. van Hall, P. Plomgaard, H. U. Häring, A. Fritsche, K. N. Thompson, R. Klein, N. Stefan, Carrageenan and insulin resistance in humans: a randomised double-blind cross-over trial. </w:t>
      </w:r>
      <w:r w:rsidRPr="003663F0">
        <w:rPr>
          <w:i/>
          <w:iCs/>
          <w:noProof/>
          <w:sz w:val="24"/>
          <w:szCs w:val="24"/>
        </w:rPr>
        <w:t>BMC Med.</w:t>
      </w:r>
      <w:r w:rsidRPr="003663F0">
        <w:rPr>
          <w:noProof/>
          <w:sz w:val="24"/>
          <w:szCs w:val="24"/>
        </w:rPr>
        <w:t xml:space="preserve"> </w:t>
      </w:r>
      <w:r w:rsidRPr="003663F0">
        <w:rPr>
          <w:b/>
          <w:bCs/>
          <w:noProof/>
          <w:sz w:val="24"/>
          <w:szCs w:val="24"/>
        </w:rPr>
        <w:t>22</w:t>
      </w:r>
      <w:r w:rsidRPr="003663F0">
        <w:rPr>
          <w:noProof/>
          <w:sz w:val="24"/>
          <w:szCs w:val="24"/>
        </w:rPr>
        <w:t xml:space="preserve"> (2024), doi:10.1186/S12916-024-03771-8,.</w:t>
      </w:r>
    </w:p>
    <w:p w14:paraId="3AD9DAE8"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61. S. Kullmann, L. Wagner, R. Hauffe, A. Kühnel, L. Sandforth, R. Veit, C. Dannecker, J. Machann, A. Fritsche, N. Stefan, H. Preissl, N. B. Kroemer, M. Heni, A. Kleinridders, A. L. Birkenfeld, A short-term, high-caloric diet has prolonged effects on brain insulin action in men. </w:t>
      </w:r>
      <w:r w:rsidRPr="003663F0">
        <w:rPr>
          <w:i/>
          <w:iCs/>
          <w:noProof/>
          <w:sz w:val="24"/>
          <w:szCs w:val="24"/>
        </w:rPr>
        <w:t>Nat. Metab.</w:t>
      </w:r>
      <w:r w:rsidRPr="003663F0">
        <w:rPr>
          <w:noProof/>
          <w:sz w:val="24"/>
          <w:szCs w:val="24"/>
        </w:rPr>
        <w:t xml:space="preserve"> </w:t>
      </w:r>
      <w:r w:rsidRPr="003663F0">
        <w:rPr>
          <w:b/>
          <w:bCs/>
          <w:noProof/>
          <w:sz w:val="24"/>
          <w:szCs w:val="24"/>
        </w:rPr>
        <w:t>7</w:t>
      </w:r>
      <w:r w:rsidRPr="003663F0">
        <w:rPr>
          <w:noProof/>
          <w:sz w:val="24"/>
          <w:szCs w:val="24"/>
        </w:rPr>
        <w:t>, 469 (2025).</w:t>
      </w:r>
    </w:p>
    <w:p w14:paraId="52AFC9FA"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lastRenderedPageBreak/>
        <w:t xml:space="preserve">62. J. Hummel, S. Kullmann, R. Wagner, M. Heni, Glycaemic fluctuations across the menstrual cycle: possible effect of the brain. </w:t>
      </w:r>
      <w:r w:rsidRPr="003663F0">
        <w:rPr>
          <w:i/>
          <w:iCs/>
          <w:noProof/>
          <w:sz w:val="24"/>
          <w:szCs w:val="24"/>
        </w:rPr>
        <w:t>Lancet Diabetes Endocrinol.</w:t>
      </w:r>
      <w:r w:rsidRPr="003663F0">
        <w:rPr>
          <w:noProof/>
          <w:sz w:val="24"/>
          <w:szCs w:val="24"/>
        </w:rPr>
        <w:t xml:space="preserve"> </w:t>
      </w:r>
      <w:r w:rsidRPr="003663F0">
        <w:rPr>
          <w:b/>
          <w:bCs/>
          <w:noProof/>
          <w:sz w:val="24"/>
          <w:szCs w:val="24"/>
        </w:rPr>
        <w:t>11</w:t>
      </w:r>
      <w:r w:rsidRPr="003663F0">
        <w:rPr>
          <w:noProof/>
          <w:sz w:val="24"/>
          <w:szCs w:val="24"/>
        </w:rPr>
        <w:t>, 883–884 (2023).</w:t>
      </w:r>
    </w:p>
    <w:p w14:paraId="3CE4518A"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63. R. Vaisvila, V. K. C. Ponnaluri, Z. Sun, B. W. Langhorst, L. Saleh, S. Guan, N. Dai, M. A. Campbell, B. S. Sexton, K. Marks, M. Samaranayake, J. C. Samuelson, H. E. Church, E. Tamanaha, I. R. J. Corrêa, S. Pradhan, E. T. Dimalanta, T. C. J. Evans, L. Williams, T. B. Davis, Enzymatic methyl sequencing detects DNA methylation at single-base resolution  from picograms of DNA. </w:t>
      </w:r>
      <w:r w:rsidRPr="003663F0">
        <w:rPr>
          <w:i/>
          <w:iCs/>
          <w:noProof/>
          <w:sz w:val="24"/>
          <w:szCs w:val="24"/>
        </w:rPr>
        <w:t>Genome Res.</w:t>
      </w:r>
      <w:r w:rsidRPr="003663F0">
        <w:rPr>
          <w:noProof/>
          <w:sz w:val="24"/>
          <w:szCs w:val="24"/>
        </w:rPr>
        <w:t xml:space="preserve"> </w:t>
      </w:r>
      <w:r w:rsidRPr="003663F0">
        <w:rPr>
          <w:b/>
          <w:bCs/>
          <w:noProof/>
          <w:sz w:val="24"/>
          <w:szCs w:val="24"/>
        </w:rPr>
        <w:t>31</w:t>
      </w:r>
      <w:r w:rsidRPr="003663F0">
        <w:rPr>
          <w:noProof/>
          <w:sz w:val="24"/>
          <w:szCs w:val="24"/>
        </w:rPr>
        <w:t>, 1280–1289 (2021).</w:t>
      </w:r>
    </w:p>
    <w:p w14:paraId="1E18ED2F" w14:textId="77777777" w:rsidR="003663F0" w:rsidRPr="003663F0" w:rsidRDefault="003663F0" w:rsidP="003663F0">
      <w:pPr>
        <w:widowControl w:val="0"/>
        <w:autoSpaceDE w:val="0"/>
        <w:autoSpaceDN w:val="0"/>
        <w:adjustRightInd w:val="0"/>
        <w:rPr>
          <w:noProof/>
          <w:sz w:val="24"/>
          <w:szCs w:val="24"/>
        </w:rPr>
      </w:pPr>
      <w:r w:rsidRPr="003663F0">
        <w:rPr>
          <w:noProof/>
          <w:sz w:val="24"/>
          <w:szCs w:val="24"/>
        </w:rPr>
        <w:t xml:space="preserve">64. S. Engebretsen, J. Bohlin, Statistical predictions with glmnet. </w:t>
      </w:r>
      <w:r w:rsidRPr="003663F0">
        <w:rPr>
          <w:i/>
          <w:iCs/>
          <w:noProof/>
          <w:sz w:val="24"/>
          <w:szCs w:val="24"/>
        </w:rPr>
        <w:t>Clin. Epigenetics</w:t>
      </w:r>
      <w:r w:rsidRPr="003663F0">
        <w:rPr>
          <w:noProof/>
          <w:sz w:val="24"/>
          <w:szCs w:val="24"/>
        </w:rPr>
        <w:t xml:space="preserve"> </w:t>
      </w:r>
      <w:r w:rsidRPr="003663F0">
        <w:rPr>
          <w:b/>
          <w:bCs/>
          <w:noProof/>
          <w:sz w:val="24"/>
          <w:szCs w:val="24"/>
        </w:rPr>
        <w:t>11</w:t>
      </w:r>
      <w:r w:rsidRPr="003663F0">
        <w:rPr>
          <w:noProof/>
          <w:sz w:val="24"/>
          <w:szCs w:val="24"/>
        </w:rPr>
        <w:t>, 123 (2019).</w:t>
      </w:r>
    </w:p>
    <w:p w14:paraId="3D4FD394" w14:textId="77777777" w:rsidR="003663F0" w:rsidRPr="003663F0" w:rsidRDefault="003663F0" w:rsidP="003663F0">
      <w:pPr>
        <w:widowControl w:val="0"/>
        <w:autoSpaceDE w:val="0"/>
        <w:autoSpaceDN w:val="0"/>
        <w:adjustRightInd w:val="0"/>
        <w:rPr>
          <w:noProof/>
          <w:sz w:val="24"/>
        </w:rPr>
      </w:pPr>
      <w:r w:rsidRPr="003663F0">
        <w:rPr>
          <w:noProof/>
          <w:sz w:val="24"/>
          <w:szCs w:val="24"/>
        </w:rPr>
        <w:t xml:space="preserve">65. N. Meinshausen, P. Bühlmann, Stability selection. </w:t>
      </w:r>
      <w:r w:rsidRPr="003663F0">
        <w:rPr>
          <w:i/>
          <w:iCs/>
          <w:noProof/>
          <w:sz w:val="24"/>
          <w:szCs w:val="24"/>
        </w:rPr>
        <w:t>J. R. Stat. Soc. Ser. B (Statistical Methodol.</w:t>
      </w:r>
      <w:r w:rsidRPr="003663F0">
        <w:rPr>
          <w:noProof/>
          <w:sz w:val="24"/>
          <w:szCs w:val="24"/>
        </w:rPr>
        <w:t xml:space="preserve"> </w:t>
      </w:r>
      <w:r w:rsidRPr="003663F0">
        <w:rPr>
          <w:b/>
          <w:bCs/>
          <w:noProof/>
          <w:sz w:val="24"/>
          <w:szCs w:val="24"/>
        </w:rPr>
        <w:t>72</w:t>
      </w:r>
      <w:r w:rsidRPr="003663F0">
        <w:rPr>
          <w:noProof/>
          <w:sz w:val="24"/>
          <w:szCs w:val="24"/>
        </w:rPr>
        <w:t>, 417–473 (2010).</w:t>
      </w:r>
    </w:p>
    <w:p w14:paraId="5A17EEA7" w14:textId="6A970963" w:rsidR="00C35B7A" w:rsidRPr="001533EC" w:rsidRDefault="00C35B7A" w:rsidP="00C35B7A">
      <w:pPr>
        <w:spacing w:line="480" w:lineRule="auto"/>
        <w:jc w:val="both"/>
        <w:rPr>
          <w:b/>
          <w:sz w:val="24"/>
          <w:szCs w:val="24"/>
        </w:rPr>
        <w:sectPr w:rsidR="00C35B7A" w:rsidRPr="001533EC" w:rsidSect="000048EC">
          <w:footerReference w:type="default" r:id="rId13"/>
          <w:pgSz w:w="11906" w:h="16838"/>
          <w:pgMar w:top="1417" w:right="1417" w:bottom="1134" w:left="1417" w:header="720" w:footer="720" w:gutter="0"/>
          <w:lnNumType w:countBy="1" w:restart="continuous"/>
          <w:cols w:space="720"/>
          <w:docGrid w:linePitch="360"/>
        </w:sectPr>
      </w:pPr>
      <w:r w:rsidRPr="001533EC">
        <w:rPr>
          <w:b/>
          <w:sz w:val="24"/>
          <w:szCs w:val="24"/>
        </w:rPr>
        <w:fldChar w:fldCharType="end"/>
      </w:r>
    </w:p>
    <w:p w14:paraId="5C2E73D0" w14:textId="55B6AAB4" w:rsidR="00691A32" w:rsidRPr="001533EC" w:rsidRDefault="00691A32" w:rsidP="00691A32">
      <w:pPr>
        <w:rPr>
          <w:b/>
          <w:sz w:val="24"/>
          <w:szCs w:val="24"/>
        </w:rPr>
      </w:pPr>
      <w:r w:rsidRPr="001533EC">
        <w:rPr>
          <w:b/>
          <w:sz w:val="24"/>
          <w:szCs w:val="24"/>
        </w:rPr>
        <w:lastRenderedPageBreak/>
        <w:t>Figure legends</w:t>
      </w:r>
    </w:p>
    <w:p w14:paraId="5BBFA111" w14:textId="77777777" w:rsidR="004E3131" w:rsidRPr="001533EC" w:rsidRDefault="004E3131" w:rsidP="00691A32">
      <w:pPr>
        <w:rPr>
          <w:b/>
          <w:sz w:val="24"/>
          <w:szCs w:val="24"/>
        </w:rPr>
      </w:pPr>
    </w:p>
    <w:p w14:paraId="7D1DDF6E" w14:textId="0F851B93" w:rsidR="00691A32" w:rsidRPr="001533EC" w:rsidRDefault="00691A32" w:rsidP="00691A32">
      <w:pPr>
        <w:spacing w:line="480" w:lineRule="auto"/>
        <w:jc w:val="both"/>
        <w:rPr>
          <w:sz w:val="24"/>
          <w:szCs w:val="24"/>
          <w:lang w:eastAsia="de-DE"/>
        </w:rPr>
      </w:pPr>
      <w:bookmarkStart w:id="12" w:name="_Hlk187160705"/>
      <w:r w:rsidRPr="001533EC">
        <w:rPr>
          <w:b/>
          <w:sz w:val="24"/>
          <w:szCs w:val="24"/>
        </w:rPr>
        <w:t xml:space="preserve">Figure 1. </w:t>
      </w:r>
      <w:r w:rsidRPr="001533EC">
        <w:rPr>
          <w:b/>
          <w:sz w:val="24"/>
          <w:szCs w:val="24"/>
          <w:lang w:eastAsia="de-DE"/>
        </w:rPr>
        <w:t xml:space="preserve">Schematic representation the current study </w:t>
      </w:r>
      <w:r w:rsidR="005C727C">
        <w:rPr>
          <w:b/>
          <w:sz w:val="24"/>
          <w:szCs w:val="24"/>
          <w:lang w:eastAsia="de-DE"/>
        </w:rPr>
        <w:t xml:space="preserve">steps </w:t>
      </w:r>
      <w:r w:rsidRPr="001533EC">
        <w:rPr>
          <w:b/>
          <w:sz w:val="24"/>
          <w:szCs w:val="24"/>
          <w:lang w:eastAsia="de-DE"/>
        </w:rPr>
        <w:t>and cohorts.</w:t>
      </w:r>
      <w:r w:rsidRPr="001533EC">
        <w:rPr>
          <w:sz w:val="24"/>
          <w:szCs w:val="24"/>
          <w:lang w:eastAsia="de-DE"/>
        </w:rPr>
        <w:t xml:space="preserve"> Three independent groups of participants </w:t>
      </w:r>
      <w:r w:rsidR="001D0ACF">
        <w:rPr>
          <w:sz w:val="24"/>
          <w:szCs w:val="24"/>
          <w:lang w:eastAsia="de-DE"/>
        </w:rPr>
        <w:t>were</w:t>
      </w:r>
      <w:r w:rsidR="001D0ACF" w:rsidRPr="001533EC">
        <w:rPr>
          <w:sz w:val="24"/>
          <w:szCs w:val="24"/>
          <w:lang w:eastAsia="de-DE"/>
        </w:rPr>
        <w:t xml:space="preserve"> </w:t>
      </w:r>
      <w:r w:rsidRPr="001533EC">
        <w:rPr>
          <w:sz w:val="24"/>
          <w:szCs w:val="24"/>
          <w:lang w:eastAsia="de-DE"/>
        </w:rPr>
        <w:t>included</w:t>
      </w:r>
      <w:r w:rsidR="00E5619B">
        <w:rPr>
          <w:sz w:val="24"/>
          <w:szCs w:val="24"/>
          <w:lang w:eastAsia="de-DE"/>
        </w:rPr>
        <w:t xml:space="preserve"> among the</w:t>
      </w:r>
      <w:r w:rsidRPr="001533EC">
        <w:rPr>
          <w:sz w:val="24"/>
          <w:szCs w:val="24"/>
          <w:lang w:eastAsia="de-DE"/>
        </w:rPr>
        <w:t xml:space="preserve"> discovery and replication cohorts. In both cohorts, participants underwent functional Magnetic Resonance Imaging (fMRI) after intranasal insulin application. Based on the dynamic of cerebral blood flow in response to intranasal insulin, participants were classified either as brain insulin resistant (BIR) or sensitive (BIS). First, a machine learning pipeline was applied to all CpG sites measured by the EPICv1 array to identify CpG sites </w:t>
      </w:r>
      <w:r w:rsidR="00DD5115">
        <w:rPr>
          <w:sz w:val="24"/>
          <w:szCs w:val="24"/>
          <w:lang w:eastAsia="de-DE"/>
        </w:rPr>
        <w:t>that associate with</w:t>
      </w:r>
      <w:r w:rsidRPr="001533EC">
        <w:rPr>
          <w:sz w:val="24"/>
          <w:szCs w:val="24"/>
          <w:lang w:eastAsia="de-DE"/>
        </w:rPr>
        <w:t xml:space="preserve"> brain insulin resistance (depicted in the blue frame). Results of the machine learning analyses identified in the discovery cohort were validated in a replication cohort (</w:t>
      </w:r>
      <w:r w:rsidR="0001007E">
        <w:rPr>
          <w:sz w:val="24"/>
          <w:szCs w:val="24"/>
          <w:lang w:eastAsia="de-DE"/>
        </w:rPr>
        <w:t>see</w:t>
      </w:r>
      <w:r w:rsidRPr="001533EC">
        <w:rPr>
          <w:sz w:val="24"/>
          <w:szCs w:val="24"/>
          <w:lang w:eastAsia="de-DE"/>
        </w:rPr>
        <w:t xml:space="preserve"> methods and fig. S1). Second, epigenetic signatures associated with brain insulin resistance were </w:t>
      </w:r>
      <w:r w:rsidR="00AE3BCF">
        <w:rPr>
          <w:sz w:val="24"/>
          <w:szCs w:val="24"/>
          <w:lang w:eastAsia="de-DE"/>
        </w:rPr>
        <w:t>detected</w:t>
      </w:r>
      <w:r w:rsidR="00AE3BCF" w:rsidRPr="001533EC">
        <w:rPr>
          <w:sz w:val="24"/>
          <w:szCs w:val="24"/>
          <w:lang w:eastAsia="de-DE"/>
        </w:rPr>
        <w:t xml:space="preserve"> </w:t>
      </w:r>
      <w:r w:rsidRPr="001533EC">
        <w:rPr>
          <w:sz w:val="24"/>
          <w:szCs w:val="24"/>
          <w:lang w:eastAsia="de-DE"/>
        </w:rPr>
        <w:t xml:space="preserve">when comparing the DNA methylation profiles in blood cells of 81 BIS and 86 BIR individuals. </w:t>
      </w:r>
      <w:r w:rsidR="00DD6F03">
        <w:rPr>
          <w:sz w:val="24"/>
          <w:szCs w:val="24"/>
          <w:lang w:eastAsia="de-DE"/>
        </w:rPr>
        <w:t>D</w:t>
      </w:r>
      <w:r w:rsidRPr="001533EC">
        <w:rPr>
          <w:sz w:val="24"/>
          <w:szCs w:val="24"/>
          <w:lang w:eastAsia="de-DE"/>
        </w:rPr>
        <w:t>ifferential DNA methylation analysis was followed by pathway enrichment analysis.</w:t>
      </w:r>
    </w:p>
    <w:p w14:paraId="7E117C3D" w14:textId="4187883B" w:rsidR="00691A32" w:rsidRPr="001533EC" w:rsidRDefault="00691A32" w:rsidP="00691A32">
      <w:pPr>
        <w:spacing w:line="480" w:lineRule="auto"/>
        <w:jc w:val="both"/>
        <w:rPr>
          <w:sz w:val="24"/>
          <w:szCs w:val="24"/>
        </w:rPr>
      </w:pPr>
      <w:bookmarkStart w:id="13" w:name="_Hlk187160765"/>
      <w:bookmarkEnd w:id="12"/>
      <w:r w:rsidRPr="001533EC">
        <w:rPr>
          <w:b/>
          <w:sz w:val="24"/>
          <w:szCs w:val="24"/>
          <w:lang w:eastAsia="de-DE"/>
        </w:rPr>
        <w:t>Figure 2.</w:t>
      </w:r>
      <w:r w:rsidRPr="001533EC">
        <w:rPr>
          <w:b/>
          <w:sz w:val="24"/>
          <w:szCs w:val="24"/>
        </w:rPr>
        <w:t xml:space="preserve"> Machine learning identifie</w:t>
      </w:r>
      <w:r w:rsidR="004105AC">
        <w:rPr>
          <w:b/>
          <w:sz w:val="24"/>
          <w:szCs w:val="24"/>
        </w:rPr>
        <w:t>s</w:t>
      </w:r>
      <w:r w:rsidRPr="001533EC">
        <w:rPr>
          <w:b/>
          <w:sz w:val="24"/>
          <w:szCs w:val="24"/>
        </w:rPr>
        <w:t xml:space="preserve"> epigenetic </w:t>
      </w:r>
      <w:r w:rsidR="002E6D60">
        <w:rPr>
          <w:b/>
          <w:sz w:val="24"/>
          <w:szCs w:val="24"/>
        </w:rPr>
        <w:t>classifiers</w:t>
      </w:r>
      <w:r w:rsidR="002E6D60" w:rsidRPr="001533EC">
        <w:rPr>
          <w:b/>
          <w:sz w:val="24"/>
          <w:szCs w:val="24"/>
        </w:rPr>
        <w:t xml:space="preserve"> </w:t>
      </w:r>
      <w:r w:rsidR="00FE1AB1">
        <w:rPr>
          <w:b/>
          <w:sz w:val="24"/>
          <w:szCs w:val="24"/>
        </w:rPr>
        <w:t>of</w:t>
      </w:r>
      <w:r w:rsidR="00FE1AB1" w:rsidRPr="001533EC">
        <w:rPr>
          <w:b/>
          <w:sz w:val="24"/>
          <w:szCs w:val="24"/>
        </w:rPr>
        <w:t xml:space="preserve"> </w:t>
      </w:r>
      <w:r w:rsidRPr="001533EC">
        <w:rPr>
          <w:b/>
          <w:sz w:val="24"/>
          <w:szCs w:val="24"/>
        </w:rPr>
        <w:t>brain insulin resistance.</w:t>
      </w:r>
      <w:r w:rsidRPr="001533EC">
        <w:rPr>
          <w:sz w:val="24"/>
          <w:szCs w:val="24"/>
        </w:rPr>
        <w:t xml:space="preserve"> (A) Heatmap depicting scaled methylation of 540 CpG sites identified </w:t>
      </w:r>
      <w:r w:rsidR="00795AD6">
        <w:rPr>
          <w:sz w:val="24"/>
          <w:szCs w:val="24"/>
        </w:rPr>
        <w:t>by</w:t>
      </w:r>
      <w:r w:rsidR="00795AD6" w:rsidRPr="001533EC">
        <w:rPr>
          <w:sz w:val="24"/>
          <w:szCs w:val="24"/>
        </w:rPr>
        <w:t xml:space="preserve"> </w:t>
      </w:r>
      <w:r w:rsidRPr="001533EC">
        <w:rPr>
          <w:sz w:val="24"/>
          <w:szCs w:val="24"/>
        </w:rPr>
        <w:t>machine learning in the discovery cohort (red: high DNA methylation; blue: low DNA methylation).</w:t>
      </w:r>
      <w:r w:rsidR="00262AA1">
        <w:rPr>
          <w:sz w:val="24"/>
          <w:szCs w:val="24"/>
        </w:rPr>
        <w:t xml:space="preserve"> CpG sites and methylation are detailed in data file S2.</w:t>
      </w:r>
      <w:r w:rsidRPr="001533EC">
        <w:rPr>
          <w:sz w:val="24"/>
          <w:szCs w:val="24"/>
        </w:rPr>
        <w:t xml:space="preserve"> (B) Sensitivity to 1-Specificity plots are shown for the replication cohort I (n = 33) using Random Forest and Support Vector Machine. Tables correspond to confusion matri</w:t>
      </w:r>
      <w:r w:rsidR="005F59B5">
        <w:rPr>
          <w:sz w:val="24"/>
          <w:szCs w:val="24"/>
        </w:rPr>
        <w:t>ces</w:t>
      </w:r>
      <w:r w:rsidRPr="001533EC">
        <w:rPr>
          <w:sz w:val="24"/>
          <w:szCs w:val="24"/>
        </w:rPr>
        <w:t xml:space="preserve"> and the accuracy of the two models (Random Forest and Support Vector Machine) in the replication cohort I (lower panels)</w:t>
      </w:r>
      <w:r w:rsidR="00CB1014">
        <w:rPr>
          <w:sz w:val="24"/>
          <w:szCs w:val="24"/>
        </w:rPr>
        <w:t xml:space="preserve"> at predicting brain insulin resistance</w:t>
      </w:r>
      <w:r w:rsidRPr="001533EC">
        <w:rPr>
          <w:sz w:val="24"/>
          <w:szCs w:val="24"/>
        </w:rPr>
        <w:t xml:space="preserve">. Precision recall plots are </w:t>
      </w:r>
      <w:proofErr w:type="spellStart"/>
      <w:r w:rsidR="00887D52">
        <w:rPr>
          <w:sz w:val="24"/>
          <w:szCs w:val="24"/>
        </w:rPr>
        <w:t>embeded</w:t>
      </w:r>
      <w:proofErr w:type="spellEnd"/>
      <w:r w:rsidR="00887D52">
        <w:rPr>
          <w:sz w:val="24"/>
          <w:szCs w:val="24"/>
        </w:rPr>
        <w:t xml:space="preserve"> in the ROC-AUC plots</w:t>
      </w:r>
      <w:r w:rsidR="00FE3395">
        <w:rPr>
          <w:sz w:val="24"/>
          <w:szCs w:val="24"/>
        </w:rPr>
        <w:t xml:space="preserve">, with the left panel showing results for RF and in the right for SVM </w:t>
      </w:r>
      <w:r w:rsidRPr="001533EC">
        <w:rPr>
          <w:sz w:val="24"/>
          <w:szCs w:val="24"/>
        </w:rPr>
        <w:t>(</w:t>
      </w:r>
      <w:r w:rsidR="00FE3395">
        <w:rPr>
          <w:sz w:val="24"/>
          <w:szCs w:val="24"/>
        </w:rPr>
        <w:t>C</w:t>
      </w:r>
      <w:r w:rsidRPr="001533EC">
        <w:rPr>
          <w:sz w:val="24"/>
          <w:szCs w:val="24"/>
        </w:rPr>
        <w:t xml:space="preserve">) Gene ontology enrichment analysis of the 445 genes corresponding to the 540 identified CpG sites performed with </w:t>
      </w:r>
      <w:proofErr w:type="spellStart"/>
      <w:r w:rsidRPr="001533EC">
        <w:rPr>
          <w:sz w:val="24"/>
          <w:szCs w:val="24"/>
        </w:rPr>
        <w:t>cytoscape</w:t>
      </w:r>
      <w:proofErr w:type="spellEnd"/>
      <w:r w:rsidRPr="001533EC">
        <w:rPr>
          <w:sz w:val="24"/>
          <w:szCs w:val="24"/>
        </w:rPr>
        <w:t>. The color bar depicts the p-value of the GO enrichment, similar terms were grouped together (black circles), blue lines connect GO terms according to hierarchy and shared genes. TP: true positive; TN: true negative; FP: false positive; FN: false negative; AUC: area under curve.</w:t>
      </w:r>
    </w:p>
    <w:p w14:paraId="7FD824F8" w14:textId="44D75B46" w:rsidR="00691A32" w:rsidRPr="001533EC" w:rsidRDefault="00691A32" w:rsidP="00691A32">
      <w:pPr>
        <w:spacing w:line="480" w:lineRule="auto"/>
        <w:jc w:val="both"/>
        <w:rPr>
          <w:sz w:val="24"/>
          <w:szCs w:val="24"/>
        </w:rPr>
      </w:pPr>
      <w:bookmarkStart w:id="14" w:name="_Hlk187160503"/>
      <w:bookmarkEnd w:id="13"/>
      <w:r w:rsidRPr="001533EC">
        <w:rPr>
          <w:b/>
          <w:sz w:val="24"/>
          <w:szCs w:val="24"/>
          <w:lang w:eastAsia="de-DE"/>
        </w:rPr>
        <w:lastRenderedPageBreak/>
        <w:t>Figure 3.</w:t>
      </w:r>
      <w:r w:rsidRPr="001533EC">
        <w:rPr>
          <w:sz w:val="24"/>
          <w:szCs w:val="24"/>
          <w:lang w:eastAsia="de-DE"/>
        </w:rPr>
        <w:t xml:space="preserve"> </w:t>
      </w:r>
      <w:r w:rsidRPr="001533EC">
        <w:rPr>
          <w:b/>
          <w:sz w:val="24"/>
          <w:szCs w:val="24"/>
          <w:lang w:eastAsia="de-DE"/>
        </w:rPr>
        <w:t>Epigenetic signatures associated with brain insulin resistance.</w:t>
      </w:r>
      <w:r w:rsidRPr="001533EC">
        <w:rPr>
          <w:sz w:val="24"/>
          <w:szCs w:val="24"/>
          <w:lang w:eastAsia="de-DE"/>
        </w:rPr>
        <w:t xml:space="preserve"> </w:t>
      </w:r>
      <w:r w:rsidR="002B2ACD">
        <w:rPr>
          <w:sz w:val="24"/>
          <w:szCs w:val="24"/>
          <w:lang w:eastAsia="de-DE"/>
        </w:rPr>
        <w:t>(A) N</w:t>
      </w:r>
      <w:r w:rsidRPr="001533EC">
        <w:rPr>
          <w:sz w:val="24"/>
          <w:szCs w:val="24"/>
          <w:lang w:eastAsia="de-DE"/>
        </w:rPr>
        <w:t>umber of differentially methylated CpG sites</w:t>
      </w:r>
      <w:r w:rsidR="00C178D8">
        <w:rPr>
          <w:sz w:val="24"/>
          <w:szCs w:val="24"/>
          <w:lang w:eastAsia="de-DE"/>
        </w:rPr>
        <w:t xml:space="preserve"> in the discovery cohort</w:t>
      </w:r>
      <w:r w:rsidR="002B2ACD">
        <w:rPr>
          <w:sz w:val="24"/>
          <w:szCs w:val="24"/>
          <w:lang w:eastAsia="de-DE"/>
        </w:rPr>
        <w:t>.</w:t>
      </w:r>
      <w:r w:rsidR="005A763B">
        <w:rPr>
          <w:sz w:val="24"/>
          <w:szCs w:val="24"/>
          <w:lang w:val="en-GB"/>
        </w:rPr>
        <w:t xml:space="preserve">(B) </w:t>
      </w:r>
      <w:r w:rsidRPr="001533EC">
        <w:rPr>
          <w:sz w:val="24"/>
          <w:szCs w:val="24"/>
          <w:lang w:val="en-GB"/>
        </w:rPr>
        <w:t xml:space="preserve"> </w:t>
      </w:r>
      <w:r w:rsidR="005A763B">
        <w:rPr>
          <w:sz w:val="24"/>
          <w:szCs w:val="24"/>
          <w:lang w:val="en-GB"/>
        </w:rPr>
        <w:t>D</w:t>
      </w:r>
      <w:r w:rsidRPr="001533EC">
        <w:rPr>
          <w:sz w:val="24"/>
          <w:szCs w:val="24"/>
          <w:lang w:val="en-GB"/>
        </w:rPr>
        <w:t>istribution of hyper- and hypomethylated CpG sites in blood cells of BIR when compared to</w:t>
      </w:r>
      <w:r w:rsidRPr="001533EC">
        <w:rPr>
          <w:b/>
          <w:sz w:val="24"/>
          <w:szCs w:val="24"/>
          <w:lang w:val="en-GB"/>
        </w:rPr>
        <w:t xml:space="preserve"> </w:t>
      </w:r>
      <w:r w:rsidRPr="001533EC">
        <w:rPr>
          <w:sz w:val="24"/>
          <w:szCs w:val="24"/>
          <w:lang w:val="en-GB"/>
        </w:rPr>
        <w:t>BIS participants</w:t>
      </w:r>
      <w:r w:rsidR="00C178D8">
        <w:rPr>
          <w:sz w:val="24"/>
          <w:szCs w:val="24"/>
          <w:lang w:val="en-GB"/>
        </w:rPr>
        <w:t xml:space="preserve"> of the discovery cohort</w:t>
      </w:r>
      <w:r w:rsidRPr="001533EC">
        <w:rPr>
          <w:sz w:val="24"/>
          <w:szCs w:val="24"/>
          <w:lang w:val="en-GB"/>
        </w:rPr>
        <w:t xml:space="preserve"> is depicted by a volcano plot</w:t>
      </w:r>
      <w:r w:rsidR="00E651DF">
        <w:rPr>
          <w:sz w:val="24"/>
          <w:szCs w:val="24"/>
          <w:lang w:val="en-GB"/>
        </w:rPr>
        <w:t xml:space="preserve"> </w:t>
      </w:r>
      <w:r w:rsidR="00E614CC">
        <w:rPr>
          <w:sz w:val="24"/>
          <w:szCs w:val="24"/>
          <w:lang w:val="en-GB"/>
        </w:rPr>
        <w:t xml:space="preserve"> (details are in Data file 2)</w:t>
      </w:r>
      <w:r w:rsidRPr="001533EC">
        <w:rPr>
          <w:sz w:val="24"/>
          <w:szCs w:val="24"/>
          <w:lang w:val="en-GB"/>
        </w:rPr>
        <w:t xml:space="preserve">Magenta and teal dots represent the 181 hyper- and 317 hypomethylated CpG sites (also </w:t>
      </w:r>
      <w:proofErr w:type="spellStart"/>
      <w:r w:rsidRPr="001533EC">
        <w:rPr>
          <w:sz w:val="24"/>
          <w:szCs w:val="24"/>
          <w:lang w:val="en-GB"/>
        </w:rPr>
        <w:t>refered</w:t>
      </w:r>
      <w:proofErr w:type="spellEnd"/>
      <w:r w:rsidRPr="001533EC">
        <w:rPr>
          <w:sz w:val="24"/>
          <w:szCs w:val="24"/>
          <w:lang w:val="en-GB"/>
        </w:rPr>
        <w:t xml:space="preserve"> as DMPs, differentially methylated pos</w:t>
      </w:r>
      <w:r w:rsidR="00523E8E">
        <w:rPr>
          <w:sz w:val="24"/>
          <w:szCs w:val="24"/>
          <w:lang w:val="en-GB"/>
        </w:rPr>
        <w:t>i</w:t>
      </w:r>
      <w:r w:rsidRPr="001533EC">
        <w:rPr>
          <w:sz w:val="24"/>
          <w:szCs w:val="24"/>
          <w:lang w:val="en-GB"/>
        </w:rPr>
        <w:t>tions) with absolute methylation differences higher than 2.5% (</w:t>
      </w:r>
      <w:r w:rsidRPr="001533EC">
        <w:rPr>
          <w:sz w:val="24"/>
          <w:szCs w:val="24"/>
        </w:rPr>
        <w:t>|Δβ| = |β</w:t>
      </w:r>
      <w:r w:rsidRPr="001533EC">
        <w:rPr>
          <w:sz w:val="24"/>
          <w:szCs w:val="24"/>
          <w:vertAlign w:val="subscript"/>
        </w:rPr>
        <w:t>BIS</w:t>
      </w:r>
      <w:r w:rsidRPr="001533EC">
        <w:rPr>
          <w:sz w:val="24"/>
          <w:szCs w:val="24"/>
        </w:rPr>
        <w:t xml:space="preserve"> - β</w:t>
      </w:r>
      <w:r w:rsidRPr="001533EC">
        <w:rPr>
          <w:sz w:val="24"/>
          <w:szCs w:val="24"/>
          <w:vertAlign w:val="subscript"/>
        </w:rPr>
        <w:t>BIR</w:t>
      </w:r>
      <w:r w:rsidRPr="001533EC">
        <w:rPr>
          <w:sz w:val="24"/>
          <w:szCs w:val="24"/>
        </w:rPr>
        <w:t>| ≥ 2.5%: AdjP &lt; 0.05</w:t>
      </w:r>
      <w:r w:rsidRPr="001533EC">
        <w:rPr>
          <w:sz w:val="24"/>
          <w:szCs w:val="24"/>
          <w:lang w:val="en-GB"/>
        </w:rPr>
        <w:t>), respectively. Gray dots refer to the remaining significantly different CpG sites (</w:t>
      </w:r>
      <w:r w:rsidR="00C178D8">
        <w:rPr>
          <w:sz w:val="24"/>
          <w:szCs w:val="24"/>
          <w:lang w:val="en-GB"/>
        </w:rPr>
        <w:t>n</w:t>
      </w:r>
      <w:r w:rsidR="00B92941">
        <w:rPr>
          <w:sz w:val="24"/>
          <w:szCs w:val="24"/>
          <w:lang w:val="en-GB"/>
        </w:rPr>
        <w:t xml:space="preserve"> </w:t>
      </w:r>
      <w:r w:rsidR="00C178D8">
        <w:rPr>
          <w:sz w:val="24"/>
          <w:szCs w:val="24"/>
          <w:lang w:val="en-GB"/>
        </w:rPr>
        <w:t>=</w:t>
      </w:r>
      <w:r w:rsidR="00B92941">
        <w:rPr>
          <w:sz w:val="24"/>
          <w:szCs w:val="24"/>
          <w:lang w:val="en-GB"/>
        </w:rPr>
        <w:t xml:space="preserve"> </w:t>
      </w:r>
      <w:r w:rsidR="00C178D8">
        <w:rPr>
          <w:sz w:val="24"/>
          <w:szCs w:val="24"/>
          <w:lang w:val="en-GB"/>
        </w:rPr>
        <w:t xml:space="preserve">167, </w:t>
      </w:r>
      <w:r w:rsidRPr="001533EC">
        <w:rPr>
          <w:sz w:val="24"/>
          <w:szCs w:val="24"/>
        </w:rPr>
        <w:t>|Δβ| = β</w:t>
      </w:r>
      <w:r w:rsidRPr="001533EC">
        <w:rPr>
          <w:sz w:val="24"/>
          <w:szCs w:val="24"/>
          <w:vertAlign w:val="subscript"/>
        </w:rPr>
        <w:t>BIS</w:t>
      </w:r>
      <w:r w:rsidRPr="001533EC">
        <w:rPr>
          <w:sz w:val="24"/>
          <w:szCs w:val="24"/>
        </w:rPr>
        <w:t xml:space="preserve"> - β</w:t>
      </w:r>
      <w:r w:rsidRPr="001533EC">
        <w:rPr>
          <w:sz w:val="24"/>
          <w:szCs w:val="24"/>
          <w:vertAlign w:val="subscript"/>
        </w:rPr>
        <w:t>BIR</w:t>
      </w:r>
      <w:r w:rsidRPr="001533EC">
        <w:rPr>
          <w:sz w:val="24"/>
          <w:szCs w:val="24"/>
        </w:rPr>
        <w:t xml:space="preserve"> ≤ 2.5%: AdjP &lt; 0.05</w:t>
      </w:r>
      <w:r w:rsidRPr="001533EC">
        <w:rPr>
          <w:sz w:val="24"/>
          <w:szCs w:val="24"/>
          <w:lang w:val="en-GB"/>
        </w:rPr>
        <w:t xml:space="preserve">). (C) Upper panel shows the number of genes annotated to DMPs. The </w:t>
      </w:r>
      <w:proofErr w:type="spellStart"/>
      <w:r w:rsidRPr="001533EC">
        <w:rPr>
          <w:sz w:val="24"/>
          <w:szCs w:val="24"/>
          <w:lang w:val="en-GB"/>
        </w:rPr>
        <w:t>barplot</w:t>
      </w:r>
      <w:proofErr w:type="spellEnd"/>
      <w:r w:rsidRPr="001533EC">
        <w:rPr>
          <w:sz w:val="24"/>
          <w:szCs w:val="24"/>
          <w:lang w:val="en-GB"/>
        </w:rPr>
        <w:t xml:space="preserve"> below corresponds to pathway enrichment analysis of the 304 differentially methylated genes, identified with DAVID tools</w:t>
      </w:r>
      <w:r w:rsidR="00E614CC">
        <w:rPr>
          <w:sz w:val="24"/>
          <w:szCs w:val="24"/>
          <w:lang w:val="en-GB"/>
        </w:rPr>
        <w:t xml:space="preserve"> (Data file 1, Table S2)</w:t>
      </w:r>
      <w:r w:rsidRPr="001533EC">
        <w:rPr>
          <w:sz w:val="24"/>
          <w:szCs w:val="24"/>
          <w:lang w:val="en-GB"/>
        </w:rPr>
        <w:t xml:space="preserve">. </w:t>
      </w:r>
      <w:r w:rsidRPr="001533EC">
        <w:rPr>
          <w:sz w:val="24"/>
          <w:szCs w:val="24"/>
        </w:rPr>
        <w:t xml:space="preserve">(D) Venn diagram illustrating overlap of </w:t>
      </w:r>
      <w:proofErr w:type="spellStart"/>
      <w:r w:rsidRPr="001533EC">
        <w:rPr>
          <w:sz w:val="24"/>
          <w:szCs w:val="24"/>
        </w:rPr>
        <w:t>CpGs</w:t>
      </w:r>
      <w:proofErr w:type="spellEnd"/>
      <w:r w:rsidRPr="001533EC">
        <w:rPr>
          <w:sz w:val="24"/>
          <w:szCs w:val="24"/>
        </w:rPr>
        <w:t xml:space="preserve"> from Elastic net (gray) and differentially methylated (light green). Red circle depicts the 540 stable CpG </w:t>
      </w:r>
      <w:r w:rsidR="002E6D60">
        <w:rPr>
          <w:sz w:val="24"/>
          <w:szCs w:val="24"/>
        </w:rPr>
        <w:t>classifiers</w:t>
      </w:r>
      <w:r w:rsidRPr="001533EC">
        <w:rPr>
          <w:sz w:val="24"/>
          <w:szCs w:val="24"/>
        </w:rPr>
        <w:t>, blue circle includes the DMPs with highest methylation changes (|Δβ| = |β</w:t>
      </w:r>
      <w:r w:rsidRPr="001533EC">
        <w:rPr>
          <w:sz w:val="24"/>
          <w:szCs w:val="24"/>
          <w:vertAlign w:val="subscript"/>
        </w:rPr>
        <w:t>BIS</w:t>
      </w:r>
      <w:r w:rsidRPr="001533EC">
        <w:rPr>
          <w:sz w:val="24"/>
          <w:szCs w:val="24"/>
        </w:rPr>
        <w:t xml:space="preserve"> - β</w:t>
      </w:r>
      <w:r w:rsidRPr="001533EC">
        <w:rPr>
          <w:sz w:val="24"/>
          <w:szCs w:val="24"/>
          <w:vertAlign w:val="subscript"/>
        </w:rPr>
        <w:t>BIR</w:t>
      </w:r>
      <w:r w:rsidRPr="001533EC">
        <w:rPr>
          <w:sz w:val="24"/>
          <w:szCs w:val="24"/>
        </w:rPr>
        <w:t>| ≥ 2.5%: AdjP&lt;0.05).</w:t>
      </w:r>
    </w:p>
    <w:p w14:paraId="220F4531" w14:textId="40AC639E" w:rsidR="00691A32" w:rsidRPr="001533EC" w:rsidRDefault="00691A32" w:rsidP="00691A32">
      <w:pPr>
        <w:spacing w:line="480" w:lineRule="auto"/>
        <w:jc w:val="both"/>
        <w:rPr>
          <w:sz w:val="24"/>
          <w:szCs w:val="24"/>
        </w:rPr>
      </w:pPr>
      <w:bookmarkStart w:id="15" w:name="_Hlk187160267"/>
      <w:bookmarkEnd w:id="14"/>
      <w:r w:rsidRPr="001533EC">
        <w:rPr>
          <w:b/>
          <w:sz w:val="24"/>
          <w:szCs w:val="24"/>
        </w:rPr>
        <w:t xml:space="preserve">Figure 4. DNA methylation of the CpG </w:t>
      </w:r>
      <w:r w:rsidR="004C375A">
        <w:rPr>
          <w:b/>
          <w:sz w:val="24"/>
          <w:szCs w:val="24"/>
        </w:rPr>
        <w:t>classifiers</w:t>
      </w:r>
      <w:r w:rsidR="004C375A" w:rsidRPr="001533EC">
        <w:rPr>
          <w:b/>
          <w:sz w:val="24"/>
          <w:szCs w:val="24"/>
        </w:rPr>
        <w:t xml:space="preserve"> </w:t>
      </w:r>
      <w:r w:rsidRPr="001533EC">
        <w:rPr>
          <w:b/>
          <w:sz w:val="24"/>
          <w:szCs w:val="24"/>
        </w:rPr>
        <w:t>strongly correlate</w:t>
      </w:r>
      <w:r w:rsidR="00597AE4">
        <w:rPr>
          <w:b/>
          <w:sz w:val="24"/>
          <w:szCs w:val="24"/>
        </w:rPr>
        <w:t>s</w:t>
      </w:r>
      <w:r w:rsidRPr="001533EC">
        <w:rPr>
          <w:b/>
          <w:sz w:val="24"/>
          <w:szCs w:val="24"/>
        </w:rPr>
        <w:t xml:space="preserve"> with brain insulin resistance.</w:t>
      </w:r>
      <w:r w:rsidRPr="001533EC">
        <w:rPr>
          <w:sz w:val="24"/>
          <w:szCs w:val="24"/>
        </w:rPr>
        <w:t xml:space="preserve"> </w:t>
      </w:r>
      <w:r w:rsidR="009A4B05">
        <w:rPr>
          <w:sz w:val="24"/>
          <w:szCs w:val="24"/>
        </w:rPr>
        <w:t>Heatmap</w:t>
      </w:r>
      <w:r w:rsidRPr="001533EC">
        <w:rPr>
          <w:sz w:val="24"/>
          <w:szCs w:val="24"/>
        </w:rPr>
        <w:t xml:space="preserve"> show</w:t>
      </w:r>
      <w:r w:rsidR="009A4B05">
        <w:rPr>
          <w:sz w:val="24"/>
          <w:szCs w:val="24"/>
        </w:rPr>
        <w:t>ing</w:t>
      </w:r>
      <w:r w:rsidRPr="001533EC">
        <w:rPr>
          <w:sz w:val="24"/>
          <w:szCs w:val="24"/>
        </w:rPr>
        <w:t xml:space="preserve"> the Spearman correlation coefficient </w:t>
      </w:r>
      <w:r w:rsidR="000315F2">
        <w:rPr>
          <w:sz w:val="24"/>
          <w:szCs w:val="24"/>
        </w:rPr>
        <w:t>of</w:t>
      </w:r>
      <w:r w:rsidR="000315F2" w:rsidRPr="001533EC">
        <w:rPr>
          <w:sz w:val="24"/>
          <w:szCs w:val="24"/>
        </w:rPr>
        <w:t xml:space="preserve"> </w:t>
      </w:r>
      <w:r w:rsidRPr="001533EC">
        <w:rPr>
          <w:sz w:val="24"/>
          <w:szCs w:val="24"/>
        </w:rPr>
        <w:t xml:space="preserve">the 68 </w:t>
      </w:r>
      <w:proofErr w:type="spellStart"/>
      <w:r w:rsidRPr="001533EC">
        <w:rPr>
          <w:sz w:val="24"/>
          <w:szCs w:val="24"/>
        </w:rPr>
        <w:t>CpGs</w:t>
      </w:r>
      <w:proofErr w:type="spellEnd"/>
      <w:r w:rsidRPr="001533EC">
        <w:rPr>
          <w:sz w:val="24"/>
          <w:szCs w:val="24"/>
        </w:rPr>
        <w:t xml:space="preserve"> (see Figure 3D) with clinical variables from the discovery </w:t>
      </w:r>
      <w:r w:rsidR="009A7449">
        <w:rPr>
          <w:sz w:val="24"/>
          <w:szCs w:val="24"/>
        </w:rPr>
        <w:t>(n</w:t>
      </w:r>
      <w:r w:rsidR="00B92941">
        <w:rPr>
          <w:sz w:val="24"/>
          <w:szCs w:val="24"/>
        </w:rPr>
        <w:t xml:space="preserve"> </w:t>
      </w:r>
      <w:r w:rsidR="009A7449">
        <w:rPr>
          <w:sz w:val="24"/>
          <w:szCs w:val="24"/>
        </w:rPr>
        <w:t>=</w:t>
      </w:r>
      <w:r w:rsidR="00B92941">
        <w:rPr>
          <w:sz w:val="24"/>
          <w:szCs w:val="24"/>
        </w:rPr>
        <w:t xml:space="preserve"> 167</w:t>
      </w:r>
      <w:r w:rsidR="009A7449">
        <w:rPr>
          <w:sz w:val="24"/>
          <w:szCs w:val="24"/>
        </w:rPr>
        <w:t xml:space="preserve">) </w:t>
      </w:r>
      <w:r w:rsidRPr="001533EC">
        <w:rPr>
          <w:sz w:val="24"/>
          <w:szCs w:val="24"/>
        </w:rPr>
        <w:t>and replication</w:t>
      </w:r>
      <w:r w:rsidR="00B92941">
        <w:rPr>
          <w:sz w:val="24"/>
          <w:szCs w:val="24"/>
        </w:rPr>
        <w:t xml:space="preserve"> I</w:t>
      </w:r>
      <w:r w:rsidR="009A7449">
        <w:rPr>
          <w:sz w:val="24"/>
          <w:szCs w:val="24"/>
        </w:rPr>
        <w:t xml:space="preserve"> (n</w:t>
      </w:r>
      <w:r w:rsidR="00B92941">
        <w:rPr>
          <w:sz w:val="24"/>
          <w:szCs w:val="24"/>
        </w:rPr>
        <w:t xml:space="preserve"> </w:t>
      </w:r>
      <w:r w:rsidR="009A7449">
        <w:rPr>
          <w:sz w:val="24"/>
          <w:szCs w:val="24"/>
        </w:rPr>
        <w:t>=</w:t>
      </w:r>
      <w:r w:rsidR="00B92941">
        <w:rPr>
          <w:sz w:val="24"/>
          <w:szCs w:val="24"/>
        </w:rPr>
        <w:t xml:space="preserve"> 33</w:t>
      </w:r>
      <w:r w:rsidR="009A7449">
        <w:rPr>
          <w:sz w:val="24"/>
          <w:szCs w:val="24"/>
        </w:rPr>
        <w:t>)</w:t>
      </w:r>
      <w:r w:rsidRPr="001533EC">
        <w:rPr>
          <w:sz w:val="24"/>
          <w:szCs w:val="24"/>
        </w:rPr>
        <w:t xml:space="preserve"> cohort</w:t>
      </w:r>
      <w:r w:rsidR="008E6414">
        <w:rPr>
          <w:sz w:val="24"/>
          <w:szCs w:val="24"/>
        </w:rPr>
        <w:t>s</w:t>
      </w:r>
      <w:r w:rsidRPr="001533EC">
        <w:rPr>
          <w:sz w:val="24"/>
          <w:szCs w:val="24"/>
        </w:rPr>
        <w:t xml:space="preserve">. </w:t>
      </w:r>
      <w:r w:rsidR="00A651FB">
        <w:rPr>
          <w:sz w:val="24"/>
          <w:szCs w:val="24"/>
        </w:rPr>
        <w:t>P</w:t>
      </w:r>
      <w:r w:rsidRPr="001533EC">
        <w:rPr>
          <w:sz w:val="24"/>
          <w:szCs w:val="24"/>
        </w:rPr>
        <w:t>-value</w:t>
      </w:r>
      <w:r w:rsidR="00A651FB">
        <w:rPr>
          <w:sz w:val="24"/>
          <w:szCs w:val="24"/>
        </w:rPr>
        <w:t>s</w:t>
      </w:r>
      <w:r w:rsidRPr="001533EC">
        <w:rPr>
          <w:sz w:val="24"/>
          <w:szCs w:val="24"/>
        </w:rPr>
        <w:t xml:space="preserve"> w</w:t>
      </w:r>
      <w:r w:rsidR="00A651FB">
        <w:rPr>
          <w:sz w:val="24"/>
          <w:szCs w:val="24"/>
        </w:rPr>
        <w:t>ere</w:t>
      </w:r>
      <w:r w:rsidRPr="001533EC">
        <w:rPr>
          <w:sz w:val="24"/>
          <w:szCs w:val="24"/>
        </w:rPr>
        <w:t xml:space="preserve"> adjusted using the Benjamini-Hochberg method and </w:t>
      </w:r>
      <w:r w:rsidR="00485253">
        <w:rPr>
          <w:sz w:val="24"/>
          <w:szCs w:val="24"/>
        </w:rPr>
        <w:t>those</w:t>
      </w:r>
      <w:r w:rsidRPr="001533EC">
        <w:rPr>
          <w:sz w:val="24"/>
          <w:szCs w:val="24"/>
        </w:rPr>
        <w:t xml:space="preserve"> &lt; 0.05 were considered significant and marked with a star. The y-axis represents the phenotypes</w:t>
      </w:r>
      <w:r w:rsidR="003D6995">
        <w:rPr>
          <w:sz w:val="24"/>
          <w:szCs w:val="24"/>
        </w:rPr>
        <w:t>,</w:t>
      </w:r>
      <w:r w:rsidRPr="001533EC">
        <w:rPr>
          <w:sz w:val="24"/>
          <w:szCs w:val="24"/>
        </w:rPr>
        <w:t xml:space="preserve"> x-axis the </w:t>
      </w:r>
      <w:proofErr w:type="spellStart"/>
      <w:r w:rsidRPr="001533EC">
        <w:rPr>
          <w:sz w:val="24"/>
          <w:szCs w:val="24"/>
        </w:rPr>
        <w:t>CpGs</w:t>
      </w:r>
      <w:proofErr w:type="spellEnd"/>
      <w:r w:rsidRPr="001533EC">
        <w:rPr>
          <w:sz w:val="24"/>
          <w:szCs w:val="24"/>
        </w:rPr>
        <w:t xml:space="preserve">. Details about all 540 </w:t>
      </w:r>
      <w:proofErr w:type="spellStart"/>
      <w:r w:rsidRPr="001533EC">
        <w:rPr>
          <w:sz w:val="24"/>
          <w:szCs w:val="24"/>
        </w:rPr>
        <w:t>CpG</w:t>
      </w:r>
      <w:r w:rsidR="006B1EFA">
        <w:rPr>
          <w:sz w:val="24"/>
          <w:szCs w:val="24"/>
        </w:rPr>
        <w:t>s</w:t>
      </w:r>
      <w:proofErr w:type="spellEnd"/>
      <w:r w:rsidR="006B1EFA" w:rsidRPr="001533EC">
        <w:rPr>
          <w:sz w:val="24"/>
          <w:szCs w:val="24"/>
        </w:rPr>
        <w:t xml:space="preserve"> </w:t>
      </w:r>
      <w:r w:rsidRPr="001533EC">
        <w:rPr>
          <w:sz w:val="24"/>
          <w:szCs w:val="24"/>
        </w:rPr>
        <w:t xml:space="preserve">are available in </w:t>
      </w:r>
      <w:r w:rsidR="00E614CC">
        <w:rPr>
          <w:sz w:val="24"/>
          <w:szCs w:val="24"/>
        </w:rPr>
        <w:t xml:space="preserve">Data file </w:t>
      </w:r>
      <w:proofErr w:type="gramStart"/>
      <w:r w:rsidR="00E614CC">
        <w:rPr>
          <w:sz w:val="24"/>
          <w:szCs w:val="24"/>
        </w:rPr>
        <w:t>2.</w:t>
      </w:r>
      <w:r w:rsidRPr="001533EC">
        <w:rPr>
          <w:sz w:val="24"/>
          <w:szCs w:val="24"/>
        </w:rPr>
        <w:t>.</w:t>
      </w:r>
      <w:proofErr w:type="gramEnd"/>
    </w:p>
    <w:p w14:paraId="3EDE2F75" w14:textId="5647283E" w:rsidR="00691A32" w:rsidRPr="001533EC" w:rsidRDefault="00691A32" w:rsidP="00691A32">
      <w:pPr>
        <w:spacing w:line="480" w:lineRule="auto"/>
        <w:jc w:val="both"/>
        <w:rPr>
          <w:sz w:val="24"/>
          <w:szCs w:val="24"/>
        </w:rPr>
      </w:pPr>
      <w:bookmarkStart w:id="16" w:name="_Hlk187160159"/>
      <w:bookmarkEnd w:id="15"/>
      <w:r w:rsidRPr="001533EC">
        <w:rPr>
          <w:b/>
          <w:sz w:val="24"/>
          <w:szCs w:val="24"/>
        </w:rPr>
        <w:t xml:space="preserve">Figure 5. </w:t>
      </w:r>
      <w:proofErr w:type="spellStart"/>
      <w:r w:rsidRPr="001533EC">
        <w:rPr>
          <w:b/>
          <w:sz w:val="24"/>
          <w:szCs w:val="24"/>
        </w:rPr>
        <w:t>CpG</w:t>
      </w:r>
      <w:r w:rsidR="00AC36DE">
        <w:rPr>
          <w:b/>
          <w:sz w:val="24"/>
          <w:szCs w:val="24"/>
        </w:rPr>
        <w:t>s</w:t>
      </w:r>
      <w:proofErr w:type="spellEnd"/>
      <w:r w:rsidR="00AC36DE">
        <w:rPr>
          <w:b/>
          <w:sz w:val="24"/>
          <w:szCs w:val="24"/>
        </w:rPr>
        <w:t xml:space="preserve"> associated with</w:t>
      </w:r>
      <w:r w:rsidR="00642826" w:rsidRPr="001533EC">
        <w:rPr>
          <w:b/>
          <w:sz w:val="24"/>
          <w:szCs w:val="24"/>
        </w:rPr>
        <w:t xml:space="preserve"> </w:t>
      </w:r>
      <w:r w:rsidRPr="001533EC">
        <w:rPr>
          <w:b/>
          <w:sz w:val="24"/>
          <w:szCs w:val="24"/>
        </w:rPr>
        <w:t xml:space="preserve">brain insulin resistance show a strong blood-brain DNA methylation correlation. (A) </w:t>
      </w:r>
      <w:r w:rsidRPr="001533EC">
        <w:rPr>
          <w:sz w:val="24"/>
          <w:szCs w:val="24"/>
        </w:rPr>
        <w:t xml:space="preserve">Proportion of CpG sites </w:t>
      </w:r>
      <w:r w:rsidR="00C90DA0">
        <w:rPr>
          <w:sz w:val="24"/>
          <w:szCs w:val="24"/>
        </w:rPr>
        <w:t>found</w:t>
      </w:r>
      <w:r w:rsidRPr="001533EC">
        <w:rPr>
          <w:sz w:val="24"/>
          <w:szCs w:val="24"/>
        </w:rPr>
        <w:t xml:space="preserve"> in blood-brain comparison</w:t>
      </w:r>
      <w:r w:rsidR="00165681">
        <w:rPr>
          <w:sz w:val="24"/>
          <w:szCs w:val="24"/>
        </w:rPr>
        <w:t xml:space="preserve"> tool (</w:t>
      </w:r>
      <w:r w:rsidR="00165681" w:rsidRPr="001533EC">
        <w:rPr>
          <w:sz w:val="24"/>
          <w:szCs w:val="24"/>
        </w:rPr>
        <w:t>https://epigenetics.essex.ac.uk/bloodbrain/</w:t>
      </w:r>
      <w:r w:rsidR="00165681">
        <w:rPr>
          <w:sz w:val="24"/>
          <w:szCs w:val="24"/>
        </w:rPr>
        <w:t>)</w:t>
      </w:r>
      <w:r w:rsidRPr="001533EC">
        <w:rPr>
          <w:sz w:val="24"/>
          <w:szCs w:val="24"/>
        </w:rPr>
        <w:t xml:space="preserve">. </w:t>
      </w:r>
      <w:r w:rsidRPr="001533EC">
        <w:rPr>
          <w:b/>
          <w:sz w:val="24"/>
          <w:szCs w:val="24"/>
        </w:rPr>
        <w:t xml:space="preserve">(B) </w:t>
      </w:r>
      <w:r w:rsidRPr="001533EC">
        <w:rPr>
          <w:sz w:val="24"/>
          <w:szCs w:val="24"/>
        </w:rPr>
        <w:t xml:space="preserve">The stacked circular </w:t>
      </w:r>
      <w:proofErr w:type="spellStart"/>
      <w:r w:rsidRPr="001533EC">
        <w:rPr>
          <w:sz w:val="24"/>
          <w:szCs w:val="24"/>
        </w:rPr>
        <w:t>barplot</w:t>
      </w:r>
      <w:proofErr w:type="spellEnd"/>
      <w:r w:rsidRPr="001533EC">
        <w:rPr>
          <w:sz w:val="24"/>
          <w:szCs w:val="24"/>
        </w:rPr>
        <w:t xml:space="preserve"> </w:t>
      </w:r>
      <w:r w:rsidR="00165681">
        <w:rPr>
          <w:sz w:val="24"/>
          <w:szCs w:val="24"/>
        </w:rPr>
        <w:t>depicts all</w:t>
      </w:r>
      <w:r w:rsidRPr="001533EC">
        <w:rPr>
          <w:sz w:val="24"/>
          <w:szCs w:val="24"/>
        </w:rPr>
        <w:t xml:space="preserve"> the 540 </w:t>
      </w:r>
      <w:proofErr w:type="spellStart"/>
      <w:r w:rsidRPr="001533EC">
        <w:rPr>
          <w:sz w:val="24"/>
          <w:szCs w:val="24"/>
        </w:rPr>
        <w:t>CpG</w:t>
      </w:r>
      <w:r w:rsidR="00850946">
        <w:rPr>
          <w:sz w:val="24"/>
          <w:szCs w:val="24"/>
        </w:rPr>
        <w:t>s</w:t>
      </w:r>
      <w:proofErr w:type="spellEnd"/>
      <w:r w:rsidR="00165681">
        <w:rPr>
          <w:sz w:val="24"/>
          <w:szCs w:val="24"/>
        </w:rPr>
        <w:t xml:space="preserve"> </w:t>
      </w:r>
      <w:r w:rsidR="00850946">
        <w:rPr>
          <w:sz w:val="24"/>
          <w:szCs w:val="24"/>
        </w:rPr>
        <w:t xml:space="preserve">of which </w:t>
      </w:r>
      <w:r w:rsidR="000C36D1" w:rsidRPr="001533EC">
        <w:rPr>
          <w:sz w:val="24"/>
          <w:szCs w:val="24"/>
        </w:rPr>
        <w:t xml:space="preserve">98 </w:t>
      </w:r>
      <w:proofErr w:type="spellStart"/>
      <w:r w:rsidR="000C36D1" w:rsidRPr="001533EC">
        <w:rPr>
          <w:sz w:val="24"/>
          <w:szCs w:val="24"/>
        </w:rPr>
        <w:t>CpGs</w:t>
      </w:r>
      <w:proofErr w:type="spellEnd"/>
      <w:r w:rsidR="00850946">
        <w:rPr>
          <w:sz w:val="24"/>
          <w:szCs w:val="24"/>
        </w:rPr>
        <w:t xml:space="preserve"> (marked in blue and green colors) have </w:t>
      </w:r>
      <w:r w:rsidRPr="001533EC">
        <w:rPr>
          <w:sz w:val="24"/>
          <w:szCs w:val="24"/>
        </w:rPr>
        <w:t>significant blood-brain DNA methylation correlation</w:t>
      </w:r>
      <w:r w:rsidR="00ED0D23">
        <w:rPr>
          <w:sz w:val="24"/>
          <w:szCs w:val="24"/>
        </w:rPr>
        <w:t xml:space="preserve"> (P&lt;0.05)</w:t>
      </w:r>
      <w:r w:rsidRPr="001533EC">
        <w:rPr>
          <w:sz w:val="24"/>
          <w:szCs w:val="24"/>
        </w:rPr>
        <w:t xml:space="preserve"> based on the publicly available dataset. Each stack corresponds to one brain region and the color code depicts the direction and strength of the </w:t>
      </w:r>
      <w:r w:rsidRPr="001533EC">
        <w:rPr>
          <w:sz w:val="24"/>
          <w:szCs w:val="24"/>
        </w:rPr>
        <w:lastRenderedPageBreak/>
        <w:t xml:space="preserve">correlation coefficient. The corresponding brain regions are depicted as following from outer to inner </w:t>
      </w:r>
      <w:proofErr w:type="spellStart"/>
      <w:r w:rsidRPr="001533EC">
        <w:rPr>
          <w:sz w:val="24"/>
          <w:szCs w:val="24"/>
        </w:rPr>
        <w:t>cirle</w:t>
      </w:r>
      <w:proofErr w:type="spellEnd"/>
      <w:r w:rsidRPr="001533EC">
        <w:rPr>
          <w:sz w:val="24"/>
          <w:szCs w:val="24"/>
        </w:rPr>
        <w:t>: (</w:t>
      </w:r>
      <w:r w:rsidR="00174FA1">
        <w:rPr>
          <w:sz w:val="24"/>
          <w:szCs w:val="24"/>
        </w:rPr>
        <w:t>PFC</w:t>
      </w:r>
      <w:r w:rsidRPr="001533EC">
        <w:rPr>
          <w:sz w:val="24"/>
          <w:szCs w:val="24"/>
        </w:rPr>
        <w:t>) Prefrontal cortex, (</w:t>
      </w:r>
      <w:r w:rsidR="00174FA1">
        <w:rPr>
          <w:sz w:val="24"/>
          <w:szCs w:val="24"/>
        </w:rPr>
        <w:t>EC</w:t>
      </w:r>
      <w:r w:rsidRPr="001533EC">
        <w:rPr>
          <w:sz w:val="24"/>
          <w:szCs w:val="24"/>
        </w:rPr>
        <w:t>) entorhinal cortex, (</w:t>
      </w:r>
      <w:r w:rsidR="00174FA1">
        <w:rPr>
          <w:sz w:val="24"/>
          <w:szCs w:val="24"/>
        </w:rPr>
        <w:t>STG</w:t>
      </w:r>
      <w:r w:rsidRPr="001533EC">
        <w:rPr>
          <w:sz w:val="24"/>
          <w:szCs w:val="24"/>
        </w:rPr>
        <w:t>) superior temporal gyrus</w:t>
      </w:r>
      <w:r w:rsidR="00D04F0C">
        <w:rPr>
          <w:sz w:val="24"/>
          <w:szCs w:val="24"/>
        </w:rPr>
        <w:t>,</w:t>
      </w:r>
      <w:r w:rsidRPr="001533EC">
        <w:rPr>
          <w:sz w:val="24"/>
          <w:szCs w:val="24"/>
        </w:rPr>
        <w:t xml:space="preserve"> and (</w:t>
      </w:r>
      <w:proofErr w:type="spellStart"/>
      <w:r w:rsidR="00174FA1">
        <w:rPr>
          <w:sz w:val="24"/>
          <w:szCs w:val="24"/>
        </w:rPr>
        <w:t>C</w:t>
      </w:r>
      <w:r w:rsidR="00F02D43">
        <w:rPr>
          <w:sz w:val="24"/>
          <w:szCs w:val="24"/>
        </w:rPr>
        <w:t>b</w:t>
      </w:r>
      <w:proofErr w:type="spellEnd"/>
      <w:r w:rsidRPr="001533EC">
        <w:rPr>
          <w:sz w:val="24"/>
          <w:szCs w:val="24"/>
        </w:rPr>
        <w:t>) cerebrum inner track.</w:t>
      </w:r>
    </w:p>
    <w:p w14:paraId="6CCF805B" w14:textId="31800558" w:rsidR="00691A32" w:rsidRPr="001533EC" w:rsidRDefault="00691A32" w:rsidP="00691A32">
      <w:pPr>
        <w:spacing w:line="480" w:lineRule="auto"/>
        <w:jc w:val="both"/>
        <w:rPr>
          <w:b/>
          <w:sz w:val="24"/>
          <w:szCs w:val="24"/>
        </w:rPr>
      </w:pPr>
      <w:bookmarkStart w:id="17" w:name="_Hlk187160116"/>
      <w:bookmarkEnd w:id="16"/>
      <w:r w:rsidRPr="001533EC">
        <w:rPr>
          <w:b/>
          <w:sz w:val="24"/>
          <w:szCs w:val="24"/>
        </w:rPr>
        <w:t xml:space="preserve">Figure 6. Validation of the </w:t>
      </w:r>
      <w:r w:rsidR="007F7F32">
        <w:rPr>
          <w:b/>
          <w:sz w:val="24"/>
          <w:szCs w:val="24"/>
        </w:rPr>
        <w:t>classification</w:t>
      </w:r>
      <w:r w:rsidR="007F7F32" w:rsidRPr="001533EC">
        <w:rPr>
          <w:b/>
          <w:sz w:val="24"/>
          <w:szCs w:val="24"/>
        </w:rPr>
        <w:t xml:space="preserve"> </w:t>
      </w:r>
      <w:r w:rsidRPr="001533EC">
        <w:rPr>
          <w:b/>
          <w:sz w:val="24"/>
          <w:szCs w:val="24"/>
        </w:rPr>
        <w:t>capacity of 504 CpG sites in two independent replication cohorts.</w:t>
      </w:r>
    </w:p>
    <w:p w14:paraId="6F7C0FA1" w14:textId="77777777" w:rsidR="00691A32" w:rsidRPr="001533EC" w:rsidRDefault="00691A32" w:rsidP="00691A32">
      <w:pPr>
        <w:spacing w:line="480" w:lineRule="auto"/>
        <w:jc w:val="both"/>
        <w:rPr>
          <w:sz w:val="24"/>
          <w:szCs w:val="24"/>
        </w:rPr>
      </w:pPr>
      <w:r w:rsidRPr="001533EC">
        <w:rPr>
          <w:sz w:val="24"/>
          <w:szCs w:val="24"/>
        </w:rPr>
        <w:t xml:space="preserve"> (A) Sensitivity to 1-Specificity plots are shown for the two replication cohorts (replication I, n = 33 </w:t>
      </w:r>
      <w:r w:rsidRPr="001533EC">
        <w:rPr>
          <w:rFonts w:ascii="Arial" w:hAnsi="Arial" w:cs="Arial"/>
          <w:sz w:val="24"/>
          <w:szCs w:val="24"/>
        </w:rPr>
        <w:t>&amp;</w:t>
      </w:r>
      <w:r w:rsidRPr="001533EC">
        <w:rPr>
          <w:sz w:val="24"/>
          <w:szCs w:val="24"/>
        </w:rPr>
        <w:t xml:space="preserve"> replication II, n = 24) using Random Forest and Support Vector Machine. Tables corresponds to confusion matrix and the accuracy of the two models (Random Forest and Support Vector Machine) in the two replication cohorts (lower panels). (B) Precision recall plots are shown in the for Random Forest in the left panel and for Support Vector Machine in the right panel. </w:t>
      </w:r>
    </w:p>
    <w:bookmarkEnd w:id="17"/>
    <w:p w14:paraId="057074F9" w14:textId="77777777" w:rsidR="00691A32" w:rsidRPr="001533EC" w:rsidRDefault="00691A32" w:rsidP="00691A32">
      <w:pPr>
        <w:spacing w:line="480" w:lineRule="auto"/>
        <w:jc w:val="both"/>
        <w:rPr>
          <w:sz w:val="24"/>
          <w:szCs w:val="24"/>
        </w:rPr>
      </w:pPr>
    </w:p>
    <w:p w14:paraId="46443412" w14:textId="77777777" w:rsidR="00691A32" w:rsidRPr="001533EC" w:rsidRDefault="00691A32" w:rsidP="00691A32">
      <w:pPr>
        <w:rPr>
          <w:b/>
          <w:sz w:val="24"/>
          <w:szCs w:val="24"/>
        </w:rPr>
      </w:pPr>
      <w:r w:rsidRPr="001533EC">
        <w:rPr>
          <w:b/>
          <w:sz w:val="24"/>
          <w:szCs w:val="24"/>
        </w:rPr>
        <w:br w:type="page"/>
      </w:r>
    </w:p>
    <w:p w14:paraId="6D28B48A" w14:textId="07C4D29B" w:rsidR="00F665AD" w:rsidRPr="001533EC" w:rsidRDefault="00F665AD" w:rsidP="00155E4C">
      <w:pPr>
        <w:jc w:val="both"/>
        <w:rPr>
          <w:sz w:val="24"/>
          <w:szCs w:val="24"/>
        </w:rPr>
      </w:pPr>
      <w:r w:rsidRPr="001533EC">
        <w:rPr>
          <w:b/>
          <w:bCs/>
          <w:sz w:val="24"/>
          <w:szCs w:val="24"/>
          <w:lang w:val="en-GB"/>
        </w:rPr>
        <w:lastRenderedPageBreak/>
        <w:t xml:space="preserve">Table 1. </w:t>
      </w:r>
      <w:r w:rsidRPr="001533EC">
        <w:rPr>
          <w:sz w:val="24"/>
          <w:szCs w:val="24"/>
          <w:lang w:val="en-GB"/>
        </w:rPr>
        <w:t>Clinical characteristics of study participants from the discovery and replication cohort grouped based on brain responsiveness to intranasally administered insulin</w:t>
      </w:r>
      <w:r w:rsidR="00155E4C">
        <w:rPr>
          <w:sz w:val="24"/>
          <w:szCs w:val="24"/>
          <w:lang w:val="en-GB"/>
        </w:rPr>
        <w:t xml:space="preserve"> (Data file 2)</w:t>
      </w:r>
      <w:r w:rsidRPr="001533EC">
        <w:rPr>
          <w:sz w:val="24"/>
          <w:szCs w:val="24"/>
          <w:lang w:val="en-GB"/>
        </w:rPr>
        <w:t>.</w:t>
      </w:r>
    </w:p>
    <w:tbl>
      <w:tblPr>
        <w:tblW w:w="5070" w:type="pct"/>
        <w:tblCellMar>
          <w:left w:w="0" w:type="dxa"/>
          <w:right w:w="0" w:type="dxa"/>
        </w:tblCellMar>
        <w:tblLook w:val="04A0" w:firstRow="1" w:lastRow="0" w:firstColumn="1" w:lastColumn="0" w:noHBand="0" w:noVBand="1"/>
      </w:tblPr>
      <w:tblGrid>
        <w:gridCol w:w="1433"/>
        <w:gridCol w:w="892"/>
        <w:gridCol w:w="895"/>
        <w:gridCol w:w="803"/>
        <w:gridCol w:w="186"/>
        <w:gridCol w:w="893"/>
        <w:gridCol w:w="803"/>
        <w:gridCol w:w="715"/>
        <w:gridCol w:w="186"/>
        <w:gridCol w:w="805"/>
        <w:gridCol w:w="803"/>
        <w:gridCol w:w="783"/>
      </w:tblGrid>
      <w:tr w:rsidR="00F665AD" w:rsidRPr="001533EC" w14:paraId="37F4ABC3" w14:textId="77777777" w:rsidTr="00652F66">
        <w:tc>
          <w:tcPr>
            <w:tcW w:w="783" w:type="pct"/>
            <w:vMerge w:val="restart"/>
            <w:tcBorders>
              <w:top w:val="single" w:sz="8" w:space="0" w:color="000000"/>
              <w:left w:val="nil"/>
              <w:bottom w:val="single" w:sz="8" w:space="0" w:color="000000"/>
              <w:right w:val="nil"/>
            </w:tcBorders>
            <w:tcMar>
              <w:top w:w="15" w:type="dxa"/>
              <w:left w:w="90" w:type="dxa"/>
              <w:bottom w:w="0" w:type="dxa"/>
              <w:right w:w="90" w:type="dxa"/>
            </w:tcMar>
            <w:hideMark/>
          </w:tcPr>
          <w:p w14:paraId="4DA2FA22" w14:textId="77777777" w:rsidR="00F665AD" w:rsidRPr="001533EC" w:rsidRDefault="00F665AD" w:rsidP="00652F66">
            <w:pPr>
              <w:rPr>
                <w:szCs w:val="24"/>
              </w:rPr>
            </w:pPr>
            <w:r w:rsidRPr="001533EC">
              <w:rPr>
                <w:b/>
                <w:bCs/>
                <w:szCs w:val="24"/>
              </w:rPr>
              <w:t> </w:t>
            </w:r>
          </w:p>
        </w:tc>
        <w:tc>
          <w:tcPr>
            <w:tcW w:w="1419" w:type="pct"/>
            <w:gridSpan w:val="3"/>
            <w:tcBorders>
              <w:top w:val="single" w:sz="8" w:space="0" w:color="000000"/>
              <w:left w:val="nil"/>
              <w:bottom w:val="single" w:sz="8" w:space="0" w:color="000000"/>
              <w:right w:val="nil"/>
            </w:tcBorders>
            <w:tcMar>
              <w:top w:w="15" w:type="dxa"/>
              <w:left w:w="90" w:type="dxa"/>
              <w:bottom w:w="0" w:type="dxa"/>
              <w:right w:w="90" w:type="dxa"/>
            </w:tcMar>
            <w:hideMark/>
          </w:tcPr>
          <w:p w14:paraId="0062C8B1" w14:textId="77777777" w:rsidR="00F665AD" w:rsidRPr="001533EC" w:rsidRDefault="00F665AD" w:rsidP="00652F66">
            <w:pPr>
              <w:rPr>
                <w:szCs w:val="24"/>
              </w:rPr>
            </w:pPr>
            <w:r w:rsidRPr="001533EC">
              <w:rPr>
                <w:b/>
                <w:bCs/>
                <w:szCs w:val="24"/>
              </w:rPr>
              <w:t>Discovery cohort</w:t>
            </w:r>
          </w:p>
        </w:tc>
        <w:tc>
          <w:tcPr>
            <w:tcW w:w="98" w:type="pct"/>
            <w:tcBorders>
              <w:top w:val="single" w:sz="8" w:space="0" w:color="000000"/>
              <w:left w:val="nil"/>
              <w:bottom w:val="single" w:sz="8" w:space="0" w:color="FFFFFF"/>
              <w:right w:val="nil"/>
            </w:tcBorders>
            <w:tcMar>
              <w:top w:w="15" w:type="dxa"/>
              <w:left w:w="90" w:type="dxa"/>
              <w:bottom w:w="0" w:type="dxa"/>
              <w:right w:w="90" w:type="dxa"/>
            </w:tcMar>
            <w:hideMark/>
          </w:tcPr>
          <w:p w14:paraId="68B9D5B6" w14:textId="77777777" w:rsidR="00F665AD" w:rsidRPr="001533EC" w:rsidRDefault="00F665AD" w:rsidP="00652F66">
            <w:pPr>
              <w:rPr>
                <w:szCs w:val="24"/>
              </w:rPr>
            </w:pPr>
          </w:p>
        </w:tc>
        <w:tc>
          <w:tcPr>
            <w:tcW w:w="1321" w:type="pct"/>
            <w:gridSpan w:val="3"/>
            <w:tcBorders>
              <w:top w:val="single" w:sz="8" w:space="0" w:color="000000"/>
              <w:left w:val="nil"/>
              <w:bottom w:val="single" w:sz="8" w:space="0" w:color="000000"/>
              <w:right w:val="nil"/>
            </w:tcBorders>
            <w:tcMar>
              <w:top w:w="15" w:type="dxa"/>
              <w:left w:w="90" w:type="dxa"/>
              <w:bottom w:w="0" w:type="dxa"/>
              <w:right w:w="90" w:type="dxa"/>
            </w:tcMar>
            <w:hideMark/>
          </w:tcPr>
          <w:p w14:paraId="3C4895CA" w14:textId="39B5BA14" w:rsidR="00F665AD" w:rsidRPr="001533EC" w:rsidRDefault="00F665AD" w:rsidP="00652F66">
            <w:pPr>
              <w:rPr>
                <w:szCs w:val="24"/>
              </w:rPr>
            </w:pPr>
            <w:r w:rsidRPr="001533EC">
              <w:rPr>
                <w:b/>
                <w:bCs/>
                <w:szCs w:val="24"/>
              </w:rPr>
              <w:t xml:space="preserve">Replication cohort </w:t>
            </w:r>
            <w:r w:rsidR="00772D20">
              <w:rPr>
                <w:b/>
                <w:bCs/>
                <w:szCs w:val="24"/>
              </w:rPr>
              <w:t>I</w:t>
            </w:r>
          </w:p>
        </w:tc>
        <w:tc>
          <w:tcPr>
            <w:tcW w:w="69" w:type="pct"/>
            <w:tcBorders>
              <w:top w:val="single" w:sz="8" w:space="0" w:color="000000"/>
              <w:left w:val="nil"/>
              <w:bottom w:val="nil"/>
              <w:right w:val="nil"/>
            </w:tcBorders>
            <w:tcMar>
              <w:top w:w="15" w:type="dxa"/>
              <w:left w:w="90" w:type="dxa"/>
              <w:bottom w:w="0" w:type="dxa"/>
              <w:right w:w="90" w:type="dxa"/>
            </w:tcMar>
            <w:hideMark/>
          </w:tcPr>
          <w:p w14:paraId="47A7331C" w14:textId="77777777" w:rsidR="00F665AD" w:rsidRPr="001533EC" w:rsidRDefault="00F665AD" w:rsidP="00652F66">
            <w:pPr>
              <w:rPr>
                <w:szCs w:val="24"/>
              </w:rPr>
            </w:pPr>
          </w:p>
        </w:tc>
        <w:tc>
          <w:tcPr>
            <w:tcW w:w="1310" w:type="pct"/>
            <w:gridSpan w:val="3"/>
            <w:tcBorders>
              <w:top w:val="single" w:sz="8" w:space="0" w:color="000000"/>
              <w:left w:val="nil"/>
              <w:bottom w:val="single" w:sz="8" w:space="0" w:color="000000"/>
              <w:right w:val="nil"/>
            </w:tcBorders>
            <w:tcMar>
              <w:top w:w="15" w:type="dxa"/>
              <w:left w:w="90" w:type="dxa"/>
              <w:bottom w:w="0" w:type="dxa"/>
              <w:right w:w="90" w:type="dxa"/>
            </w:tcMar>
            <w:hideMark/>
          </w:tcPr>
          <w:p w14:paraId="74609302" w14:textId="0BB06291" w:rsidR="00F665AD" w:rsidRPr="001533EC" w:rsidRDefault="00F665AD" w:rsidP="00652F66">
            <w:pPr>
              <w:rPr>
                <w:szCs w:val="24"/>
              </w:rPr>
            </w:pPr>
            <w:r w:rsidRPr="001533EC">
              <w:rPr>
                <w:b/>
                <w:bCs/>
                <w:szCs w:val="24"/>
              </w:rPr>
              <w:t xml:space="preserve">Replication cohort </w:t>
            </w:r>
            <w:r w:rsidR="00772D20">
              <w:rPr>
                <w:b/>
                <w:bCs/>
                <w:szCs w:val="24"/>
              </w:rPr>
              <w:t>II</w:t>
            </w:r>
          </w:p>
        </w:tc>
      </w:tr>
      <w:tr w:rsidR="00F665AD" w:rsidRPr="001533EC" w14:paraId="04FB9B15" w14:textId="77777777" w:rsidTr="00652F66">
        <w:tc>
          <w:tcPr>
            <w:tcW w:w="783" w:type="pct"/>
            <w:vMerge/>
            <w:tcBorders>
              <w:top w:val="single" w:sz="8" w:space="0" w:color="000000"/>
              <w:left w:val="nil"/>
              <w:bottom w:val="single" w:sz="8" w:space="0" w:color="000000"/>
              <w:right w:val="nil"/>
            </w:tcBorders>
            <w:vAlign w:val="center"/>
            <w:hideMark/>
          </w:tcPr>
          <w:p w14:paraId="406E3161" w14:textId="77777777" w:rsidR="00F665AD" w:rsidRPr="001533EC" w:rsidRDefault="00F665AD" w:rsidP="00652F66">
            <w:pPr>
              <w:rPr>
                <w:szCs w:val="24"/>
              </w:rPr>
            </w:pPr>
          </w:p>
        </w:tc>
        <w:tc>
          <w:tcPr>
            <w:tcW w:w="489" w:type="pct"/>
            <w:tcBorders>
              <w:top w:val="single" w:sz="8" w:space="0" w:color="000000"/>
              <w:left w:val="nil"/>
              <w:bottom w:val="single" w:sz="8" w:space="0" w:color="000000"/>
              <w:right w:val="nil"/>
            </w:tcBorders>
            <w:tcMar>
              <w:top w:w="15" w:type="dxa"/>
              <w:left w:w="90" w:type="dxa"/>
              <w:bottom w:w="0" w:type="dxa"/>
              <w:right w:w="90" w:type="dxa"/>
            </w:tcMar>
            <w:hideMark/>
          </w:tcPr>
          <w:p w14:paraId="5E693266" w14:textId="77777777" w:rsidR="00F665AD" w:rsidRPr="001533EC" w:rsidRDefault="00F665AD" w:rsidP="00652F66">
            <w:pPr>
              <w:rPr>
                <w:szCs w:val="24"/>
              </w:rPr>
            </w:pPr>
            <w:r w:rsidRPr="001533EC">
              <w:rPr>
                <w:b/>
                <w:bCs/>
                <w:szCs w:val="24"/>
              </w:rPr>
              <w:t>BIS</w:t>
            </w:r>
          </w:p>
        </w:tc>
        <w:tc>
          <w:tcPr>
            <w:tcW w:w="490" w:type="pct"/>
            <w:tcBorders>
              <w:top w:val="single" w:sz="8" w:space="0" w:color="000000"/>
              <w:left w:val="nil"/>
              <w:bottom w:val="single" w:sz="8" w:space="0" w:color="000000"/>
              <w:right w:val="nil"/>
            </w:tcBorders>
            <w:tcMar>
              <w:top w:w="15" w:type="dxa"/>
              <w:left w:w="90" w:type="dxa"/>
              <w:bottom w:w="0" w:type="dxa"/>
              <w:right w:w="90" w:type="dxa"/>
            </w:tcMar>
            <w:hideMark/>
          </w:tcPr>
          <w:p w14:paraId="04BF5CEF" w14:textId="77777777" w:rsidR="00F665AD" w:rsidRPr="001533EC" w:rsidRDefault="00F665AD" w:rsidP="00652F66">
            <w:pPr>
              <w:rPr>
                <w:szCs w:val="24"/>
              </w:rPr>
            </w:pPr>
            <w:r w:rsidRPr="001533EC">
              <w:rPr>
                <w:b/>
                <w:bCs/>
                <w:szCs w:val="24"/>
              </w:rPr>
              <w:t>BIR</w:t>
            </w:r>
          </w:p>
        </w:tc>
        <w:tc>
          <w:tcPr>
            <w:tcW w:w="440" w:type="pct"/>
            <w:tcBorders>
              <w:top w:val="single" w:sz="8" w:space="0" w:color="000000"/>
              <w:left w:val="nil"/>
              <w:bottom w:val="single" w:sz="8" w:space="0" w:color="000000"/>
              <w:right w:val="nil"/>
            </w:tcBorders>
            <w:tcMar>
              <w:top w:w="15" w:type="dxa"/>
              <w:left w:w="90" w:type="dxa"/>
              <w:bottom w:w="0" w:type="dxa"/>
              <w:right w:w="90" w:type="dxa"/>
            </w:tcMar>
            <w:hideMark/>
          </w:tcPr>
          <w:p w14:paraId="3C5CE330" w14:textId="08C20B3A" w:rsidR="00F665AD" w:rsidRPr="001533EC" w:rsidRDefault="002D524F" w:rsidP="00652F66">
            <w:pPr>
              <w:rPr>
                <w:szCs w:val="24"/>
              </w:rPr>
            </w:pPr>
            <w:r>
              <w:rPr>
                <w:b/>
                <w:bCs/>
                <w:szCs w:val="24"/>
              </w:rPr>
              <w:t>P</w:t>
            </w:r>
          </w:p>
        </w:tc>
        <w:tc>
          <w:tcPr>
            <w:tcW w:w="98" w:type="pct"/>
            <w:tcBorders>
              <w:top w:val="single" w:sz="8" w:space="0" w:color="FFFFFF"/>
              <w:left w:val="nil"/>
              <w:bottom w:val="single" w:sz="8" w:space="0" w:color="FFFFFF"/>
              <w:right w:val="nil"/>
            </w:tcBorders>
            <w:tcMar>
              <w:top w:w="15" w:type="dxa"/>
              <w:left w:w="90" w:type="dxa"/>
              <w:bottom w:w="0" w:type="dxa"/>
              <w:right w:w="90" w:type="dxa"/>
            </w:tcMar>
            <w:hideMark/>
          </w:tcPr>
          <w:p w14:paraId="52848247" w14:textId="77777777" w:rsidR="00F665AD" w:rsidRPr="001533EC" w:rsidRDefault="00F665AD" w:rsidP="00652F66">
            <w:pPr>
              <w:rPr>
                <w:szCs w:val="24"/>
              </w:rPr>
            </w:pPr>
          </w:p>
        </w:tc>
        <w:tc>
          <w:tcPr>
            <w:tcW w:w="489" w:type="pct"/>
            <w:tcBorders>
              <w:top w:val="single" w:sz="8" w:space="0" w:color="000000"/>
              <w:left w:val="nil"/>
              <w:bottom w:val="single" w:sz="8" w:space="0" w:color="000000"/>
              <w:right w:val="nil"/>
            </w:tcBorders>
            <w:tcMar>
              <w:top w:w="15" w:type="dxa"/>
              <w:left w:w="90" w:type="dxa"/>
              <w:bottom w:w="0" w:type="dxa"/>
              <w:right w:w="90" w:type="dxa"/>
            </w:tcMar>
            <w:hideMark/>
          </w:tcPr>
          <w:p w14:paraId="4086AF77" w14:textId="77777777" w:rsidR="00F665AD" w:rsidRPr="001533EC" w:rsidRDefault="00F665AD" w:rsidP="00652F66">
            <w:pPr>
              <w:rPr>
                <w:szCs w:val="24"/>
              </w:rPr>
            </w:pPr>
            <w:r w:rsidRPr="001533EC">
              <w:rPr>
                <w:b/>
                <w:bCs/>
                <w:szCs w:val="24"/>
              </w:rPr>
              <w:t>BIS</w:t>
            </w:r>
          </w:p>
        </w:tc>
        <w:tc>
          <w:tcPr>
            <w:tcW w:w="440" w:type="pct"/>
            <w:tcBorders>
              <w:top w:val="single" w:sz="8" w:space="0" w:color="000000"/>
              <w:left w:val="nil"/>
              <w:bottom w:val="single" w:sz="8" w:space="0" w:color="000000"/>
              <w:right w:val="nil"/>
            </w:tcBorders>
            <w:tcMar>
              <w:top w:w="15" w:type="dxa"/>
              <w:left w:w="90" w:type="dxa"/>
              <w:bottom w:w="0" w:type="dxa"/>
              <w:right w:w="90" w:type="dxa"/>
            </w:tcMar>
            <w:hideMark/>
          </w:tcPr>
          <w:p w14:paraId="0A0641A0" w14:textId="77777777" w:rsidR="00F665AD" w:rsidRPr="001533EC" w:rsidRDefault="00F665AD" w:rsidP="00652F66">
            <w:pPr>
              <w:rPr>
                <w:szCs w:val="24"/>
              </w:rPr>
            </w:pPr>
            <w:r w:rsidRPr="001533EC">
              <w:rPr>
                <w:b/>
                <w:bCs/>
                <w:szCs w:val="24"/>
              </w:rPr>
              <w:t>BIR</w:t>
            </w:r>
          </w:p>
        </w:tc>
        <w:tc>
          <w:tcPr>
            <w:tcW w:w="392" w:type="pct"/>
            <w:tcBorders>
              <w:top w:val="single" w:sz="8" w:space="0" w:color="000000"/>
              <w:left w:val="nil"/>
              <w:bottom w:val="single" w:sz="8" w:space="0" w:color="000000"/>
              <w:right w:val="nil"/>
            </w:tcBorders>
            <w:tcMar>
              <w:top w:w="15" w:type="dxa"/>
              <w:left w:w="90" w:type="dxa"/>
              <w:bottom w:w="0" w:type="dxa"/>
              <w:right w:w="90" w:type="dxa"/>
            </w:tcMar>
            <w:hideMark/>
          </w:tcPr>
          <w:p w14:paraId="2D103EFD" w14:textId="17356C8A" w:rsidR="00F665AD" w:rsidRPr="001533EC" w:rsidRDefault="002D524F" w:rsidP="00652F66">
            <w:pPr>
              <w:rPr>
                <w:szCs w:val="24"/>
              </w:rPr>
            </w:pPr>
            <w:r>
              <w:rPr>
                <w:b/>
                <w:bCs/>
                <w:szCs w:val="24"/>
              </w:rPr>
              <w:t>P</w:t>
            </w:r>
          </w:p>
        </w:tc>
        <w:tc>
          <w:tcPr>
            <w:tcW w:w="69" w:type="pct"/>
            <w:tcBorders>
              <w:top w:val="nil"/>
              <w:left w:val="nil"/>
              <w:bottom w:val="nil"/>
              <w:right w:val="nil"/>
            </w:tcBorders>
            <w:tcMar>
              <w:top w:w="15" w:type="dxa"/>
              <w:left w:w="90" w:type="dxa"/>
              <w:bottom w:w="0" w:type="dxa"/>
              <w:right w:w="90" w:type="dxa"/>
            </w:tcMar>
            <w:hideMark/>
          </w:tcPr>
          <w:p w14:paraId="634D3BA9" w14:textId="77777777" w:rsidR="00F665AD" w:rsidRPr="001533EC" w:rsidRDefault="00F665AD" w:rsidP="00652F66">
            <w:pPr>
              <w:rPr>
                <w:szCs w:val="24"/>
              </w:rPr>
            </w:pPr>
          </w:p>
        </w:tc>
        <w:tc>
          <w:tcPr>
            <w:tcW w:w="441" w:type="pct"/>
            <w:tcBorders>
              <w:top w:val="single" w:sz="8" w:space="0" w:color="000000"/>
              <w:left w:val="nil"/>
              <w:bottom w:val="single" w:sz="8" w:space="0" w:color="000000"/>
              <w:right w:val="nil"/>
            </w:tcBorders>
            <w:tcMar>
              <w:top w:w="15" w:type="dxa"/>
              <w:left w:w="90" w:type="dxa"/>
              <w:bottom w:w="0" w:type="dxa"/>
              <w:right w:w="90" w:type="dxa"/>
            </w:tcMar>
            <w:hideMark/>
          </w:tcPr>
          <w:p w14:paraId="24F6B4BD" w14:textId="77777777" w:rsidR="00F665AD" w:rsidRPr="001533EC" w:rsidRDefault="00F665AD" w:rsidP="00652F66">
            <w:pPr>
              <w:rPr>
                <w:szCs w:val="24"/>
              </w:rPr>
            </w:pPr>
            <w:r w:rsidRPr="001533EC">
              <w:rPr>
                <w:b/>
                <w:bCs/>
                <w:szCs w:val="24"/>
              </w:rPr>
              <w:t>BIS</w:t>
            </w:r>
          </w:p>
        </w:tc>
        <w:tc>
          <w:tcPr>
            <w:tcW w:w="440" w:type="pct"/>
            <w:tcBorders>
              <w:top w:val="single" w:sz="8" w:space="0" w:color="000000"/>
              <w:left w:val="nil"/>
              <w:bottom w:val="single" w:sz="8" w:space="0" w:color="000000"/>
              <w:right w:val="nil"/>
            </w:tcBorders>
            <w:tcMar>
              <w:top w:w="15" w:type="dxa"/>
              <w:left w:w="90" w:type="dxa"/>
              <w:bottom w:w="0" w:type="dxa"/>
              <w:right w:w="90" w:type="dxa"/>
            </w:tcMar>
            <w:hideMark/>
          </w:tcPr>
          <w:p w14:paraId="2780712E" w14:textId="77777777" w:rsidR="00F665AD" w:rsidRPr="001533EC" w:rsidRDefault="00F665AD" w:rsidP="00652F66">
            <w:pPr>
              <w:rPr>
                <w:szCs w:val="24"/>
              </w:rPr>
            </w:pPr>
            <w:r w:rsidRPr="001533EC">
              <w:rPr>
                <w:b/>
                <w:bCs/>
                <w:szCs w:val="24"/>
              </w:rPr>
              <w:t>BIR</w:t>
            </w:r>
          </w:p>
        </w:tc>
        <w:tc>
          <w:tcPr>
            <w:tcW w:w="429" w:type="pct"/>
            <w:tcBorders>
              <w:top w:val="single" w:sz="8" w:space="0" w:color="000000"/>
              <w:left w:val="nil"/>
              <w:bottom w:val="single" w:sz="8" w:space="0" w:color="000000"/>
              <w:right w:val="nil"/>
            </w:tcBorders>
            <w:tcMar>
              <w:top w:w="15" w:type="dxa"/>
              <w:left w:w="90" w:type="dxa"/>
              <w:bottom w:w="0" w:type="dxa"/>
              <w:right w:w="90" w:type="dxa"/>
            </w:tcMar>
            <w:hideMark/>
          </w:tcPr>
          <w:p w14:paraId="0582C63C" w14:textId="7791B402" w:rsidR="00F665AD" w:rsidRPr="001533EC" w:rsidRDefault="002D524F" w:rsidP="00652F66">
            <w:pPr>
              <w:rPr>
                <w:szCs w:val="24"/>
              </w:rPr>
            </w:pPr>
            <w:r>
              <w:rPr>
                <w:b/>
                <w:bCs/>
                <w:szCs w:val="24"/>
              </w:rPr>
              <w:t>P</w:t>
            </w:r>
          </w:p>
        </w:tc>
      </w:tr>
      <w:tr w:rsidR="00F665AD" w:rsidRPr="001533EC" w14:paraId="51EC6AD7" w14:textId="77777777" w:rsidTr="00652F66">
        <w:tc>
          <w:tcPr>
            <w:tcW w:w="783" w:type="pct"/>
            <w:tcBorders>
              <w:top w:val="single" w:sz="8" w:space="0" w:color="000000"/>
              <w:left w:val="nil"/>
              <w:bottom w:val="nil"/>
              <w:right w:val="nil"/>
            </w:tcBorders>
            <w:tcMar>
              <w:top w:w="15" w:type="dxa"/>
              <w:left w:w="90" w:type="dxa"/>
              <w:bottom w:w="0" w:type="dxa"/>
              <w:right w:w="90" w:type="dxa"/>
            </w:tcMar>
            <w:hideMark/>
          </w:tcPr>
          <w:p w14:paraId="43791958" w14:textId="347BFC0D" w:rsidR="00F665AD" w:rsidRPr="001533EC" w:rsidRDefault="00F665AD" w:rsidP="00652F66">
            <w:pPr>
              <w:rPr>
                <w:szCs w:val="24"/>
              </w:rPr>
            </w:pPr>
            <w:r w:rsidRPr="001533EC">
              <w:rPr>
                <w:szCs w:val="24"/>
              </w:rPr>
              <w:t xml:space="preserve">Total </w:t>
            </w:r>
            <w:r w:rsidRPr="00810F71">
              <w:rPr>
                <w:i/>
                <w:iCs/>
                <w:szCs w:val="24"/>
              </w:rPr>
              <w:t>n</w:t>
            </w:r>
            <w:r w:rsidRPr="001533EC">
              <w:rPr>
                <w:szCs w:val="24"/>
              </w:rPr>
              <w:t xml:space="preserve"> (men/women)</w:t>
            </w:r>
          </w:p>
        </w:tc>
        <w:tc>
          <w:tcPr>
            <w:tcW w:w="489" w:type="pct"/>
            <w:tcBorders>
              <w:top w:val="single" w:sz="8" w:space="0" w:color="000000"/>
              <w:left w:val="nil"/>
              <w:bottom w:val="nil"/>
              <w:right w:val="nil"/>
            </w:tcBorders>
            <w:tcMar>
              <w:top w:w="15" w:type="dxa"/>
              <w:left w:w="90" w:type="dxa"/>
              <w:bottom w:w="0" w:type="dxa"/>
              <w:right w:w="90" w:type="dxa"/>
            </w:tcMar>
            <w:hideMark/>
          </w:tcPr>
          <w:p w14:paraId="17CE1EF6" w14:textId="77777777" w:rsidR="00F665AD" w:rsidRPr="001533EC" w:rsidRDefault="00F665AD" w:rsidP="00652F66">
            <w:r w:rsidRPr="001533EC">
              <w:t>81 (42/39)</w:t>
            </w:r>
          </w:p>
        </w:tc>
        <w:tc>
          <w:tcPr>
            <w:tcW w:w="490" w:type="pct"/>
            <w:tcBorders>
              <w:top w:val="single" w:sz="8" w:space="0" w:color="000000"/>
              <w:left w:val="nil"/>
              <w:bottom w:val="nil"/>
              <w:right w:val="nil"/>
            </w:tcBorders>
            <w:tcMar>
              <w:top w:w="15" w:type="dxa"/>
              <w:left w:w="90" w:type="dxa"/>
              <w:bottom w:w="0" w:type="dxa"/>
              <w:right w:w="90" w:type="dxa"/>
            </w:tcMar>
            <w:hideMark/>
          </w:tcPr>
          <w:p w14:paraId="59867C9C" w14:textId="77777777" w:rsidR="00F665AD" w:rsidRPr="001533EC" w:rsidRDefault="00F665AD" w:rsidP="00652F66">
            <w:r w:rsidRPr="001533EC">
              <w:t>86 (48/38)</w:t>
            </w:r>
          </w:p>
        </w:tc>
        <w:tc>
          <w:tcPr>
            <w:tcW w:w="440" w:type="pct"/>
            <w:tcBorders>
              <w:top w:val="single" w:sz="8" w:space="0" w:color="000000"/>
              <w:left w:val="nil"/>
              <w:bottom w:val="nil"/>
              <w:right w:val="nil"/>
            </w:tcBorders>
            <w:tcMar>
              <w:top w:w="15" w:type="dxa"/>
              <w:left w:w="90" w:type="dxa"/>
              <w:bottom w:w="0" w:type="dxa"/>
              <w:right w:w="90" w:type="dxa"/>
            </w:tcMar>
            <w:hideMark/>
          </w:tcPr>
          <w:p w14:paraId="1767642F" w14:textId="77777777" w:rsidR="00F665AD" w:rsidRPr="001533EC" w:rsidRDefault="00F665AD" w:rsidP="00652F66">
            <w:r w:rsidRPr="001533EC">
              <w:t>0.608</w:t>
            </w:r>
          </w:p>
        </w:tc>
        <w:tc>
          <w:tcPr>
            <w:tcW w:w="98" w:type="pct"/>
            <w:tcBorders>
              <w:top w:val="single" w:sz="8" w:space="0" w:color="FFFFFF"/>
              <w:left w:val="nil"/>
              <w:bottom w:val="nil"/>
              <w:right w:val="nil"/>
            </w:tcBorders>
            <w:tcMar>
              <w:top w:w="15" w:type="dxa"/>
              <w:left w:w="90" w:type="dxa"/>
              <w:bottom w:w="0" w:type="dxa"/>
              <w:right w:w="90" w:type="dxa"/>
            </w:tcMar>
            <w:hideMark/>
          </w:tcPr>
          <w:p w14:paraId="747B2E0C" w14:textId="77777777" w:rsidR="00F665AD" w:rsidRPr="001533EC" w:rsidRDefault="00F665AD" w:rsidP="00652F66"/>
        </w:tc>
        <w:tc>
          <w:tcPr>
            <w:tcW w:w="489" w:type="pct"/>
            <w:tcBorders>
              <w:top w:val="single" w:sz="8" w:space="0" w:color="000000"/>
              <w:left w:val="nil"/>
              <w:bottom w:val="nil"/>
              <w:right w:val="nil"/>
            </w:tcBorders>
            <w:tcMar>
              <w:top w:w="15" w:type="dxa"/>
              <w:left w:w="90" w:type="dxa"/>
              <w:bottom w:w="0" w:type="dxa"/>
              <w:right w:w="90" w:type="dxa"/>
            </w:tcMar>
            <w:hideMark/>
          </w:tcPr>
          <w:p w14:paraId="34A26D6F" w14:textId="77777777" w:rsidR="00F665AD" w:rsidRPr="001533EC" w:rsidRDefault="00F665AD" w:rsidP="00652F66">
            <w:r w:rsidRPr="001533EC">
              <w:t>10 (5/5)</w:t>
            </w:r>
          </w:p>
        </w:tc>
        <w:tc>
          <w:tcPr>
            <w:tcW w:w="440" w:type="pct"/>
            <w:tcBorders>
              <w:top w:val="single" w:sz="8" w:space="0" w:color="000000"/>
              <w:left w:val="nil"/>
              <w:bottom w:val="nil"/>
              <w:right w:val="nil"/>
            </w:tcBorders>
            <w:tcMar>
              <w:top w:w="15" w:type="dxa"/>
              <w:left w:w="90" w:type="dxa"/>
              <w:bottom w:w="0" w:type="dxa"/>
              <w:right w:w="90" w:type="dxa"/>
            </w:tcMar>
            <w:hideMark/>
          </w:tcPr>
          <w:p w14:paraId="564D0487" w14:textId="77777777" w:rsidR="00F665AD" w:rsidRPr="001533EC" w:rsidRDefault="00F665AD" w:rsidP="00652F66">
            <w:r w:rsidRPr="001533EC">
              <w:t>23 (8/15)</w:t>
            </w:r>
          </w:p>
        </w:tc>
        <w:tc>
          <w:tcPr>
            <w:tcW w:w="392" w:type="pct"/>
            <w:tcBorders>
              <w:top w:val="single" w:sz="8" w:space="0" w:color="000000"/>
              <w:left w:val="nil"/>
              <w:bottom w:val="nil"/>
              <w:right w:val="nil"/>
            </w:tcBorders>
            <w:tcMar>
              <w:top w:w="15" w:type="dxa"/>
              <w:left w:w="90" w:type="dxa"/>
              <w:bottom w:w="0" w:type="dxa"/>
              <w:right w:w="90" w:type="dxa"/>
            </w:tcMar>
            <w:hideMark/>
          </w:tcPr>
          <w:p w14:paraId="63B39AA3" w14:textId="77777777" w:rsidR="00F665AD" w:rsidRPr="001533EC" w:rsidRDefault="00F665AD" w:rsidP="00652F66">
            <w:r w:rsidRPr="001533EC">
              <w:t>0.411</w:t>
            </w:r>
          </w:p>
        </w:tc>
        <w:tc>
          <w:tcPr>
            <w:tcW w:w="69" w:type="pct"/>
            <w:tcBorders>
              <w:top w:val="nil"/>
              <w:left w:val="nil"/>
              <w:bottom w:val="nil"/>
              <w:right w:val="nil"/>
            </w:tcBorders>
            <w:tcMar>
              <w:top w:w="15" w:type="dxa"/>
              <w:left w:w="90" w:type="dxa"/>
              <w:bottom w:w="0" w:type="dxa"/>
              <w:right w:w="90" w:type="dxa"/>
            </w:tcMar>
            <w:hideMark/>
          </w:tcPr>
          <w:p w14:paraId="7C40591F" w14:textId="77777777" w:rsidR="00F665AD" w:rsidRPr="001533EC" w:rsidRDefault="00F665AD" w:rsidP="00652F66"/>
        </w:tc>
        <w:tc>
          <w:tcPr>
            <w:tcW w:w="441" w:type="pct"/>
            <w:tcBorders>
              <w:top w:val="single" w:sz="8" w:space="0" w:color="000000"/>
              <w:left w:val="nil"/>
              <w:bottom w:val="nil"/>
              <w:right w:val="nil"/>
            </w:tcBorders>
            <w:tcMar>
              <w:top w:w="15" w:type="dxa"/>
              <w:left w:w="90" w:type="dxa"/>
              <w:bottom w:w="0" w:type="dxa"/>
              <w:right w:w="90" w:type="dxa"/>
            </w:tcMar>
            <w:hideMark/>
          </w:tcPr>
          <w:p w14:paraId="4BA7E868" w14:textId="77777777" w:rsidR="00F665AD" w:rsidRPr="001533EC" w:rsidRDefault="00F665AD" w:rsidP="00652F66">
            <w:r w:rsidRPr="001533EC">
              <w:t>15 (5/10)</w:t>
            </w:r>
          </w:p>
        </w:tc>
        <w:tc>
          <w:tcPr>
            <w:tcW w:w="440" w:type="pct"/>
            <w:tcBorders>
              <w:top w:val="single" w:sz="8" w:space="0" w:color="000000"/>
              <w:left w:val="nil"/>
              <w:bottom w:val="nil"/>
              <w:right w:val="nil"/>
            </w:tcBorders>
            <w:tcMar>
              <w:top w:w="15" w:type="dxa"/>
              <w:left w:w="90" w:type="dxa"/>
              <w:bottom w:w="0" w:type="dxa"/>
              <w:right w:w="90" w:type="dxa"/>
            </w:tcMar>
            <w:hideMark/>
          </w:tcPr>
          <w:p w14:paraId="038BB839" w14:textId="77777777" w:rsidR="00F665AD" w:rsidRPr="001533EC" w:rsidRDefault="00F665AD" w:rsidP="00652F66">
            <w:r w:rsidRPr="001533EC">
              <w:t>9 (6/3)</w:t>
            </w:r>
          </w:p>
        </w:tc>
        <w:tc>
          <w:tcPr>
            <w:tcW w:w="429" w:type="pct"/>
            <w:tcBorders>
              <w:top w:val="single" w:sz="8" w:space="0" w:color="000000"/>
              <w:left w:val="nil"/>
              <w:bottom w:val="nil"/>
              <w:right w:val="nil"/>
            </w:tcBorders>
            <w:tcMar>
              <w:top w:w="15" w:type="dxa"/>
              <w:left w:w="90" w:type="dxa"/>
              <w:bottom w:w="0" w:type="dxa"/>
              <w:right w:w="90" w:type="dxa"/>
            </w:tcMar>
            <w:hideMark/>
          </w:tcPr>
          <w:p w14:paraId="22271F67" w14:textId="77777777" w:rsidR="00F665AD" w:rsidRPr="001533EC" w:rsidRDefault="00F665AD" w:rsidP="00652F66"/>
        </w:tc>
      </w:tr>
      <w:tr w:rsidR="00F665AD" w:rsidRPr="001533EC" w14:paraId="6FCEFDEF" w14:textId="77777777" w:rsidTr="00652F66">
        <w:tc>
          <w:tcPr>
            <w:tcW w:w="783" w:type="pct"/>
            <w:tcBorders>
              <w:top w:val="nil"/>
              <w:left w:val="nil"/>
              <w:bottom w:val="nil"/>
              <w:right w:val="nil"/>
            </w:tcBorders>
            <w:tcMar>
              <w:top w:w="15" w:type="dxa"/>
              <w:left w:w="90" w:type="dxa"/>
              <w:bottom w:w="0" w:type="dxa"/>
              <w:right w:w="90" w:type="dxa"/>
            </w:tcMar>
            <w:hideMark/>
          </w:tcPr>
          <w:p w14:paraId="75CB8B53" w14:textId="77777777" w:rsidR="00F665AD" w:rsidRPr="001533EC" w:rsidRDefault="00F665AD" w:rsidP="00652F66">
            <w:pPr>
              <w:rPr>
                <w:szCs w:val="24"/>
              </w:rPr>
            </w:pPr>
            <w:r w:rsidRPr="001533EC">
              <w:rPr>
                <w:szCs w:val="24"/>
              </w:rPr>
              <w:t>Age (years)</w:t>
            </w:r>
          </w:p>
        </w:tc>
        <w:tc>
          <w:tcPr>
            <w:tcW w:w="489" w:type="pct"/>
            <w:tcBorders>
              <w:top w:val="nil"/>
              <w:left w:val="nil"/>
              <w:bottom w:val="nil"/>
              <w:right w:val="nil"/>
            </w:tcBorders>
            <w:tcMar>
              <w:top w:w="15" w:type="dxa"/>
              <w:left w:w="90" w:type="dxa"/>
              <w:bottom w:w="0" w:type="dxa"/>
              <w:right w:w="90" w:type="dxa"/>
            </w:tcMar>
            <w:hideMark/>
          </w:tcPr>
          <w:p w14:paraId="1CACEB76" w14:textId="77777777" w:rsidR="00F665AD" w:rsidRPr="001533EC" w:rsidRDefault="00F665AD" w:rsidP="00652F66">
            <w:r w:rsidRPr="001533EC">
              <w:t>35 ± 13</w:t>
            </w:r>
          </w:p>
        </w:tc>
        <w:tc>
          <w:tcPr>
            <w:tcW w:w="490" w:type="pct"/>
            <w:tcBorders>
              <w:top w:val="nil"/>
              <w:left w:val="nil"/>
              <w:bottom w:val="nil"/>
              <w:right w:val="nil"/>
            </w:tcBorders>
            <w:tcMar>
              <w:top w:w="15" w:type="dxa"/>
              <w:left w:w="90" w:type="dxa"/>
              <w:bottom w:w="0" w:type="dxa"/>
              <w:right w:w="90" w:type="dxa"/>
            </w:tcMar>
            <w:hideMark/>
          </w:tcPr>
          <w:p w14:paraId="30D1CE88" w14:textId="77777777" w:rsidR="00F665AD" w:rsidRPr="001533EC" w:rsidRDefault="00F665AD" w:rsidP="00652F66">
            <w:r w:rsidRPr="001533EC">
              <w:t>38 ± 16</w:t>
            </w:r>
          </w:p>
        </w:tc>
        <w:tc>
          <w:tcPr>
            <w:tcW w:w="440" w:type="pct"/>
            <w:tcBorders>
              <w:top w:val="nil"/>
              <w:left w:val="nil"/>
              <w:bottom w:val="nil"/>
              <w:right w:val="nil"/>
            </w:tcBorders>
            <w:tcMar>
              <w:top w:w="15" w:type="dxa"/>
              <w:left w:w="90" w:type="dxa"/>
              <w:bottom w:w="0" w:type="dxa"/>
              <w:right w:w="90" w:type="dxa"/>
            </w:tcMar>
            <w:hideMark/>
          </w:tcPr>
          <w:p w14:paraId="7BED07E0" w14:textId="77777777" w:rsidR="00F665AD" w:rsidRPr="001533EC" w:rsidRDefault="00F665AD" w:rsidP="00652F66">
            <w:r w:rsidRPr="001533EC">
              <w:t>0.423</w:t>
            </w:r>
          </w:p>
        </w:tc>
        <w:tc>
          <w:tcPr>
            <w:tcW w:w="98" w:type="pct"/>
            <w:tcBorders>
              <w:top w:val="nil"/>
              <w:left w:val="nil"/>
              <w:bottom w:val="nil"/>
              <w:right w:val="nil"/>
            </w:tcBorders>
            <w:tcMar>
              <w:top w:w="15" w:type="dxa"/>
              <w:left w:w="90" w:type="dxa"/>
              <w:bottom w:w="0" w:type="dxa"/>
              <w:right w:w="90" w:type="dxa"/>
            </w:tcMar>
            <w:hideMark/>
          </w:tcPr>
          <w:p w14:paraId="4F541FB9"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6951E614" w14:textId="77777777" w:rsidR="00F665AD" w:rsidRPr="001533EC" w:rsidRDefault="00F665AD" w:rsidP="00652F66">
            <w:r w:rsidRPr="001533EC">
              <w:t>43 ± 15</w:t>
            </w:r>
          </w:p>
        </w:tc>
        <w:tc>
          <w:tcPr>
            <w:tcW w:w="440" w:type="pct"/>
            <w:tcBorders>
              <w:top w:val="nil"/>
              <w:left w:val="nil"/>
              <w:bottom w:val="nil"/>
              <w:right w:val="nil"/>
            </w:tcBorders>
            <w:tcMar>
              <w:top w:w="15" w:type="dxa"/>
              <w:left w:w="90" w:type="dxa"/>
              <w:bottom w:w="0" w:type="dxa"/>
              <w:right w:w="90" w:type="dxa"/>
            </w:tcMar>
            <w:hideMark/>
          </w:tcPr>
          <w:p w14:paraId="05F4805C" w14:textId="77777777" w:rsidR="00F665AD" w:rsidRPr="001533EC" w:rsidRDefault="00F665AD" w:rsidP="00652F66">
            <w:r w:rsidRPr="001533EC">
              <w:t>59 ± 9</w:t>
            </w:r>
          </w:p>
        </w:tc>
        <w:tc>
          <w:tcPr>
            <w:tcW w:w="392" w:type="pct"/>
            <w:tcBorders>
              <w:top w:val="nil"/>
              <w:left w:val="nil"/>
              <w:bottom w:val="nil"/>
              <w:right w:val="nil"/>
            </w:tcBorders>
            <w:tcMar>
              <w:top w:w="15" w:type="dxa"/>
              <w:left w:w="90" w:type="dxa"/>
              <w:bottom w:w="0" w:type="dxa"/>
              <w:right w:w="90" w:type="dxa"/>
            </w:tcMar>
            <w:hideMark/>
          </w:tcPr>
          <w:p w14:paraId="0FECFCE7" w14:textId="77777777" w:rsidR="00F665AD" w:rsidRPr="001533EC" w:rsidRDefault="00F665AD" w:rsidP="00652F66">
            <w:r w:rsidRPr="001533EC">
              <w:rPr>
                <w:b/>
                <w:bCs/>
              </w:rPr>
              <w:t>4.12 x 10</w:t>
            </w:r>
            <w:r w:rsidRPr="001533EC">
              <w:rPr>
                <w:b/>
                <w:bCs/>
                <w:vertAlign w:val="superscript"/>
              </w:rPr>
              <w:t>-4</w:t>
            </w:r>
          </w:p>
        </w:tc>
        <w:tc>
          <w:tcPr>
            <w:tcW w:w="69" w:type="pct"/>
            <w:tcBorders>
              <w:top w:val="nil"/>
              <w:left w:val="nil"/>
              <w:bottom w:val="nil"/>
              <w:right w:val="nil"/>
            </w:tcBorders>
            <w:tcMar>
              <w:top w:w="15" w:type="dxa"/>
              <w:left w:w="90" w:type="dxa"/>
              <w:bottom w:w="0" w:type="dxa"/>
              <w:right w:w="90" w:type="dxa"/>
            </w:tcMar>
            <w:hideMark/>
          </w:tcPr>
          <w:p w14:paraId="11AED53B"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7B36EB75" w14:textId="77777777" w:rsidR="00F665AD" w:rsidRPr="001533EC" w:rsidRDefault="00F665AD" w:rsidP="00652F66">
            <w:r w:rsidRPr="001533EC">
              <w:t>48 ± 13</w:t>
            </w:r>
          </w:p>
        </w:tc>
        <w:tc>
          <w:tcPr>
            <w:tcW w:w="440" w:type="pct"/>
            <w:tcBorders>
              <w:top w:val="nil"/>
              <w:left w:val="nil"/>
              <w:bottom w:val="nil"/>
              <w:right w:val="nil"/>
            </w:tcBorders>
            <w:tcMar>
              <w:top w:w="15" w:type="dxa"/>
              <w:left w:w="90" w:type="dxa"/>
              <w:bottom w:w="0" w:type="dxa"/>
              <w:right w:w="90" w:type="dxa"/>
            </w:tcMar>
            <w:hideMark/>
          </w:tcPr>
          <w:p w14:paraId="04F3DC19" w14:textId="77777777" w:rsidR="00F665AD" w:rsidRPr="001533EC" w:rsidRDefault="00F665AD" w:rsidP="00652F66">
            <w:r w:rsidRPr="001533EC">
              <w:t>52 ± 12</w:t>
            </w:r>
          </w:p>
        </w:tc>
        <w:tc>
          <w:tcPr>
            <w:tcW w:w="429" w:type="pct"/>
            <w:tcBorders>
              <w:top w:val="nil"/>
              <w:left w:val="nil"/>
              <w:bottom w:val="nil"/>
              <w:right w:val="nil"/>
            </w:tcBorders>
            <w:tcMar>
              <w:top w:w="15" w:type="dxa"/>
              <w:left w:w="90" w:type="dxa"/>
              <w:bottom w:w="0" w:type="dxa"/>
              <w:right w:w="90" w:type="dxa"/>
            </w:tcMar>
            <w:hideMark/>
          </w:tcPr>
          <w:p w14:paraId="1A4F5079" w14:textId="77777777" w:rsidR="00F665AD" w:rsidRPr="001533EC" w:rsidRDefault="00F665AD" w:rsidP="00652F66">
            <w:r w:rsidRPr="001533EC">
              <w:t>0.493</w:t>
            </w:r>
          </w:p>
        </w:tc>
      </w:tr>
      <w:tr w:rsidR="00F665AD" w:rsidRPr="001533EC" w14:paraId="3424451E" w14:textId="77777777" w:rsidTr="00652F66">
        <w:tc>
          <w:tcPr>
            <w:tcW w:w="783" w:type="pct"/>
            <w:tcBorders>
              <w:top w:val="nil"/>
              <w:left w:val="nil"/>
              <w:bottom w:val="nil"/>
              <w:right w:val="nil"/>
            </w:tcBorders>
            <w:tcMar>
              <w:top w:w="15" w:type="dxa"/>
              <w:left w:w="90" w:type="dxa"/>
              <w:bottom w:w="0" w:type="dxa"/>
              <w:right w:w="90" w:type="dxa"/>
            </w:tcMar>
            <w:hideMark/>
          </w:tcPr>
          <w:p w14:paraId="72F09AB4" w14:textId="77777777" w:rsidR="00F665AD" w:rsidRPr="001533EC" w:rsidRDefault="00F665AD" w:rsidP="00652F66">
            <w:pPr>
              <w:rPr>
                <w:szCs w:val="24"/>
              </w:rPr>
            </w:pPr>
            <w:r w:rsidRPr="001533EC">
              <w:rPr>
                <w:szCs w:val="24"/>
              </w:rPr>
              <w:t>BMI (kg/m</w:t>
            </w:r>
            <w:r w:rsidRPr="001533EC">
              <w:rPr>
                <w:szCs w:val="24"/>
                <w:vertAlign w:val="superscript"/>
              </w:rPr>
              <w:t>2</w:t>
            </w:r>
            <w:r w:rsidRPr="001533EC">
              <w:rPr>
                <w:szCs w:val="24"/>
              </w:rPr>
              <w:t>)</w:t>
            </w:r>
          </w:p>
        </w:tc>
        <w:tc>
          <w:tcPr>
            <w:tcW w:w="489" w:type="pct"/>
            <w:tcBorders>
              <w:top w:val="nil"/>
              <w:left w:val="nil"/>
              <w:bottom w:val="nil"/>
              <w:right w:val="nil"/>
            </w:tcBorders>
            <w:tcMar>
              <w:top w:w="15" w:type="dxa"/>
              <w:left w:w="90" w:type="dxa"/>
              <w:bottom w:w="0" w:type="dxa"/>
              <w:right w:w="90" w:type="dxa"/>
            </w:tcMar>
            <w:hideMark/>
          </w:tcPr>
          <w:p w14:paraId="136BE65A" w14:textId="77777777" w:rsidR="00F665AD" w:rsidRPr="001533EC" w:rsidRDefault="00F665AD" w:rsidP="00652F66">
            <w:r w:rsidRPr="001533EC">
              <w:t>27.3 ± 6.7</w:t>
            </w:r>
          </w:p>
        </w:tc>
        <w:tc>
          <w:tcPr>
            <w:tcW w:w="490" w:type="pct"/>
            <w:tcBorders>
              <w:top w:val="nil"/>
              <w:left w:val="nil"/>
              <w:bottom w:val="nil"/>
              <w:right w:val="nil"/>
            </w:tcBorders>
            <w:tcMar>
              <w:top w:w="15" w:type="dxa"/>
              <w:left w:w="90" w:type="dxa"/>
              <w:bottom w:w="0" w:type="dxa"/>
              <w:right w:w="90" w:type="dxa"/>
            </w:tcMar>
            <w:hideMark/>
          </w:tcPr>
          <w:p w14:paraId="2D70C105" w14:textId="77777777" w:rsidR="00F665AD" w:rsidRPr="001533EC" w:rsidRDefault="00F665AD" w:rsidP="00652F66">
            <w:r w:rsidRPr="001533EC">
              <w:t>28.0 ± 6.2</w:t>
            </w:r>
          </w:p>
        </w:tc>
        <w:tc>
          <w:tcPr>
            <w:tcW w:w="440" w:type="pct"/>
            <w:tcBorders>
              <w:top w:val="nil"/>
              <w:left w:val="nil"/>
              <w:bottom w:val="nil"/>
              <w:right w:val="nil"/>
            </w:tcBorders>
            <w:tcMar>
              <w:top w:w="15" w:type="dxa"/>
              <w:left w:w="90" w:type="dxa"/>
              <w:bottom w:w="0" w:type="dxa"/>
              <w:right w:w="90" w:type="dxa"/>
            </w:tcMar>
            <w:hideMark/>
          </w:tcPr>
          <w:p w14:paraId="59A9AABE" w14:textId="77777777" w:rsidR="00F665AD" w:rsidRPr="001533EC" w:rsidRDefault="00F665AD" w:rsidP="00652F66">
            <w:r w:rsidRPr="001533EC">
              <w:t>0.200</w:t>
            </w:r>
          </w:p>
        </w:tc>
        <w:tc>
          <w:tcPr>
            <w:tcW w:w="98" w:type="pct"/>
            <w:tcBorders>
              <w:top w:val="nil"/>
              <w:left w:val="nil"/>
              <w:bottom w:val="nil"/>
              <w:right w:val="nil"/>
            </w:tcBorders>
            <w:tcMar>
              <w:top w:w="15" w:type="dxa"/>
              <w:left w:w="90" w:type="dxa"/>
              <w:bottom w:w="0" w:type="dxa"/>
              <w:right w:w="90" w:type="dxa"/>
            </w:tcMar>
            <w:hideMark/>
          </w:tcPr>
          <w:p w14:paraId="5D081144"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198B3A2B" w14:textId="77777777" w:rsidR="00F665AD" w:rsidRPr="001533EC" w:rsidRDefault="00F665AD" w:rsidP="00652F66">
            <w:r w:rsidRPr="001533EC">
              <w:t>28.4 ± 4.9</w:t>
            </w:r>
          </w:p>
        </w:tc>
        <w:tc>
          <w:tcPr>
            <w:tcW w:w="440" w:type="pct"/>
            <w:tcBorders>
              <w:top w:val="nil"/>
              <w:left w:val="nil"/>
              <w:bottom w:val="nil"/>
              <w:right w:val="nil"/>
            </w:tcBorders>
            <w:tcMar>
              <w:top w:w="15" w:type="dxa"/>
              <w:left w:w="90" w:type="dxa"/>
              <w:bottom w:w="0" w:type="dxa"/>
              <w:right w:w="90" w:type="dxa"/>
            </w:tcMar>
            <w:hideMark/>
          </w:tcPr>
          <w:p w14:paraId="0D433CA5" w14:textId="77777777" w:rsidR="00F665AD" w:rsidRPr="001533EC" w:rsidRDefault="00F665AD" w:rsidP="00652F66">
            <w:r w:rsidRPr="001533EC">
              <w:t>32.6 ± 3.6</w:t>
            </w:r>
          </w:p>
        </w:tc>
        <w:tc>
          <w:tcPr>
            <w:tcW w:w="392" w:type="pct"/>
            <w:tcBorders>
              <w:top w:val="nil"/>
              <w:left w:val="nil"/>
              <w:bottom w:val="nil"/>
              <w:right w:val="nil"/>
            </w:tcBorders>
            <w:tcMar>
              <w:top w:w="15" w:type="dxa"/>
              <w:left w:w="90" w:type="dxa"/>
              <w:bottom w:w="0" w:type="dxa"/>
              <w:right w:w="90" w:type="dxa"/>
            </w:tcMar>
            <w:hideMark/>
          </w:tcPr>
          <w:p w14:paraId="677A422F" w14:textId="77777777" w:rsidR="00F665AD" w:rsidRPr="001533EC" w:rsidRDefault="00F665AD" w:rsidP="00652F66">
            <w:r w:rsidRPr="001533EC">
              <w:rPr>
                <w:b/>
                <w:bCs/>
              </w:rPr>
              <w:t>9.6 x 10</w:t>
            </w:r>
            <w:r w:rsidRPr="001533EC">
              <w:rPr>
                <w:b/>
                <w:bCs/>
                <w:vertAlign w:val="superscript"/>
              </w:rPr>
              <w:t>-3</w:t>
            </w:r>
          </w:p>
        </w:tc>
        <w:tc>
          <w:tcPr>
            <w:tcW w:w="69" w:type="pct"/>
            <w:tcBorders>
              <w:top w:val="nil"/>
              <w:left w:val="nil"/>
              <w:bottom w:val="nil"/>
              <w:right w:val="nil"/>
            </w:tcBorders>
            <w:tcMar>
              <w:top w:w="15" w:type="dxa"/>
              <w:left w:w="90" w:type="dxa"/>
              <w:bottom w:w="0" w:type="dxa"/>
              <w:right w:w="90" w:type="dxa"/>
            </w:tcMar>
            <w:hideMark/>
          </w:tcPr>
          <w:p w14:paraId="5849E069"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25330618" w14:textId="77777777" w:rsidR="00F665AD" w:rsidRPr="001533EC" w:rsidRDefault="00F665AD" w:rsidP="00652F66">
            <w:r w:rsidRPr="001533EC">
              <w:t>35.2 ± 4</w:t>
            </w:r>
          </w:p>
        </w:tc>
        <w:tc>
          <w:tcPr>
            <w:tcW w:w="440" w:type="pct"/>
            <w:tcBorders>
              <w:top w:val="nil"/>
              <w:left w:val="nil"/>
              <w:bottom w:val="nil"/>
              <w:right w:val="nil"/>
            </w:tcBorders>
            <w:tcMar>
              <w:top w:w="15" w:type="dxa"/>
              <w:left w:w="90" w:type="dxa"/>
              <w:bottom w:w="0" w:type="dxa"/>
              <w:right w:w="90" w:type="dxa"/>
            </w:tcMar>
            <w:hideMark/>
          </w:tcPr>
          <w:p w14:paraId="317D9A6A" w14:textId="77777777" w:rsidR="00F665AD" w:rsidRPr="001533EC" w:rsidRDefault="00F665AD" w:rsidP="00652F66">
            <w:r w:rsidRPr="001533EC">
              <w:t>35.7 ± 3.2</w:t>
            </w:r>
          </w:p>
        </w:tc>
        <w:tc>
          <w:tcPr>
            <w:tcW w:w="429" w:type="pct"/>
            <w:tcBorders>
              <w:top w:val="nil"/>
              <w:left w:val="nil"/>
              <w:bottom w:val="nil"/>
              <w:right w:val="nil"/>
            </w:tcBorders>
            <w:tcMar>
              <w:top w:w="15" w:type="dxa"/>
              <w:left w:w="90" w:type="dxa"/>
              <w:bottom w:w="0" w:type="dxa"/>
              <w:right w:w="90" w:type="dxa"/>
            </w:tcMar>
            <w:hideMark/>
          </w:tcPr>
          <w:p w14:paraId="3A99AA3A" w14:textId="77777777" w:rsidR="00F665AD" w:rsidRPr="001533EC" w:rsidRDefault="00F665AD" w:rsidP="00652F66">
            <w:r w:rsidRPr="001533EC">
              <w:t>0.754</w:t>
            </w:r>
          </w:p>
        </w:tc>
      </w:tr>
      <w:tr w:rsidR="00F665AD" w:rsidRPr="001533EC" w14:paraId="207180BF" w14:textId="77777777" w:rsidTr="00652F66">
        <w:tc>
          <w:tcPr>
            <w:tcW w:w="783" w:type="pct"/>
            <w:tcBorders>
              <w:top w:val="nil"/>
              <w:left w:val="nil"/>
              <w:bottom w:val="nil"/>
              <w:right w:val="nil"/>
            </w:tcBorders>
            <w:tcMar>
              <w:top w:w="15" w:type="dxa"/>
              <w:left w:w="90" w:type="dxa"/>
              <w:bottom w:w="0" w:type="dxa"/>
              <w:right w:w="90" w:type="dxa"/>
            </w:tcMar>
            <w:hideMark/>
          </w:tcPr>
          <w:p w14:paraId="6E7C65C4" w14:textId="77777777" w:rsidR="00F665AD" w:rsidRPr="001533EC" w:rsidRDefault="00F665AD" w:rsidP="00652F66">
            <w:pPr>
              <w:rPr>
                <w:szCs w:val="24"/>
              </w:rPr>
            </w:pPr>
            <w:r w:rsidRPr="001533EC">
              <w:rPr>
                <w:szCs w:val="24"/>
              </w:rPr>
              <w:t>Waist-to-hip ratio</w:t>
            </w:r>
          </w:p>
        </w:tc>
        <w:tc>
          <w:tcPr>
            <w:tcW w:w="489" w:type="pct"/>
            <w:tcBorders>
              <w:top w:val="nil"/>
              <w:left w:val="nil"/>
              <w:bottom w:val="nil"/>
              <w:right w:val="nil"/>
            </w:tcBorders>
            <w:tcMar>
              <w:top w:w="15" w:type="dxa"/>
              <w:left w:w="90" w:type="dxa"/>
              <w:bottom w:w="0" w:type="dxa"/>
              <w:right w:w="90" w:type="dxa"/>
            </w:tcMar>
            <w:hideMark/>
          </w:tcPr>
          <w:p w14:paraId="3558F030" w14:textId="77777777" w:rsidR="00F665AD" w:rsidRPr="001533EC" w:rsidRDefault="00F665AD" w:rsidP="00652F66">
            <w:r w:rsidRPr="001533EC">
              <w:t>0.87 ± 0.08</w:t>
            </w:r>
          </w:p>
        </w:tc>
        <w:tc>
          <w:tcPr>
            <w:tcW w:w="490" w:type="pct"/>
            <w:tcBorders>
              <w:top w:val="nil"/>
              <w:left w:val="nil"/>
              <w:bottom w:val="nil"/>
              <w:right w:val="nil"/>
            </w:tcBorders>
            <w:tcMar>
              <w:top w:w="15" w:type="dxa"/>
              <w:left w:w="90" w:type="dxa"/>
              <w:bottom w:w="0" w:type="dxa"/>
              <w:right w:w="90" w:type="dxa"/>
            </w:tcMar>
            <w:hideMark/>
          </w:tcPr>
          <w:p w14:paraId="30032F24" w14:textId="77777777" w:rsidR="00F665AD" w:rsidRPr="001533EC" w:rsidRDefault="00F665AD" w:rsidP="00652F66">
            <w:r w:rsidRPr="001533EC">
              <w:t>0.89 ± 0.09</w:t>
            </w:r>
          </w:p>
        </w:tc>
        <w:tc>
          <w:tcPr>
            <w:tcW w:w="440" w:type="pct"/>
            <w:tcBorders>
              <w:top w:val="nil"/>
              <w:left w:val="nil"/>
              <w:bottom w:val="nil"/>
              <w:right w:val="nil"/>
            </w:tcBorders>
            <w:tcMar>
              <w:top w:w="15" w:type="dxa"/>
              <w:left w:w="90" w:type="dxa"/>
              <w:bottom w:w="0" w:type="dxa"/>
              <w:right w:w="90" w:type="dxa"/>
            </w:tcMar>
            <w:hideMark/>
          </w:tcPr>
          <w:p w14:paraId="0534396B" w14:textId="77777777" w:rsidR="00F665AD" w:rsidRPr="001533EC" w:rsidRDefault="00F665AD" w:rsidP="00652F66">
            <w:r w:rsidRPr="001533EC">
              <w:t>0.232</w:t>
            </w:r>
          </w:p>
        </w:tc>
        <w:tc>
          <w:tcPr>
            <w:tcW w:w="98" w:type="pct"/>
            <w:tcBorders>
              <w:top w:val="nil"/>
              <w:left w:val="nil"/>
              <w:bottom w:val="nil"/>
              <w:right w:val="nil"/>
            </w:tcBorders>
            <w:tcMar>
              <w:top w:w="15" w:type="dxa"/>
              <w:left w:w="90" w:type="dxa"/>
              <w:bottom w:w="0" w:type="dxa"/>
              <w:right w:w="90" w:type="dxa"/>
            </w:tcMar>
            <w:hideMark/>
          </w:tcPr>
          <w:p w14:paraId="3F8B8055"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65C71B23" w14:textId="77777777" w:rsidR="00F665AD" w:rsidRPr="001533EC" w:rsidRDefault="00F665AD" w:rsidP="00652F66">
            <w:r w:rsidRPr="001533EC">
              <w:t>0.89 ± 0.08</w:t>
            </w:r>
          </w:p>
        </w:tc>
        <w:tc>
          <w:tcPr>
            <w:tcW w:w="440" w:type="pct"/>
            <w:tcBorders>
              <w:top w:val="nil"/>
              <w:left w:val="nil"/>
              <w:bottom w:val="nil"/>
              <w:right w:val="nil"/>
            </w:tcBorders>
            <w:tcMar>
              <w:top w:w="15" w:type="dxa"/>
              <w:left w:w="90" w:type="dxa"/>
              <w:bottom w:w="0" w:type="dxa"/>
              <w:right w:w="90" w:type="dxa"/>
            </w:tcMar>
            <w:hideMark/>
          </w:tcPr>
          <w:p w14:paraId="2268FAE3" w14:textId="77777777" w:rsidR="00F665AD" w:rsidRPr="001533EC" w:rsidRDefault="00F665AD" w:rsidP="00652F66">
            <w:r w:rsidRPr="001533EC">
              <w:t>0.94 ± 0.60</w:t>
            </w:r>
          </w:p>
        </w:tc>
        <w:tc>
          <w:tcPr>
            <w:tcW w:w="392" w:type="pct"/>
            <w:tcBorders>
              <w:top w:val="nil"/>
              <w:left w:val="nil"/>
              <w:bottom w:val="nil"/>
              <w:right w:val="nil"/>
            </w:tcBorders>
            <w:tcMar>
              <w:top w:w="15" w:type="dxa"/>
              <w:left w:w="90" w:type="dxa"/>
              <w:bottom w:w="0" w:type="dxa"/>
              <w:right w:w="90" w:type="dxa"/>
            </w:tcMar>
            <w:hideMark/>
          </w:tcPr>
          <w:p w14:paraId="306DA2E5" w14:textId="77777777" w:rsidR="00F665AD" w:rsidRPr="001533EC" w:rsidRDefault="00F665AD" w:rsidP="00652F66">
            <w:r w:rsidRPr="001533EC">
              <w:t>0.062</w:t>
            </w:r>
          </w:p>
        </w:tc>
        <w:tc>
          <w:tcPr>
            <w:tcW w:w="69" w:type="pct"/>
            <w:tcBorders>
              <w:top w:val="nil"/>
              <w:left w:val="nil"/>
              <w:bottom w:val="nil"/>
              <w:right w:val="nil"/>
            </w:tcBorders>
            <w:tcMar>
              <w:top w:w="15" w:type="dxa"/>
              <w:left w:w="90" w:type="dxa"/>
              <w:bottom w:w="0" w:type="dxa"/>
              <w:right w:w="90" w:type="dxa"/>
            </w:tcMar>
            <w:hideMark/>
          </w:tcPr>
          <w:p w14:paraId="790EE927"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4C1385B0" w14:textId="77777777" w:rsidR="00F665AD" w:rsidRPr="001533EC" w:rsidRDefault="00F665AD" w:rsidP="00652F66">
            <w:r w:rsidRPr="001533EC">
              <w:t>0.92 ± 0.07</w:t>
            </w:r>
          </w:p>
        </w:tc>
        <w:tc>
          <w:tcPr>
            <w:tcW w:w="440" w:type="pct"/>
            <w:tcBorders>
              <w:top w:val="nil"/>
              <w:left w:val="nil"/>
              <w:bottom w:val="nil"/>
              <w:right w:val="nil"/>
            </w:tcBorders>
            <w:tcMar>
              <w:top w:w="15" w:type="dxa"/>
              <w:left w:w="90" w:type="dxa"/>
              <w:bottom w:w="0" w:type="dxa"/>
              <w:right w:w="90" w:type="dxa"/>
            </w:tcMar>
            <w:hideMark/>
          </w:tcPr>
          <w:p w14:paraId="23FC88FB" w14:textId="77777777" w:rsidR="00F665AD" w:rsidRPr="001533EC" w:rsidRDefault="00F665AD" w:rsidP="00652F66">
            <w:r w:rsidRPr="001533EC">
              <w:t>0.99 ± 0.65</w:t>
            </w:r>
          </w:p>
        </w:tc>
        <w:tc>
          <w:tcPr>
            <w:tcW w:w="429" w:type="pct"/>
            <w:tcBorders>
              <w:top w:val="nil"/>
              <w:left w:val="nil"/>
              <w:bottom w:val="nil"/>
              <w:right w:val="nil"/>
            </w:tcBorders>
            <w:tcMar>
              <w:top w:w="15" w:type="dxa"/>
              <w:left w:w="90" w:type="dxa"/>
              <w:bottom w:w="0" w:type="dxa"/>
              <w:right w:w="90" w:type="dxa"/>
            </w:tcMar>
            <w:hideMark/>
          </w:tcPr>
          <w:p w14:paraId="2A1FC912" w14:textId="77777777" w:rsidR="00F665AD" w:rsidRPr="001533EC" w:rsidRDefault="00F665AD" w:rsidP="00652F66">
            <w:r w:rsidRPr="001533EC">
              <w:rPr>
                <w:b/>
                <w:bCs/>
              </w:rPr>
              <w:t>0.025</w:t>
            </w:r>
          </w:p>
        </w:tc>
      </w:tr>
      <w:tr w:rsidR="00F665AD" w:rsidRPr="001533EC" w14:paraId="27166E1D" w14:textId="77777777" w:rsidTr="00652F66">
        <w:tc>
          <w:tcPr>
            <w:tcW w:w="783" w:type="pct"/>
            <w:tcBorders>
              <w:top w:val="nil"/>
              <w:left w:val="nil"/>
              <w:bottom w:val="nil"/>
              <w:right w:val="nil"/>
            </w:tcBorders>
            <w:tcMar>
              <w:top w:w="15" w:type="dxa"/>
              <w:left w:w="90" w:type="dxa"/>
              <w:bottom w:w="0" w:type="dxa"/>
              <w:right w:w="90" w:type="dxa"/>
            </w:tcMar>
            <w:hideMark/>
          </w:tcPr>
          <w:p w14:paraId="3D64E49F" w14:textId="77777777" w:rsidR="00F665AD" w:rsidRPr="001533EC" w:rsidRDefault="00F665AD" w:rsidP="00652F66">
            <w:pPr>
              <w:rPr>
                <w:szCs w:val="24"/>
              </w:rPr>
            </w:pPr>
            <w:r w:rsidRPr="001533EC">
              <w:rPr>
                <w:szCs w:val="24"/>
              </w:rPr>
              <w:t>HDL cholesterol (mg/dL)</w:t>
            </w:r>
          </w:p>
        </w:tc>
        <w:tc>
          <w:tcPr>
            <w:tcW w:w="489" w:type="pct"/>
            <w:tcBorders>
              <w:top w:val="nil"/>
              <w:left w:val="nil"/>
              <w:bottom w:val="nil"/>
              <w:right w:val="nil"/>
            </w:tcBorders>
            <w:tcMar>
              <w:top w:w="15" w:type="dxa"/>
              <w:left w:w="90" w:type="dxa"/>
              <w:bottom w:w="0" w:type="dxa"/>
              <w:right w:w="90" w:type="dxa"/>
            </w:tcMar>
            <w:hideMark/>
          </w:tcPr>
          <w:p w14:paraId="62A37B4E" w14:textId="77777777" w:rsidR="00F665AD" w:rsidRPr="001533EC" w:rsidRDefault="00F665AD" w:rsidP="00652F66">
            <w:r w:rsidRPr="001533EC">
              <w:t>53.8 ± 13.2</w:t>
            </w:r>
          </w:p>
        </w:tc>
        <w:tc>
          <w:tcPr>
            <w:tcW w:w="490" w:type="pct"/>
            <w:tcBorders>
              <w:top w:val="nil"/>
              <w:left w:val="nil"/>
              <w:bottom w:val="nil"/>
              <w:right w:val="nil"/>
            </w:tcBorders>
            <w:tcMar>
              <w:top w:w="15" w:type="dxa"/>
              <w:left w:w="90" w:type="dxa"/>
              <w:bottom w:w="0" w:type="dxa"/>
              <w:right w:w="90" w:type="dxa"/>
            </w:tcMar>
            <w:hideMark/>
          </w:tcPr>
          <w:p w14:paraId="34BE4D7B" w14:textId="77777777" w:rsidR="00F665AD" w:rsidRPr="001533EC" w:rsidRDefault="00F665AD" w:rsidP="00652F66">
            <w:r w:rsidRPr="001533EC">
              <w:t>52.87 ± 16.1</w:t>
            </w:r>
          </w:p>
        </w:tc>
        <w:tc>
          <w:tcPr>
            <w:tcW w:w="440" w:type="pct"/>
            <w:tcBorders>
              <w:top w:val="nil"/>
              <w:left w:val="nil"/>
              <w:bottom w:val="nil"/>
              <w:right w:val="nil"/>
            </w:tcBorders>
            <w:tcMar>
              <w:top w:w="15" w:type="dxa"/>
              <w:left w:w="90" w:type="dxa"/>
              <w:bottom w:w="0" w:type="dxa"/>
              <w:right w:w="90" w:type="dxa"/>
            </w:tcMar>
            <w:hideMark/>
          </w:tcPr>
          <w:p w14:paraId="03AF41FA" w14:textId="77777777" w:rsidR="00F665AD" w:rsidRPr="001533EC" w:rsidRDefault="00F665AD" w:rsidP="00652F66">
            <w:r w:rsidRPr="001533EC">
              <w:t>0.428</w:t>
            </w:r>
          </w:p>
        </w:tc>
        <w:tc>
          <w:tcPr>
            <w:tcW w:w="98" w:type="pct"/>
            <w:tcBorders>
              <w:top w:val="nil"/>
              <w:left w:val="nil"/>
              <w:bottom w:val="nil"/>
              <w:right w:val="nil"/>
            </w:tcBorders>
            <w:tcMar>
              <w:top w:w="15" w:type="dxa"/>
              <w:left w:w="90" w:type="dxa"/>
              <w:bottom w:w="0" w:type="dxa"/>
              <w:right w:w="90" w:type="dxa"/>
            </w:tcMar>
            <w:hideMark/>
          </w:tcPr>
          <w:p w14:paraId="7582C293"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346F686E" w14:textId="77777777" w:rsidR="00F665AD" w:rsidRPr="001533EC" w:rsidRDefault="00F665AD" w:rsidP="00652F66">
            <w:r w:rsidRPr="001533EC">
              <w:t>55.3 ± 16.5</w:t>
            </w:r>
          </w:p>
        </w:tc>
        <w:tc>
          <w:tcPr>
            <w:tcW w:w="440" w:type="pct"/>
            <w:tcBorders>
              <w:top w:val="nil"/>
              <w:left w:val="nil"/>
              <w:bottom w:val="nil"/>
              <w:right w:val="nil"/>
            </w:tcBorders>
            <w:tcMar>
              <w:top w:w="15" w:type="dxa"/>
              <w:left w:w="90" w:type="dxa"/>
              <w:bottom w:w="0" w:type="dxa"/>
              <w:right w:w="90" w:type="dxa"/>
            </w:tcMar>
            <w:hideMark/>
          </w:tcPr>
          <w:p w14:paraId="31061483" w14:textId="77777777" w:rsidR="00F665AD" w:rsidRPr="001533EC" w:rsidRDefault="00F665AD" w:rsidP="00652F66">
            <w:r w:rsidRPr="001533EC">
              <w:t>49 ± 10.3</w:t>
            </w:r>
          </w:p>
        </w:tc>
        <w:tc>
          <w:tcPr>
            <w:tcW w:w="392" w:type="pct"/>
            <w:tcBorders>
              <w:top w:val="nil"/>
              <w:left w:val="nil"/>
              <w:bottom w:val="nil"/>
              <w:right w:val="nil"/>
            </w:tcBorders>
            <w:tcMar>
              <w:top w:w="15" w:type="dxa"/>
              <w:left w:w="90" w:type="dxa"/>
              <w:bottom w:w="0" w:type="dxa"/>
              <w:right w:w="90" w:type="dxa"/>
            </w:tcMar>
            <w:hideMark/>
          </w:tcPr>
          <w:p w14:paraId="514DA32E" w14:textId="77777777" w:rsidR="00F665AD" w:rsidRPr="001533EC" w:rsidRDefault="00F665AD" w:rsidP="00652F66">
            <w:r w:rsidRPr="001533EC">
              <w:t>0.198</w:t>
            </w:r>
          </w:p>
        </w:tc>
        <w:tc>
          <w:tcPr>
            <w:tcW w:w="69" w:type="pct"/>
            <w:tcBorders>
              <w:top w:val="nil"/>
              <w:left w:val="nil"/>
              <w:bottom w:val="nil"/>
              <w:right w:val="nil"/>
            </w:tcBorders>
            <w:tcMar>
              <w:top w:w="15" w:type="dxa"/>
              <w:left w:w="90" w:type="dxa"/>
              <w:bottom w:w="0" w:type="dxa"/>
              <w:right w:w="90" w:type="dxa"/>
            </w:tcMar>
            <w:hideMark/>
          </w:tcPr>
          <w:p w14:paraId="2A7A0164"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25941F77" w14:textId="77777777" w:rsidR="00F665AD" w:rsidRPr="001533EC" w:rsidRDefault="00F665AD" w:rsidP="00652F66">
            <w:r w:rsidRPr="001533EC">
              <w:t>46.4 ± 7.4</w:t>
            </w:r>
          </w:p>
        </w:tc>
        <w:tc>
          <w:tcPr>
            <w:tcW w:w="440" w:type="pct"/>
            <w:tcBorders>
              <w:top w:val="nil"/>
              <w:left w:val="nil"/>
              <w:bottom w:val="nil"/>
              <w:right w:val="nil"/>
            </w:tcBorders>
            <w:tcMar>
              <w:top w:w="15" w:type="dxa"/>
              <w:left w:w="90" w:type="dxa"/>
              <w:bottom w:w="0" w:type="dxa"/>
              <w:right w:w="90" w:type="dxa"/>
            </w:tcMar>
            <w:hideMark/>
          </w:tcPr>
          <w:p w14:paraId="3E87CC4E" w14:textId="77777777" w:rsidR="00F665AD" w:rsidRPr="001533EC" w:rsidRDefault="00F665AD" w:rsidP="00652F66">
            <w:r w:rsidRPr="001533EC">
              <w:t>51.9 ± 7.49</w:t>
            </w:r>
          </w:p>
        </w:tc>
        <w:tc>
          <w:tcPr>
            <w:tcW w:w="429" w:type="pct"/>
            <w:tcBorders>
              <w:top w:val="nil"/>
              <w:left w:val="nil"/>
              <w:bottom w:val="nil"/>
              <w:right w:val="nil"/>
            </w:tcBorders>
            <w:tcMar>
              <w:top w:w="15" w:type="dxa"/>
              <w:left w:w="90" w:type="dxa"/>
              <w:bottom w:w="0" w:type="dxa"/>
              <w:right w:w="90" w:type="dxa"/>
            </w:tcMar>
            <w:hideMark/>
          </w:tcPr>
          <w:p w14:paraId="7AB5AF63" w14:textId="77777777" w:rsidR="00F665AD" w:rsidRPr="001533EC" w:rsidRDefault="00F665AD" w:rsidP="00652F66">
            <w:r w:rsidRPr="001533EC">
              <w:t>0.097</w:t>
            </w:r>
          </w:p>
        </w:tc>
      </w:tr>
      <w:tr w:rsidR="00F665AD" w:rsidRPr="001533EC" w14:paraId="2AB5F174" w14:textId="77777777" w:rsidTr="00652F66">
        <w:tc>
          <w:tcPr>
            <w:tcW w:w="783" w:type="pct"/>
            <w:tcBorders>
              <w:top w:val="nil"/>
              <w:left w:val="nil"/>
              <w:bottom w:val="nil"/>
              <w:right w:val="nil"/>
            </w:tcBorders>
            <w:tcMar>
              <w:top w:w="15" w:type="dxa"/>
              <w:left w:w="90" w:type="dxa"/>
              <w:bottom w:w="0" w:type="dxa"/>
              <w:right w:w="90" w:type="dxa"/>
            </w:tcMar>
            <w:hideMark/>
          </w:tcPr>
          <w:p w14:paraId="228B1FD6" w14:textId="77777777" w:rsidR="00F665AD" w:rsidRPr="001533EC" w:rsidRDefault="00F665AD" w:rsidP="00652F66">
            <w:pPr>
              <w:rPr>
                <w:szCs w:val="24"/>
              </w:rPr>
            </w:pPr>
            <w:r w:rsidRPr="001533EC">
              <w:rPr>
                <w:szCs w:val="24"/>
              </w:rPr>
              <w:t>LDL cholesterol (mg/dL)</w:t>
            </w:r>
          </w:p>
        </w:tc>
        <w:tc>
          <w:tcPr>
            <w:tcW w:w="489" w:type="pct"/>
            <w:tcBorders>
              <w:top w:val="nil"/>
              <w:left w:val="nil"/>
              <w:bottom w:val="nil"/>
              <w:right w:val="nil"/>
            </w:tcBorders>
            <w:tcMar>
              <w:top w:w="15" w:type="dxa"/>
              <w:left w:w="90" w:type="dxa"/>
              <w:bottom w:w="0" w:type="dxa"/>
              <w:right w:w="90" w:type="dxa"/>
            </w:tcMar>
            <w:hideMark/>
          </w:tcPr>
          <w:p w14:paraId="4E510B4A" w14:textId="77777777" w:rsidR="00F665AD" w:rsidRPr="001533EC" w:rsidRDefault="00F665AD" w:rsidP="00652F66">
            <w:r w:rsidRPr="001533EC">
              <w:t>111.6 ± 28.0</w:t>
            </w:r>
          </w:p>
        </w:tc>
        <w:tc>
          <w:tcPr>
            <w:tcW w:w="490" w:type="pct"/>
            <w:tcBorders>
              <w:top w:val="nil"/>
              <w:left w:val="nil"/>
              <w:bottom w:val="nil"/>
              <w:right w:val="nil"/>
            </w:tcBorders>
            <w:tcMar>
              <w:top w:w="15" w:type="dxa"/>
              <w:left w:w="90" w:type="dxa"/>
              <w:bottom w:w="0" w:type="dxa"/>
              <w:right w:w="90" w:type="dxa"/>
            </w:tcMar>
            <w:hideMark/>
          </w:tcPr>
          <w:p w14:paraId="162AF8B7" w14:textId="77777777" w:rsidR="00F665AD" w:rsidRPr="001533EC" w:rsidRDefault="00F665AD" w:rsidP="00652F66">
            <w:r w:rsidRPr="001533EC">
              <w:t>118 ± 38.4</w:t>
            </w:r>
          </w:p>
        </w:tc>
        <w:tc>
          <w:tcPr>
            <w:tcW w:w="440" w:type="pct"/>
            <w:tcBorders>
              <w:top w:val="nil"/>
              <w:left w:val="nil"/>
              <w:bottom w:val="nil"/>
              <w:right w:val="nil"/>
            </w:tcBorders>
            <w:tcMar>
              <w:top w:w="15" w:type="dxa"/>
              <w:left w:w="90" w:type="dxa"/>
              <w:bottom w:w="0" w:type="dxa"/>
              <w:right w:w="90" w:type="dxa"/>
            </w:tcMar>
            <w:hideMark/>
          </w:tcPr>
          <w:p w14:paraId="09944E5D" w14:textId="77777777" w:rsidR="00F665AD" w:rsidRPr="001533EC" w:rsidRDefault="00F665AD" w:rsidP="00652F66">
            <w:r w:rsidRPr="001533EC">
              <w:t>0.376</w:t>
            </w:r>
          </w:p>
        </w:tc>
        <w:tc>
          <w:tcPr>
            <w:tcW w:w="98" w:type="pct"/>
            <w:tcBorders>
              <w:top w:val="nil"/>
              <w:left w:val="nil"/>
              <w:bottom w:val="nil"/>
              <w:right w:val="nil"/>
            </w:tcBorders>
            <w:tcMar>
              <w:top w:w="15" w:type="dxa"/>
              <w:left w:w="90" w:type="dxa"/>
              <w:bottom w:w="0" w:type="dxa"/>
              <w:right w:w="90" w:type="dxa"/>
            </w:tcMar>
            <w:hideMark/>
          </w:tcPr>
          <w:p w14:paraId="198EFD03"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1D8D0A8C" w14:textId="77777777" w:rsidR="00F665AD" w:rsidRPr="001533EC" w:rsidRDefault="00F665AD" w:rsidP="00652F66">
            <w:r w:rsidRPr="001533EC">
              <w:t>118 ± 37.8</w:t>
            </w:r>
          </w:p>
        </w:tc>
        <w:tc>
          <w:tcPr>
            <w:tcW w:w="440" w:type="pct"/>
            <w:tcBorders>
              <w:top w:val="nil"/>
              <w:left w:val="nil"/>
              <w:bottom w:val="nil"/>
              <w:right w:val="nil"/>
            </w:tcBorders>
            <w:tcMar>
              <w:top w:w="15" w:type="dxa"/>
              <w:left w:w="90" w:type="dxa"/>
              <w:bottom w:w="0" w:type="dxa"/>
              <w:right w:w="90" w:type="dxa"/>
            </w:tcMar>
            <w:hideMark/>
          </w:tcPr>
          <w:p w14:paraId="46DA6803" w14:textId="77777777" w:rsidR="00F665AD" w:rsidRPr="001533EC" w:rsidRDefault="00F665AD" w:rsidP="00652F66">
            <w:r w:rsidRPr="001533EC">
              <w:t>142 ± 41.5</w:t>
            </w:r>
          </w:p>
        </w:tc>
        <w:tc>
          <w:tcPr>
            <w:tcW w:w="392" w:type="pct"/>
            <w:tcBorders>
              <w:top w:val="nil"/>
              <w:left w:val="nil"/>
              <w:bottom w:val="nil"/>
              <w:right w:val="nil"/>
            </w:tcBorders>
            <w:tcMar>
              <w:top w:w="15" w:type="dxa"/>
              <w:left w:w="90" w:type="dxa"/>
              <w:bottom w:w="0" w:type="dxa"/>
              <w:right w:w="90" w:type="dxa"/>
            </w:tcMar>
            <w:hideMark/>
          </w:tcPr>
          <w:p w14:paraId="43D51C0C" w14:textId="77777777" w:rsidR="00F665AD" w:rsidRPr="001533EC" w:rsidRDefault="00F665AD" w:rsidP="00652F66">
            <w:r w:rsidRPr="001533EC">
              <w:t>0.144</w:t>
            </w:r>
          </w:p>
        </w:tc>
        <w:tc>
          <w:tcPr>
            <w:tcW w:w="69" w:type="pct"/>
            <w:tcBorders>
              <w:top w:val="nil"/>
              <w:left w:val="nil"/>
              <w:bottom w:val="nil"/>
              <w:right w:val="nil"/>
            </w:tcBorders>
            <w:tcMar>
              <w:top w:w="15" w:type="dxa"/>
              <w:left w:w="90" w:type="dxa"/>
              <w:bottom w:w="0" w:type="dxa"/>
              <w:right w:w="90" w:type="dxa"/>
            </w:tcMar>
            <w:hideMark/>
          </w:tcPr>
          <w:p w14:paraId="61A1D3D8"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1848FD5B" w14:textId="77777777" w:rsidR="00F665AD" w:rsidRPr="001533EC" w:rsidRDefault="00F665AD" w:rsidP="00652F66">
            <w:r w:rsidRPr="001533EC">
              <w:t>134 ± 21.1</w:t>
            </w:r>
          </w:p>
        </w:tc>
        <w:tc>
          <w:tcPr>
            <w:tcW w:w="440" w:type="pct"/>
            <w:tcBorders>
              <w:top w:val="nil"/>
              <w:left w:val="nil"/>
              <w:bottom w:val="nil"/>
              <w:right w:val="nil"/>
            </w:tcBorders>
            <w:tcMar>
              <w:top w:w="15" w:type="dxa"/>
              <w:left w:w="90" w:type="dxa"/>
              <w:bottom w:w="0" w:type="dxa"/>
              <w:right w:w="90" w:type="dxa"/>
            </w:tcMar>
            <w:hideMark/>
          </w:tcPr>
          <w:p w14:paraId="432C5783" w14:textId="77777777" w:rsidR="00F665AD" w:rsidRPr="001533EC" w:rsidRDefault="00F665AD" w:rsidP="00652F66">
            <w:r w:rsidRPr="001533EC">
              <w:t>86 ± 54.9</w:t>
            </w:r>
          </w:p>
        </w:tc>
        <w:tc>
          <w:tcPr>
            <w:tcW w:w="429" w:type="pct"/>
            <w:tcBorders>
              <w:top w:val="nil"/>
              <w:left w:val="nil"/>
              <w:bottom w:val="nil"/>
              <w:right w:val="nil"/>
            </w:tcBorders>
            <w:tcMar>
              <w:top w:w="15" w:type="dxa"/>
              <w:left w:w="90" w:type="dxa"/>
              <w:bottom w:w="0" w:type="dxa"/>
              <w:right w:w="90" w:type="dxa"/>
            </w:tcMar>
            <w:hideMark/>
          </w:tcPr>
          <w:p w14:paraId="1726130F" w14:textId="77777777" w:rsidR="00F665AD" w:rsidRPr="001533EC" w:rsidRDefault="00F665AD" w:rsidP="00652F66">
            <w:r w:rsidRPr="001533EC">
              <w:rPr>
                <w:b/>
                <w:bCs/>
              </w:rPr>
              <w:t>0.032</w:t>
            </w:r>
          </w:p>
        </w:tc>
      </w:tr>
      <w:tr w:rsidR="00F665AD" w:rsidRPr="001533EC" w14:paraId="58233FC5" w14:textId="77777777" w:rsidTr="00652F66">
        <w:tc>
          <w:tcPr>
            <w:tcW w:w="783" w:type="pct"/>
            <w:tcBorders>
              <w:top w:val="nil"/>
              <w:left w:val="nil"/>
              <w:bottom w:val="nil"/>
              <w:right w:val="nil"/>
            </w:tcBorders>
            <w:tcMar>
              <w:top w:w="15" w:type="dxa"/>
              <w:left w:w="90" w:type="dxa"/>
              <w:bottom w:w="0" w:type="dxa"/>
              <w:right w:w="90" w:type="dxa"/>
            </w:tcMar>
            <w:hideMark/>
          </w:tcPr>
          <w:p w14:paraId="20FCC22A" w14:textId="77777777" w:rsidR="00F665AD" w:rsidRPr="001533EC" w:rsidRDefault="00F665AD" w:rsidP="00652F66">
            <w:pPr>
              <w:rPr>
                <w:szCs w:val="24"/>
              </w:rPr>
            </w:pPr>
            <w:r w:rsidRPr="001533EC">
              <w:rPr>
                <w:szCs w:val="24"/>
              </w:rPr>
              <w:t>Triglycerides (mg/dL)</w:t>
            </w:r>
          </w:p>
        </w:tc>
        <w:tc>
          <w:tcPr>
            <w:tcW w:w="489" w:type="pct"/>
            <w:tcBorders>
              <w:top w:val="nil"/>
              <w:left w:val="nil"/>
              <w:bottom w:val="nil"/>
              <w:right w:val="nil"/>
            </w:tcBorders>
            <w:tcMar>
              <w:top w:w="15" w:type="dxa"/>
              <w:left w:w="90" w:type="dxa"/>
              <w:bottom w:w="0" w:type="dxa"/>
              <w:right w:w="90" w:type="dxa"/>
            </w:tcMar>
            <w:hideMark/>
          </w:tcPr>
          <w:p w14:paraId="1BB182A0" w14:textId="77777777" w:rsidR="00F665AD" w:rsidRPr="001533EC" w:rsidRDefault="00F665AD" w:rsidP="00652F66">
            <w:r w:rsidRPr="001533EC">
              <w:t>101.3 ± 58.3</w:t>
            </w:r>
          </w:p>
        </w:tc>
        <w:tc>
          <w:tcPr>
            <w:tcW w:w="490" w:type="pct"/>
            <w:tcBorders>
              <w:top w:val="nil"/>
              <w:left w:val="nil"/>
              <w:bottom w:val="nil"/>
              <w:right w:val="nil"/>
            </w:tcBorders>
            <w:tcMar>
              <w:top w:w="15" w:type="dxa"/>
              <w:left w:w="90" w:type="dxa"/>
              <w:bottom w:w="0" w:type="dxa"/>
              <w:right w:w="90" w:type="dxa"/>
            </w:tcMar>
            <w:hideMark/>
          </w:tcPr>
          <w:p w14:paraId="03ED04E7" w14:textId="77777777" w:rsidR="00F665AD" w:rsidRPr="001533EC" w:rsidRDefault="00F665AD" w:rsidP="00652F66">
            <w:r w:rsidRPr="001533EC">
              <w:t>124.3 ± 110.3</w:t>
            </w:r>
          </w:p>
        </w:tc>
        <w:tc>
          <w:tcPr>
            <w:tcW w:w="440" w:type="pct"/>
            <w:tcBorders>
              <w:top w:val="nil"/>
              <w:left w:val="nil"/>
              <w:bottom w:val="nil"/>
              <w:right w:val="nil"/>
            </w:tcBorders>
            <w:tcMar>
              <w:top w:w="15" w:type="dxa"/>
              <w:left w:w="90" w:type="dxa"/>
              <w:bottom w:w="0" w:type="dxa"/>
              <w:right w:w="90" w:type="dxa"/>
            </w:tcMar>
            <w:hideMark/>
          </w:tcPr>
          <w:p w14:paraId="36E1BE0D" w14:textId="77777777" w:rsidR="00F665AD" w:rsidRPr="001533EC" w:rsidRDefault="00F665AD" w:rsidP="00652F66">
            <w:r w:rsidRPr="001533EC">
              <w:t>0.402</w:t>
            </w:r>
          </w:p>
        </w:tc>
        <w:tc>
          <w:tcPr>
            <w:tcW w:w="98" w:type="pct"/>
            <w:tcBorders>
              <w:top w:val="nil"/>
              <w:left w:val="nil"/>
              <w:bottom w:val="nil"/>
              <w:right w:val="nil"/>
            </w:tcBorders>
            <w:tcMar>
              <w:top w:w="15" w:type="dxa"/>
              <w:left w:w="90" w:type="dxa"/>
              <w:bottom w:w="0" w:type="dxa"/>
              <w:right w:w="90" w:type="dxa"/>
            </w:tcMar>
            <w:hideMark/>
          </w:tcPr>
          <w:p w14:paraId="0D44D20A"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243A90E4" w14:textId="77777777" w:rsidR="00F665AD" w:rsidRPr="001533EC" w:rsidRDefault="00F665AD" w:rsidP="00652F66">
            <w:r w:rsidRPr="001533EC">
              <w:t>80.7 ± 28.5</w:t>
            </w:r>
          </w:p>
        </w:tc>
        <w:tc>
          <w:tcPr>
            <w:tcW w:w="440" w:type="pct"/>
            <w:tcBorders>
              <w:top w:val="nil"/>
              <w:left w:val="nil"/>
              <w:bottom w:val="nil"/>
              <w:right w:val="nil"/>
            </w:tcBorders>
            <w:tcMar>
              <w:top w:w="15" w:type="dxa"/>
              <w:left w:w="90" w:type="dxa"/>
              <w:bottom w:w="0" w:type="dxa"/>
              <w:right w:w="90" w:type="dxa"/>
            </w:tcMar>
            <w:hideMark/>
          </w:tcPr>
          <w:p w14:paraId="75D54AB3" w14:textId="77777777" w:rsidR="00F665AD" w:rsidRPr="001533EC" w:rsidRDefault="00F665AD" w:rsidP="00652F66">
            <w:r w:rsidRPr="001533EC">
              <w:t>149 ± 68.1</w:t>
            </w:r>
          </w:p>
        </w:tc>
        <w:tc>
          <w:tcPr>
            <w:tcW w:w="392" w:type="pct"/>
            <w:tcBorders>
              <w:top w:val="nil"/>
              <w:left w:val="nil"/>
              <w:bottom w:val="nil"/>
              <w:right w:val="nil"/>
            </w:tcBorders>
            <w:tcMar>
              <w:top w:w="15" w:type="dxa"/>
              <w:left w:w="90" w:type="dxa"/>
              <w:bottom w:w="0" w:type="dxa"/>
              <w:right w:w="90" w:type="dxa"/>
            </w:tcMar>
            <w:hideMark/>
          </w:tcPr>
          <w:p w14:paraId="129FA6FF" w14:textId="77777777" w:rsidR="00F665AD" w:rsidRPr="001533EC" w:rsidRDefault="00F665AD" w:rsidP="00652F66">
            <w:r w:rsidRPr="001533EC">
              <w:rPr>
                <w:b/>
                <w:bCs/>
              </w:rPr>
              <w:t>3.64 x 10</w:t>
            </w:r>
            <w:r w:rsidRPr="001533EC">
              <w:rPr>
                <w:b/>
                <w:bCs/>
                <w:vertAlign w:val="superscript"/>
              </w:rPr>
              <w:t>-4</w:t>
            </w:r>
            <w:r w:rsidRPr="001533EC">
              <w:rPr>
                <w:vertAlign w:val="superscript"/>
              </w:rPr>
              <w:t xml:space="preserve"> </w:t>
            </w:r>
          </w:p>
        </w:tc>
        <w:tc>
          <w:tcPr>
            <w:tcW w:w="69" w:type="pct"/>
            <w:tcBorders>
              <w:top w:val="nil"/>
              <w:left w:val="nil"/>
              <w:bottom w:val="nil"/>
              <w:right w:val="nil"/>
            </w:tcBorders>
            <w:tcMar>
              <w:top w:w="15" w:type="dxa"/>
              <w:left w:w="90" w:type="dxa"/>
              <w:bottom w:w="0" w:type="dxa"/>
              <w:right w:w="90" w:type="dxa"/>
            </w:tcMar>
            <w:hideMark/>
          </w:tcPr>
          <w:p w14:paraId="11D642C1"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63CBAFD7" w14:textId="77777777" w:rsidR="00F665AD" w:rsidRPr="001533EC" w:rsidRDefault="00F665AD" w:rsidP="00652F66">
            <w:r w:rsidRPr="001533EC">
              <w:t>137 ± 70.7</w:t>
            </w:r>
          </w:p>
        </w:tc>
        <w:tc>
          <w:tcPr>
            <w:tcW w:w="440" w:type="pct"/>
            <w:tcBorders>
              <w:top w:val="nil"/>
              <w:left w:val="nil"/>
              <w:bottom w:val="nil"/>
              <w:right w:val="nil"/>
            </w:tcBorders>
            <w:tcMar>
              <w:top w:w="15" w:type="dxa"/>
              <w:left w:w="90" w:type="dxa"/>
              <w:bottom w:w="0" w:type="dxa"/>
              <w:right w:w="90" w:type="dxa"/>
            </w:tcMar>
            <w:hideMark/>
          </w:tcPr>
          <w:p w14:paraId="1825C11F" w14:textId="77777777" w:rsidR="00F665AD" w:rsidRPr="001533EC" w:rsidRDefault="00F665AD" w:rsidP="00652F66">
            <w:r w:rsidRPr="001533EC">
              <w:t>104 ± 25.6</w:t>
            </w:r>
          </w:p>
        </w:tc>
        <w:tc>
          <w:tcPr>
            <w:tcW w:w="429" w:type="pct"/>
            <w:tcBorders>
              <w:top w:val="nil"/>
              <w:left w:val="nil"/>
              <w:bottom w:val="nil"/>
              <w:right w:val="nil"/>
            </w:tcBorders>
            <w:tcMar>
              <w:top w:w="15" w:type="dxa"/>
              <w:left w:w="90" w:type="dxa"/>
              <w:bottom w:w="0" w:type="dxa"/>
              <w:right w:w="90" w:type="dxa"/>
            </w:tcMar>
            <w:hideMark/>
          </w:tcPr>
          <w:p w14:paraId="7B6E78F5" w14:textId="77777777" w:rsidR="00F665AD" w:rsidRPr="001533EC" w:rsidRDefault="00F665AD" w:rsidP="00652F66">
            <w:r w:rsidRPr="001533EC">
              <w:t>0.257</w:t>
            </w:r>
          </w:p>
        </w:tc>
      </w:tr>
      <w:tr w:rsidR="00F665AD" w:rsidRPr="001533EC" w14:paraId="4E02F4D5" w14:textId="77777777" w:rsidTr="00652F66">
        <w:tc>
          <w:tcPr>
            <w:tcW w:w="783" w:type="pct"/>
            <w:tcBorders>
              <w:top w:val="nil"/>
              <w:left w:val="nil"/>
              <w:bottom w:val="nil"/>
              <w:right w:val="nil"/>
            </w:tcBorders>
            <w:tcMar>
              <w:top w:w="15" w:type="dxa"/>
              <w:left w:w="90" w:type="dxa"/>
              <w:bottom w:w="0" w:type="dxa"/>
              <w:right w:w="90" w:type="dxa"/>
            </w:tcMar>
            <w:hideMark/>
          </w:tcPr>
          <w:p w14:paraId="5B5250A4" w14:textId="77777777" w:rsidR="00F665AD" w:rsidRPr="001533EC" w:rsidRDefault="00F665AD" w:rsidP="00652F66">
            <w:pPr>
              <w:rPr>
                <w:szCs w:val="24"/>
              </w:rPr>
            </w:pPr>
            <w:r w:rsidRPr="001533EC">
              <w:rPr>
                <w:szCs w:val="24"/>
              </w:rPr>
              <w:t>CRP (mg/dL)</w:t>
            </w:r>
          </w:p>
        </w:tc>
        <w:tc>
          <w:tcPr>
            <w:tcW w:w="489" w:type="pct"/>
            <w:tcBorders>
              <w:top w:val="nil"/>
              <w:left w:val="nil"/>
              <w:bottom w:val="nil"/>
              <w:right w:val="nil"/>
            </w:tcBorders>
            <w:tcMar>
              <w:top w:w="15" w:type="dxa"/>
              <w:left w:w="90" w:type="dxa"/>
              <w:bottom w:w="0" w:type="dxa"/>
              <w:right w:w="90" w:type="dxa"/>
            </w:tcMar>
            <w:hideMark/>
          </w:tcPr>
          <w:p w14:paraId="7FEC88E1" w14:textId="77777777" w:rsidR="00F665AD" w:rsidRPr="001533EC" w:rsidRDefault="00F665AD" w:rsidP="00652F66">
            <w:r w:rsidRPr="001533EC">
              <w:t>0.21 ± 0.33</w:t>
            </w:r>
          </w:p>
        </w:tc>
        <w:tc>
          <w:tcPr>
            <w:tcW w:w="490" w:type="pct"/>
            <w:tcBorders>
              <w:top w:val="nil"/>
              <w:left w:val="nil"/>
              <w:bottom w:val="nil"/>
              <w:right w:val="nil"/>
            </w:tcBorders>
            <w:tcMar>
              <w:top w:w="15" w:type="dxa"/>
              <w:left w:w="90" w:type="dxa"/>
              <w:bottom w:w="0" w:type="dxa"/>
              <w:right w:w="90" w:type="dxa"/>
            </w:tcMar>
            <w:hideMark/>
          </w:tcPr>
          <w:p w14:paraId="304C0FC2" w14:textId="77777777" w:rsidR="00F665AD" w:rsidRPr="001533EC" w:rsidRDefault="00F665AD" w:rsidP="00652F66">
            <w:r w:rsidRPr="001533EC">
              <w:t>0.31 ± 0.56</w:t>
            </w:r>
          </w:p>
        </w:tc>
        <w:tc>
          <w:tcPr>
            <w:tcW w:w="440" w:type="pct"/>
            <w:tcBorders>
              <w:top w:val="nil"/>
              <w:left w:val="nil"/>
              <w:bottom w:val="nil"/>
              <w:right w:val="nil"/>
            </w:tcBorders>
            <w:tcMar>
              <w:top w:w="15" w:type="dxa"/>
              <w:left w:w="90" w:type="dxa"/>
              <w:bottom w:w="0" w:type="dxa"/>
              <w:right w:w="90" w:type="dxa"/>
            </w:tcMar>
            <w:hideMark/>
          </w:tcPr>
          <w:p w14:paraId="71054E3B" w14:textId="77777777" w:rsidR="00F665AD" w:rsidRPr="001533EC" w:rsidRDefault="00F665AD" w:rsidP="00652F66">
            <w:r w:rsidRPr="001533EC">
              <w:t>0.520</w:t>
            </w:r>
          </w:p>
        </w:tc>
        <w:tc>
          <w:tcPr>
            <w:tcW w:w="98" w:type="pct"/>
            <w:tcBorders>
              <w:top w:val="nil"/>
              <w:left w:val="nil"/>
              <w:bottom w:val="nil"/>
              <w:right w:val="nil"/>
            </w:tcBorders>
            <w:tcMar>
              <w:top w:w="15" w:type="dxa"/>
              <w:left w:w="90" w:type="dxa"/>
              <w:bottom w:w="0" w:type="dxa"/>
              <w:right w:w="90" w:type="dxa"/>
            </w:tcMar>
            <w:hideMark/>
          </w:tcPr>
          <w:p w14:paraId="73971595"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0623E18E" w14:textId="77777777" w:rsidR="00F665AD" w:rsidRPr="001533EC" w:rsidRDefault="00F665AD" w:rsidP="00652F66">
            <w:r w:rsidRPr="001533EC">
              <w:t>0.32 ± 0.34</w:t>
            </w:r>
          </w:p>
        </w:tc>
        <w:tc>
          <w:tcPr>
            <w:tcW w:w="440" w:type="pct"/>
            <w:tcBorders>
              <w:top w:val="nil"/>
              <w:left w:val="nil"/>
              <w:bottom w:val="nil"/>
              <w:right w:val="nil"/>
            </w:tcBorders>
            <w:tcMar>
              <w:top w:w="15" w:type="dxa"/>
              <w:left w:w="90" w:type="dxa"/>
              <w:bottom w:w="0" w:type="dxa"/>
              <w:right w:w="90" w:type="dxa"/>
            </w:tcMar>
            <w:hideMark/>
          </w:tcPr>
          <w:p w14:paraId="2990B1C5" w14:textId="77777777" w:rsidR="00F665AD" w:rsidRPr="001533EC" w:rsidRDefault="00F665AD" w:rsidP="00652F66">
            <w:r w:rsidRPr="001533EC">
              <w:t>0.46 ± 0.48</w:t>
            </w:r>
          </w:p>
        </w:tc>
        <w:tc>
          <w:tcPr>
            <w:tcW w:w="392" w:type="pct"/>
            <w:tcBorders>
              <w:top w:val="nil"/>
              <w:left w:val="nil"/>
              <w:bottom w:val="nil"/>
              <w:right w:val="nil"/>
            </w:tcBorders>
            <w:tcMar>
              <w:top w:w="15" w:type="dxa"/>
              <w:left w:w="90" w:type="dxa"/>
              <w:bottom w:w="0" w:type="dxa"/>
              <w:right w:w="90" w:type="dxa"/>
            </w:tcMar>
            <w:hideMark/>
          </w:tcPr>
          <w:p w14:paraId="2F009A59" w14:textId="77777777" w:rsidR="00F665AD" w:rsidRPr="001533EC" w:rsidRDefault="00F665AD" w:rsidP="00652F66">
            <w:r w:rsidRPr="001533EC">
              <w:t>0.304</w:t>
            </w:r>
          </w:p>
        </w:tc>
        <w:tc>
          <w:tcPr>
            <w:tcW w:w="69" w:type="pct"/>
            <w:tcBorders>
              <w:top w:val="nil"/>
              <w:left w:val="nil"/>
              <w:bottom w:val="nil"/>
              <w:right w:val="nil"/>
            </w:tcBorders>
            <w:tcMar>
              <w:top w:w="15" w:type="dxa"/>
              <w:left w:w="90" w:type="dxa"/>
              <w:bottom w:w="0" w:type="dxa"/>
              <w:right w:w="90" w:type="dxa"/>
            </w:tcMar>
            <w:hideMark/>
          </w:tcPr>
          <w:p w14:paraId="452E229F"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15F302E2" w14:textId="77777777" w:rsidR="00F665AD" w:rsidRPr="001533EC" w:rsidRDefault="00F665AD" w:rsidP="00652F66">
            <w:r w:rsidRPr="001533EC">
              <w:t>0.57 ± 0.56</w:t>
            </w:r>
          </w:p>
        </w:tc>
        <w:tc>
          <w:tcPr>
            <w:tcW w:w="440" w:type="pct"/>
            <w:tcBorders>
              <w:top w:val="nil"/>
              <w:left w:val="nil"/>
              <w:bottom w:val="nil"/>
              <w:right w:val="nil"/>
            </w:tcBorders>
            <w:tcMar>
              <w:top w:w="15" w:type="dxa"/>
              <w:left w:w="90" w:type="dxa"/>
              <w:bottom w:w="0" w:type="dxa"/>
              <w:right w:w="90" w:type="dxa"/>
            </w:tcMar>
            <w:hideMark/>
          </w:tcPr>
          <w:p w14:paraId="26C258C4" w14:textId="77777777" w:rsidR="00F665AD" w:rsidRPr="001533EC" w:rsidRDefault="00F665AD" w:rsidP="00652F66">
            <w:r w:rsidRPr="001533EC">
              <w:t>0.15 ± 0.13</w:t>
            </w:r>
          </w:p>
        </w:tc>
        <w:tc>
          <w:tcPr>
            <w:tcW w:w="429" w:type="pct"/>
            <w:tcBorders>
              <w:top w:val="nil"/>
              <w:left w:val="nil"/>
              <w:bottom w:val="nil"/>
              <w:right w:val="nil"/>
            </w:tcBorders>
            <w:tcMar>
              <w:top w:w="15" w:type="dxa"/>
              <w:left w:w="90" w:type="dxa"/>
              <w:bottom w:w="0" w:type="dxa"/>
              <w:right w:w="90" w:type="dxa"/>
            </w:tcMar>
            <w:hideMark/>
          </w:tcPr>
          <w:p w14:paraId="08D427AE" w14:textId="77777777" w:rsidR="00F665AD" w:rsidRPr="001533EC" w:rsidRDefault="00F665AD" w:rsidP="00652F66">
            <w:r w:rsidRPr="001533EC">
              <w:rPr>
                <w:b/>
                <w:bCs/>
              </w:rPr>
              <w:t>0.014</w:t>
            </w:r>
          </w:p>
        </w:tc>
      </w:tr>
      <w:tr w:rsidR="00F665AD" w:rsidRPr="001533EC" w14:paraId="34913BBA" w14:textId="77777777" w:rsidTr="00652F66">
        <w:tc>
          <w:tcPr>
            <w:tcW w:w="783" w:type="pct"/>
            <w:tcBorders>
              <w:top w:val="nil"/>
              <w:left w:val="nil"/>
              <w:bottom w:val="nil"/>
              <w:right w:val="nil"/>
            </w:tcBorders>
            <w:tcMar>
              <w:top w:w="15" w:type="dxa"/>
              <w:left w:w="90" w:type="dxa"/>
              <w:bottom w:w="0" w:type="dxa"/>
              <w:right w:w="90" w:type="dxa"/>
            </w:tcMar>
            <w:hideMark/>
          </w:tcPr>
          <w:p w14:paraId="6277792D" w14:textId="77777777" w:rsidR="00F665AD" w:rsidRPr="001533EC" w:rsidRDefault="00F665AD" w:rsidP="00652F66">
            <w:pPr>
              <w:rPr>
                <w:szCs w:val="24"/>
              </w:rPr>
            </w:pPr>
            <w:r w:rsidRPr="001533EC">
              <w:rPr>
                <w:szCs w:val="24"/>
              </w:rPr>
              <w:t>Fasting glucose (mg/dL)</w:t>
            </w:r>
          </w:p>
        </w:tc>
        <w:tc>
          <w:tcPr>
            <w:tcW w:w="489" w:type="pct"/>
            <w:tcBorders>
              <w:top w:val="nil"/>
              <w:left w:val="nil"/>
              <w:bottom w:val="nil"/>
              <w:right w:val="nil"/>
            </w:tcBorders>
            <w:tcMar>
              <w:top w:w="15" w:type="dxa"/>
              <w:left w:w="90" w:type="dxa"/>
              <w:bottom w:w="0" w:type="dxa"/>
              <w:right w:w="90" w:type="dxa"/>
            </w:tcMar>
            <w:hideMark/>
          </w:tcPr>
          <w:p w14:paraId="1C709F79" w14:textId="77777777" w:rsidR="00F665AD" w:rsidRPr="001533EC" w:rsidRDefault="00F665AD" w:rsidP="00652F66">
            <w:r w:rsidRPr="001533EC">
              <w:t>91.6 ± 8.5</w:t>
            </w:r>
          </w:p>
        </w:tc>
        <w:tc>
          <w:tcPr>
            <w:tcW w:w="490" w:type="pct"/>
            <w:tcBorders>
              <w:top w:val="nil"/>
              <w:left w:val="nil"/>
              <w:bottom w:val="nil"/>
              <w:right w:val="nil"/>
            </w:tcBorders>
            <w:tcMar>
              <w:top w:w="15" w:type="dxa"/>
              <w:left w:w="90" w:type="dxa"/>
              <w:bottom w:w="0" w:type="dxa"/>
              <w:right w:w="90" w:type="dxa"/>
            </w:tcMar>
            <w:hideMark/>
          </w:tcPr>
          <w:p w14:paraId="27A29C8E" w14:textId="77777777" w:rsidR="00F665AD" w:rsidRPr="001533EC" w:rsidRDefault="00F665AD" w:rsidP="00652F66">
            <w:r w:rsidRPr="001533EC">
              <w:t>89.6 ± 7.9</w:t>
            </w:r>
          </w:p>
        </w:tc>
        <w:tc>
          <w:tcPr>
            <w:tcW w:w="440" w:type="pct"/>
            <w:tcBorders>
              <w:top w:val="nil"/>
              <w:left w:val="nil"/>
              <w:bottom w:val="nil"/>
              <w:right w:val="nil"/>
            </w:tcBorders>
            <w:tcMar>
              <w:top w:w="15" w:type="dxa"/>
              <w:left w:w="90" w:type="dxa"/>
              <w:bottom w:w="0" w:type="dxa"/>
              <w:right w:w="90" w:type="dxa"/>
            </w:tcMar>
            <w:hideMark/>
          </w:tcPr>
          <w:p w14:paraId="245CC4E3" w14:textId="77777777" w:rsidR="00F665AD" w:rsidRPr="001533EC" w:rsidRDefault="00F665AD" w:rsidP="00652F66">
            <w:r w:rsidRPr="001533EC">
              <w:t>0.122</w:t>
            </w:r>
          </w:p>
        </w:tc>
        <w:tc>
          <w:tcPr>
            <w:tcW w:w="98" w:type="pct"/>
            <w:tcBorders>
              <w:top w:val="nil"/>
              <w:left w:val="nil"/>
              <w:bottom w:val="nil"/>
              <w:right w:val="nil"/>
            </w:tcBorders>
            <w:tcMar>
              <w:top w:w="15" w:type="dxa"/>
              <w:left w:w="90" w:type="dxa"/>
              <w:bottom w:w="0" w:type="dxa"/>
              <w:right w:w="90" w:type="dxa"/>
            </w:tcMar>
            <w:hideMark/>
          </w:tcPr>
          <w:p w14:paraId="15F9EF04"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305328EC" w14:textId="77777777" w:rsidR="00F665AD" w:rsidRPr="001533EC" w:rsidRDefault="00F665AD" w:rsidP="00652F66">
            <w:r w:rsidRPr="001533EC">
              <w:t>95.5 ± 10</w:t>
            </w:r>
          </w:p>
        </w:tc>
        <w:tc>
          <w:tcPr>
            <w:tcW w:w="440" w:type="pct"/>
            <w:tcBorders>
              <w:top w:val="nil"/>
              <w:left w:val="nil"/>
              <w:bottom w:val="nil"/>
              <w:right w:val="nil"/>
            </w:tcBorders>
            <w:tcMar>
              <w:top w:w="15" w:type="dxa"/>
              <w:left w:w="90" w:type="dxa"/>
              <w:bottom w:w="0" w:type="dxa"/>
              <w:right w:w="90" w:type="dxa"/>
            </w:tcMar>
            <w:hideMark/>
          </w:tcPr>
          <w:p w14:paraId="0155AF9E" w14:textId="77777777" w:rsidR="00F665AD" w:rsidRPr="001533EC" w:rsidRDefault="00F665AD" w:rsidP="00652F66">
            <w:r w:rsidRPr="001533EC">
              <w:t>111 ± 10.9</w:t>
            </w:r>
          </w:p>
        </w:tc>
        <w:tc>
          <w:tcPr>
            <w:tcW w:w="392" w:type="pct"/>
            <w:tcBorders>
              <w:top w:val="nil"/>
              <w:left w:val="nil"/>
              <w:bottom w:val="nil"/>
              <w:right w:val="nil"/>
            </w:tcBorders>
            <w:tcMar>
              <w:top w:w="15" w:type="dxa"/>
              <w:left w:w="90" w:type="dxa"/>
              <w:bottom w:w="0" w:type="dxa"/>
              <w:right w:w="90" w:type="dxa"/>
            </w:tcMar>
            <w:hideMark/>
          </w:tcPr>
          <w:p w14:paraId="4F3EF79F" w14:textId="77777777" w:rsidR="00F665AD" w:rsidRPr="001533EC" w:rsidRDefault="00F665AD" w:rsidP="00652F66">
            <w:r w:rsidRPr="001533EC">
              <w:rPr>
                <w:b/>
                <w:bCs/>
              </w:rPr>
              <w:t>6.45 x 10</w:t>
            </w:r>
            <w:r w:rsidRPr="001533EC">
              <w:rPr>
                <w:b/>
                <w:bCs/>
                <w:vertAlign w:val="superscript"/>
              </w:rPr>
              <w:t>-4</w:t>
            </w:r>
          </w:p>
        </w:tc>
        <w:tc>
          <w:tcPr>
            <w:tcW w:w="69" w:type="pct"/>
            <w:tcBorders>
              <w:top w:val="nil"/>
              <w:left w:val="nil"/>
              <w:bottom w:val="nil"/>
              <w:right w:val="nil"/>
            </w:tcBorders>
            <w:tcMar>
              <w:top w:w="15" w:type="dxa"/>
              <w:left w:w="90" w:type="dxa"/>
              <w:bottom w:w="0" w:type="dxa"/>
              <w:right w:w="90" w:type="dxa"/>
            </w:tcMar>
            <w:hideMark/>
          </w:tcPr>
          <w:p w14:paraId="3DAE6395"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662F21BE" w14:textId="77777777" w:rsidR="00F665AD" w:rsidRPr="001533EC" w:rsidRDefault="00F665AD" w:rsidP="00652F66">
            <w:r w:rsidRPr="001533EC">
              <w:t>98.1 ± 10.9</w:t>
            </w:r>
          </w:p>
        </w:tc>
        <w:tc>
          <w:tcPr>
            <w:tcW w:w="440" w:type="pct"/>
            <w:tcBorders>
              <w:top w:val="nil"/>
              <w:left w:val="nil"/>
              <w:bottom w:val="nil"/>
              <w:right w:val="nil"/>
            </w:tcBorders>
            <w:tcMar>
              <w:top w:w="15" w:type="dxa"/>
              <w:left w:w="90" w:type="dxa"/>
              <w:bottom w:w="0" w:type="dxa"/>
              <w:right w:w="90" w:type="dxa"/>
            </w:tcMar>
            <w:hideMark/>
          </w:tcPr>
          <w:p w14:paraId="392E7554" w14:textId="77777777" w:rsidR="00F665AD" w:rsidRPr="001533EC" w:rsidRDefault="00F665AD" w:rsidP="00652F66">
            <w:r w:rsidRPr="001533EC">
              <w:t>99.3 ± 6.5</w:t>
            </w:r>
          </w:p>
        </w:tc>
        <w:tc>
          <w:tcPr>
            <w:tcW w:w="429" w:type="pct"/>
            <w:tcBorders>
              <w:top w:val="nil"/>
              <w:left w:val="nil"/>
              <w:bottom w:val="nil"/>
              <w:right w:val="nil"/>
            </w:tcBorders>
            <w:tcMar>
              <w:top w:w="15" w:type="dxa"/>
              <w:left w:w="90" w:type="dxa"/>
              <w:bottom w:w="0" w:type="dxa"/>
              <w:right w:w="90" w:type="dxa"/>
            </w:tcMar>
            <w:hideMark/>
          </w:tcPr>
          <w:p w14:paraId="4657E24B" w14:textId="77777777" w:rsidR="00F665AD" w:rsidRPr="001533EC" w:rsidRDefault="00F665AD" w:rsidP="00652F66">
            <w:r w:rsidRPr="001533EC">
              <w:t>0.756</w:t>
            </w:r>
          </w:p>
        </w:tc>
      </w:tr>
      <w:tr w:rsidR="00F665AD" w:rsidRPr="001533EC" w14:paraId="4BAF1544" w14:textId="77777777" w:rsidTr="00652F66">
        <w:tc>
          <w:tcPr>
            <w:tcW w:w="783" w:type="pct"/>
            <w:tcBorders>
              <w:top w:val="nil"/>
              <w:left w:val="nil"/>
              <w:bottom w:val="nil"/>
              <w:right w:val="nil"/>
            </w:tcBorders>
            <w:tcMar>
              <w:top w:w="15" w:type="dxa"/>
              <w:left w:w="90" w:type="dxa"/>
              <w:bottom w:w="0" w:type="dxa"/>
              <w:right w:w="90" w:type="dxa"/>
            </w:tcMar>
            <w:hideMark/>
          </w:tcPr>
          <w:p w14:paraId="42AD184D" w14:textId="77777777" w:rsidR="00F665AD" w:rsidRPr="001533EC" w:rsidRDefault="00F665AD" w:rsidP="00652F66">
            <w:pPr>
              <w:rPr>
                <w:szCs w:val="24"/>
              </w:rPr>
            </w:pPr>
            <w:r w:rsidRPr="001533EC">
              <w:rPr>
                <w:szCs w:val="24"/>
              </w:rPr>
              <w:t>ISI-Matsuda index</w:t>
            </w:r>
          </w:p>
        </w:tc>
        <w:tc>
          <w:tcPr>
            <w:tcW w:w="489" w:type="pct"/>
            <w:tcBorders>
              <w:top w:val="nil"/>
              <w:left w:val="nil"/>
              <w:bottom w:val="nil"/>
              <w:right w:val="nil"/>
            </w:tcBorders>
            <w:tcMar>
              <w:top w:w="15" w:type="dxa"/>
              <w:left w:w="90" w:type="dxa"/>
              <w:bottom w:w="0" w:type="dxa"/>
              <w:right w:w="90" w:type="dxa"/>
            </w:tcMar>
            <w:hideMark/>
          </w:tcPr>
          <w:p w14:paraId="058A11A0" w14:textId="77777777" w:rsidR="00F665AD" w:rsidRPr="001533EC" w:rsidRDefault="00F665AD" w:rsidP="00652F66">
            <w:r w:rsidRPr="001533EC">
              <w:t>14.7 ± 8.8</w:t>
            </w:r>
          </w:p>
        </w:tc>
        <w:tc>
          <w:tcPr>
            <w:tcW w:w="490" w:type="pct"/>
            <w:tcBorders>
              <w:top w:val="nil"/>
              <w:left w:val="nil"/>
              <w:bottom w:val="nil"/>
              <w:right w:val="nil"/>
            </w:tcBorders>
            <w:tcMar>
              <w:top w:w="15" w:type="dxa"/>
              <w:left w:w="90" w:type="dxa"/>
              <w:bottom w:w="0" w:type="dxa"/>
              <w:right w:w="90" w:type="dxa"/>
            </w:tcMar>
            <w:hideMark/>
          </w:tcPr>
          <w:p w14:paraId="1CD2DDD3" w14:textId="77777777" w:rsidR="00F665AD" w:rsidRPr="001533EC" w:rsidRDefault="00F665AD" w:rsidP="00652F66">
            <w:r w:rsidRPr="001533EC">
              <w:t>14.0 ± 9.1</w:t>
            </w:r>
          </w:p>
        </w:tc>
        <w:tc>
          <w:tcPr>
            <w:tcW w:w="440" w:type="pct"/>
            <w:tcBorders>
              <w:top w:val="nil"/>
              <w:left w:val="nil"/>
              <w:bottom w:val="nil"/>
              <w:right w:val="nil"/>
            </w:tcBorders>
            <w:tcMar>
              <w:top w:w="15" w:type="dxa"/>
              <w:left w:w="90" w:type="dxa"/>
              <w:bottom w:w="0" w:type="dxa"/>
              <w:right w:w="90" w:type="dxa"/>
            </w:tcMar>
            <w:hideMark/>
          </w:tcPr>
          <w:p w14:paraId="6094B20E" w14:textId="77777777" w:rsidR="00F665AD" w:rsidRPr="001533EC" w:rsidRDefault="00F665AD" w:rsidP="00652F66">
            <w:r w:rsidRPr="001533EC">
              <w:t>0.480</w:t>
            </w:r>
          </w:p>
        </w:tc>
        <w:tc>
          <w:tcPr>
            <w:tcW w:w="98" w:type="pct"/>
            <w:tcBorders>
              <w:top w:val="nil"/>
              <w:left w:val="nil"/>
              <w:bottom w:val="nil"/>
              <w:right w:val="nil"/>
            </w:tcBorders>
            <w:tcMar>
              <w:top w:w="15" w:type="dxa"/>
              <w:left w:w="90" w:type="dxa"/>
              <w:bottom w:w="0" w:type="dxa"/>
              <w:right w:w="90" w:type="dxa"/>
            </w:tcMar>
            <w:hideMark/>
          </w:tcPr>
          <w:p w14:paraId="437FAB16" w14:textId="77777777" w:rsidR="00F665AD" w:rsidRPr="001533EC" w:rsidRDefault="00F665AD" w:rsidP="00652F66"/>
        </w:tc>
        <w:tc>
          <w:tcPr>
            <w:tcW w:w="489" w:type="pct"/>
            <w:tcBorders>
              <w:top w:val="nil"/>
              <w:left w:val="nil"/>
              <w:bottom w:val="nil"/>
              <w:right w:val="nil"/>
            </w:tcBorders>
            <w:tcMar>
              <w:top w:w="15" w:type="dxa"/>
              <w:left w:w="90" w:type="dxa"/>
              <w:bottom w:w="0" w:type="dxa"/>
              <w:right w:w="90" w:type="dxa"/>
            </w:tcMar>
            <w:hideMark/>
          </w:tcPr>
          <w:p w14:paraId="13D34954" w14:textId="77777777" w:rsidR="00F665AD" w:rsidRPr="001533EC" w:rsidRDefault="00F665AD" w:rsidP="00652F66">
            <w:r w:rsidRPr="001533EC">
              <w:t>11.8 ± 11.1</w:t>
            </w:r>
          </w:p>
        </w:tc>
        <w:tc>
          <w:tcPr>
            <w:tcW w:w="440" w:type="pct"/>
            <w:tcBorders>
              <w:top w:val="nil"/>
              <w:left w:val="nil"/>
              <w:bottom w:val="nil"/>
              <w:right w:val="nil"/>
            </w:tcBorders>
            <w:tcMar>
              <w:top w:w="15" w:type="dxa"/>
              <w:left w:w="90" w:type="dxa"/>
              <w:bottom w:w="0" w:type="dxa"/>
              <w:right w:w="90" w:type="dxa"/>
            </w:tcMar>
            <w:hideMark/>
          </w:tcPr>
          <w:p w14:paraId="2BB0E94B" w14:textId="77777777" w:rsidR="00F665AD" w:rsidRPr="001533EC" w:rsidRDefault="00F665AD" w:rsidP="00652F66">
            <w:r w:rsidRPr="001533EC">
              <w:t>6.05 ± 2.97</w:t>
            </w:r>
          </w:p>
        </w:tc>
        <w:tc>
          <w:tcPr>
            <w:tcW w:w="392" w:type="pct"/>
            <w:tcBorders>
              <w:top w:val="nil"/>
              <w:left w:val="nil"/>
              <w:bottom w:val="nil"/>
              <w:right w:val="nil"/>
            </w:tcBorders>
            <w:tcMar>
              <w:top w:w="15" w:type="dxa"/>
              <w:left w:w="90" w:type="dxa"/>
              <w:bottom w:w="0" w:type="dxa"/>
              <w:right w:w="90" w:type="dxa"/>
            </w:tcMar>
            <w:hideMark/>
          </w:tcPr>
          <w:p w14:paraId="3CF2AA8D" w14:textId="77777777" w:rsidR="00F665AD" w:rsidRPr="001533EC" w:rsidRDefault="00F665AD" w:rsidP="00652F66">
            <w:r w:rsidRPr="001533EC">
              <w:t xml:space="preserve">0.078 </w:t>
            </w:r>
          </w:p>
        </w:tc>
        <w:tc>
          <w:tcPr>
            <w:tcW w:w="69" w:type="pct"/>
            <w:tcBorders>
              <w:top w:val="nil"/>
              <w:left w:val="nil"/>
              <w:bottom w:val="nil"/>
              <w:right w:val="nil"/>
            </w:tcBorders>
            <w:tcMar>
              <w:top w:w="15" w:type="dxa"/>
              <w:left w:w="90" w:type="dxa"/>
              <w:bottom w:w="0" w:type="dxa"/>
              <w:right w:w="90" w:type="dxa"/>
            </w:tcMar>
            <w:hideMark/>
          </w:tcPr>
          <w:p w14:paraId="4485C7ED" w14:textId="77777777" w:rsidR="00F665AD" w:rsidRPr="001533EC" w:rsidRDefault="00F665AD" w:rsidP="00652F66"/>
        </w:tc>
        <w:tc>
          <w:tcPr>
            <w:tcW w:w="441" w:type="pct"/>
            <w:tcBorders>
              <w:top w:val="nil"/>
              <w:left w:val="nil"/>
              <w:bottom w:val="nil"/>
              <w:right w:val="nil"/>
            </w:tcBorders>
            <w:tcMar>
              <w:top w:w="15" w:type="dxa"/>
              <w:left w:w="90" w:type="dxa"/>
              <w:bottom w:w="0" w:type="dxa"/>
              <w:right w:w="90" w:type="dxa"/>
            </w:tcMar>
            <w:hideMark/>
          </w:tcPr>
          <w:p w14:paraId="5B53ADBB" w14:textId="77777777" w:rsidR="00F665AD" w:rsidRPr="001533EC" w:rsidRDefault="00F665AD" w:rsidP="00652F66">
            <w:r w:rsidRPr="001533EC">
              <w:t>6.51 ± 4.1</w:t>
            </w:r>
          </w:p>
        </w:tc>
        <w:tc>
          <w:tcPr>
            <w:tcW w:w="440" w:type="pct"/>
            <w:tcBorders>
              <w:top w:val="nil"/>
              <w:left w:val="nil"/>
              <w:bottom w:val="nil"/>
              <w:right w:val="nil"/>
            </w:tcBorders>
            <w:tcMar>
              <w:top w:w="15" w:type="dxa"/>
              <w:left w:w="90" w:type="dxa"/>
              <w:bottom w:w="0" w:type="dxa"/>
              <w:right w:w="90" w:type="dxa"/>
            </w:tcMar>
            <w:hideMark/>
          </w:tcPr>
          <w:p w14:paraId="343CC895" w14:textId="77777777" w:rsidR="00F665AD" w:rsidRPr="001533EC" w:rsidRDefault="00F665AD" w:rsidP="00652F66">
            <w:r w:rsidRPr="001533EC">
              <w:t>8.25 ± 3.34</w:t>
            </w:r>
          </w:p>
        </w:tc>
        <w:tc>
          <w:tcPr>
            <w:tcW w:w="429" w:type="pct"/>
            <w:tcBorders>
              <w:top w:val="nil"/>
              <w:left w:val="nil"/>
              <w:bottom w:val="nil"/>
              <w:right w:val="nil"/>
            </w:tcBorders>
            <w:tcMar>
              <w:top w:w="15" w:type="dxa"/>
              <w:left w:w="90" w:type="dxa"/>
              <w:bottom w:w="0" w:type="dxa"/>
              <w:right w:w="90" w:type="dxa"/>
            </w:tcMar>
            <w:hideMark/>
          </w:tcPr>
          <w:p w14:paraId="1AE7DA51" w14:textId="77777777" w:rsidR="00F665AD" w:rsidRPr="001533EC" w:rsidRDefault="00F665AD" w:rsidP="00652F66">
            <w:r w:rsidRPr="001533EC">
              <w:t>0.190</w:t>
            </w:r>
          </w:p>
        </w:tc>
      </w:tr>
      <w:tr w:rsidR="00F665AD" w:rsidRPr="001533EC" w14:paraId="6F58E4B5" w14:textId="77777777" w:rsidTr="00652F66">
        <w:trPr>
          <w:trHeight w:val="105"/>
        </w:trPr>
        <w:tc>
          <w:tcPr>
            <w:tcW w:w="783" w:type="pct"/>
            <w:tcBorders>
              <w:top w:val="nil"/>
              <w:left w:val="nil"/>
              <w:bottom w:val="single" w:sz="4" w:space="0" w:color="auto"/>
              <w:right w:val="nil"/>
            </w:tcBorders>
            <w:tcMar>
              <w:top w:w="15" w:type="dxa"/>
              <w:left w:w="90" w:type="dxa"/>
              <w:bottom w:w="0" w:type="dxa"/>
              <w:right w:w="90" w:type="dxa"/>
            </w:tcMar>
            <w:hideMark/>
          </w:tcPr>
          <w:p w14:paraId="16CFA241" w14:textId="77777777" w:rsidR="00F665AD" w:rsidRPr="001533EC" w:rsidRDefault="00F665AD" w:rsidP="00652F66">
            <w:pPr>
              <w:rPr>
                <w:szCs w:val="24"/>
              </w:rPr>
            </w:pPr>
            <w:proofErr w:type="spellStart"/>
            <w:r w:rsidRPr="001533EC">
              <w:rPr>
                <w:szCs w:val="24"/>
              </w:rPr>
              <w:t>ΔCBF</w:t>
            </w:r>
            <w:r w:rsidRPr="001533EC">
              <w:rPr>
                <w:szCs w:val="24"/>
                <w:vertAlign w:val="subscript"/>
              </w:rPr>
              <w:t>n</w:t>
            </w:r>
            <w:proofErr w:type="spellEnd"/>
            <w:r w:rsidRPr="001533EC">
              <w:rPr>
                <w:szCs w:val="24"/>
              </w:rPr>
              <w:t>-Hypothalamus</w:t>
            </w:r>
          </w:p>
        </w:tc>
        <w:tc>
          <w:tcPr>
            <w:tcW w:w="489" w:type="pct"/>
            <w:tcBorders>
              <w:top w:val="nil"/>
              <w:left w:val="nil"/>
              <w:bottom w:val="single" w:sz="4" w:space="0" w:color="auto"/>
              <w:right w:val="nil"/>
            </w:tcBorders>
            <w:tcMar>
              <w:top w:w="15" w:type="dxa"/>
              <w:left w:w="90" w:type="dxa"/>
              <w:bottom w:w="0" w:type="dxa"/>
              <w:right w:w="90" w:type="dxa"/>
            </w:tcMar>
            <w:hideMark/>
          </w:tcPr>
          <w:p w14:paraId="36905535" w14:textId="77777777" w:rsidR="00F665AD" w:rsidRPr="001533EC" w:rsidRDefault="00F665AD" w:rsidP="00652F66">
            <w:r w:rsidRPr="001533EC">
              <w:t>-0.15 ± 0.12</w:t>
            </w:r>
          </w:p>
        </w:tc>
        <w:tc>
          <w:tcPr>
            <w:tcW w:w="490" w:type="pct"/>
            <w:tcBorders>
              <w:top w:val="nil"/>
              <w:left w:val="nil"/>
              <w:bottom w:val="single" w:sz="4" w:space="0" w:color="auto"/>
              <w:right w:val="nil"/>
            </w:tcBorders>
            <w:tcMar>
              <w:top w:w="15" w:type="dxa"/>
              <w:left w:w="90" w:type="dxa"/>
              <w:bottom w:w="0" w:type="dxa"/>
              <w:right w:w="90" w:type="dxa"/>
            </w:tcMar>
            <w:hideMark/>
          </w:tcPr>
          <w:p w14:paraId="5A219191" w14:textId="77777777" w:rsidR="00F665AD" w:rsidRPr="001533EC" w:rsidRDefault="00F665AD" w:rsidP="00652F66">
            <w:r w:rsidRPr="001533EC">
              <w:t>0.12 ± 0.09</w:t>
            </w:r>
          </w:p>
        </w:tc>
        <w:tc>
          <w:tcPr>
            <w:tcW w:w="440" w:type="pct"/>
            <w:tcBorders>
              <w:top w:val="nil"/>
              <w:left w:val="nil"/>
              <w:bottom w:val="single" w:sz="4" w:space="0" w:color="auto"/>
              <w:right w:val="nil"/>
            </w:tcBorders>
            <w:tcMar>
              <w:top w:w="15" w:type="dxa"/>
              <w:left w:w="90" w:type="dxa"/>
              <w:bottom w:w="0" w:type="dxa"/>
              <w:right w:w="90" w:type="dxa"/>
            </w:tcMar>
            <w:hideMark/>
          </w:tcPr>
          <w:p w14:paraId="54DA542C" w14:textId="77777777" w:rsidR="00F665AD" w:rsidRPr="001533EC" w:rsidRDefault="00F665AD" w:rsidP="00652F66">
            <w:r w:rsidRPr="001533EC">
              <w:rPr>
                <w:b/>
                <w:bCs/>
              </w:rPr>
              <w:t>7.04 x 10</w:t>
            </w:r>
            <w:r w:rsidRPr="001533EC">
              <w:rPr>
                <w:b/>
                <w:bCs/>
                <w:vertAlign w:val="superscript"/>
              </w:rPr>
              <w:t>-29</w:t>
            </w:r>
          </w:p>
        </w:tc>
        <w:tc>
          <w:tcPr>
            <w:tcW w:w="98" w:type="pct"/>
            <w:tcBorders>
              <w:top w:val="nil"/>
              <w:left w:val="nil"/>
              <w:bottom w:val="single" w:sz="4" w:space="0" w:color="auto"/>
              <w:right w:val="nil"/>
            </w:tcBorders>
            <w:tcMar>
              <w:top w:w="15" w:type="dxa"/>
              <w:left w:w="90" w:type="dxa"/>
              <w:bottom w:w="0" w:type="dxa"/>
              <w:right w:w="90" w:type="dxa"/>
            </w:tcMar>
            <w:hideMark/>
          </w:tcPr>
          <w:p w14:paraId="56DBF66C" w14:textId="77777777" w:rsidR="00F665AD" w:rsidRPr="001533EC" w:rsidRDefault="00F665AD" w:rsidP="00652F66"/>
        </w:tc>
        <w:tc>
          <w:tcPr>
            <w:tcW w:w="489" w:type="pct"/>
            <w:tcBorders>
              <w:top w:val="nil"/>
              <w:left w:val="nil"/>
              <w:bottom w:val="single" w:sz="4" w:space="0" w:color="auto"/>
              <w:right w:val="nil"/>
            </w:tcBorders>
            <w:tcMar>
              <w:top w:w="15" w:type="dxa"/>
              <w:left w:w="90" w:type="dxa"/>
              <w:bottom w:w="0" w:type="dxa"/>
              <w:right w:w="90" w:type="dxa"/>
            </w:tcMar>
            <w:hideMark/>
          </w:tcPr>
          <w:p w14:paraId="4F89704A" w14:textId="77777777" w:rsidR="00F665AD" w:rsidRPr="001533EC" w:rsidRDefault="00F665AD" w:rsidP="00652F66">
            <w:r w:rsidRPr="001533EC">
              <w:t>-0.17 ± 0.13</w:t>
            </w:r>
          </w:p>
        </w:tc>
        <w:tc>
          <w:tcPr>
            <w:tcW w:w="440" w:type="pct"/>
            <w:tcBorders>
              <w:top w:val="nil"/>
              <w:left w:val="nil"/>
              <w:bottom w:val="single" w:sz="4" w:space="0" w:color="auto"/>
              <w:right w:val="nil"/>
            </w:tcBorders>
            <w:tcMar>
              <w:top w:w="15" w:type="dxa"/>
              <w:left w:w="90" w:type="dxa"/>
              <w:bottom w:w="0" w:type="dxa"/>
              <w:right w:w="90" w:type="dxa"/>
            </w:tcMar>
            <w:hideMark/>
          </w:tcPr>
          <w:p w14:paraId="66A5A5AA" w14:textId="77777777" w:rsidR="00F665AD" w:rsidRPr="001533EC" w:rsidRDefault="00F665AD" w:rsidP="00652F66">
            <w:r w:rsidRPr="001533EC">
              <w:t>0.15 ± 0.15</w:t>
            </w:r>
          </w:p>
        </w:tc>
        <w:tc>
          <w:tcPr>
            <w:tcW w:w="392" w:type="pct"/>
            <w:tcBorders>
              <w:top w:val="nil"/>
              <w:left w:val="nil"/>
              <w:bottom w:val="single" w:sz="4" w:space="0" w:color="auto"/>
              <w:right w:val="nil"/>
            </w:tcBorders>
            <w:tcMar>
              <w:top w:w="15" w:type="dxa"/>
              <w:left w:w="90" w:type="dxa"/>
              <w:bottom w:w="0" w:type="dxa"/>
              <w:right w:w="90" w:type="dxa"/>
            </w:tcMar>
            <w:hideMark/>
          </w:tcPr>
          <w:p w14:paraId="7BD16257" w14:textId="77777777" w:rsidR="00F665AD" w:rsidRPr="001533EC" w:rsidRDefault="00F665AD" w:rsidP="00652F66">
            <w:r w:rsidRPr="001533EC">
              <w:rPr>
                <w:b/>
                <w:bCs/>
              </w:rPr>
              <w:t>7.28 x 10</w:t>
            </w:r>
            <w:r w:rsidRPr="001533EC">
              <w:rPr>
                <w:b/>
                <w:bCs/>
                <w:vertAlign w:val="superscript"/>
              </w:rPr>
              <w:t>-6</w:t>
            </w:r>
          </w:p>
        </w:tc>
        <w:tc>
          <w:tcPr>
            <w:tcW w:w="69" w:type="pct"/>
            <w:tcBorders>
              <w:top w:val="nil"/>
              <w:left w:val="nil"/>
              <w:bottom w:val="single" w:sz="4" w:space="0" w:color="auto"/>
              <w:right w:val="nil"/>
            </w:tcBorders>
            <w:tcMar>
              <w:top w:w="15" w:type="dxa"/>
              <w:left w:w="90" w:type="dxa"/>
              <w:bottom w:w="0" w:type="dxa"/>
              <w:right w:w="90" w:type="dxa"/>
            </w:tcMar>
            <w:hideMark/>
          </w:tcPr>
          <w:p w14:paraId="2AB69FEA" w14:textId="77777777" w:rsidR="00F665AD" w:rsidRPr="001533EC" w:rsidRDefault="00F665AD" w:rsidP="00652F66"/>
        </w:tc>
        <w:tc>
          <w:tcPr>
            <w:tcW w:w="441" w:type="pct"/>
            <w:tcBorders>
              <w:top w:val="nil"/>
              <w:left w:val="nil"/>
              <w:bottom w:val="single" w:sz="4" w:space="0" w:color="auto"/>
              <w:right w:val="nil"/>
            </w:tcBorders>
            <w:tcMar>
              <w:top w:w="15" w:type="dxa"/>
              <w:left w:w="90" w:type="dxa"/>
              <w:bottom w:w="0" w:type="dxa"/>
              <w:right w:w="90" w:type="dxa"/>
            </w:tcMar>
            <w:hideMark/>
          </w:tcPr>
          <w:p w14:paraId="3B2194AC" w14:textId="77777777" w:rsidR="00F665AD" w:rsidRPr="001533EC" w:rsidRDefault="00F665AD" w:rsidP="00652F66">
            <w:r w:rsidRPr="001533EC">
              <w:t>-0.13 ± 0.10</w:t>
            </w:r>
          </w:p>
        </w:tc>
        <w:tc>
          <w:tcPr>
            <w:tcW w:w="440" w:type="pct"/>
            <w:tcBorders>
              <w:top w:val="nil"/>
              <w:left w:val="nil"/>
              <w:bottom w:val="single" w:sz="4" w:space="0" w:color="auto"/>
              <w:right w:val="nil"/>
            </w:tcBorders>
            <w:tcMar>
              <w:top w:w="15" w:type="dxa"/>
              <w:left w:w="90" w:type="dxa"/>
              <w:bottom w:w="0" w:type="dxa"/>
              <w:right w:w="90" w:type="dxa"/>
            </w:tcMar>
            <w:hideMark/>
          </w:tcPr>
          <w:p w14:paraId="12515AF6" w14:textId="77777777" w:rsidR="00F665AD" w:rsidRPr="001533EC" w:rsidRDefault="00F665AD" w:rsidP="00652F66">
            <w:r w:rsidRPr="001533EC">
              <w:t>0.14 ± 0.15</w:t>
            </w:r>
          </w:p>
        </w:tc>
        <w:tc>
          <w:tcPr>
            <w:tcW w:w="429" w:type="pct"/>
            <w:tcBorders>
              <w:top w:val="nil"/>
              <w:left w:val="nil"/>
              <w:bottom w:val="single" w:sz="4" w:space="0" w:color="auto"/>
              <w:right w:val="nil"/>
            </w:tcBorders>
            <w:tcMar>
              <w:top w:w="15" w:type="dxa"/>
              <w:left w:w="90" w:type="dxa"/>
              <w:bottom w:w="0" w:type="dxa"/>
              <w:right w:w="90" w:type="dxa"/>
            </w:tcMar>
            <w:hideMark/>
          </w:tcPr>
          <w:p w14:paraId="561B45FD" w14:textId="77777777" w:rsidR="00F665AD" w:rsidRPr="001533EC" w:rsidRDefault="00F665AD" w:rsidP="00652F66">
            <w:r w:rsidRPr="001533EC">
              <w:rPr>
                <w:b/>
                <w:bCs/>
              </w:rPr>
              <w:t>6.47 x 10</w:t>
            </w:r>
            <w:r w:rsidRPr="001533EC">
              <w:rPr>
                <w:b/>
                <w:bCs/>
                <w:vertAlign w:val="superscript"/>
              </w:rPr>
              <w:t>-5</w:t>
            </w:r>
          </w:p>
        </w:tc>
      </w:tr>
    </w:tbl>
    <w:p w14:paraId="404ADFE0" w14:textId="00DFBC26" w:rsidR="00F665AD" w:rsidRPr="001533EC" w:rsidRDefault="00F665AD" w:rsidP="00F665AD">
      <w:pPr>
        <w:jc w:val="both"/>
        <w:rPr>
          <w:szCs w:val="24"/>
        </w:rPr>
        <w:sectPr w:rsidR="00F665AD" w:rsidRPr="001533EC" w:rsidSect="00810F71">
          <w:pgSz w:w="11906" w:h="16838"/>
          <w:pgMar w:top="1418" w:right="1418" w:bottom="1134" w:left="1418" w:header="720" w:footer="720" w:gutter="0"/>
          <w:lnNumType w:countBy="1" w:restart="continuous"/>
          <w:cols w:space="720"/>
          <w:docGrid w:linePitch="360"/>
        </w:sectPr>
      </w:pPr>
      <w:r w:rsidRPr="001533EC">
        <w:rPr>
          <w:szCs w:val="24"/>
        </w:rPr>
        <w:t xml:space="preserve">Data is shown as mean ± SD. The two-sample Wilcoxon rank test or Unpaired t-test was used based on the data normality tested by Shapiro Wilk normality test and variance with F test. For the categorical data Chi-square test was used and for the analyses, </w:t>
      </w:r>
      <w:r w:rsidR="002D524F">
        <w:rPr>
          <w:szCs w:val="24"/>
        </w:rPr>
        <w:t>P</w:t>
      </w:r>
      <w:r w:rsidR="002D524F" w:rsidRPr="001533EC">
        <w:rPr>
          <w:szCs w:val="24"/>
        </w:rPr>
        <w:t xml:space="preserve"> </w:t>
      </w:r>
      <w:r w:rsidRPr="001533EC">
        <w:rPr>
          <w:szCs w:val="24"/>
        </w:rPr>
        <w:t xml:space="preserve">&lt; 0.05 was considered significant and all significant values are highlighted in bold. The n in the column with the </w:t>
      </w:r>
      <w:r w:rsidR="002D524F">
        <w:rPr>
          <w:szCs w:val="24"/>
        </w:rPr>
        <w:t>P</w:t>
      </w:r>
      <w:r w:rsidR="002D524F" w:rsidRPr="001533EC">
        <w:rPr>
          <w:szCs w:val="24"/>
        </w:rPr>
        <w:t xml:space="preserve"> </w:t>
      </w:r>
      <w:r w:rsidRPr="001533EC">
        <w:rPr>
          <w:szCs w:val="24"/>
        </w:rPr>
        <w:t xml:space="preserve">(p-value) represents the total number of individuals included for the comparison. Abbreviations: BIS: brain insulin sensitive; BIR: brain insulin resistant; N/n: number of individuals; </w:t>
      </w:r>
      <w:r w:rsidR="002D524F">
        <w:rPr>
          <w:szCs w:val="24"/>
        </w:rPr>
        <w:t>P</w:t>
      </w:r>
      <w:r w:rsidRPr="001533EC">
        <w:rPr>
          <w:szCs w:val="24"/>
        </w:rPr>
        <w:t>: p-value; BMI: body mass index; HDL: high-density lipoprotein; LDL: low-density lipoprotein; CRP: C-reactive peptide; ISI: insulin sensitivity index; CBF: cerebral blood flow.</w:t>
      </w:r>
    </w:p>
    <w:tbl>
      <w:tblPr>
        <w:tblpPr w:leftFromText="141" w:rightFromText="141" w:vertAnchor="page" w:horzAnchor="page" w:tblpX="730" w:tblpY="2028"/>
        <w:tblW w:w="8958" w:type="dxa"/>
        <w:tblCellMar>
          <w:left w:w="0" w:type="dxa"/>
          <w:right w:w="0" w:type="dxa"/>
        </w:tblCellMar>
        <w:tblLook w:val="04A0" w:firstRow="1" w:lastRow="0" w:firstColumn="1" w:lastColumn="0" w:noHBand="0" w:noVBand="1"/>
      </w:tblPr>
      <w:tblGrid>
        <w:gridCol w:w="1493"/>
        <w:gridCol w:w="1493"/>
        <w:gridCol w:w="1493"/>
        <w:gridCol w:w="1493"/>
        <w:gridCol w:w="1493"/>
        <w:gridCol w:w="1493"/>
      </w:tblGrid>
      <w:tr w:rsidR="00F665AD" w:rsidRPr="001533EC" w14:paraId="1DFB80B4" w14:textId="77777777" w:rsidTr="00652F66">
        <w:trPr>
          <w:trHeight w:val="300"/>
        </w:trPr>
        <w:tc>
          <w:tcPr>
            <w:tcW w:w="1493" w:type="dxa"/>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137B726A" w14:textId="77777777" w:rsidR="00F665AD" w:rsidRPr="001533EC" w:rsidRDefault="00F665AD" w:rsidP="00652F66">
            <w:pPr>
              <w:spacing w:line="360" w:lineRule="auto"/>
              <w:jc w:val="center"/>
              <w:rPr>
                <w:rFonts w:ascii="Arial" w:eastAsia="Times New Roman" w:hAnsi="Arial" w:cs="Arial"/>
                <w:sz w:val="36"/>
                <w:szCs w:val="36"/>
                <w:lang w:eastAsia="de-DE"/>
              </w:rPr>
            </w:pPr>
            <w:r w:rsidRPr="001533EC">
              <w:rPr>
                <w:rFonts w:eastAsia="Times New Roman"/>
                <w:b/>
                <w:bCs/>
                <w:kern w:val="24"/>
                <w:lang w:eastAsia="de-DE"/>
              </w:rPr>
              <w:lastRenderedPageBreak/>
              <w:t>CpG ID</w:t>
            </w:r>
          </w:p>
        </w:tc>
        <w:tc>
          <w:tcPr>
            <w:tcW w:w="1493" w:type="dxa"/>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01E0FE6A" w14:textId="77777777" w:rsidR="00F665AD" w:rsidRPr="001533EC" w:rsidRDefault="00F665AD" w:rsidP="00652F66">
            <w:pPr>
              <w:spacing w:line="360" w:lineRule="auto"/>
              <w:jc w:val="center"/>
              <w:rPr>
                <w:rFonts w:ascii="Arial" w:eastAsia="Times New Roman" w:hAnsi="Arial" w:cs="Arial"/>
                <w:sz w:val="36"/>
                <w:szCs w:val="36"/>
                <w:lang w:eastAsia="de-DE"/>
              </w:rPr>
            </w:pPr>
            <w:r w:rsidRPr="001533EC">
              <w:rPr>
                <w:rFonts w:eastAsia="Times New Roman"/>
                <w:b/>
                <w:bCs/>
                <w:kern w:val="24"/>
                <w:lang w:eastAsia="de-DE"/>
              </w:rPr>
              <w:t>p</w:t>
            </w:r>
          </w:p>
        </w:tc>
        <w:tc>
          <w:tcPr>
            <w:tcW w:w="1493" w:type="dxa"/>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2F8CDAF0" w14:textId="2241B448" w:rsidR="00F665AD" w:rsidRPr="001533EC" w:rsidRDefault="00435B11" w:rsidP="00652F66">
            <w:pPr>
              <w:spacing w:line="360" w:lineRule="auto"/>
              <w:jc w:val="center"/>
              <w:rPr>
                <w:rFonts w:ascii="Arial" w:eastAsia="Times New Roman" w:hAnsi="Arial" w:cs="Arial"/>
                <w:sz w:val="36"/>
                <w:szCs w:val="36"/>
                <w:lang w:eastAsia="de-DE"/>
              </w:rPr>
            </w:pPr>
            <w:r w:rsidRPr="001533EC">
              <w:rPr>
                <w:sz w:val="24"/>
                <w:szCs w:val="24"/>
              </w:rPr>
              <w:t>AdjP&lt;0.05</w:t>
            </w:r>
            <w:r w:rsidR="00F665AD" w:rsidRPr="001533EC">
              <w:rPr>
                <w:b/>
                <w:bCs/>
                <w:kern w:val="24"/>
                <w:lang w:eastAsia="de-DE"/>
              </w:rPr>
              <w:t>_p</w:t>
            </w:r>
          </w:p>
        </w:tc>
        <w:tc>
          <w:tcPr>
            <w:tcW w:w="1493" w:type="dxa"/>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49B7E608" w14:textId="77777777" w:rsidR="00F665AD" w:rsidRPr="001533EC" w:rsidRDefault="00F665AD" w:rsidP="00652F66">
            <w:pPr>
              <w:spacing w:line="360" w:lineRule="auto"/>
              <w:jc w:val="center"/>
              <w:rPr>
                <w:rFonts w:ascii="Arial" w:eastAsia="Times New Roman" w:hAnsi="Arial" w:cs="Arial"/>
                <w:sz w:val="36"/>
                <w:szCs w:val="36"/>
                <w:lang w:eastAsia="de-DE"/>
              </w:rPr>
            </w:pPr>
            <w:proofErr w:type="spellStart"/>
            <w:r w:rsidRPr="001533EC">
              <w:rPr>
                <w:rFonts w:eastAsia="Times New Roman"/>
                <w:b/>
                <w:bCs/>
                <w:kern w:val="24"/>
                <w:lang w:eastAsia="de-DE"/>
              </w:rPr>
              <w:t>Δbeta</w:t>
            </w:r>
            <w:proofErr w:type="spellEnd"/>
          </w:p>
        </w:tc>
        <w:tc>
          <w:tcPr>
            <w:tcW w:w="1493" w:type="dxa"/>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2F009E45" w14:textId="77777777" w:rsidR="00F665AD" w:rsidRPr="001533EC" w:rsidRDefault="00F665AD" w:rsidP="00652F66">
            <w:pPr>
              <w:spacing w:line="360" w:lineRule="auto"/>
              <w:jc w:val="center"/>
              <w:rPr>
                <w:rFonts w:ascii="Arial" w:eastAsia="Times New Roman" w:hAnsi="Arial" w:cs="Arial"/>
                <w:sz w:val="36"/>
                <w:szCs w:val="36"/>
                <w:lang w:eastAsia="de-DE"/>
              </w:rPr>
            </w:pPr>
            <w:r w:rsidRPr="001533EC">
              <w:rPr>
                <w:rFonts w:eastAsia="Times New Roman"/>
                <w:b/>
                <w:bCs/>
                <w:kern w:val="24"/>
                <w:lang w:eastAsia="de-DE"/>
              </w:rPr>
              <w:t>Region-location</w:t>
            </w:r>
          </w:p>
        </w:tc>
        <w:tc>
          <w:tcPr>
            <w:tcW w:w="1493" w:type="dxa"/>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45C47CFB" w14:textId="77777777" w:rsidR="00F665AD" w:rsidRPr="001533EC" w:rsidRDefault="00F665AD" w:rsidP="00652F66">
            <w:pPr>
              <w:spacing w:line="360" w:lineRule="auto"/>
              <w:jc w:val="center"/>
              <w:rPr>
                <w:rFonts w:ascii="Arial" w:eastAsia="Times New Roman" w:hAnsi="Arial" w:cs="Arial"/>
                <w:sz w:val="36"/>
                <w:szCs w:val="36"/>
                <w:lang w:eastAsia="de-DE"/>
              </w:rPr>
            </w:pPr>
            <w:r w:rsidRPr="001533EC">
              <w:rPr>
                <w:rFonts w:eastAsia="Times New Roman"/>
                <w:b/>
                <w:bCs/>
                <w:kern w:val="24"/>
                <w:lang w:eastAsia="de-DE"/>
              </w:rPr>
              <w:t>Annotated gene</w:t>
            </w:r>
          </w:p>
        </w:tc>
      </w:tr>
      <w:tr w:rsidR="00F665AD" w:rsidRPr="001533EC" w14:paraId="4F1DB627" w14:textId="77777777" w:rsidTr="00652F66">
        <w:trPr>
          <w:trHeight w:val="289"/>
        </w:trPr>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548532D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cg15465743</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14FD07F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1.50 x 10</w:t>
            </w:r>
            <w:r w:rsidRPr="001533EC">
              <w:rPr>
                <w:rFonts w:eastAsia="Times New Roman"/>
                <w:kern w:val="24"/>
                <w:position w:val="6"/>
                <w:vertAlign w:val="superscript"/>
                <w:lang w:eastAsia="de-DE"/>
              </w:rPr>
              <w:t>-6</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4A27C46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0.005</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72A79C2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0.129</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231E8F76"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Body-shore</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66726F1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64617B38"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41E1D15B"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cg17658113</w:t>
            </w:r>
          </w:p>
        </w:tc>
        <w:tc>
          <w:tcPr>
            <w:tcW w:w="1493" w:type="dxa"/>
            <w:tcBorders>
              <w:top w:val="nil"/>
              <w:left w:val="nil"/>
              <w:bottom w:val="nil"/>
              <w:right w:val="nil"/>
            </w:tcBorders>
            <w:tcMar>
              <w:top w:w="15" w:type="dxa"/>
              <w:left w:w="15" w:type="dxa"/>
              <w:bottom w:w="0" w:type="dxa"/>
              <w:right w:w="15" w:type="dxa"/>
            </w:tcMar>
            <w:vAlign w:val="center"/>
            <w:hideMark/>
          </w:tcPr>
          <w:p w14:paraId="0F296C13"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1.73 x 10</w:t>
            </w:r>
            <w:r w:rsidRPr="001533EC">
              <w:rPr>
                <w:rFonts w:eastAsia="Times New Roman"/>
                <w:kern w:val="24"/>
                <w:position w:val="6"/>
                <w:vertAlign w:val="superscript"/>
                <w:lang w:eastAsia="de-DE"/>
              </w:rPr>
              <w:t>-6</w:t>
            </w:r>
          </w:p>
        </w:tc>
        <w:tc>
          <w:tcPr>
            <w:tcW w:w="1493" w:type="dxa"/>
            <w:tcBorders>
              <w:top w:val="nil"/>
              <w:left w:val="nil"/>
              <w:bottom w:val="nil"/>
              <w:right w:val="nil"/>
            </w:tcBorders>
            <w:tcMar>
              <w:top w:w="15" w:type="dxa"/>
              <w:left w:w="15" w:type="dxa"/>
              <w:bottom w:w="0" w:type="dxa"/>
              <w:right w:w="15" w:type="dxa"/>
            </w:tcMar>
            <w:vAlign w:val="center"/>
            <w:hideMark/>
          </w:tcPr>
          <w:p w14:paraId="4323CA7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0.006</w:t>
            </w:r>
          </w:p>
        </w:tc>
        <w:tc>
          <w:tcPr>
            <w:tcW w:w="1493" w:type="dxa"/>
            <w:tcBorders>
              <w:top w:val="nil"/>
              <w:left w:val="nil"/>
              <w:bottom w:val="nil"/>
              <w:right w:val="nil"/>
            </w:tcBorders>
            <w:tcMar>
              <w:top w:w="15" w:type="dxa"/>
              <w:left w:w="15" w:type="dxa"/>
              <w:bottom w:w="0" w:type="dxa"/>
              <w:right w:w="15" w:type="dxa"/>
            </w:tcMar>
            <w:vAlign w:val="center"/>
            <w:hideMark/>
          </w:tcPr>
          <w:p w14:paraId="4F1B7F4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0.109</w:t>
            </w:r>
          </w:p>
        </w:tc>
        <w:tc>
          <w:tcPr>
            <w:tcW w:w="1493" w:type="dxa"/>
            <w:tcBorders>
              <w:top w:val="nil"/>
              <w:left w:val="nil"/>
              <w:bottom w:val="nil"/>
              <w:right w:val="nil"/>
            </w:tcBorders>
            <w:tcMar>
              <w:top w:w="15" w:type="dxa"/>
              <w:left w:w="15" w:type="dxa"/>
              <w:bottom w:w="0" w:type="dxa"/>
              <w:right w:w="15" w:type="dxa"/>
            </w:tcMar>
            <w:vAlign w:val="center"/>
            <w:hideMark/>
          </w:tcPr>
          <w:p w14:paraId="6CEF12F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Body-shore</w:t>
            </w:r>
          </w:p>
        </w:tc>
        <w:tc>
          <w:tcPr>
            <w:tcW w:w="1493" w:type="dxa"/>
            <w:tcBorders>
              <w:top w:val="nil"/>
              <w:left w:val="nil"/>
              <w:bottom w:val="nil"/>
              <w:right w:val="nil"/>
            </w:tcBorders>
            <w:tcMar>
              <w:top w:w="15" w:type="dxa"/>
              <w:left w:w="15" w:type="dxa"/>
              <w:bottom w:w="0" w:type="dxa"/>
              <w:right w:w="15" w:type="dxa"/>
            </w:tcMar>
            <w:vAlign w:val="center"/>
            <w:hideMark/>
          </w:tcPr>
          <w:p w14:paraId="2AB7B32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40B390FF"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0AC10430"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cg04481923</w:t>
            </w:r>
          </w:p>
        </w:tc>
        <w:tc>
          <w:tcPr>
            <w:tcW w:w="1493" w:type="dxa"/>
            <w:tcBorders>
              <w:top w:val="nil"/>
              <w:left w:val="nil"/>
              <w:bottom w:val="nil"/>
              <w:right w:val="nil"/>
            </w:tcBorders>
            <w:tcMar>
              <w:top w:w="15" w:type="dxa"/>
              <w:left w:w="15" w:type="dxa"/>
              <w:bottom w:w="0" w:type="dxa"/>
              <w:right w:w="15" w:type="dxa"/>
            </w:tcMar>
            <w:vAlign w:val="center"/>
            <w:hideMark/>
          </w:tcPr>
          <w:p w14:paraId="29CA6E0B"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3.29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55EC763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0.048</w:t>
            </w:r>
          </w:p>
        </w:tc>
        <w:tc>
          <w:tcPr>
            <w:tcW w:w="1493" w:type="dxa"/>
            <w:tcBorders>
              <w:top w:val="nil"/>
              <w:left w:val="nil"/>
              <w:bottom w:val="nil"/>
              <w:right w:val="nil"/>
            </w:tcBorders>
            <w:tcMar>
              <w:top w:w="15" w:type="dxa"/>
              <w:left w:w="15" w:type="dxa"/>
              <w:bottom w:w="0" w:type="dxa"/>
              <w:right w:w="15" w:type="dxa"/>
            </w:tcMar>
            <w:vAlign w:val="center"/>
            <w:hideMark/>
          </w:tcPr>
          <w:p w14:paraId="6B7FC3C4"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0.096</w:t>
            </w:r>
          </w:p>
        </w:tc>
        <w:tc>
          <w:tcPr>
            <w:tcW w:w="1493" w:type="dxa"/>
            <w:tcBorders>
              <w:top w:val="nil"/>
              <w:left w:val="nil"/>
              <w:bottom w:val="nil"/>
              <w:right w:val="nil"/>
            </w:tcBorders>
            <w:tcMar>
              <w:top w:w="15" w:type="dxa"/>
              <w:left w:w="15" w:type="dxa"/>
              <w:bottom w:w="0" w:type="dxa"/>
              <w:right w:w="15" w:type="dxa"/>
            </w:tcMar>
            <w:vAlign w:val="center"/>
            <w:hideMark/>
          </w:tcPr>
          <w:p w14:paraId="1F86215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Body-island</w:t>
            </w:r>
          </w:p>
        </w:tc>
        <w:tc>
          <w:tcPr>
            <w:tcW w:w="1493" w:type="dxa"/>
            <w:tcBorders>
              <w:top w:val="nil"/>
              <w:left w:val="nil"/>
              <w:bottom w:val="nil"/>
              <w:right w:val="nil"/>
            </w:tcBorders>
            <w:tcMar>
              <w:top w:w="15" w:type="dxa"/>
              <w:left w:w="15" w:type="dxa"/>
              <w:bottom w:w="0" w:type="dxa"/>
              <w:right w:w="15" w:type="dxa"/>
            </w:tcMar>
            <w:vAlign w:val="center"/>
            <w:hideMark/>
          </w:tcPr>
          <w:p w14:paraId="77BA49F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MIR886</w:t>
            </w:r>
          </w:p>
        </w:tc>
      </w:tr>
      <w:tr w:rsidR="00F665AD" w:rsidRPr="001533EC" w14:paraId="5A0F5FA4"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43CE5696"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cg25340688</w:t>
            </w:r>
          </w:p>
        </w:tc>
        <w:tc>
          <w:tcPr>
            <w:tcW w:w="1493" w:type="dxa"/>
            <w:tcBorders>
              <w:top w:val="nil"/>
              <w:left w:val="nil"/>
              <w:bottom w:val="nil"/>
              <w:right w:val="nil"/>
            </w:tcBorders>
            <w:tcMar>
              <w:top w:w="15" w:type="dxa"/>
              <w:left w:w="15" w:type="dxa"/>
              <w:bottom w:w="0" w:type="dxa"/>
              <w:right w:w="15" w:type="dxa"/>
            </w:tcMar>
            <w:vAlign w:val="center"/>
            <w:hideMark/>
          </w:tcPr>
          <w:p w14:paraId="5DDC8B10"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2.49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70CFC51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0.042</w:t>
            </w:r>
          </w:p>
        </w:tc>
        <w:tc>
          <w:tcPr>
            <w:tcW w:w="1493" w:type="dxa"/>
            <w:tcBorders>
              <w:top w:val="nil"/>
              <w:left w:val="nil"/>
              <w:bottom w:val="nil"/>
              <w:right w:val="nil"/>
            </w:tcBorders>
            <w:tcMar>
              <w:top w:w="15" w:type="dxa"/>
              <w:left w:w="15" w:type="dxa"/>
              <w:bottom w:w="0" w:type="dxa"/>
              <w:right w:w="15" w:type="dxa"/>
            </w:tcMar>
            <w:vAlign w:val="center"/>
            <w:hideMark/>
          </w:tcPr>
          <w:p w14:paraId="6DC9133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0.094</w:t>
            </w:r>
          </w:p>
        </w:tc>
        <w:tc>
          <w:tcPr>
            <w:tcW w:w="1493" w:type="dxa"/>
            <w:tcBorders>
              <w:top w:val="nil"/>
              <w:left w:val="nil"/>
              <w:bottom w:val="nil"/>
              <w:right w:val="nil"/>
            </w:tcBorders>
            <w:tcMar>
              <w:top w:w="15" w:type="dxa"/>
              <w:left w:w="15" w:type="dxa"/>
              <w:bottom w:w="0" w:type="dxa"/>
              <w:right w:w="15" w:type="dxa"/>
            </w:tcMar>
            <w:vAlign w:val="center"/>
            <w:hideMark/>
          </w:tcPr>
          <w:p w14:paraId="55F31B9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TSS200-island</w:t>
            </w:r>
          </w:p>
        </w:tc>
        <w:tc>
          <w:tcPr>
            <w:tcW w:w="1493" w:type="dxa"/>
            <w:tcBorders>
              <w:top w:val="nil"/>
              <w:left w:val="nil"/>
              <w:bottom w:val="nil"/>
              <w:right w:val="nil"/>
            </w:tcBorders>
            <w:tcMar>
              <w:top w:w="15" w:type="dxa"/>
              <w:left w:w="15" w:type="dxa"/>
              <w:bottom w:w="0" w:type="dxa"/>
              <w:right w:w="15" w:type="dxa"/>
            </w:tcMar>
            <w:vAlign w:val="center"/>
            <w:hideMark/>
          </w:tcPr>
          <w:p w14:paraId="6A765E5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MIR886</w:t>
            </w:r>
          </w:p>
        </w:tc>
      </w:tr>
      <w:tr w:rsidR="00F665AD" w:rsidRPr="001533EC" w14:paraId="24F35DC7"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1AD4FD7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cg18797653</w:t>
            </w:r>
          </w:p>
        </w:tc>
        <w:tc>
          <w:tcPr>
            <w:tcW w:w="1493" w:type="dxa"/>
            <w:tcBorders>
              <w:top w:val="nil"/>
              <w:left w:val="nil"/>
              <w:bottom w:val="nil"/>
              <w:right w:val="nil"/>
            </w:tcBorders>
            <w:tcMar>
              <w:top w:w="15" w:type="dxa"/>
              <w:left w:w="15" w:type="dxa"/>
              <w:bottom w:w="0" w:type="dxa"/>
              <w:right w:w="15" w:type="dxa"/>
            </w:tcMar>
            <w:vAlign w:val="center"/>
            <w:hideMark/>
          </w:tcPr>
          <w:p w14:paraId="780C340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1.91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073548D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0.038</w:t>
            </w:r>
          </w:p>
        </w:tc>
        <w:tc>
          <w:tcPr>
            <w:tcW w:w="1493" w:type="dxa"/>
            <w:tcBorders>
              <w:top w:val="nil"/>
              <w:left w:val="nil"/>
              <w:bottom w:val="nil"/>
              <w:right w:val="nil"/>
            </w:tcBorders>
            <w:tcMar>
              <w:top w:w="15" w:type="dxa"/>
              <w:left w:w="15" w:type="dxa"/>
              <w:bottom w:w="0" w:type="dxa"/>
              <w:right w:w="15" w:type="dxa"/>
            </w:tcMar>
            <w:vAlign w:val="center"/>
            <w:hideMark/>
          </w:tcPr>
          <w:p w14:paraId="2239090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0.090</w:t>
            </w:r>
          </w:p>
        </w:tc>
        <w:tc>
          <w:tcPr>
            <w:tcW w:w="1493" w:type="dxa"/>
            <w:tcBorders>
              <w:top w:val="nil"/>
              <w:left w:val="nil"/>
              <w:bottom w:val="nil"/>
              <w:right w:val="nil"/>
            </w:tcBorders>
            <w:tcMar>
              <w:top w:w="15" w:type="dxa"/>
              <w:left w:w="15" w:type="dxa"/>
              <w:bottom w:w="0" w:type="dxa"/>
              <w:right w:w="15" w:type="dxa"/>
            </w:tcMar>
            <w:vAlign w:val="center"/>
            <w:hideMark/>
          </w:tcPr>
          <w:p w14:paraId="011CE522"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TSS1500-shore</w:t>
            </w:r>
          </w:p>
        </w:tc>
        <w:tc>
          <w:tcPr>
            <w:tcW w:w="1493" w:type="dxa"/>
            <w:tcBorders>
              <w:top w:val="nil"/>
              <w:left w:val="nil"/>
              <w:bottom w:val="nil"/>
              <w:right w:val="nil"/>
            </w:tcBorders>
            <w:tcMar>
              <w:top w:w="15" w:type="dxa"/>
              <w:left w:w="15" w:type="dxa"/>
              <w:bottom w:w="0" w:type="dxa"/>
              <w:right w:w="15" w:type="dxa"/>
            </w:tcMar>
            <w:vAlign w:val="center"/>
            <w:hideMark/>
          </w:tcPr>
          <w:p w14:paraId="4C8EFFA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MIR886</w:t>
            </w:r>
          </w:p>
        </w:tc>
      </w:tr>
      <w:tr w:rsidR="00F665AD" w:rsidRPr="001533EC" w14:paraId="66760397"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276156A3"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cg18678645</w:t>
            </w:r>
          </w:p>
        </w:tc>
        <w:tc>
          <w:tcPr>
            <w:tcW w:w="1493" w:type="dxa"/>
            <w:tcBorders>
              <w:top w:val="nil"/>
              <w:left w:val="nil"/>
              <w:bottom w:val="nil"/>
              <w:right w:val="nil"/>
            </w:tcBorders>
            <w:tcMar>
              <w:top w:w="15" w:type="dxa"/>
              <w:left w:w="15" w:type="dxa"/>
              <w:bottom w:w="0" w:type="dxa"/>
              <w:right w:w="15" w:type="dxa"/>
            </w:tcMar>
            <w:vAlign w:val="center"/>
            <w:hideMark/>
          </w:tcPr>
          <w:p w14:paraId="5C457FA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3.44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713F451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0.048</w:t>
            </w:r>
          </w:p>
        </w:tc>
        <w:tc>
          <w:tcPr>
            <w:tcW w:w="1493" w:type="dxa"/>
            <w:tcBorders>
              <w:top w:val="nil"/>
              <w:left w:val="nil"/>
              <w:bottom w:val="nil"/>
              <w:right w:val="nil"/>
            </w:tcBorders>
            <w:tcMar>
              <w:top w:w="15" w:type="dxa"/>
              <w:left w:w="15" w:type="dxa"/>
              <w:bottom w:w="0" w:type="dxa"/>
              <w:right w:w="15" w:type="dxa"/>
            </w:tcMar>
            <w:vAlign w:val="center"/>
            <w:hideMark/>
          </w:tcPr>
          <w:p w14:paraId="234992B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0.087</w:t>
            </w:r>
          </w:p>
        </w:tc>
        <w:tc>
          <w:tcPr>
            <w:tcW w:w="1493" w:type="dxa"/>
            <w:tcBorders>
              <w:top w:val="nil"/>
              <w:left w:val="nil"/>
              <w:bottom w:val="nil"/>
              <w:right w:val="nil"/>
            </w:tcBorders>
            <w:tcMar>
              <w:top w:w="15" w:type="dxa"/>
              <w:left w:w="15" w:type="dxa"/>
              <w:bottom w:w="0" w:type="dxa"/>
              <w:right w:w="15" w:type="dxa"/>
            </w:tcMar>
            <w:vAlign w:val="center"/>
            <w:hideMark/>
          </w:tcPr>
          <w:p w14:paraId="588F3659"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TSS200-island</w:t>
            </w:r>
          </w:p>
        </w:tc>
        <w:tc>
          <w:tcPr>
            <w:tcW w:w="1493" w:type="dxa"/>
            <w:tcBorders>
              <w:top w:val="nil"/>
              <w:left w:val="nil"/>
              <w:bottom w:val="nil"/>
              <w:right w:val="nil"/>
            </w:tcBorders>
            <w:tcMar>
              <w:top w:w="15" w:type="dxa"/>
              <w:left w:w="15" w:type="dxa"/>
              <w:bottom w:w="0" w:type="dxa"/>
              <w:right w:w="15" w:type="dxa"/>
            </w:tcMar>
            <w:vAlign w:val="center"/>
            <w:hideMark/>
          </w:tcPr>
          <w:p w14:paraId="0924DE6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MIR886</w:t>
            </w:r>
          </w:p>
        </w:tc>
      </w:tr>
      <w:tr w:rsidR="00F665AD" w:rsidRPr="001533EC" w14:paraId="6657E375"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5874ABB2"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cg26896946</w:t>
            </w:r>
          </w:p>
        </w:tc>
        <w:tc>
          <w:tcPr>
            <w:tcW w:w="1493" w:type="dxa"/>
            <w:tcBorders>
              <w:top w:val="nil"/>
              <w:left w:val="nil"/>
              <w:bottom w:val="nil"/>
              <w:right w:val="nil"/>
            </w:tcBorders>
            <w:tcMar>
              <w:top w:w="15" w:type="dxa"/>
              <w:left w:w="15" w:type="dxa"/>
              <w:bottom w:w="0" w:type="dxa"/>
              <w:right w:w="15" w:type="dxa"/>
            </w:tcMar>
            <w:vAlign w:val="center"/>
            <w:hideMark/>
          </w:tcPr>
          <w:p w14:paraId="0EEB9E7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2.41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002AE3B2"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0.042</w:t>
            </w:r>
          </w:p>
        </w:tc>
        <w:tc>
          <w:tcPr>
            <w:tcW w:w="1493" w:type="dxa"/>
            <w:tcBorders>
              <w:top w:val="nil"/>
              <w:left w:val="nil"/>
              <w:bottom w:val="nil"/>
              <w:right w:val="nil"/>
            </w:tcBorders>
            <w:tcMar>
              <w:top w:w="15" w:type="dxa"/>
              <w:left w:w="15" w:type="dxa"/>
              <w:bottom w:w="0" w:type="dxa"/>
              <w:right w:w="15" w:type="dxa"/>
            </w:tcMar>
            <w:vAlign w:val="center"/>
            <w:hideMark/>
          </w:tcPr>
          <w:p w14:paraId="086DDA7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0.087</w:t>
            </w:r>
          </w:p>
        </w:tc>
        <w:tc>
          <w:tcPr>
            <w:tcW w:w="1493" w:type="dxa"/>
            <w:tcBorders>
              <w:top w:val="nil"/>
              <w:left w:val="nil"/>
              <w:bottom w:val="nil"/>
              <w:right w:val="nil"/>
            </w:tcBorders>
            <w:tcMar>
              <w:top w:w="15" w:type="dxa"/>
              <w:left w:w="15" w:type="dxa"/>
              <w:bottom w:w="0" w:type="dxa"/>
              <w:right w:w="15" w:type="dxa"/>
            </w:tcMar>
            <w:vAlign w:val="center"/>
            <w:hideMark/>
          </w:tcPr>
          <w:p w14:paraId="7961CC0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TSS200-island</w:t>
            </w:r>
          </w:p>
        </w:tc>
        <w:tc>
          <w:tcPr>
            <w:tcW w:w="1493" w:type="dxa"/>
            <w:tcBorders>
              <w:top w:val="nil"/>
              <w:left w:val="nil"/>
              <w:bottom w:val="nil"/>
              <w:right w:val="nil"/>
            </w:tcBorders>
            <w:tcMar>
              <w:top w:w="15" w:type="dxa"/>
              <w:left w:w="15" w:type="dxa"/>
              <w:bottom w:w="0" w:type="dxa"/>
              <w:right w:w="15" w:type="dxa"/>
            </w:tcMar>
            <w:vAlign w:val="center"/>
            <w:hideMark/>
          </w:tcPr>
          <w:p w14:paraId="37DE4DB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MIR886</w:t>
            </w:r>
          </w:p>
        </w:tc>
      </w:tr>
      <w:tr w:rsidR="00F665AD" w:rsidRPr="001533EC" w14:paraId="4CA58968"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54BDDD03"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cg05871802</w:t>
            </w:r>
          </w:p>
        </w:tc>
        <w:tc>
          <w:tcPr>
            <w:tcW w:w="1493" w:type="dxa"/>
            <w:tcBorders>
              <w:top w:val="nil"/>
              <w:left w:val="nil"/>
              <w:bottom w:val="nil"/>
              <w:right w:val="nil"/>
            </w:tcBorders>
            <w:tcMar>
              <w:top w:w="15" w:type="dxa"/>
              <w:left w:w="15" w:type="dxa"/>
              <w:bottom w:w="0" w:type="dxa"/>
              <w:right w:w="15" w:type="dxa"/>
            </w:tcMar>
            <w:vAlign w:val="center"/>
            <w:hideMark/>
          </w:tcPr>
          <w:p w14:paraId="12D4B04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1.63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047C6F9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0.036</w:t>
            </w:r>
          </w:p>
        </w:tc>
        <w:tc>
          <w:tcPr>
            <w:tcW w:w="1493" w:type="dxa"/>
            <w:tcBorders>
              <w:top w:val="nil"/>
              <w:left w:val="nil"/>
              <w:bottom w:val="nil"/>
              <w:right w:val="nil"/>
            </w:tcBorders>
            <w:tcMar>
              <w:top w:w="15" w:type="dxa"/>
              <w:left w:w="15" w:type="dxa"/>
              <w:bottom w:w="0" w:type="dxa"/>
              <w:right w:w="15" w:type="dxa"/>
            </w:tcMar>
            <w:vAlign w:val="center"/>
            <w:hideMark/>
          </w:tcPr>
          <w:p w14:paraId="34D2944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0.085</w:t>
            </w:r>
          </w:p>
        </w:tc>
        <w:tc>
          <w:tcPr>
            <w:tcW w:w="1493" w:type="dxa"/>
            <w:tcBorders>
              <w:top w:val="nil"/>
              <w:left w:val="nil"/>
              <w:bottom w:val="nil"/>
              <w:right w:val="nil"/>
            </w:tcBorders>
            <w:tcMar>
              <w:top w:w="15" w:type="dxa"/>
              <w:left w:w="15" w:type="dxa"/>
              <w:bottom w:w="0" w:type="dxa"/>
              <w:right w:w="15" w:type="dxa"/>
            </w:tcMar>
            <w:vAlign w:val="center"/>
            <w:hideMark/>
          </w:tcPr>
          <w:p w14:paraId="0D8E60A0"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w:t>
            </w:r>
            <w:proofErr w:type="spellStart"/>
            <w:r w:rsidRPr="001533EC">
              <w:rPr>
                <w:rFonts w:eastAsia="Times New Roman"/>
                <w:kern w:val="24"/>
                <w:lang w:eastAsia="de-DE"/>
              </w:rPr>
              <w:t>opensea</w:t>
            </w:r>
            <w:proofErr w:type="spellEnd"/>
          </w:p>
        </w:tc>
        <w:tc>
          <w:tcPr>
            <w:tcW w:w="1493" w:type="dxa"/>
            <w:tcBorders>
              <w:top w:val="nil"/>
              <w:left w:val="nil"/>
              <w:bottom w:val="nil"/>
              <w:right w:val="nil"/>
            </w:tcBorders>
            <w:tcMar>
              <w:top w:w="15" w:type="dxa"/>
              <w:left w:w="15" w:type="dxa"/>
              <w:bottom w:w="0" w:type="dxa"/>
              <w:right w:w="15" w:type="dxa"/>
            </w:tcMar>
            <w:vAlign w:val="center"/>
            <w:hideMark/>
          </w:tcPr>
          <w:p w14:paraId="2A1D99E4"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KCNC1</w:t>
            </w:r>
          </w:p>
        </w:tc>
      </w:tr>
      <w:tr w:rsidR="00F665AD" w:rsidRPr="001533EC" w14:paraId="5627F91E"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059542D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cg00124993</w:t>
            </w:r>
          </w:p>
        </w:tc>
        <w:tc>
          <w:tcPr>
            <w:tcW w:w="1493" w:type="dxa"/>
            <w:tcBorders>
              <w:top w:val="nil"/>
              <w:left w:val="nil"/>
              <w:bottom w:val="nil"/>
              <w:right w:val="nil"/>
            </w:tcBorders>
            <w:tcMar>
              <w:top w:w="15" w:type="dxa"/>
              <w:left w:w="15" w:type="dxa"/>
              <w:bottom w:w="0" w:type="dxa"/>
              <w:right w:w="15" w:type="dxa"/>
            </w:tcMar>
            <w:vAlign w:val="center"/>
            <w:hideMark/>
          </w:tcPr>
          <w:p w14:paraId="4A32B0D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2.90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15B7D7F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0.045</w:t>
            </w:r>
          </w:p>
        </w:tc>
        <w:tc>
          <w:tcPr>
            <w:tcW w:w="1493" w:type="dxa"/>
            <w:tcBorders>
              <w:top w:val="nil"/>
              <w:left w:val="nil"/>
              <w:bottom w:val="nil"/>
              <w:right w:val="nil"/>
            </w:tcBorders>
            <w:tcMar>
              <w:top w:w="15" w:type="dxa"/>
              <w:left w:w="15" w:type="dxa"/>
              <w:bottom w:w="0" w:type="dxa"/>
              <w:right w:w="15" w:type="dxa"/>
            </w:tcMar>
            <w:vAlign w:val="center"/>
            <w:hideMark/>
          </w:tcPr>
          <w:p w14:paraId="48E4013B"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0.082</w:t>
            </w:r>
          </w:p>
        </w:tc>
        <w:tc>
          <w:tcPr>
            <w:tcW w:w="1493" w:type="dxa"/>
            <w:tcBorders>
              <w:top w:val="nil"/>
              <w:left w:val="nil"/>
              <w:bottom w:val="nil"/>
              <w:right w:val="nil"/>
            </w:tcBorders>
            <w:tcMar>
              <w:top w:w="15" w:type="dxa"/>
              <w:left w:w="15" w:type="dxa"/>
              <w:bottom w:w="0" w:type="dxa"/>
              <w:right w:w="15" w:type="dxa"/>
            </w:tcMar>
            <w:vAlign w:val="center"/>
            <w:hideMark/>
          </w:tcPr>
          <w:p w14:paraId="6E10159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TSS200-island</w:t>
            </w:r>
          </w:p>
        </w:tc>
        <w:tc>
          <w:tcPr>
            <w:tcW w:w="1493" w:type="dxa"/>
            <w:tcBorders>
              <w:top w:val="nil"/>
              <w:left w:val="nil"/>
              <w:bottom w:val="nil"/>
              <w:right w:val="nil"/>
            </w:tcBorders>
            <w:tcMar>
              <w:top w:w="15" w:type="dxa"/>
              <w:left w:w="15" w:type="dxa"/>
              <w:bottom w:w="0" w:type="dxa"/>
              <w:right w:w="15" w:type="dxa"/>
            </w:tcMar>
            <w:vAlign w:val="center"/>
            <w:hideMark/>
          </w:tcPr>
          <w:p w14:paraId="7A1A186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MIR886</w:t>
            </w:r>
          </w:p>
        </w:tc>
      </w:tr>
      <w:tr w:rsidR="00F665AD" w:rsidRPr="001533EC" w14:paraId="147633E1"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568CE6E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cg06575387</w:t>
            </w:r>
          </w:p>
        </w:tc>
        <w:tc>
          <w:tcPr>
            <w:tcW w:w="1493" w:type="dxa"/>
            <w:tcBorders>
              <w:top w:val="nil"/>
              <w:left w:val="nil"/>
              <w:bottom w:val="nil"/>
              <w:right w:val="nil"/>
            </w:tcBorders>
            <w:tcMar>
              <w:top w:w="15" w:type="dxa"/>
              <w:left w:w="15" w:type="dxa"/>
              <w:bottom w:w="0" w:type="dxa"/>
              <w:right w:w="15" w:type="dxa"/>
            </w:tcMar>
            <w:vAlign w:val="center"/>
            <w:hideMark/>
          </w:tcPr>
          <w:p w14:paraId="768371E0"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1.49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center"/>
            <w:hideMark/>
          </w:tcPr>
          <w:p w14:paraId="2BB49A8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0.013</w:t>
            </w:r>
          </w:p>
        </w:tc>
        <w:tc>
          <w:tcPr>
            <w:tcW w:w="1493" w:type="dxa"/>
            <w:tcBorders>
              <w:top w:val="nil"/>
              <w:left w:val="nil"/>
              <w:bottom w:val="nil"/>
              <w:right w:val="nil"/>
            </w:tcBorders>
            <w:tcMar>
              <w:top w:w="15" w:type="dxa"/>
              <w:left w:w="15" w:type="dxa"/>
              <w:bottom w:w="0" w:type="dxa"/>
              <w:right w:w="15" w:type="dxa"/>
            </w:tcMar>
            <w:vAlign w:val="center"/>
            <w:hideMark/>
          </w:tcPr>
          <w:p w14:paraId="4A992C7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0.078</w:t>
            </w:r>
          </w:p>
        </w:tc>
        <w:tc>
          <w:tcPr>
            <w:tcW w:w="1493" w:type="dxa"/>
            <w:tcBorders>
              <w:top w:val="nil"/>
              <w:left w:val="nil"/>
              <w:bottom w:val="nil"/>
              <w:right w:val="nil"/>
            </w:tcBorders>
            <w:tcMar>
              <w:top w:w="15" w:type="dxa"/>
              <w:left w:w="15" w:type="dxa"/>
              <w:bottom w:w="0" w:type="dxa"/>
              <w:right w:w="15" w:type="dxa"/>
            </w:tcMar>
            <w:vAlign w:val="center"/>
            <w:hideMark/>
          </w:tcPr>
          <w:p w14:paraId="714CDCD9"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5'UTR-opensea</w:t>
            </w:r>
          </w:p>
        </w:tc>
        <w:tc>
          <w:tcPr>
            <w:tcW w:w="1493" w:type="dxa"/>
            <w:tcBorders>
              <w:top w:val="nil"/>
              <w:left w:val="nil"/>
              <w:bottom w:val="nil"/>
              <w:right w:val="nil"/>
            </w:tcBorders>
            <w:tcMar>
              <w:top w:w="15" w:type="dxa"/>
              <w:left w:w="15" w:type="dxa"/>
              <w:bottom w:w="0" w:type="dxa"/>
              <w:right w:w="15" w:type="dxa"/>
            </w:tcMar>
            <w:vAlign w:val="center"/>
            <w:hideMark/>
          </w:tcPr>
          <w:p w14:paraId="2CC1736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CTDP1</w:t>
            </w:r>
          </w:p>
        </w:tc>
      </w:tr>
      <w:tr w:rsidR="00F665AD" w:rsidRPr="001533EC" w14:paraId="04DFD98B"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15B10E51"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cg20785120</w:t>
            </w:r>
          </w:p>
        </w:tc>
        <w:tc>
          <w:tcPr>
            <w:tcW w:w="1493" w:type="dxa"/>
            <w:tcBorders>
              <w:top w:val="nil"/>
              <w:left w:val="nil"/>
              <w:bottom w:val="nil"/>
              <w:right w:val="nil"/>
            </w:tcBorders>
            <w:tcMar>
              <w:top w:w="15" w:type="dxa"/>
              <w:left w:w="15" w:type="dxa"/>
              <w:bottom w:w="0" w:type="dxa"/>
              <w:right w:w="15" w:type="dxa"/>
            </w:tcMar>
            <w:vAlign w:val="bottom"/>
            <w:hideMark/>
          </w:tcPr>
          <w:p w14:paraId="447EE928"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2.10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bottom"/>
            <w:hideMark/>
          </w:tcPr>
          <w:p w14:paraId="53C3720E"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0.015</w:t>
            </w:r>
          </w:p>
        </w:tc>
        <w:tc>
          <w:tcPr>
            <w:tcW w:w="1493" w:type="dxa"/>
            <w:tcBorders>
              <w:top w:val="nil"/>
              <w:left w:val="nil"/>
              <w:bottom w:val="nil"/>
              <w:right w:val="nil"/>
            </w:tcBorders>
            <w:tcMar>
              <w:top w:w="15" w:type="dxa"/>
              <w:left w:w="15" w:type="dxa"/>
              <w:bottom w:w="0" w:type="dxa"/>
              <w:right w:w="15" w:type="dxa"/>
            </w:tcMar>
            <w:vAlign w:val="bottom"/>
            <w:hideMark/>
          </w:tcPr>
          <w:p w14:paraId="0BFB6AB7"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0.075</w:t>
            </w:r>
          </w:p>
        </w:tc>
        <w:tc>
          <w:tcPr>
            <w:tcW w:w="1493" w:type="dxa"/>
            <w:tcBorders>
              <w:top w:val="nil"/>
              <w:left w:val="nil"/>
              <w:bottom w:val="nil"/>
              <w:right w:val="nil"/>
            </w:tcBorders>
            <w:tcMar>
              <w:top w:w="15" w:type="dxa"/>
              <w:left w:w="15" w:type="dxa"/>
              <w:bottom w:w="0" w:type="dxa"/>
              <w:right w:w="15" w:type="dxa"/>
            </w:tcMar>
            <w:vAlign w:val="bottom"/>
            <w:hideMark/>
          </w:tcPr>
          <w:p w14:paraId="4739A9F9"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Body-</w:t>
            </w:r>
            <w:proofErr w:type="spellStart"/>
            <w:r w:rsidRPr="001533EC">
              <w:rPr>
                <w:rFonts w:eastAsia="Times New Roman"/>
                <w:kern w:val="24"/>
                <w:lang w:eastAsia="de-DE"/>
              </w:rPr>
              <w:t>opensea</w:t>
            </w:r>
            <w:proofErr w:type="spellEnd"/>
          </w:p>
        </w:tc>
        <w:tc>
          <w:tcPr>
            <w:tcW w:w="1493" w:type="dxa"/>
            <w:tcBorders>
              <w:top w:val="nil"/>
              <w:left w:val="nil"/>
              <w:bottom w:val="nil"/>
              <w:right w:val="nil"/>
            </w:tcBorders>
            <w:tcMar>
              <w:top w:w="15" w:type="dxa"/>
              <w:left w:w="15" w:type="dxa"/>
              <w:bottom w:w="0" w:type="dxa"/>
              <w:right w:w="15" w:type="dxa"/>
            </w:tcMar>
            <w:vAlign w:val="bottom"/>
            <w:hideMark/>
          </w:tcPr>
          <w:p w14:paraId="0A3A97D7"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BCAS4</w:t>
            </w:r>
          </w:p>
        </w:tc>
      </w:tr>
      <w:tr w:rsidR="00F665AD" w:rsidRPr="001533EC" w14:paraId="27DDA861"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1AA95315"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cg11608150</w:t>
            </w:r>
          </w:p>
        </w:tc>
        <w:tc>
          <w:tcPr>
            <w:tcW w:w="1493" w:type="dxa"/>
            <w:tcBorders>
              <w:top w:val="nil"/>
              <w:left w:val="nil"/>
              <w:bottom w:val="nil"/>
              <w:right w:val="nil"/>
            </w:tcBorders>
            <w:tcMar>
              <w:top w:w="15" w:type="dxa"/>
              <w:left w:w="15" w:type="dxa"/>
              <w:bottom w:w="0" w:type="dxa"/>
              <w:right w:w="15" w:type="dxa"/>
            </w:tcMar>
            <w:vAlign w:val="bottom"/>
            <w:hideMark/>
          </w:tcPr>
          <w:p w14:paraId="6CE51F33"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1.86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bottom"/>
            <w:hideMark/>
          </w:tcPr>
          <w:p w14:paraId="2CEAC7D0"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0.038</w:t>
            </w:r>
          </w:p>
        </w:tc>
        <w:tc>
          <w:tcPr>
            <w:tcW w:w="1493" w:type="dxa"/>
            <w:tcBorders>
              <w:top w:val="nil"/>
              <w:left w:val="nil"/>
              <w:bottom w:val="nil"/>
              <w:right w:val="nil"/>
            </w:tcBorders>
            <w:tcMar>
              <w:top w:w="15" w:type="dxa"/>
              <w:left w:w="15" w:type="dxa"/>
              <w:bottom w:w="0" w:type="dxa"/>
              <w:right w:w="15" w:type="dxa"/>
            </w:tcMar>
            <w:vAlign w:val="bottom"/>
            <w:hideMark/>
          </w:tcPr>
          <w:p w14:paraId="460039C6"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0.075</w:t>
            </w:r>
          </w:p>
        </w:tc>
        <w:tc>
          <w:tcPr>
            <w:tcW w:w="1493" w:type="dxa"/>
            <w:tcBorders>
              <w:top w:val="nil"/>
              <w:left w:val="nil"/>
              <w:bottom w:val="nil"/>
              <w:right w:val="nil"/>
            </w:tcBorders>
            <w:tcMar>
              <w:top w:w="15" w:type="dxa"/>
              <w:left w:w="15" w:type="dxa"/>
              <w:bottom w:w="0" w:type="dxa"/>
              <w:right w:w="15" w:type="dxa"/>
            </w:tcMar>
            <w:vAlign w:val="bottom"/>
            <w:hideMark/>
          </w:tcPr>
          <w:p w14:paraId="11B53826"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IGR-shore</w:t>
            </w:r>
          </w:p>
        </w:tc>
        <w:tc>
          <w:tcPr>
            <w:tcW w:w="1493" w:type="dxa"/>
            <w:tcBorders>
              <w:top w:val="nil"/>
              <w:left w:val="nil"/>
              <w:bottom w:val="nil"/>
              <w:right w:val="nil"/>
            </w:tcBorders>
            <w:tcMar>
              <w:top w:w="15" w:type="dxa"/>
              <w:left w:w="15" w:type="dxa"/>
              <w:bottom w:w="0" w:type="dxa"/>
              <w:right w:w="15" w:type="dxa"/>
            </w:tcMar>
            <w:vAlign w:val="bottom"/>
            <w:hideMark/>
          </w:tcPr>
          <w:p w14:paraId="7037CDC3"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w:t>
            </w:r>
          </w:p>
        </w:tc>
      </w:tr>
      <w:tr w:rsidR="00F665AD" w:rsidRPr="001533EC" w14:paraId="02163947"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7D91527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cg04140807</w:t>
            </w:r>
          </w:p>
        </w:tc>
        <w:tc>
          <w:tcPr>
            <w:tcW w:w="1493" w:type="dxa"/>
            <w:tcBorders>
              <w:top w:val="nil"/>
              <w:left w:val="nil"/>
              <w:bottom w:val="nil"/>
              <w:right w:val="nil"/>
            </w:tcBorders>
            <w:tcMar>
              <w:top w:w="15" w:type="dxa"/>
              <w:left w:w="15" w:type="dxa"/>
              <w:bottom w:w="0" w:type="dxa"/>
              <w:right w:w="15" w:type="dxa"/>
            </w:tcMar>
            <w:vAlign w:val="bottom"/>
            <w:hideMark/>
          </w:tcPr>
          <w:p w14:paraId="4B16DA5B"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7.02 x 10</w:t>
            </w:r>
            <w:r w:rsidRPr="001533EC">
              <w:rPr>
                <w:rFonts w:eastAsia="Times New Roman"/>
                <w:kern w:val="24"/>
                <w:position w:val="6"/>
                <w:vertAlign w:val="superscript"/>
                <w:lang w:eastAsia="de-DE"/>
              </w:rPr>
              <w:t>-7</w:t>
            </w:r>
          </w:p>
        </w:tc>
        <w:tc>
          <w:tcPr>
            <w:tcW w:w="1493" w:type="dxa"/>
            <w:tcBorders>
              <w:top w:val="nil"/>
              <w:left w:val="nil"/>
              <w:bottom w:val="nil"/>
              <w:right w:val="nil"/>
            </w:tcBorders>
            <w:tcMar>
              <w:top w:w="15" w:type="dxa"/>
              <w:left w:w="15" w:type="dxa"/>
              <w:bottom w:w="0" w:type="dxa"/>
              <w:right w:w="15" w:type="dxa"/>
            </w:tcMar>
            <w:vAlign w:val="bottom"/>
            <w:hideMark/>
          </w:tcPr>
          <w:p w14:paraId="46C3B797"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0.0037</w:t>
            </w:r>
          </w:p>
        </w:tc>
        <w:tc>
          <w:tcPr>
            <w:tcW w:w="1493" w:type="dxa"/>
            <w:tcBorders>
              <w:top w:val="nil"/>
              <w:left w:val="nil"/>
              <w:bottom w:val="nil"/>
              <w:right w:val="nil"/>
            </w:tcBorders>
            <w:tcMar>
              <w:top w:w="15" w:type="dxa"/>
              <w:left w:w="15" w:type="dxa"/>
              <w:bottom w:w="0" w:type="dxa"/>
              <w:right w:w="15" w:type="dxa"/>
            </w:tcMar>
            <w:vAlign w:val="bottom"/>
            <w:hideMark/>
          </w:tcPr>
          <w:p w14:paraId="5D66F039"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0.072</w:t>
            </w:r>
          </w:p>
        </w:tc>
        <w:tc>
          <w:tcPr>
            <w:tcW w:w="1493" w:type="dxa"/>
            <w:tcBorders>
              <w:top w:val="nil"/>
              <w:left w:val="nil"/>
              <w:bottom w:val="nil"/>
              <w:right w:val="nil"/>
            </w:tcBorders>
            <w:tcMar>
              <w:top w:w="15" w:type="dxa"/>
              <w:left w:w="15" w:type="dxa"/>
              <w:bottom w:w="0" w:type="dxa"/>
              <w:right w:w="15" w:type="dxa"/>
            </w:tcMar>
            <w:vAlign w:val="bottom"/>
            <w:hideMark/>
          </w:tcPr>
          <w:p w14:paraId="511AA8C7"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Body-</w:t>
            </w:r>
            <w:proofErr w:type="spellStart"/>
            <w:r w:rsidRPr="001533EC">
              <w:rPr>
                <w:rFonts w:eastAsia="Times New Roman"/>
                <w:kern w:val="24"/>
                <w:lang w:eastAsia="de-DE"/>
              </w:rPr>
              <w:t>opensea</w:t>
            </w:r>
            <w:proofErr w:type="spellEnd"/>
          </w:p>
        </w:tc>
        <w:tc>
          <w:tcPr>
            <w:tcW w:w="1493" w:type="dxa"/>
            <w:tcBorders>
              <w:top w:val="nil"/>
              <w:left w:val="nil"/>
              <w:bottom w:val="nil"/>
              <w:right w:val="nil"/>
            </w:tcBorders>
            <w:tcMar>
              <w:top w:w="15" w:type="dxa"/>
              <w:left w:w="15" w:type="dxa"/>
              <w:bottom w:w="0" w:type="dxa"/>
              <w:right w:w="15" w:type="dxa"/>
            </w:tcMar>
            <w:vAlign w:val="bottom"/>
            <w:hideMark/>
          </w:tcPr>
          <w:p w14:paraId="06C9AD9E"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IGF1R</w:t>
            </w:r>
          </w:p>
        </w:tc>
      </w:tr>
      <w:tr w:rsidR="00F665AD" w:rsidRPr="001533EC" w14:paraId="4F503BE1"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29A01915"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cg11766580</w:t>
            </w:r>
          </w:p>
        </w:tc>
        <w:tc>
          <w:tcPr>
            <w:tcW w:w="1493" w:type="dxa"/>
            <w:tcBorders>
              <w:top w:val="nil"/>
              <w:left w:val="nil"/>
              <w:bottom w:val="nil"/>
              <w:right w:val="nil"/>
            </w:tcBorders>
            <w:tcMar>
              <w:top w:w="15" w:type="dxa"/>
              <w:left w:w="15" w:type="dxa"/>
              <w:bottom w:w="0" w:type="dxa"/>
              <w:right w:w="15" w:type="dxa"/>
            </w:tcMar>
            <w:vAlign w:val="bottom"/>
            <w:hideMark/>
          </w:tcPr>
          <w:p w14:paraId="7DEF0E9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1.04 x 10</w:t>
            </w:r>
            <w:r w:rsidRPr="001533EC">
              <w:rPr>
                <w:rFonts w:eastAsia="Times New Roman"/>
                <w:kern w:val="24"/>
                <w:position w:val="6"/>
                <w:vertAlign w:val="superscript"/>
                <w:lang w:eastAsia="de-DE"/>
              </w:rPr>
              <w:t>-7</w:t>
            </w:r>
          </w:p>
        </w:tc>
        <w:tc>
          <w:tcPr>
            <w:tcW w:w="1493" w:type="dxa"/>
            <w:tcBorders>
              <w:top w:val="nil"/>
              <w:left w:val="nil"/>
              <w:bottom w:val="nil"/>
              <w:right w:val="nil"/>
            </w:tcBorders>
            <w:tcMar>
              <w:top w:w="15" w:type="dxa"/>
              <w:left w:w="15" w:type="dxa"/>
              <w:bottom w:w="0" w:type="dxa"/>
              <w:right w:w="15" w:type="dxa"/>
            </w:tcMar>
            <w:vAlign w:val="bottom"/>
            <w:hideMark/>
          </w:tcPr>
          <w:p w14:paraId="5710F25B"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0.0017</w:t>
            </w:r>
          </w:p>
        </w:tc>
        <w:tc>
          <w:tcPr>
            <w:tcW w:w="1493" w:type="dxa"/>
            <w:tcBorders>
              <w:top w:val="nil"/>
              <w:left w:val="nil"/>
              <w:bottom w:val="nil"/>
              <w:right w:val="nil"/>
            </w:tcBorders>
            <w:tcMar>
              <w:top w:w="15" w:type="dxa"/>
              <w:left w:w="15" w:type="dxa"/>
              <w:bottom w:w="0" w:type="dxa"/>
              <w:right w:w="15" w:type="dxa"/>
            </w:tcMar>
            <w:vAlign w:val="bottom"/>
            <w:hideMark/>
          </w:tcPr>
          <w:p w14:paraId="402E6BFE"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0.066</w:t>
            </w:r>
          </w:p>
        </w:tc>
        <w:tc>
          <w:tcPr>
            <w:tcW w:w="1493" w:type="dxa"/>
            <w:tcBorders>
              <w:top w:val="nil"/>
              <w:left w:val="nil"/>
              <w:bottom w:val="nil"/>
              <w:right w:val="nil"/>
            </w:tcBorders>
            <w:tcMar>
              <w:top w:w="15" w:type="dxa"/>
              <w:left w:w="15" w:type="dxa"/>
              <w:bottom w:w="0" w:type="dxa"/>
              <w:right w:w="15" w:type="dxa"/>
            </w:tcMar>
            <w:vAlign w:val="bottom"/>
            <w:hideMark/>
          </w:tcPr>
          <w:p w14:paraId="4FF1CE6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5'UTR-opensea</w:t>
            </w:r>
          </w:p>
        </w:tc>
        <w:tc>
          <w:tcPr>
            <w:tcW w:w="1493" w:type="dxa"/>
            <w:tcBorders>
              <w:top w:val="nil"/>
              <w:left w:val="nil"/>
              <w:bottom w:val="nil"/>
              <w:right w:val="nil"/>
            </w:tcBorders>
            <w:tcMar>
              <w:top w:w="15" w:type="dxa"/>
              <w:left w:w="15" w:type="dxa"/>
              <w:bottom w:w="0" w:type="dxa"/>
              <w:right w:w="15" w:type="dxa"/>
            </w:tcMar>
            <w:vAlign w:val="bottom"/>
            <w:hideMark/>
          </w:tcPr>
          <w:p w14:paraId="0A894607"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AFAP1</w:t>
            </w:r>
          </w:p>
        </w:tc>
      </w:tr>
      <w:tr w:rsidR="00F665AD" w:rsidRPr="001533EC" w14:paraId="2AD7C5CB" w14:textId="77777777" w:rsidTr="00652F66">
        <w:trPr>
          <w:trHeight w:val="289"/>
        </w:trPr>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54160F90"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cg17586533</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6D5FE592"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1.49 x 10</w:t>
            </w:r>
            <w:r w:rsidRPr="001533EC">
              <w:rPr>
                <w:rFonts w:eastAsia="Times New Roman"/>
                <w:kern w:val="24"/>
                <w:position w:val="6"/>
                <w:vertAlign w:val="superscript"/>
                <w:lang w:eastAsia="de-DE"/>
              </w:rPr>
              <w:t>-4</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12F6FF36"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0.0349</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28A9871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0.065</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0AB17533"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TSS1500-shore</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54E9DD33"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TMEM70</w:t>
            </w:r>
          </w:p>
        </w:tc>
      </w:tr>
      <w:tr w:rsidR="00F665AD" w:rsidRPr="001533EC" w14:paraId="08E05ABC" w14:textId="77777777" w:rsidTr="00652F66">
        <w:trPr>
          <w:trHeight w:val="289"/>
        </w:trPr>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32CBD58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cg12534199</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50CBCBF9"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1.47 x 10</w:t>
            </w:r>
            <w:r w:rsidRPr="001533EC">
              <w:rPr>
                <w:rFonts w:eastAsia="Times New Roman"/>
                <w:kern w:val="24"/>
                <w:position w:val="6"/>
                <w:vertAlign w:val="superscript"/>
                <w:lang w:eastAsia="de-DE"/>
              </w:rPr>
              <w:t>-4</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355CFC2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0.035</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4B4339B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-0.109</w:t>
            </w:r>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6D0911F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IGR-</w:t>
            </w:r>
            <w:proofErr w:type="spellStart"/>
            <w:r w:rsidRPr="001533EC">
              <w:rPr>
                <w:rFonts w:eastAsia="Times New Roman"/>
                <w:kern w:val="24"/>
                <w:lang w:eastAsia="de-DE"/>
              </w:rPr>
              <w:t>opensea</w:t>
            </w:r>
            <w:proofErr w:type="spellEnd"/>
          </w:p>
        </w:tc>
        <w:tc>
          <w:tcPr>
            <w:tcW w:w="1493" w:type="dxa"/>
            <w:tcBorders>
              <w:top w:val="single" w:sz="8" w:space="0" w:color="000000"/>
              <w:left w:val="nil"/>
              <w:bottom w:val="nil"/>
              <w:right w:val="nil"/>
            </w:tcBorders>
            <w:tcMar>
              <w:top w:w="15" w:type="dxa"/>
              <w:left w:w="15" w:type="dxa"/>
              <w:bottom w:w="0" w:type="dxa"/>
              <w:right w:w="15" w:type="dxa"/>
            </w:tcMar>
            <w:vAlign w:val="center"/>
            <w:hideMark/>
          </w:tcPr>
          <w:p w14:paraId="10041D2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w:t>
            </w:r>
          </w:p>
        </w:tc>
      </w:tr>
      <w:tr w:rsidR="00F665AD" w:rsidRPr="001533EC" w14:paraId="35977B4A"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22059CC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cg10590925</w:t>
            </w:r>
          </w:p>
        </w:tc>
        <w:tc>
          <w:tcPr>
            <w:tcW w:w="1493" w:type="dxa"/>
            <w:tcBorders>
              <w:top w:val="nil"/>
              <w:left w:val="nil"/>
              <w:bottom w:val="nil"/>
              <w:right w:val="nil"/>
            </w:tcBorders>
            <w:tcMar>
              <w:top w:w="15" w:type="dxa"/>
              <w:left w:w="15" w:type="dxa"/>
              <w:bottom w:w="0" w:type="dxa"/>
              <w:right w:w="15" w:type="dxa"/>
            </w:tcMar>
            <w:vAlign w:val="center"/>
            <w:hideMark/>
          </w:tcPr>
          <w:p w14:paraId="4C5CB79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2.83 x 10</w:t>
            </w:r>
            <w:r w:rsidRPr="001533EC">
              <w:rPr>
                <w:rFonts w:eastAsia="Times New Roman"/>
                <w:kern w:val="24"/>
                <w:position w:val="6"/>
                <w:vertAlign w:val="superscript"/>
                <w:lang w:eastAsia="de-DE"/>
              </w:rPr>
              <w:t>-6</w:t>
            </w:r>
          </w:p>
        </w:tc>
        <w:tc>
          <w:tcPr>
            <w:tcW w:w="1493" w:type="dxa"/>
            <w:tcBorders>
              <w:top w:val="nil"/>
              <w:left w:val="nil"/>
              <w:bottom w:val="nil"/>
              <w:right w:val="nil"/>
            </w:tcBorders>
            <w:tcMar>
              <w:top w:w="15" w:type="dxa"/>
              <w:left w:w="15" w:type="dxa"/>
              <w:bottom w:w="0" w:type="dxa"/>
              <w:right w:w="15" w:type="dxa"/>
            </w:tcMar>
            <w:vAlign w:val="center"/>
            <w:hideMark/>
          </w:tcPr>
          <w:p w14:paraId="1BFBFD44"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0.007</w:t>
            </w:r>
          </w:p>
        </w:tc>
        <w:tc>
          <w:tcPr>
            <w:tcW w:w="1493" w:type="dxa"/>
            <w:tcBorders>
              <w:top w:val="nil"/>
              <w:left w:val="nil"/>
              <w:bottom w:val="nil"/>
              <w:right w:val="nil"/>
            </w:tcBorders>
            <w:tcMar>
              <w:top w:w="15" w:type="dxa"/>
              <w:left w:w="15" w:type="dxa"/>
              <w:bottom w:w="0" w:type="dxa"/>
              <w:right w:w="15" w:type="dxa"/>
            </w:tcMar>
            <w:vAlign w:val="center"/>
            <w:hideMark/>
          </w:tcPr>
          <w:p w14:paraId="2D2FD24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-0.100</w:t>
            </w:r>
          </w:p>
        </w:tc>
        <w:tc>
          <w:tcPr>
            <w:tcW w:w="1493" w:type="dxa"/>
            <w:tcBorders>
              <w:top w:val="nil"/>
              <w:left w:val="nil"/>
              <w:bottom w:val="nil"/>
              <w:right w:val="nil"/>
            </w:tcBorders>
            <w:tcMar>
              <w:top w:w="15" w:type="dxa"/>
              <w:left w:w="15" w:type="dxa"/>
              <w:bottom w:w="0" w:type="dxa"/>
              <w:right w:w="15" w:type="dxa"/>
            </w:tcMar>
            <w:vAlign w:val="center"/>
            <w:hideMark/>
          </w:tcPr>
          <w:p w14:paraId="1EA2A69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Body-shore</w:t>
            </w:r>
          </w:p>
        </w:tc>
        <w:tc>
          <w:tcPr>
            <w:tcW w:w="1493" w:type="dxa"/>
            <w:tcBorders>
              <w:top w:val="nil"/>
              <w:left w:val="nil"/>
              <w:bottom w:val="nil"/>
              <w:right w:val="nil"/>
            </w:tcBorders>
            <w:tcMar>
              <w:top w:w="15" w:type="dxa"/>
              <w:left w:w="15" w:type="dxa"/>
              <w:bottom w:w="0" w:type="dxa"/>
              <w:right w:w="15" w:type="dxa"/>
            </w:tcMar>
            <w:vAlign w:val="center"/>
            <w:hideMark/>
          </w:tcPr>
          <w:p w14:paraId="60DDBC8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63F4C11F"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0F618859"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cg18661872</w:t>
            </w:r>
          </w:p>
        </w:tc>
        <w:tc>
          <w:tcPr>
            <w:tcW w:w="1493" w:type="dxa"/>
            <w:tcBorders>
              <w:top w:val="nil"/>
              <w:left w:val="nil"/>
              <w:bottom w:val="nil"/>
              <w:right w:val="nil"/>
            </w:tcBorders>
            <w:tcMar>
              <w:top w:w="15" w:type="dxa"/>
              <w:left w:w="15" w:type="dxa"/>
              <w:bottom w:w="0" w:type="dxa"/>
              <w:right w:w="15" w:type="dxa"/>
            </w:tcMar>
            <w:vAlign w:val="center"/>
            <w:hideMark/>
          </w:tcPr>
          <w:p w14:paraId="2BB8763B"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2.90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5E9C7C3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0.045</w:t>
            </w:r>
          </w:p>
        </w:tc>
        <w:tc>
          <w:tcPr>
            <w:tcW w:w="1493" w:type="dxa"/>
            <w:tcBorders>
              <w:top w:val="nil"/>
              <w:left w:val="nil"/>
              <w:bottom w:val="nil"/>
              <w:right w:val="nil"/>
            </w:tcBorders>
            <w:tcMar>
              <w:top w:w="15" w:type="dxa"/>
              <w:left w:w="15" w:type="dxa"/>
              <w:bottom w:w="0" w:type="dxa"/>
              <w:right w:w="15" w:type="dxa"/>
            </w:tcMar>
            <w:vAlign w:val="center"/>
            <w:hideMark/>
          </w:tcPr>
          <w:p w14:paraId="345722F4"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-0.096</w:t>
            </w:r>
          </w:p>
        </w:tc>
        <w:tc>
          <w:tcPr>
            <w:tcW w:w="1493" w:type="dxa"/>
            <w:tcBorders>
              <w:top w:val="nil"/>
              <w:left w:val="nil"/>
              <w:bottom w:val="nil"/>
              <w:right w:val="nil"/>
            </w:tcBorders>
            <w:tcMar>
              <w:top w:w="15" w:type="dxa"/>
              <w:left w:w="15" w:type="dxa"/>
              <w:bottom w:w="0" w:type="dxa"/>
              <w:right w:w="15" w:type="dxa"/>
            </w:tcMar>
            <w:vAlign w:val="center"/>
            <w:hideMark/>
          </w:tcPr>
          <w:p w14:paraId="0DE4A89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IGR-</w:t>
            </w:r>
            <w:proofErr w:type="spellStart"/>
            <w:r w:rsidRPr="001533EC">
              <w:rPr>
                <w:rFonts w:eastAsia="Times New Roman"/>
                <w:kern w:val="24"/>
                <w:lang w:eastAsia="de-DE"/>
              </w:rPr>
              <w:t>opensea</w:t>
            </w:r>
            <w:proofErr w:type="spellEnd"/>
          </w:p>
        </w:tc>
        <w:tc>
          <w:tcPr>
            <w:tcW w:w="1493" w:type="dxa"/>
            <w:tcBorders>
              <w:top w:val="nil"/>
              <w:left w:val="nil"/>
              <w:bottom w:val="nil"/>
              <w:right w:val="nil"/>
            </w:tcBorders>
            <w:tcMar>
              <w:top w:w="15" w:type="dxa"/>
              <w:left w:w="15" w:type="dxa"/>
              <w:bottom w:w="0" w:type="dxa"/>
              <w:right w:w="15" w:type="dxa"/>
            </w:tcMar>
            <w:vAlign w:val="center"/>
            <w:hideMark/>
          </w:tcPr>
          <w:p w14:paraId="1825247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w:t>
            </w:r>
          </w:p>
        </w:tc>
      </w:tr>
      <w:tr w:rsidR="00F665AD" w:rsidRPr="001533EC" w14:paraId="609F2BF4"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3FA19E93"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cg17416644</w:t>
            </w:r>
          </w:p>
        </w:tc>
        <w:tc>
          <w:tcPr>
            <w:tcW w:w="1493" w:type="dxa"/>
            <w:tcBorders>
              <w:top w:val="nil"/>
              <w:left w:val="nil"/>
              <w:bottom w:val="nil"/>
              <w:right w:val="nil"/>
            </w:tcBorders>
            <w:tcMar>
              <w:top w:w="15" w:type="dxa"/>
              <w:left w:w="15" w:type="dxa"/>
              <w:bottom w:w="0" w:type="dxa"/>
              <w:right w:w="15" w:type="dxa"/>
            </w:tcMar>
            <w:vAlign w:val="center"/>
            <w:hideMark/>
          </w:tcPr>
          <w:p w14:paraId="364D3ED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6.29 x 10</w:t>
            </w:r>
            <w:r w:rsidRPr="001533EC">
              <w:rPr>
                <w:rFonts w:eastAsia="Times New Roman"/>
                <w:kern w:val="24"/>
                <w:position w:val="6"/>
                <w:vertAlign w:val="superscript"/>
                <w:lang w:eastAsia="de-DE"/>
              </w:rPr>
              <w:t>-6</w:t>
            </w:r>
          </w:p>
        </w:tc>
        <w:tc>
          <w:tcPr>
            <w:tcW w:w="1493" w:type="dxa"/>
            <w:tcBorders>
              <w:top w:val="nil"/>
              <w:left w:val="nil"/>
              <w:bottom w:val="nil"/>
              <w:right w:val="nil"/>
            </w:tcBorders>
            <w:tcMar>
              <w:top w:w="15" w:type="dxa"/>
              <w:left w:w="15" w:type="dxa"/>
              <w:bottom w:w="0" w:type="dxa"/>
              <w:right w:w="15" w:type="dxa"/>
            </w:tcMar>
            <w:vAlign w:val="center"/>
            <w:hideMark/>
          </w:tcPr>
          <w:p w14:paraId="4C70F5A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0.009</w:t>
            </w:r>
          </w:p>
        </w:tc>
        <w:tc>
          <w:tcPr>
            <w:tcW w:w="1493" w:type="dxa"/>
            <w:tcBorders>
              <w:top w:val="nil"/>
              <w:left w:val="nil"/>
              <w:bottom w:val="nil"/>
              <w:right w:val="nil"/>
            </w:tcBorders>
            <w:tcMar>
              <w:top w:w="15" w:type="dxa"/>
              <w:left w:w="15" w:type="dxa"/>
              <w:bottom w:w="0" w:type="dxa"/>
              <w:right w:w="15" w:type="dxa"/>
            </w:tcMar>
            <w:vAlign w:val="center"/>
            <w:hideMark/>
          </w:tcPr>
          <w:p w14:paraId="248DEEC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-0.088</w:t>
            </w:r>
          </w:p>
        </w:tc>
        <w:tc>
          <w:tcPr>
            <w:tcW w:w="1493" w:type="dxa"/>
            <w:tcBorders>
              <w:top w:val="nil"/>
              <w:left w:val="nil"/>
              <w:bottom w:val="nil"/>
              <w:right w:val="nil"/>
            </w:tcBorders>
            <w:tcMar>
              <w:top w:w="15" w:type="dxa"/>
              <w:left w:w="15" w:type="dxa"/>
              <w:bottom w:w="0" w:type="dxa"/>
              <w:right w:w="15" w:type="dxa"/>
            </w:tcMar>
            <w:vAlign w:val="center"/>
            <w:hideMark/>
          </w:tcPr>
          <w:p w14:paraId="740EF919"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Body-shelf</w:t>
            </w:r>
          </w:p>
        </w:tc>
        <w:tc>
          <w:tcPr>
            <w:tcW w:w="1493" w:type="dxa"/>
            <w:tcBorders>
              <w:top w:val="nil"/>
              <w:left w:val="nil"/>
              <w:bottom w:val="nil"/>
              <w:right w:val="nil"/>
            </w:tcBorders>
            <w:tcMar>
              <w:top w:w="15" w:type="dxa"/>
              <w:left w:w="15" w:type="dxa"/>
              <w:bottom w:w="0" w:type="dxa"/>
              <w:right w:w="15" w:type="dxa"/>
            </w:tcMar>
            <w:vAlign w:val="center"/>
            <w:hideMark/>
          </w:tcPr>
          <w:p w14:paraId="7D7730F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04AE2C50"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55662BF2"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cg17429870</w:t>
            </w:r>
          </w:p>
        </w:tc>
        <w:tc>
          <w:tcPr>
            <w:tcW w:w="1493" w:type="dxa"/>
            <w:tcBorders>
              <w:top w:val="nil"/>
              <w:left w:val="nil"/>
              <w:bottom w:val="nil"/>
              <w:right w:val="nil"/>
            </w:tcBorders>
            <w:tcMar>
              <w:top w:w="15" w:type="dxa"/>
              <w:left w:w="15" w:type="dxa"/>
              <w:bottom w:w="0" w:type="dxa"/>
              <w:right w:w="15" w:type="dxa"/>
            </w:tcMar>
            <w:vAlign w:val="center"/>
            <w:hideMark/>
          </w:tcPr>
          <w:p w14:paraId="4BB0C9D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1.01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center"/>
            <w:hideMark/>
          </w:tcPr>
          <w:p w14:paraId="583D132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0.011</w:t>
            </w:r>
          </w:p>
        </w:tc>
        <w:tc>
          <w:tcPr>
            <w:tcW w:w="1493" w:type="dxa"/>
            <w:tcBorders>
              <w:top w:val="nil"/>
              <w:left w:val="nil"/>
              <w:bottom w:val="nil"/>
              <w:right w:val="nil"/>
            </w:tcBorders>
            <w:tcMar>
              <w:top w:w="15" w:type="dxa"/>
              <w:left w:w="15" w:type="dxa"/>
              <w:bottom w:w="0" w:type="dxa"/>
              <w:right w:w="15" w:type="dxa"/>
            </w:tcMar>
            <w:vAlign w:val="center"/>
            <w:hideMark/>
          </w:tcPr>
          <w:p w14:paraId="3A14A04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-0.087</w:t>
            </w:r>
          </w:p>
        </w:tc>
        <w:tc>
          <w:tcPr>
            <w:tcW w:w="1493" w:type="dxa"/>
            <w:tcBorders>
              <w:top w:val="nil"/>
              <w:left w:val="nil"/>
              <w:bottom w:val="nil"/>
              <w:right w:val="nil"/>
            </w:tcBorders>
            <w:tcMar>
              <w:top w:w="15" w:type="dxa"/>
              <w:left w:w="15" w:type="dxa"/>
              <w:bottom w:w="0" w:type="dxa"/>
              <w:right w:w="15" w:type="dxa"/>
            </w:tcMar>
            <w:vAlign w:val="center"/>
            <w:hideMark/>
          </w:tcPr>
          <w:p w14:paraId="445586DB"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Body-shore</w:t>
            </w:r>
          </w:p>
        </w:tc>
        <w:tc>
          <w:tcPr>
            <w:tcW w:w="1493" w:type="dxa"/>
            <w:tcBorders>
              <w:top w:val="nil"/>
              <w:left w:val="nil"/>
              <w:bottom w:val="nil"/>
              <w:right w:val="nil"/>
            </w:tcBorders>
            <w:tcMar>
              <w:top w:w="15" w:type="dxa"/>
              <w:left w:w="15" w:type="dxa"/>
              <w:bottom w:w="0" w:type="dxa"/>
              <w:right w:w="15" w:type="dxa"/>
            </w:tcMar>
            <w:vAlign w:val="center"/>
            <w:hideMark/>
          </w:tcPr>
          <w:p w14:paraId="202348D7"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5DF7AC41"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28E6A220"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cg06231783</w:t>
            </w:r>
          </w:p>
        </w:tc>
        <w:tc>
          <w:tcPr>
            <w:tcW w:w="1493" w:type="dxa"/>
            <w:tcBorders>
              <w:top w:val="nil"/>
              <w:left w:val="nil"/>
              <w:bottom w:val="nil"/>
              <w:right w:val="nil"/>
            </w:tcBorders>
            <w:tcMar>
              <w:top w:w="15" w:type="dxa"/>
              <w:left w:w="15" w:type="dxa"/>
              <w:bottom w:w="0" w:type="dxa"/>
              <w:right w:w="15" w:type="dxa"/>
            </w:tcMar>
            <w:vAlign w:val="center"/>
            <w:hideMark/>
          </w:tcPr>
          <w:p w14:paraId="32E66DC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2.13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center"/>
            <w:hideMark/>
          </w:tcPr>
          <w:p w14:paraId="4D0E686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0.015</w:t>
            </w:r>
          </w:p>
        </w:tc>
        <w:tc>
          <w:tcPr>
            <w:tcW w:w="1493" w:type="dxa"/>
            <w:tcBorders>
              <w:top w:val="nil"/>
              <w:left w:val="nil"/>
              <w:bottom w:val="nil"/>
              <w:right w:val="nil"/>
            </w:tcBorders>
            <w:tcMar>
              <w:top w:w="15" w:type="dxa"/>
              <w:left w:w="15" w:type="dxa"/>
              <w:bottom w:w="0" w:type="dxa"/>
              <w:right w:w="15" w:type="dxa"/>
            </w:tcMar>
            <w:vAlign w:val="center"/>
            <w:hideMark/>
          </w:tcPr>
          <w:p w14:paraId="3CC8DE1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-0.074</w:t>
            </w:r>
          </w:p>
        </w:tc>
        <w:tc>
          <w:tcPr>
            <w:tcW w:w="1493" w:type="dxa"/>
            <w:tcBorders>
              <w:top w:val="nil"/>
              <w:left w:val="nil"/>
              <w:bottom w:val="nil"/>
              <w:right w:val="nil"/>
            </w:tcBorders>
            <w:tcMar>
              <w:top w:w="15" w:type="dxa"/>
              <w:left w:w="15" w:type="dxa"/>
              <w:bottom w:w="0" w:type="dxa"/>
              <w:right w:w="15" w:type="dxa"/>
            </w:tcMar>
            <w:vAlign w:val="center"/>
            <w:hideMark/>
          </w:tcPr>
          <w:p w14:paraId="00FDC113"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Body-shelf</w:t>
            </w:r>
          </w:p>
        </w:tc>
        <w:tc>
          <w:tcPr>
            <w:tcW w:w="1493" w:type="dxa"/>
            <w:tcBorders>
              <w:top w:val="nil"/>
              <w:left w:val="nil"/>
              <w:bottom w:val="nil"/>
              <w:right w:val="nil"/>
            </w:tcBorders>
            <w:tcMar>
              <w:top w:w="15" w:type="dxa"/>
              <w:left w:w="15" w:type="dxa"/>
              <w:bottom w:w="0" w:type="dxa"/>
              <w:right w:w="15" w:type="dxa"/>
            </w:tcMar>
            <w:vAlign w:val="center"/>
            <w:hideMark/>
          </w:tcPr>
          <w:p w14:paraId="21E4B4C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3064DBE3"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019811E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cg05820861</w:t>
            </w:r>
          </w:p>
        </w:tc>
        <w:tc>
          <w:tcPr>
            <w:tcW w:w="1493" w:type="dxa"/>
            <w:tcBorders>
              <w:top w:val="nil"/>
              <w:left w:val="nil"/>
              <w:bottom w:val="nil"/>
              <w:right w:val="nil"/>
            </w:tcBorders>
            <w:tcMar>
              <w:top w:w="15" w:type="dxa"/>
              <w:left w:w="15" w:type="dxa"/>
              <w:bottom w:w="0" w:type="dxa"/>
              <w:right w:w="15" w:type="dxa"/>
            </w:tcMar>
            <w:vAlign w:val="center"/>
            <w:hideMark/>
          </w:tcPr>
          <w:p w14:paraId="41F42D80"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4.63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center"/>
            <w:hideMark/>
          </w:tcPr>
          <w:p w14:paraId="4F826C21"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0.021</w:t>
            </w:r>
          </w:p>
        </w:tc>
        <w:tc>
          <w:tcPr>
            <w:tcW w:w="1493" w:type="dxa"/>
            <w:tcBorders>
              <w:top w:val="nil"/>
              <w:left w:val="nil"/>
              <w:bottom w:val="nil"/>
              <w:right w:val="nil"/>
            </w:tcBorders>
            <w:tcMar>
              <w:top w:w="15" w:type="dxa"/>
              <w:left w:w="15" w:type="dxa"/>
              <w:bottom w:w="0" w:type="dxa"/>
              <w:right w:w="15" w:type="dxa"/>
            </w:tcMar>
            <w:vAlign w:val="center"/>
            <w:hideMark/>
          </w:tcPr>
          <w:p w14:paraId="597B111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-0.071</w:t>
            </w:r>
          </w:p>
        </w:tc>
        <w:tc>
          <w:tcPr>
            <w:tcW w:w="1493" w:type="dxa"/>
            <w:tcBorders>
              <w:top w:val="nil"/>
              <w:left w:val="nil"/>
              <w:bottom w:val="nil"/>
              <w:right w:val="nil"/>
            </w:tcBorders>
            <w:tcMar>
              <w:top w:w="15" w:type="dxa"/>
              <w:left w:w="15" w:type="dxa"/>
              <w:bottom w:w="0" w:type="dxa"/>
              <w:right w:w="15" w:type="dxa"/>
            </w:tcMar>
            <w:vAlign w:val="center"/>
            <w:hideMark/>
          </w:tcPr>
          <w:p w14:paraId="614C91A6"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TSS1500-island</w:t>
            </w:r>
          </w:p>
        </w:tc>
        <w:tc>
          <w:tcPr>
            <w:tcW w:w="1493" w:type="dxa"/>
            <w:tcBorders>
              <w:top w:val="nil"/>
              <w:left w:val="nil"/>
              <w:bottom w:val="nil"/>
              <w:right w:val="nil"/>
            </w:tcBorders>
            <w:tcMar>
              <w:top w:w="15" w:type="dxa"/>
              <w:left w:w="15" w:type="dxa"/>
              <w:bottom w:w="0" w:type="dxa"/>
              <w:right w:w="15" w:type="dxa"/>
            </w:tcMar>
            <w:vAlign w:val="center"/>
            <w:hideMark/>
          </w:tcPr>
          <w:p w14:paraId="517C80C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C1QTNF9</w:t>
            </w:r>
          </w:p>
        </w:tc>
      </w:tr>
      <w:tr w:rsidR="00F665AD" w:rsidRPr="001533EC" w14:paraId="0746D98E"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2854508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cg09062922</w:t>
            </w:r>
          </w:p>
        </w:tc>
        <w:tc>
          <w:tcPr>
            <w:tcW w:w="1493" w:type="dxa"/>
            <w:tcBorders>
              <w:top w:val="nil"/>
              <w:left w:val="nil"/>
              <w:bottom w:val="nil"/>
              <w:right w:val="nil"/>
            </w:tcBorders>
            <w:tcMar>
              <w:top w:w="15" w:type="dxa"/>
              <w:left w:w="15" w:type="dxa"/>
              <w:bottom w:w="0" w:type="dxa"/>
              <w:right w:w="15" w:type="dxa"/>
            </w:tcMar>
            <w:vAlign w:val="center"/>
            <w:hideMark/>
          </w:tcPr>
          <w:p w14:paraId="45A24CAB"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1.59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7E641F19"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0.036</w:t>
            </w:r>
          </w:p>
        </w:tc>
        <w:tc>
          <w:tcPr>
            <w:tcW w:w="1493" w:type="dxa"/>
            <w:tcBorders>
              <w:top w:val="nil"/>
              <w:left w:val="nil"/>
              <w:bottom w:val="nil"/>
              <w:right w:val="nil"/>
            </w:tcBorders>
            <w:tcMar>
              <w:top w:w="15" w:type="dxa"/>
              <w:left w:w="15" w:type="dxa"/>
              <w:bottom w:w="0" w:type="dxa"/>
              <w:right w:w="15" w:type="dxa"/>
            </w:tcMar>
            <w:vAlign w:val="center"/>
            <w:hideMark/>
          </w:tcPr>
          <w:p w14:paraId="620A0042"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-0.071</w:t>
            </w:r>
          </w:p>
        </w:tc>
        <w:tc>
          <w:tcPr>
            <w:tcW w:w="1493" w:type="dxa"/>
            <w:tcBorders>
              <w:top w:val="nil"/>
              <w:left w:val="nil"/>
              <w:bottom w:val="nil"/>
              <w:right w:val="nil"/>
            </w:tcBorders>
            <w:tcMar>
              <w:top w:w="15" w:type="dxa"/>
              <w:left w:w="15" w:type="dxa"/>
              <w:bottom w:w="0" w:type="dxa"/>
              <w:right w:w="15" w:type="dxa"/>
            </w:tcMar>
            <w:vAlign w:val="center"/>
            <w:hideMark/>
          </w:tcPr>
          <w:p w14:paraId="34B8DFA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IGR-</w:t>
            </w:r>
            <w:proofErr w:type="spellStart"/>
            <w:r w:rsidRPr="001533EC">
              <w:rPr>
                <w:rFonts w:eastAsia="Times New Roman"/>
                <w:kern w:val="24"/>
                <w:lang w:eastAsia="de-DE"/>
              </w:rPr>
              <w:t>opensea</w:t>
            </w:r>
            <w:proofErr w:type="spellEnd"/>
          </w:p>
        </w:tc>
        <w:tc>
          <w:tcPr>
            <w:tcW w:w="1493" w:type="dxa"/>
            <w:tcBorders>
              <w:top w:val="nil"/>
              <w:left w:val="nil"/>
              <w:bottom w:val="nil"/>
              <w:right w:val="nil"/>
            </w:tcBorders>
            <w:tcMar>
              <w:top w:w="15" w:type="dxa"/>
              <w:left w:w="15" w:type="dxa"/>
              <w:bottom w:w="0" w:type="dxa"/>
              <w:right w:w="15" w:type="dxa"/>
            </w:tcMar>
            <w:vAlign w:val="center"/>
            <w:hideMark/>
          </w:tcPr>
          <w:p w14:paraId="336A122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w:t>
            </w:r>
          </w:p>
        </w:tc>
      </w:tr>
      <w:tr w:rsidR="00F665AD" w:rsidRPr="001533EC" w14:paraId="016FC306"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4414D45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cg14064268</w:t>
            </w:r>
          </w:p>
        </w:tc>
        <w:tc>
          <w:tcPr>
            <w:tcW w:w="1493" w:type="dxa"/>
            <w:tcBorders>
              <w:top w:val="nil"/>
              <w:left w:val="nil"/>
              <w:bottom w:val="nil"/>
              <w:right w:val="nil"/>
            </w:tcBorders>
            <w:tcMar>
              <w:top w:w="15" w:type="dxa"/>
              <w:left w:w="15" w:type="dxa"/>
              <w:bottom w:w="0" w:type="dxa"/>
              <w:right w:w="15" w:type="dxa"/>
            </w:tcMar>
            <w:vAlign w:val="center"/>
            <w:hideMark/>
          </w:tcPr>
          <w:p w14:paraId="6E22A01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2.16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41654D34"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0.040</w:t>
            </w:r>
          </w:p>
        </w:tc>
        <w:tc>
          <w:tcPr>
            <w:tcW w:w="1493" w:type="dxa"/>
            <w:tcBorders>
              <w:top w:val="nil"/>
              <w:left w:val="nil"/>
              <w:bottom w:val="nil"/>
              <w:right w:val="nil"/>
            </w:tcBorders>
            <w:tcMar>
              <w:top w:w="15" w:type="dxa"/>
              <w:left w:w="15" w:type="dxa"/>
              <w:bottom w:w="0" w:type="dxa"/>
              <w:right w:w="15" w:type="dxa"/>
            </w:tcMar>
            <w:vAlign w:val="center"/>
            <w:hideMark/>
          </w:tcPr>
          <w:p w14:paraId="664FA79E"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-0.068</w:t>
            </w:r>
          </w:p>
        </w:tc>
        <w:tc>
          <w:tcPr>
            <w:tcW w:w="1493" w:type="dxa"/>
            <w:tcBorders>
              <w:top w:val="nil"/>
              <w:left w:val="nil"/>
              <w:bottom w:val="nil"/>
              <w:right w:val="nil"/>
            </w:tcBorders>
            <w:tcMar>
              <w:top w:w="15" w:type="dxa"/>
              <w:left w:w="15" w:type="dxa"/>
              <w:bottom w:w="0" w:type="dxa"/>
              <w:right w:w="15" w:type="dxa"/>
            </w:tcMar>
            <w:vAlign w:val="center"/>
            <w:hideMark/>
          </w:tcPr>
          <w:p w14:paraId="18DE4F8A"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Body-shore</w:t>
            </w:r>
          </w:p>
        </w:tc>
        <w:tc>
          <w:tcPr>
            <w:tcW w:w="1493" w:type="dxa"/>
            <w:tcBorders>
              <w:top w:val="nil"/>
              <w:left w:val="nil"/>
              <w:bottom w:val="nil"/>
              <w:right w:val="nil"/>
            </w:tcBorders>
            <w:tcMar>
              <w:top w:w="15" w:type="dxa"/>
              <w:left w:w="15" w:type="dxa"/>
              <w:bottom w:w="0" w:type="dxa"/>
              <w:right w:w="15" w:type="dxa"/>
            </w:tcMar>
            <w:vAlign w:val="center"/>
            <w:hideMark/>
          </w:tcPr>
          <w:p w14:paraId="239E0D45"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66A619CD"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center"/>
            <w:hideMark/>
          </w:tcPr>
          <w:p w14:paraId="37995E13"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cg01283332</w:t>
            </w:r>
          </w:p>
        </w:tc>
        <w:tc>
          <w:tcPr>
            <w:tcW w:w="1493" w:type="dxa"/>
            <w:tcBorders>
              <w:top w:val="nil"/>
              <w:left w:val="nil"/>
              <w:bottom w:val="nil"/>
              <w:right w:val="nil"/>
            </w:tcBorders>
            <w:tcMar>
              <w:top w:w="15" w:type="dxa"/>
              <w:left w:w="15" w:type="dxa"/>
              <w:bottom w:w="0" w:type="dxa"/>
              <w:right w:w="15" w:type="dxa"/>
            </w:tcMar>
            <w:vAlign w:val="center"/>
            <w:hideMark/>
          </w:tcPr>
          <w:p w14:paraId="11BACEC8"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2.40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center"/>
            <w:hideMark/>
          </w:tcPr>
          <w:p w14:paraId="469B7F5C"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0.042</w:t>
            </w:r>
          </w:p>
        </w:tc>
        <w:tc>
          <w:tcPr>
            <w:tcW w:w="1493" w:type="dxa"/>
            <w:tcBorders>
              <w:top w:val="nil"/>
              <w:left w:val="nil"/>
              <w:bottom w:val="nil"/>
              <w:right w:val="nil"/>
            </w:tcBorders>
            <w:tcMar>
              <w:top w:w="15" w:type="dxa"/>
              <w:left w:w="15" w:type="dxa"/>
              <w:bottom w:w="0" w:type="dxa"/>
              <w:right w:w="15" w:type="dxa"/>
            </w:tcMar>
            <w:vAlign w:val="center"/>
            <w:hideMark/>
          </w:tcPr>
          <w:p w14:paraId="5671C8CF"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-0.068</w:t>
            </w:r>
          </w:p>
        </w:tc>
        <w:tc>
          <w:tcPr>
            <w:tcW w:w="1493" w:type="dxa"/>
            <w:tcBorders>
              <w:top w:val="nil"/>
              <w:left w:val="nil"/>
              <w:bottom w:val="nil"/>
              <w:right w:val="nil"/>
            </w:tcBorders>
            <w:tcMar>
              <w:top w:w="15" w:type="dxa"/>
              <w:left w:w="15" w:type="dxa"/>
              <w:bottom w:w="0" w:type="dxa"/>
              <w:right w:w="15" w:type="dxa"/>
            </w:tcMar>
            <w:vAlign w:val="center"/>
            <w:hideMark/>
          </w:tcPr>
          <w:p w14:paraId="6631859D"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IGR-island</w:t>
            </w:r>
          </w:p>
        </w:tc>
        <w:tc>
          <w:tcPr>
            <w:tcW w:w="1493" w:type="dxa"/>
            <w:tcBorders>
              <w:top w:val="nil"/>
              <w:left w:val="nil"/>
              <w:bottom w:val="nil"/>
              <w:right w:val="nil"/>
            </w:tcBorders>
            <w:tcMar>
              <w:top w:w="15" w:type="dxa"/>
              <w:left w:w="15" w:type="dxa"/>
              <w:bottom w:w="0" w:type="dxa"/>
              <w:right w:w="15" w:type="dxa"/>
            </w:tcMar>
            <w:vAlign w:val="center"/>
            <w:hideMark/>
          </w:tcPr>
          <w:p w14:paraId="14DFBEC4" w14:textId="77777777" w:rsidR="00F665AD" w:rsidRPr="001533EC" w:rsidRDefault="00F665AD" w:rsidP="00652F66">
            <w:pPr>
              <w:spacing w:line="360" w:lineRule="auto"/>
              <w:jc w:val="center"/>
              <w:textAlignment w:val="bottom"/>
              <w:rPr>
                <w:rFonts w:ascii="Arial" w:eastAsia="Times New Roman" w:hAnsi="Arial" w:cs="Arial"/>
                <w:sz w:val="36"/>
                <w:szCs w:val="36"/>
                <w:lang w:eastAsia="de-DE"/>
              </w:rPr>
            </w:pPr>
            <w:r w:rsidRPr="001533EC">
              <w:rPr>
                <w:rFonts w:eastAsia="Times New Roman"/>
                <w:i/>
                <w:iCs/>
                <w:kern w:val="24"/>
                <w:lang w:eastAsia="de-DE"/>
              </w:rPr>
              <w:t>-</w:t>
            </w:r>
          </w:p>
        </w:tc>
      </w:tr>
      <w:tr w:rsidR="00F665AD" w:rsidRPr="001533EC" w14:paraId="22190787"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0D38BAF2"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cg20790798</w:t>
            </w:r>
          </w:p>
        </w:tc>
        <w:tc>
          <w:tcPr>
            <w:tcW w:w="1493" w:type="dxa"/>
            <w:tcBorders>
              <w:top w:val="nil"/>
              <w:left w:val="nil"/>
              <w:bottom w:val="nil"/>
              <w:right w:val="nil"/>
            </w:tcBorders>
            <w:tcMar>
              <w:top w:w="15" w:type="dxa"/>
              <w:left w:w="15" w:type="dxa"/>
              <w:bottom w:w="0" w:type="dxa"/>
              <w:right w:w="15" w:type="dxa"/>
            </w:tcMar>
            <w:vAlign w:val="bottom"/>
            <w:hideMark/>
          </w:tcPr>
          <w:p w14:paraId="546897DA"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3.16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bottom"/>
            <w:hideMark/>
          </w:tcPr>
          <w:p w14:paraId="4B965A0A"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0.018</w:t>
            </w:r>
          </w:p>
        </w:tc>
        <w:tc>
          <w:tcPr>
            <w:tcW w:w="1493" w:type="dxa"/>
            <w:tcBorders>
              <w:top w:val="nil"/>
              <w:left w:val="nil"/>
              <w:bottom w:val="nil"/>
              <w:right w:val="nil"/>
            </w:tcBorders>
            <w:tcMar>
              <w:top w:w="15" w:type="dxa"/>
              <w:left w:w="15" w:type="dxa"/>
              <w:bottom w:w="0" w:type="dxa"/>
              <w:right w:w="15" w:type="dxa"/>
            </w:tcMar>
            <w:vAlign w:val="bottom"/>
            <w:hideMark/>
          </w:tcPr>
          <w:p w14:paraId="62091549"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-0.063</w:t>
            </w:r>
          </w:p>
        </w:tc>
        <w:tc>
          <w:tcPr>
            <w:tcW w:w="1493" w:type="dxa"/>
            <w:tcBorders>
              <w:top w:val="nil"/>
              <w:left w:val="nil"/>
              <w:bottom w:val="nil"/>
              <w:right w:val="nil"/>
            </w:tcBorders>
            <w:tcMar>
              <w:top w:w="15" w:type="dxa"/>
              <w:left w:w="15" w:type="dxa"/>
              <w:bottom w:w="0" w:type="dxa"/>
              <w:right w:w="15" w:type="dxa"/>
            </w:tcMar>
            <w:vAlign w:val="bottom"/>
            <w:hideMark/>
          </w:tcPr>
          <w:p w14:paraId="118281B1"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IGR-island</w:t>
            </w:r>
          </w:p>
        </w:tc>
        <w:tc>
          <w:tcPr>
            <w:tcW w:w="1493" w:type="dxa"/>
            <w:tcBorders>
              <w:top w:val="nil"/>
              <w:left w:val="nil"/>
              <w:bottom w:val="nil"/>
              <w:right w:val="nil"/>
            </w:tcBorders>
            <w:tcMar>
              <w:top w:w="15" w:type="dxa"/>
              <w:left w:w="15" w:type="dxa"/>
              <w:bottom w:w="0" w:type="dxa"/>
              <w:right w:w="15" w:type="dxa"/>
            </w:tcMar>
            <w:vAlign w:val="bottom"/>
            <w:hideMark/>
          </w:tcPr>
          <w:p w14:paraId="56B6138E"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w:t>
            </w:r>
          </w:p>
        </w:tc>
      </w:tr>
      <w:tr w:rsidR="00F665AD" w:rsidRPr="001533EC" w14:paraId="74A1D028"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354290D3"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cg12186219</w:t>
            </w:r>
          </w:p>
        </w:tc>
        <w:tc>
          <w:tcPr>
            <w:tcW w:w="1493" w:type="dxa"/>
            <w:tcBorders>
              <w:top w:val="nil"/>
              <w:left w:val="nil"/>
              <w:bottom w:val="nil"/>
              <w:right w:val="nil"/>
            </w:tcBorders>
            <w:tcMar>
              <w:top w:w="15" w:type="dxa"/>
              <w:left w:w="15" w:type="dxa"/>
              <w:bottom w:w="0" w:type="dxa"/>
              <w:right w:w="15" w:type="dxa"/>
            </w:tcMar>
            <w:vAlign w:val="bottom"/>
            <w:hideMark/>
          </w:tcPr>
          <w:p w14:paraId="55BAACC4"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8.95 x 10</w:t>
            </w:r>
            <w:r w:rsidRPr="001533EC">
              <w:rPr>
                <w:rFonts w:eastAsia="Times New Roman"/>
                <w:kern w:val="24"/>
                <w:position w:val="6"/>
                <w:vertAlign w:val="superscript"/>
                <w:lang w:eastAsia="de-DE"/>
              </w:rPr>
              <w:t>-7</w:t>
            </w:r>
          </w:p>
        </w:tc>
        <w:tc>
          <w:tcPr>
            <w:tcW w:w="1493" w:type="dxa"/>
            <w:tcBorders>
              <w:top w:val="nil"/>
              <w:left w:val="nil"/>
              <w:bottom w:val="nil"/>
              <w:right w:val="nil"/>
            </w:tcBorders>
            <w:tcMar>
              <w:top w:w="15" w:type="dxa"/>
              <w:left w:w="15" w:type="dxa"/>
              <w:bottom w:w="0" w:type="dxa"/>
              <w:right w:w="15" w:type="dxa"/>
            </w:tcMar>
            <w:vAlign w:val="bottom"/>
            <w:hideMark/>
          </w:tcPr>
          <w:p w14:paraId="7582CB4B"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0.004</w:t>
            </w:r>
          </w:p>
        </w:tc>
        <w:tc>
          <w:tcPr>
            <w:tcW w:w="1493" w:type="dxa"/>
            <w:tcBorders>
              <w:top w:val="nil"/>
              <w:left w:val="nil"/>
              <w:bottom w:val="nil"/>
              <w:right w:val="nil"/>
            </w:tcBorders>
            <w:tcMar>
              <w:top w:w="15" w:type="dxa"/>
              <w:left w:w="15" w:type="dxa"/>
              <w:bottom w:w="0" w:type="dxa"/>
              <w:right w:w="15" w:type="dxa"/>
            </w:tcMar>
            <w:vAlign w:val="bottom"/>
            <w:hideMark/>
          </w:tcPr>
          <w:p w14:paraId="35BDF242"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-0.062</w:t>
            </w:r>
          </w:p>
        </w:tc>
        <w:tc>
          <w:tcPr>
            <w:tcW w:w="1493" w:type="dxa"/>
            <w:tcBorders>
              <w:top w:val="nil"/>
              <w:left w:val="nil"/>
              <w:bottom w:val="nil"/>
              <w:right w:val="nil"/>
            </w:tcBorders>
            <w:tcMar>
              <w:top w:w="15" w:type="dxa"/>
              <w:left w:w="15" w:type="dxa"/>
              <w:bottom w:w="0" w:type="dxa"/>
              <w:right w:w="15" w:type="dxa"/>
            </w:tcMar>
            <w:vAlign w:val="bottom"/>
            <w:hideMark/>
          </w:tcPr>
          <w:p w14:paraId="5303AB1D"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Body-shore</w:t>
            </w:r>
          </w:p>
        </w:tc>
        <w:tc>
          <w:tcPr>
            <w:tcW w:w="1493" w:type="dxa"/>
            <w:tcBorders>
              <w:top w:val="nil"/>
              <w:left w:val="nil"/>
              <w:bottom w:val="nil"/>
              <w:right w:val="nil"/>
            </w:tcBorders>
            <w:tcMar>
              <w:top w:w="15" w:type="dxa"/>
              <w:left w:w="15" w:type="dxa"/>
              <w:bottom w:w="0" w:type="dxa"/>
              <w:right w:w="15" w:type="dxa"/>
            </w:tcMar>
            <w:vAlign w:val="bottom"/>
            <w:hideMark/>
          </w:tcPr>
          <w:p w14:paraId="4EC848E8"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2041141C"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7EBB939A"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cg25271479</w:t>
            </w:r>
          </w:p>
        </w:tc>
        <w:tc>
          <w:tcPr>
            <w:tcW w:w="1493" w:type="dxa"/>
            <w:tcBorders>
              <w:top w:val="nil"/>
              <w:left w:val="nil"/>
              <w:bottom w:val="nil"/>
              <w:right w:val="nil"/>
            </w:tcBorders>
            <w:tcMar>
              <w:top w:w="15" w:type="dxa"/>
              <w:left w:w="15" w:type="dxa"/>
              <w:bottom w:w="0" w:type="dxa"/>
              <w:right w:w="15" w:type="dxa"/>
            </w:tcMar>
            <w:vAlign w:val="bottom"/>
            <w:hideMark/>
          </w:tcPr>
          <w:p w14:paraId="7D1A6B8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3.67 x 10</w:t>
            </w:r>
            <w:r w:rsidRPr="001533EC">
              <w:rPr>
                <w:rFonts w:eastAsia="Times New Roman"/>
                <w:kern w:val="24"/>
                <w:position w:val="6"/>
                <w:vertAlign w:val="superscript"/>
                <w:lang w:eastAsia="de-DE"/>
              </w:rPr>
              <w:t>-5</w:t>
            </w:r>
          </w:p>
        </w:tc>
        <w:tc>
          <w:tcPr>
            <w:tcW w:w="1493" w:type="dxa"/>
            <w:tcBorders>
              <w:top w:val="nil"/>
              <w:left w:val="nil"/>
              <w:bottom w:val="nil"/>
              <w:right w:val="nil"/>
            </w:tcBorders>
            <w:tcMar>
              <w:top w:w="15" w:type="dxa"/>
              <w:left w:w="15" w:type="dxa"/>
              <w:bottom w:w="0" w:type="dxa"/>
              <w:right w:w="15" w:type="dxa"/>
            </w:tcMar>
            <w:vAlign w:val="bottom"/>
            <w:hideMark/>
          </w:tcPr>
          <w:p w14:paraId="799D4D73"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0.019</w:t>
            </w:r>
          </w:p>
        </w:tc>
        <w:tc>
          <w:tcPr>
            <w:tcW w:w="1493" w:type="dxa"/>
            <w:tcBorders>
              <w:top w:val="nil"/>
              <w:left w:val="nil"/>
              <w:bottom w:val="nil"/>
              <w:right w:val="nil"/>
            </w:tcBorders>
            <w:tcMar>
              <w:top w:w="15" w:type="dxa"/>
              <w:left w:w="15" w:type="dxa"/>
              <w:bottom w:w="0" w:type="dxa"/>
              <w:right w:w="15" w:type="dxa"/>
            </w:tcMar>
            <w:vAlign w:val="bottom"/>
            <w:hideMark/>
          </w:tcPr>
          <w:p w14:paraId="22B12266"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-0.061</w:t>
            </w:r>
          </w:p>
        </w:tc>
        <w:tc>
          <w:tcPr>
            <w:tcW w:w="1493" w:type="dxa"/>
            <w:tcBorders>
              <w:top w:val="nil"/>
              <w:left w:val="nil"/>
              <w:bottom w:val="nil"/>
              <w:right w:val="nil"/>
            </w:tcBorders>
            <w:tcMar>
              <w:top w:w="15" w:type="dxa"/>
              <w:left w:w="15" w:type="dxa"/>
              <w:bottom w:w="0" w:type="dxa"/>
              <w:right w:w="15" w:type="dxa"/>
            </w:tcMar>
            <w:vAlign w:val="bottom"/>
            <w:hideMark/>
          </w:tcPr>
          <w:p w14:paraId="00817302"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Body-</w:t>
            </w:r>
            <w:proofErr w:type="spellStart"/>
            <w:r w:rsidRPr="001533EC">
              <w:rPr>
                <w:rFonts w:eastAsia="Times New Roman"/>
                <w:kern w:val="24"/>
                <w:lang w:eastAsia="de-DE"/>
              </w:rPr>
              <w:t>opensea</w:t>
            </w:r>
            <w:proofErr w:type="spellEnd"/>
          </w:p>
        </w:tc>
        <w:tc>
          <w:tcPr>
            <w:tcW w:w="1493" w:type="dxa"/>
            <w:tcBorders>
              <w:top w:val="nil"/>
              <w:left w:val="nil"/>
              <w:bottom w:val="nil"/>
              <w:right w:val="nil"/>
            </w:tcBorders>
            <w:tcMar>
              <w:top w:w="15" w:type="dxa"/>
              <w:left w:w="15" w:type="dxa"/>
              <w:bottom w:w="0" w:type="dxa"/>
              <w:right w:w="15" w:type="dxa"/>
            </w:tcMar>
            <w:vAlign w:val="bottom"/>
            <w:hideMark/>
          </w:tcPr>
          <w:p w14:paraId="0125BFF0"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BRSK2</w:t>
            </w:r>
          </w:p>
        </w:tc>
      </w:tr>
      <w:tr w:rsidR="00F665AD" w:rsidRPr="001533EC" w14:paraId="566140DB" w14:textId="77777777" w:rsidTr="00652F66">
        <w:trPr>
          <w:trHeight w:val="289"/>
        </w:trPr>
        <w:tc>
          <w:tcPr>
            <w:tcW w:w="1493" w:type="dxa"/>
            <w:tcBorders>
              <w:top w:val="nil"/>
              <w:left w:val="nil"/>
              <w:bottom w:val="nil"/>
              <w:right w:val="nil"/>
            </w:tcBorders>
            <w:tcMar>
              <w:top w:w="15" w:type="dxa"/>
              <w:left w:w="15" w:type="dxa"/>
              <w:bottom w:w="0" w:type="dxa"/>
              <w:right w:w="15" w:type="dxa"/>
            </w:tcMar>
            <w:vAlign w:val="bottom"/>
            <w:hideMark/>
          </w:tcPr>
          <w:p w14:paraId="7BAD44CE"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cg02527881</w:t>
            </w:r>
          </w:p>
        </w:tc>
        <w:tc>
          <w:tcPr>
            <w:tcW w:w="1493" w:type="dxa"/>
            <w:tcBorders>
              <w:top w:val="nil"/>
              <w:left w:val="nil"/>
              <w:bottom w:val="nil"/>
              <w:right w:val="nil"/>
            </w:tcBorders>
            <w:tcMar>
              <w:top w:w="15" w:type="dxa"/>
              <w:left w:w="15" w:type="dxa"/>
              <w:bottom w:w="0" w:type="dxa"/>
              <w:right w:w="15" w:type="dxa"/>
            </w:tcMar>
            <w:vAlign w:val="bottom"/>
            <w:hideMark/>
          </w:tcPr>
          <w:p w14:paraId="41358118"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1.36 x 10</w:t>
            </w:r>
            <w:r w:rsidRPr="001533EC">
              <w:rPr>
                <w:rFonts w:eastAsia="Times New Roman"/>
                <w:kern w:val="24"/>
                <w:position w:val="6"/>
                <w:vertAlign w:val="superscript"/>
                <w:lang w:eastAsia="de-DE"/>
              </w:rPr>
              <w:t>-4</w:t>
            </w:r>
          </w:p>
        </w:tc>
        <w:tc>
          <w:tcPr>
            <w:tcW w:w="1493" w:type="dxa"/>
            <w:tcBorders>
              <w:top w:val="nil"/>
              <w:left w:val="nil"/>
              <w:bottom w:val="nil"/>
              <w:right w:val="nil"/>
            </w:tcBorders>
            <w:tcMar>
              <w:top w:w="15" w:type="dxa"/>
              <w:left w:w="15" w:type="dxa"/>
              <w:bottom w:w="0" w:type="dxa"/>
              <w:right w:w="15" w:type="dxa"/>
            </w:tcMar>
            <w:vAlign w:val="bottom"/>
            <w:hideMark/>
          </w:tcPr>
          <w:p w14:paraId="3CA64751"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0.034</w:t>
            </w:r>
          </w:p>
        </w:tc>
        <w:tc>
          <w:tcPr>
            <w:tcW w:w="1493" w:type="dxa"/>
            <w:tcBorders>
              <w:top w:val="nil"/>
              <w:left w:val="nil"/>
              <w:bottom w:val="nil"/>
              <w:right w:val="nil"/>
            </w:tcBorders>
            <w:tcMar>
              <w:top w:w="15" w:type="dxa"/>
              <w:left w:w="15" w:type="dxa"/>
              <w:bottom w:w="0" w:type="dxa"/>
              <w:right w:w="15" w:type="dxa"/>
            </w:tcMar>
            <w:vAlign w:val="bottom"/>
            <w:hideMark/>
          </w:tcPr>
          <w:p w14:paraId="520AC0D9"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-0.061</w:t>
            </w:r>
          </w:p>
        </w:tc>
        <w:tc>
          <w:tcPr>
            <w:tcW w:w="1493" w:type="dxa"/>
            <w:tcBorders>
              <w:top w:val="nil"/>
              <w:left w:val="nil"/>
              <w:bottom w:val="nil"/>
              <w:right w:val="nil"/>
            </w:tcBorders>
            <w:tcMar>
              <w:top w:w="15" w:type="dxa"/>
              <w:left w:w="15" w:type="dxa"/>
              <w:bottom w:w="0" w:type="dxa"/>
              <w:right w:w="15" w:type="dxa"/>
            </w:tcMar>
            <w:vAlign w:val="bottom"/>
            <w:hideMark/>
          </w:tcPr>
          <w:p w14:paraId="0195172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Body-shelf</w:t>
            </w:r>
          </w:p>
        </w:tc>
        <w:tc>
          <w:tcPr>
            <w:tcW w:w="1493" w:type="dxa"/>
            <w:tcBorders>
              <w:top w:val="nil"/>
              <w:left w:val="nil"/>
              <w:bottom w:val="nil"/>
              <w:right w:val="nil"/>
            </w:tcBorders>
            <w:tcMar>
              <w:top w:w="15" w:type="dxa"/>
              <w:left w:w="15" w:type="dxa"/>
              <w:bottom w:w="0" w:type="dxa"/>
              <w:right w:w="15" w:type="dxa"/>
            </w:tcMar>
            <w:vAlign w:val="bottom"/>
            <w:hideMark/>
          </w:tcPr>
          <w:p w14:paraId="4FA70B17"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PTH1R</w:t>
            </w:r>
          </w:p>
        </w:tc>
      </w:tr>
      <w:tr w:rsidR="00F665AD" w:rsidRPr="001533EC" w14:paraId="06A03A89" w14:textId="77777777" w:rsidTr="00652F66">
        <w:trPr>
          <w:trHeight w:val="289"/>
        </w:trPr>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6C01EC25"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cg18070959</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20CD386F"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2.17 x 10</w:t>
            </w:r>
            <w:r w:rsidRPr="001533EC">
              <w:rPr>
                <w:rFonts w:eastAsia="Times New Roman"/>
                <w:kern w:val="24"/>
                <w:position w:val="6"/>
                <w:vertAlign w:val="superscript"/>
                <w:lang w:eastAsia="de-DE"/>
              </w:rPr>
              <w:t>-4</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7BFAD0DD"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0.040</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602BA69E"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-0.060</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05A3F0D1"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kern w:val="24"/>
                <w:lang w:eastAsia="de-DE"/>
              </w:rPr>
              <w:t>TSS200-shore</w:t>
            </w:r>
          </w:p>
        </w:tc>
        <w:tc>
          <w:tcPr>
            <w:tcW w:w="1493" w:type="dxa"/>
            <w:tcBorders>
              <w:top w:val="nil"/>
              <w:left w:val="nil"/>
              <w:bottom w:val="single" w:sz="8" w:space="0" w:color="000000"/>
              <w:right w:val="nil"/>
            </w:tcBorders>
            <w:tcMar>
              <w:top w:w="15" w:type="dxa"/>
              <w:left w:w="15" w:type="dxa"/>
              <w:bottom w:w="0" w:type="dxa"/>
              <w:right w:w="15" w:type="dxa"/>
            </w:tcMar>
            <w:vAlign w:val="bottom"/>
            <w:hideMark/>
          </w:tcPr>
          <w:p w14:paraId="7D5A273D" w14:textId="77777777"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i/>
                <w:iCs/>
                <w:kern w:val="24"/>
                <w:lang w:eastAsia="de-DE"/>
              </w:rPr>
              <w:t>LOC101929034</w:t>
            </w:r>
          </w:p>
        </w:tc>
      </w:tr>
    </w:tbl>
    <w:p w14:paraId="4BF2587C" w14:textId="77777777" w:rsidR="00F665AD" w:rsidRPr="001533EC" w:rsidRDefault="00F665AD" w:rsidP="00F665AD">
      <w:pPr>
        <w:pStyle w:val="StandardWeb"/>
        <w:kinsoku w:val="0"/>
        <w:overflowPunct w:val="0"/>
        <w:spacing w:before="0" w:beforeAutospacing="0" w:after="0" w:afterAutospacing="0"/>
        <w:textAlignment w:val="baseline"/>
        <w:rPr>
          <w:rFonts w:eastAsia="Calibri"/>
          <w:kern w:val="24"/>
        </w:rPr>
      </w:pPr>
      <w:r w:rsidRPr="001533EC">
        <w:rPr>
          <w:rFonts w:eastAsia="Calibri"/>
          <w:b/>
          <w:bCs/>
          <w:kern w:val="24"/>
        </w:rPr>
        <w:t xml:space="preserve">Table 2: </w:t>
      </w:r>
      <w:r w:rsidRPr="001533EC">
        <w:rPr>
          <w:rFonts w:eastAsia="Calibri"/>
          <w:kern w:val="24"/>
        </w:rPr>
        <w:t>Top 15 hypomethylated and hypermethylated CpG sites and their location in the indicated genes</w:t>
      </w:r>
    </w:p>
    <w:p w14:paraId="2B396829" w14:textId="77777777" w:rsidR="00F665AD" w:rsidRPr="001533EC" w:rsidRDefault="00F665AD" w:rsidP="00F665AD">
      <w:pPr>
        <w:pStyle w:val="StandardWeb"/>
        <w:kinsoku w:val="0"/>
        <w:overflowPunct w:val="0"/>
        <w:spacing w:before="0" w:beforeAutospacing="0" w:after="0" w:afterAutospacing="0"/>
        <w:textAlignment w:val="baseline"/>
        <w:rPr>
          <w:rFonts w:eastAsia="Calibri"/>
          <w:kern w:val="24"/>
        </w:rPr>
      </w:pPr>
    </w:p>
    <w:p w14:paraId="545DC1F0" w14:textId="77777777" w:rsidR="00F665AD" w:rsidRPr="001533EC" w:rsidRDefault="00F665AD" w:rsidP="00F665AD">
      <w:pPr>
        <w:rPr>
          <w:lang w:val="en-GB" w:eastAsia="en-GB"/>
        </w:rPr>
      </w:pPr>
    </w:p>
    <w:p w14:paraId="2BE5F43F" w14:textId="77777777" w:rsidR="00F665AD" w:rsidRPr="001533EC" w:rsidRDefault="00F665AD" w:rsidP="00F665AD">
      <w:pPr>
        <w:tabs>
          <w:tab w:val="left" w:pos="1778"/>
        </w:tabs>
        <w:rPr>
          <w:lang w:val="en-GB" w:eastAsia="en-GB"/>
        </w:rPr>
      </w:pPr>
      <w:r w:rsidRPr="001533EC">
        <w:rPr>
          <w:lang w:val="en-GB" w:eastAsia="en-GB"/>
        </w:rPr>
        <w:tab/>
      </w:r>
    </w:p>
    <w:p w14:paraId="2FD7E97B" w14:textId="77777777" w:rsidR="00F665AD" w:rsidRPr="001533EC" w:rsidRDefault="00F665AD" w:rsidP="00F665AD">
      <w:pPr>
        <w:pStyle w:val="StandardWeb"/>
        <w:kinsoku w:val="0"/>
        <w:overflowPunct w:val="0"/>
        <w:spacing w:before="0" w:beforeAutospacing="0" w:after="0" w:afterAutospacing="0"/>
        <w:textAlignment w:val="baseline"/>
      </w:pPr>
    </w:p>
    <w:p w14:paraId="0924F04C" w14:textId="77777777" w:rsidR="00F665AD" w:rsidRPr="001533EC" w:rsidRDefault="00F665AD" w:rsidP="00F665AD">
      <w:pPr>
        <w:rPr>
          <w:lang w:val="en-GB"/>
        </w:rPr>
      </w:pPr>
    </w:p>
    <w:p w14:paraId="69235A90" w14:textId="7A545115" w:rsidR="00F665AD" w:rsidRPr="001533EC" w:rsidRDefault="00F665AD" w:rsidP="00F665AD">
      <w:pPr>
        <w:rPr>
          <w:lang w:val="en-GB"/>
        </w:rPr>
      </w:pPr>
      <w:r w:rsidRPr="001533EC">
        <w:rPr>
          <w:lang w:val="en-GB"/>
        </w:rPr>
        <w:br w:type="page"/>
      </w:r>
      <w:r w:rsidRPr="001533EC">
        <w:rPr>
          <w:b/>
          <w:bCs/>
          <w:kern w:val="24"/>
          <w:sz w:val="24"/>
          <w:szCs w:val="24"/>
          <w:lang w:val="en-GB" w:eastAsia="de-DE"/>
        </w:rPr>
        <w:lastRenderedPageBreak/>
        <w:t xml:space="preserve">Table 3. </w:t>
      </w:r>
      <w:r w:rsidR="00275766">
        <w:rPr>
          <w:kern w:val="24"/>
          <w:sz w:val="24"/>
          <w:szCs w:val="24"/>
          <w:lang w:val="en-GB" w:eastAsia="de-DE"/>
        </w:rPr>
        <w:t xml:space="preserve">Number of </w:t>
      </w:r>
      <w:r w:rsidR="00261EBD">
        <w:rPr>
          <w:kern w:val="24"/>
          <w:sz w:val="24"/>
          <w:szCs w:val="24"/>
          <w:lang w:val="en-GB" w:eastAsia="de-DE"/>
        </w:rPr>
        <w:t xml:space="preserve">BIR </w:t>
      </w:r>
      <w:proofErr w:type="gramStart"/>
      <w:r w:rsidR="00261EBD">
        <w:rPr>
          <w:kern w:val="24"/>
          <w:sz w:val="24"/>
          <w:szCs w:val="24"/>
          <w:lang w:val="en-GB" w:eastAsia="de-DE"/>
        </w:rPr>
        <w:t xml:space="preserve">classifiers </w:t>
      </w:r>
      <w:r w:rsidR="00C06374">
        <w:rPr>
          <w:kern w:val="24"/>
          <w:sz w:val="24"/>
          <w:szCs w:val="24"/>
          <w:lang w:val="en-GB" w:eastAsia="de-DE"/>
        </w:rPr>
        <w:t xml:space="preserve"> correlating</w:t>
      </w:r>
      <w:proofErr w:type="gramEnd"/>
      <w:r w:rsidR="00C06374">
        <w:rPr>
          <w:kern w:val="24"/>
          <w:sz w:val="24"/>
          <w:szCs w:val="24"/>
          <w:lang w:val="en-GB" w:eastAsia="de-DE"/>
        </w:rPr>
        <w:t xml:space="preserve"> with </w:t>
      </w:r>
      <w:r w:rsidRPr="001533EC">
        <w:rPr>
          <w:kern w:val="24"/>
          <w:sz w:val="24"/>
          <w:szCs w:val="24"/>
          <w:lang w:val="en-GB" w:eastAsia="de-DE"/>
        </w:rPr>
        <w:t xml:space="preserve">the clinical characteristics of study participants from the discovery </w:t>
      </w:r>
      <w:r w:rsidR="00094E15">
        <w:rPr>
          <w:kern w:val="24"/>
          <w:sz w:val="24"/>
          <w:szCs w:val="24"/>
          <w:lang w:val="en-GB" w:eastAsia="de-DE"/>
        </w:rPr>
        <w:t>and</w:t>
      </w:r>
      <w:r w:rsidR="00366192" w:rsidRPr="001533EC">
        <w:rPr>
          <w:kern w:val="24"/>
          <w:sz w:val="24"/>
          <w:szCs w:val="24"/>
          <w:lang w:val="en-GB" w:eastAsia="de-DE"/>
        </w:rPr>
        <w:t xml:space="preserve"> </w:t>
      </w:r>
      <w:r w:rsidRPr="001533EC">
        <w:rPr>
          <w:kern w:val="24"/>
          <w:sz w:val="24"/>
          <w:szCs w:val="24"/>
          <w:lang w:val="en-GB" w:eastAsia="de-DE"/>
        </w:rPr>
        <w:t>replication cohorts</w:t>
      </w:r>
      <w:r w:rsidR="00155E4C">
        <w:rPr>
          <w:kern w:val="24"/>
          <w:sz w:val="24"/>
          <w:szCs w:val="24"/>
          <w:lang w:val="en-GB" w:eastAsia="de-DE"/>
        </w:rPr>
        <w:t xml:space="preserve"> (details in Data file 2)</w:t>
      </w:r>
      <w:r w:rsidRPr="001533EC">
        <w:rPr>
          <w:kern w:val="24"/>
          <w:sz w:val="24"/>
          <w:szCs w:val="24"/>
          <w:lang w:val="en-GB" w:eastAsia="de-DE"/>
        </w:rPr>
        <w:t>.</w:t>
      </w:r>
    </w:p>
    <w:p w14:paraId="0C56470B" w14:textId="77777777" w:rsidR="00F665AD" w:rsidRPr="001533EC" w:rsidRDefault="00F665AD" w:rsidP="00F665AD">
      <w:pPr>
        <w:rPr>
          <w:lang w:val="en-GB"/>
        </w:rPr>
      </w:pPr>
    </w:p>
    <w:tbl>
      <w:tblPr>
        <w:tblW w:w="10140" w:type="dxa"/>
        <w:tblInd w:w="-529" w:type="dxa"/>
        <w:tblCellMar>
          <w:left w:w="0" w:type="dxa"/>
          <w:right w:w="0" w:type="dxa"/>
        </w:tblCellMar>
        <w:tblLook w:val="0600" w:firstRow="0" w:lastRow="0" w:firstColumn="0" w:lastColumn="0" w:noHBand="1" w:noVBand="1"/>
      </w:tblPr>
      <w:tblGrid>
        <w:gridCol w:w="2820"/>
        <w:gridCol w:w="420"/>
        <w:gridCol w:w="3040"/>
        <w:gridCol w:w="660"/>
        <w:gridCol w:w="3200"/>
      </w:tblGrid>
      <w:tr w:rsidR="00F665AD" w:rsidRPr="001533EC" w14:paraId="17F6D61C" w14:textId="77777777" w:rsidTr="00652F66">
        <w:trPr>
          <w:trHeight w:val="426"/>
        </w:trPr>
        <w:tc>
          <w:tcPr>
            <w:tcW w:w="2820" w:type="dxa"/>
            <w:tcBorders>
              <w:top w:val="single" w:sz="8" w:space="0" w:color="000000"/>
              <w:left w:val="nil"/>
              <w:bottom w:val="single" w:sz="8" w:space="0" w:color="000000"/>
              <w:right w:val="nil"/>
            </w:tcBorders>
            <w:tcMar>
              <w:top w:w="15" w:type="dxa"/>
              <w:left w:w="15" w:type="dxa"/>
              <w:bottom w:w="0" w:type="dxa"/>
              <w:right w:w="15" w:type="dxa"/>
            </w:tcMar>
            <w:vAlign w:val="bottom"/>
            <w:hideMark/>
          </w:tcPr>
          <w:p w14:paraId="64F026B8" w14:textId="77777777" w:rsidR="00F665AD" w:rsidRPr="001533EC" w:rsidRDefault="00F665AD" w:rsidP="00652F66">
            <w:pPr>
              <w:rPr>
                <w:rFonts w:eastAsia="Times New Roman"/>
                <w:sz w:val="24"/>
                <w:szCs w:val="24"/>
                <w:lang w:val="en-GB" w:eastAsia="de-DE"/>
              </w:rPr>
            </w:pPr>
          </w:p>
        </w:tc>
        <w:tc>
          <w:tcPr>
            <w:tcW w:w="420" w:type="dxa"/>
            <w:tcBorders>
              <w:top w:val="single" w:sz="8" w:space="0" w:color="000000"/>
              <w:left w:val="nil"/>
              <w:bottom w:val="single" w:sz="8" w:space="0" w:color="000000"/>
              <w:right w:val="nil"/>
            </w:tcBorders>
            <w:tcMar>
              <w:top w:w="15" w:type="dxa"/>
              <w:left w:w="15" w:type="dxa"/>
              <w:bottom w:w="0" w:type="dxa"/>
              <w:right w:w="15" w:type="dxa"/>
            </w:tcMar>
            <w:vAlign w:val="bottom"/>
            <w:hideMark/>
          </w:tcPr>
          <w:p w14:paraId="6C0A43BF" w14:textId="77777777" w:rsidR="00F665AD" w:rsidRPr="001533EC" w:rsidRDefault="00F665AD" w:rsidP="00652F66">
            <w:pPr>
              <w:rPr>
                <w:rFonts w:eastAsia="Times New Roman"/>
                <w:lang w:val="en-GB" w:eastAsia="de-DE"/>
              </w:rPr>
            </w:pPr>
          </w:p>
        </w:tc>
        <w:tc>
          <w:tcPr>
            <w:tcW w:w="3040"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0D5ED99" w14:textId="23037D89"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b/>
                <w:bCs/>
                <w:kern w:val="24"/>
                <w:lang w:eastAsia="de-DE"/>
              </w:rPr>
              <w:t>Discovery cohort (</w:t>
            </w:r>
            <w:r w:rsidR="00435B11" w:rsidRPr="001533EC">
              <w:rPr>
                <w:sz w:val="24"/>
                <w:szCs w:val="24"/>
              </w:rPr>
              <w:t>AdjP&lt;0.05</w:t>
            </w:r>
            <w:r w:rsidRPr="001533EC">
              <w:rPr>
                <w:rFonts w:eastAsia="Times New Roman"/>
                <w:b/>
                <w:bCs/>
                <w:kern w:val="24"/>
                <w:lang w:eastAsia="de-DE"/>
              </w:rPr>
              <w:t xml:space="preserve"> &lt; 0.05)</w:t>
            </w:r>
          </w:p>
        </w:tc>
        <w:tc>
          <w:tcPr>
            <w:tcW w:w="660" w:type="dxa"/>
            <w:tcBorders>
              <w:top w:val="single" w:sz="8" w:space="0" w:color="000000"/>
              <w:left w:val="nil"/>
              <w:bottom w:val="single" w:sz="8" w:space="0" w:color="000000"/>
              <w:right w:val="nil"/>
            </w:tcBorders>
            <w:tcMar>
              <w:top w:w="15" w:type="dxa"/>
              <w:left w:w="15" w:type="dxa"/>
              <w:bottom w:w="0" w:type="dxa"/>
              <w:right w:w="15" w:type="dxa"/>
            </w:tcMar>
            <w:vAlign w:val="bottom"/>
            <w:hideMark/>
          </w:tcPr>
          <w:p w14:paraId="0A08E020" w14:textId="77777777" w:rsidR="00F665AD" w:rsidRPr="001533EC" w:rsidRDefault="00F665AD" w:rsidP="00652F66">
            <w:pPr>
              <w:rPr>
                <w:rFonts w:ascii="Arial" w:eastAsia="Times New Roman" w:hAnsi="Arial" w:cs="Arial"/>
                <w:sz w:val="36"/>
                <w:szCs w:val="36"/>
                <w:lang w:eastAsia="de-DE"/>
              </w:rPr>
            </w:pPr>
          </w:p>
        </w:tc>
        <w:tc>
          <w:tcPr>
            <w:tcW w:w="3200"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18AE16D" w14:textId="57F3B64D" w:rsidR="00F665AD" w:rsidRPr="001533EC" w:rsidRDefault="00F665AD" w:rsidP="00652F66">
            <w:pPr>
              <w:jc w:val="center"/>
              <w:textAlignment w:val="bottom"/>
              <w:rPr>
                <w:rFonts w:ascii="Arial" w:eastAsia="Times New Roman" w:hAnsi="Arial" w:cs="Arial"/>
                <w:sz w:val="36"/>
                <w:szCs w:val="36"/>
                <w:lang w:eastAsia="de-DE"/>
              </w:rPr>
            </w:pPr>
            <w:r w:rsidRPr="001533EC">
              <w:rPr>
                <w:rFonts w:eastAsia="Times New Roman"/>
                <w:b/>
                <w:bCs/>
                <w:kern w:val="24"/>
                <w:lang w:eastAsia="de-DE"/>
              </w:rPr>
              <w:t>Replication cohort (</w:t>
            </w:r>
            <w:r w:rsidR="00435B11" w:rsidRPr="001533EC">
              <w:rPr>
                <w:sz w:val="24"/>
                <w:szCs w:val="24"/>
              </w:rPr>
              <w:t>AdjP&lt;0.05</w:t>
            </w:r>
            <w:r w:rsidRPr="001533EC">
              <w:rPr>
                <w:rFonts w:eastAsia="Times New Roman"/>
                <w:b/>
                <w:bCs/>
                <w:kern w:val="24"/>
                <w:lang w:eastAsia="de-DE"/>
              </w:rPr>
              <w:t>&lt; 0.05)</w:t>
            </w:r>
          </w:p>
        </w:tc>
      </w:tr>
      <w:tr w:rsidR="00F665AD" w:rsidRPr="001533EC" w14:paraId="765FCFB9" w14:textId="77777777" w:rsidTr="00652F66">
        <w:trPr>
          <w:trHeight w:val="300"/>
        </w:trPr>
        <w:tc>
          <w:tcPr>
            <w:tcW w:w="2820" w:type="dxa"/>
            <w:tcBorders>
              <w:top w:val="single" w:sz="8" w:space="0" w:color="000000"/>
              <w:left w:val="nil"/>
              <w:bottom w:val="nil"/>
              <w:right w:val="nil"/>
            </w:tcBorders>
            <w:tcMar>
              <w:top w:w="15" w:type="dxa"/>
              <w:left w:w="90" w:type="dxa"/>
              <w:bottom w:w="0" w:type="dxa"/>
              <w:right w:w="90" w:type="dxa"/>
            </w:tcMar>
            <w:hideMark/>
          </w:tcPr>
          <w:p w14:paraId="7380BCE5" w14:textId="77777777" w:rsidR="00F665AD" w:rsidRPr="001533EC" w:rsidRDefault="00F665AD" w:rsidP="00652F66">
            <w:pPr>
              <w:spacing w:line="480" w:lineRule="auto"/>
              <w:jc w:val="right"/>
              <w:rPr>
                <w:rFonts w:ascii="Arial" w:eastAsia="Times New Roman" w:hAnsi="Arial" w:cs="Arial"/>
                <w:sz w:val="36"/>
                <w:szCs w:val="36"/>
                <w:lang w:eastAsia="de-DE"/>
              </w:rPr>
            </w:pPr>
            <w:r w:rsidRPr="001533EC">
              <w:rPr>
                <w:rFonts w:eastAsia="Times New Roman"/>
                <w:kern w:val="24"/>
                <w:lang w:eastAsia="de-DE"/>
              </w:rPr>
              <w:t>Age (years)</w:t>
            </w:r>
          </w:p>
        </w:tc>
        <w:tc>
          <w:tcPr>
            <w:tcW w:w="420" w:type="dxa"/>
            <w:tcBorders>
              <w:top w:val="single" w:sz="8" w:space="0" w:color="000000"/>
              <w:left w:val="nil"/>
              <w:bottom w:val="nil"/>
              <w:right w:val="nil"/>
            </w:tcBorders>
            <w:tcMar>
              <w:top w:w="15" w:type="dxa"/>
              <w:left w:w="15" w:type="dxa"/>
              <w:bottom w:w="0" w:type="dxa"/>
              <w:right w:w="15" w:type="dxa"/>
            </w:tcMar>
            <w:vAlign w:val="bottom"/>
            <w:hideMark/>
          </w:tcPr>
          <w:p w14:paraId="2CDB9D65" w14:textId="77777777" w:rsidR="00F665AD" w:rsidRPr="001533EC" w:rsidRDefault="00F665AD" w:rsidP="00652F66">
            <w:pPr>
              <w:rPr>
                <w:rFonts w:ascii="Arial" w:eastAsia="Times New Roman" w:hAnsi="Arial" w:cs="Arial"/>
                <w:sz w:val="36"/>
                <w:szCs w:val="36"/>
                <w:lang w:eastAsia="de-DE"/>
              </w:rPr>
            </w:pPr>
          </w:p>
        </w:tc>
        <w:tc>
          <w:tcPr>
            <w:tcW w:w="3040" w:type="dxa"/>
            <w:tcBorders>
              <w:top w:val="single" w:sz="8" w:space="0" w:color="000000"/>
              <w:left w:val="nil"/>
              <w:bottom w:val="nil"/>
              <w:right w:val="nil"/>
            </w:tcBorders>
            <w:tcMar>
              <w:top w:w="15" w:type="dxa"/>
              <w:left w:w="15" w:type="dxa"/>
              <w:bottom w:w="0" w:type="dxa"/>
              <w:right w:w="15" w:type="dxa"/>
            </w:tcMar>
            <w:vAlign w:val="bottom"/>
            <w:hideMark/>
          </w:tcPr>
          <w:p w14:paraId="0031FD71"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19</w:t>
            </w:r>
          </w:p>
        </w:tc>
        <w:tc>
          <w:tcPr>
            <w:tcW w:w="660" w:type="dxa"/>
            <w:tcBorders>
              <w:top w:val="single" w:sz="8" w:space="0" w:color="000000"/>
              <w:left w:val="nil"/>
              <w:bottom w:val="nil"/>
              <w:right w:val="nil"/>
            </w:tcBorders>
            <w:tcMar>
              <w:top w:w="15" w:type="dxa"/>
              <w:left w:w="15" w:type="dxa"/>
              <w:bottom w:w="0" w:type="dxa"/>
              <w:right w:w="15" w:type="dxa"/>
            </w:tcMar>
            <w:vAlign w:val="bottom"/>
            <w:hideMark/>
          </w:tcPr>
          <w:p w14:paraId="18D4920C" w14:textId="77777777" w:rsidR="00F665AD" w:rsidRPr="001533EC" w:rsidRDefault="00F665AD" w:rsidP="00652F66">
            <w:pPr>
              <w:rPr>
                <w:rFonts w:ascii="Arial" w:eastAsia="Times New Roman" w:hAnsi="Arial" w:cs="Arial"/>
                <w:sz w:val="36"/>
                <w:szCs w:val="36"/>
                <w:lang w:eastAsia="de-DE"/>
              </w:rPr>
            </w:pPr>
          </w:p>
        </w:tc>
        <w:tc>
          <w:tcPr>
            <w:tcW w:w="3200" w:type="dxa"/>
            <w:tcBorders>
              <w:top w:val="single" w:sz="8" w:space="0" w:color="000000"/>
              <w:left w:val="nil"/>
              <w:bottom w:val="nil"/>
              <w:right w:val="nil"/>
            </w:tcBorders>
            <w:tcMar>
              <w:top w:w="15" w:type="dxa"/>
              <w:left w:w="15" w:type="dxa"/>
              <w:bottom w:w="0" w:type="dxa"/>
              <w:right w:w="15" w:type="dxa"/>
            </w:tcMar>
            <w:vAlign w:val="bottom"/>
            <w:hideMark/>
          </w:tcPr>
          <w:p w14:paraId="2DF3A077" w14:textId="3BA59764"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w:t>
            </w:r>
            <w:r w:rsidR="002D03C6">
              <w:rPr>
                <w:rFonts w:eastAsia="Times New Roman"/>
                <w:kern w:val="24"/>
                <w:lang w:eastAsia="de-DE"/>
              </w:rPr>
              <w:t>2</w:t>
            </w:r>
          </w:p>
        </w:tc>
      </w:tr>
      <w:tr w:rsidR="00F665AD" w:rsidRPr="001533EC" w14:paraId="06D60316" w14:textId="77777777" w:rsidTr="00652F66">
        <w:trPr>
          <w:trHeight w:val="300"/>
        </w:trPr>
        <w:tc>
          <w:tcPr>
            <w:tcW w:w="2820" w:type="dxa"/>
            <w:tcBorders>
              <w:top w:val="nil"/>
              <w:left w:val="nil"/>
              <w:bottom w:val="nil"/>
              <w:right w:val="nil"/>
            </w:tcBorders>
            <w:tcMar>
              <w:top w:w="15" w:type="dxa"/>
              <w:left w:w="90" w:type="dxa"/>
              <w:bottom w:w="0" w:type="dxa"/>
              <w:right w:w="90" w:type="dxa"/>
            </w:tcMar>
            <w:hideMark/>
          </w:tcPr>
          <w:p w14:paraId="54B0DE19" w14:textId="77777777" w:rsidR="00F665AD" w:rsidRPr="001533EC" w:rsidRDefault="00F665AD" w:rsidP="00652F66">
            <w:pPr>
              <w:spacing w:line="480" w:lineRule="auto"/>
              <w:jc w:val="right"/>
              <w:rPr>
                <w:rFonts w:ascii="Arial" w:eastAsia="Times New Roman" w:hAnsi="Arial" w:cs="Arial"/>
                <w:sz w:val="36"/>
                <w:szCs w:val="36"/>
                <w:lang w:eastAsia="de-DE"/>
              </w:rPr>
            </w:pPr>
            <w:r w:rsidRPr="001533EC">
              <w:rPr>
                <w:rFonts w:eastAsia="Times New Roman"/>
                <w:kern w:val="24"/>
                <w:lang w:eastAsia="de-DE"/>
              </w:rPr>
              <w:t>BMI (kg/m</w:t>
            </w:r>
            <w:r w:rsidRPr="001533EC">
              <w:rPr>
                <w:kern w:val="24"/>
                <w:position w:val="6"/>
                <w:vertAlign w:val="superscript"/>
                <w:lang w:eastAsia="de-DE"/>
              </w:rPr>
              <w:t>2</w:t>
            </w:r>
            <w:r w:rsidRPr="001533EC">
              <w:rPr>
                <w:rFonts w:eastAsia="Times New Roman"/>
                <w:kern w:val="24"/>
                <w:lang w:eastAsia="de-DE"/>
              </w:rPr>
              <w:t>)</w:t>
            </w:r>
          </w:p>
        </w:tc>
        <w:tc>
          <w:tcPr>
            <w:tcW w:w="420" w:type="dxa"/>
            <w:tcBorders>
              <w:top w:val="nil"/>
              <w:left w:val="nil"/>
              <w:bottom w:val="nil"/>
              <w:right w:val="nil"/>
            </w:tcBorders>
            <w:tcMar>
              <w:top w:w="15" w:type="dxa"/>
              <w:left w:w="15" w:type="dxa"/>
              <w:bottom w:w="0" w:type="dxa"/>
              <w:right w:w="15" w:type="dxa"/>
            </w:tcMar>
            <w:vAlign w:val="bottom"/>
            <w:hideMark/>
          </w:tcPr>
          <w:p w14:paraId="20454285"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1C15AF33"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4</w:t>
            </w:r>
          </w:p>
        </w:tc>
        <w:tc>
          <w:tcPr>
            <w:tcW w:w="660" w:type="dxa"/>
            <w:tcBorders>
              <w:top w:val="nil"/>
              <w:left w:val="nil"/>
              <w:bottom w:val="nil"/>
              <w:right w:val="nil"/>
            </w:tcBorders>
            <w:tcMar>
              <w:top w:w="15" w:type="dxa"/>
              <w:left w:w="15" w:type="dxa"/>
              <w:bottom w:w="0" w:type="dxa"/>
              <w:right w:w="15" w:type="dxa"/>
            </w:tcMar>
            <w:vAlign w:val="bottom"/>
            <w:hideMark/>
          </w:tcPr>
          <w:p w14:paraId="06EF0AED"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1B82DFF2" w14:textId="5AADB4FD"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w:t>
            </w:r>
            <w:r w:rsidR="002D03C6">
              <w:rPr>
                <w:rFonts w:eastAsia="Times New Roman"/>
                <w:kern w:val="24"/>
                <w:lang w:eastAsia="de-DE"/>
              </w:rPr>
              <w:t>2</w:t>
            </w:r>
          </w:p>
        </w:tc>
      </w:tr>
      <w:tr w:rsidR="00F665AD" w:rsidRPr="001533EC" w14:paraId="3D84CDEE" w14:textId="77777777" w:rsidTr="00652F66">
        <w:trPr>
          <w:trHeight w:val="300"/>
        </w:trPr>
        <w:tc>
          <w:tcPr>
            <w:tcW w:w="2820" w:type="dxa"/>
            <w:tcBorders>
              <w:top w:val="nil"/>
              <w:left w:val="nil"/>
              <w:bottom w:val="nil"/>
              <w:right w:val="nil"/>
            </w:tcBorders>
            <w:tcMar>
              <w:top w:w="15" w:type="dxa"/>
              <w:left w:w="90" w:type="dxa"/>
              <w:bottom w:w="0" w:type="dxa"/>
              <w:right w:w="90" w:type="dxa"/>
            </w:tcMar>
            <w:hideMark/>
          </w:tcPr>
          <w:p w14:paraId="5B4110FF" w14:textId="77777777" w:rsidR="00F665AD" w:rsidRPr="001533EC" w:rsidRDefault="00F665AD" w:rsidP="00652F66">
            <w:pPr>
              <w:spacing w:line="480" w:lineRule="auto"/>
              <w:jc w:val="right"/>
              <w:rPr>
                <w:rFonts w:ascii="Arial" w:eastAsia="Times New Roman" w:hAnsi="Arial" w:cs="Arial"/>
                <w:sz w:val="36"/>
                <w:szCs w:val="36"/>
                <w:lang w:eastAsia="de-DE"/>
              </w:rPr>
            </w:pPr>
            <w:r w:rsidRPr="001533EC">
              <w:rPr>
                <w:rFonts w:eastAsia="Times New Roman"/>
                <w:kern w:val="24"/>
                <w:lang w:eastAsia="de-DE"/>
              </w:rPr>
              <w:t>Waist-to-hip ratio</w:t>
            </w:r>
          </w:p>
        </w:tc>
        <w:tc>
          <w:tcPr>
            <w:tcW w:w="420" w:type="dxa"/>
            <w:tcBorders>
              <w:top w:val="nil"/>
              <w:left w:val="nil"/>
              <w:bottom w:val="nil"/>
              <w:right w:val="nil"/>
            </w:tcBorders>
            <w:tcMar>
              <w:top w:w="15" w:type="dxa"/>
              <w:left w:w="15" w:type="dxa"/>
              <w:bottom w:w="0" w:type="dxa"/>
              <w:right w:w="15" w:type="dxa"/>
            </w:tcMar>
            <w:vAlign w:val="bottom"/>
            <w:hideMark/>
          </w:tcPr>
          <w:p w14:paraId="6A35F4B4"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32F99713"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w:t>
            </w:r>
          </w:p>
        </w:tc>
        <w:tc>
          <w:tcPr>
            <w:tcW w:w="660" w:type="dxa"/>
            <w:tcBorders>
              <w:top w:val="nil"/>
              <w:left w:val="nil"/>
              <w:bottom w:val="nil"/>
              <w:right w:val="nil"/>
            </w:tcBorders>
            <w:tcMar>
              <w:top w:w="15" w:type="dxa"/>
              <w:left w:w="15" w:type="dxa"/>
              <w:bottom w:w="0" w:type="dxa"/>
              <w:right w:w="15" w:type="dxa"/>
            </w:tcMar>
            <w:vAlign w:val="bottom"/>
            <w:hideMark/>
          </w:tcPr>
          <w:p w14:paraId="2C258D25"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37A484BB"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6</w:t>
            </w:r>
          </w:p>
        </w:tc>
      </w:tr>
      <w:tr w:rsidR="00F665AD" w:rsidRPr="001533EC" w14:paraId="43F4DE51"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2ADCEEB1"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ΔCBF</w:t>
            </w:r>
            <w:r w:rsidRPr="001533EC">
              <w:rPr>
                <w:rFonts w:eastAsia="Times New Roman"/>
                <w:kern w:val="24"/>
                <w:position w:val="-5"/>
                <w:vertAlign w:val="subscript"/>
                <w:lang w:eastAsia="de-DE"/>
              </w:rPr>
              <w:t>n</w:t>
            </w:r>
            <w:r w:rsidRPr="001533EC">
              <w:rPr>
                <w:rFonts w:eastAsia="Times New Roman"/>
                <w:kern w:val="24"/>
                <w:lang w:eastAsia="de-DE"/>
              </w:rPr>
              <w:t>-Hypothalamus</w:t>
            </w:r>
          </w:p>
        </w:tc>
        <w:tc>
          <w:tcPr>
            <w:tcW w:w="420" w:type="dxa"/>
            <w:tcBorders>
              <w:top w:val="nil"/>
              <w:left w:val="nil"/>
              <w:bottom w:val="nil"/>
              <w:right w:val="nil"/>
            </w:tcBorders>
            <w:tcMar>
              <w:top w:w="15" w:type="dxa"/>
              <w:left w:w="15" w:type="dxa"/>
              <w:bottom w:w="0" w:type="dxa"/>
              <w:right w:w="15" w:type="dxa"/>
            </w:tcMar>
            <w:vAlign w:val="bottom"/>
            <w:hideMark/>
          </w:tcPr>
          <w:p w14:paraId="78BDBDDC"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22299EA7"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528</w:t>
            </w:r>
          </w:p>
        </w:tc>
        <w:tc>
          <w:tcPr>
            <w:tcW w:w="660" w:type="dxa"/>
            <w:tcBorders>
              <w:top w:val="nil"/>
              <w:left w:val="nil"/>
              <w:bottom w:val="nil"/>
              <w:right w:val="nil"/>
            </w:tcBorders>
            <w:tcMar>
              <w:top w:w="15" w:type="dxa"/>
              <w:left w:w="15" w:type="dxa"/>
              <w:bottom w:w="0" w:type="dxa"/>
              <w:right w:w="15" w:type="dxa"/>
            </w:tcMar>
            <w:vAlign w:val="bottom"/>
            <w:hideMark/>
          </w:tcPr>
          <w:p w14:paraId="31B83EB7"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044AC85A" w14:textId="550529B2"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w:t>
            </w:r>
            <w:r w:rsidR="008A21E6">
              <w:rPr>
                <w:rFonts w:eastAsia="Times New Roman"/>
                <w:kern w:val="24"/>
                <w:lang w:eastAsia="de-DE"/>
              </w:rPr>
              <w:t>48</w:t>
            </w:r>
          </w:p>
        </w:tc>
      </w:tr>
      <w:tr w:rsidR="00F665AD" w:rsidRPr="001533EC" w14:paraId="666E4523"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2401970E"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Fasting glucose (mg/dL)</w:t>
            </w:r>
          </w:p>
        </w:tc>
        <w:tc>
          <w:tcPr>
            <w:tcW w:w="420" w:type="dxa"/>
            <w:tcBorders>
              <w:top w:val="nil"/>
              <w:left w:val="nil"/>
              <w:bottom w:val="nil"/>
              <w:right w:val="nil"/>
            </w:tcBorders>
            <w:tcMar>
              <w:top w:w="15" w:type="dxa"/>
              <w:left w:w="15" w:type="dxa"/>
              <w:bottom w:w="0" w:type="dxa"/>
              <w:right w:w="15" w:type="dxa"/>
            </w:tcMar>
            <w:vAlign w:val="bottom"/>
            <w:hideMark/>
          </w:tcPr>
          <w:p w14:paraId="6C0CAE74"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3D8D8516"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5</w:t>
            </w:r>
          </w:p>
        </w:tc>
        <w:tc>
          <w:tcPr>
            <w:tcW w:w="660" w:type="dxa"/>
            <w:tcBorders>
              <w:top w:val="nil"/>
              <w:left w:val="nil"/>
              <w:bottom w:val="nil"/>
              <w:right w:val="nil"/>
            </w:tcBorders>
            <w:tcMar>
              <w:top w:w="15" w:type="dxa"/>
              <w:left w:w="15" w:type="dxa"/>
              <w:bottom w:w="0" w:type="dxa"/>
              <w:right w:w="15" w:type="dxa"/>
            </w:tcMar>
            <w:vAlign w:val="bottom"/>
            <w:hideMark/>
          </w:tcPr>
          <w:p w14:paraId="79377B06"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607793CF" w14:textId="421D7F0F" w:rsidR="00F665AD" w:rsidRPr="001533EC" w:rsidRDefault="008A21E6" w:rsidP="00652F66">
            <w:pPr>
              <w:spacing w:line="480" w:lineRule="auto"/>
              <w:jc w:val="center"/>
              <w:textAlignment w:val="bottom"/>
              <w:rPr>
                <w:rFonts w:ascii="Arial" w:eastAsia="Times New Roman" w:hAnsi="Arial" w:cs="Arial"/>
                <w:sz w:val="36"/>
                <w:szCs w:val="36"/>
                <w:lang w:eastAsia="de-DE"/>
              </w:rPr>
            </w:pPr>
            <w:r>
              <w:rPr>
                <w:rFonts w:eastAsia="Times New Roman"/>
                <w:kern w:val="24"/>
                <w:lang w:eastAsia="de-DE"/>
              </w:rPr>
              <w:t>48</w:t>
            </w:r>
          </w:p>
        </w:tc>
      </w:tr>
      <w:tr w:rsidR="00F665AD" w:rsidRPr="001533EC" w14:paraId="5BB8FD5E"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2F5F40DC"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 xml:space="preserve"> 2-h glucose (mg/dL)</w:t>
            </w:r>
          </w:p>
        </w:tc>
        <w:tc>
          <w:tcPr>
            <w:tcW w:w="420" w:type="dxa"/>
            <w:tcBorders>
              <w:top w:val="nil"/>
              <w:left w:val="nil"/>
              <w:bottom w:val="nil"/>
              <w:right w:val="nil"/>
            </w:tcBorders>
            <w:tcMar>
              <w:top w:w="15" w:type="dxa"/>
              <w:left w:w="15" w:type="dxa"/>
              <w:bottom w:w="0" w:type="dxa"/>
              <w:right w:w="15" w:type="dxa"/>
            </w:tcMar>
            <w:vAlign w:val="bottom"/>
            <w:hideMark/>
          </w:tcPr>
          <w:p w14:paraId="7447F609"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07B6A75E"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5</w:t>
            </w:r>
          </w:p>
        </w:tc>
        <w:tc>
          <w:tcPr>
            <w:tcW w:w="660" w:type="dxa"/>
            <w:tcBorders>
              <w:top w:val="nil"/>
              <w:left w:val="nil"/>
              <w:bottom w:val="nil"/>
              <w:right w:val="nil"/>
            </w:tcBorders>
            <w:tcMar>
              <w:top w:w="15" w:type="dxa"/>
              <w:left w:w="15" w:type="dxa"/>
              <w:bottom w:w="0" w:type="dxa"/>
              <w:right w:w="15" w:type="dxa"/>
            </w:tcMar>
            <w:vAlign w:val="bottom"/>
            <w:hideMark/>
          </w:tcPr>
          <w:p w14:paraId="053F6A70"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6CE30162"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w:t>
            </w:r>
          </w:p>
        </w:tc>
      </w:tr>
      <w:tr w:rsidR="00F665AD" w:rsidRPr="001533EC" w14:paraId="08064B88"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62DCE739"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ISI-Matsuda index</w:t>
            </w:r>
          </w:p>
        </w:tc>
        <w:tc>
          <w:tcPr>
            <w:tcW w:w="420" w:type="dxa"/>
            <w:tcBorders>
              <w:top w:val="nil"/>
              <w:left w:val="nil"/>
              <w:bottom w:val="nil"/>
              <w:right w:val="nil"/>
            </w:tcBorders>
            <w:tcMar>
              <w:top w:w="15" w:type="dxa"/>
              <w:left w:w="15" w:type="dxa"/>
              <w:bottom w:w="0" w:type="dxa"/>
              <w:right w:w="15" w:type="dxa"/>
            </w:tcMar>
            <w:vAlign w:val="bottom"/>
            <w:hideMark/>
          </w:tcPr>
          <w:p w14:paraId="4F9F5B02"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2F734BBF"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w:t>
            </w:r>
          </w:p>
        </w:tc>
        <w:tc>
          <w:tcPr>
            <w:tcW w:w="660" w:type="dxa"/>
            <w:tcBorders>
              <w:top w:val="nil"/>
              <w:left w:val="nil"/>
              <w:bottom w:val="nil"/>
              <w:right w:val="nil"/>
            </w:tcBorders>
            <w:tcMar>
              <w:top w:w="15" w:type="dxa"/>
              <w:left w:w="15" w:type="dxa"/>
              <w:bottom w:w="0" w:type="dxa"/>
              <w:right w:w="15" w:type="dxa"/>
            </w:tcMar>
            <w:vAlign w:val="bottom"/>
            <w:hideMark/>
          </w:tcPr>
          <w:p w14:paraId="752DA710"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736F185B" w14:textId="00A043C9"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w:t>
            </w:r>
            <w:r w:rsidR="008A21E6">
              <w:rPr>
                <w:rFonts w:eastAsia="Times New Roman"/>
                <w:kern w:val="24"/>
                <w:lang w:eastAsia="de-DE"/>
              </w:rPr>
              <w:t>6</w:t>
            </w:r>
          </w:p>
        </w:tc>
      </w:tr>
      <w:tr w:rsidR="00F665AD" w:rsidRPr="001533EC" w14:paraId="3DC80442"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748C463E"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CRP (mg/dL)</w:t>
            </w:r>
          </w:p>
        </w:tc>
        <w:tc>
          <w:tcPr>
            <w:tcW w:w="420" w:type="dxa"/>
            <w:tcBorders>
              <w:top w:val="nil"/>
              <w:left w:val="nil"/>
              <w:bottom w:val="nil"/>
              <w:right w:val="nil"/>
            </w:tcBorders>
            <w:tcMar>
              <w:top w:w="15" w:type="dxa"/>
              <w:left w:w="15" w:type="dxa"/>
              <w:bottom w:w="0" w:type="dxa"/>
              <w:right w:w="15" w:type="dxa"/>
            </w:tcMar>
            <w:vAlign w:val="bottom"/>
            <w:hideMark/>
          </w:tcPr>
          <w:p w14:paraId="446FAE50"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0B7EFB39"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5</w:t>
            </w:r>
          </w:p>
        </w:tc>
        <w:tc>
          <w:tcPr>
            <w:tcW w:w="660" w:type="dxa"/>
            <w:tcBorders>
              <w:top w:val="nil"/>
              <w:left w:val="nil"/>
              <w:bottom w:val="nil"/>
              <w:right w:val="nil"/>
            </w:tcBorders>
            <w:tcMar>
              <w:top w:w="15" w:type="dxa"/>
              <w:left w:w="15" w:type="dxa"/>
              <w:bottom w:w="0" w:type="dxa"/>
              <w:right w:w="15" w:type="dxa"/>
            </w:tcMar>
            <w:vAlign w:val="bottom"/>
            <w:hideMark/>
          </w:tcPr>
          <w:p w14:paraId="21786A1D"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238B9B0D"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w:t>
            </w:r>
          </w:p>
        </w:tc>
      </w:tr>
      <w:tr w:rsidR="00F665AD" w:rsidRPr="001533EC" w14:paraId="44A3B32A"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3D583D35"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HbA1c (mmol/mol)</w:t>
            </w:r>
          </w:p>
        </w:tc>
        <w:tc>
          <w:tcPr>
            <w:tcW w:w="420" w:type="dxa"/>
            <w:tcBorders>
              <w:top w:val="nil"/>
              <w:left w:val="nil"/>
              <w:bottom w:val="nil"/>
              <w:right w:val="nil"/>
            </w:tcBorders>
            <w:tcMar>
              <w:top w:w="15" w:type="dxa"/>
              <w:left w:w="15" w:type="dxa"/>
              <w:bottom w:w="0" w:type="dxa"/>
              <w:right w:w="15" w:type="dxa"/>
            </w:tcMar>
            <w:vAlign w:val="bottom"/>
            <w:hideMark/>
          </w:tcPr>
          <w:p w14:paraId="7D30DCF0"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5698D65A"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w:t>
            </w:r>
          </w:p>
        </w:tc>
        <w:tc>
          <w:tcPr>
            <w:tcW w:w="660" w:type="dxa"/>
            <w:tcBorders>
              <w:top w:val="nil"/>
              <w:left w:val="nil"/>
              <w:bottom w:val="nil"/>
              <w:right w:val="nil"/>
            </w:tcBorders>
            <w:tcMar>
              <w:top w:w="15" w:type="dxa"/>
              <w:left w:w="15" w:type="dxa"/>
              <w:bottom w:w="0" w:type="dxa"/>
              <w:right w:w="15" w:type="dxa"/>
            </w:tcMar>
            <w:vAlign w:val="bottom"/>
            <w:hideMark/>
          </w:tcPr>
          <w:p w14:paraId="40641B94"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5B82D149" w14:textId="1F5527A0"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4</w:t>
            </w:r>
            <w:r w:rsidR="008A21E6">
              <w:rPr>
                <w:rFonts w:eastAsia="Times New Roman"/>
                <w:kern w:val="24"/>
                <w:lang w:eastAsia="de-DE"/>
              </w:rPr>
              <w:t>8</w:t>
            </w:r>
          </w:p>
        </w:tc>
      </w:tr>
      <w:tr w:rsidR="00F665AD" w:rsidRPr="001533EC" w14:paraId="0B0CA795" w14:textId="77777777" w:rsidTr="00652F66">
        <w:trPr>
          <w:trHeight w:val="300"/>
        </w:trPr>
        <w:tc>
          <w:tcPr>
            <w:tcW w:w="2820" w:type="dxa"/>
            <w:tcBorders>
              <w:top w:val="nil"/>
              <w:left w:val="nil"/>
              <w:bottom w:val="nil"/>
              <w:right w:val="nil"/>
            </w:tcBorders>
            <w:tcMar>
              <w:top w:w="15" w:type="dxa"/>
              <w:left w:w="90" w:type="dxa"/>
              <w:bottom w:w="0" w:type="dxa"/>
              <w:right w:w="90" w:type="dxa"/>
            </w:tcMar>
            <w:hideMark/>
          </w:tcPr>
          <w:p w14:paraId="571D1D56" w14:textId="77777777" w:rsidR="00F665AD" w:rsidRPr="001533EC" w:rsidRDefault="00F665AD" w:rsidP="00652F66">
            <w:pPr>
              <w:spacing w:line="480" w:lineRule="auto"/>
              <w:jc w:val="right"/>
              <w:rPr>
                <w:rFonts w:ascii="Arial" w:eastAsia="Times New Roman" w:hAnsi="Arial" w:cs="Arial"/>
                <w:sz w:val="36"/>
                <w:szCs w:val="36"/>
                <w:lang w:eastAsia="de-DE"/>
              </w:rPr>
            </w:pPr>
            <w:r w:rsidRPr="001533EC">
              <w:rPr>
                <w:rFonts w:eastAsia="Times New Roman"/>
                <w:kern w:val="24"/>
                <w:lang w:eastAsia="de-DE"/>
              </w:rPr>
              <w:t>HDL cholesterol (mg/dL)</w:t>
            </w:r>
          </w:p>
        </w:tc>
        <w:tc>
          <w:tcPr>
            <w:tcW w:w="420" w:type="dxa"/>
            <w:tcBorders>
              <w:top w:val="nil"/>
              <w:left w:val="nil"/>
              <w:bottom w:val="nil"/>
              <w:right w:val="nil"/>
            </w:tcBorders>
            <w:tcMar>
              <w:top w:w="15" w:type="dxa"/>
              <w:left w:w="15" w:type="dxa"/>
              <w:bottom w:w="0" w:type="dxa"/>
              <w:right w:w="15" w:type="dxa"/>
            </w:tcMar>
            <w:vAlign w:val="bottom"/>
            <w:hideMark/>
          </w:tcPr>
          <w:p w14:paraId="12FB463C"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4CC2250B"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2</w:t>
            </w:r>
          </w:p>
        </w:tc>
        <w:tc>
          <w:tcPr>
            <w:tcW w:w="660" w:type="dxa"/>
            <w:tcBorders>
              <w:top w:val="nil"/>
              <w:left w:val="nil"/>
              <w:bottom w:val="nil"/>
              <w:right w:val="nil"/>
            </w:tcBorders>
            <w:tcMar>
              <w:top w:w="15" w:type="dxa"/>
              <w:left w:w="15" w:type="dxa"/>
              <w:bottom w:w="0" w:type="dxa"/>
              <w:right w:w="15" w:type="dxa"/>
            </w:tcMar>
            <w:vAlign w:val="bottom"/>
            <w:hideMark/>
          </w:tcPr>
          <w:p w14:paraId="4F13E825"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49BDA26A"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w:t>
            </w:r>
          </w:p>
        </w:tc>
      </w:tr>
      <w:tr w:rsidR="00F665AD" w:rsidRPr="001533EC" w14:paraId="1A69BA7C" w14:textId="77777777" w:rsidTr="00652F66">
        <w:trPr>
          <w:trHeight w:val="300"/>
        </w:trPr>
        <w:tc>
          <w:tcPr>
            <w:tcW w:w="2820" w:type="dxa"/>
            <w:tcBorders>
              <w:top w:val="nil"/>
              <w:left w:val="nil"/>
              <w:bottom w:val="nil"/>
              <w:right w:val="nil"/>
            </w:tcBorders>
            <w:tcMar>
              <w:top w:w="15" w:type="dxa"/>
              <w:left w:w="90" w:type="dxa"/>
              <w:bottom w:w="0" w:type="dxa"/>
              <w:right w:w="90" w:type="dxa"/>
            </w:tcMar>
            <w:hideMark/>
          </w:tcPr>
          <w:p w14:paraId="7F85C841" w14:textId="77777777" w:rsidR="00F665AD" w:rsidRPr="001533EC" w:rsidRDefault="00F665AD" w:rsidP="00652F66">
            <w:pPr>
              <w:spacing w:line="480" w:lineRule="auto"/>
              <w:jc w:val="right"/>
              <w:rPr>
                <w:rFonts w:ascii="Arial" w:eastAsia="Times New Roman" w:hAnsi="Arial" w:cs="Arial"/>
                <w:sz w:val="36"/>
                <w:szCs w:val="36"/>
                <w:lang w:eastAsia="de-DE"/>
              </w:rPr>
            </w:pPr>
            <w:r w:rsidRPr="001533EC">
              <w:rPr>
                <w:rFonts w:eastAsia="Times New Roman"/>
                <w:kern w:val="24"/>
                <w:lang w:eastAsia="de-DE"/>
              </w:rPr>
              <w:t>Triglycerides (mg/dL)</w:t>
            </w:r>
          </w:p>
        </w:tc>
        <w:tc>
          <w:tcPr>
            <w:tcW w:w="420" w:type="dxa"/>
            <w:tcBorders>
              <w:top w:val="nil"/>
              <w:left w:val="nil"/>
              <w:bottom w:val="nil"/>
              <w:right w:val="nil"/>
            </w:tcBorders>
            <w:tcMar>
              <w:top w:w="15" w:type="dxa"/>
              <w:left w:w="15" w:type="dxa"/>
              <w:bottom w:w="0" w:type="dxa"/>
              <w:right w:w="15" w:type="dxa"/>
            </w:tcMar>
            <w:vAlign w:val="bottom"/>
            <w:hideMark/>
          </w:tcPr>
          <w:p w14:paraId="4A60709B"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70CCC20C"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6</w:t>
            </w:r>
          </w:p>
        </w:tc>
        <w:tc>
          <w:tcPr>
            <w:tcW w:w="660" w:type="dxa"/>
            <w:tcBorders>
              <w:top w:val="nil"/>
              <w:left w:val="nil"/>
              <w:bottom w:val="nil"/>
              <w:right w:val="nil"/>
            </w:tcBorders>
            <w:tcMar>
              <w:top w:w="15" w:type="dxa"/>
              <w:left w:w="15" w:type="dxa"/>
              <w:bottom w:w="0" w:type="dxa"/>
              <w:right w:w="15" w:type="dxa"/>
            </w:tcMar>
            <w:vAlign w:val="bottom"/>
            <w:hideMark/>
          </w:tcPr>
          <w:p w14:paraId="7A3D3B18"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1A1107EC" w14:textId="20DDE20C"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8</w:t>
            </w:r>
            <w:r w:rsidR="008A21E6">
              <w:rPr>
                <w:rFonts w:eastAsia="Times New Roman"/>
                <w:kern w:val="24"/>
                <w:lang w:eastAsia="de-DE"/>
              </w:rPr>
              <w:t>3</w:t>
            </w:r>
          </w:p>
        </w:tc>
      </w:tr>
      <w:tr w:rsidR="00F665AD" w:rsidRPr="001533EC" w14:paraId="7BDC67EB" w14:textId="77777777" w:rsidTr="00652F66">
        <w:trPr>
          <w:trHeight w:val="300"/>
        </w:trPr>
        <w:tc>
          <w:tcPr>
            <w:tcW w:w="2820" w:type="dxa"/>
            <w:tcBorders>
              <w:top w:val="nil"/>
              <w:left w:val="nil"/>
              <w:bottom w:val="nil"/>
              <w:right w:val="nil"/>
            </w:tcBorders>
            <w:tcMar>
              <w:top w:w="15" w:type="dxa"/>
              <w:left w:w="90" w:type="dxa"/>
              <w:bottom w:w="0" w:type="dxa"/>
              <w:right w:w="90" w:type="dxa"/>
            </w:tcMar>
            <w:hideMark/>
          </w:tcPr>
          <w:p w14:paraId="6523E10A" w14:textId="77777777" w:rsidR="00F665AD" w:rsidRPr="001533EC" w:rsidRDefault="00F665AD" w:rsidP="00652F66">
            <w:pPr>
              <w:spacing w:line="480" w:lineRule="auto"/>
              <w:jc w:val="right"/>
              <w:rPr>
                <w:rFonts w:ascii="Arial" w:eastAsia="Times New Roman" w:hAnsi="Arial" w:cs="Arial"/>
                <w:sz w:val="36"/>
                <w:szCs w:val="36"/>
                <w:lang w:eastAsia="de-DE"/>
              </w:rPr>
            </w:pPr>
            <w:r w:rsidRPr="001533EC">
              <w:rPr>
                <w:rFonts w:eastAsia="Times New Roman"/>
                <w:kern w:val="24"/>
                <w:lang w:eastAsia="de-DE"/>
              </w:rPr>
              <w:t>LDL cholesterol (mg/dL)</w:t>
            </w:r>
          </w:p>
        </w:tc>
        <w:tc>
          <w:tcPr>
            <w:tcW w:w="420" w:type="dxa"/>
            <w:tcBorders>
              <w:top w:val="nil"/>
              <w:left w:val="nil"/>
              <w:bottom w:val="nil"/>
              <w:right w:val="nil"/>
            </w:tcBorders>
            <w:tcMar>
              <w:top w:w="15" w:type="dxa"/>
              <w:left w:w="15" w:type="dxa"/>
              <w:bottom w:w="0" w:type="dxa"/>
              <w:right w:w="15" w:type="dxa"/>
            </w:tcMar>
            <w:vAlign w:val="bottom"/>
            <w:hideMark/>
          </w:tcPr>
          <w:p w14:paraId="2C7D2D1A"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59380A92"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4</w:t>
            </w:r>
          </w:p>
        </w:tc>
        <w:tc>
          <w:tcPr>
            <w:tcW w:w="660" w:type="dxa"/>
            <w:tcBorders>
              <w:top w:val="nil"/>
              <w:left w:val="nil"/>
              <w:bottom w:val="nil"/>
              <w:right w:val="nil"/>
            </w:tcBorders>
            <w:tcMar>
              <w:top w:w="15" w:type="dxa"/>
              <w:left w:w="15" w:type="dxa"/>
              <w:bottom w:w="0" w:type="dxa"/>
              <w:right w:w="15" w:type="dxa"/>
            </w:tcMar>
            <w:vAlign w:val="bottom"/>
            <w:hideMark/>
          </w:tcPr>
          <w:p w14:paraId="55FA71DB"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03EED134" w14:textId="7B3598D2" w:rsidR="00F665AD" w:rsidRPr="001533EC" w:rsidRDefault="008A21E6" w:rsidP="00652F66">
            <w:pPr>
              <w:spacing w:line="480" w:lineRule="auto"/>
              <w:jc w:val="center"/>
              <w:textAlignment w:val="bottom"/>
              <w:rPr>
                <w:rFonts w:ascii="Arial" w:eastAsia="Times New Roman" w:hAnsi="Arial" w:cs="Arial"/>
                <w:sz w:val="36"/>
                <w:szCs w:val="36"/>
                <w:lang w:eastAsia="de-DE"/>
              </w:rPr>
            </w:pPr>
            <w:r>
              <w:rPr>
                <w:rFonts w:eastAsia="Times New Roman"/>
                <w:kern w:val="24"/>
                <w:lang w:eastAsia="de-DE"/>
              </w:rPr>
              <w:t>0</w:t>
            </w:r>
          </w:p>
        </w:tc>
      </w:tr>
      <w:tr w:rsidR="00F665AD" w:rsidRPr="001533EC" w14:paraId="4A3E311A"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518B8CC5" w14:textId="5234AA29"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Fasting insulin (</w:t>
            </w:r>
            <w:proofErr w:type="spellStart"/>
            <w:r w:rsidR="0051587F">
              <w:rPr>
                <w:rFonts w:eastAsia="Times New Roman"/>
                <w:kern w:val="24"/>
                <w:lang w:eastAsia="de-DE"/>
              </w:rPr>
              <w:t>pmol</w:t>
            </w:r>
            <w:proofErr w:type="spellEnd"/>
            <w:r w:rsidRPr="001533EC">
              <w:rPr>
                <w:rFonts w:eastAsia="Times New Roman"/>
                <w:kern w:val="24"/>
                <w:lang w:eastAsia="de-DE"/>
              </w:rPr>
              <w:t>/L)</w:t>
            </w:r>
          </w:p>
        </w:tc>
        <w:tc>
          <w:tcPr>
            <w:tcW w:w="420" w:type="dxa"/>
            <w:tcBorders>
              <w:top w:val="nil"/>
              <w:left w:val="nil"/>
              <w:bottom w:val="nil"/>
              <w:right w:val="nil"/>
            </w:tcBorders>
            <w:tcMar>
              <w:top w:w="15" w:type="dxa"/>
              <w:left w:w="15" w:type="dxa"/>
              <w:bottom w:w="0" w:type="dxa"/>
              <w:right w:w="15" w:type="dxa"/>
            </w:tcMar>
            <w:vAlign w:val="bottom"/>
            <w:hideMark/>
          </w:tcPr>
          <w:p w14:paraId="71A438B5"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44205B1C"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1</w:t>
            </w:r>
          </w:p>
        </w:tc>
        <w:tc>
          <w:tcPr>
            <w:tcW w:w="660" w:type="dxa"/>
            <w:tcBorders>
              <w:top w:val="nil"/>
              <w:left w:val="nil"/>
              <w:bottom w:val="nil"/>
              <w:right w:val="nil"/>
            </w:tcBorders>
            <w:tcMar>
              <w:top w:w="15" w:type="dxa"/>
              <w:left w:w="15" w:type="dxa"/>
              <w:bottom w:w="0" w:type="dxa"/>
              <w:right w:w="15" w:type="dxa"/>
            </w:tcMar>
            <w:vAlign w:val="bottom"/>
            <w:hideMark/>
          </w:tcPr>
          <w:p w14:paraId="2854159E"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3CCE1D13" w14:textId="4970BE7C" w:rsidR="00F665AD" w:rsidRPr="001533EC" w:rsidRDefault="008A21E6" w:rsidP="00652F66">
            <w:pPr>
              <w:spacing w:line="480" w:lineRule="auto"/>
              <w:jc w:val="center"/>
              <w:textAlignment w:val="bottom"/>
              <w:rPr>
                <w:rFonts w:ascii="Arial" w:eastAsia="Times New Roman" w:hAnsi="Arial" w:cs="Arial"/>
                <w:sz w:val="36"/>
                <w:szCs w:val="36"/>
                <w:lang w:eastAsia="de-DE"/>
              </w:rPr>
            </w:pPr>
            <w:r>
              <w:rPr>
                <w:rFonts w:eastAsia="Times New Roman"/>
                <w:kern w:val="24"/>
                <w:lang w:eastAsia="de-DE"/>
              </w:rPr>
              <w:t>23</w:t>
            </w:r>
          </w:p>
        </w:tc>
      </w:tr>
      <w:tr w:rsidR="00F665AD" w:rsidRPr="001533EC" w14:paraId="28A4A7DE" w14:textId="77777777" w:rsidTr="00652F66">
        <w:trPr>
          <w:trHeight w:val="300"/>
        </w:trPr>
        <w:tc>
          <w:tcPr>
            <w:tcW w:w="2820" w:type="dxa"/>
            <w:tcBorders>
              <w:top w:val="nil"/>
              <w:left w:val="nil"/>
              <w:bottom w:val="nil"/>
              <w:right w:val="nil"/>
            </w:tcBorders>
            <w:tcMar>
              <w:top w:w="15" w:type="dxa"/>
              <w:left w:w="15" w:type="dxa"/>
              <w:bottom w:w="0" w:type="dxa"/>
              <w:right w:w="15" w:type="dxa"/>
            </w:tcMar>
            <w:vAlign w:val="bottom"/>
            <w:hideMark/>
          </w:tcPr>
          <w:p w14:paraId="4EEE8C0F" w14:textId="77777777" w:rsidR="00F665AD" w:rsidRPr="001533EC" w:rsidRDefault="00F665AD" w:rsidP="00652F66">
            <w:pPr>
              <w:spacing w:line="480" w:lineRule="auto"/>
              <w:jc w:val="right"/>
              <w:textAlignment w:val="bottom"/>
              <w:rPr>
                <w:rFonts w:ascii="Arial" w:eastAsia="Times New Roman" w:hAnsi="Arial" w:cs="Arial"/>
                <w:sz w:val="36"/>
                <w:szCs w:val="36"/>
                <w:lang w:eastAsia="de-DE"/>
              </w:rPr>
            </w:pPr>
            <w:r w:rsidRPr="001533EC">
              <w:rPr>
                <w:rFonts w:eastAsia="Times New Roman"/>
                <w:kern w:val="24"/>
                <w:lang w:eastAsia="de-DE"/>
              </w:rPr>
              <w:t>HOMA-IR</w:t>
            </w:r>
          </w:p>
        </w:tc>
        <w:tc>
          <w:tcPr>
            <w:tcW w:w="420" w:type="dxa"/>
            <w:tcBorders>
              <w:top w:val="nil"/>
              <w:left w:val="nil"/>
              <w:bottom w:val="nil"/>
              <w:right w:val="nil"/>
            </w:tcBorders>
            <w:tcMar>
              <w:top w:w="15" w:type="dxa"/>
              <w:left w:w="15" w:type="dxa"/>
              <w:bottom w:w="0" w:type="dxa"/>
              <w:right w:w="15" w:type="dxa"/>
            </w:tcMar>
            <w:vAlign w:val="bottom"/>
            <w:hideMark/>
          </w:tcPr>
          <w:p w14:paraId="307FFE95" w14:textId="77777777" w:rsidR="00F665AD" w:rsidRPr="001533EC" w:rsidRDefault="00F665AD" w:rsidP="00652F66">
            <w:pPr>
              <w:rPr>
                <w:rFonts w:ascii="Arial" w:eastAsia="Times New Roman" w:hAnsi="Arial" w:cs="Arial"/>
                <w:sz w:val="36"/>
                <w:szCs w:val="36"/>
                <w:lang w:eastAsia="de-DE"/>
              </w:rPr>
            </w:pPr>
          </w:p>
        </w:tc>
        <w:tc>
          <w:tcPr>
            <w:tcW w:w="3040" w:type="dxa"/>
            <w:tcBorders>
              <w:top w:val="nil"/>
              <w:left w:val="nil"/>
              <w:bottom w:val="nil"/>
              <w:right w:val="nil"/>
            </w:tcBorders>
            <w:tcMar>
              <w:top w:w="15" w:type="dxa"/>
              <w:left w:w="15" w:type="dxa"/>
              <w:bottom w:w="0" w:type="dxa"/>
              <w:right w:w="15" w:type="dxa"/>
            </w:tcMar>
            <w:vAlign w:val="bottom"/>
            <w:hideMark/>
          </w:tcPr>
          <w:p w14:paraId="39565985" w14:textId="77777777" w:rsidR="00F665AD" w:rsidRPr="001533EC" w:rsidRDefault="00F665AD" w:rsidP="00652F66">
            <w:pPr>
              <w:spacing w:line="480" w:lineRule="auto"/>
              <w:jc w:val="center"/>
              <w:textAlignment w:val="bottom"/>
              <w:rPr>
                <w:rFonts w:ascii="Arial" w:eastAsia="Times New Roman" w:hAnsi="Arial" w:cs="Arial"/>
                <w:sz w:val="36"/>
                <w:szCs w:val="36"/>
                <w:lang w:eastAsia="de-DE"/>
              </w:rPr>
            </w:pPr>
            <w:r w:rsidRPr="001533EC">
              <w:rPr>
                <w:rFonts w:eastAsia="Times New Roman"/>
                <w:kern w:val="24"/>
                <w:lang w:eastAsia="de-DE"/>
              </w:rPr>
              <w:t>0</w:t>
            </w:r>
          </w:p>
        </w:tc>
        <w:tc>
          <w:tcPr>
            <w:tcW w:w="660" w:type="dxa"/>
            <w:tcBorders>
              <w:top w:val="nil"/>
              <w:left w:val="nil"/>
              <w:bottom w:val="nil"/>
              <w:right w:val="nil"/>
            </w:tcBorders>
            <w:tcMar>
              <w:top w:w="15" w:type="dxa"/>
              <w:left w:w="15" w:type="dxa"/>
              <w:bottom w:w="0" w:type="dxa"/>
              <w:right w:w="15" w:type="dxa"/>
            </w:tcMar>
            <w:vAlign w:val="bottom"/>
            <w:hideMark/>
          </w:tcPr>
          <w:p w14:paraId="40B5106B" w14:textId="77777777" w:rsidR="00F665AD" w:rsidRPr="001533EC" w:rsidRDefault="00F665AD" w:rsidP="00652F66">
            <w:pPr>
              <w:rPr>
                <w:rFonts w:ascii="Arial" w:eastAsia="Times New Roman" w:hAnsi="Arial" w:cs="Arial"/>
                <w:sz w:val="36"/>
                <w:szCs w:val="36"/>
                <w:lang w:eastAsia="de-DE"/>
              </w:rPr>
            </w:pPr>
          </w:p>
        </w:tc>
        <w:tc>
          <w:tcPr>
            <w:tcW w:w="3200" w:type="dxa"/>
            <w:tcBorders>
              <w:top w:val="nil"/>
              <w:left w:val="nil"/>
              <w:bottom w:val="nil"/>
              <w:right w:val="nil"/>
            </w:tcBorders>
            <w:tcMar>
              <w:top w:w="15" w:type="dxa"/>
              <w:left w:w="15" w:type="dxa"/>
              <w:bottom w:w="0" w:type="dxa"/>
              <w:right w:w="15" w:type="dxa"/>
            </w:tcMar>
            <w:vAlign w:val="bottom"/>
            <w:hideMark/>
          </w:tcPr>
          <w:p w14:paraId="7D43AF2F" w14:textId="054881DA" w:rsidR="00F665AD" w:rsidRPr="001533EC" w:rsidRDefault="008A21E6" w:rsidP="00652F66">
            <w:pPr>
              <w:spacing w:line="480" w:lineRule="auto"/>
              <w:jc w:val="center"/>
              <w:textAlignment w:val="bottom"/>
              <w:rPr>
                <w:rFonts w:ascii="Arial" w:eastAsia="Times New Roman" w:hAnsi="Arial" w:cs="Arial"/>
                <w:sz w:val="36"/>
                <w:szCs w:val="36"/>
                <w:lang w:eastAsia="de-DE"/>
              </w:rPr>
            </w:pPr>
            <w:r>
              <w:rPr>
                <w:rFonts w:eastAsia="Times New Roman"/>
                <w:kern w:val="24"/>
                <w:lang w:eastAsia="de-DE"/>
              </w:rPr>
              <w:t xml:space="preserve">45 </w:t>
            </w:r>
          </w:p>
        </w:tc>
      </w:tr>
      <w:tr w:rsidR="00F665AD" w:rsidRPr="001533EC" w14:paraId="062983EF" w14:textId="77777777" w:rsidTr="00652F66">
        <w:trPr>
          <w:trHeight w:val="57"/>
        </w:trPr>
        <w:tc>
          <w:tcPr>
            <w:tcW w:w="2820" w:type="dxa"/>
            <w:tcBorders>
              <w:top w:val="nil"/>
              <w:left w:val="nil"/>
              <w:bottom w:val="single" w:sz="8" w:space="0" w:color="000000"/>
              <w:right w:val="nil"/>
            </w:tcBorders>
            <w:tcMar>
              <w:top w:w="15" w:type="dxa"/>
              <w:left w:w="15" w:type="dxa"/>
              <w:bottom w:w="0" w:type="dxa"/>
              <w:right w:w="15" w:type="dxa"/>
            </w:tcMar>
            <w:vAlign w:val="bottom"/>
            <w:hideMark/>
          </w:tcPr>
          <w:p w14:paraId="4FC8CAFC" w14:textId="77777777" w:rsidR="00F665AD" w:rsidRPr="001533EC" w:rsidRDefault="00F665AD" w:rsidP="00652F66">
            <w:pPr>
              <w:rPr>
                <w:rFonts w:ascii="Arial" w:eastAsia="Times New Roman" w:hAnsi="Arial" w:cs="Arial"/>
                <w:sz w:val="36"/>
                <w:szCs w:val="36"/>
                <w:lang w:eastAsia="de-DE"/>
              </w:rPr>
            </w:pPr>
          </w:p>
        </w:tc>
        <w:tc>
          <w:tcPr>
            <w:tcW w:w="420" w:type="dxa"/>
            <w:tcBorders>
              <w:top w:val="nil"/>
              <w:left w:val="nil"/>
              <w:bottom w:val="single" w:sz="8" w:space="0" w:color="000000"/>
              <w:right w:val="nil"/>
            </w:tcBorders>
            <w:tcMar>
              <w:top w:w="15" w:type="dxa"/>
              <w:left w:w="15" w:type="dxa"/>
              <w:bottom w:w="0" w:type="dxa"/>
              <w:right w:w="15" w:type="dxa"/>
            </w:tcMar>
            <w:vAlign w:val="bottom"/>
            <w:hideMark/>
          </w:tcPr>
          <w:p w14:paraId="65200F7E" w14:textId="77777777" w:rsidR="00F665AD" w:rsidRPr="001533EC" w:rsidRDefault="00F665AD" w:rsidP="00652F66">
            <w:pPr>
              <w:rPr>
                <w:rFonts w:eastAsia="Times New Roman"/>
                <w:lang w:eastAsia="de-DE"/>
              </w:rPr>
            </w:pPr>
          </w:p>
        </w:tc>
        <w:tc>
          <w:tcPr>
            <w:tcW w:w="3040" w:type="dxa"/>
            <w:tcBorders>
              <w:top w:val="nil"/>
              <w:left w:val="nil"/>
              <w:bottom w:val="single" w:sz="8" w:space="0" w:color="000000"/>
              <w:right w:val="nil"/>
            </w:tcBorders>
            <w:tcMar>
              <w:top w:w="15" w:type="dxa"/>
              <w:left w:w="15" w:type="dxa"/>
              <w:bottom w:w="0" w:type="dxa"/>
              <w:right w:w="15" w:type="dxa"/>
            </w:tcMar>
            <w:vAlign w:val="bottom"/>
            <w:hideMark/>
          </w:tcPr>
          <w:p w14:paraId="19FF4ED6" w14:textId="77777777" w:rsidR="00F665AD" w:rsidRPr="001533EC" w:rsidRDefault="00F665AD" w:rsidP="00652F66">
            <w:pPr>
              <w:rPr>
                <w:rFonts w:eastAsia="Times New Roman"/>
                <w:lang w:eastAsia="de-DE"/>
              </w:rPr>
            </w:pPr>
          </w:p>
        </w:tc>
        <w:tc>
          <w:tcPr>
            <w:tcW w:w="660" w:type="dxa"/>
            <w:tcBorders>
              <w:top w:val="nil"/>
              <w:left w:val="nil"/>
              <w:bottom w:val="single" w:sz="8" w:space="0" w:color="000000"/>
              <w:right w:val="nil"/>
            </w:tcBorders>
            <w:tcMar>
              <w:top w:w="15" w:type="dxa"/>
              <w:left w:w="15" w:type="dxa"/>
              <w:bottom w:w="0" w:type="dxa"/>
              <w:right w:w="15" w:type="dxa"/>
            </w:tcMar>
            <w:vAlign w:val="bottom"/>
            <w:hideMark/>
          </w:tcPr>
          <w:p w14:paraId="72801718" w14:textId="77777777" w:rsidR="00F665AD" w:rsidRPr="001533EC" w:rsidRDefault="00F665AD" w:rsidP="00652F66">
            <w:pPr>
              <w:rPr>
                <w:rFonts w:eastAsia="Times New Roman"/>
                <w:lang w:eastAsia="de-DE"/>
              </w:rPr>
            </w:pPr>
          </w:p>
        </w:tc>
        <w:tc>
          <w:tcPr>
            <w:tcW w:w="3200" w:type="dxa"/>
            <w:tcBorders>
              <w:top w:val="nil"/>
              <w:left w:val="nil"/>
              <w:bottom w:val="single" w:sz="8" w:space="0" w:color="000000"/>
              <w:right w:val="nil"/>
            </w:tcBorders>
            <w:tcMar>
              <w:top w:w="15" w:type="dxa"/>
              <w:left w:w="15" w:type="dxa"/>
              <w:bottom w:w="0" w:type="dxa"/>
              <w:right w:w="15" w:type="dxa"/>
            </w:tcMar>
            <w:vAlign w:val="bottom"/>
            <w:hideMark/>
          </w:tcPr>
          <w:p w14:paraId="3702EC21" w14:textId="77777777" w:rsidR="00F665AD" w:rsidRPr="001533EC" w:rsidRDefault="00F665AD" w:rsidP="00652F66">
            <w:pPr>
              <w:rPr>
                <w:rFonts w:eastAsia="Times New Roman"/>
                <w:lang w:eastAsia="de-DE"/>
              </w:rPr>
            </w:pPr>
          </w:p>
        </w:tc>
      </w:tr>
    </w:tbl>
    <w:p w14:paraId="01B7286B" w14:textId="49AA43C3" w:rsidR="00F665AD" w:rsidRPr="001533EC" w:rsidRDefault="00F665AD" w:rsidP="00F665AD">
      <w:pPr>
        <w:tabs>
          <w:tab w:val="left" w:pos="1870"/>
        </w:tabs>
        <w:kinsoku w:val="0"/>
        <w:overflowPunct w:val="0"/>
        <w:jc w:val="both"/>
        <w:textAlignment w:val="baseline"/>
        <w:rPr>
          <w:rFonts w:eastAsia="Times New Roman"/>
          <w:sz w:val="24"/>
          <w:szCs w:val="24"/>
          <w:lang w:val="en-GB" w:eastAsia="de-DE"/>
        </w:rPr>
      </w:pPr>
      <w:r w:rsidRPr="001533EC">
        <w:rPr>
          <w:rFonts w:eastAsia="+mn-ea"/>
          <w:kern w:val="24"/>
          <w:lang w:val="en-GB" w:eastAsia="de-DE"/>
        </w:rPr>
        <w:t xml:space="preserve">Each number corresponds to the number of significantly correlated CpG sites with the corresponding clinical characteristics/variables. The Spearman correlation test was performed for this subset of </w:t>
      </w:r>
      <w:proofErr w:type="spellStart"/>
      <w:r w:rsidRPr="001533EC">
        <w:rPr>
          <w:rFonts w:eastAsia="+mn-ea"/>
          <w:kern w:val="24"/>
          <w:lang w:val="en-GB" w:eastAsia="de-DE"/>
        </w:rPr>
        <w:t>CpGs</w:t>
      </w:r>
      <w:proofErr w:type="spellEnd"/>
      <w:r w:rsidRPr="001533EC">
        <w:rPr>
          <w:rFonts w:eastAsia="+mn-ea"/>
          <w:kern w:val="24"/>
          <w:lang w:val="en-GB" w:eastAsia="de-DE"/>
        </w:rPr>
        <w:t xml:space="preserve"> and beta values were used for the correlation analysis. The p-value was adjusted using </w:t>
      </w:r>
      <w:proofErr w:type="spellStart"/>
      <w:r w:rsidRPr="001533EC">
        <w:rPr>
          <w:rFonts w:eastAsia="+mn-ea"/>
          <w:kern w:val="24"/>
          <w:lang w:val="en-GB" w:eastAsia="de-DE"/>
        </w:rPr>
        <w:t>Benjamini.Hochberg</w:t>
      </w:r>
      <w:proofErr w:type="spellEnd"/>
      <w:r w:rsidRPr="001533EC">
        <w:rPr>
          <w:rFonts w:eastAsia="+mn-ea"/>
          <w:kern w:val="24"/>
          <w:lang w:val="en-GB" w:eastAsia="de-DE"/>
        </w:rPr>
        <w:t xml:space="preserve"> method and </w:t>
      </w:r>
      <w:r w:rsidR="00435B11" w:rsidRPr="00435B11">
        <w:rPr>
          <w:rFonts w:eastAsia="+mn-ea"/>
          <w:kern w:val="24"/>
          <w:lang w:val="en-GB" w:eastAsia="de-DE"/>
        </w:rPr>
        <w:t>AdjP&lt;0.05</w:t>
      </w:r>
      <w:r w:rsidRPr="001533EC">
        <w:rPr>
          <w:rFonts w:eastAsia="+mn-ea"/>
          <w:kern w:val="24"/>
          <w:lang w:val="en-GB" w:eastAsia="de-DE"/>
        </w:rPr>
        <w:t>&lt; 0.05 was considered statistically significant.</w:t>
      </w:r>
    </w:p>
    <w:p w14:paraId="6A963403" w14:textId="77777777" w:rsidR="00F665AD" w:rsidRPr="001533EC" w:rsidRDefault="00F665AD" w:rsidP="00F665AD">
      <w:pPr>
        <w:rPr>
          <w:lang w:val="en-GB"/>
        </w:rPr>
      </w:pPr>
    </w:p>
    <w:p w14:paraId="371C89AE" w14:textId="23F67931" w:rsidR="004A10BE" w:rsidRPr="00810F71" w:rsidRDefault="004A10BE" w:rsidP="00356ABE">
      <w:pPr>
        <w:spacing w:line="480" w:lineRule="auto"/>
        <w:jc w:val="both"/>
        <w:rPr>
          <w:b/>
          <w:sz w:val="24"/>
          <w:szCs w:val="24"/>
        </w:rPr>
      </w:pPr>
    </w:p>
    <w:sectPr w:rsidR="004A10BE" w:rsidRPr="00810F71" w:rsidSect="00691A32">
      <w:headerReference w:type="first" r:id="rId14"/>
      <w:pgSz w:w="12240" w:h="15840"/>
      <w:pgMar w:top="1440" w:right="1440" w:bottom="1440" w:left="1440"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2B96" w14:textId="77777777" w:rsidR="001E4AC1" w:rsidRDefault="001E4AC1" w:rsidP="004A10BE">
      <w:r>
        <w:separator/>
      </w:r>
    </w:p>
  </w:endnote>
  <w:endnote w:type="continuationSeparator" w:id="0">
    <w:p w14:paraId="561D4AB0" w14:textId="77777777" w:rsidR="001E4AC1" w:rsidRDefault="001E4AC1"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GuardianSansGR-Regular">
    <w:altName w:val="MS Gothic"/>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97698"/>
      <w:docPartObj>
        <w:docPartGallery w:val="Page Numbers (Bottom of Page)"/>
        <w:docPartUnique/>
      </w:docPartObj>
    </w:sdtPr>
    <w:sdtEndPr/>
    <w:sdtContent>
      <w:p w14:paraId="0870447A" w14:textId="07C17948" w:rsidR="00356ABE" w:rsidRPr="005A5AF0" w:rsidRDefault="00356ABE">
        <w:pPr>
          <w:pStyle w:val="Fuzeile"/>
          <w:jc w:val="center"/>
        </w:pPr>
        <w:r w:rsidRPr="005A5AF0">
          <w:fldChar w:fldCharType="begin"/>
        </w:r>
        <w:r w:rsidRPr="005A5AF0">
          <w:instrText>PAGE   \* MERGEFORMAT</w:instrText>
        </w:r>
        <w:r w:rsidRPr="005A5AF0">
          <w:fldChar w:fldCharType="separate"/>
        </w:r>
        <w:r w:rsidRPr="00EA5CF8">
          <w:rPr>
            <w:noProof/>
            <w:lang w:val="de-DE"/>
          </w:rPr>
          <w:t>21</w:t>
        </w:r>
        <w:r w:rsidRPr="005A5AF0">
          <w:fldChar w:fldCharType="end"/>
        </w:r>
      </w:p>
    </w:sdtContent>
  </w:sdt>
  <w:p w14:paraId="55FFAD53" w14:textId="77777777" w:rsidR="00356ABE" w:rsidRDefault="00356A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D6F3" w14:textId="77777777" w:rsidR="001E4AC1" w:rsidRDefault="001E4AC1" w:rsidP="004A10BE">
      <w:r>
        <w:separator/>
      </w:r>
    </w:p>
  </w:footnote>
  <w:footnote w:type="continuationSeparator" w:id="0">
    <w:p w14:paraId="039B4FF3" w14:textId="77777777" w:rsidR="001E4AC1" w:rsidRDefault="001E4AC1" w:rsidP="004A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752E" w14:textId="77777777" w:rsidR="00356ABE" w:rsidRDefault="00356ABE" w:rsidP="004A10BE">
    <w:pPr>
      <w:pStyle w:val="Kopfzeile"/>
    </w:pPr>
  </w:p>
  <w:p w14:paraId="2AB23E5A" w14:textId="4E0234D9" w:rsidR="00356ABE" w:rsidRPr="00204015" w:rsidRDefault="00356ABE" w:rsidP="004A10BE">
    <w:pPr>
      <w:pStyle w:val="Kopfzeile"/>
    </w:pPr>
    <w:r>
      <w:tab/>
    </w:r>
    <w:r w:rsidRPr="00204015">
      <w:t>Submitted Manuscript:  Confidential</w:t>
    </w:r>
    <w:r>
      <w:tab/>
      <w:t xml:space="preserve">             </w:t>
    </w:r>
    <w:r w:rsidRPr="005341F3">
      <w:rPr>
        <w:sz w:val="16"/>
        <w:szCs w:val="16"/>
      </w:rPr>
      <w:t xml:space="preserve">template updated: </w:t>
    </w:r>
    <w:r>
      <w:rPr>
        <w:sz w:val="16"/>
        <w:szCs w:val="16"/>
      </w:rPr>
      <w:t>February 2022</w:t>
    </w:r>
  </w:p>
  <w:p w14:paraId="130ED7F7" w14:textId="77777777" w:rsidR="00356ABE" w:rsidRDefault="00356ABE" w:rsidP="004A10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CA23D5"/>
    <w:multiLevelType w:val="multilevel"/>
    <w:tmpl w:val="9CB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17EFB"/>
    <w:multiLevelType w:val="hybridMultilevel"/>
    <w:tmpl w:val="68726496"/>
    <w:lvl w:ilvl="0" w:tplc="38FA40D6">
      <w:start w:val="109"/>
      <w:numFmt w:val="decimal"/>
      <w:lvlText w:val="%1"/>
      <w:lvlJc w:val="left"/>
      <w:pPr>
        <w:ind w:left="796" w:hanging="692"/>
      </w:pPr>
      <w:rPr>
        <w:rFonts w:hint="default"/>
        <w:spacing w:val="-2"/>
        <w:w w:val="100"/>
        <w:lang w:val="en-US" w:eastAsia="en-US" w:bidi="ar-SA"/>
      </w:rPr>
    </w:lvl>
    <w:lvl w:ilvl="1" w:tplc="DB90E524">
      <w:numFmt w:val="bullet"/>
      <w:lvlText w:val="•"/>
      <w:lvlJc w:val="left"/>
      <w:pPr>
        <w:ind w:left="1718" w:hanging="692"/>
      </w:pPr>
      <w:rPr>
        <w:rFonts w:hint="default"/>
        <w:lang w:val="en-US" w:eastAsia="en-US" w:bidi="ar-SA"/>
      </w:rPr>
    </w:lvl>
    <w:lvl w:ilvl="2" w:tplc="1EF05298">
      <w:numFmt w:val="bullet"/>
      <w:lvlText w:val="•"/>
      <w:lvlJc w:val="left"/>
      <w:pPr>
        <w:ind w:left="2636" w:hanging="692"/>
      </w:pPr>
      <w:rPr>
        <w:rFonts w:hint="default"/>
        <w:lang w:val="en-US" w:eastAsia="en-US" w:bidi="ar-SA"/>
      </w:rPr>
    </w:lvl>
    <w:lvl w:ilvl="3" w:tplc="FE9AE6AA">
      <w:numFmt w:val="bullet"/>
      <w:lvlText w:val="•"/>
      <w:lvlJc w:val="left"/>
      <w:pPr>
        <w:ind w:left="3555" w:hanging="692"/>
      </w:pPr>
      <w:rPr>
        <w:rFonts w:hint="default"/>
        <w:lang w:val="en-US" w:eastAsia="en-US" w:bidi="ar-SA"/>
      </w:rPr>
    </w:lvl>
    <w:lvl w:ilvl="4" w:tplc="BC2A134E">
      <w:numFmt w:val="bullet"/>
      <w:lvlText w:val="•"/>
      <w:lvlJc w:val="left"/>
      <w:pPr>
        <w:ind w:left="4473" w:hanging="692"/>
      </w:pPr>
      <w:rPr>
        <w:rFonts w:hint="default"/>
        <w:lang w:val="en-US" w:eastAsia="en-US" w:bidi="ar-SA"/>
      </w:rPr>
    </w:lvl>
    <w:lvl w:ilvl="5" w:tplc="FD404C08">
      <w:numFmt w:val="bullet"/>
      <w:lvlText w:val="•"/>
      <w:lvlJc w:val="left"/>
      <w:pPr>
        <w:ind w:left="5392" w:hanging="692"/>
      </w:pPr>
      <w:rPr>
        <w:rFonts w:hint="default"/>
        <w:lang w:val="en-US" w:eastAsia="en-US" w:bidi="ar-SA"/>
      </w:rPr>
    </w:lvl>
    <w:lvl w:ilvl="6" w:tplc="53FAF9B0">
      <w:numFmt w:val="bullet"/>
      <w:lvlText w:val="•"/>
      <w:lvlJc w:val="left"/>
      <w:pPr>
        <w:ind w:left="6310" w:hanging="692"/>
      </w:pPr>
      <w:rPr>
        <w:rFonts w:hint="default"/>
        <w:lang w:val="en-US" w:eastAsia="en-US" w:bidi="ar-SA"/>
      </w:rPr>
    </w:lvl>
    <w:lvl w:ilvl="7" w:tplc="9CFE3E90">
      <w:numFmt w:val="bullet"/>
      <w:lvlText w:val="•"/>
      <w:lvlJc w:val="left"/>
      <w:pPr>
        <w:ind w:left="7228" w:hanging="692"/>
      </w:pPr>
      <w:rPr>
        <w:rFonts w:hint="default"/>
        <w:lang w:val="en-US" w:eastAsia="en-US" w:bidi="ar-SA"/>
      </w:rPr>
    </w:lvl>
    <w:lvl w:ilvl="8" w:tplc="A5289C8C">
      <w:numFmt w:val="bullet"/>
      <w:lvlText w:val="•"/>
      <w:lvlJc w:val="left"/>
      <w:pPr>
        <w:ind w:left="8147" w:hanging="692"/>
      </w:pPr>
      <w:rPr>
        <w:rFonts w:hint="default"/>
        <w:lang w:val="en-US" w:eastAsia="en-US" w:bidi="ar-SA"/>
      </w:rPr>
    </w:lvl>
  </w:abstractNum>
  <w:abstractNum w:abstractNumId="13" w15:restartNumberingAfterBreak="0">
    <w:nsid w:val="42EF7EF0"/>
    <w:multiLevelType w:val="multilevel"/>
    <w:tmpl w:val="E52C8C1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69B6768"/>
    <w:multiLevelType w:val="multilevel"/>
    <w:tmpl w:val="A30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63130"/>
    <w:multiLevelType w:val="hybridMultilevel"/>
    <w:tmpl w:val="2F8EB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18291">
    <w:abstractNumId w:val="10"/>
  </w:num>
  <w:num w:numId="2" w16cid:durableId="1374581007">
    <w:abstractNumId w:val="9"/>
  </w:num>
  <w:num w:numId="3" w16cid:durableId="1654136182">
    <w:abstractNumId w:val="7"/>
  </w:num>
  <w:num w:numId="4" w16cid:durableId="1504391477">
    <w:abstractNumId w:val="6"/>
  </w:num>
  <w:num w:numId="5" w16cid:durableId="2147156994">
    <w:abstractNumId w:val="5"/>
  </w:num>
  <w:num w:numId="6" w16cid:durableId="2039743807">
    <w:abstractNumId w:val="4"/>
  </w:num>
  <w:num w:numId="7" w16cid:durableId="1014190437">
    <w:abstractNumId w:val="8"/>
  </w:num>
  <w:num w:numId="8" w16cid:durableId="1813671605">
    <w:abstractNumId w:val="3"/>
  </w:num>
  <w:num w:numId="9" w16cid:durableId="1881475879">
    <w:abstractNumId w:val="2"/>
  </w:num>
  <w:num w:numId="10" w16cid:durableId="17312615">
    <w:abstractNumId w:val="1"/>
  </w:num>
  <w:num w:numId="11" w16cid:durableId="1774200985">
    <w:abstractNumId w:val="0"/>
  </w:num>
  <w:num w:numId="12" w16cid:durableId="1132673136">
    <w:abstractNumId w:val="13"/>
  </w:num>
  <w:num w:numId="13" w16cid:durableId="1045980221">
    <w:abstractNumId w:val="15"/>
  </w:num>
  <w:num w:numId="14" w16cid:durableId="696736643">
    <w:abstractNumId w:val="14"/>
  </w:num>
  <w:num w:numId="15" w16cid:durableId="1885093696">
    <w:abstractNumId w:val="11"/>
  </w:num>
  <w:num w:numId="16" w16cid:durableId="1623685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1D"/>
    <w:rsid w:val="00000C9E"/>
    <w:rsid w:val="00004064"/>
    <w:rsid w:val="000048EC"/>
    <w:rsid w:val="00007557"/>
    <w:rsid w:val="00007A3A"/>
    <w:rsid w:val="0001007E"/>
    <w:rsid w:val="0001531F"/>
    <w:rsid w:val="00017E29"/>
    <w:rsid w:val="00023012"/>
    <w:rsid w:val="00023448"/>
    <w:rsid w:val="00023672"/>
    <w:rsid w:val="000315F2"/>
    <w:rsid w:val="00035AEA"/>
    <w:rsid w:val="00044DCF"/>
    <w:rsid w:val="00046674"/>
    <w:rsid w:val="000466A8"/>
    <w:rsid w:val="00053A0E"/>
    <w:rsid w:val="000577A7"/>
    <w:rsid w:val="000607CC"/>
    <w:rsid w:val="0006099F"/>
    <w:rsid w:val="00062309"/>
    <w:rsid w:val="00064115"/>
    <w:rsid w:val="00067A1E"/>
    <w:rsid w:val="00067A6E"/>
    <w:rsid w:val="000741FB"/>
    <w:rsid w:val="00075987"/>
    <w:rsid w:val="00076606"/>
    <w:rsid w:val="0008650E"/>
    <w:rsid w:val="0009168B"/>
    <w:rsid w:val="00094E15"/>
    <w:rsid w:val="00096A1C"/>
    <w:rsid w:val="0009768D"/>
    <w:rsid w:val="000A3CBA"/>
    <w:rsid w:val="000A65EC"/>
    <w:rsid w:val="000B07CD"/>
    <w:rsid w:val="000C134D"/>
    <w:rsid w:val="000C172A"/>
    <w:rsid w:val="000C1B76"/>
    <w:rsid w:val="000C36D1"/>
    <w:rsid w:val="000C3B82"/>
    <w:rsid w:val="000D03A3"/>
    <w:rsid w:val="000D20AE"/>
    <w:rsid w:val="000D3B3B"/>
    <w:rsid w:val="000D4D8D"/>
    <w:rsid w:val="000D51CC"/>
    <w:rsid w:val="000D5D86"/>
    <w:rsid w:val="000D61C2"/>
    <w:rsid w:val="000E2047"/>
    <w:rsid w:val="000E4E26"/>
    <w:rsid w:val="000E56BE"/>
    <w:rsid w:val="000E7336"/>
    <w:rsid w:val="000F17DA"/>
    <w:rsid w:val="00103CC0"/>
    <w:rsid w:val="0011172B"/>
    <w:rsid w:val="00114583"/>
    <w:rsid w:val="00122188"/>
    <w:rsid w:val="001268C5"/>
    <w:rsid w:val="00132A60"/>
    <w:rsid w:val="00135382"/>
    <w:rsid w:val="00145CE8"/>
    <w:rsid w:val="00146B7D"/>
    <w:rsid w:val="001533EC"/>
    <w:rsid w:val="00155E4C"/>
    <w:rsid w:val="00162913"/>
    <w:rsid w:val="00165475"/>
    <w:rsid w:val="00165681"/>
    <w:rsid w:val="0017286C"/>
    <w:rsid w:val="0017498C"/>
    <w:rsid w:val="00174FA1"/>
    <w:rsid w:val="00175CBB"/>
    <w:rsid w:val="00185220"/>
    <w:rsid w:val="0018590D"/>
    <w:rsid w:val="0019364A"/>
    <w:rsid w:val="00196E4D"/>
    <w:rsid w:val="001A2E8C"/>
    <w:rsid w:val="001A3A0B"/>
    <w:rsid w:val="001A416B"/>
    <w:rsid w:val="001A6DB0"/>
    <w:rsid w:val="001B0B55"/>
    <w:rsid w:val="001B5C02"/>
    <w:rsid w:val="001C1601"/>
    <w:rsid w:val="001C6032"/>
    <w:rsid w:val="001C6CC0"/>
    <w:rsid w:val="001C6EDA"/>
    <w:rsid w:val="001C720C"/>
    <w:rsid w:val="001D0ACF"/>
    <w:rsid w:val="001D0F62"/>
    <w:rsid w:val="001D78F9"/>
    <w:rsid w:val="001E4AC1"/>
    <w:rsid w:val="001F036A"/>
    <w:rsid w:val="001F0A18"/>
    <w:rsid w:val="001F3100"/>
    <w:rsid w:val="001F46DD"/>
    <w:rsid w:val="001F49EC"/>
    <w:rsid w:val="001F663A"/>
    <w:rsid w:val="002037BD"/>
    <w:rsid w:val="00210B28"/>
    <w:rsid w:val="002112E3"/>
    <w:rsid w:val="00212807"/>
    <w:rsid w:val="00213A13"/>
    <w:rsid w:val="00215469"/>
    <w:rsid w:val="00221516"/>
    <w:rsid w:val="00226B40"/>
    <w:rsid w:val="00227B70"/>
    <w:rsid w:val="002330C6"/>
    <w:rsid w:val="00240A26"/>
    <w:rsid w:val="00241C88"/>
    <w:rsid w:val="00241CF3"/>
    <w:rsid w:val="002453E6"/>
    <w:rsid w:val="0024773E"/>
    <w:rsid w:val="00247B00"/>
    <w:rsid w:val="002603CC"/>
    <w:rsid w:val="00261D83"/>
    <w:rsid w:val="00261EBD"/>
    <w:rsid w:val="00262AA1"/>
    <w:rsid w:val="00264706"/>
    <w:rsid w:val="002657B0"/>
    <w:rsid w:val="002670CB"/>
    <w:rsid w:val="00267494"/>
    <w:rsid w:val="002732B4"/>
    <w:rsid w:val="00275766"/>
    <w:rsid w:val="0028009E"/>
    <w:rsid w:val="00283E51"/>
    <w:rsid w:val="002857BE"/>
    <w:rsid w:val="00294202"/>
    <w:rsid w:val="002A2CFB"/>
    <w:rsid w:val="002B0952"/>
    <w:rsid w:val="002B2ACD"/>
    <w:rsid w:val="002B4E3C"/>
    <w:rsid w:val="002B7C32"/>
    <w:rsid w:val="002C050F"/>
    <w:rsid w:val="002C2220"/>
    <w:rsid w:val="002C4BF4"/>
    <w:rsid w:val="002C6089"/>
    <w:rsid w:val="002D03C6"/>
    <w:rsid w:val="002D524F"/>
    <w:rsid w:val="002E2F86"/>
    <w:rsid w:val="002E354B"/>
    <w:rsid w:val="002E404B"/>
    <w:rsid w:val="002E5CD7"/>
    <w:rsid w:val="002E6D60"/>
    <w:rsid w:val="002F178F"/>
    <w:rsid w:val="002F2755"/>
    <w:rsid w:val="002F28B8"/>
    <w:rsid w:val="002F4D23"/>
    <w:rsid w:val="002F576E"/>
    <w:rsid w:val="002F63D6"/>
    <w:rsid w:val="00303846"/>
    <w:rsid w:val="00304CD8"/>
    <w:rsid w:val="003146B0"/>
    <w:rsid w:val="00314B11"/>
    <w:rsid w:val="00317C23"/>
    <w:rsid w:val="003202D7"/>
    <w:rsid w:val="00321A4F"/>
    <w:rsid w:val="00326B38"/>
    <w:rsid w:val="003305C7"/>
    <w:rsid w:val="00333F02"/>
    <w:rsid w:val="0033405B"/>
    <w:rsid w:val="003340B4"/>
    <w:rsid w:val="003416B7"/>
    <w:rsid w:val="0034285C"/>
    <w:rsid w:val="00350693"/>
    <w:rsid w:val="0035254C"/>
    <w:rsid w:val="003529BA"/>
    <w:rsid w:val="00353B12"/>
    <w:rsid w:val="00356ABE"/>
    <w:rsid w:val="003570BC"/>
    <w:rsid w:val="003579F2"/>
    <w:rsid w:val="00361DED"/>
    <w:rsid w:val="00365431"/>
    <w:rsid w:val="00366192"/>
    <w:rsid w:val="003663F0"/>
    <w:rsid w:val="00372760"/>
    <w:rsid w:val="0037391A"/>
    <w:rsid w:val="0037394F"/>
    <w:rsid w:val="00376FB8"/>
    <w:rsid w:val="00381346"/>
    <w:rsid w:val="003814F7"/>
    <w:rsid w:val="00382550"/>
    <w:rsid w:val="00383B56"/>
    <w:rsid w:val="0038477C"/>
    <w:rsid w:val="00386B11"/>
    <w:rsid w:val="00394225"/>
    <w:rsid w:val="003A0A4A"/>
    <w:rsid w:val="003A122C"/>
    <w:rsid w:val="003A18CE"/>
    <w:rsid w:val="003A4305"/>
    <w:rsid w:val="003B0E00"/>
    <w:rsid w:val="003B6AC5"/>
    <w:rsid w:val="003C344F"/>
    <w:rsid w:val="003C69EB"/>
    <w:rsid w:val="003D6995"/>
    <w:rsid w:val="003E4722"/>
    <w:rsid w:val="003F23B0"/>
    <w:rsid w:val="003F4804"/>
    <w:rsid w:val="003F4D5D"/>
    <w:rsid w:val="003F64DC"/>
    <w:rsid w:val="004015EB"/>
    <w:rsid w:val="0040171C"/>
    <w:rsid w:val="00403B64"/>
    <w:rsid w:val="00405694"/>
    <w:rsid w:val="004105AC"/>
    <w:rsid w:val="00410729"/>
    <w:rsid w:val="00411A53"/>
    <w:rsid w:val="00413509"/>
    <w:rsid w:val="00415D2C"/>
    <w:rsid w:val="00421348"/>
    <w:rsid w:val="00423287"/>
    <w:rsid w:val="0042490C"/>
    <w:rsid w:val="00435B11"/>
    <w:rsid w:val="00437C66"/>
    <w:rsid w:val="004458EE"/>
    <w:rsid w:val="00446258"/>
    <w:rsid w:val="00446FE2"/>
    <w:rsid w:val="004549F4"/>
    <w:rsid w:val="00455540"/>
    <w:rsid w:val="0045697D"/>
    <w:rsid w:val="004615A3"/>
    <w:rsid w:val="00461725"/>
    <w:rsid w:val="004728E5"/>
    <w:rsid w:val="0047375A"/>
    <w:rsid w:val="00473A45"/>
    <w:rsid w:val="0047439B"/>
    <w:rsid w:val="00475D72"/>
    <w:rsid w:val="004761DE"/>
    <w:rsid w:val="00477E4E"/>
    <w:rsid w:val="00482ACB"/>
    <w:rsid w:val="00484040"/>
    <w:rsid w:val="00485253"/>
    <w:rsid w:val="00487061"/>
    <w:rsid w:val="00490041"/>
    <w:rsid w:val="00492591"/>
    <w:rsid w:val="004940DD"/>
    <w:rsid w:val="004A0459"/>
    <w:rsid w:val="004A0FA1"/>
    <w:rsid w:val="004A10BE"/>
    <w:rsid w:val="004A1514"/>
    <w:rsid w:val="004A355F"/>
    <w:rsid w:val="004A507A"/>
    <w:rsid w:val="004A72B6"/>
    <w:rsid w:val="004B02ED"/>
    <w:rsid w:val="004B0C4A"/>
    <w:rsid w:val="004B2F9A"/>
    <w:rsid w:val="004B386E"/>
    <w:rsid w:val="004B6AFB"/>
    <w:rsid w:val="004C22A6"/>
    <w:rsid w:val="004C375A"/>
    <w:rsid w:val="004C40DA"/>
    <w:rsid w:val="004C5556"/>
    <w:rsid w:val="004D3DE1"/>
    <w:rsid w:val="004D53D8"/>
    <w:rsid w:val="004D663A"/>
    <w:rsid w:val="004D77D7"/>
    <w:rsid w:val="004E0E29"/>
    <w:rsid w:val="004E2B67"/>
    <w:rsid w:val="004E3131"/>
    <w:rsid w:val="004E51D2"/>
    <w:rsid w:val="004E617F"/>
    <w:rsid w:val="004F059E"/>
    <w:rsid w:val="004F2135"/>
    <w:rsid w:val="004F3DFD"/>
    <w:rsid w:val="004F520B"/>
    <w:rsid w:val="004F5FBF"/>
    <w:rsid w:val="00501656"/>
    <w:rsid w:val="005016C0"/>
    <w:rsid w:val="0050472E"/>
    <w:rsid w:val="00504F2B"/>
    <w:rsid w:val="00506BB6"/>
    <w:rsid w:val="005150EF"/>
    <w:rsid w:val="0051587F"/>
    <w:rsid w:val="005222BE"/>
    <w:rsid w:val="00523E8E"/>
    <w:rsid w:val="00527879"/>
    <w:rsid w:val="005341F3"/>
    <w:rsid w:val="005405A9"/>
    <w:rsid w:val="00540629"/>
    <w:rsid w:val="00540789"/>
    <w:rsid w:val="0054096B"/>
    <w:rsid w:val="005437A5"/>
    <w:rsid w:val="00543933"/>
    <w:rsid w:val="00544102"/>
    <w:rsid w:val="00545107"/>
    <w:rsid w:val="005478D9"/>
    <w:rsid w:val="00552069"/>
    <w:rsid w:val="005539BE"/>
    <w:rsid w:val="0055572A"/>
    <w:rsid w:val="00556F4F"/>
    <w:rsid w:val="00563AC0"/>
    <w:rsid w:val="00565A0C"/>
    <w:rsid w:val="00566017"/>
    <w:rsid w:val="00575293"/>
    <w:rsid w:val="00576B72"/>
    <w:rsid w:val="00580B00"/>
    <w:rsid w:val="00585ACE"/>
    <w:rsid w:val="00590D15"/>
    <w:rsid w:val="00590EFC"/>
    <w:rsid w:val="0059117E"/>
    <w:rsid w:val="00592810"/>
    <w:rsid w:val="00594017"/>
    <w:rsid w:val="00594738"/>
    <w:rsid w:val="00597AE4"/>
    <w:rsid w:val="005A0CAB"/>
    <w:rsid w:val="005A1B38"/>
    <w:rsid w:val="005A763B"/>
    <w:rsid w:val="005B188B"/>
    <w:rsid w:val="005B5E46"/>
    <w:rsid w:val="005C2964"/>
    <w:rsid w:val="005C6EDD"/>
    <w:rsid w:val="005C727C"/>
    <w:rsid w:val="005D01D4"/>
    <w:rsid w:val="005D0B84"/>
    <w:rsid w:val="005D4D0E"/>
    <w:rsid w:val="005D61FD"/>
    <w:rsid w:val="005E39F8"/>
    <w:rsid w:val="005E63C2"/>
    <w:rsid w:val="005E662C"/>
    <w:rsid w:val="005E7169"/>
    <w:rsid w:val="005E7E90"/>
    <w:rsid w:val="005F0A5C"/>
    <w:rsid w:val="005F21DA"/>
    <w:rsid w:val="005F59B5"/>
    <w:rsid w:val="005F724A"/>
    <w:rsid w:val="0060125B"/>
    <w:rsid w:val="00602210"/>
    <w:rsid w:val="00602235"/>
    <w:rsid w:val="00602E2F"/>
    <w:rsid w:val="00605BC1"/>
    <w:rsid w:val="00607440"/>
    <w:rsid w:val="00614C7B"/>
    <w:rsid w:val="00615436"/>
    <w:rsid w:val="00615962"/>
    <w:rsid w:val="00630AB4"/>
    <w:rsid w:val="0063153D"/>
    <w:rsid w:val="00632E52"/>
    <w:rsid w:val="00635A62"/>
    <w:rsid w:val="0064261D"/>
    <w:rsid w:val="00642826"/>
    <w:rsid w:val="00643739"/>
    <w:rsid w:val="00652508"/>
    <w:rsid w:val="00652F66"/>
    <w:rsid w:val="0065325B"/>
    <w:rsid w:val="00655B01"/>
    <w:rsid w:val="00662FA0"/>
    <w:rsid w:val="00663FEE"/>
    <w:rsid w:val="00664164"/>
    <w:rsid w:val="00665A5A"/>
    <w:rsid w:val="006723BF"/>
    <w:rsid w:val="00675809"/>
    <w:rsid w:val="006766DC"/>
    <w:rsid w:val="00681F99"/>
    <w:rsid w:val="006829F0"/>
    <w:rsid w:val="00687464"/>
    <w:rsid w:val="006879D2"/>
    <w:rsid w:val="00691A32"/>
    <w:rsid w:val="00692832"/>
    <w:rsid w:val="00694B8B"/>
    <w:rsid w:val="006953F2"/>
    <w:rsid w:val="006A529A"/>
    <w:rsid w:val="006B0007"/>
    <w:rsid w:val="006B1EFA"/>
    <w:rsid w:val="006D0CA2"/>
    <w:rsid w:val="006D5559"/>
    <w:rsid w:val="006E30D9"/>
    <w:rsid w:val="006E50B8"/>
    <w:rsid w:val="006F3F30"/>
    <w:rsid w:val="00700FA8"/>
    <w:rsid w:val="00707EFA"/>
    <w:rsid w:val="007136F4"/>
    <w:rsid w:val="00714B6A"/>
    <w:rsid w:val="0071714A"/>
    <w:rsid w:val="0072387B"/>
    <w:rsid w:val="00730DCE"/>
    <w:rsid w:val="007327CC"/>
    <w:rsid w:val="00732FA8"/>
    <w:rsid w:val="0073488A"/>
    <w:rsid w:val="0073630D"/>
    <w:rsid w:val="00741F08"/>
    <w:rsid w:val="00745292"/>
    <w:rsid w:val="00745FEE"/>
    <w:rsid w:val="00746A5C"/>
    <w:rsid w:val="00751AB8"/>
    <w:rsid w:val="007656BD"/>
    <w:rsid w:val="007702E3"/>
    <w:rsid w:val="00770706"/>
    <w:rsid w:val="00772D20"/>
    <w:rsid w:val="00773192"/>
    <w:rsid w:val="00776633"/>
    <w:rsid w:val="007770F0"/>
    <w:rsid w:val="00782385"/>
    <w:rsid w:val="0078707B"/>
    <w:rsid w:val="007878C0"/>
    <w:rsid w:val="00792292"/>
    <w:rsid w:val="007957A5"/>
    <w:rsid w:val="00795AD6"/>
    <w:rsid w:val="00796CFE"/>
    <w:rsid w:val="007A7411"/>
    <w:rsid w:val="007B1ACA"/>
    <w:rsid w:val="007B2757"/>
    <w:rsid w:val="007B3D4E"/>
    <w:rsid w:val="007B60C2"/>
    <w:rsid w:val="007B652C"/>
    <w:rsid w:val="007C0408"/>
    <w:rsid w:val="007C3B22"/>
    <w:rsid w:val="007C680A"/>
    <w:rsid w:val="007C7BCD"/>
    <w:rsid w:val="007D5141"/>
    <w:rsid w:val="007D64FA"/>
    <w:rsid w:val="007D725D"/>
    <w:rsid w:val="007E0F24"/>
    <w:rsid w:val="007E0F35"/>
    <w:rsid w:val="007E3672"/>
    <w:rsid w:val="007E4606"/>
    <w:rsid w:val="007E7177"/>
    <w:rsid w:val="007F7F32"/>
    <w:rsid w:val="0080001F"/>
    <w:rsid w:val="008005A4"/>
    <w:rsid w:val="008016D2"/>
    <w:rsid w:val="00803034"/>
    <w:rsid w:val="0080432F"/>
    <w:rsid w:val="00804729"/>
    <w:rsid w:val="008073ED"/>
    <w:rsid w:val="00810F71"/>
    <w:rsid w:val="00813AE9"/>
    <w:rsid w:val="00814175"/>
    <w:rsid w:val="00815DED"/>
    <w:rsid w:val="00820CE9"/>
    <w:rsid w:val="00821E32"/>
    <w:rsid w:val="008345DE"/>
    <w:rsid w:val="00835178"/>
    <w:rsid w:val="00840A38"/>
    <w:rsid w:val="008412C0"/>
    <w:rsid w:val="00842424"/>
    <w:rsid w:val="00842A31"/>
    <w:rsid w:val="00850946"/>
    <w:rsid w:val="00850D27"/>
    <w:rsid w:val="008540B2"/>
    <w:rsid w:val="008573F1"/>
    <w:rsid w:val="00870D64"/>
    <w:rsid w:val="0087186E"/>
    <w:rsid w:val="008730C7"/>
    <w:rsid w:val="0088126A"/>
    <w:rsid w:val="008878B2"/>
    <w:rsid w:val="00887D52"/>
    <w:rsid w:val="00890D43"/>
    <w:rsid w:val="00891C26"/>
    <w:rsid w:val="00896296"/>
    <w:rsid w:val="008A1381"/>
    <w:rsid w:val="008A1BE3"/>
    <w:rsid w:val="008A21E6"/>
    <w:rsid w:val="008B220C"/>
    <w:rsid w:val="008C076C"/>
    <w:rsid w:val="008C6303"/>
    <w:rsid w:val="008D0AE6"/>
    <w:rsid w:val="008D13E6"/>
    <w:rsid w:val="008D42F6"/>
    <w:rsid w:val="008D4CCE"/>
    <w:rsid w:val="008D7795"/>
    <w:rsid w:val="008E065E"/>
    <w:rsid w:val="008E488C"/>
    <w:rsid w:val="008E4DDD"/>
    <w:rsid w:val="008E6414"/>
    <w:rsid w:val="008F0D83"/>
    <w:rsid w:val="008F268D"/>
    <w:rsid w:val="008F3BF8"/>
    <w:rsid w:val="009014E2"/>
    <w:rsid w:val="0090235E"/>
    <w:rsid w:val="00902398"/>
    <w:rsid w:val="00903660"/>
    <w:rsid w:val="009044DE"/>
    <w:rsid w:val="00907624"/>
    <w:rsid w:val="00915703"/>
    <w:rsid w:val="00915B06"/>
    <w:rsid w:val="00923BC6"/>
    <w:rsid w:val="00924C41"/>
    <w:rsid w:val="00925C70"/>
    <w:rsid w:val="00934294"/>
    <w:rsid w:val="00935C67"/>
    <w:rsid w:val="00936104"/>
    <w:rsid w:val="0093733A"/>
    <w:rsid w:val="00940E30"/>
    <w:rsid w:val="009410AE"/>
    <w:rsid w:val="009438BF"/>
    <w:rsid w:val="00943D39"/>
    <w:rsid w:val="00944270"/>
    <w:rsid w:val="009531D0"/>
    <w:rsid w:val="009551BC"/>
    <w:rsid w:val="00955C09"/>
    <w:rsid w:val="00955F38"/>
    <w:rsid w:val="009624CA"/>
    <w:rsid w:val="00965945"/>
    <w:rsid w:val="00966EAB"/>
    <w:rsid w:val="00970C6F"/>
    <w:rsid w:val="0097382E"/>
    <w:rsid w:val="00974A96"/>
    <w:rsid w:val="00976718"/>
    <w:rsid w:val="009859FF"/>
    <w:rsid w:val="009862F5"/>
    <w:rsid w:val="00986A2D"/>
    <w:rsid w:val="009874AE"/>
    <w:rsid w:val="0099013E"/>
    <w:rsid w:val="009915F4"/>
    <w:rsid w:val="00991B3C"/>
    <w:rsid w:val="00991C64"/>
    <w:rsid w:val="00991F4C"/>
    <w:rsid w:val="00992EB9"/>
    <w:rsid w:val="00993700"/>
    <w:rsid w:val="009A06BF"/>
    <w:rsid w:val="009A4702"/>
    <w:rsid w:val="009A4B05"/>
    <w:rsid w:val="009A6520"/>
    <w:rsid w:val="009A7449"/>
    <w:rsid w:val="009A7AAB"/>
    <w:rsid w:val="009B1602"/>
    <w:rsid w:val="009B6E17"/>
    <w:rsid w:val="009C06A4"/>
    <w:rsid w:val="009C5DB8"/>
    <w:rsid w:val="009C65E7"/>
    <w:rsid w:val="009C6891"/>
    <w:rsid w:val="009D356F"/>
    <w:rsid w:val="009D4430"/>
    <w:rsid w:val="009D5179"/>
    <w:rsid w:val="009D5DB7"/>
    <w:rsid w:val="009E0743"/>
    <w:rsid w:val="009E2381"/>
    <w:rsid w:val="009E254D"/>
    <w:rsid w:val="009E2A96"/>
    <w:rsid w:val="009E43E3"/>
    <w:rsid w:val="009F143D"/>
    <w:rsid w:val="00A03A7A"/>
    <w:rsid w:val="00A04336"/>
    <w:rsid w:val="00A066DF"/>
    <w:rsid w:val="00A11C4B"/>
    <w:rsid w:val="00A21CE3"/>
    <w:rsid w:val="00A23A22"/>
    <w:rsid w:val="00A24DF0"/>
    <w:rsid w:val="00A257DF"/>
    <w:rsid w:val="00A30B08"/>
    <w:rsid w:val="00A37B8C"/>
    <w:rsid w:val="00A41B29"/>
    <w:rsid w:val="00A41C10"/>
    <w:rsid w:val="00A41D7F"/>
    <w:rsid w:val="00A41D8F"/>
    <w:rsid w:val="00A42485"/>
    <w:rsid w:val="00A42B09"/>
    <w:rsid w:val="00A43926"/>
    <w:rsid w:val="00A45B3B"/>
    <w:rsid w:val="00A53F07"/>
    <w:rsid w:val="00A55F85"/>
    <w:rsid w:val="00A562F1"/>
    <w:rsid w:val="00A60C44"/>
    <w:rsid w:val="00A615B1"/>
    <w:rsid w:val="00A63B9D"/>
    <w:rsid w:val="00A651FB"/>
    <w:rsid w:val="00A665B4"/>
    <w:rsid w:val="00A86A99"/>
    <w:rsid w:val="00A9625E"/>
    <w:rsid w:val="00AA0E50"/>
    <w:rsid w:val="00AA0F43"/>
    <w:rsid w:val="00AA45FF"/>
    <w:rsid w:val="00AA7154"/>
    <w:rsid w:val="00AA718D"/>
    <w:rsid w:val="00AB4EB8"/>
    <w:rsid w:val="00AB6782"/>
    <w:rsid w:val="00AB6874"/>
    <w:rsid w:val="00AB6B96"/>
    <w:rsid w:val="00AC2171"/>
    <w:rsid w:val="00AC36DE"/>
    <w:rsid w:val="00AC3D0E"/>
    <w:rsid w:val="00AC4693"/>
    <w:rsid w:val="00AD169A"/>
    <w:rsid w:val="00AD17F0"/>
    <w:rsid w:val="00AD1D4E"/>
    <w:rsid w:val="00AD3B59"/>
    <w:rsid w:val="00AD44A7"/>
    <w:rsid w:val="00AD66BE"/>
    <w:rsid w:val="00AD755F"/>
    <w:rsid w:val="00AE2778"/>
    <w:rsid w:val="00AE3304"/>
    <w:rsid w:val="00AE3BCF"/>
    <w:rsid w:val="00AE53FE"/>
    <w:rsid w:val="00AE5B1E"/>
    <w:rsid w:val="00AE6979"/>
    <w:rsid w:val="00AE7CD6"/>
    <w:rsid w:val="00AF2214"/>
    <w:rsid w:val="00AF270C"/>
    <w:rsid w:val="00AF549C"/>
    <w:rsid w:val="00B0753F"/>
    <w:rsid w:val="00B07FDD"/>
    <w:rsid w:val="00B116E6"/>
    <w:rsid w:val="00B15DD6"/>
    <w:rsid w:val="00B16C06"/>
    <w:rsid w:val="00B217C3"/>
    <w:rsid w:val="00B22798"/>
    <w:rsid w:val="00B33C2E"/>
    <w:rsid w:val="00B52A57"/>
    <w:rsid w:val="00B53A1C"/>
    <w:rsid w:val="00B570AA"/>
    <w:rsid w:val="00B6249B"/>
    <w:rsid w:val="00B631FB"/>
    <w:rsid w:val="00B641C0"/>
    <w:rsid w:val="00B644E0"/>
    <w:rsid w:val="00B674F4"/>
    <w:rsid w:val="00B81A8D"/>
    <w:rsid w:val="00B81EB7"/>
    <w:rsid w:val="00B839DE"/>
    <w:rsid w:val="00B872DF"/>
    <w:rsid w:val="00B87D78"/>
    <w:rsid w:val="00B90D02"/>
    <w:rsid w:val="00B916BD"/>
    <w:rsid w:val="00B91804"/>
    <w:rsid w:val="00B92941"/>
    <w:rsid w:val="00BA160C"/>
    <w:rsid w:val="00BA33C9"/>
    <w:rsid w:val="00BA3D33"/>
    <w:rsid w:val="00BA44AF"/>
    <w:rsid w:val="00BA7E08"/>
    <w:rsid w:val="00BB1878"/>
    <w:rsid w:val="00BC0C42"/>
    <w:rsid w:val="00BC3ED5"/>
    <w:rsid w:val="00BD76AA"/>
    <w:rsid w:val="00BD7EB2"/>
    <w:rsid w:val="00BE00C6"/>
    <w:rsid w:val="00BE3157"/>
    <w:rsid w:val="00BE563D"/>
    <w:rsid w:val="00BE7759"/>
    <w:rsid w:val="00BF2921"/>
    <w:rsid w:val="00BF397C"/>
    <w:rsid w:val="00C007E9"/>
    <w:rsid w:val="00C02716"/>
    <w:rsid w:val="00C06374"/>
    <w:rsid w:val="00C077CA"/>
    <w:rsid w:val="00C13FFC"/>
    <w:rsid w:val="00C16664"/>
    <w:rsid w:val="00C178D8"/>
    <w:rsid w:val="00C2063D"/>
    <w:rsid w:val="00C23C47"/>
    <w:rsid w:val="00C31425"/>
    <w:rsid w:val="00C32F63"/>
    <w:rsid w:val="00C330F8"/>
    <w:rsid w:val="00C35062"/>
    <w:rsid w:val="00C35AC2"/>
    <w:rsid w:val="00C35B7A"/>
    <w:rsid w:val="00C361F6"/>
    <w:rsid w:val="00C363D7"/>
    <w:rsid w:val="00C40975"/>
    <w:rsid w:val="00C411D9"/>
    <w:rsid w:val="00C50774"/>
    <w:rsid w:val="00C52345"/>
    <w:rsid w:val="00C569FA"/>
    <w:rsid w:val="00C5765C"/>
    <w:rsid w:val="00C641EB"/>
    <w:rsid w:val="00C65D32"/>
    <w:rsid w:val="00C66CDB"/>
    <w:rsid w:val="00C71B72"/>
    <w:rsid w:val="00C73C2D"/>
    <w:rsid w:val="00C8031E"/>
    <w:rsid w:val="00C82062"/>
    <w:rsid w:val="00C83BAB"/>
    <w:rsid w:val="00C90DA0"/>
    <w:rsid w:val="00C917E9"/>
    <w:rsid w:val="00CA2306"/>
    <w:rsid w:val="00CA44D7"/>
    <w:rsid w:val="00CA4E80"/>
    <w:rsid w:val="00CB1014"/>
    <w:rsid w:val="00CB309B"/>
    <w:rsid w:val="00CB70CC"/>
    <w:rsid w:val="00CC12FB"/>
    <w:rsid w:val="00CC5A46"/>
    <w:rsid w:val="00CD2465"/>
    <w:rsid w:val="00CD3447"/>
    <w:rsid w:val="00CD3E23"/>
    <w:rsid w:val="00CD6604"/>
    <w:rsid w:val="00CE3B9E"/>
    <w:rsid w:val="00CE5A7D"/>
    <w:rsid w:val="00CF0867"/>
    <w:rsid w:val="00CF191C"/>
    <w:rsid w:val="00CF1C7B"/>
    <w:rsid w:val="00CF1CCB"/>
    <w:rsid w:val="00CF22C3"/>
    <w:rsid w:val="00CF462E"/>
    <w:rsid w:val="00CF491B"/>
    <w:rsid w:val="00CF52B2"/>
    <w:rsid w:val="00CF684E"/>
    <w:rsid w:val="00CF748F"/>
    <w:rsid w:val="00D0079B"/>
    <w:rsid w:val="00D04F0C"/>
    <w:rsid w:val="00D05114"/>
    <w:rsid w:val="00D07C1E"/>
    <w:rsid w:val="00D11F16"/>
    <w:rsid w:val="00D138B5"/>
    <w:rsid w:val="00D15431"/>
    <w:rsid w:val="00D15CFB"/>
    <w:rsid w:val="00D17529"/>
    <w:rsid w:val="00D2112A"/>
    <w:rsid w:val="00D21D35"/>
    <w:rsid w:val="00D252DC"/>
    <w:rsid w:val="00D27313"/>
    <w:rsid w:val="00D3480C"/>
    <w:rsid w:val="00D35ED9"/>
    <w:rsid w:val="00D35F54"/>
    <w:rsid w:val="00D473FE"/>
    <w:rsid w:val="00D51E4C"/>
    <w:rsid w:val="00D52A28"/>
    <w:rsid w:val="00D56227"/>
    <w:rsid w:val="00D572EB"/>
    <w:rsid w:val="00D60239"/>
    <w:rsid w:val="00D625D9"/>
    <w:rsid w:val="00D64503"/>
    <w:rsid w:val="00D70683"/>
    <w:rsid w:val="00D70846"/>
    <w:rsid w:val="00D7093E"/>
    <w:rsid w:val="00D71D99"/>
    <w:rsid w:val="00D76567"/>
    <w:rsid w:val="00D85398"/>
    <w:rsid w:val="00D9053E"/>
    <w:rsid w:val="00D905C0"/>
    <w:rsid w:val="00D911A6"/>
    <w:rsid w:val="00D9649A"/>
    <w:rsid w:val="00D9767A"/>
    <w:rsid w:val="00DA06FA"/>
    <w:rsid w:val="00DA2178"/>
    <w:rsid w:val="00DA3008"/>
    <w:rsid w:val="00DA3C49"/>
    <w:rsid w:val="00DA5BA6"/>
    <w:rsid w:val="00DB1993"/>
    <w:rsid w:val="00DB2B03"/>
    <w:rsid w:val="00DB2ECB"/>
    <w:rsid w:val="00DC04F0"/>
    <w:rsid w:val="00DC1E0A"/>
    <w:rsid w:val="00DC657B"/>
    <w:rsid w:val="00DD25CA"/>
    <w:rsid w:val="00DD3317"/>
    <w:rsid w:val="00DD5115"/>
    <w:rsid w:val="00DD6F03"/>
    <w:rsid w:val="00DE0B27"/>
    <w:rsid w:val="00DE760E"/>
    <w:rsid w:val="00DF02A0"/>
    <w:rsid w:val="00DF42F9"/>
    <w:rsid w:val="00DF4B85"/>
    <w:rsid w:val="00DF5D3E"/>
    <w:rsid w:val="00DF7807"/>
    <w:rsid w:val="00E01A55"/>
    <w:rsid w:val="00E12BD5"/>
    <w:rsid w:val="00E14DFB"/>
    <w:rsid w:val="00E15730"/>
    <w:rsid w:val="00E1696D"/>
    <w:rsid w:val="00E217BC"/>
    <w:rsid w:val="00E2346A"/>
    <w:rsid w:val="00E33F03"/>
    <w:rsid w:val="00E34325"/>
    <w:rsid w:val="00E418DE"/>
    <w:rsid w:val="00E42F87"/>
    <w:rsid w:val="00E435A8"/>
    <w:rsid w:val="00E45487"/>
    <w:rsid w:val="00E5059A"/>
    <w:rsid w:val="00E511E1"/>
    <w:rsid w:val="00E53AD4"/>
    <w:rsid w:val="00E5619B"/>
    <w:rsid w:val="00E60183"/>
    <w:rsid w:val="00E614CC"/>
    <w:rsid w:val="00E651DF"/>
    <w:rsid w:val="00E657B5"/>
    <w:rsid w:val="00E70397"/>
    <w:rsid w:val="00E72D69"/>
    <w:rsid w:val="00E767AB"/>
    <w:rsid w:val="00E774B0"/>
    <w:rsid w:val="00E808E7"/>
    <w:rsid w:val="00E81A31"/>
    <w:rsid w:val="00E83502"/>
    <w:rsid w:val="00E86E4F"/>
    <w:rsid w:val="00E9356F"/>
    <w:rsid w:val="00E97418"/>
    <w:rsid w:val="00E978EB"/>
    <w:rsid w:val="00EA23CB"/>
    <w:rsid w:val="00EA23F0"/>
    <w:rsid w:val="00EA5493"/>
    <w:rsid w:val="00EA5CF8"/>
    <w:rsid w:val="00EA7101"/>
    <w:rsid w:val="00EB35FE"/>
    <w:rsid w:val="00EB4A2C"/>
    <w:rsid w:val="00EB54D1"/>
    <w:rsid w:val="00EC0711"/>
    <w:rsid w:val="00EC46BE"/>
    <w:rsid w:val="00EC701F"/>
    <w:rsid w:val="00EC7AD0"/>
    <w:rsid w:val="00ED0D23"/>
    <w:rsid w:val="00ED40B8"/>
    <w:rsid w:val="00ED42E2"/>
    <w:rsid w:val="00ED7421"/>
    <w:rsid w:val="00EE469B"/>
    <w:rsid w:val="00EE534C"/>
    <w:rsid w:val="00EF12B6"/>
    <w:rsid w:val="00EF3E5E"/>
    <w:rsid w:val="00EF7E7F"/>
    <w:rsid w:val="00F0095B"/>
    <w:rsid w:val="00F010E1"/>
    <w:rsid w:val="00F02D43"/>
    <w:rsid w:val="00F04FE3"/>
    <w:rsid w:val="00F06FA3"/>
    <w:rsid w:val="00F07A69"/>
    <w:rsid w:val="00F13741"/>
    <w:rsid w:val="00F1539E"/>
    <w:rsid w:val="00F21D4D"/>
    <w:rsid w:val="00F21ED6"/>
    <w:rsid w:val="00F273C6"/>
    <w:rsid w:val="00F338C7"/>
    <w:rsid w:val="00F35CFC"/>
    <w:rsid w:val="00F46CE6"/>
    <w:rsid w:val="00F505DC"/>
    <w:rsid w:val="00F623A9"/>
    <w:rsid w:val="00F63B39"/>
    <w:rsid w:val="00F665AD"/>
    <w:rsid w:val="00F67383"/>
    <w:rsid w:val="00F70AE9"/>
    <w:rsid w:val="00F83B65"/>
    <w:rsid w:val="00F84406"/>
    <w:rsid w:val="00F867E1"/>
    <w:rsid w:val="00F872CA"/>
    <w:rsid w:val="00F9147A"/>
    <w:rsid w:val="00F9294C"/>
    <w:rsid w:val="00F941CF"/>
    <w:rsid w:val="00F956B5"/>
    <w:rsid w:val="00F9654A"/>
    <w:rsid w:val="00F97BC1"/>
    <w:rsid w:val="00FA2894"/>
    <w:rsid w:val="00FB0D46"/>
    <w:rsid w:val="00FB11F0"/>
    <w:rsid w:val="00FB2A95"/>
    <w:rsid w:val="00FB2B62"/>
    <w:rsid w:val="00FB6327"/>
    <w:rsid w:val="00FC0A84"/>
    <w:rsid w:val="00FC1DE9"/>
    <w:rsid w:val="00FD4D80"/>
    <w:rsid w:val="00FD55DC"/>
    <w:rsid w:val="00FE070F"/>
    <w:rsid w:val="00FE1AB1"/>
    <w:rsid w:val="00FE3395"/>
    <w:rsid w:val="00FF2050"/>
    <w:rsid w:val="00FF4D32"/>
    <w:rsid w:val="00FF5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E2809"/>
  <w15:chartTrackingRefBased/>
  <w15:docId w15:val="{378919FB-B2CA-46C1-A956-7FAD518C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7F20"/>
  </w:style>
  <w:style w:type="paragraph" w:styleId="berschrift4">
    <w:name w:val="heading 4"/>
    <w:basedOn w:val="Standard"/>
    <w:link w:val="berschrift4Zchn"/>
    <w:uiPriority w:val="9"/>
    <w:unhideWhenUsed/>
    <w:qFormat/>
    <w:rsid w:val="001533EC"/>
    <w:pPr>
      <w:widowControl w:val="0"/>
      <w:autoSpaceDE w:val="0"/>
      <w:autoSpaceDN w:val="0"/>
      <w:spacing w:before="268"/>
      <w:ind w:left="796" w:hanging="691"/>
      <w:outlineLvl w:val="3"/>
    </w:pPr>
    <w:rPr>
      <w:rFonts w:eastAsia="Times New Roman"/>
      <w:b/>
      <w:bCs/>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Sprechblasentext">
    <w:name w:val="Balloon Text"/>
    <w:basedOn w:val="Standard"/>
    <w:link w:val="SprechblasentextZchn"/>
    <w:uiPriority w:val="99"/>
    <w:semiHidden/>
    <w:rsid w:val="009A3899"/>
    <w:rPr>
      <w:rFonts w:ascii="Lucida Grande" w:eastAsia="Times New Roman" w:hAnsi="Lucida Grande"/>
      <w:sz w:val="18"/>
      <w:szCs w:val="18"/>
    </w:rPr>
  </w:style>
  <w:style w:type="character" w:customStyle="1" w:styleId="SprechblasentextZchn">
    <w:name w:val="Sprechblasentext Zchn"/>
    <w:link w:val="Sprechblasentext"/>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Kommentarzeichen">
    <w:name w:val="annotation reference"/>
    <w:uiPriority w:val="99"/>
    <w:rsid w:val="009A3899"/>
    <w:rPr>
      <w:sz w:val="18"/>
      <w:szCs w:val="18"/>
    </w:rPr>
  </w:style>
  <w:style w:type="paragraph" w:styleId="Kommentartext">
    <w:name w:val="annotation text"/>
    <w:basedOn w:val="Standard"/>
    <w:link w:val="KommentartextZchn"/>
    <w:uiPriority w:val="99"/>
    <w:rsid w:val="009A3899"/>
    <w:rPr>
      <w:rFonts w:eastAsia="Times New Roman"/>
    </w:rPr>
  </w:style>
  <w:style w:type="character" w:customStyle="1" w:styleId="KommentartextZchn">
    <w:name w:val="Kommentartext Zchn"/>
    <w:link w:val="Kommentartext"/>
    <w:uiPriority w:val="99"/>
    <w:rsid w:val="009A3899"/>
    <w:rPr>
      <w:rFonts w:ascii="Times New Roman" w:eastAsia="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9A3899"/>
    <w:rPr>
      <w:b/>
      <w:bCs/>
    </w:rPr>
  </w:style>
  <w:style w:type="character" w:customStyle="1" w:styleId="KommentarthemaZchn">
    <w:name w:val="Kommentarthema Zchn"/>
    <w:link w:val="Kommentarthema"/>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Hervorhebung">
    <w:name w:val="Emphasis"/>
    <w:uiPriority w:val="20"/>
    <w:qFormat/>
    <w:rsid w:val="009A3899"/>
    <w:rPr>
      <w:i/>
      <w:iCs/>
    </w:rPr>
  </w:style>
  <w:style w:type="character" w:styleId="Endnotenzeichen">
    <w:name w:val="endnote reference"/>
    <w:semiHidden/>
    <w:rsid w:val="009A3899"/>
    <w:rPr>
      <w:vertAlign w:val="superscript"/>
    </w:rPr>
  </w:style>
  <w:style w:type="paragraph" w:styleId="Endnotentext">
    <w:name w:val="endnote text"/>
    <w:basedOn w:val="Standard"/>
    <w:link w:val="EndnotentextZchn"/>
    <w:semiHidden/>
    <w:rsid w:val="009A3899"/>
    <w:rPr>
      <w:rFonts w:ascii="Cambria" w:eastAsia="Cambria" w:hAnsi="Cambria"/>
    </w:rPr>
  </w:style>
  <w:style w:type="character" w:customStyle="1" w:styleId="EndnotentextZchn">
    <w:name w:val="Endnotentext Zchn"/>
    <w:link w:val="Endnoten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BesuchterLink">
    <w:name w:val="FollowedHyperlink"/>
    <w:rsid w:val="009A3899"/>
    <w:rPr>
      <w:color w:val="800080"/>
      <w:u w:val="single"/>
    </w:rPr>
  </w:style>
  <w:style w:type="paragraph" w:styleId="Fuzeile">
    <w:name w:val="footer"/>
    <w:basedOn w:val="Standard"/>
    <w:link w:val="FuzeileZchn"/>
    <w:uiPriority w:val="99"/>
    <w:rsid w:val="009A3899"/>
    <w:pPr>
      <w:tabs>
        <w:tab w:val="center" w:pos="4320"/>
        <w:tab w:val="right" w:pos="8640"/>
      </w:tabs>
    </w:pPr>
    <w:rPr>
      <w:rFonts w:eastAsia="Times New Roman"/>
    </w:rPr>
  </w:style>
  <w:style w:type="character" w:customStyle="1" w:styleId="FuzeileZchn">
    <w:name w:val="Fußzeile Zchn"/>
    <w:link w:val="Fuzeile"/>
    <w:uiPriority w:val="99"/>
    <w:rsid w:val="009A3899"/>
    <w:rPr>
      <w:rFonts w:ascii="Times New Roman" w:eastAsia="Times New Roman" w:hAnsi="Times New Roman"/>
      <w:sz w:val="20"/>
      <w:szCs w:val="20"/>
    </w:rPr>
  </w:style>
  <w:style w:type="character" w:styleId="Funotenzeichen">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Kopfzeile">
    <w:name w:val="header"/>
    <w:basedOn w:val="Standard"/>
    <w:link w:val="KopfzeileZchn"/>
    <w:uiPriority w:val="99"/>
    <w:rsid w:val="009A3899"/>
    <w:pPr>
      <w:tabs>
        <w:tab w:val="center" w:pos="4320"/>
        <w:tab w:val="right" w:pos="8640"/>
      </w:tabs>
    </w:pPr>
    <w:rPr>
      <w:rFonts w:eastAsia="Times New Roman"/>
    </w:rPr>
  </w:style>
  <w:style w:type="character" w:customStyle="1" w:styleId="KopfzeileZchn">
    <w:name w:val="Kopfzeile Zchn"/>
    <w:link w:val="Kopfzeile"/>
    <w:uiPriority w:val="99"/>
    <w:rsid w:val="009A3899"/>
    <w:rPr>
      <w:rFonts w:ascii="Times New Roman" w:eastAsia="Times New Roman" w:hAnsi="Times New Roman"/>
      <w:sz w:val="20"/>
      <w:szCs w:val="20"/>
    </w:rPr>
  </w:style>
  <w:style w:type="character" w:styleId="HTMLAkronym">
    <w:name w:val="HTML Acronym"/>
    <w:basedOn w:val="Absatz-Standardschriftart"/>
    <w:rsid w:val="009A3899"/>
  </w:style>
  <w:style w:type="character" w:styleId="HTMLZitat">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Tastatur">
    <w:name w:val="HTML Keyboard"/>
    <w:rsid w:val="009A3899"/>
    <w:rPr>
      <w:rFonts w:ascii="Courier New" w:hAnsi="Courier New" w:cs="Courier New"/>
      <w:sz w:val="20"/>
      <w:szCs w:val="20"/>
    </w:rPr>
  </w:style>
  <w:style w:type="paragraph" w:styleId="HTMLVorformatiert">
    <w:name w:val="HTML Preformatted"/>
    <w:basedOn w:val="Standard"/>
    <w:link w:val="HTMLVorformatiertZchn"/>
    <w:rsid w:val="009A3899"/>
    <w:rPr>
      <w:rFonts w:ascii="Consolas" w:eastAsia="Times New Roman" w:hAnsi="Consolas"/>
    </w:rPr>
  </w:style>
  <w:style w:type="character" w:customStyle="1" w:styleId="HTMLVorformatiertZchn">
    <w:name w:val="HTML Vorformatiert Zchn"/>
    <w:link w:val="HTMLVorformatiert"/>
    <w:rsid w:val="009A3899"/>
    <w:rPr>
      <w:rFonts w:ascii="Consolas" w:eastAsia="Times New Roman" w:hAnsi="Consolas"/>
      <w:sz w:val="20"/>
      <w:szCs w:val="20"/>
    </w:rPr>
  </w:style>
  <w:style w:type="character" w:styleId="HTMLBeispiel">
    <w:name w:val="HTML Sample"/>
    <w:rsid w:val="009A3899"/>
    <w:rPr>
      <w:rFonts w:ascii="Courier New" w:hAnsi="Courier New" w:cs="Courier New"/>
    </w:rPr>
  </w:style>
  <w:style w:type="character" w:styleId="HTMLSchreibmaschine">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Zeilennummer">
    <w:name w:val="line number"/>
    <w:basedOn w:val="Absatz-Standardschriftart"/>
    <w:uiPriority w:val="99"/>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Seitenzahl">
    <w:name w:val="page number"/>
    <w:basedOn w:val="Absatz-Standardschriftar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Fett">
    <w:name w:val="Strong"/>
    <w:uiPriority w:val="22"/>
    <w:qFormat/>
    <w:rsid w:val="009A3899"/>
    <w:rPr>
      <w:b/>
      <w:bCs/>
    </w:rPr>
  </w:style>
  <w:style w:type="paragraph" w:customStyle="1" w:styleId="SX-Abstract">
    <w:name w:val="SX-Abstract"/>
    <w:basedOn w:val="Standard"/>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Standard"/>
    <w:next w:val="Standard"/>
    <w:qFormat/>
    <w:rsid w:val="009A3899"/>
    <w:pPr>
      <w:spacing w:after="160" w:line="190" w:lineRule="exact"/>
    </w:pPr>
    <w:rPr>
      <w:rFonts w:ascii="BlissRegular" w:eastAsia="Times New Roman" w:hAnsi="BlissRegular"/>
      <w:sz w:val="16"/>
    </w:rPr>
  </w:style>
  <w:style w:type="paragraph" w:customStyle="1" w:styleId="SX-Articlehead">
    <w:name w:val="SX-Article head"/>
    <w:basedOn w:val="Standard"/>
    <w:qFormat/>
    <w:rsid w:val="009A3899"/>
    <w:pPr>
      <w:spacing w:before="210" w:line="210" w:lineRule="exact"/>
      <w:ind w:firstLine="288"/>
      <w:jc w:val="both"/>
    </w:pPr>
    <w:rPr>
      <w:rFonts w:eastAsia="Times New Roman"/>
      <w:b/>
      <w:sz w:val="18"/>
    </w:rPr>
  </w:style>
  <w:style w:type="paragraph" w:customStyle="1" w:styleId="SX-Authornames">
    <w:name w:val="SX-Author names"/>
    <w:basedOn w:val="Standard"/>
    <w:rsid w:val="009A3899"/>
    <w:pPr>
      <w:spacing w:after="120" w:line="210" w:lineRule="exact"/>
    </w:pPr>
    <w:rPr>
      <w:rFonts w:ascii="BlissMedium" w:eastAsia="Times New Roman" w:hAnsi="BlissMedium"/>
    </w:rPr>
  </w:style>
  <w:style w:type="paragraph" w:customStyle="1" w:styleId="SX-Bodytext">
    <w:name w:val="SX-Body text"/>
    <w:basedOn w:val="Standard"/>
    <w:next w:val="Standard"/>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Standard"/>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Standard"/>
    <w:rsid w:val="009A3899"/>
    <w:pPr>
      <w:spacing w:line="190" w:lineRule="exact"/>
      <w:ind w:left="245" w:hanging="245"/>
      <w:jc w:val="both"/>
    </w:pPr>
    <w:rPr>
      <w:rFonts w:eastAsia="Times New Roman"/>
      <w:sz w:val="16"/>
    </w:rPr>
  </w:style>
  <w:style w:type="paragraph" w:customStyle="1" w:styleId="SX-RefHead">
    <w:name w:val="SX-RefHead"/>
    <w:basedOn w:val="Standard"/>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Standard"/>
    <w:qFormat/>
    <w:rsid w:val="009A3899"/>
    <w:rPr>
      <w:rFonts w:eastAsia="Times New Roman"/>
      <w:szCs w:val="24"/>
    </w:rPr>
  </w:style>
  <w:style w:type="paragraph" w:customStyle="1" w:styleId="SX-Tablelegend">
    <w:name w:val="SX-Tablelegend"/>
    <w:basedOn w:val="Standard"/>
    <w:qFormat/>
    <w:rsid w:val="009A3899"/>
    <w:pPr>
      <w:spacing w:line="190" w:lineRule="exact"/>
      <w:ind w:left="245" w:hanging="245"/>
      <w:jc w:val="both"/>
    </w:pPr>
    <w:rPr>
      <w:rFonts w:eastAsia="Times New Roman"/>
      <w:sz w:val="16"/>
    </w:rPr>
  </w:style>
  <w:style w:type="paragraph" w:customStyle="1" w:styleId="SX-Tabletext">
    <w:name w:val="SX-Tabletext"/>
    <w:basedOn w:val="Standard"/>
    <w:qFormat/>
    <w:rsid w:val="009A3899"/>
    <w:pPr>
      <w:spacing w:line="210" w:lineRule="exact"/>
      <w:jc w:val="center"/>
    </w:pPr>
    <w:rPr>
      <w:rFonts w:eastAsia="Times New Roman"/>
      <w:sz w:val="18"/>
    </w:rPr>
  </w:style>
  <w:style w:type="paragraph" w:customStyle="1" w:styleId="SX-Tabletitle">
    <w:name w:val="SX-Tabletitle"/>
    <w:basedOn w:val="Standard"/>
    <w:qFormat/>
    <w:rsid w:val="009A3899"/>
    <w:pPr>
      <w:spacing w:after="120" w:line="210" w:lineRule="exact"/>
      <w:jc w:val="both"/>
    </w:pPr>
    <w:rPr>
      <w:rFonts w:ascii="BlissMedium" w:eastAsia="Times New Roman" w:hAnsi="BlissMedium"/>
      <w:sz w:val="18"/>
    </w:rPr>
  </w:style>
  <w:style w:type="paragraph" w:customStyle="1" w:styleId="SX-Title">
    <w:name w:val="SX-Title"/>
    <w:basedOn w:val="Standard"/>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Standard"/>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Absatz-Standardschriftart"/>
    <w:rsid w:val="00943D39"/>
  </w:style>
  <w:style w:type="character" w:customStyle="1" w:styleId="custom-cit-title">
    <w:name w:val="custom-cit-title"/>
    <w:basedOn w:val="Absatz-Standardschriftart"/>
    <w:rsid w:val="00943D39"/>
  </w:style>
  <w:style w:type="character" w:customStyle="1" w:styleId="custom-cit-jour-title">
    <w:name w:val="custom-cit-jour-title"/>
    <w:basedOn w:val="Absatz-Standardschriftart"/>
    <w:rsid w:val="00943D39"/>
  </w:style>
  <w:style w:type="character" w:customStyle="1" w:styleId="custom-cit-volume">
    <w:name w:val="custom-cit-volume"/>
    <w:basedOn w:val="Absatz-Standardschriftart"/>
    <w:rsid w:val="00943D39"/>
  </w:style>
  <w:style w:type="character" w:customStyle="1" w:styleId="custom-cit-volume-sep">
    <w:name w:val="custom-cit-volume-sep"/>
    <w:basedOn w:val="Absatz-Standardschriftart"/>
    <w:rsid w:val="00943D39"/>
  </w:style>
  <w:style w:type="character" w:customStyle="1" w:styleId="custom-cit-fpage">
    <w:name w:val="custom-cit-fpage"/>
    <w:basedOn w:val="Absatz-Standardschriftart"/>
    <w:rsid w:val="00943D39"/>
  </w:style>
  <w:style w:type="character" w:customStyle="1" w:styleId="custom-cit-date">
    <w:name w:val="custom-cit-date"/>
    <w:basedOn w:val="Absatz-Standardschriftart"/>
    <w:rsid w:val="00943D39"/>
  </w:style>
  <w:style w:type="character" w:customStyle="1" w:styleId="UnresolvedMention1">
    <w:name w:val="Unresolved Mention1"/>
    <w:uiPriority w:val="99"/>
    <w:semiHidden/>
    <w:unhideWhenUsed/>
    <w:rsid w:val="00175CBB"/>
    <w:rPr>
      <w:color w:val="605E5C"/>
      <w:shd w:val="clear" w:color="auto" w:fill="E1DFDD"/>
    </w:rPr>
  </w:style>
  <w:style w:type="paragraph" w:styleId="berarbeitung">
    <w:name w:val="Revision"/>
    <w:hidden/>
    <w:uiPriority w:val="99"/>
    <w:semiHidden/>
    <w:rsid w:val="00BA7E08"/>
  </w:style>
  <w:style w:type="character" w:customStyle="1" w:styleId="UnresolvedMention10">
    <w:name w:val="Unresolved Mention1"/>
    <w:basedOn w:val="Absatz-Standardschriftart"/>
    <w:uiPriority w:val="99"/>
    <w:semiHidden/>
    <w:unhideWhenUsed/>
    <w:rsid w:val="00C35B7A"/>
    <w:rPr>
      <w:color w:val="605E5C"/>
      <w:shd w:val="clear" w:color="auto" w:fill="E1DFDD"/>
    </w:rPr>
  </w:style>
  <w:style w:type="paragraph" w:styleId="Listenabsatz">
    <w:name w:val="List Paragraph"/>
    <w:basedOn w:val="Standard"/>
    <w:uiPriority w:val="1"/>
    <w:qFormat/>
    <w:rsid w:val="00C35B7A"/>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anchor-text">
    <w:name w:val="anchor-text"/>
    <w:basedOn w:val="Absatz-Standardschriftart"/>
    <w:rsid w:val="00C35B7A"/>
  </w:style>
  <w:style w:type="paragraph" w:styleId="KeinLeerraum">
    <w:name w:val="No Spacing"/>
    <w:uiPriority w:val="1"/>
    <w:qFormat/>
    <w:rsid w:val="00C35B7A"/>
    <w:rPr>
      <w:rFonts w:ascii="Iskoola Pota" w:eastAsiaTheme="minorHAnsi" w:hAnsi="Iskoola Pota" w:cs="Iskoola Pota"/>
      <w:sz w:val="22"/>
      <w:szCs w:val="22"/>
      <w:lang w:val="de-DE"/>
    </w:rPr>
  </w:style>
  <w:style w:type="character" w:customStyle="1" w:styleId="UnresolvedMention2">
    <w:name w:val="Unresolved Mention2"/>
    <w:basedOn w:val="Absatz-Standardschriftart"/>
    <w:uiPriority w:val="99"/>
    <w:semiHidden/>
    <w:unhideWhenUsed/>
    <w:rsid w:val="00C35B7A"/>
    <w:rPr>
      <w:color w:val="605E5C"/>
      <w:shd w:val="clear" w:color="auto" w:fill="E1DFDD"/>
    </w:rPr>
  </w:style>
  <w:style w:type="character" w:customStyle="1" w:styleId="id-label">
    <w:name w:val="id-label"/>
    <w:basedOn w:val="Absatz-Standardschriftart"/>
    <w:rsid w:val="00C35B7A"/>
  </w:style>
  <w:style w:type="character" w:customStyle="1" w:styleId="docsum-pmid">
    <w:name w:val="docsum-pmid"/>
    <w:basedOn w:val="Absatz-Standardschriftart"/>
    <w:rsid w:val="00C35B7A"/>
  </w:style>
  <w:style w:type="character" w:customStyle="1" w:styleId="citation-part">
    <w:name w:val="citation-part"/>
    <w:basedOn w:val="Absatz-Standardschriftart"/>
    <w:rsid w:val="00C35B7A"/>
  </w:style>
  <w:style w:type="paragraph" w:styleId="StandardWeb">
    <w:name w:val="Normal (Web)"/>
    <w:basedOn w:val="Standard"/>
    <w:uiPriority w:val="99"/>
    <w:unhideWhenUsed/>
    <w:rsid w:val="00C35B7A"/>
    <w:pPr>
      <w:spacing w:before="100" w:beforeAutospacing="1" w:after="100" w:afterAutospacing="1"/>
    </w:pPr>
    <w:rPr>
      <w:rFonts w:eastAsia="Times New Roman"/>
      <w:sz w:val="24"/>
      <w:szCs w:val="24"/>
      <w:lang w:val="en-GB" w:eastAsia="en-GB"/>
    </w:rPr>
  </w:style>
  <w:style w:type="paragraph" w:styleId="Funotentext">
    <w:name w:val="footnote text"/>
    <w:basedOn w:val="Standard"/>
    <w:link w:val="FunotentextZchn"/>
    <w:uiPriority w:val="99"/>
    <w:semiHidden/>
    <w:unhideWhenUsed/>
    <w:rsid w:val="00122188"/>
  </w:style>
  <w:style w:type="character" w:customStyle="1" w:styleId="FunotentextZchn">
    <w:name w:val="Fußnotentext Zchn"/>
    <w:basedOn w:val="Absatz-Standardschriftart"/>
    <w:link w:val="Funotentext"/>
    <w:uiPriority w:val="99"/>
    <w:semiHidden/>
    <w:rsid w:val="00122188"/>
  </w:style>
  <w:style w:type="character" w:customStyle="1" w:styleId="berschrift4Zchn">
    <w:name w:val="Überschrift 4 Zchn"/>
    <w:basedOn w:val="Absatz-Standardschriftart"/>
    <w:link w:val="berschrift4"/>
    <w:uiPriority w:val="9"/>
    <w:rsid w:val="001533EC"/>
    <w:rPr>
      <w:rFonts w:eastAsia="Times New Roman"/>
      <w:b/>
      <w:bCs/>
      <w:i/>
      <w:iCs/>
      <w:sz w:val="24"/>
      <w:szCs w:val="24"/>
    </w:rPr>
  </w:style>
  <w:style w:type="character" w:styleId="NichtaufgelsteErwhnung">
    <w:name w:val="Unresolved Mention"/>
    <w:basedOn w:val="Absatz-Standardschriftart"/>
    <w:uiPriority w:val="99"/>
    <w:semiHidden/>
    <w:unhideWhenUsed/>
    <w:rsid w:val="0038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8726">
      <w:bodyDiv w:val="1"/>
      <w:marLeft w:val="0"/>
      <w:marRight w:val="0"/>
      <w:marTop w:val="0"/>
      <w:marBottom w:val="0"/>
      <w:divBdr>
        <w:top w:val="none" w:sz="0" w:space="0" w:color="auto"/>
        <w:left w:val="none" w:sz="0" w:space="0" w:color="auto"/>
        <w:bottom w:val="none" w:sz="0" w:space="0" w:color="auto"/>
        <w:right w:val="none" w:sz="0" w:space="0" w:color="auto"/>
      </w:divBdr>
    </w:div>
    <w:div w:id="1061975894">
      <w:bodyDiv w:val="1"/>
      <w:marLeft w:val="0"/>
      <w:marRight w:val="0"/>
      <w:marTop w:val="0"/>
      <w:marBottom w:val="0"/>
      <w:divBdr>
        <w:top w:val="none" w:sz="0" w:space="0" w:color="auto"/>
        <w:left w:val="none" w:sz="0" w:space="0" w:color="auto"/>
        <w:bottom w:val="none" w:sz="0" w:space="0" w:color="auto"/>
        <w:right w:val="none" w:sz="0" w:space="0" w:color="auto"/>
      </w:divBdr>
    </w:div>
    <w:div w:id="21350559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trc.org/projects/wfu_pickatl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uermann@dife.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74C7A77CE0514C8EA9972A6AA0B0A5" ma:contentTypeVersion="12" ma:contentTypeDescription="Create a new document." ma:contentTypeScope="" ma:versionID="7e99b502f0bad2f53a83bf4b0d33dbb9">
  <xsd:schema xmlns:xsd="http://www.w3.org/2001/XMLSchema" xmlns:xs="http://www.w3.org/2001/XMLSchema" xmlns:p="http://schemas.microsoft.com/office/2006/metadata/properties" xmlns:ns3="6abc619b-39d1-41b2-8433-a04451f34412" xmlns:ns4="4369a23a-a739-4e75-a877-0d1fab5acdb5" targetNamespace="http://schemas.microsoft.com/office/2006/metadata/properties" ma:root="true" ma:fieldsID="ae3ecaaf132394621abbb87c81b186b7" ns3:_="" ns4:_="">
    <xsd:import namespace="6abc619b-39d1-41b2-8433-a04451f34412"/>
    <xsd:import namespace="4369a23a-a739-4e75-a877-0d1fab5acd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c619b-39d1-41b2-8433-a04451f344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9a23a-a739-4e75-a877-0d1fab5acd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22948-B307-46AD-A962-58BEE57FA4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1A008-7493-4F68-AA1A-7EE6EEF1D773}">
  <ds:schemaRefs>
    <ds:schemaRef ds:uri="http://schemas.openxmlformats.org/officeDocument/2006/bibliography"/>
  </ds:schemaRefs>
</ds:datastoreItem>
</file>

<file path=customXml/itemProps3.xml><?xml version="1.0" encoding="utf-8"?>
<ds:datastoreItem xmlns:ds="http://schemas.openxmlformats.org/officeDocument/2006/customXml" ds:itemID="{1F2AC658-7A56-40DE-922C-1162C1D4B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c619b-39d1-41b2-8433-a04451f34412"/>
    <ds:schemaRef ds:uri="4369a23a-a739-4e75-a877-0d1fab5a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AEE76-923C-41C5-99E3-A0990FF22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10777</Words>
  <Characters>403296</Characters>
  <Application>Microsoft Office Word</Application>
  <DocSecurity>4</DocSecurity>
  <Lines>3360</Lines>
  <Paragraphs>826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Science Manuscript Template</vt:lpstr>
      <vt:lpstr>Science Manuscript Template</vt:lpstr>
    </vt:vector>
  </TitlesOfParts>
  <Company>Microsoft</Company>
  <LinksUpToDate>false</LinksUpToDate>
  <CharactersWithSpaces>413247</CharactersWithSpaces>
  <SharedDoc>false</SharedDoc>
  <HLinks>
    <vt:vector size="12" baseType="variant">
      <vt:variant>
        <vt:i4>2228274</vt:i4>
      </vt:variant>
      <vt:variant>
        <vt:i4>3</vt:i4>
      </vt:variant>
      <vt:variant>
        <vt:i4>0</vt:i4>
      </vt:variant>
      <vt:variant>
        <vt:i4>5</vt:i4>
      </vt:variant>
      <vt:variant>
        <vt:lpwstr>https://stm.sciencemag.org/content/information-authors</vt:lpwstr>
      </vt:variant>
      <vt:variant>
        <vt:lpwstr/>
      </vt:variant>
      <vt:variant>
        <vt:i4>2883708</vt:i4>
      </vt:variant>
      <vt:variant>
        <vt:i4>0</vt:i4>
      </vt:variant>
      <vt:variant>
        <vt:i4>0</vt:i4>
      </vt:variant>
      <vt:variant>
        <vt:i4>5</vt:i4>
      </vt:variant>
      <vt:variant>
        <vt:lpwstr>https://cts.sciencemag.org/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Katrin Rauner</cp:lastModifiedBy>
  <cp:revision>2</cp:revision>
  <cp:lastPrinted>2012-01-29T18:20:00Z</cp:lastPrinted>
  <dcterms:created xsi:type="dcterms:W3CDTF">2025-11-11T11:12:00Z</dcterms:created>
  <dcterms:modified xsi:type="dcterms:W3CDTF">2025-11-11T11:12:00Z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0x0101009674C7A77CE0514C8EA9972A6AA0B0A5</vt:lpwstr>
  </property>
  <property fmtid="{D5CDD505-2E9C-101B-9397-08002B2CF9AE}" pid="3" name="GrammarlyDocumentId">
    <vt:lpwstr>12230d4c424cf5cc38b56dddd2bd4df8774d0793010f82463c14ba20215cd078</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http://www.zotero.org/styles/cambridge-university-press-numeric</vt:lpwstr>
  </property>
  <property fmtid="{D5CDD505-2E9C-101B-9397-08002B2CF9AE}" pid="7" name="Mendeley Recent Style Name 1_1">
    <vt:lpwstr>Cambridge University Press (numeric)</vt:lpwstr>
  </property>
  <property fmtid="{D5CDD505-2E9C-101B-9397-08002B2CF9AE}" pid="8" name="Mendeley Recent Style Id 2_1">
    <vt:lpwstr>http://www.zotero.org/styles/harvard-cite-them-right</vt:lpwstr>
  </property>
  <property fmtid="{D5CDD505-2E9C-101B-9397-08002B2CF9AE}" pid="9" name="Mendeley Recent Style Name 2_1">
    <vt:lpwstr>Cite Them Right 12th edition - Harvard</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http://www.zotero.org/styles/metabolism-open</vt:lpwstr>
  </property>
  <property fmtid="{D5CDD505-2E9C-101B-9397-08002B2CF9AE}" pid="13" name="Mendeley Recent Style Name 4_1">
    <vt:lpwstr>Metabolism Open</vt:lpwstr>
  </property>
  <property fmtid="{D5CDD505-2E9C-101B-9397-08002B2CF9AE}" pid="14" name="Mendeley Recent Style Id 5_1">
    <vt:lpwstr>http://www.zotero.org/styles/modern-language-association</vt:lpwstr>
  </property>
  <property fmtid="{D5CDD505-2E9C-101B-9397-08002B2CF9AE}" pid="15" name="Mendeley Recent Style Name 5_1">
    <vt:lpwstr>Modern Language Association 9th edition</vt:lpwstr>
  </property>
  <property fmtid="{D5CDD505-2E9C-101B-9397-08002B2CF9AE}" pid="16" name="Mendeley Recent Style Id 6_1">
    <vt:lpwstr>http://www.zotero.org/styles/nature-communications</vt:lpwstr>
  </property>
  <property fmtid="{D5CDD505-2E9C-101B-9397-08002B2CF9AE}" pid="17" name="Mendeley Recent Style Name 6_1">
    <vt:lpwstr>Nature Communications</vt:lpwstr>
  </property>
  <property fmtid="{D5CDD505-2E9C-101B-9397-08002B2CF9AE}" pid="18" name="Mendeley Recent Style Id 7_1">
    <vt:lpwstr>http://www.zotero.org/styles/science</vt:lpwstr>
  </property>
  <property fmtid="{D5CDD505-2E9C-101B-9397-08002B2CF9AE}" pid="19" name="Mendeley Recent Style Name 7_1">
    <vt:lpwstr>Science</vt:lpwstr>
  </property>
  <property fmtid="{D5CDD505-2E9C-101B-9397-08002B2CF9AE}" pid="20" name="Mendeley Recent Style Id 8_1">
    <vt:lpwstr>http://www.zotero.org/styles/science-translational-medicine</vt:lpwstr>
  </property>
  <property fmtid="{D5CDD505-2E9C-101B-9397-08002B2CF9AE}" pid="21" name="Mendeley Recent Style Name 8_1">
    <vt:lpwstr>Science Translational Medicine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cabeb36e-7490-3090-9b3f-8ff8054dccba</vt:lpwstr>
  </property>
  <property fmtid="{D5CDD505-2E9C-101B-9397-08002B2CF9AE}" pid="26" name="Mendeley Citation Style_1">
    <vt:lpwstr>http://www.zotero.org/styles/science-translational-medicine</vt:lpwstr>
  </property>
</Properties>
</file>