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961F9" w14:textId="2F45DCD9" w:rsidR="00C35B7A" w:rsidRPr="001533EC" w:rsidRDefault="00C35B7A" w:rsidP="00C35B7A">
      <w:pPr>
        <w:spacing w:line="480" w:lineRule="auto"/>
        <w:jc w:val="both"/>
        <w:rPr>
          <w:b/>
          <w:sz w:val="24"/>
          <w:szCs w:val="24"/>
        </w:rPr>
      </w:pPr>
      <w:bookmarkStart w:id="0" w:name="_Hlk202631476"/>
      <w:r w:rsidRPr="001533EC">
        <w:rPr>
          <w:b/>
          <w:sz w:val="24"/>
          <w:szCs w:val="24"/>
        </w:rPr>
        <w:t xml:space="preserve">Circulating Epigenetic Signatures </w:t>
      </w:r>
      <w:r w:rsidR="001D78F9" w:rsidRPr="001533EC">
        <w:rPr>
          <w:b/>
          <w:sz w:val="24"/>
          <w:szCs w:val="24"/>
        </w:rPr>
        <w:t xml:space="preserve">Classifying </w:t>
      </w:r>
      <w:r w:rsidRPr="001533EC">
        <w:rPr>
          <w:b/>
          <w:sz w:val="24"/>
          <w:szCs w:val="24"/>
        </w:rPr>
        <w:t xml:space="preserve">Brain Insulin Resistance in </w:t>
      </w:r>
      <w:r w:rsidR="00575293">
        <w:rPr>
          <w:b/>
          <w:sz w:val="24"/>
          <w:szCs w:val="24"/>
        </w:rPr>
        <w:t>H</w:t>
      </w:r>
      <w:r w:rsidRPr="001533EC">
        <w:rPr>
          <w:b/>
          <w:sz w:val="24"/>
          <w:szCs w:val="24"/>
        </w:rPr>
        <w:t xml:space="preserve">umans </w:t>
      </w:r>
    </w:p>
    <w:bookmarkEnd w:id="0"/>
    <w:p w14:paraId="16608E7D" w14:textId="4DA01171" w:rsidR="00C35B7A" w:rsidRPr="001533EC" w:rsidRDefault="00C35B7A" w:rsidP="00C35B7A">
      <w:pPr>
        <w:spacing w:line="480" w:lineRule="auto"/>
        <w:jc w:val="both"/>
        <w:rPr>
          <w:szCs w:val="24"/>
          <w:vertAlign w:val="superscript"/>
        </w:rPr>
      </w:pPr>
      <w:r w:rsidRPr="001533EC">
        <w:rPr>
          <w:szCs w:val="24"/>
        </w:rPr>
        <w:t>Stephanie Kullmann</w:t>
      </w:r>
      <w:r w:rsidRPr="001533EC">
        <w:rPr>
          <w:szCs w:val="24"/>
          <w:vertAlign w:val="superscript"/>
        </w:rPr>
        <w:t>1,2,3</w:t>
      </w:r>
      <w:r w:rsidRPr="001533EC">
        <w:rPr>
          <w:szCs w:val="24"/>
        </w:rPr>
        <w:t>, Amandeep Singh</w:t>
      </w:r>
      <w:r w:rsidRPr="001533EC">
        <w:rPr>
          <w:szCs w:val="24"/>
          <w:vertAlign w:val="superscript"/>
        </w:rPr>
        <w:t>3,4</w:t>
      </w:r>
      <w:r w:rsidR="00E978EB">
        <w:rPr>
          <w:szCs w:val="24"/>
          <w:vertAlign w:val="superscript"/>
        </w:rPr>
        <w:t>,5</w:t>
      </w:r>
      <w:r w:rsidRPr="001533EC">
        <w:rPr>
          <w:szCs w:val="24"/>
        </w:rPr>
        <w:t>, Ratika Sehgal</w:t>
      </w:r>
      <w:r w:rsidRPr="001533EC">
        <w:rPr>
          <w:szCs w:val="24"/>
          <w:vertAlign w:val="superscript"/>
        </w:rPr>
        <w:t>3,4</w:t>
      </w:r>
      <w:r w:rsidR="00DA2178">
        <w:rPr>
          <w:szCs w:val="24"/>
          <w:vertAlign w:val="superscript"/>
        </w:rPr>
        <w:t>,12</w:t>
      </w:r>
      <w:r w:rsidRPr="001533EC">
        <w:rPr>
          <w:szCs w:val="24"/>
        </w:rPr>
        <w:t xml:space="preserve">, </w:t>
      </w:r>
      <w:r w:rsidR="00A562F1" w:rsidRPr="001533EC">
        <w:rPr>
          <w:szCs w:val="24"/>
        </w:rPr>
        <w:t>Fabian Eichelmann</w:t>
      </w:r>
      <w:r w:rsidR="00A562F1" w:rsidRPr="001533EC">
        <w:rPr>
          <w:szCs w:val="24"/>
          <w:vertAlign w:val="superscript"/>
        </w:rPr>
        <w:t>2,</w:t>
      </w:r>
      <w:r w:rsidR="0045697D">
        <w:rPr>
          <w:szCs w:val="24"/>
          <w:vertAlign w:val="superscript"/>
        </w:rPr>
        <w:t>6</w:t>
      </w:r>
      <w:r w:rsidR="00A562F1" w:rsidRPr="001533EC">
        <w:rPr>
          <w:szCs w:val="24"/>
        </w:rPr>
        <w:t xml:space="preserve">, </w:t>
      </w:r>
      <w:r w:rsidRPr="001533EC">
        <w:rPr>
          <w:szCs w:val="24"/>
        </w:rPr>
        <w:t>Leontine Sandforth</w:t>
      </w:r>
      <w:r w:rsidRPr="001533EC">
        <w:rPr>
          <w:szCs w:val="24"/>
          <w:vertAlign w:val="superscript"/>
        </w:rPr>
        <w:t>1,2,3</w:t>
      </w:r>
      <w:r w:rsidRPr="001533EC">
        <w:rPr>
          <w:szCs w:val="24"/>
        </w:rPr>
        <w:t>, Britta Wilms</w:t>
      </w:r>
      <w:r w:rsidRPr="001533EC">
        <w:rPr>
          <w:szCs w:val="24"/>
          <w:vertAlign w:val="superscript"/>
        </w:rPr>
        <w:t>3,</w:t>
      </w:r>
      <w:r w:rsidR="0045697D">
        <w:rPr>
          <w:szCs w:val="24"/>
          <w:vertAlign w:val="superscript"/>
        </w:rPr>
        <w:t>7</w:t>
      </w:r>
      <w:r w:rsidRPr="001533EC">
        <w:rPr>
          <w:szCs w:val="24"/>
        </w:rPr>
        <w:t>, Markus Jähnert</w:t>
      </w:r>
      <w:r w:rsidRPr="001533EC">
        <w:rPr>
          <w:szCs w:val="24"/>
          <w:vertAlign w:val="superscript"/>
        </w:rPr>
        <w:t>3,4</w:t>
      </w:r>
      <w:r w:rsidRPr="001533EC">
        <w:rPr>
          <w:szCs w:val="24"/>
        </w:rPr>
        <w:t>, Andreas Peter</w:t>
      </w:r>
      <w:r w:rsidRPr="001533EC">
        <w:rPr>
          <w:szCs w:val="24"/>
          <w:vertAlign w:val="superscript"/>
        </w:rPr>
        <w:t>1,2,3</w:t>
      </w:r>
      <w:r w:rsidRPr="001533EC">
        <w:rPr>
          <w:szCs w:val="24"/>
        </w:rPr>
        <w:t>, Svenja Meyhöfer</w:t>
      </w:r>
      <w:r w:rsidRPr="001533EC">
        <w:rPr>
          <w:szCs w:val="24"/>
          <w:vertAlign w:val="superscript"/>
        </w:rPr>
        <w:t>3,</w:t>
      </w:r>
      <w:r w:rsidR="0045697D">
        <w:rPr>
          <w:szCs w:val="24"/>
          <w:vertAlign w:val="superscript"/>
        </w:rPr>
        <w:t>7</w:t>
      </w:r>
      <w:r w:rsidR="004E617F" w:rsidRPr="001533EC">
        <w:rPr>
          <w:szCs w:val="24"/>
          <w:vertAlign w:val="superscript"/>
        </w:rPr>
        <w:t>,</w:t>
      </w:r>
      <w:r w:rsidR="0045697D">
        <w:rPr>
          <w:szCs w:val="24"/>
          <w:vertAlign w:val="superscript"/>
        </w:rPr>
        <w:t>8</w:t>
      </w:r>
      <w:r w:rsidR="00CF52B2" w:rsidRPr="00CF52B2">
        <w:rPr>
          <w:szCs w:val="24"/>
        </w:rPr>
        <w:t>,</w:t>
      </w:r>
      <w:r w:rsidRPr="00CF52B2">
        <w:rPr>
          <w:szCs w:val="24"/>
        </w:rPr>
        <w:t xml:space="preserve"> </w:t>
      </w:r>
      <w:r w:rsidRPr="001533EC">
        <w:rPr>
          <w:szCs w:val="24"/>
        </w:rPr>
        <w:t>Dirk Walther</w:t>
      </w:r>
      <w:r w:rsidR="0045697D">
        <w:rPr>
          <w:szCs w:val="24"/>
          <w:vertAlign w:val="superscript"/>
        </w:rPr>
        <w:t>9</w:t>
      </w:r>
      <w:r w:rsidRPr="001533EC">
        <w:rPr>
          <w:szCs w:val="24"/>
        </w:rPr>
        <w:t>, Hubert Preissl</w:t>
      </w:r>
      <w:r w:rsidRPr="001533EC">
        <w:rPr>
          <w:szCs w:val="24"/>
          <w:vertAlign w:val="superscript"/>
        </w:rPr>
        <w:t>1,2,3</w:t>
      </w:r>
      <w:r w:rsidRPr="001533EC">
        <w:rPr>
          <w:szCs w:val="24"/>
        </w:rPr>
        <w:t>,</w:t>
      </w:r>
      <w:r w:rsidRPr="001533EC">
        <w:t xml:space="preserve"> </w:t>
      </w:r>
      <w:r w:rsidRPr="001533EC">
        <w:rPr>
          <w:szCs w:val="24"/>
        </w:rPr>
        <w:t>Hans-Ulrich Häring</w:t>
      </w:r>
      <w:r w:rsidRPr="001533EC">
        <w:rPr>
          <w:szCs w:val="24"/>
          <w:vertAlign w:val="superscript"/>
        </w:rPr>
        <w:t>1,2,3</w:t>
      </w:r>
      <w:r w:rsidRPr="001533EC">
        <w:rPr>
          <w:szCs w:val="24"/>
        </w:rPr>
        <w:t>,</w:t>
      </w:r>
      <w:r w:rsidR="006D5559" w:rsidRPr="001533EC">
        <w:rPr>
          <w:szCs w:val="24"/>
        </w:rPr>
        <w:t xml:space="preserve"> Matthias B. Schulze</w:t>
      </w:r>
      <w:r w:rsidR="006D5559" w:rsidRPr="001533EC">
        <w:rPr>
          <w:szCs w:val="24"/>
          <w:vertAlign w:val="superscript"/>
        </w:rPr>
        <w:t>2,</w:t>
      </w:r>
      <w:r w:rsidR="0045697D">
        <w:rPr>
          <w:szCs w:val="24"/>
          <w:vertAlign w:val="superscript"/>
        </w:rPr>
        <w:t>6</w:t>
      </w:r>
      <w:r w:rsidR="006D5559" w:rsidRPr="001533EC">
        <w:rPr>
          <w:szCs w:val="24"/>
          <w:vertAlign w:val="superscript"/>
        </w:rPr>
        <w:t>,1</w:t>
      </w:r>
      <w:r w:rsidR="0045697D">
        <w:rPr>
          <w:szCs w:val="24"/>
          <w:vertAlign w:val="superscript"/>
        </w:rPr>
        <w:t>1</w:t>
      </w:r>
      <w:r w:rsidR="006D5559" w:rsidRPr="001533EC">
        <w:rPr>
          <w:szCs w:val="24"/>
        </w:rPr>
        <w:t xml:space="preserve">, </w:t>
      </w:r>
      <w:r w:rsidRPr="001533EC">
        <w:rPr>
          <w:szCs w:val="24"/>
        </w:rPr>
        <w:t>Martin Heni</w:t>
      </w:r>
      <w:r w:rsidR="00F13741" w:rsidRPr="00F13741">
        <w:rPr>
          <w:szCs w:val="24"/>
          <w:vertAlign w:val="superscript"/>
        </w:rPr>
        <w:t>10,</w:t>
      </w:r>
      <w:r w:rsidR="004E617F" w:rsidRPr="001533EC">
        <w:rPr>
          <w:szCs w:val="24"/>
          <w:vertAlign w:val="superscript"/>
        </w:rPr>
        <w:t>1</w:t>
      </w:r>
      <w:r w:rsidR="0045697D">
        <w:rPr>
          <w:szCs w:val="24"/>
          <w:vertAlign w:val="superscript"/>
        </w:rPr>
        <w:t>2</w:t>
      </w:r>
      <w:r w:rsidRPr="001533EC">
        <w:rPr>
          <w:szCs w:val="24"/>
        </w:rPr>
        <w:t>, Andreas L. Birkenfeld</w:t>
      </w:r>
      <w:r w:rsidRPr="001533EC">
        <w:rPr>
          <w:szCs w:val="24"/>
          <w:vertAlign w:val="superscript"/>
        </w:rPr>
        <w:t>1,2,3</w:t>
      </w:r>
      <w:r w:rsidRPr="001533EC">
        <w:rPr>
          <w:szCs w:val="24"/>
        </w:rPr>
        <w:t>, Annette Schürmann</w:t>
      </w:r>
      <w:r w:rsidRPr="001533EC">
        <w:rPr>
          <w:szCs w:val="24"/>
          <w:vertAlign w:val="superscript"/>
        </w:rPr>
        <w:t>3,4,</w:t>
      </w:r>
      <w:r w:rsidR="004E617F" w:rsidRPr="001533EC">
        <w:rPr>
          <w:szCs w:val="24"/>
          <w:vertAlign w:val="superscript"/>
        </w:rPr>
        <w:t>1</w:t>
      </w:r>
      <w:r w:rsidR="0045697D">
        <w:rPr>
          <w:szCs w:val="24"/>
          <w:vertAlign w:val="superscript"/>
        </w:rPr>
        <w:t>1</w:t>
      </w:r>
      <w:r w:rsidRPr="001533EC">
        <w:rPr>
          <w:szCs w:val="24"/>
          <w:vertAlign w:val="superscript"/>
        </w:rPr>
        <w:t>*</w:t>
      </w:r>
      <w:r w:rsidRPr="001533EC">
        <w:rPr>
          <w:szCs w:val="24"/>
        </w:rPr>
        <w:t>, Meriem Ouni</w:t>
      </w:r>
      <w:r w:rsidRPr="001533EC">
        <w:rPr>
          <w:szCs w:val="24"/>
          <w:vertAlign w:val="superscript"/>
        </w:rPr>
        <w:t>3,4</w:t>
      </w:r>
      <w:r w:rsidR="0045697D">
        <w:rPr>
          <w:szCs w:val="24"/>
          <w:vertAlign w:val="superscript"/>
        </w:rPr>
        <w:t>,5</w:t>
      </w:r>
    </w:p>
    <w:p w14:paraId="1146FCCC" w14:textId="4F9D84C4" w:rsidR="00C35B7A" w:rsidRPr="00B81A8D" w:rsidRDefault="00C35B7A" w:rsidP="00C35B7A">
      <w:pPr>
        <w:spacing w:line="480" w:lineRule="auto"/>
        <w:jc w:val="both"/>
        <w:rPr>
          <w:szCs w:val="24"/>
        </w:rPr>
      </w:pPr>
    </w:p>
    <w:p w14:paraId="6B5CD81A" w14:textId="30EB7448" w:rsidR="00C35B7A" w:rsidRPr="001533EC" w:rsidRDefault="00C35B7A" w:rsidP="00C35B7A">
      <w:pPr>
        <w:spacing w:line="480" w:lineRule="auto"/>
        <w:jc w:val="both"/>
        <w:rPr>
          <w:szCs w:val="24"/>
        </w:rPr>
      </w:pPr>
      <w:r w:rsidRPr="001533EC">
        <w:rPr>
          <w:szCs w:val="24"/>
          <w:vertAlign w:val="superscript"/>
        </w:rPr>
        <w:t>1</w:t>
      </w:r>
      <w:r w:rsidRPr="001533EC">
        <w:rPr>
          <w:szCs w:val="24"/>
        </w:rPr>
        <w:t xml:space="preserve">Institute for Diabetes Research and Metabolic Diseases (IDM) of the Helmholtz Center Munich at the University of Tübingen, </w:t>
      </w:r>
      <w:r w:rsidR="00350693">
        <w:rPr>
          <w:szCs w:val="24"/>
        </w:rPr>
        <w:t xml:space="preserve">72076, </w:t>
      </w:r>
      <w:r w:rsidRPr="001533EC">
        <w:rPr>
          <w:szCs w:val="24"/>
        </w:rPr>
        <w:t>Tübingen, Germany.</w:t>
      </w:r>
    </w:p>
    <w:p w14:paraId="63DB4DE9" w14:textId="72A57C37" w:rsidR="00C35B7A" w:rsidRPr="001533EC" w:rsidRDefault="00C35B7A" w:rsidP="00C35B7A">
      <w:pPr>
        <w:spacing w:line="480" w:lineRule="auto"/>
        <w:jc w:val="both"/>
        <w:rPr>
          <w:szCs w:val="24"/>
        </w:rPr>
      </w:pPr>
      <w:r w:rsidRPr="001533EC">
        <w:rPr>
          <w:szCs w:val="24"/>
          <w:vertAlign w:val="superscript"/>
        </w:rPr>
        <w:t>2</w:t>
      </w:r>
      <w:r w:rsidRPr="001533EC">
        <w:rPr>
          <w:szCs w:val="24"/>
        </w:rPr>
        <w:t xml:space="preserve">Department of Internal Medicine, Division of Endocrinology, Diabetology and Nephrology, Eberhard Karls University Tübingen, </w:t>
      </w:r>
      <w:r w:rsidR="00350693">
        <w:rPr>
          <w:szCs w:val="24"/>
        </w:rPr>
        <w:t xml:space="preserve">72076, </w:t>
      </w:r>
      <w:r w:rsidRPr="001533EC">
        <w:rPr>
          <w:szCs w:val="24"/>
        </w:rPr>
        <w:t xml:space="preserve">Tübingen, Germany. </w:t>
      </w:r>
    </w:p>
    <w:p w14:paraId="6F48D635" w14:textId="4039156E" w:rsidR="00C35B7A" w:rsidRPr="001533EC" w:rsidRDefault="00C35B7A" w:rsidP="00C35B7A">
      <w:pPr>
        <w:spacing w:line="480" w:lineRule="auto"/>
        <w:jc w:val="both"/>
        <w:rPr>
          <w:szCs w:val="24"/>
        </w:rPr>
      </w:pPr>
      <w:r w:rsidRPr="001533EC">
        <w:rPr>
          <w:szCs w:val="24"/>
          <w:vertAlign w:val="superscript"/>
        </w:rPr>
        <w:t>3</w:t>
      </w:r>
      <w:r w:rsidRPr="001533EC">
        <w:rPr>
          <w:szCs w:val="24"/>
        </w:rPr>
        <w:t xml:space="preserve">German Center for Diabetes Research (DZD), </w:t>
      </w:r>
      <w:r w:rsidR="00350693">
        <w:rPr>
          <w:szCs w:val="24"/>
        </w:rPr>
        <w:t xml:space="preserve">85764, </w:t>
      </w:r>
      <w:r w:rsidRPr="001533EC">
        <w:rPr>
          <w:szCs w:val="24"/>
        </w:rPr>
        <w:t>München-</w:t>
      </w:r>
      <w:proofErr w:type="spellStart"/>
      <w:r w:rsidRPr="001533EC">
        <w:rPr>
          <w:szCs w:val="24"/>
        </w:rPr>
        <w:t>Neuherberg</w:t>
      </w:r>
      <w:proofErr w:type="spellEnd"/>
      <w:r w:rsidRPr="001533EC">
        <w:rPr>
          <w:szCs w:val="24"/>
        </w:rPr>
        <w:t>, Germany.</w:t>
      </w:r>
    </w:p>
    <w:p w14:paraId="584EA50A" w14:textId="49F0B8F7" w:rsidR="00C35B7A" w:rsidRDefault="00C35B7A" w:rsidP="00C35B7A">
      <w:pPr>
        <w:spacing w:line="480" w:lineRule="auto"/>
        <w:jc w:val="both"/>
        <w:rPr>
          <w:szCs w:val="24"/>
        </w:rPr>
      </w:pPr>
      <w:r w:rsidRPr="001533EC">
        <w:rPr>
          <w:szCs w:val="24"/>
          <w:vertAlign w:val="superscript"/>
        </w:rPr>
        <w:t>4</w:t>
      </w:r>
      <w:r w:rsidRPr="001533EC">
        <w:rPr>
          <w:szCs w:val="24"/>
        </w:rPr>
        <w:t>Department of Experimental Diabetology, German Institute of Human Nutrition Potsdam-</w:t>
      </w:r>
      <w:proofErr w:type="spellStart"/>
      <w:r w:rsidRPr="001533EC">
        <w:rPr>
          <w:szCs w:val="24"/>
        </w:rPr>
        <w:t>Rehbruecke</w:t>
      </w:r>
      <w:proofErr w:type="spellEnd"/>
      <w:r w:rsidRPr="001533EC">
        <w:rPr>
          <w:szCs w:val="24"/>
        </w:rPr>
        <w:t xml:space="preserve"> (</w:t>
      </w:r>
      <w:proofErr w:type="spellStart"/>
      <w:r w:rsidRPr="001533EC">
        <w:rPr>
          <w:szCs w:val="24"/>
        </w:rPr>
        <w:t>DIfE</w:t>
      </w:r>
      <w:proofErr w:type="spellEnd"/>
      <w:r w:rsidRPr="001533EC">
        <w:rPr>
          <w:szCs w:val="24"/>
        </w:rPr>
        <w:t xml:space="preserve">), </w:t>
      </w:r>
      <w:r w:rsidR="007136F4">
        <w:rPr>
          <w:szCs w:val="24"/>
        </w:rPr>
        <w:t xml:space="preserve">14558, </w:t>
      </w:r>
      <w:proofErr w:type="spellStart"/>
      <w:r w:rsidR="009C5DB8">
        <w:rPr>
          <w:szCs w:val="24"/>
        </w:rPr>
        <w:t>Nut</w:t>
      </w:r>
      <w:r w:rsidR="007136F4">
        <w:rPr>
          <w:szCs w:val="24"/>
        </w:rPr>
        <w:t>hetal</w:t>
      </w:r>
      <w:proofErr w:type="spellEnd"/>
      <w:r w:rsidR="007136F4">
        <w:rPr>
          <w:szCs w:val="24"/>
        </w:rPr>
        <w:t xml:space="preserve">, </w:t>
      </w:r>
      <w:r w:rsidRPr="001533EC">
        <w:rPr>
          <w:szCs w:val="24"/>
        </w:rPr>
        <w:t>Germany.</w:t>
      </w:r>
    </w:p>
    <w:p w14:paraId="0AA5F2D9" w14:textId="7212C979" w:rsidR="004E617F" w:rsidRPr="001533EC" w:rsidRDefault="001C6032" w:rsidP="00C35B7A">
      <w:pPr>
        <w:spacing w:line="480" w:lineRule="auto"/>
        <w:jc w:val="both"/>
        <w:rPr>
          <w:szCs w:val="24"/>
        </w:rPr>
      </w:pPr>
      <w:r w:rsidRPr="00B81A8D">
        <w:rPr>
          <w:szCs w:val="24"/>
          <w:vertAlign w:val="superscript"/>
        </w:rPr>
        <w:t>5</w:t>
      </w:r>
      <w:r w:rsidRPr="00B81A8D">
        <w:rPr>
          <w:szCs w:val="24"/>
        </w:rPr>
        <w:t xml:space="preserve">Research group </w:t>
      </w:r>
      <w:r>
        <w:rPr>
          <w:szCs w:val="24"/>
        </w:rPr>
        <w:t>E</w:t>
      </w:r>
      <w:r w:rsidRPr="00B81A8D">
        <w:rPr>
          <w:szCs w:val="24"/>
        </w:rPr>
        <w:t xml:space="preserve">pigenetic of </w:t>
      </w:r>
      <w:r>
        <w:rPr>
          <w:szCs w:val="24"/>
        </w:rPr>
        <w:t>O</w:t>
      </w:r>
      <w:r w:rsidRPr="00B81A8D">
        <w:rPr>
          <w:szCs w:val="24"/>
        </w:rPr>
        <w:t xml:space="preserve">besity and </w:t>
      </w:r>
      <w:r>
        <w:rPr>
          <w:szCs w:val="24"/>
        </w:rPr>
        <w:t>D</w:t>
      </w:r>
      <w:r w:rsidRPr="00B81A8D">
        <w:rPr>
          <w:szCs w:val="24"/>
        </w:rPr>
        <w:t>iabetes</w:t>
      </w:r>
      <w:r>
        <w:rPr>
          <w:szCs w:val="24"/>
        </w:rPr>
        <w:t xml:space="preserve">, </w:t>
      </w:r>
      <w:r w:rsidRPr="00B81A8D">
        <w:rPr>
          <w:szCs w:val="24"/>
        </w:rPr>
        <w:t>German Institute of Human Nutrition Potsdam-</w:t>
      </w:r>
      <w:proofErr w:type="spellStart"/>
      <w:r w:rsidRPr="00B81A8D">
        <w:rPr>
          <w:szCs w:val="24"/>
        </w:rPr>
        <w:t>Rehbruecke</w:t>
      </w:r>
      <w:proofErr w:type="spellEnd"/>
      <w:r w:rsidRPr="00B81A8D">
        <w:rPr>
          <w:szCs w:val="24"/>
        </w:rPr>
        <w:t xml:space="preserve"> (</w:t>
      </w:r>
      <w:proofErr w:type="spellStart"/>
      <w:r w:rsidRPr="00B81A8D">
        <w:rPr>
          <w:szCs w:val="24"/>
        </w:rPr>
        <w:t>DIfE</w:t>
      </w:r>
      <w:proofErr w:type="spellEnd"/>
      <w:r w:rsidRPr="00B81A8D">
        <w:rPr>
          <w:szCs w:val="24"/>
        </w:rPr>
        <w:t xml:space="preserve">), 14558, </w:t>
      </w:r>
      <w:proofErr w:type="spellStart"/>
      <w:r w:rsidRPr="00B81A8D">
        <w:rPr>
          <w:szCs w:val="24"/>
        </w:rPr>
        <w:t>Nuthetal</w:t>
      </w:r>
      <w:proofErr w:type="spellEnd"/>
      <w:r w:rsidRPr="00B81A8D">
        <w:rPr>
          <w:szCs w:val="24"/>
        </w:rPr>
        <w:t xml:space="preserve">, Germany. </w:t>
      </w:r>
      <w:r>
        <w:rPr>
          <w:szCs w:val="24"/>
          <w:vertAlign w:val="superscript"/>
        </w:rPr>
        <w:t>6</w:t>
      </w:r>
      <w:r w:rsidR="004E617F" w:rsidRPr="001533EC">
        <w:rPr>
          <w:szCs w:val="24"/>
        </w:rPr>
        <w:t>Department of Molecular Epidemiology,</w:t>
      </w:r>
      <w:r w:rsidR="00C23C47" w:rsidRPr="001533EC">
        <w:rPr>
          <w:szCs w:val="24"/>
        </w:rPr>
        <w:t xml:space="preserve"> German Institute of Human Nutrition Potsdam-</w:t>
      </w:r>
      <w:proofErr w:type="spellStart"/>
      <w:r w:rsidR="00C23C47" w:rsidRPr="001533EC">
        <w:rPr>
          <w:szCs w:val="24"/>
        </w:rPr>
        <w:t>Rehbruecke</w:t>
      </w:r>
      <w:proofErr w:type="spellEnd"/>
      <w:r w:rsidR="00C23C47" w:rsidRPr="001533EC">
        <w:rPr>
          <w:szCs w:val="24"/>
        </w:rPr>
        <w:t xml:space="preserve"> (</w:t>
      </w:r>
      <w:proofErr w:type="spellStart"/>
      <w:r w:rsidR="00C23C47" w:rsidRPr="001533EC">
        <w:rPr>
          <w:szCs w:val="24"/>
        </w:rPr>
        <w:t>DIfE</w:t>
      </w:r>
      <w:proofErr w:type="spellEnd"/>
      <w:r w:rsidR="00C23C47" w:rsidRPr="001533EC">
        <w:rPr>
          <w:szCs w:val="24"/>
        </w:rPr>
        <w:t xml:space="preserve">), </w:t>
      </w:r>
      <w:r w:rsidR="007136F4">
        <w:rPr>
          <w:szCs w:val="24"/>
        </w:rPr>
        <w:t xml:space="preserve">14558, </w:t>
      </w:r>
      <w:proofErr w:type="spellStart"/>
      <w:r w:rsidR="007136F4">
        <w:rPr>
          <w:szCs w:val="24"/>
        </w:rPr>
        <w:t>Nuthetal</w:t>
      </w:r>
      <w:proofErr w:type="spellEnd"/>
      <w:r w:rsidR="007136F4">
        <w:rPr>
          <w:szCs w:val="24"/>
        </w:rPr>
        <w:t xml:space="preserve">, </w:t>
      </w:r>
      <w:r w:rsidR="00C23C47" w:rsidRPr="001533EC">
        <w:rPr>
          <w:szCs w:val="24"/>
        </w:rPr>
        <w:t>Germany.</w:t>
      </w:r>
    </w:p>
    <w:p w14:paraId="5C1E5F27" w14:textId="55C813C0" w:rsidR="00C35B7A" w:rsidRPr="001533EC" w:rsidRDefault="001C6032" w:rsidP="00C35B7A">
      <w:pPr>
        <w:spacing w:line="480" w:lineRule="auto"/>
        <w:jc w:val="both"/>
        <w:rPr>
          <w:szCs w:val="24"/>
        </w:rPr>
      </w:pPr>
      <w:r>
        <w:rPr>
          <w:szCs w:val="24"/>
          <w:vertAlign w:val="superscript"/>
        </w:rPr>
        <w:t>7</w:t>
      </w:r>
      <w:r w:rsidR="00C35B7A" w:rsidRPr="001533EC">
        <w:rPr>
          <w:szCs w:val="24"/>
        </w:rPr>
        <w:t xml:space="preserve">Center of Brain, Behavior and Metabolism, University of Lübeck, </w:t>
      </w:r>
      <w:r w:rsidR="00350693">
        <w:rPr>
          <w:szCs w:val="24"/>
        </w:rPr>
        <w:t xml:space="preserve">23562, </w:t>
      </w:r>
      <w:r w:rsidR="00C35B7A" w:rsidRPr="001533EC">
        <w:rPr>
          <w:szCs w:val="24"/>
        </w:rPr>
        <w:t>Lübeck, Germany</w:t>
      </w:r>
    </w:p>
    <w:p w14:paraId="143531F0" w14:textId="77AAA30F" w:rsidR="00C35B7A" w:rsidRPr="001533EC" w:rsidRDefault="001C6032" w:rsidP="00C35B7A">
      <w:pPr>
        <w:spacing w:line="480" w:lineRule="auto"/>
        <w:jc w:val="both"/>
        <w:rPr>
          <w:szCs w:val="24"/>
        </w:rPr>
      </w:pPr>
      <w:r>
        <w:rPr>
          <w:szCs w:val="24"/>
          <w:vertAlign w:val="superscript"/>
        </w:rPr>
        <w:t>8</w:t>
      </w:r>
      <w:r w:rsidR="00C35B7A" w:rsidRPr="001533EC">
        <w:rPr>
          <w:szCs w:val="24"/>
        </w:rPr>
        <w:t xml:space="preserve">Medical Clinic I, University of Lübeck, </w:t>
      </w:r>
      <w:r w:rsidR="00350693">
        <w:rPr>
          <w:szCs w:val="24"/>
        </w:rPr>
        <w:t xml:space="preserve">23562, </w:t>
      </w:r>
      <w:r w:rsidR="00C35B7A" w:rsidRPr="001533EC">
        <w:rPr>
          <w:szCs w:val="24"/>
        </w:rPr>
        <w:t>Lübeck, Germany.</w:t>
      </w:r>
    </w:p>
    <w:p w14:paraId="57C984B3" w14:textId="683E6F62" w:rsidR="00C35B7A" w:rsidRPr="001533EC" w:rsidRDefault="001C6032" w:rsidP="00C35B7A">
      <w:pPr>
        <w:spacing w:line="480" w:lineRule="auto"/>
        <w:jc w:val="both"/>
        <w:rPr>
          <w:szCs w:val="24"/>
        </w:rPr>
      </w:pPr>
      <w:r>
        <w:rPr>
          <w:szCs w:val="24"/>
          <w:vertAlign w:val="superscript"/>
        </w:rPr>
        <w:t>9</w:t>
      </w:r>
      <w:r w:rsidR="00C35B7A" w:rsidRPr="001533EC">
        <w:rPr>
          <w:szCs w:val="24"/>
        </w:rPr>
        <w:t xml:space="preserve">Max Planck Institute of Molecular Plant Physiology, Am Mühlenberg 1, 14476, Potsdam, </w:t>
      </w:r>
      <w:proofErr w:type="spellStart"/>
      <w:r w:rsidR="00C35B7A" w:rsidRPr="001533EC">
        <w:rPr>
          <w:szCs w:val="24"/>
        </w:rPr>
        <w:t>Golm</w:t>
      </w:r>
      <w:proofErr w:type="spellEnd"/>
      <w:r w:rsidR="00C35B7A" w:rsidRPr="001533EC">
        <w:rPr>
          <w:szCs w:val="24"/>
        </w:rPr>
        <w:t>, Germany.</w:t>
      </w:r>
    </w:p>
    <w:p w14:paraId="68F4AFED" w14:textId="3E43E309" w:rsidR="00C35B7A" w:rsidRPr="001533EC" w:rsidRDefault="001C6032" w:rsidP="00C35B7A">
      <w:pPr>
        <w:spacing w:line="480" w:lineRule="auto"/>
      </w:pPr>
      <w:r>
        <w:rPr>
          <w:vertAlign w:val="superscript"/>
        </w:rPr>
        <w:t>10</w:t>
      </w:r>
      <w:r w:rsidR="00C35B7A" w:rsidRPr="001533EC">
        <w:t xml:space="preserve">Institute for Clinical Chemistry and </w:t>
      </w:r>
      <w:proofErr w:type="spellStart"/>
      <w:r w:rsidR="00C35B7A" w:rsidRPr="001533EC">
        <w:t>Pathobiochemistry</w:t>
      </w:r>
      <w:proofErr w:type="spellEnd"/>
      <w:r w:rsidR="00C35B7A" w:rsidRPr="001533EC">
        <w:t>,</w:t>
      </w:r>
      <w:r w:rsidR="00C35B7A" w:rsidRPr="001533EC">
        <w:rPr>
          <w:rFonts w:hint="eastAsia"/>
        </w:rPr>
        <w:t xml:space="preserve"> </w:t>
      </w:r>
      <w:r w:rsidR="00C35B7A" w:rsidRPr="001533EC">
        <w:t xml:space="preserve">University Hospital Tübingen, </w:t>
      </w:r>
      <w:r w:rsidR="00350693">
        <w:t xml:space="preserve">72076, </w:t>
      </w:r>
      <w:r w:rsidR="00C35B7A" w:rsidRPr="001533EC">
        <w:t>Tübingen, Germany.</w:t>
      </w:r>
    </w:p>
    <w:p w14:paraId="4AA76477" w14:textId="4D69A157" w:rsidR="006E50B8" w:rsidRPr="001533EC" w:rsidRDefault="006E50B8" w:rsidP="006E50B8">
      <w:pPr>
        <w:spacing w:line="480" w:lineRule="auto"/>
        <w:jc w:val="both"/>
        <w:rPr>
          <w:szCs w:val="24"/>
        </w:rPr>
      </w:pPr>
      <w:r w:rsidRPr="001533EC">
        <w:rPr>
          <w:szCs w:val="24"/>
          <w:vertAlign w:val="superscript"/>
        </w:rPr>
        <w:t>1</w:t>
      </w:r>
      <w:r w:rsidR="001C6032">
        <w:rPr>
          <w:szCs w:val="24"/>
          <w:vertAlign w:val="superscript"/>
        </w:rPr>
        <w:t>1</w:t>
      </w:r>
      <w:r w:rsidRPr="001533EC">
        <w:rPr>
          <w:szCs w:val="24"/>
        </w:rPr>
        <w:t>Institute of Nutritional Science, University of Potsdam, Germany.</w:t>
      </w:r>
    </w:p>
    <w:p w14:paraId="0E0DFC54" w14:textId="685F74F9" w:rsidR="00C35B7A" w:rsidRPr="001533EC" w:rsidRDefault="00C23C47" w:rsidP="00C35B7A">
      <w:pPr>
        <w:spacing w:line="480" w:lineRule="auto"/>
        <w:jc w:val="both"/>
        <w:rPr>
          <w:szCs w:val="24"/>
        </w:rPr>
      </w:pPr>
      <w:r w:rsidRPr="001533EC">
        <w:rPr>
          <w:szCs w:val="24"/>
          <w:vertAlign w:val="superscript"/>
        </w:rPr>
        <w:t>1</w:t>
      </w:r>
      <w:r w:rsidR="001C6032">
        <w:rPr>
          <w:szCs w:val="24"/>
          <w:vertAlign w:val="superscript"/>
        </w:rPr>
        <w:t>2</w:t>
      </w:r>
      <w:r w:rsidR="00C35B7A" w:rsidRPr="001533EC">
        <w:rPr>
          <w:szCs w:val="24"/>
        </w:rPr>
        <w:t xml:space="preserve">Division of Endocrinology and Diabetology, Department of Internal Medicine 1, University Hospital Ulm, </w:t>
      </w:r>
      <w:r w:rsidR="00350693">
        <w:rPr>
          <w:szCs w:val="24"/>
        </w:rPr>
        <w:t xml:space="preserve">89081, </w:t>
      </w:r>
      <w:r w:rsidR="00C35B7A" w:rsidRPr="001533EC">
        <w:rPr>
          <w:szCs w:val="24"/>
        </w:rPr>
        <w:t>Ulm, Germany.</w:t>
      </w:r>
    </w:p>
    <w:p w14:paraId="1686C8B2" w14:textId="77777777" w:rsidR="00C35B7A" w:rsidRPr="001533EC" w:rsidRDefault="00C35B7A" w:rsidP="00C35B7A">
      <w:pPr>
        <w:jc w:val="both"/>
        <w:rPr>
          <w:szCs w:val="24"/>
        </w:rPr>
      </w:pPr>
      <w:r w:rsidRPr="001533EC">
        <w:rPr>
          <w:szCs w:val="24"/>
        </w:rPr>
        <w:t>Corresponding author:</w:t>
      </w:r>
    </w:p>
    <w:p w14:paraId="4BCE0F1C" w14:textId="77777777" w:rsidR="00C35B7A" w:rsidRPr="009531D0" w:rsidRDefault="00C35B7A" w:rsidP="00C35B7A">
      <w:pPr>
        <w:jc w:val="both"/>
        <w:rPr>
          <w:szCs w:val="24"/>
        </w:rPr>
      </w:pPr>
      <w:r w:rsidRPr="001533EC">
        <w:rPr>
          <w:szCs w:val="24"/>
        </w:rPr>
        <w:t>Prof. Dr.</w:t>
      </w:r>
      <w:r w:rsidRPr="009531D0">
        <w:rPr>
          <w:szCs w:val="24"/>
        </w:rPr>
        <w:t xml:space="preserve"> Annette Schürmann</w:t>
      </w:r>
    </w:p>
    <w:p w14:paraId="0375E8F1" w14:textId="311763A7" w:rsidR="004D663A" w:rsidRPr="009531D0" w:rsidRDefault="00C35B7A" w:rsidP="00C35B7A">
      <w:pPr>
        <w:pStyle w:val="KeinLeerraum"/>
        <w:spacing w:line="480" w:lineRule="auto"/>
        <w:jc w:val="both"/>
        <w:rPr>
          <w:sz w:val="20"/>
          <w:szCs w:val="20"/>
          <w:lang w:val="en-GB"/>
        </w:rPr>
      </w:pPr>
      <w:r w:rsidRPr="009531D0">
        <w:rPr>
          <w:rFonts w:ascii="Times New Roman" w:eastAsia="Calibri" w:hAnsi="Times New Roman" w:cs="Times New Roman"/>
          <w:sz w:val="20"/>
          <w:szCs w:val="20"/>
          <w:lang w:val="en-US"/>
        </w:rPr>
        <w:t xml:space="preserve">Email: </w:t>
      </w:r>
      <w:hyperlink r:id="rId11" w:history="1">
        <w:r w:rsidRPr="009531D0">
          <w:rPr>
            <w:rStyle w:val="Hyperlink"/>
            <w:rFonts w:ascii="Times New Roman" w:eastAsia="Calibri" w:hAnsi="Times New Roman" w:cs="Times New Roman"/>
            <w:color w:val="auto"/>
            <w:sz w:val="20"/>
            <w:szCs w:val="20"/>
            <w:u w:val="none"/>
            <w:lang w:val="en-US"/>
          </w:rPr>
          <w:t>schuermann@dife.de</w:t>
        </w:r>
      </w:hyperlink>
    </w:p>
    <w:p w14:paraId="42790BA6" w14:textId="5E430FE1" w:rsidR="004D663A" w:rsidRPr="00821E32" w:rsidRDefault="004D663A" w:rsidP="00C35B7A">
      <w:pPr>
        <w:pStyle w:val="KeinLeerraum"/>
        <w:spacing w:line="480" w:lineRule="auto"/>
        <w:jc w:val="both"/>
        <w:rPr>
          <w:b/>
          <w:bCs/>
          <w:lang w:val="en-GB"/>
        </w:rPr>
      </w:pPr>
      <w:r w:rsidRPr="00821E32">
        <w:rPr>
          <w:b/>
          <w:bCs/>
          <w:lang w:val="en-GB"/>
        </w:rPr>
        <w:t>Overline: METABOLISM</w:t>
      </w:r>
    </w:p>
    <w:p w14:paraId="22F8FA2D" w14:textId="5431CE15" w:rsidR="004D663A" w:rsidRPr="001533EC" w:rsidRDefault="004D663A" w:rsidP="004D663A">
      <w:pPr>
        <w:rPr>
          <w:sz w:val="24"/>
          <w:szCs w:val="24"/>
        </w:rPr>
      </w:pPr>
      <w:r>
        <w:rPr>
          <w:b/>
          <w:sz w:val="24"/>
          <w:szCs w:val="24"/>
        </w:rPr>
        <w:t xml:space="preserve">One-sentence </w:t>
      </w:r>
      <w:r w:rsidRPr="001533EC">
        <w:rPr>
          <w:b/>
          <w:sz w:val="24"/>
          <w:szCs w:val="24"/>
        </w:rPr>
        <w:t xml:space="preserve">Summary: </w:t>
      </w:r>
      <w:r>
        <w:rPr>
          <w:sz w:val="24"/>
          <w:szCs w:val="24"/>
        </w:rPr>
        <w:t>B</w:t>
      </w:r>
      <w:r w:rsidRPr="001533EC">
        <w:rPr>
          <w:sz w:val="24"/>
          <w:szCs w:val="24"/>
        </w:rPr>
        <w:t xml:space="preserve">lood-based epigenetic signatures </w:t>
      </w:r>
      <w:r w:rsidRPr="001533EC">
        <w:rPr>
          <w:sz w:val="24"/>
          <w:szCs w:val="24"/>
          <w:lang w:val="en-GB"/>
        </w:rPr>
        <w:t xml:space="preserve">distinguish between </w:t>
      </w:r>
      <w:r w:rsidRPr="001533EC">
        <w:rPr>
          <w:sz w:val="24"/>
          <w:szCs w:val="24"/>
        </w:rPr>
        <w:t>individuals with and without brain insulin resistance</w:t>
      </w:r>
      <w:r w:rsidR="00DA3C49">
        <w:rPr>
          <w:sz w:val="24"/>
          <w:szCs w:val="24"/>
        </w:rPr>
        <w:t xml:space="preserve"> </w:t>
      </w:r>
      <w:r w:rsidR="009D4430">
        <w:rPr>
          <w:sz w:val="24"/>
          <w:szCs w:val="24"/>
        </w:rPr>
        <w:t>across</w:t>
      </w:r>
      <w:r w:rsidR="00DA3C49">
        <w:rPr>
          <w:sz w:val="24"/>
          <w:szCs w:val="24"/>
        </w:rPr>
        <w:t xml:space="preserve"> multiple cohorts</w:t>
      </w:r>
      <w:r w:rsidRPr="001533EC">
        <w:rPr>
          <w:sz w:val="24"/>
          <w:szCs w:val="24"/>
        </w:rPr>
        <w:t>.</w:t>
      </w:r>
    </w:p>
    <w:p w14:paraId="30921779" w14:textId="77777777" w:rsidR="004D663A" w:rsidRPr="001533EC" w:rsidRDefault="004D663A" w:rsidP="00C35B7A">
      <w:pPr>
        <w:pStyle w:val="KeinLeerraum"/>
        <w:spacing w:line="480" w:lineRule="auto"/>
        <w:jc w:val="both"/>
        <w:rPr>
          <w:rFonts w:ascii="Times New Roman" w:eastAsia="Calibri" w:hAnsi="Times New Roman" w:cs="Times New Roman"/>
          <w:szCs w:val="24"/>
          <w:lang w:val="en-US"/>
        </w:rPr>
      </w:pPr>
    </w:p>
    <w:p w14:paraId="7BBFBE42" w14:textId="77777777" w:rsidR="00C35B7A" w:rsidRDefault="00C35B7A" w:rsidP="00C35B7A">
      <w:pPr>
        <w:jc w:val="both"/>
        <w:rPr>
          <w:sz w:val="24"/>
          <w:szCs w:val="24"/>
        </w:rPr>
      </w:pPr>
    </w:p>
    <w:p w14:paraId="690D7027" w14:textId="77777777" w:rsidR="00F13741" w:rsidRDefault="00F13741" w:rsidP="00C35B7A">
      <w:pPr>
        <w:spacing w:line="480" w:lineRule="auto"/>
        <w:jc w:val="both"/>
        <w:rPr>
          <w:sz w:val="24"/>
          <w:szCs w:val="24"/>
        </w:rPr>
      </w:pPr>
    </w:p>
    <w:p w14:paraId="0EEDCE2F" w14:textId="77777777" w:rsidR="00F13741" w:rsidRDefault="00F13741" w:rsidP="00C35B7A">
      <w:pPr>
        <w:spacing w:line="480" w:lineRule="auto"/>
        <w:jc w:val="both"/>
        <w:rPr>
          <w:b/>
          <w:sz w:val="24"/>
          <w:szCs w:val="24"/>
        </w:rPr>
      </w:pPr>
    </w:p>
    <w:p w14:paraId="1EA5F69C" w14:textId="77777777" w:rsidR="00F13741" w:rsidRDefault="00F13741" w:rsidP="00C35B7A">
      <w:pPr>
        <w:spacing w:line="480" w:lineRule="auto"/>
        <w:jc w:val="both"/>
        <w:rPr>
          <w:b/>
          <w:sz w:val="24"/>
          <w:szCs w:val="24"/>
        </w:rPr>
      </w:pPr>
    </w:p>
    <w:p w14:paraId="7E97E3D2" w14:textId="77777777" w:rsidR="00F13741" w:rsidRDefault="00F13741" w:rsidP="00C35B7A">
      <w:pPr>
        <w:spacing w:line="480" w:lineRule="auto"/>
        <w:jc w:val="both"/>
        <w:rPr>
          <w:b/>
          <w:sz w:val="24"/>
          <w:szCs w:val="24"/>
        </w:rPr>
      </w:pPr>
    </w:p>
    <w:p w14:paraId="04A03D9F" w14:textId="247383E6" w:rsidR="00C35B7A" w:rsidRPr="001533EC" w:rsidRDefault="00C35B7A" w:rsidP="00C35B7A">
      <w:pPr>
        <w:spacing w:line="480" w:lineRule="auto"/>
        <w:jc w:val="both"/>
        <w:rPr>
          <w:sz w:val="24"/>
          <w:szCs w:val="24"/>
        </w:rPr>
      </w:pPr>
      <w:r w:rsidRPr="001533EC">
        <w:rPr>
          <w:b/>
          <w:sz w:val="24"/>
          <w:szCs w:val="24"/>
        </w:rPr>
        <w:t xml:space="preserve">ABSTRACT </w:t>
      </w:r>
    </w:p>
    <w:p w14:paraId="0F9FD331" w14:textId="66617F66" w:rsidR="00C35B7A" w:rsidRPr="001533EC" w:rsidRDefault="00C35B7A" w:rsidP="00C35B7A">
      <w:pPr>
        <w:spacing w:line="480" w:lineRule="auto"/>
        <w:jc w:val="both"/>
        <w:rPr>
          <w:sz w:val="24"/>
          <w:szCs w:val="24"/>
          <w:lang w:val="en-GB"/>
        </w:rPr>
      </w:pPr>
      <w:bookmarkStart w:id="1" w:name="_Hlk195699974"/>
      <w:r w:rsidRPr="001533EC">
        <w:rPr>
          <w:sz w:val="24"/>
          <w:szCs w:val="24"/>
        </w:rPr>
        <w:t xml:space="preserve">Brain insulin action plays an important role in metabolic and cognitive health but so far there is no biomarker available to assess brain insulin resistance in humans. Here, we developed a machine learning framework based on blood DNA methylation profiles of participants </w:t>
      </w:r>
      <w:r w:rsidR="009C65E7">
        <w:rPr>
          <w:sz w:val="24"/>
          <w:szCs w:val="24"/>
        </w:rPr>
        <w:t xml:space="preserve">who did not have type 2 diabetes </w:t>
      </w:r>
      <w:r w:rsidRPr="001533EC">
        <w:rPr>
          <w:sz w:val="24"/>
          <w:szCs w:val="24"/>
        </w:rPr>
        <w:t>with and without brain insulin resistance and detailed metabolic phenotyping.</w:t>
      </w:r>
      <w:r w:rsidR="00D27313">
        <w:rPr>
          <w:sz w:val="24"/>
          <w:szCs w:val="24"/>
        </w:rPr>
        <w:t xml:space="preserve"> </w:t>
      </w:r>
      <w:r w:rsidRPr="001533EC">
        <w:rPr>
          <w:sz w:val="24"/>
          <w:szCs w:val="24"/>
        </w:rPr>
        <w:t>We identified 540 DNA methylation sites (</w:t>
      </w:r>
      <w:proofErr w:type="spellStart"/>
      <w:r w:rsidRPr="001533EC">
        <w:rPr>
          <w:sz w:val="24"/>
          <w:szCs w:val="24"/>
        </w:rPr>
        <w:t>CpGs</w:t>
      </w:r>
      <w:proofErr w:type="spellEnd"/>
      <w:r w:rsidRPr="001533EC">
        <w:rPr>
          <w:sz w:val="24"/>
          <w:szCs w:val="24"/>
        </w:rPr>
        <w:t xml:space="preserve">) as </w:t>
      </w:r>
      <w:r w:rsidR="006E50B8" w:rsidRPr="001533EC">
        <w:rPr>
          <w:sz w:val="24"/>
          <w:szCs w:val="24"/>
        </w:rPr>
        <w:t>classifiers</w:t>
      </w:r>
      <w:r w:rsidRPr="001533EC">
        <w:rPr>
          <w:sz w:val="24"/>
          <w:szCs w:val="24"/>
        </w:rPr>
        <w:t xml:space="preserve"> of brain insulin resistance in a discovery cohort</w:t>
      </w:r>
      <w:r w:rsidR="00652F66">
        <w:rPr>
          <w:sz w:val="24"/>
          <w:szCs w:val="24"/>
        </w:rPr>
        <w:t xml:space="preserve"> (n = 167)</w:t>
      </w:r>
      <w:r w:rsidR="005016C0" w:rsidRPr="001533EC">
        <w:rPr>
          <w:sz w:val="24"/>
          <w:szCs w:val="24"/>
        </w:rPr>
        <w:t>, results</w:t>
      </w:r>
      <w:r w:rsidRPr="001533EC">
        <w:rPr>
          <w:sz w:val="24"/>
          <w:szCs w:val="24"/>
        </w:rPr>
        <w:t xml:space="preserve"> that were validated in two replication cohorts</w:t>
      </w:r>
      <w:r w:rsidR="00652F66">
        <w:rPr>
          <w:sz w:val="24"/>
          <w:szCs w:val="24"/>
        </w:rPr>
        <w:t xml:space="preserve"> (n = 33 &amp; 24)</w:t>
      </w:r>
      <w:r w:rsidRPr="001533EC">
        <w:rPr>
          <w:sz w:val="24"/>
          <w:szCs w:val="24"/>
        </w:rPr>
        <w:t xml:space="preserve"> with high accuracy (83%-94%). All 540 </w:t>
      </w:r>
      <w:proofErr w:type="spellStart"/>
      <w:r w:rsidRPr="001533EC">
        <w:rPr>
          <w:sz w:val="24"/>
          <w:szCs w:val="24"/>
        </w:rPr>
        <w:t>CpGs</w:t>
      </w:r>
      <w:proofErr w:type="spellEnd"/>
      <w:r w:rsidRPr="001533EC">
        <w:rPr>
          <w:sz w:val="24"/>
          <w:szCs w:val="24"/>
        </w:rPr>
        <w:t xml:space="preserve">, were differentially methylated and annotated to 445 genes mapping to neuronal development and </w:t>
      </w:r>
      <w:proofErr w:type="spellStart"/>
      <w:r w:rsidRPr="001533EC">
        <w:rPr>
          <w:sz w:val="24"/>
          <w:szCs w:val="24"/>
        </w:rPr>
        <w:t>axonogenesis</w:t>
      </w:r>
      <w:proofErr w:type="spellEnd"/>
      <w:r w:rsidRPr="001533EC">
        <w:rPr>
          <w:sz w:val="24"/>
          <w:szCs w:val="24"/>
        </w:rPr>
        <w:t xml:space="preserve"> processes. Of note, methylation </w:t>
      </w:r>
      <w:r w:rsidR="005F0A5C" w:rsidRPr="001533EC">
        <w:rPr>
          <w:sz w:val="24"/>
          <w:szCs w:val="24"/>
        </w:rPr>
        <w:t xml:space="preserve">patterns </w:t>
      </w:r>
      <w:r w:rsidRPr="001533EC">
        <w:rPr>
          <w:sz w:val="24"/>
          <w:szCs w:val="24"/>
        </w:rPr>
        <w:t xml:space="preserve">of 98 out of 540 </w:t>
      </w:r>
      <w:proofErr w:type="spellStart"/>
      <w:r w:rsidRPr="001533EC">
        <w:rPr>
          <w:sz w:val="24"/>
          <w:szCs w:val="24"/>
        </w:rPr>
        <w:t>CpGs</w:t>
      </w:r>
      <w:proofErr w:type="spellEnd"/>
      <w:r w:rsidRPr="001533EC">
        <w:rPr>
          <w:sz w:val="24"/>
          <w:szCs w:val="24"/>
        </w:rPr>
        <w:t xml:space="preserve"> exhibit</w:t>
      </w:r>
      <w:r w:rsidR="00D27313">
        <w:rPr>
          <w:sz w:val="24"/>
          <w:szCs w:val="24"/>
        </w:rPr>
        <w:t>ed</w:t>
      </w:r>
      <w:r w:rsidRPr="001533EC">
        <w:rPr>
          <w:sz w:val="24"/>
          <w:szCs w:val="24"/>
        </w:rPr>
        <w:t xml:space="preserve"> a strong and significant </w:t>
      </w:r>
      <w:r w:rsidR="00652F66">
        <w:rPr>
          <w:sz w:val="24"/>
          <w:szCs w:val="24"/>
        </w:rPr>
        <w:t>(</w:t>
      </w:r>
      <w:r w:rsidR="00487061">
        <w:rPr>
          <w:sz w:val="24"/>
          <w:szCs w:val="24"/>
        </w:rPr>
        <w:t>P</w:t>
      </w:r>
      <w:r w:rsidR="00652F66">
        <w:rPr>
          <w:sz w:val="24"/>
          <w:szCs w:val="24"/>
        </w:rPr>
        <w:t xml:space="preserve"> &lt; 0.05) </w:t>
      </w:r>
      <w:r w:rsidRPr="001533EC">
        <w:rPr>
          <w:sz w:val="24"/>
          <w:szCs w:val="24"/>
        </w:rPr>
        <w:t>blood-brain correlation, indicating that blood cells are a reliable proxy to capture brain-specific DNA methylation changes.</w:t>
      </w:r>
      <w:r w:rsidR="00D27313">
        <w:rPr>
          <w:sz w:val="24"/>
          <w:szCs w:val="24"/>
        </w:rPr>
        <w:t xml:space="preserve"> </w:t>
      </w:r>
      <w:r w:rsidRPr="001533EC">
        <w:rPr>
          <w:sz w:val="24"/>
          <w:szCs w:val="24"/>
        </w:rPr>
        <w:t>T</w:t>
      </w:r>
      <w:proofErr w:type="spellStart"/>
      <w:r w:rsidRPr="001533EC">
        <w:rPr>
          <w:sz w:val="24"/>
          <w:szCs w:val="24"/>
          <w:lang w:val="en-GB"/>
        </w:rPr>
        <w:t>hese</w:t>
      </w:r>
      <w:proofErr w:type="spellEnd"/>
      <w:r w:rsidRPr="001533EC">
        <w:rPr>
          <w:sz w:val="24"/>
          <w:szCs w:val="24"/>
          <w:lang w:val="en-GB"/>
        </w:rPr>
        <w:t xml:space="preserve"> blood-based epigenetic sign</w:t>
      </w:r>
      <w:r w:rsidR="00991B3C" w:rsidRPr="001533EC">
        <w:rPr>
          <w:sz w:val="24"/>
          <w:szCs w:val="24"/>
          <w:lang w:val="en-GB"/>
        </w:rPr>
        <w:t>a</w:t>
      </w:r>
      <w:r w:rsidRPr="001533EC">
        <w:rPr>
          <w:sz w:val="24"/>
          <w:szCs w:val="24"/>
          <w:lang w:val="en-GB"/>
        </w:rPr>
        <w:t xml:space="preserve">tures could </w:t>
      </w:r>
      <w:r w:rsidR="009A4702">
        <w:rPr>
          <w:sz w:val="24"/>
          <w:szCs w:val="24"/>
          <w:lang w:val="en-GB"/>
        </w:rPr>
        <w:t xml:space="preserve">potentially </w:t>
      </w:r>
      <w:r w:rsidRPr="001533EC">
        <w:rPr>
          <w:sz w:val="24"/>
          <w:szCs w:val="24"/>
          <w:lang w:val="en-GB"/>
        </w:rPr>
        <w:t>serve in the future for the early detection of individuals with brain insulin resistance in a broad clinical setting.</w:t>
      </w:r>
      <w:bookmarkEnd w:id="1"/>
    </w:p>
    <w:p w14:paraId="0175A70B" w14:textId="77777777" w:rsidR="00C35B7A" w:rsidRPr="001533EC" w:rsidRDefault="00C35B7A" w:rsidP="00C35B7A">
      <w:pPr>
        <w:spacing w:line="480" w:lineRule="auto"/>
        <w:jc w:val="both"/>
        <w:rPr>
          <w:sz w:val="24"/>
          <w:szCs w:val="24"/>
        </w:rPr>
      </w:pPr>
    </w:p>
    <w:p w14:paraId="6B6D209A" w14:textId="66C4DB9E" w:rsidR="00EF12B6" w:rsidRPr="001533EC" w:rsidRDefault="00EF12B6">
      <w:pPr>
        <w:rPr>
          <w:sz w:val="24"/>
          <w:szCs w:val="24"/>
        </w:rPr>
      </w:pPr>
      <w:r w:rsidRPr="001533EC">
        <w:rPr>
          <w:sz w:val="24"/>
          <w:szCs w:val="24"/>
        </w:rPr>
        <w:br w:type="page"/>
      </w:r>
    </w:p>
    <w:p w14:paraId="60007676" w14:textId="77777777" w:rsidR="00C35B7A" w:rsidRPr="001533EC" w:rsidRDefault="00C35B7A" w:rsidP="00C35B7A">
      <w:pPr>
        <w:spacing w:line="480" w:lineRule="auto"/>
        <w:jc w:val="both"/>
        <w:rPr>
          <w:b/>
          <w:sz w:val="24"/>
          <w:szCs w:val="24"/>
        </w:rPr>
      </w:pPr>
      <w:r w:rsidRPr="001533EC">
        <w:rPr>
          <w:b/>
          <w:sz w:val="24"/>
          <w:szCs w:val="24"/>
        </w:rPr>
        <w:lastRenderedPageBreak/>
        <w:t>INTRODUCTION</w:t>
      </w:r>
    </w:p>
    <w:p w14:paraId="0CCD6EFD" w14:textId="1189D9A9" w:rsidR="00C35B7A" w:rsidRPr="001533EC" w:rsidRDefault="00C35B7A" w:rsidP="00C35B7A">
      <w:pPr>
        <w:spacing w:line="480" w:lineRule="auto"/>
        <w:jc w:val="both"/>
        <w:rPr>
          <w:sz w:val="24"/>
          <w:szCs w:val="24"/>
        </w:rPr>
      </w:pPr>
      <w:r w:rsidRPr="001533EC">
        <w:rPr>
          <w:sz w:val="24"/>
          <w:szCs w:val="24"/>
        </w:rPr>
        <w:t>Insulin not only regulate</w:t>
      </w:r>
      <w:r w:rsidR="0080432F">
        <w:rPr>
          <w:sz w:val="24"/>
          <w:szCs w:val="24"/>
        </w:rPr>
        <w:t>s</w:t>
      </w:r>
      <w:r w:rsidRPr="001533EC">
        <w:rPr>
          <w:sz w:val="24"/>
          <w:szCs w:val="24"/>
        </w:rPr>
        <w:t xml:space="preserve"> glucose homeostasis, but is also necessary for the cognitive, synaptic, vascular, and metabolic health of the human brain</w:t>
      </w:r>
      <w:r w:rsidR="00A257DF" w:rsidRPr="001533EC">
        <w:rPr>
          <w:sz w:val="24"/>
          <w:szCs w:val="24"/>
        </w:rPr>
        <w:t xml:space="preserve"> </w:t>
      </w:r>
      <w:r w:rsidR="00122188" w:rsidRPr="001533EC">
        <w:rPr>
          <w:rStyle w:val="Funotenzeichen"/>
          <w:sz w:val="24"/>
          <w:szCs w:val="24"/>
        </w:rPr>
        <w:fldChar w:fldCharType="begin" w:fldLock="1"/>
      </w:r>
      <w:r w:rsidR="0017498C">
        <w:rPr>
          <w:sz w:val="24"/>
          <w:szCs w:val="24"/>
        </w:rPr>
        <w:instrText>ADDIN CSL_CITATION {"citationItems":[{"id":"ITEM-1","itemData":{"DOI":"10.1152/ajpendo.00642.2020","ISSN":"0193-1849","abstract":"The brain has been traditionally thought to be insensitive to insulin, primarily because insulin does not stimulate glucose uptake/metabolism in the brain (as it does in classic insulin-sensitive tissues such as muscle, liver, and fat). However, over the past 20?years, research in this field has identified unique actions of insulin in the brain. There is accumulating evidence that insulin crosses into the brain and regulates central nervous system functions such as feeding, depression, and cognitive behavior. In addition, insulin acts in the brain to regulate systemic functions such as hepatic glucose production, lipolysis, lipogenesis, reproductive competence, and the sympathoadrenal response to hypoglycemia. Decrements in brain insulin action (or brain insulin resistance) can be observed in obesity, type 2 diabetes (T2DM), aging, and Alzheimer?s disease (AD), indicating a possible link between metabolic and cognitive health. Here, we describe recent findings on the pleiotropic actions of insulin in the brain and highlight the precise sites, specific neuronal population, and roles for supportive astrocytic cells through which insulin acts in the brain. In addition, we also discuss how boosting brain insulin action could be a therapeutic option for people at an increased risk of developing metabolic and cognitive diseases such as AD and T2DM. Overall, this perspective article serves to highlight some of these key scientific findings, identify unresolved issues, and indicate future directions of research in this field that would serve to improve the lives of people with metabolic and cognitive dysfunctions.","author":[{"dropping-particle":"","family":"Agrawal","given":"Rahul","non-dropping-particle":"","parse-names":false,"suffix":""},{"dropping-particle":"","family":"Reno","given":"Candace M","non-dropping-particle":"","parse-names":false,"suffix":""},{"dropping-particle":"","family":"Sharma","given":"Sunny","non-dropping-particle":"","parse-names":false,"suffix":""},{"dropping-particle":"","family":"Christensen","given":"Camille","non-dropping-particle":"","parse-names":false,"suffix":""},{"dropping-particle":"","family":"Huang","given":"Yiqing","non-dropping-particle":"","parse-names":false,"suffix":""},{"dropping-particle":"","family":"Fisher","given":"Simon J","non-dropping-particle":"","parse-names":false,"suffix":""}],"container-title":"American Journal of Physiology-Endocrinology and Metabolism","id":"ITEM-1","issue":"1","issued":{"date-parts":[["2021","5","31"]]},"page":"E156-E163","publisher":"American Physiological Society","title":"Insulin action in the brain regulates both central and peripheral functions","type":"article-journal","volume":"321"},"uris":["http://www.mendeley.com/documents/?uuid=c355ebeb-1ad9-3324-b945-0cdaf1501d32"]}],"mendeley":{"formattedCitation":"&lt;i&gt;(1)&lt;/i&gt;","plainTextFormattedCitation":"(1)","previouslyFormattedCitation":"&lt;i&gt;(1)&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bCs/>
          <w:i/>
          <w:noProof/>
          <w:sz w:val="24"/>
          <w:szCs w:val="24"/>
        </w:rPr>
        <w:t>(1)</w:t>
      </w:r>
      <w:r w:rsidR="00122188" w:rsidRPr="001533EC">
        <w:rPr>
          <w:rStyle w:val="Funotenzeichen"/>
          <w:sz w:val="24"/>
          <w:szCs w:val="24"/>
        </w:rPr>
        <w:fldChar w:fldCharType="end"/>
      </w:r>
      <w:r w:rsidRPr="001533EC">
        <w:rPr>
          <w:sz w:val="24"/>
          <w:szCs w:val="24"/>
        </w:rPr>
        <w:t xml:space="preserve">. Even though insulin does not stimulate glucose uptake in the brain, it plays an indispensable role in the brain </w:t>
      </w:r>
      <w:r w:rsidR="00212807">
        <w:rPr>
          <w:sz w:val="24"/>
          <w:szCs w:val="24"/>
        </w:rPr>
        <w:t>in maintaining</w:t>
      </w:r>
      <w:r w:rsidRPr="001533EC">
        <w:rPr>
          <w:sz w:val="24"/>
          <w:szCs w:val="24"/>
        </w:rPr>
        <w:t xml:space="preserve"> systemic glucose and energy homeostasis</w:t>
      </w:r>
      <w:r w:rsidR="00A257DF" w:rsidRPr="001533EC">
        <w:rPr>
          <w:sz w:val="24"/>
          <w:szCs w:val="24"/>
        </w:rPr>
        <w:t xml:space="preserve"> </w:t>
      </w:r>
      <w:r w:rsidR="00122188" w:rsidRPr="001533EC">
        <w:rPr>
          <w:rStyle w:val="Funotenzeichen"/>
          <w:sz w:val="24"/>
          <w:szCs w:val="24"/>
        </w:rPr>
        <w:fldChar w:fldCharType="begin" w:fldLock="1"/>
      </w:r>
      <w:r w:rsidR="0017498C">
        <w:rPr>
          <w:sz w:val="24"/>
          <w:szCs w:val="24"/>
        </w:rPr>
        <w:instrText>ADDIN CSL_CITATION {"citationItems":[{"id":"ITEM-1","itemData":{"DOI":"10.3389/fendo.2022.873301","ISSN":"1664-2392 (Print)","PMID":"35615716","abstract":"Several neurological diseases share pathological alterations, even though they  differ in their etiology. Neuroinflammation, altered brain glucose metabolism, oxidative stress, mitochondrial dysfunction and amyloidosis are biological events found in those neurological disorders. Altered insulin-mediated signaling and brain glucose hypometabolism are characteristic signs observed in the brains of patients with certain neurological diseases, but also others such as type 2 diabetes mellitus and vascular diseases. Thus, significant reductions in insulin receptor autophosphorylation and Akt kinase activity, and increased GSK-3 activity and insulin resistance, have been reported in these neurological diseases as contributing to the decline in cognitive function. Supporting this relationship is the fact that nasal and hippocampal insulin administration has been found to improve cognitive function. Additionally, brain glucose hypometabolism precedes the unmistakable clinical manifestations of some of these diseases by years, which may become a useful early biomarker. Deficiencies in the major pathways of oxidative energy metabolism have been reported in patients with several of these neurological diseases, which supports the hypothesis of their metabolic background. This review remarks on the significance of insulin and brain glucose metabolism alterations as keystone common pathogenic substrates for certain neurological diseases, highlighting new potential targets.","author":[{"dropping-particle":"","family":"Blázquez","given":"Enrique","non-dropping-particle":"","parse-names":false,"suffix":""},{"dropping-particle":"","family":"Hurtado-Carneiro","given":"Verónica","non-dropping-particle":"","parse-names":false,"suffix":""},{"dropping-particle":"","family":"LeBaut-Ayuso","given":"Yannick","non-dropping-particle":"","parse-names":false,"suffix":""},{"dropping-particle":"","family":"Velázquez","given":"Esther","non-dropping-particle":"","parse-names":false,"suffix":""},{"dropping-particle":"","family":"García-García","given":"Luis","non-dropping-particle":"","parse-names":false,"suffix":""},{"dropping-particle":"","family":"Gómez-Oliver","given":"Francisca","non-dropping-particle":"","parse-names":false,"suffix":""},{"dropping-particle":"","family":"Ruiz-Albusac","given":"Juan Miguel","non-dropping-particle":"","parse-names":false,"suffix":""},{"dropping-particle":"","family":"Ávila","given":"Jesús","non-dropping-particle":"","parse-names":false,"suffix":""},{"dropping-particle":"","family":"Pozo","given":"Miguel Ángel","non-dropping-particle":"","parse-names":false,"suffix":""}],"container-title":"Frontiers in endocrinology","id":"ITEM-1","issued":{"date-parts":[["2022"]]},"language":"eng","page":"873301","publisher-place":"Switzerland","title":"Significance of Brain Glucose Hypometabolism, Altered Insulin Signal  Transduction, and Insulin Resistance in Several Neurological Diseases.","type":"article-journal","volume":"13"},"uris":["http://www.mendeley.com/documents/?uuid=38836a75-a1ae-3365-8591-34dad7dae0ae"]}],"mendeley":{"formattedCitation":"&lt;i&gt;(2)&lt;/i&gt;","plainTextFormattedCitation":"(2)","previouslyFormattedCitation":"&lt;i&gt;(2)&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bCs/>
          <w:i/>
          <w:noProof/>
          <w:sz w:val="24"/>
          <w:szCs w:val="24"/>
        </w:rPr>
        <w:t>(2)</w:t>
      </w:r>
      <w:r w:rsidR="00122188" w:rsidRPr="001533EC">
        <w:rPr>
          <w:rStyle w:val="Funotenzeichen"/>
          <w:sz w:val="24"/>
          <w:szCs w:val="24"/>
        </w:rPr>
        <w:fldChar w:fldCharType="end"/>
      </w:r>
      <w:r w:rsidRPr="001533EC">
        <w:rPr>
          <w:sz w:val="24"/>
          <w:szCs w:val="24"/>
        </w:rPr>
        <w:t xml:space="preserve">. </w:t>
      </w:r>
      <w:r w:rsidR="00162913" w:rsidRPr="001533EC">
        <w:rPr>
          <w:sz w:val="24"/>
          <w:szCs w:val="24"/>
        </w:rPr>
        <w:t>B</w:t>
      </w:r>
      <w:r w:rsidRPr="001533EC">
        <w:rPr>
          <w:sz w:val="24"/>
          <w:szCs w:val="24"/>
        </w:rPr>
        <w:t xml:space="preserve">rain insulin </w:t>
      </w:r>
      <w:r w:rsidR="00162913" w:rsidRPr="001533EC">
        <w:rPr>
          <w:sz w:val="24"/>
          <w:szCs w:val="24"/>
        </w:rPr>
        <w:t xml:space="preserve">action </w:t>
      </w:r>
      <w:r w:rsidRPr="001533EC">
        <w:rPr>
          <w:sz w:val="24"/>
          <w:szCs w:val="24"/>
        </w:rPr>
        <w:t xml:space="preserve">also contributes to the homeostatic regulation of body weight, body fat content, and calorie intake, with brain insulin resistance being involved in metabolic and cognitive disorders, including obesity, depression, and </w:t>
      </w:r>
      <w:r w:rsidRPr="001533EC">
        <w:rPr>
          <w:noProof/>
          <w:sz w:val="24"/>
          <w:szCs w:val="24"/>
        </w:rPr>
        <w:t>Alzheimer’s disease</w:t>
      </w:r>
      <w:r w:rsidR="00A257DF" w:rsidRPr="001533EC">
        <w:rPr>
          <w:noProof/>
          <w:sz w:val="24"/>
          <w:szCs w:val="24"/>
        </w:rPr>
        <w:t xml:space="preserve"> </w:t>
      </w:r>
      <w:r w:rsidR="00122188" w:rsidRPr="001533EC">
        <w:rPr>
          <w:rStyle w:val="Funotenzeichen"/>
          <w:sz w:val="24"/>
          <w:szCs w:val="24"/>
        </w:rPr>
        <w:fldChar w:fldCharType="begin" w:fldLock="1"/>
      </w:r>
      <w:r w:rsidR="0017498C">
        <w:rPr>
          <w:sz w:val="24"/>
          <w:szCs w:val="24"/>
        </w:rPr>
        <w:instrText>ADDIN CSL_CITATION {"citationItems":[{"id":"ITEM-1","itemData":{"DOI":"10.1152/physrev.00032.2015","ISSN":"1522-1210 (Electronic)","PMID":"27489306","abstract":"Ever since the brain was identified as an insulin-sensitive organ, evidence has  rapidly accumulated that insulin action in the brain produces multiple behavioral and metabolic effects, influencing eating behavior, peripheral metabolism, and cognition. Disturbances in brain insulin action can be observed in obesity and type 2 diabetes (T2D), as well as in aging and dementia. Decreases in insulin sensitivity of central nervous pathways, i.e., brain insulin resistance, may therefore constitute a joint pathological feature of metabolic and cognitive dysfunctions. Modern neuroimaging methods have provided new means of probing brain insulin action, revealing the influence of insulin on both global and regional brain function. In this review, we highlight recent findings on brain insulin action in humans and its impact on metabolism and cognition. Furthermore, we elaborate on the most prominent factors associated with brain insulin resistance, i.e., obesity, T2D, genes, maternal metabolism, normal aging, inflammation, and dementia, and on their roles regarding causes and consequences of brain insulin resistance. We also describe the beneficial effects of enhanced brain insulin signaling on human eating behavior and cognition and discuss potential applications in the treatment of metabolic and cognitive disorders.","author":[{"dropping-particle":"","family":"Kullmann","given":"Stephanie","non-dropping-particle":"","parse-names":false,"suffix":""},{"dropping-particle":"","family":"Heni","given":"Martin","non-dropping-particle":"","parse-names":false,"suffix":""},{"dropping-particle":"","family":"Hallschmid","given":"Manfred","non-dropping-particle":"","parse-names":false,"suffix":""},{"dropping-particle":"","family":"Fritsche","given":"Andreas","non-dropping-particle":"","parse-names":false,"suffix":""},{"dropping-particle":"","family":"Preissl","given":"Hubert","non-dropping-particle":"","parse-names":false,"suffix":""},{"dropping-particle":"","family":"Häring","given":"Hans-Ulrich","non-dropping-particle":"","parse-names":false,"suffix":""}],"container-title":"Physiological reviews","id":"ITEM-1","issue":"4","issued":{"date-parts":[["2016","10"]]},"language":"eng","page":"1169-1209","publisher-place":"United States","title":"Brain Insulin Resistance at the Crossroads of Metabolic and Cognitive Disorders  in Humans.","type":"article-journal","volume":"96"},"uris":["http://www.mendeley.com/documents/?uuid=1846355e-15ee-3647-8b02-c6b364efacb8"]},{"id":"ITEM-2","itemData":{"DOI":"https://doi.org/10.1016/j.tins.2022.03.001","ISSN":"0166-2236","abstract":"Since its discovery over 100 years ago, insulin has been recognized as a key hormone in control of glucose homeostasis. Deficiencies of insulin signaling are central to diabetes and many other disorders. The brain is among the targets of insulin action, and insulin resistance is a major contributor to many diseases, including brain disorders. Here, we summarize key roles of insulin action in the brain and how this involves different brain cell types. Disordered brain insulin signaling can also contribute to neuropsychiatric diseases, affecting brain circuits involved in mood and cognition. Understanding of insulin signaling in different brain cell types/circuits and how these are altered in disease may lead to the development of new therapeutic approaches to these challenging disorders.","author":[{"dropping-particle":"","family":"Chen","given":"Wenqiang","non-dropping-particle":"","parse-names":false,"suffix":""},{"dropping-particle":"","family":"Cai","given":"Weikang","non-dropping-particle":"","parse-names":false,"suffix":""},{"dropping-particle":"","family":"Hoover","given":"Benjamin","non-dropping-particle":"","parse-names":false,"suffix":""},{"dropping-particle":"","family":"Kahn","given":"C Ronald","non-dropping-particle":"","parse-names":false,"suffix":""}],"container-title":"Trends in Neurosciences","id":"ITEM-2","issue":"5","issued":{"date-parts":[["2022"]]},"page":"384-400","title":"Insulin action in the brain: cell types, circuits, and diseases","type":"article-journal","volume":"45"},"uris":["http://www.mendeley.com/documents/?uuid=839e9b3b-b0dd-3a4a-b4ac-3d02d9c26306"]},{"id":"ITEM-3","itemData":{"DOI":"10.14336/AD.2023.0814","ISSN":"2152-5250 (Electronic)","PMID":"37611907","abstract":"Type 2 diabetes mellitus (T2DM) is common and increasing in prevalence worldwide,  with devastating public health consequences. While peripheral insulin resistance is a key feature of most forms of T2DM and has been investigated for over a century, research on brain insulin resistance (BIR) has more recently been developed, including in the context of T2DM and non-diabetes states. Recent data support the presence of BIR in the aging brain, even in non-diabetes states, and found that BIR may be a feature in Alzheimer's disease (AD) and contributes to cognitive impairment. Further, therapies used to treat T2DM are now being investigated in the context of AD treatment and prevention, including insulin. In this review, we offer a definition of BIR, and present evidence for BIR in AD; we discuss the expression, function, and activation of the insulin receptor (INSR) in the brain; how BIR could develop; tools to study BIR; how BIR correlates with current AD hallmarks; and regional/cellular involvement of BIR. We close with a discussion on resilience to both BIR and AD, how current tools can be improved to better understand BIR, and future avenues for research. Overall, this review and position paper highlights BIR as a plausible therapeutic target for the prevention of cognitive decline and dementia due to AD.","author":[{"dropping-particle":"","family":"Rhea","given":"Elizabeth M","non-dropping-particle":"","parse-names":false,"suffix":""},{"dropping-particle":"","family":"Leclerc","given":"Manon","non-dropping-particle":"","parse-names":false,"suffix":""},{"dropping-particle":"","family":"Yassine","given":"Hussein N","non-dropping-particle":"","parse-names":false,"suffix":""},{"dropping-particle":"","family":"Capuano","given":"Ana W","non-dropping-particle":"","parse-names":false,"suffix":""},{"dropping-particle":"","family":"Tong","given":"Han","non-dropping-particle":"","parse-names":false,"suffix":""},{"dropping-particle":"","family":"Petyuk","given":"Vladislav A","non-dropping-particle":"","parse-names":false,"suffix":""},{"dropping-particle":"","family":"Macauley","given":"Shannon L","non-dropping-particle":"","parse-names":false,"suffix":""},{"dropping-particle":"","family":"Fioramonti","given":"Xavier","non-dropping-particle":"","parse-names":false,"suffix":""},{"dropping-particle":"","family":"Carmichael","given":"Owen","non-dropping-particle":"","parse-names":false,"suffix":""},{"dropping-particle":"","family":"Calon","given":"Frederic","non-dropping-particle":"","parse-names":false,"suffix":""},{"dropping-particle":"","family":"Arvanitakis","given":"Zoe","non-dropping-particle":"","parse-names":false,"suffix":""}],"container-title":"Aging and disease","id":"ITEM-3","issue":"4","issued":{"date-parts":[["2024","8"]]},"language":"eng","page":"1688-1725","publisher-place":"United States","title":"State of the Science on Brain Insulin Resistance and Cognitive Decline Due to  Alzheimer's Disease.","type":"article-journal","volume":"15"},"uris":["http://www.mendeley.com/documents/?uuid=bd465314-77f2-48cb-b5c1-15b7cf46dce9"]}],"mendeley":{"formattedCitation":"&lt;i&gt;(3–5)&lt;/i&gt;","plainTextFormattedCitation":"(3–5)","previouslyFormattedCitation":"&lt;i&gt;(3–5)&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bCs/>
          <w:i/>
          <w:noProof/>
          <w:sz w:val="24"/>
          <w:szCs w:val="24"/>
        </w:rPr>
        <w:t>(3–5)</w:t>
      </w:r>
      <w:r w:rsidR="00122188" w:rsidRPr="001533EC">
        <w:rPr>
          <w:rStyle w:val="Funotenzeichen"/>
          <w:sz w:val="24"/>
          <w:szCs w:val="24"/>
        </w:rPr>
        <w:fldChar w:fldCharType="end"/>
      </w:r>
      <w:r w:rsidRPr="001533EC">
        <w:rPr>
          <w:sz w:val="24"/>
          <w:szCs w:val="24"/>
        </w:rPr>
        <w:t>.</w:t>
      </w:r>
    </w:p>
    <w:p w14:paraId="4027A119" w14:textId="2C29BD68" w:rsidR="00C35B7A" w:rsidRPr="001533EC" w:rsidRDefault="00ED7421" w:rsidP="00C35B7A">
      <w:pPr>
        <w:spacing w:line="480" w:lineRule="auto"/>
        <w:jc w:val="both"/>
        <w:rPr>
          <w:sz w:val="24"/>
          <w:szCs w:val="24"/>
        </w:rPr>
      </w:pPr>
      <w:r w:rsidRPr="001533EC">
        <w:rPr>
          <w:rFonts w:eastAsia="Times New Roman"/>
          <w:sz w:val="24"/>
          <w:szCs w:val="24"/>
          <w:lang w:val="en-GB" w:eastAsia="de-DE"/>
        </w:rPr>
        <w:t xml:space="preserve">Brain insulin resistance can be investigated in various ways from rodents to humans, including pre-clinical models, human post-mortem in situ insulin stimulation, and </w:t>
      </w:r>
      <w:r w:rsidR="00CD6604" w:rsidRPr="001533EC">
        <w:rPr>
          <w:rFonts w:eastAsia="Times New Roman"/>
          <w:sz w:val="24"/>
          <w:szCs w:val="24"/>
          <w:lang w:val="en-GB" w:eastAsia="de-DE"/>
        </w:rPr>
        <w:t xml:space="preserve">non-invasive </w:t>
      </w:r>
      <w:r w:rsidRPr="001533EC">
        <w:rPr>
          <w:rFonts w:eastAsia="Times New Roman"/>
          <w:sz w:val="24"/>
          <w:szCs w:val="24"/>
          <w:lang w:val="en-GB" w:eastAsia="de-DE"/>
        </w:rPr>
        <w:t>neuroimaging techniques</w:t>
      </w:r>
      <w:r w:rsidR="00A257DF" w:rsidRPr="001533EC">
        <w:rPr>
          <w:rFonts w:eastAsia="Times New Roman"/>
          <w:sz w:val="24"/>
          <w:szCs w:val="24"/>
          <w:lang w:val="en-GB" w:eastAsia="de-DE"/>
        </w:rPr>
        <w:t xml:space="preserve"> </w:t>
      </w:r>
      <w:r w:rsidR="00122188" w:rsidRPr="001533EC">
        <w:rPr>
          <w:rStyle w:val="Funotenzeichen"/>
          <w:rFonts w:eastAsia="Times New Roman"/>
          <w:sz w:val="24"/>
          <w:szCs w:val="24"/>
          <w:lang w:val="en-GB" w:eastAsia="de-DE"/>
        </w:rPr>
        <w:fldChar w:fldCharType="begin" w:fldLock="1"/>
      </w:r>
      <w:r w:rsidR="0017498C">
        <w:rPr>
          <w:rFonts w:eastAsia="Times New Roman"/>
          <w:sz w:val="24"/>
          <w:szCs w:val="24"/>
          <w:lang w:val="en-GB" w:eastAsia="de-DE"/>
        </w:rPr>
        <w:instrText>ADDIN CSL_CITATION {"citationItems":[{"id":"ITEM-1","itemData":{"DOI":"10.14336/AD.2023.0814","ISSN":"2152-5250 (Electronic)","PMID":"37611907","abstract":"Type 2 diabetes mellitus (T2DM) is common and increasing in prevalence worldwide,  with devastating public health consequences. While peripheral insulin resistance is a key feature of most forms of T2DM and has been investigated for over a century, research on brain insulin resistance (BIR) has more recently been developed, including in the context of T2DM and non-diabetes states. Recent data support the presence of BIR in the aging brain, even in non-diabetes states, and found that BIR may be a feature in Alzheimer's disease (AD) and contributes to cognitive impairment. Further, therapies used to treat T2DM are now being investigated in the context of AD treatment and prevention, including insulin. In this review, we offer a definition of BIR, and present evidence for BIR in AD; we discuss the expression, function, and activation of the insulin receptor (INSR) in the brain; how BIR could develop; tools to study BIR; how BIR correlates with current AD hallmarks; and regional/cellular involvement of BIR. We close with a discussion on resilience to both BIR and AD, how current tools can be improved to better understand BIR, and future avenues for research. Overall, this review and position paper highlights BIR as a plausible therapeutic target for the prevention of cognitive decline and dementia due to AD.","author":[{"dropping-particle":"","family":"Rhea","given":"Elizabeth M","non-dropping-particle":"","parse-names":false,"suffix":""},{"dropping-particle":"","family":"Leclerc","given":"Manon","non-dropping-particle":"","parse-names":false,"suffix":""},{"dropping-particle":"","family":"Yassine","given":"Hussein N","non-dropping-particle":"","parse-names":false,"suffix":""},{"dropping-particle":"","family":"Capuano","given":"Ana W","non-dropping-particle":"","parse-names":false,"suffix":""},{"dropping-particle":"","family":"Tong","given":"Han","non-dropping-particle":"","parse-names":false,"suffix":""},{"dropping-particle":"","family":"Petyuk","given":"Vladislav A","non-dropping-particle":"","parse-names":false,"suffix":""},{"dropping-particle":"","family":"Macauley","given":"Shannon L","non-dropping-particle":"","parse-names":false,"suffix":""},{"dropping-particle":"","family":"Fioramonti","given":"Xavier","non-dropping-particle":"","parse-names":false,"suffix":""},{"dropping-particle":"","family":"Carmichael","given":"Owen","non-dropping-particle":"","parse-names":false,"suffix":""},{"dropping-particle":"","family":"Calon","given":"Frederic","non-dropping-particle":"","parse-names":false,"suffix":""},{"dropping-particle":"","family":"Arvanitakis","given":"Zoe","non-dropping-particle":"","parse-names":false,"suffix":""}],"container-title":"Aging and disease","id":"ITEM-1","issue":"4","issued":{"date-parts":[["2024","8"]]},"language":"eng","page":"1688-1725","publisher-place":"United States","title":"State of the Science on Brain Insulin Resistance and Cognitive Decline Due to  Alzheimer's Disease.","type":"article-journal","volume":"15"},"uris":["http://www.mendeley.com/documents/?uuid=bd465314-77f2-48cb-b5c1-15b7cf46dce9"]}],"mendeley":{"formattedCitation":"&lt;i&gt;(5)&lt;/i&gt;","plainTextFormattedCitation":"(5)","previouslyFormattedCitation":"&lt;i&gt;(5)&lt;/i&gt;"},"properties":{"noteIndex":0},"schema":"https://github.com/citation-style-language/schema/raw/master/csl-citation.json"}</w:instrText>
      </w:r>
      <w:r w:rsidR="00122188" w:rsidRPr="001533EC">
        <w:rPr>
          <w:rStyle w:val="Funotenzeichen"/>
          <w:rFonts w:eastAsia="Times New Roman"/>
          <w:sz w:val="24"/>
          <w:szCs w:val="24"/>
          <w:lang w:val="en-GB" w:eastAsia="de-DE"/>
        </w:rPr>
        <w:fldChar w:fldCharType="separate"/>
      </w:r>
      <w:r w:rsidR="00607440" w:rsidRPr="001533EC">
        <w:rPr>
          <w:rFonts w:eastAsia="Times New Roman"/>
          <w:i/>
          <w:noProof/>
          <w:sz w:val="24"/>
          <w:szCs w:val="24"/>
          <w:lang w:val="en-GB" w:eastAsia="de-DE"/>
        </w:rPr>
        <w:t>(5)</w:t>
      </w:r>
      <w:r w:rsidR="00122188" w:rsidRPr="001533EC">
        <w:rPr>
          <w:rStyle w:val="Funotenzeichen"/>
          <w:rFonts w:eastAsia="Times New Roman"/>
          <w:sz w:val="24"/>
          <w:szCs w:val="24"/>
          <w:lang w:val="en-GB" w:eastAsia="de-DE"/>
        </w:rPr>
        <w:fldChar w:fldCharType="end"/>
      </w:r>
      <w:r w:rsidR="007E3672" w:rsidRPr="001533EC">
        <w:rPr>
          <w:rFonts w:eastAsia="Times New Roman"/>
          <w:sz w:val="24"/>
          <w:szCs w:val="24"/>
          <w:lang w:val="en-GB" w:eastAsia="de-DE"/>
        </w:rPr>
        <w:t>.</w:t>
      </w:r>
      <w:r w:rsidRPr="001533EC">
        <w:rPr>
          <w:rFonts w:eastAsia="Times New Roman"/>
          <w:sz w:val="24"/>
          <w:szCs w:val="24"/>
          <w:lang w:val="en-GB" w:eastAsia="de-DE"/>
        </w:rPr>
        <w:t xml:space="preserve"> </w:t>
      </w:r>
      <w:r w:rsidR="007E3672" w:rsidRPr="001533EC">
        <w:rPr>
          <w:rFonts w:eastAsia="Times New Roman"/>
          <w:sz w:val="24"/>
          <w:szCs w:val="24"/>
          <w:lang w:val="en-GB" w:eastAsia="de-DE"/>
        </w:rPr>
        <w:t>I</w:t>
      </w:r>
      <w:r w:rsidRPr="001533EC">
        <w:rPr>
          <w:rFonts w:eastAsia="Times New Roman"/>
          <w:sz w:val="24"/>
          <w:szCs w:val="24"/>
          <w:lang w:val="en-GB" w:eastAsia="de-DE"/>
        </w:rPr>
        <w:t xml:space="preserve">n combination with </w:t>
      </w:r>
      <w:r w:rsidR="007E3672" w:rsidRPr="001533EC">
        <w:rPr>
          <w:rFonts w:eastAsia="Times New Roman"/>
          <w:sz w:val="24"/>
          <w:szCs w:val="24"/>
          <w:lang w:val="en-GB" w:eastAsia="de-DE"/>
        </w:rPr>
        <w:t>central</w:t>
      </w:r>
      <w:r w:rsidRPr="001533EC">
        <w:rPr>
          <w:rFonts w:eastAsia="Times New Roman"/>
          <w:sz w:val="24"/>
          <w:szCs w:val="24"/>
          <w:lang w:val="en-GB" w:eastAsia="de-DE"/>
        </w:rPr>
        <w:t xml:space="preserve"> and peripheral insulin stimulation</w:t>
      </w:r>
      <w:r w:rsidR="007E3672" w:rsidRPr="001533EC">
        <w:rPr>
          <w:rFonts w:eastAsia="Times New Roman"/>
          <w:sz w:val="24"/>
          <w:szCs w:val="24"/>
          <w:lang w:val="en-GB" w:eastAsia="de-DE"/>
        </w:rPr>
        <w:t>,</w:t>
      </w:r>
      <w:r w:rsidRPr="001533EC">
        <w:rPr>
          <w:rFonts w:eastAsia="Times New Roman"/>
          <w:sz w:val="24"/>
          <w:szCs w:val="24"/>
          <w:lang w:val="en-GB" w:eastAsia="de-DE"/>
        </w:rPr>
        <w:t xml:space="preserve"> </w:t>
      </w:r>
      <w:r w:rsidR="00DD3317" w:rsidRPr="001533EC">
        <w:rPr>
          <w:rFonts w:eastAsia="Times New Roman"/>
          <w:sz w:val="24"/>
          <w:szCs w:val="24"/>
          <w:lang w:val="en-GB" w:eastAsia="de-DE"/>
        </w:rPr>
        <w:t>imaging</w:t>
      </w:r>
      <w:r w:rsidRPr="001533EC">
        <w:rPr>
          <w:rFonts w:eastAsia="Times New Roman"/>
          <w:sz w:val="24"/>
          <w:szCs w:val="24"/>
          <w:lang w:val="en-GB" w:eastAsia="de-DE"/>
        </w:rPr>
        <w:t xml:space="preserve"> technique</w:t>
      </w:r>
      <w:r w:rsidR="00DD3317" w:rsidRPr="001533EC">
        <w:rPr>
          <w:rFonts w:eastAsia="Times New Roman"/>
          <w:sz w:val="24"/>
          <w:szCs w:val="24"/>
          <w:lang w:val="en-GB" w:eastAsia="de-DE"/>
        </w:rPr>
        <w:t>s</w:t>
      </w:r>
      <w:r w:rsidRPr="001533EC">
        <w:rPr>
          <w:rFonts w:eastAsia="Times New Roman"/>
          <w:sz w:val="24"/>
          <w:szCs w:val="24"/>
          <w:lang w:val="en-GB" w:eastAsia="de-DE"/>
        </w:rPr>
        <w:t xml:space="preserve"> allow </w:t>
      </w:r>
      <w:r w:rsidR="00CD6604" w:rsidRPr="00B07FDD">
        <w:rPr>
          <w:rFonts w:eastAsia="Times New Roman"/>
          <w:i/>
          <w:sz w:val="24"/>
          <w:szCs w:val="24"/>
          <w:lang w:val="en-GB" w:eastAsia="de-DE"/>
        </w:rPr>
        <w:t>in vivo</w:t>
      </w:r>
      <w:r w:rsidR="00CD6604" w:rsidRPr="001533EC">
        <w:rPr>
          <w:rFonts w:eastAsia="Times New Roman"/>
          <w:sz w:val="24"/>
          <w:szCs w:val="24"/>
          <w:lang w:val="en-GB" w:eastAsia="de-DE"/>
        </w:rPr>
        <w:t xml:space="preserve"> </w:t>
      </w:r>
      <w:r w:rsidR="00DD25CA" w:rsidRPr="001533EC">
        <w:rPr>
          <w:rFonts w:eastAsia="Times New Roman"/>
          <w:sz w:val="24"/>
          <w:szCs w:val="24"/>
          <w:lang w:val="en-GB" w:eastAsia="de-DE"/>
        </w:rPr>
        <w:t>quantification</w:t>
      </w:r>
      <w:r w:rsidR="00CD6604" w:rsidRPr="001533EC">
        <w:rPr>
          <w:rFonts w:eastAsia="Times New Roman"/>
          <w:sz w:val="24"/>
          <w:szCs w:val="24"/>
          <w:lang w:val="en-GB" w:eastAsia="de-DE"/>
        </w:rPr>
        <w:t xml:space="preserve"> of brain insulin action</w:t>
      </w:r>
      <w:r w:rsidR="00DD25CA" w:rsidRPr="001533EC">
        <w:rPr>
          <w:rFonts w:eastAsia="Times New Roman"/>
          <w:sz w:val="24"/>
          <w:szCs w:val="24"/>
          <w:lang w:val="en-GB" w:eastAsia="de-DE"/>
        </w:rPr>
        <w:t xml:space="preserve"> in animal</w:t>
      </w:r>
      <w:r w:rsidR="008345DE">
        <w:rPr>
          <w:rFonts w:eastAsia="Times New Roman"/>
          <w:sz w:val="24"/>
          <w:szCs w:val="24"/>
          <w:lang w:val="en-GB" w:eastAsia="de-DE"/>
        </w:rPr>
        <w:t>s</w:t>
      </w:r>
      <w:r w:rsidR="00DD25CA" w:rsidRPr="001533EC">
        <w:rPr>
          <w:rFonts w:eastAsia="Times New Roman"/>
          <w:sz w:val="24"/>
          <w:szCs w:val="24"/>
          <w:lang w:val="en-GB" w:eastAsia="de-DE"/>
        </w:rPr>
        <w:t xml:space="preserve"> and humans</w:t>
      </w:r>
      <w:r w:rsidR="00CD6604" w:rsidRPr="001533EC">
        <w:rPr>
          <w:rFonts w:eastAsia="Times New Roman"/>
          <w:sz w:val="24"/>
          <w:szCs w:val="24"/>
          <w:lang w:val="en-GB" w:eastAsia="de-DE"/>
        </w:rPr>
        <w:t xml:space="preserve">. </w:t>
      </w:r>
      <w:r w:rsidR="004A507A" w:rsidRPr="001533EC">
        <w:rPr>
          <w:rFonts w:eastAsia="Times New Roman"/>
          <w:sz w:val="24"/>
          <w:szCs w:val="24"/>
          <w:lang w:val="en-GB" w:eastAsia="de-DE"/>
        </w:rPr>
        <w:t xml:space="preserve">The definition of brain insulin resistance depends on the implemented </w:t>
      </w:r>
      <w:r w:rsidR="002E2F86" w:rsidRPr="001533EC">
        <w:rPr>
          <w:rFonts w:eastAsia="Times New Roman"/>
          <w:sz w:val="24"/>
          <w:szCs w:val="24"/>
          <w:lang w:val="en-GB" w:eastAsia="de-DE"/>
        </w:rPr>
        <w:t xml:space="preserve">imaging </w:t>
      </w:r>
      <w:r w:rsidR="004A507A" w:rsidRPr="001533EC">
        <w:rPr>
          <w:rFonts w:eastAsia="Times New Roman"/>
          <w:sz w:val="24"/>
          <w:szCs w:val="24"/>
          <w:lang w:val="en-GB" w:eastAsia="de-DE"/>
        </w:rPr>
        <w:t>method</w:t>
      </w:r>
      <w:r w:rsidR="002E2F86" w:rsidRPr="001533EC">
        <w:rPr>
          <w:rFonts w:eastAsia="Times New Roman"/>
          <w:sz w:val="24"/>
          <w:szCs w:val="24"/>
          <w:lang w:val="en-GB" w:eastAsia="de-DE"/>
        </w:rPr>
        <w:t>s as well as insulin stimulation techniques</w:t>
      </w:r>
      <w:r w:rsidR="004A507A" w:rsidRPr="001533EC">
        <w:rPr>
          <w:rFonts w:eastAsia="Times New Roman"/>
          <w:sz w:val="24"/>
          <w:szCs w:val="24"/>
          <w:lang w:val="en-GB" w:eastAsia="de-DE"/>
        </w:rPr>
        <w:t xml:space="preserve">. </w:t>
      </w:r>
      <w:r w:rsidR="002E2F86" w:rsidRPr="001533EC">
        <w:rPr>
          <w:rFonts w:eastAsia="Times New Roman"/>
          <w:sz w:val="24"/>
          <w:szCs w:val="24"/>
          <w:lang w:val="en-GB" w:eastAsia="de-DE"/>
        </w:rPr>
        <w:t>Based on recent findings</w:t>
      </w:r>
      <w:r w:rsidR="004A507A" w:rsidRPr="001533EC">
        <w:rPr>
          <w:rFonts w:eastAsia="Times New Roman"/>
          <w:sz w:val="24"/>
          <w:szCs w:val="24"/>
          <w:lang w:val="en-GB" w:eastAsia="de-DE"/>
        </w:rPr>
        <w:t xml:space="preserve">, regional </w:t>
      </w:r>
      <w:r w:rsidR="00C35B7A" w:rsidRPr="001533EC">
        <w:rPr>
          <w:rFonts w:eastAsia="Times New Roman"/>
          <w:sz w:val="24"/>
          <w:szCs w:val="24"/>
          <w:lang w:val="en-GB" w:eastAsia="de-DE"/>
        </w:rPr>
        <w:t xml:space="preserve">changes in neural activity </w:t>
      </w:r>
      <w:r w:rsidR="004A507A" w:rsidRPr="001533EC">
        <w:rPr>
          <w:rFonts w:eastAsia="Times New Roman"/>
          <w:sz w:val="24"/>
          <w:szCs w:val="24"/>
          <w:lang w:val="en-GB" w:eastAsia="de-DE"/>
        </w:rPr>
        <w:t>and</w:t>
      </w:r>
      <w:r w:rsidR="00F867E1" w:rsidRPr="001533EC">
        <w:rPr>
          <w:rFonts w:eastAsia="Times New Roman"/>
          <w:sz w:val="24"/>
          <w:szCs w:val="24"/>
          <w:lang w:val="en-GB" w:eastAsia="de-DE"/>
        </w:rPr>
        <w:t xml:space="preserve"> </w:t>
      </w:r>
      <w:r w:rsidR="00745292" w:rsidRPr="001533EC">
        <w:rPr>
          <w:rFonts w:eastAsia="Times New Roman"/>
          <w:sz w:val="24"/>
          <w:szCs w:val="24"/>
          <w:lang w:val="en-GB" w:eastAsia="de-DE"/>
        </w:rPr>
        <w:t xml:space="preserve">global </w:t>
      </w:r>
      <w:r w:rsidR="00F867E1" w:rsidRPr="001533EC">
        <w:rPr>
          <w:rFonts w:eastAsia="Times New Roman"/>
          <w:sz w:val="24"/>
          <w:szCs w:val="24"/>
          <w:lang w:val="en-GB" w:eastAsia="de-DE"/>
        </w:rPr>
        <w:t xml:space="preserve">brain metabolism </w:t>
      </w:r>
      <w:r w:rsidR="00C35B7A" w:rsidRPr="001533EC">
        <w:rPr>
          <w:rFonts w:eastAsia="Times New Roman"/>
          <w:sz w:val="24"/>
          <w:szCs w:val="24"/>
          <w:lang w:val="en-GB" w:eastAsia="de-DE"/>
        </w:rPr>
        <w:t>after administration of insulin can be used as a proxy for brain insulin resistance in humans</w:t>
      </w:r>
      <w:r w:rsidR="00A257DF" w:rsidRPr="001533EC">
        <w:rPr>
          <w:rFonts w:eastAsia="Times New Roman"/>
          <w:sz w:val="24"/>
          <w:szCs w:val="24"/>
          <w:lang w:val="en-GB" w:eastAsia="de-DE"/>
        </w:rPr>
        <w:t xml:space="preserve"> </w:t>
      </w:r>
      <w:r w:rsidR="00122188" w:rsidRPr="001533EC">
        <w:rPr>
          <w:rStyle w:val="Funotenzeichen"/>
          <w:rFonts w:eastAsia="Times New Roman"/>
          <w:sz w:val="24"/>
          <w:szCs w:val="24"/>
          <w:lang w:val="en-GB" w:eastAsia="de-DE"/>
        </w:rPr>
        <w:fldChar w:fldCharType="begin" w:fldLock="1"/>
      </w:r>
      <w:r w:rsidR="00607440" w:rsidRPr="001533EC">
        <w:rPr>
          <w:rFonts w:eastAsia="Times New Roman"/>
          <w:sz w:val="24"/>
          <w:szCs w:val="24"/>
          <w:lang w:val="en-GB" w:eastAsia="de-DE"/>
        </w:rPr>
        <w:instrText>ADDIN CSL_CITATION {"citationItems":[{"id":"ITEM-1","itemData":{"DOI":"10.1016/S2213-8587(20)30113-3","ISSN":"2213-8595 (Electronic)","PMID":"32445739","abstract":"Insulin acts on the CNS to modulate behaviour and systemic metabolism.  Disturbances in brain insulin action represent a possible link between metabolic and cognitive health. Current findings from human research suggest that boosting central insulin action in the brain modulates peripheral metabolism, enhancing whole-body insulin sensitivity and suppressing endogenous glucose production. Moreover, central insulin action curbs food intake by reducing the salience of highly palatable food cues and increasing cognitive control. Animal models show that the mesocorticolimbic circuitry is finely tuned in response to insulin, driven mainly by the dopamine system. These mechanisms are impaired in people with obesity, which might increase their risk of developing type 2 diabetes and associated diseases. Overall, current findings highlight the role of insulin action in the brain and its consequences on peripheral metabolism and cognition. Hence, improving central insulin action could represent a therapeutic option for people at an increased risk of developing metabolic and cognitive diseases.","author":[{"dropping-particle":"","family":"Kullmann","given":"Stephanie","non-dropping-particle":"","parse-names":false,"suffix":""},{"dropping-particle":"","family":"Kleinridders","given":"André","non-dropping-particle":"","parse-names":false,"suffix":""},{"dropping-particle":"","family":"Small","given":"Dana M","non-dropping-particle":"","parse-names":false,"suffix":""},{"dropping-particle":"","family":"Fritsche","given":"Andreas","non-dropping-particle":"","parse-names":false,"suffix":""},{"dropping-particle":"","family":"Häring","given":"Hans-Ulrich","non-dropping-particle":"","parse-names":false,"suffix":""},{"dropping-particle":"","family":"Preissl","given":"Hubert","non-dropping-particle":"","parse-names":false,"suffix":""},{"dropping-particle":"","family":"Heni","given":"Martin","non-dropping-particle":"","parse-names":false,"suffix":""}],"container-title":"The lancet. Diabetes &amp; endocrinology","id":"ITEM-1","issue":"6","issued":{"date-parts":[["2020","6"]]},"language":"eng","page":"524-534","publisher-place":"England","title":"Central nervous pathways of insulin action in the control of metabolism and food  intake.","type":"article-journal","volume":"8"},"uris":["http://www.mendeley.com/documents/?uuid=a7d0c581-29d9-49ff-a27f-ba1e61e2edff"]},{"id":"ITEM-2","itemData":{"DOI":"10.14336/AD.2023.0814","ISSN":"2152-5250 (Electronic)","PMID":"37611907","abstract":"Type 2 diabetes mellitus (T2DM) is common and increasing in prevalence worldwide,  with devastating public health consequences. While peripheral insulin resistance is a key feature of most forms of T2DM and has been investigated for over a century, research on brain insulin resistance (BIR) has more recently been developed, including in the context of T2DM and non-diabetes states. Recent data support the presence of BIR in the aging brain, even in non-diabetes states, and found that BIR may be a feature in Alzheimer's disease (AD) and contributes to cognitive impairment. Further, therapies used to treat T2DM are now being investigated in the context of AD treatment and prevention, including insulin. In this review, we offer a definition of BIR, and present evidence for BIR in AD; we discuss the expression, function, and activation of the insulin receptor (INSR) in the brain; how BIR could develop; tools to study BIR; how BIR correlates with current AD hallmarks; and regional/cellular involvement of BIR. We close with a discussion on resilience to both BIR and AD, how current tools can be improved to better understand BIR, and future avenues for research. Overall, this review and position paper highlights BIR as a plausible therapeutic target for the prevention of cognitive decline and dementia due to AD.","author":[{"dropping-particle":"","family":"Rhea","given":"Elizabeth M","non-dropping-particle":"","parse-names":false,"suffix":""},{"dropping-particle":"","family":"Leclerc","given":"Manon","non-dropping-particle":"","parse-names":false,"suffix":""},{"dropping-particle":"","family":"Yassine","given":"Hussein N","non-dropping-particle":"","parse-names":false,"suffix":""},{"dropping-particle":"","family":"Capuano","given":"Ana W","non-dropping-particle":"","parse-names":false,"suffix":""},{"dropping-particle":"","family":"Tong","given":"Han","non-dropping-particle":"","parse-names":false,"suffix":""},{"dropping-particle":"","family":"Petyuk","given":"Vladislav A","non-dropping-particle":"","parse-names":false,"suffix":""},{"dropping-particle":"","family":"Macauley","given":"Shannon L","non-dropping-particle":"","parse-names":false,"suffix":""},{"dropping-particle":"","family":"Fioramonti","given":"Xavier","non-dropping-particle":"","parse-names":false,"suffix":""},{"dropping-particle":"","family":"Carmichael","given":"Owen","non-dropping-particle":"","parse-names":false,"suffix":""},{"dropping-particle":"","family":"Calon","given":"Frederic","non-dropping-particle":"","parse-names":false,"suffix":""},{"dropping-particle":"","family":"Arvanitakis","given":"Zoe","non-dropping-particle":"","parse-names":false,"suffix":""}],"container-title":"Aging and disease","id":"ITEM-2","issue":"4","issued":{"date-parts":[["2024","8"]]},"language":"eng","page":"1688-1725","publisher-place":"United States","title":"State of the Science on Brain Insulin Resistance and Cognitive Decline Due to  Alzheimer's Disease.","type":"article-journal","volume":"15"},"uris":["http://www.mendeley.com/documents/?uuid=bd465314-77f2-48cb-b5c1-15b7cf46dce9"]},{"id":"ITEM-3","itemData":{"DOI":"10.2337/dc20-1549","ISSN":"1935-5548 (Electronic)","PMID":"33446523","abstract":"OBJECTIVE: Whereas insulin resistance is expressed as reduced glucose uptake in  peripheral tissues, the relationship between insulin resistance and brain glucose metabolism remains controversial. Our aim was to examine the association of insulin resistance and brain glucose uptake (BGU) during a euglycemic hyperinsulinemic clamp in a large sample of study participants across a wide range of age and insulin sensitivity. RESEARCH DESIGN AND METHODS: [(18)F]-fluorodeoxyglucose positron emission tomography (PET) data from 194 participants scanned under clamp conditions were compiled from a single-center cohort. BGU was quantified by the fractional uptake rate. We examined the association of age, sex, M value from the clamp, steady-state insulin and free fatty acid levels, C-reactive protein levels, HbA(1c), and presence of type 2 diabetes with BGU using Bayesian hierarchical modeling. RESULTS: Insulin sensitivity, indexed by the M value, was associated negatively with BGU in all brain regions, confirming that in insulin-resistant participants BGU was enhanced during euglycemic hyperinsulinemia. In addition, the presence of type 2 diabetes was associated with additional increase in BGU. On the contrary, age was negatively related to BGU. Steady-state insulin levels, C-reactive protein and free fatty acid levels, sex, and HbA(1c) were not associated with BGU. CONCLUSIONS: In this large cohort of participants of either sex across a wide range of age and insulin sensitivity, insulin sensitivity was the best predictor of BGU.","author":[{"dropping-particle":"","family":"Rebelos","given":"Eleni","non-dropping-particle":"","parse-names":false,"suffix":""},{"dropping-particle":"","family":"Bucci","given":"Marco","non-dropping-particle":"","parse-names":false,"suffix":""},{"dropping-particle":"","family":"Karjalainen","given":"Tomi","non-dropping-particle":"","parse-names":false,"suffix":""},{"dropping-particle":"","family":"Oikonen","given":"Vesa","non-dropping-particle":"","parse-names":false,"suffix":""},{"dropping-particle":"","family":"Bertoldo","given":"Alessandra","non-dropping-particle":"","parse-names":false,"suffix":""},{"dropping-particle":"","family":"Hannukainen","given":"Jarna C","non-dropping-particle":"","parse-names":false,"suffix":""},{"dropping-particle":"","family":"Virtanen","given":"Kirsi A","non-dropping-particle":"","parse-names":false,"suffix":""},{"dropping-particle":"","family":"Latva-Rasku","given":"Aino","non-dropping-particle":"","parse-names":false,"suffix":""},{"dropping-particle":"","family":"Hirvonen","given":"Jussi","non-dropping-particle":"","parse-names":false,"suffix":""},{"dropping-particle":"","family":"Heinonen","given":"Ilkka","non-dropping-particle":"","parse-names":false,"suffix":""},{"dropping-particle":"","family":"Parkkola","given":"Riitta","non-dropping-particle":"","parse-names":false,"suffix":""},{"dropping-particle":"","family":"Laakso","given":"Markku","non-dropping-particle":"","parse-names":false,"suffix":""},{"dropping-particle":"","family":"Ferrannini","given":"Ele","non-dropping-particle":"","parse-names":false,"suffix":""},{"dropping-particle":"","family":"Iozzo","given":"Patricia","non-dropping-particle":"","parse-names":false,"suffix":""},{"dropping-particle":"","family":"Nummenmaa","given":"Lauri","non-dropping-particle":"","parse-names":false,"suffix":""},{"dropping-particle":"","family":"Nuutila","given":"Pirjo","non-dropping-particle":"","parse-names":false,"suffix":""}],"container-title":"Diabetes care","id":"ITEM-3","issue":"3","issued":{"date-parts":[["2021","3"]]},"language":"eng","page":"788-794","publisher-place":"United States","title":"Insulin Resistance Is Associated With Enhanced Brain Glucose Uptake During  Euglycemic Hyperinsulinemia: A Large-Scale PET Cohort.","type":"article-journal","volume":"44"},"uris":["http://www.mendeley.com/documents/?uuid=3f0a78b5-d7e3-4351-bf45-8f7d0ed58c73"]}],"mendeley":{"formattedCitation":"&lt;i&gt;(5–7)&lt;/i&gt;","plainTextFormattedCitation":"(5–7)","previouslyFormattedCitation":"&lt;i&gt;(5–7)&lt;/i&gt;"},"properties":{"noteIndex":0},"schema":"https://github.com/citation-style-language/schema/raw/master/csl-citation.json"}</w:instrText>
      </w:r>
      <w:r w:rsidR="00122188" w:rsidRPr="001533EC">
        <w:rPr>
          <w:rStyle w:val="Funotenzeichen"/>
          <w:rFonts w:eastAsia="Times New Roman"/>
          <w:sz w:val="24"/>
          <w:szCs w:val="24"/>
          <w:lang w:val="en-GB" w:eastAsia="de-DE"/>
        </w:rPr>
        <w:fldChar w:fldCharType="separate"/>
      </w:r>
      <w:r w:rsidR="00607440" w:rsidRPr="001533EC">
        <w:rPr>
          <w:rFonts w:eastAsia="Times New Roman"/>
          <w:bCs/>
          <w:i/>
          <w:noProof/>
          <w:sz w:val="24"/>
          <w:szCs w:val="24"/>
          <w:lang w:eastAsia="de-DE"/>
        </w:rPr>
        <w:t>(5–7)</w:t>
      </w:r>
      <w:r w:rsidR="00122188" w:rsidRPr="001533EC">
        <w:rPr>
          <w:rStyle w:val="Funotenzeichen"/>
          <w:rFonts w:eastAsia="Times New Roman"/>
          <w:sz w:val="24"/>
          <w:szCs w:val="24"/>
          <w:lang w:val="en-GB" w:eastAsia="de-DE"/>
        </w:rPr>
        <w:fldChar w:fldCharType="end"/>
      </w:r>
      <w:r w:rsidR="00C35B7A" w:rsidRPr="001533EC">
        <w:rPr>
          <w:rFonts w:eastAsia="Times New Roman"/>
          <w:sz w:val="24"/>
          <w:szCs w:val="24"/>
          <w:lang w:val="en-GB" w:eastAsia="de-DE"/>
        </w:rPr>
        <w:t xml:space="preserve">. </w:t>
      </w:r>
      <w:r w:rsidR="00DF02A0" w:rsidRPr="001533EC">
        <w:rPr>
          <w:rFonts w:eastAsia="Times New Roman"/>
          <w:sz w:val="24"/>
          <w:szCs w:val="24"/>
          <w:lang w:val="en-GB" w:eastAsia="de-DE"/>
        </w:rPr>
        <w:t>Although the recent progress in the development of non-invasive imaging techniques for measuring brain insulin resistance has revolutionized the field</w:t>
      </w:r>
      <w:r w:rsidR="00185220">
        <w:rPr>
          <w:rFonts w:eastAsia="Times New Roman"/>
          <w:sz w:val="24"/>
          <w:szCs w:val="24"/>
          <w:lang w:val="en-GB" w:eastAsia="de-DE"/>
        </w:rPr>
        <w:t>,</w:t>
      </w:r>
      <w:r w:rsidR="00DF02A0" w:rsidRPr="001533EC">
        <w:rPr>
          <w:rFonts w:eastAsia="Times New Roman"/>
          <w:sz w:val="24"/>
          <w:szCs w:val="24"/>
          <w:lang w:val="en-GB" w:eastAsia="de-DE"/>
        </w:rPr>
        <w:t xml:space="preserve"> robust, accurate, and reliable biomarkers are still limited</w:t>
      </w:r>
      <w:r w:rsidR="00A257DF" w:rsidRPr="001533EC">
        <w:rPr>
          <w:rFonts w:eastAsia="Times New Roman"/>
          <w:sz w:val="24"/>
          <w:szCs w:val="24"/>
          <w:lang w:val="en-GB" w:eastAsia="de-DE"/>
        </w:rPr>
        <w:t xml:space="preserve"> </w:t>
      </w:r>
      <w:r w:rsidR="00122188" w:rsidRPr="001533EC">
        <w:rPr>
          <w:rStyle w:val="Funotenzeichen"/>
          <w:rFonts w:eastAsia="Times New Roman"/>
          <w:sz w:val="24"/>
          <w:szCs w:val="24"/>
          <w:lang w:val="en-GB" w:eastAsia="de-DE"/>
        </w:rPr>
        <w:fldChar w:fldCharType="begin" w:fldLock="1"/>
      </w:r>
      <w:r w:rsidR="00607440" w:rsidRPr="001533EC">
        <w:rPr>
          <w:rFonts w:eastAsia="Times New Roman"/>
          <w:sz w:val="24"/>
          <w:szCs w:val="24"/>
          <w:lang w:val="en-GB" w:eastAsia="de-DE"/>
        </w:rPr>
        <w:instrText>ADDIN CSL_CITATION {"citationItems":[{"id":"ITEM-1","itemData":{"DOI":"10.1007/s00125-024-06104-9","ISSN":"1432-0428","abstract":"Insulin exerts its actions not only on peripheral organs but is also transported into the brain where it performs distinct functions in various brain regions. This review highlights recent advancements in our understanding of insulin’s actions within the brain, with a specific emphasis on investigations in humans. It summarises current knowledge on the transport of insulin into the brain. Subsequently, it showcases robust evidence demonstrating the existence and physiological consequences of brain insulin action, while also introducing the presence of brain insulin resistance in humans. This pathophysiological condition goes along with an impaired acute modulation of peripheral metabolism in response to brain insulin action, particularly in the postprandial state. Furthermore, brain insulin resistance has been associated with long-term adiposity and an unfavourable adipose tissue distribution, thus implicating it in the pathogenesis of subgroups of obesity and (pre)diabetes that are characterised by distinct patterns of body fat distribution. Encouragingly, emerging evidence suggests that brain insulin resistance could represent a treatable entity, thereby opening up novel therapeutic avenues to improve systemic metabolism and enhance brain functions, including cognition. The review closes with an outlook towards prospective research directions aimed at further elucidating the clinical implications of brain insulin resistance. It emphasises the critical need to establish feasible diagnostic measures and effective therapeutic interventions.","author":[{"dropping-particle":"","family":"Heni","given":"Martin","non-dropping-particle":"","parse-names":false,"suffix":""}],"container-title":"Diabetologia","id":"ITEM-1","issued":{"date-parts":[["2024"]]},"title":"The insulin resistant brain: impact on whole-body metabolism and body fat distribution","type":"article-journal"},"uris":["http://www.mendeley.com/documents/?uuid=ee27ff2f-83b4-4277-83a1-357e4e6426d1"]},{"id":"ITEM-2","itemData":{"DOI":"10.1016/S2213-8587(20)30113-3","ISSN":"2213-8595 (Electronic)","PMID":"32445739","abstract":"Insulin acts on the CNS to modulate behaviour and systemic metabolism.  Disturbances in brain insulin action represent a possible link between metabolic and cognitive health. Current findings from human research suggest that boosting central insulin action in the brain modulates peripheral metabolism, enhancing whole-body insulin sensitivity and suppressing endogenous glucose production. Moreover, central insulin action curbs food intake by reducing the salience of highly palatable food cues and increasing cognitive control. Animal models show that the mesocorticolimbic circuitry is finely tuned in response to insulin, driven mainly by the dopamine system. These mechanisms are impaired in people with obesity, which might increase their risk of developing type 2 diabetes and associated diseases. Overall, current findings highlight the role of insulin action in the brain and its consequences on peripheral metabolism and cognition. Hence, improving central insulin action could represent a therapeutic option for people at an increased risk of developing metabolic and cognitive diseases.","author":[{"dropping-particle":"","family":"Kullmann","given":"Stephanie","non-dropping-particle":"","parse-names":false,"suffix":""},{"dropping-particle":"","family":"Kleinridders","given":"André","non-dropping-particle":"","parse-names":false,"suffix":""},{"dropping-particle":"","family":"Small","given":"Dana M","non-dropping-particle":"","parse-names":false,"suffix":""},{"dropping-particle":"","family":"Fritsche","given":"Andreas","non-dropping-particle":"","parse-names":false,"suffix":""},{"dropping-particle":"","family":"Häring","given":"Hans-Ulrich","non-dropping-particle":"","parse-names":false,"suffix":""},{"dropping-particle":"","family":"Preissl","given":"Hubert","non-dropping-particle":"","parse-names":false,"suffix":""},{"dropping-particle":"","family":"Heni","given":"Martin","non-dropping-particle":"","parse-names":false,"suffix":""}],"container-title":"The lancet. Diabetes &amp; endocrinology","id":"ITEM-2","issue":"6","issued":{"date-parts":[["2020","6"]]},"language":"eng","page":"524-534","publisher-place":"England","title":"Central nervous pathways of insulin action in the control of metabolism and food  intake.","type":"article-journal","volume":"8"},"uris":["http://www.mendeley.com/documents/?uuid=a7d0c581-29d9-49ff-a27f-ba1e61e2edff"]}],"mendeley":{"formattedCitation":"&lt;i&gt;(6, 8)&lt;/i&gt;","plainTextFormattedCitation":"(6, 8)","previouslyFormattedCitation":"&lt;i&gt;(6, 8)&lt;/i&gt;"},"properties":{"noteIndex":0},"schema":"https://github.com/citation-style-language/schema/raw/master/csl-citation.json"}</w:instrText>
      </w:r>
      <w:r w:rsidR="00122188" w:rsidRPr="001533EC">
        <w:rPr>
          <w:rStyle w:val="Funotenzeichen"/>
          <w:rFonts w:eastAsia="Times New Roman"/>
          <w:sz w:val="24"/>
          <w:szCs w:val="24"/>
          <w:lang w:val="en-GB" w:eastAsia="de-DE"/>
        </w:rPr>
        <w:fldChar w:fldCharType="separate"/>
      </w:r>
      <w:r w:rsidR="00607440" w:rsidRPr="001533EC">
        <w:rPr>
          <w:rFonts w:eastAsia="Times New Roman"/>
          <w:i/>
          <w:noProof/>
          <w:sz w:val="24"/>
          <w:szCs w:val="24"/>
          <w:lang w:val="en-GB" w:eastAsia="de-DE"/>
        </w:rPr>
        <w:t>(6, 8)</w:t>
      </w:r>
      <w:r w:rsidR="00122188" w:rsidRPr="001533EC">
        <w:rPr>
          <w:rStyle w:val="Funotenzeichen"/>
          <w:rFonts w:eastAsia="Times New Roman"/>
          <w:sz w:val="24"/>
          <w:szCs w:val="24"/>
          <w:lang w:val="en-GB" w:eastAsia="de-DE"/>
        </w:rPr>
        <w:fldChar w:fldCharType="end"/>
      </w:r>
      <w:r w:rsidR="00DF02A0" w:rsidRPr="001533EC">
        <w:rPr>
          <w:rFonts w:eastAsia="Times New Roman"/>
          <w:sz w:val="24"/>
          <w:szCs w:val="24"/>
          <w:lang w:val="en-GB" w:eastAsia="de-DE"/>
        </w:rPr>
        <w:t xml:space="preserve">. </w:t>
      </w:r>
      <w:r w:rsidR="00C35B7A" w:rsidRPr="001533EC">
        <w:rPr>
          <w:sz w:val="24"/>
          <w:szCs w:val="24"/>
        </w:rPr>
        <w:t xml:space="preserve">Therefore, to be able to identify people with brain insulin resistance on a broader population level, there is an urgent need for the development of non-invasive methods or biomarkers which can be easily measured, </w:t>
      </w:r>
      <w:r w:rsidR="00E9356F">
        <w:rPr>
          <w:sz w:val="24"/>
          <w:szCs w:val="24"/>
        </w:rPr>
        <w:t>for example</w:t>
      </w:r>
      <w:r w:rsidR="00C35B7A" w:rsidRPr="001533EC">
        <w:rPr>
          <w:sz w:val="24"/>
          <w:szCs w:val="24"/>
        </w:rPr>
        <w:t xml:space="preserve"> in peripheral blood</w:t>
      </w:r>
      <w:r w:rsidR="00A257DF" w:rsidRPr="001533EC">
        <w:rPr>
          <w:sz w:val="24"/>
          <w:szCs w:val="24"/>
        </w:rPr>
        <w:t xml:space="preserve"> </w:t>
      </w:r>
      <w:r w:rsidR="00122188" w:rsidRPr="001533EC">
        <w:rPr>
          <w:rStyle w:val="Funotenzeichen"/>
          <w:sz w:val="24"/>
          <w:szCs w:val="24"/>
        </w:rPr>
        <w:fldChar w:fldCharType="begin" w:fldLock="1"/>
      </w:r>
      <w:r w:rsidR="00607440" w:rsidRPr="001533EC">
        <w:rPr>
          <w:sz w:val="24"/>
          <w:szCs w:val="24"/>
        </w:rPr>
        <w:instrText>ADDIN CSL_CITATION {"citationItems":[{"id":"ITEM-1","itemData":{"DOI":"10.1007/s00125-024-06104-9","ISSN":"1432-0428","abstract":"Insulin exerts its actions not only on peripheral organs but is also transported into the brain where it performs distinct functions in various brain regions. This review highlights recent advancements in our understanding of insulin’s actions within the brain, with a specific emphasis on investigations in humans. It summarises current knowledge on the transport of insulin into the brain. Subsequently, it showcases robust evidence demonstrating the existence and physiological consequences of brain insulin action, while also introducing the presence of brain insulin resistance in humans. This pathophysiological condition goes along with an impaired acute modulation of peripheral metabolism in response to brain insulin action, particularly in the postprandial state. Furthermore, brain insulin resistance has been associated with long-term adiposity and an unfavourable adipose tissue distribution, thus implicating it in the pathogenesis of subgroups of obesity and (pre)diabetes that are characterised by distinct patterns of body fat distribution. Encouragingly, emerging evidence suggests that brain insulin resistance could represent a treatable entity, thereby opening up novel therapeutic avenues to improve systemic metabolism and enhance brain functions, including cognition. The review closes with an outlook towards prospective research directions aimed at further elucidating the clinical implications of brain insulin resistance. It emphasises the critical need to establish feasible diagnostic measures and effective therapeutic interventions.","author":[{"dropping-particle":"","family":"Heni","given":"Martin","non-dropping-particle":"","parse-names":false,"suffix":""}],"container-title":"Diabetologia","id":"ITEM-1","issued":{"date-parts":[["2024"]]},"title":"The insulin resistant brain: impact on whole-body metabolism and body fat distribution","type":"article-journal"},"uris":["http://www.mendeley.com/documents/?uuid=ee27ff2f-83b4-4277-83a1-357e4e6426d1"]}],"mendeley":{"formattedCitation":"&lt;i&gt;(8)&lt;/i&gt;","plainTextFormattedCitation":"(8)","previouslyFormattedCitation":"&lt;i&gt;(8)&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i/>
          <w:noProof/>
          <w:sz w:val="24"/>
          <w:szCs w:val="24"/>
        </w:rPr>
        <w:t>(8)</w:t>
      </w:r>
      <w:r w:rsidR="00122188" w:rsidRPr="001533EC">
        <w:rPr>
          <w:rStyle w:val="Funotenzeichen"/>
          <w:sz w:val="24"/>
          <w:szCs w:val="24"/>
        </w:rPr>
        <w:fldChar w:fldCharType="end"/>
      </w:r>
      <w:r w:rsidR="00C35B7A" w:rsidRPr="001533EC">
        <w:rPr>
          <w:sz w:val="24"/>
          <w:szCs w:val="24"/>
        </w:rPr>
        <w:t>. Few studies aimed to identify biomarkers for precise stratification of individuals with varying brain insulin sensitivity, mainly for neurodegenerative diseases</w:t>
      </w:r>
      <w:r w:rsidR="00A257DF" w:rsidRPr="001533EC">
        <w:rPr>
          <w:sz w:val="24"/>
          <w:szCs w:val="24"/>
        </w:rPr>
        <w:t xml:space="preserve"> </w:t>
      </w:r>
      <w:r w:rsidR="00122188" w:rsidRPr="001533EC">
        <w:rPr>
          <w:rStyle w:val="Funotenzeichen"/>
          <w:sz w:val="24"/>
          <w:szCs w:val="24"/>
        </w:rPr>
        <w:fldChar w:fldCharType="begin" w:fldLock="1"/>
      </w:r>
      <w:r w:rsidR="0017498C">
        <w:rPr>
          <w:sz w:val="24"/>
          <w:szCs w:val="24"/>
        </w:rPr>
        <w:instrText>ADDIN CSL_CITATION {"citationItems":[{"id":"ITEM-1","itemData":{"DOI":"https://doi.org/10.1096/fj.14-262048","ISSN":"0892-6638","abstract":"ABSTRACT Insulin resistance causes diminished glucose uptake in similar regions of the brain in Alzheimer's disease (AD) and type 2 diabetes mellitus (DM2). Brain tissue studies suggested that insulin resistance is caused by low insulin receptor signaling attributable to its abnormal association with more phospho (P)-serine-type 1 insulin receptor substrate (IRS-1) and less P-tyrosine-IRS-1. Plasma exosomes enriched for neural sources by immunoabsorption were obtained once from 26 patients with AD, 20 patients with DM2, 16 patients with frontotemporal dementia (FTD), and matched case control subjects. At 2 time points, they were obtained from 22 others when cognitively normal and 1 to 10 yr later when diagnosed with AD. Mean exosomal levels of extracted P-serine 312-IRS-1 and P-pan-tyrosine-IRS-1 by ELISA and the ratio of P-serine 312-IRS-1 to P-pan-tyrosine-IRS-1 (insulin resistance factor, R) for AD and DM2 and P-serine 312-IRS-1 and R for FTD were significantly different from those for case control subjects. The levels of R for AD were significandy higher than those for DM2 or FTD. Stepwise discriminant modeling showed correct classification of 100% of patients with AD, 97.5% of patients with DM2, and 84% of patients with FTD. In longitudinal studies of 22 patients with AD, exosomal levels of P-serine 312-IRS-1, P-pan-tyrosine-IRS-1, and R were significantly different 1 to 10 yr before and at the time of diagnosis compared with control subjects. Insulin resistance reflected in R values from this blood test is higher for patients with AD, DM2, and FTD than case control subjects; higher for patients with AD than patients with DM2 or FTD; and accurately predicts development of AD up to 10 yr prior to clinical onset.?Kapogiannis, D., Boxer, A., Schwartz, J. B., Abner, E. L., Biragyn, A., Masharani, U., Frassetto, L., Petersen, R. C., Miller, B. L., Goetzl, E. J. Dysfunctionally phosphorylated type 1 insulin receptor substrate in neural-derived blood exosomes of preclinical Alzheimer's disease. FASEB J. 29, 589-596 (2015). www.fasebj.org","author":[{"dropping-particle":"","family":"Kapogiannis","given":"Dimitrios","non-dropping-particle":"","parse-names":false,"suffix":""},{"dropping-particle":"","family":"Boxer","given":"Adam","non-dropping-particle":"","parse-names":false,"suffix":""},{"dropping-particle":"","family":"Schwartz","given":"Janice B","non-dropping-particle":"","parse-names":false,"suffix":""},{"dropping-particle":"","family":"Abner","given":"Erin L","non-dropping-particle":"","parse-names":false,"suffix":""},{"dropping-particle":"","family":"Biragyn","given":"Arya","non-dropping-particle":"","parse-names":false,"suffix":""},{"dropping-particle":"","family":"Masharani","given":"Umesh","non-dropping-particle":"","parse-names":false,"suffix":""},{"dropping-particle":"","family":"Frassetto","given":"Lynda","non-dropping-particle":"","parse-names":false,"suffix":""},{"dropping-particle":"","family":"Petersen","given":"Ronald C","non-dropping-particle":"","parse-names":false,"suffix":""},{"dropping-particle":"","family":"Miller","given":"Bruce L","non-dropping-particle":"","parse-names":false,"suffix":""},{"dropping-particle":"","family":"Goetzl","given":"Edward J","non-dropping-particle":"","parse-names":false,"suffix":""}],"container-title":"The FASEB Journal","id":"ITEM-1","issue":"2","issued":{"date-parts":[["2015","2","1"]]},"page":"589-596","publisher":"John Wiley &amp; Sons, Ltd","title":"Dysfunctionally phosphorylated type 1 insulin receptor substrate in neural-derived blood exosomes of preclinical Alzheimer's disease","type":"article-journal","volume":"29"},"uris":["http://www.mendeley.com/documents/?uuid=b6a0afec-d034-4a83-bc25-6776a19f2e3b"]},{"id":"ITEM-2","itemData":{"DOI":"10.1016/j.ebiom.2019.03.051","ISSN":"2352-3964 (Electronic)","PMID":"30922963","abstract":"BACKGROUND: Activation of brain insulin receptors modulates reward sensitivity,  inhibitory control and memory. Variations in the functioning of this mechanism likely associate with individual differences in the risk for related mental disorders (attention deficit hyperactivity disorder or ADHD, addiction, dementia), in agreement with the high co-morbidity between insulin resistance and psychopathology. These neurobiological mechanisms can be explored using genetic studies. We propose a novel, biologically informed genetic score reflecting the mesocorticolimbic and hippocampal insulin receptor-related gene networks, and investigate if it predicts endophenotypes (impulsivity, cognitive ability) in community samples of children, and psychopathology (addiction, dementia) in adults. METHODS: Lists of genes co-expressed with the insulin receptor in the mesocorticolimbic system or hippocampus were created. SNPs from these genes (post-clumping) were compiled in a polygenic score using the association betas described in a conventional GWAS (ADHD in the mesocorticolimbic score and Alzheimer in the hippocampal score). Across multiple samples (n = 4502), the biologically informed, mesocorticolimbic or hippocampal specific insulin receptor polygenic scores were calculated, and their ability to predict impulsivity, risk for addiction, cognitive performance and presence of Alzheimer's disease was investigated. FINDINGS: The biologically-informed ePRS-IR score showed better prediction of child impulsivity and cognitive performance, as well as risk for addiction and Alzheimer's disease in comparison to conventional polygenic scores for ADHD, addiction and dementia. INTERPRETATION: This novel, biologically-informed approach enables the use of genomic datasets to probe relevant biological processes involved in neural function and disorders. FUND: Toxic Stress Research network of the JPB Foundation, Jacobs Foundation (Switzerland), Sackler Foundation.","author":[{"dropping-particle":"","family":"Hari Dass","given":"Shantala A","non-dropping-particle":"","parse-names":false,"suffix":""},{"dropping-particle":"","family":"McCracken","given":"Kathryn","non-dropping-particle":"","parse-names":false,"suffix":""},{"dropping-particle":"","family":"Pokhvisneva","given":"Irina","non-dropping-particle":"","parse-names":false,"suffix":""},{"dropping-particle":"","family":"Chen","given":"Lawrence M","non-dropping-particle":"","parse-names":false,"suffix":""},{"dropping-particle":"","family":"Garg","given":"Elika","non-dropping-particle":"","parse-names":false,"suffix":""},{"dropping-particle":"","family":"Nguyen","given":"Thao T T","non-dropping-particle":"","parse-names":false,"suffix":""},{"dropping-particle":"","family":"Wang","given":"Zihan","non-dropping-particle":"","parse-names":false,"suffix":""},{"dropping-particle":"","family":"Barth","given":"Barbara","non-dropping-particle":"","parse-names":false,"suffix":""},{"dropping-particle":"","family":"Yaqubi","given":"Moein","non-dropping-particle":"","parse-names":false,"suffix":""},{"dropping-particle":"","family":"McEwen","given":"Lisa M","non-dropping-particle":"","parse-names":false,"suffix":""},{"dropping-particle":"","family":"MacIsaac","given":"Julie L","non-dropping-particle":"","parse-names":false,"suffix":""},{"dropping-particle":"","family":"Diorio","given":"Josie","non-dropping-particle":"","parse-names":false,"suffix":""},{"dropping-particle":"","family":"Kobor","given":"Michael S","non-dropping-particle":"","parse-names":false,"suffix":""},{"dropping-particle":"","family":"O'Donnell","given":"Kieran J","non-dropping-particle":"","parse-names":false,"suffix":""},{"dropping-particle":"","family":"Meaney","given":"Michael J","non-dropping-particle":"","parse-names":false,"suffix":""},{"dropping-particle":"","family":"Silveira","given":"Patricia P","non-dropping-particle":"","parse-names":false,"suffix":""}],"container-title":"EBioMedicine","id":"ITEM-2","issued":{"date-parts":[["2019","4"]]},"language":"eng","page":"188-202","publisher-place":"Netherlands","title":"A biologically-informed polygenic score identifies endophenotypes and clinical  conditions associated with the insulin receptor function on specific brain regions.","type":"article-journal","volume":"42"},"uris":["http://www.mendeley.com/documents/?uuid=759b5210-e906-301f-b5a7-bdda3991ea3d"]},{"id":"ITEM-3","itemData":{"DOI":"10.1002/hbm.23494","ISSN":"1097-0193 (Electronic)","PMID":"28105773","abstract":"Brain insulin resistance (IR), which depends on insulin-receptor-substrate-1  (IRS-1) phosphorylation, is characteristic of Alzheimer's disease (AD). Previously, we demonstrated higher pSer312-IRS-1 (ineffective insulin signaling) and lower p-panTyr-IRS-1 (effective insulin signaling) in neural origin-enriched plasma exosomes of AD patients vs. CONTROLS: Here, we hypothesized that these exosomal biomarkers associate with brain atrophy in AD. We studied 24 subjects with biomarker-supported probable AD (low CSF Aβ(42) ). Exosomes were isolated from plasma, enriched for neural origin using immunoprecipitation for L1CAM, and measured for pSer(312) - and p-panTyr-IRS-1 phosphotypes. MPRAGE images were segmented by brain tissue type and voxel-based morphometry (VBM) analysis for gray matter against pSer(312) - and p-panTyr-IRS-1 was conducted. Given the regionally variable brain expression of IRS-1, we used the Allen Brain Atlas to make spatial comparisons between VBM results and IRS-1 expression. Brain volume was positively associated with P-panTyr-IRS-1 and negatively associated with pSer(312) -IRS-1 in a strikingly similar regional pattern (bilateral parietal-occipital junction, R middle temporal gyrus). This volumetric association pattern was spatially correlated with Allen Human Brain atlas normal brain IRS-1 expression. Exosomal biomarkers of brain IR are thus associated with atrophy in AD as could be expected by their pathophysiological roles and do so in a pattern that reflects regional IRS-1 expression. Furthermore, neural-origin plasma exosomes may recover molecular signals from specific brain regions. Hum Brain Mapp 38:1933-1940, 2017. © 2017 Wiley Periodicals, Inc.","author":[{"dropping-particle":"","family":"Mullins","given":"Roger J","non-dropping-particle":"","parse-names":false,"suffix":""},{"dropping-particle":"","family":"Mustapic","given":"Maja","non-dropping-particle":"","parse-names":false,"suffix":""},{"dropping-particle":"","family":"Goetzl","given":"Edward J","non-dropping-particle":"","parse-names":false,"suffix":""},{"dropping-particle":"","family":"Kapogiannis","given":"Dimitrios","non-dropping-particle":"","parse-names":false,"suffix":""}],"container-title":"Human brain mapping","id":"ITEM-3","issue":"4","issued":{"date-parts":[["2017","4"]]},"language":"eng","page":"1933-1940","publisher-place":"United States","title":"Exosomal biomarkers of brain insulin resistance associated with regional atrophy  in Alzheimer's disease.","type":"article-journal","volume":"38"},"uris":["http://www.mendeley.com/documents/?uuid=a1cdfcb2-5db4-437c-a55e-e243e91d7d7c"]},{"id":"ITEM-4","itemData":{"DOI":"10.1186/s13148-023-01589-4","ISSN":"1868-7083 (Electronic)","PMID":"37891690","abstract":"BACKGROUND: Insulin resistance (IR) is a major risk factor for Alzheimer's  disease (AD) dementia. The mechanisms by which IR predisposes to AD are not well-understood. Epigenetic studies may help identify molecular signatures of IR associated with AD, thus improving our understanding of the biological and regulatory mechanisms linking IR and AD. METHODS: We conducted an epigenome-wide association study of IR, quantified using the homeostatic model assessment of IR (HOMA-IR) and adjusted for body mass index, in 3,167 participants from the Framingham Heart Study (FHS) without type 2 diabetes at the time of blood draw used for methylation measurement. We identified DNA methylation markers associated with IR at the genome-wide level accounting for multiple testing (P &lt; 1.1 × 10(-7)) and evaluated their association with neurological traits in participants from the FHS (N = 3040) and the Religious Orders Study/Memory and Aging Project (ROSMAP, N = 707). DNA methylation profiles were measured in blood (FHS) or dorsolateral prefrontal cortex (ROSMAP) using the Illumina HumanMethylation450 BeadChip. Linear regressions (ROSMAP) or mixed-effects models accounting for familial relatedness (FHS) adjusted for age, sex, cohort, self-reported race, batch, and cell type proportions were used to assess associations between DNA methylation and neurological traits accounting for multiple testing. RESULTS: We confirmed the strong association of blood DNA methylation with IR at three loci (cg17901584-DHCR24, cg17058475-CPT1A, cg00574958-CPT1A, and cg06500161-ABCG1). In FHS, higher levels of blood DNA methylation at cg00574958 and cg17058475 were both associated with lower IR (P = 2.4 × 10(-11) and P = 9.0 × 10(-8)), larger total brain volumes (P = 0.03 and P = 9.7 × 10(-4)), and smaller log lateral ventricular volumes (P = 0.07 and P = 0.03). In ROSMAP, higher levels of brain DNA methylation at the same two CPT1A markers were associated with greater risk of cognitive impairment (P = 0.005 and P = 0.02) and higher AD-related indices (CERAD score: P = 5 × 10(-4) and 0.001; Braak stage: P = 0.004 and P = 0.01). CONCLUSIONS: Our results suggest potentially distinct epigenetic regulatory mechanisms between peripheral blood and dorsolateral prefrontal cortex tissues underlying IR and AD at CPT1A locus.","author":[{"dropping-particle":"","family":"Sarnowski","given":"Chloé","non-dropping-particle":"","parse-names":false,"suffix":""},{"dropping-particle":"","family":"Huan","given":"Tianxiao","non-dropping-particle":"","parse-names":false,"suffix":""},{"dropping-particle":"","family":"Ma","given":"Yiyi","non-dropping-particle":"","parse-names":false,"suffix":""},{"dropping-particle":"","family":"Joehanes","given":"Roby","non-dropping-particle":"","parse-names":false,"suffix":""},{"dropping-particle":"","family":"Beiser","given":"Alexa","non-dropping-particle":"","parse-names":false,"suffix":""},{"dropping-particle":"","family":"DeCarli","given":"Charles S","non-dropping-particle":"","parse-names":false,"suffix":""},{"dropping-particle":"","family":"Heard-Costa","given":"Nancy L","non-dropping-particle":"","parse-names":false,"suffix":""},{"dropping-particle":"","family":"Levy","given":"Daniel","non-dropping-particle":"","parse-names":false,"suffix":""},{"dropping-particle":"","family":"Lin","given":"Honghuang","non-dropping-particle":"","parse-names":false,"suffix":""},{"dropping-particle":"","family":"Liu","given":"Ching-Ti","non-dropping-particle":"","parse-names":false,"suffix":""},{"dropping-particle":"","family":"Liu","given":"Chunyu","non-dropping-particle":"","parse-names":false,"suffix":""},{"dropping-particle":"","family":"Meigs","given":"James B","non-dropping-particle":"","parse-names":false,"suffix":""},{"dropping-particle":"","family":"Satizabal","given":"Claudia L","non-dropping-particle":"","parse-names":false,"suffix":""},{"dropping-particle":"","family":"Florez","given":"Jose C","non-dropping-particle":"","parse-names":false,"suffix":""},{"dropping-particle":"","family":"Hivert","given":"Marie-France","non-dropping-particle":"","parse-names":false,"suffix":""},{"dropping-particle":"","family":"Dupuis","given":"Josée","non-dropping-particle":"","parse-names":false,"suffix":""},{"dropping-particle":"","family":"Jager","given":"Philip L","non-dropping-particle":"De","parse-names":false,"suffix":""},{"dropping-particle":"","family":"Bennett","given":"David A","non-dropping-particle":"","parse-names":false,"suffix":""},{"dropping-particle":"","family":"Seshadri","given":"Sudha","non-dropping-particle":"","parse-names":false,"suffix":""},{"dropping-particle":"","family":"Morrison","given":"Alanna C","non-dropping-particle":"","parse-names":false,"suffix":""}],"container-title":"Clinical epigenetics","id":"ITEM-4","issue":"1","issued":{"date-parts":[["2023","10"]]},"language":"eng","page":"173","publisher-place":"Germany","title":"Multi-tissue epigenetic analysis identifies distinct associations underlying  insulin resistance and Alzheimer's disease at CPT1A locus.","type":"article-journal","volume":"15"},"uris":["http://www.mendeley.com/documents/?uuid=ea83519c-b557-45b6-88ff-5f38625bd958"]},{"id":"ITEM-5","itemData":{"DOI":"10.18632/aging.102196","ISSN":"1945-4589 (Electronic)","PMID":"31449493","abstract":"Type 2 diabetes (T2D) can result in a number of comorbidities involving various  organs including heart, eye, kidney and even the brain. However, little is known about the molecular basis of T2D associated brain disorders. In this study, we performed a comprehensive transcriptomic analysis in a total of 304 T2D samples and 608 matched control samples from thirteen distinct brain regions. We observed prominent difference among transcriptomic profiles of diverse brain regions in T2D. The most striking change was found in caudate with thousands of T2D-associated genes identified, followed by hippocampus, while nearly no transcriptomic change was observed in other brain regions. Functional analysis of T2D-associated genes revealed impaired synaptic functions and an association with neurodegenerative diseases. Co-expression analysis of caudate transcriptomic profiles unveiled a core regional specific module that was disorganized in T2D. Sub-modules consisting of regional markers were enriched in T2D risk single nucleotide polymorphisms (SNPs) and implied a causal link with T2D. Hub genes of this module include NSF and ADD2, the former of which has been associated with T2D and neurogenerative diseases. Thus, our work provides useful information for further studies in T2D associated brain disorders.","author":[{"dropping-particle":"","family":"Zhou","given":"Zhe","non-dropping-particle":"","parse-names":false,"suffix":""},{"dropping-particle":"","family":"Zhu","given":"Yizhang","non-dropping-particle":"","parse-names":false,"suffix":""},{"dropping-particle":"","family":"Liu","given":"Yang","non-dropping-particle":"","parse-names":false,"suffix":""},{"dropping-particle":"","family":"Yin","given":"Yuxin","non-dropping-particle":"","parse-names":false,"suffix":""}],"container-title":"Aging","id":"ITEM-5","issue":"16","issued":{"date-parts":[["2019","8"]]},"language":"eng","page":"6398-6421","publisher-place":"United States","title":"Comprehensive transcriptomic analysis indicates brain regional specific  alterations in type 2 diabetes.","type":"article-journal","volume":"11"},"uris":["http://www.mendeley.com/documents/?uuid=20d1500c-53da-313d-900c-00d85cd4afcd"]}],"mendeley":{"formattedCitation":"&lt;i&gt;(9–13)&lt;/i&gt;","plainTextFormattedCitation":"(9–13)","previouslyFormattedCitation":"&lt;i&gt;(9–13)&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bCs/>
          <w:i/>
          <w:noProof/>
          <w:sz w:val="24"/>
          <w:szCs w:val="24"/>
        </w:rPr>
        <w:t>(9–13)</w:t>
      </w:r>
      <w:r w:rsidR="00122188" w:rsidRPr="001533EC">
        <w:rPr>
          <w:rStyle w:val="Funotenzeichen"/>
          <w:sz w:val="24"/>
          <w:szCs w:val="24"/>
        </w:rPr>
        <w:fldChar w:fldCharType="end"/>
      </w:r>
      <w:r w:rsidR="00C35B7A" w:rsidRPr="001533EC">
        <w:rPr>
          <w:sz w:val="24"/>
          <w:szCs w:val="24"/>
        </w:rPr>
        <w:t xml:space="preserve">. So far, people living with T2D have not been studied in this regard. Recently, we </w:t>
      </w:r>
      <w:r w:rsidR="00394225">
        <w:rPr>
          <w:sz w:val="24"/>
          <w:szCs w:val="24"/>
        </w:rPr>
        <w:t>showed</w:t>
      </w:r>
      <w:r w:rsidR="00C35B7A" w:rsidRPr="001533EC">
        <w:rPr>
          <w:sz w:val="24"/>
          <w:szCs w:val="24"/>
        </w:rPr>
        <w:t xml:space="preserve"> that p</w:t>
      </w:r>
      <w:proofErr w:type="spellStart"/>
      <w:r w:rsidR="00C35B7A" w:rsidRPr="001533EC">
        <w:rPr>
          <w:sz w:val="24"/>
          <w:szCs w:val="24"/>
          <w:lang w:val="en-GB"/>
        </w:rPr>
        <w:t>ersons</w:t>
      </w:r>
      <w:proofErr w:type="spellEnd"/>
      <w:r w:rsidR="00C35B7A" w:rsidRPr="001533EC">
        <w:rPr>
          <w:sz w:val="24"/>
          <w:szCs w:val="24"/>
          <w:lang w:val="en-GB"/>
        </w:rPr>
        <w:t xml:space="preserve"> with brain insulin resistance lose less body fat during a lifestyle intervention</w:t>
      </w:r>
      <w:r w:rsidR="00A257DF" w:rsidRPr="001533EC">
        <w:rPr>
          <w:sz w:val="24"/>
          <w:szCs w:val="24"/>
          <w:lang w:val="en-GB"/>
        </w:rPr>
        <w:t xml:space="preserve"> </w:t>
      </w:r>
      <w:r w:rsidR="00122188" w:rsidRPr="001533EC">
        <w:rPr>
          <w:rStyle w:val="Funotenzeichen"/>
          <w:sz w:val="24"/>
          <w:szCs w:val="24"/>
          <w:lang w:val="en-GB"/>
        </w:rPr>
        <w:fldChar w:fldCharType="begin" w:fldLock="1"/>
      </w:r>
      <w:r w:rsidR="0017498C">
        <w:rPr>
          <w:sz w:val="24"/>
          <w:szCs w:val="24"/>
          <w:lang w:val="en-GB"/>
        </w:rPr>
        <w:instrText>ADDIN CSL_CITATION {"citationItems":[{"id":"ITEM-1","itemData":{"DOI":"10.1038/s41467-020-15686-y","ISSN":"20411723","PMID":"32296068","abstract":"Brain insulin action regulates eating behavior and energy fluxes throughout the body. However, numerous people are brain insulin resistant. How brain insulin responsiveness affects long-term weight and body fat composition in humans is still unknown. Here we show that high brain insulin sensitivity before lifestyle intervention associates with a more pronounced reduction in total and visceral fat during the program. High brain insulin sensitivity is also associated with less regain of fat mass during a nine year follow-up. Cross-sectionally, strong insulin responsiveness of the hypothalamus associates with less visceral fat, while subcutaneous fat is unrelated. Our results demonstrate that high brain insulin sensitivity is linked to weight loss during lifestyle intervention and associates with a favorable body fat distribution. Since visceral fat is strongly linked to diabetes, cardiovascular risk and cancer, these findings have implications beyond metabolic diseases and indicate the necessity of strategies to resolve brain insulin resistance.","author":[{"dropping-particle":"","family":"Kullmann","given":"Stephanie","non-dropping-particle":"","parse-names":false,"suffix":""},{"dropping-particle":"","family":"Valenta","given":"Vera","non-dropping-particle":"","parse-names":false,"suffix":""},{"dropping-particle":"","family":"Wagner","given":"Robert","non-dropping-particle":"","parse-names":false,"suffix":""},{"dropping-particle":"","family":"Tschritter","given":"Otto","non-dropping-particle":"","parse-names":false,"suffix":""},{"dropping-particle":"","family":"Machann","given":"Jürgen","non-dropping-particle":"","parse-names":false,"suffix":""},{"dropping-particle":"","family":"Häring","given":"Hans Ulrich","non-dropping-particle":"","parse-names":false,"suffix":""},{"dropping-particle":"","family":"Preissl","given":"Hubert","non-dropping-particle":"","parse-names":false,"suffix":""},{"dropping-particle":"","family":"Fritsche","given":"Andreas","non-dropping-particle":"","parse-names":false,"suffix":""},{"dropping-particle":"","family":"Heni","given":"Martin","non-dropping-particle":"","parse-names":false,"suffix":""}],"container-title":"Nature Communications","id":"ITEM-1","issue":"1","issued":{"date-parts":[["2020","12","1"]]},"publisher":"Nature Research","title":"Brain insulin sensitivity is linked to adiposity and body fat distribution","type":"article-journal","volume":"11"},"uris":["http://www.mendeley.com/documents/?uuid=70cb2476-8915-34c7-b417-ba5695f1b3f6"]}],"mendeley":{"formattedCitation":"&lt;i&gt;(14)&lt;/i&gt;","plainTextFormattedCitation":"(14)","previouslyFormattedCitation":"&lt;i&gt;(14)&lt;/i&gt;"},"properties":{"noteIndex":0},"schema":"https://github.com/citation-style-language/schema/raw/master/csl-citation.json"}</w:instrText>
      </w:r>
      <w:r w:rsidR="00122188" w:rsidRPr="001533EC">
        <w:rPr>
          <w:rStyle w:val="Funotenzeichen"/>
          <w:sz w:val="24"/>
          <w:szCs w:val="24"/>
          <w:lang w:val="en-GB"/>
        </w:rPr>
        <w:fldChar w:fldCharType="separate"/>
      </w:r>
      <w:r w:rsidR="00607440" w:rsidRPr="001533EC">
        <w:rPr>
          <w:bCs/>
          <w:i/>
          <w:noProof/>
          <w:sz w:val="24"/>
          <w:szCs w:val="24"/>
        </w:rPr>
        <w:t>(14)</w:t>
      </w:r>
      <w:r w:rsidR="00122188" w:rsidRPr="001533EC">
        <w:rPr>
          <w:rStyle w:val="Funotenzeichen"/>
          <w:sz w:val="24"/>
          <w:szCs w:val="24"/>
          <w:lang w:val="en-GB"/>
        </w:rPr>
        <w:fldChar w:fldCharType="end"/>
      </w:r>
      <w:r w:rsidR="00C35B7A" w:rsidRPr="001533EC">
        <w:rPr>
          <w:sz w:val="24"/>
          <w:szCs w:val="24"/>
          <w:lang w:val="en-GB"/>
        </w:rPr>
        <w:t>, experience more food craving and hunger, and accumulate more visceral adipose tissue</w:t>
      </w:r>
      <w:r w:rsidR="00A257DF" w:rsidRPr="001533EC">
        <w:rPr>
          <w:sz w:val="24"/>
          <w:szCs w:val="24"/>
          <w:lang w:val="en-GB"/>
        </w:rPr>
        <w:t xml:space="preserve"> </w:t>
      </w:r>
      <w:r w:rsidR="00122188" w:rsidRPr="001533EC">
        <w:rPr>
          <w:rStyle w:val="Funotenzeichen"/>
          <w:sz w:val="24"/>
          <w:szCs w:val="24"/>
          <w:lang w:val="en-GB"/>
        </w:rPr>
        <w:fldChar w:fldCharType="begin" w:fldLock="1"/>
      </w:r>
      <w:r w:rsidR="00607440" w:rsidRPr="001533EC">
        <w:rPr>
          <w:sz w:val="24"/>
          <w:szCs w:val="24"/>
          <w:lang w:val="en-GB"/>
        </w:rPr>
        <w:instrText>ADDIN CSL_CITATION {"citationItems":[{"id":"ITEM-1","itemData":{"DOI":"10.1016/S2213-8587(20)30113-3","ISSN":"2213-8595 (Electronic)","PMID":"32445739","abstract":"Insulin acts on the CNS to modulate behaviour and systemic metabolism.  Disturbances in brain insulin action represent a possible link between metabolic and cognitive health. Current findings from human research suggest that boosting central insulin action in the brain modulates peripheral metabolism, enhancing whole-body insulin sensitivity and suppressing endogenous glucose production. Moreover, central insulin action curbs food intake by reducing the salience of highly palatable food cues and increasing cognitive control. Animal models show that the mesocorticolimbic circuitry is finely tuned in response to insulin, driven mainly by the dopamine system. These mechanisms are impaired in people with obesity, which might increase their risk of developing type 2 diabetes and associated diseases. Overall, current findings highlight the role of insulin action in the brain and its consequences on peripheral metabolism and cognition. Hence, improving central insulin action could represent a therapeutic option for people at an increased risk of developing metabolic and cognitive diseases.","author":[{"dropping-particle":"","family":"Kullmann","given":"Stephanie","non-dropping-particle":"","parse-names":false,"suffix":""},{"dropping-particle":"","family":"Kleinridders","given":"André","non-dropping-particle":"","parse-names":false,"suffix":""},{"dropping-particle":"","family":"Small","given":"Dana M","non-dropping-particle":"","parse-names":false,"suffix":""},{"dropping-particle":"","family":"Fritsche","given":"Andreas","non-dropping-particle":"","parse-names":false,"suffix":""},{"dropping-particle":"","family":"Häring","given":"Hans-Ulrich","non-dropping-particle":"","parse-names":false,"suffix":""},{"dropping-particle":"","family":"Preissl","given":"Hubert","non-dropping-particle":"","parse-names":false,"suffix":""},{"dropping-particle":"","family":"Heni","given":"Martin","non-dropping-particle":"","parse-names":false,"suffix":""}],"container-title":"The lancet. Diabetes &amp; endocrinology","id":"ITEM-1","issue":"6","issued":{"date-parts":[["2020","6"]]},"language":"eng","page":"524-534","publisher-place":"England","title":"Central nervous pathways of insulin action in the control of metabolism and food  intake.","type":"article-journal","volume":"8"},"uris":["http://www.mendeley.com/documents/?uuid=a7d0c581-29d9-49ff-a27f-ba1e61e2edff"]}],"mendeley":{"formattedCitation":"&lt;i&gt;(6)&lt;/i&gt;","plainTextFormattedCitation":"(6)","previouslyFormattedCitation":"&lt;i&gt;(6)&lt;/i&gt;"},"properties":{"noteIndex":0},"schema":"https://github.com/citation-style-language/schema/raw/master/csl-citation.json"}</w:instrText>
      </w:r>
      <w:r w:rsidR="00122188" w:rsidRPr="001533EC">
        <w:rPr>
          <w:rStyle w:val="Funotenzeichen"/>
          <w:sz w:val="24"/>
          <w:szCs w:val="24"/>
          <w:lang w:val="en-GB"/>
        </w:rPr>
        <w:fldChar w:fldCharType="separate"/>
      </w:r>
      <w:r w:rsidR="00607440" w:rsidRPr="001533EC">
        <w:rPr>
          <w:i/>
          <w:noProof/>
          <w:sz w:val="24"/>
          <w:szCs w:val="24"/>
          <w:lang w:val="en-GB"/>
        </w:rPr>
        <w:t>(6)</w:t>
      </w:r>
      <w:r w:rsidR="00122188" w:rsidRPr="001533EC">
        <w:rPr>
          <w:rStyle w:val="Funotenzeichen"/>
          <w:sz w:val="24"/>
          <w:szCs w:val="24"/>
          <w:lang w:val="en-GB"/>
        </w:rPr>
        <w:fldChar w:fldCharType="end"/>
      </w:r>
      <w:r w:rsidR="00C35B7A" w:rsidRPr="001533EC">
        <w:rPr>
          <w:sz w:val="24"/>
          <w:szCs w:val="24"/>
          <w:lang w:val="en-GB"/>
        </w:rPr>
        <w:t xml:space="preserve">, which increases their risk </w:t>
      </w:r>
      <w:r w:rsidR="00B217C3">
        <w:rPr>
          <w:sz w:val="24"/>
          <w:szCs w:val="24"/>
          <w:lang w:val="en-GB"/>
        </w:rPr>
        <w:t>of developing</w:t>
      </w:r>
      <w:r w:rsidR="00C35B7A" w:rsidRPr="001533EC">
        <w:rPr>
          <w:sz w:val="24"/>
          <w:szCs w:val="24"/>
          <w:lang w:val="en-GB"/>
        </w:rPr>
        <w:t xml:space="preserve"> T2D.</w:t>
      </w:r>
      <w:r w:rsidR="00C35B7A" w:rsidRPr="001533EC" w:rsidDel="00393584">
        <w:rPr>
          <w:sz w:val="24"/>
          <w:szCs w:val="24"/>
        </w:rPr>
        <w:t xml:space="preserve"> </w:t>
      </w:r>
      <w:r w:rsidR="00C35B7A" w:rsidRPr="001533EC">
        <w:rPr>
          <w:sz w:val="24"/>
          <w:szCs w:val="24"/>
        </w:rPr>
        <w:t xml:space="preserve">Restoring hypothalamic </w:t>
      </w:r>
      <w:r w:rsidR="00C35B7A" w:rsidRPr="001533EC">
        <w:rPr>
          <w:sz w:val="24"/>
          <w:szCs w:val="24"/>
        </w:rPr>
        <w:lastRenderedPageBreak/>
        <w:t>insulin action, on the other hand, by pharmacological interventions was linked to improved glucose metabolism and decreased liver fat</w:t>
      </w:r>
      <w:r w:rsidR="00A257DF" w:rsidRPr="001533EC">
        <w:rPr>
          <w:sz w:val="24"/>
          <w:szCs w:val="24"/>
        </w:rPr>
        <w:t xml:space="preserve"> </w:t>
      </w:r>
      <w:r w:rsidR="00122188" w:rsidRPr="001533EC">
        <w:rPr>
          <w:rStyle w:val="Funotenzeichen"/>
          <w:sz w:val="24"/>
          <w:szCs w:val="24"/>
        </w:rPr>
        <w:fldChar w:fldCharType="begin" w:fldLock="1"/>
      </w:r>
      <w:r w:rsidR="00607440" w:rsidRPr="001533EC">
        <w:rPr>
          <w:sz w:val="24"/>
          <w:szCs w:val="24"/>
        </w:rPr>
        <w:instrText>ADDIN CSL_CITATION {"citationItems":[{"id":"ITEM-1","itemData":{"DOI":"10.2337/dc21-1136","ISSN":"1935-5548 (Electronic)","PMID":"34716213","abstract":"OBJECTIVE: Insulin action in the human brain reduces food intake, improves  whole-body insulin sensitivity, and modulates body fat mass and its distribution. Obesity and type 2 diabetes are often associated with brain insulin resistance, resulting in impaired brain-derived modulation of peripheral metabolism. So far, no pharmacological treatment for brain insulin resistance has been established. Since sodium-glucose cotransporter 2 (SGLT2) inhibitors lower glucose levels and modulate energy metabolism, we hypothesized that SGLT2 inhibition may be a pharmacological approach to reverse brain insulin resistance. RESEARCH DESIGN AND METHODS: In this randomized, double-blind, placebo-controlled clinical trial, 40 patients (mean ± SD; age 60 ± 9 years; BMI 31.5 ± 3.8 kg/m2) with prediabetes were randomized to receive 25 mg empagliflozin every day or placebo. Before and after 8 weeks of treatment, brain insulin sensitivity was assessed by functional MRI combined with intranasal administration of insulin to the brain. RESULTS: We identified a significant interaction between time and treatment in the hypothalamic response to insulin. Post hoc analyses revealed that only empagliflozin-treated patients experienced increased hypothalamic insulin responsiveness. Hypothalamic insulin action significantly mediated the empagliflozin-induced decrease in fasting glucose and liver fat. CONCLUSIONS: Our results corroborate insulin resistance of the hypothalamus in humans with prediabetes. Treatment with empagliflozin for 8 weeks was able to restore hypothalamic insulin sensitivity, a favorable response that could contribute to the beneficial effects of SGLT2 inhibitors. Our findings position SGLT2 inhibition as the first pharmacological approach to reverse brain insulin resistance, with potential benefits for adiposity and whole-body metabolism.","author":[{"dropping-particle":"","family":"Kullmann","given":"Stephanie","non-dropping-particle":"","parse-names":false,"suffix":""},{"dropping-particle":"","family":"Hummel","given":"Julia","non-dropping-particle":"","parse-names":false,"suffix":""},{"dropping-particle":"","family":"Wagner","given":"Robert","non-dropping-particle":"","parse-names":false,"suffix":""},{"dropping-particle":"","family":"Dannecker","given":"Corinna","non-dropping-particle":"","parse-names":false,"suffix":""},{"dropping-particle":"","family":"Vosseler","given":"Andreas","non-dropping-particle":"","parse-names":false,"suffix":""},{"dropping-particle":"","family":"Fritsche","given":"Louise","non-dropping-particle":"","parse-names":false,"suffix":""},{"dropping-particle":"","family":"Veit","given":"Ralf","non-dropping-particle":"","parse-names":false,"suffix":""},{"dropping-particle":"","family":"Kantartzis","given":"Konstantinos","non-dropping-particle":"","parse-names":false,"suffix":""},{"dropping-particle":"","family":"Machann","given":"Jürgen","non-dropping-particle":"","parse-names":false,"suffix":""},{"dropping-particle":"","family":"Birkenfeld","given":"Andreas L","non-dropping-particle":"","parse-names":false,"suffix":""},{"dropping-particle":"","family":"Stefan","given":"Norbert","non-dropping-particle":"","parse-names":false,"suffix":""},{"dropping-particle":"","family":"Häring","given":"Hans-Ulrich","non-dropping-particle":"","parse-names":false,"suffix":""},{"dropping-particle":"","family":"Peter","given":"Andreas","non-dropping-particle":"","parse-names":false,"suffix":""},{"dropping-particle":"","family":"Preissl","given":"Hubert","non-dropping-particle":"","parse-names":false,"suffix":""},{"dropping-particle":"","family":"Fritsche","given":"Andreas","non-dropping-particle":"","parse-names":false,"suffix":""},{"dropping-particle":"","family":"Heni","given":"Martin","non-dropping-particle":"","parse-names":false,"suffix":""}],"container-title":"Diabetes care","id":"ITEM-1","issue":"2","issued":{"date-parts":[["2022","2"]]},"language":"eng","page":"398-406","publisher-place":"United States","title":"Empagliflozin Improves Insulin Sensitivity of the Hypothalamus in Humans With  Prediabetes: A Randomized, Double-Blind, Placebo-Controlled, Phase 2 Trial.","type":"article-journal","volume":"45"},"uris":["http://www.mendeley.com/documents/?uuid=202c73c6-0316-4f57-b1c8-a3960af651d6"]}],"mendeley":{"formattedCitation":"&lt;i&gt;(15)&lt;/i&gt;","plainTextFormattedCitation":"(15)","previouslyFormattedCitation":"&lt;i&gt;(15)&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bCs/>
          <w:i/>
          <w:noProof/>
          <w:sz w:val="24"/>
          <w:szCs w:val="24"/>
        </w:rPr>
        <w:t>(15)</w:t>
      </w:r>
      <w:r w:rsidR="00122188" w:rsidRPr="001533EC">
        <w:rPr>
          <w:rStyle w:val="Funotenzeichen"/>
          <w:sz w:val="24"/>
          <w:szCs w:val="24"/>
        </w:rPr>
        <w:fldChar w:fldCharType="end"/>
      </w:r>
      <w:r w:rsidR="00C35B7A" w:rsidRPr="001533EC">
        <w:rPr>
          <w:sz w:val="24"/>
          <w:szCs w:val="24"/>
        </w:rPr>
        <w:t>. It is thus important to appreciate that early intensive interventions, both lifestyle-related and pharmacological, need to be tailored based on the current status of brain insulin responsiveness of these individuals for better outcomes. In addition, the knowledge on the status of brain insulin resistance could help to identify patients at higher risk of developing T2D and neurocognitive decline in the future.</w:t>
      </w:r>
    </w:p>
    <w:p w14:paraId="4B5C16F8" w14:textId="4E7DB1B1" w:rsidR="00C35B7A" w:rsidRPr="001533EC" w:rsidRDefault="00C35B7A" w:rsidP="00C35B7A">
      <w:pPr>
        <w:spacing w:line="480" w:lineRule="auto"/>
        <w:jc w:val="both"/>
        <w:rPr>
          <w:sz w:val="24"/>
          <w:szCs w:val="24"/>
        </w:rPr>
      </w:pPr>
      <w:r w:rsidRPr="001533EC">
        <w:rPr>
          <w:sz w:val="24"/>
          <w:szCs w:val="24"/>
        </w:rPr>
        <w:t xml:space="preserve">Numerous studies have identified </w:t>
      </w:r>
      <w:bookmarkStart w:id="2" w:name="_Hlk173499538"/>
      <w:r w:rsidRPr="001533EC">
        <w:rPr>
          <w:sz w:val="24"/>
          <w:szCs w:val="24"/>
        </w:rPr>
        <w:t xml:space="preserve">genetic and epigenetic markers associated with obesity and T2D or the risk of developing T2D </w:t>
      </w:r>
      <w:bookmarkEnd w:id="2"/>
      <w:r w:rsidRPr="001533EC">
        <w:rPr>
          <w:sz w:val="24"/>
          <w:szCs w:val="24"/>
        </w:rPr>
        <w:t>and its related complications</w:t>
      </w:r>
      <w:r w:rsidR="009A06BF" w:rsidRPr="001533EC">
        <w:rPr>
          <w:sz w:val="24"/>
          <w:szCs w:val="24"/>
        </w:rPr>
        <w:t xml:space="preserve"> </w:t>
      </w:r>
      <w:r w:rsidR="00122188" w:rsidRPr="001533EC">
        <w:rPr>
          <w:rStyle w:val="Funotenzeichen"/>
          <w:sz w:val="24"/>
          <w:szCs w:val="24"/>
        </w:rPr>
        <w:fldChar w:fldCharType="begin" w:fldLock="1"/>
      </w:r>
      <w:r w:rsidR="00607440" w:rsidRPr="001533EC">
        <w:rPr>
          <w:sz w:val="24"/>
          <w:szCs w:val="24"/>
        </w:rPr>
        <w:instrText>ADDIN CSL_CITATION {"citationItems":[{"id":"ITEM-1","itemData":{"DOI":"10.1016/j.cmet.2019.03.009","ISSN":"1550-4131","author":[{"dropping-particle":"","family":"Ling","given":"Charlotte","non-dropping-particle":"","parse-names":false,"suffix":""},{"dropping-particle":"","family":"Rönn","given":"Tina","non-dropping-particle":"","parse-names":false,"suffix":""}],"container-title":"Cell Metabolism","id":"ITEM-1","issue":"5","issued":{"date-parts":[["2019","5"]]},"page":"1028-1044","publisher":"Elsevier","title":"Epigenetics in Human Obesity and Type 2 Diabetes","type":"article-journal","volume":"29"},"uris":["http://www.mendeley.com/documents/?uuid=b5547aed-1a7b-48de-9977-1ae651a4bf32"]}],"mendeley":{"formattedCitation":"&lt;i&gt;(16)&lt;/i&gt;","plainTextFormattedCitation":"(16)","previouslyFormattedCitation":"&lt;i&gt;(16)&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bCs/>
          <w:i/>
          <w:noProof/>
          <w:sz w:val="24"/>
          <w:szCs w:val="24"/>
        </w:rPr>
        <w:t>(16)</w:t>
      </w:r>
      <w:r w:rsidR="00122188" w:rsidRPr="001533EC">
        <w:rPr>
          <w:rStyle w:val="Funotenzeichen"/>
          <w:sz w:val="24"/>
          <w:szCs w:val="24"/>
        </w:rPr>
        <w:fldChar w:fldCharType="end"/>
      </w:r>
      <w:r w:rsidRPr="001533EC">
        <w:rPr>
          <w:sz w:val="24"/>
          <w:szCs w:val="24"/>
        </w:rPr>
        <w:t xml:space="preserve">. However, so far none of these studies have focused on brain insulin resistance independently of T2D or neurodegenerative disorders. This is also related to the fact that there are only few centers worldwide that </w:t>
      </w:r>
      <w:r w:rsidR="008878B2" w:rsidRPr="001533EC">
        <w:rPr>
          <w:sz w:val="24"/>
          <w:szCs w:val="24"/>
        </w:rPr>
        <w:t>have the technic</w:t>
      </w:r>
      <w:r w:rsidRPr="001533EC">
        <w:rPr>
          <w:sz w:val="24"/>
          <w:szCs w:val="24"/>
        </w:rPr>
        <w:t>al prerequisite and expertise to determine this trait. Therefore,</w:t>
      </w:r>
      <w:r w:rsidR="000048EC" w:rsidRPr="001533EC">
        <w:rPr>
          <w:sz w:val="24"/>
          <w:szCs w:val="24"/>
        </w:rPr>
        <w:t xml:space="preserve"> </w:t>
      </w:r>
      <w:r w:rsidRPr="001533EC">
        <w:rPr>
          <w:sz w:val="24"/>
          <w:szCs w:val="24"/>
        </w:rPr>
        <w:t xml:space="preserve">capturing the epigenetic changes, particularly DNA methylation in peripheral blood cells might provide biomarkers for stratification of individuals based on brain insulin resistance. This is also of particular importance as recently changes in DNA methylation status have been suggested to </w:t>
      </w:r>
      <w:r w:rsidR="00DF4B85">
        <w:rPr>
          <w:sz w:val="24"/>
          <w:szCs w:val="24"/>
        </w:rPr>
        <w:t>mediate</w:t>
      </w:r>
      <w:r w:rsidRPr="001533EC">
        <w:rPr>
          <w:sz w:val="24"/>
          <w:szCs w:val="24"/>
        </w:rPr>
        <w:t xml:space="preserve"> metabolic memory</w:t>
      </w:r>
      <w:r w:rsidR="009A06BF" w:rsidRPr="001533EC">
        <w:rPr>
          <w:sz w:val="24"/>
          <w:szCs w:val="24"/>
        </w:rPr>
        <w:t xml:space="preserve"> </w:t>
      </w:r>
      <w:r w:rsidR="00122188" w:rsidRPr="001533EC">
        <w:rPr>
          <w:rStyle w:val="Funotenzeichen"/>
          <w:sz w:val="24"/>
          <w:szCs w:val="24"/>
        </w:rPr>
        <w:fldChar w:fldCharType="begin" w:fldLock="1"/>
      </w:r>
      <w:r w:rsidR="0017498C">
        <w:rPr>
          <w:sz w:val="24"/>
          <w:szCs w:val="24"/>
        </w:rPr>
        <w:instrText>ADDIN CSL_CITATION {"citationItems":[{"id":"ITEM-1","itemData":{"DOI":"10.1038/s41392-024-01755-x","ISSN":"2059-3635","abstract":"Metabolic diseases and their complications impose health and economic burdens worldwide. Evidence from past experimental studies and clinical trials suggests our body may have the ability to remember the past metabolic environment, such as hyperglycemia or hyperlipidemia, thus leading to chronic inflammatory disorders and other diseases even after the elimination of these metabolic environments. The long-term effects of that aberrant metabolism on the body have been summarized as metabolic memory and are found to assume a crucial role in states of health and disease. Multiple molecular mechanisms collectively participate in metabolic memory management, resulting in different cellular alterations as well as tissue and organ dysfunctions, culminating in disease progression and even affecting offspring. The elucidation and expansion of the concept of metabolic memory provides more comprehensive insight into pathogenic mechanisms underlying metabolic diseases and complications and promises to be a new target in disease detection and management. Here, we retrace the history of relevant research on metabolic memory and summarize its salient characteristics. We provide a detailed discussion of the mechanisms by which metabolic memory may be involved in disease development at molecular, cellular, and organ levels, with emphasis on the impact of epigenetic modulations. Finally, we present some of the pivotal findings arguing in favor of targeting metabolic memory to develop therapeutic strategies for metabolic diseases and provide the latest reflections on the consequences of metabolic memory as well as their implications for human health and diseases.","author":[{"dropping-particle":"","family":"Dong","given":"Hao","non-dropping-particle":"","parse-names":false,"suffix":""},{"dropping-particle":"","family":"Sun","given":"Yuezhang","non-dropping-particle":"","parse-names":false,"suffix":""},{"dropping-particle":"","family":"Nie","given":"Lulingxiao","non-dropping-particle":"","parse-names":false,"suffix":""},{"dropping-particle":"","family":"Cui","given":"Aimin","non-dropping-particle":"","parse-names":false,"suffix":""},{"dropping-particle":"","family":"Zhao","given":"Pengfei","non-dropping-particle":"","parse-names":false,"suffix":""},{"dropping-particle":"","family":"Leung","given":"Wai Keung","non-dropping-particle":"","parse-names":false,"suffix":""},{"dropping-particle":"","family":"Wang","given":"Qi","non-dropping-particle":"","parse-names":false,"suffix":""}],"container-title":"Signal Transduction and Targeted Therapy","id":"ITEM-1","issue":"1","issued":{"date-parts":[["2024"]]},"page":"38","title":"Metabolic memory: mechanisms and diseases","type":"article-journal","volume":"9"},"uris":["http://www.mendeley.com/documents/?uuid=ff3ce2da-ec6e-38c0-ac71-d68bf3d50578"]}],"mendeley":{"formattedCitation":"&lt;i&gt;(17)&lt;/i&gt;","plainTextFormattedCitation":"(17)","previouslyFormattedCitation":"&lt;i&gt;(17)&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bCs/>
          <w:i/>
          <w:noProof/>
          <w:sz w:val="24"/>
          <w:szCs w:val="24"/>
        </w:rPr>
        <w:t>(17)</w:t>
      </w:r>
      <w:r w:rsidR="00122188" w:rsidRPr="001533EC">
        <w:rPr>
          <w:rStyle w:val="Funotenzeichen"/>
          <w:sz w:val="24"/>
          <w:szCs w:val="24"/>
        </w:rPr>
        <w:fldChar w:fldCharType="end"/>
      </w:r>
      <w:r w:rsidRPr="001533EC">
        <w:rPr>
          <w:sz w:val="24"/>
          <w:szCs w:val="24"/>
        </w:rPr>
        <w:t>. However, no evidence of such an association is available for individuals with altered brain insulin resistance.</w:t>
      </w:r>
    </w:p>
    <w:p w14:paraId="26EA0E99" w14:textId="1A0C0629" w:rsidR="00C35B7A" w:rsidRPr="001533EC" w:rsidRDefault="00C35B7A" w:rsidP="00C35B7A">
      <w:pPr>
        <w:spacing w:line="480" w:lineRule="auto"/>
        <w:jc w:val="both"/>
        <w:rPr>
          <w:sz w:val="24"/>
          <w:szCs w:val="24"/>
        </w:rPr>
      </w:pPr>
      <w:r w:rsidRPr="001533EC">
        <w:rPr>
          <w:sz w:val="24"/>
        </w:rPr>
        <w:t xml:space="preserve">Hence, the present study investigated the DNA methylation in the peripheral whole blood of individuals with varying degrees of brain insulin sensitivity to identify key epigenetic markers using a machine learning approach. To achieve this goal, we compared epigenetic changes in people with and without brain insulin resistance but matched for peripheral insulin sensitivity to exclude peripheral insulin sensitivity as an important confounder. </w:t>
      </w:r>
      <w:r w:rsidR="00C363D7" w:rsidRPr="001533EC">
        <w:rPr>
          <w:sz w:val="24"/>
        </w:rPr>
        <w:t xml:space="preserve">We define brain insulin resistance based on the hypothalamic response to </w:t>
      </w:r>
      <w:proofErr w:type="spellStart"/>
      <w:r w:rsidR="00C363D7" w:rsidRPr="001533EC">
        <w:rPr>
          <w:sz w:val="24"/>
        </w:rPr>
        <w:t>i</w:t>
      </w:r>
      <w:r w:rsidR="00C363D7" w:rsidRPr="001533EC">
        <w:rPr>
          <w:rFonts w:eastAsia="Times New Roman"/>
          <w:sz w:val="24"/>
          <w:szCs w:val="24"/>
          <w:lang w:val="en-GB" w:eastAsia="de-DE"/>
        </w:rPr>
        <w:t>ntranasal</w:t>
      </w:r>
      <w:proofErr w:type="spellEnd"/>
      <w:r w:rsidR="00C363D7" w:rsidRPr="001533EC">
        <w:rPr>
          <w:rFonts w:eastAsia="Times New Roman"/>
          <w:sz w:val="24"/>
          <w:szCs w:val="24"/>
          <w:lang w:val="en-GB" w:eastAsia="de-DE"/>
        </w:rPr>
        <w:t xml:space="preserve"> insulin, which is an established tool to selectively measure brain insulin effects</w:t>
      </w:r>
      <w:r w:rsidR="009A06BF" w:rsidRPr="001533EC">
        <w:rPr>
          <w:rFonts w:eastAsia="Times New Roman"/>
          <w:sz w:val="24"/>
          <w:szCs w:val="24"/>
          <w:lang w:val="en-GB" w:eastAsia="de-DE"/>
        </w:rPr>
        <w:t xml:space="preserve"> </w:t>
      </w:r>
      <w:r w:rsidR="00122188" w:rsidRPr="001533EC">
        <w:rPr>
          <w:rStyle w:val="Funotenzeichen"/>
          <w:rFonts w:eastAsia="Times New Roman"/>
          <w:sz w:val="24"/>
          <w:szCs w:val="24"/>
          <w:lang w:val="en-GB" w:eastAsia="de-DE"/>
        </w:rPr>
        <w:fldChar w:fldCharType="begin" w:fldLock="1"/>
      </w:r>
      <w:r w:rsidR="0017498C">
        <w:rPr>
          <w:rFonts w:eastAsia="Times New Roman"/>
          <w:sz w:val="24"/>
          <w:szCs w:val="24"/>
          <w:lang w:val="en-GB" w:eastAsia="de-DE"/>
        </w:rPr>
        <w:instrText>ADDIN CSL_CITATION {"citationItems":[{"id":"ITEM-1","itemData":{"DOI":"10.1002/trc2.12459","ISSN":"2352-8737 (Electronic)","PMID":"38469552","abstract":"INTRODUCTION: Nose-to-brain (N2B) insulin delivery has potential for Alzheimer's  disease (AD) therapy. However, clinical implementation has been challenging without methods to follow N2B delivery non-invasively. Positron emission tomography (PET) was applied to measure F-18-labeled insulin ([(18)F]FB-insulin) from intranasal dosing to brain uptake in non-human primates following N2B delivery. METHODS: [(18)F]FB-insulin was prepared by reacting A(1),B(29)-di(tert-butyloxycarbonyl)insulin with [(18)F]-N-succinimidyl-4-fluorobenzoate. Three methods of N2B delivery for [(18)F]FB-insulin were compared - delivery as aerosol via tubing (rhesus macaque, n = 2), as aerosol via preplaced catheter (rhesus macaque, n = 3), and as solution via preplaced catheter (cynomolgus macaque, n = 3). Following dosing, dynamic PET imaging (120 min) quantified delivery efficiency to the nasal cavity and whole brain. Area under the time-activity curve was calculated for 46 regions of the cynomolgus macaque brain to determine regional [(18)F]FB-insulin levels. RESULTS: Liquid instillation of [(18)F]FB-insulin by catheter outperformed aerosol methods for delivery to the subject (39.89% injected dose vs 10.03% for aerosol via tubing, 0.17% for aerosol by catheter) and subsequently to brain (0.34% injected dose vs 0.00020% for aerosol via tubing, 0.05% for aerosol by catheter). [(18)F]FB-insulin was rapidly transferred across the cribriform plate to limbic and frontotemporal areas responsible for emotional and memory processing. [(18)F]FB-insulin half-life was longer in olfactory nerve projection sites with high insulin receptor density compared to the whole brain. DISCUSSION: The catheter-based liquid delivery approach combined with PET imaging successfully tracked the fate of N2B [(18)F]FB-insulin and is thought to be broadly applicable for assessments of other therapeutic agents. This method can be rapidly applied in humans to advance clinical evaluation of N2B insulin as an AD therapeutic. HIGHLIGHTS FOR: [(18)F]FB-insulin passage across the cribriform plate was detected by PET.Intranasal [(18)F]FB-insulin reached the brain within 13 min.[(18)F]FB-insulin activity was highest in emotional and memory processing regions.Aerosol delivery was less efficient than liquid instillation by preplaced catheter.Insulin delivery to the cribriform plate was critical for arrival in the brain.","author":[{"dropping-particle":"","family":"Smith","given":"Kylie","non-dropping-particle":"","parse-names":false,"suffix":""},{"dropping-particle":"","family":"Fan","given":"Jinda","non-dropping-particle":"","parse-names":false,"suffix":""},{"dropping-particle":"","family":"Marriner","given":"Gwendolyn A","non-dropping-particle":"","parse-names":false,"suffix":""},{"dropping-particle":"","family":"Gerdes","given":"John","non-dropping-particle":"","parse-names":false,"suffix":""},{"dropping-particle":"","family":"Kessler","given":"Robert","non-dropping-particle":"","parse-names":false,"suffix":""},{"dropping-particle":"","family":"Zinn","given":"Kurt R","non-dropping-particle":"","parse-names":false,"suffix":""}],"container-title":"Alzheimer's &amp; dementia (New York, N. Y.)","id":"ITEM-1","issue":"1","issued":{"date-parts":[["2024"]]},"language":"eng","page":"e12459","publisher-place":"United States","title":"Distribution of insulin in primate brain following nose-to-brain transport.","type":"article-journal","volume":"10"},"uris":["http://www.mendeley.com/documents/?uuid=2966874e-0c56-3a90-9f83-3bfc71cf805c"]},{"id":"ITEM-2","itemData":{"DOI":"10.1210/jc.2017-01976","ISSN":"1945-7197 (Electronic)","PMID":"29095982","abstract":"CONTEXT: Insulin action in the human brain influences eating behavior, cognition,  and whole-body metabolism. Studies investigating brain insulin rely on intranasal application. OBJECTIVE: To investigate effects of three doses of insulin and placebo as nasal sprays on the central and autonomous nervous system and analyze absorption of insulin into the bloodstream. DESIGN, PARTICIPANTS, AND METHODS: Nine healthy men received placebo or 40 U, 80 U, and 160 U insulin spray in randomized order. Before and after spray, brain activity was assessed by functional magnetic resonance imaging, and heart rate variability (HRV) was assessed from electrocardiogram. Plasma insulin, C-peptide, and glucose were measured regularly. SETTING: General community. RESULTS: Nasal insulin administration dose-dependently modulated regional brain activity and the normalized high-frequency component of the HRV. Post hoc analyses revealed that only 160 U insulin showed a considerable difference from placebo. Dose-dependent spillover of nasal insulin into the bloodstream was detected. The brain response was not correlated with this temporary rise in circulating insulin. CONCLUSIONS: Nasal insulin dose-dependently modulated regional brain activity with the strongest effects after 160 U. However, this dose was accompanied by a transient increase in circulating insulin concentrations due to a spillover into circulation. Our current results may serve as a basis for future studies with nasal insulin to untangle brain insulin effects in health and disease.","author":[{"dropping-particle":"","family":"Kullmann","given":"Stephanie","non-dropping-particle":"","parse-names":false,"suffix":""},{"dropping-particle":"","family":"Veit","given":"Ralf","non-dropping-particle":"","parse-names":false,"suffix":""},{"dropping-particle":"","family":"Peter","given":"Andreas","non-dropping-particle":"","parse-names":false,"suffix":""},{"dropping-particle":"","family":"Pohmann","given":"Rolf","non-dropping-particle":"","parse-names":false,"suffix":""},{"dropping-particle":"","family":"Scheffler","given":"Klaus","non-dropping-particle":"","parse-names":false,"suffix":""},{"dropping-particle":"","family":"Häring","given":"Hans-Ulrich","non-dropping-particle":"","parse-names":false,"suffix":""},{"dropping-particle":"","family":"Fritsche","given":"Andreas","non-dropping-particle":"","parse-names":false,"suffix":""},{"dropping-particle":"","family":"Preissl","given":"Hubert","non-dropping-particle":"","parse-names":false,"suffix":""},{"dropping-particle":"","family":"Heni","given":"Martin","non-dropping-particle":"","parse-names":false,"suffix":""}],"container-title":"The Journal of clinical endocrinology and metabolism","id":"ITEM-2","issue":"1","issued":{"date-parts":[["2018","1"]]},"language":"eng","page":"253-262","publisher-place":"United States","title":"Dose-Dependent Effects of Intranasal Insulin on Resting-State Brain Activity.","type":"article-journal","volume":"103"},"uris":["http://www.mendeley.com/documents/?uuid=159f1686-16b7-471e-8b77-1d10284ba0aa"]},{"id":"ITEM-3","itemData":{"DOI":"10.1038/s41380-022-01812-3","ISSN":"1476-5578 (Electronic)","PMID":"36207585","abstract":"Type-2 Diabetes (T2D) is characterized by insulin resistance and accompanied by  psychiatric comorbidities including major depressive disorders (MDD). Patients with T2D are twice more likely to suffer from MDD and clinical studies have shown that insulin resistance is positively correlated with the severity of depressive symptoms. However, the potential contribution of central insulin signaling in MDD in patients with T2D remains elusive. Here we hypothesized that insulin modulates the serotonergic (5-HT) system to control emotional behavior and that insulin resistance in 5-HT neurons contributes to the development of mood disorders in T2D. Our results show that insulin directly modulates the activity of dorsal raphe (DR) 5-HT neurons to dampen 5-HT neurotransmission through a 5-HT(1A) receptor-mediated inhibitory feedback. In addition, insulin-induced 5-HT neuromodulation is necessary to promote anxiolytic-like effect in response to intranasal insulin delivery. Interestingly, such an anxiolytic effect of intranasal insulin as well as the response of DR 5-HT neurons to insulin are both blunted in high-fat diet-fed T2D animals. Altogether, these findings point to a novel mechanism by which insulin directly modulates the activity of DR 5-HT neurons to dampen 5-HT neurotransmission and control emotional behaviors, and emphasize the idea that impaired insulin-sensitivity in these neurons is critical for the development of T2D-associated mood disorders.","author":[{"dropping-particle":"","family":"Martin","given":"Hugo","non-dropping-particle":"","parse-names":false,"suffix":""},{"dropping-particle":"","family":"Bullich","given":"Sébastien","non-dropping-particle":"","parse-names":false,"suffix":""},{"dropping-particle":"","family":"Martinat","given":"Maud","non-dropping-particle":"","parse-names":false,"suffix":""},{"dropping-particle":"","family":"Chataigner","given":"Mathilde","non-dropping-particle":"","parse-names":false,"suffix":""},{"dropping-particle":"","family":"Miceli","given":"Mathieu","non-dropping-particle":"Di","parse-names":false,"suffix":""},{"dropping-particle":"","family":"Simon","given":"Vincent","non-dropping-particle":"","parse-names":false,"suffix":""},{"dropping-particle":"","family":"Clark","given":"Samantha","non-dropping-particle":"","parse-names":false,"suffix":""},{"dropping-particle":"","family":"Butler","given":"Jasmine","non-dropping-particle":"","parse-names":false,"suffix":""},{"dropping-particle":"","family":"Schell","given":"Mareike","non-dropping-particle":"","parse-names":false,"suffix":""},{"dropping-particle":"","family":"Chopra","given":"Simran","non-dropping-particle":"","parse-names":false,"suffix":""},{"dropping-particle":"","family":"Chaouloff","given":"Francis","non-dropping-particle":"","parse-names":false,"suffix":""},{"dropping-particle":"","family":"Kleinridders","given":"Andre","non-dropping-particle":"","parse-names":false,"suffix":""},{"dropping-particle":"","family":"Cota","given":"Daniela","non-dropping-particle":"","parse-names":false,"suffix":""},{"dropping-particle":"","family":"Deurwaerdere","given":"Philippe","non-dropping-particle":"De","parse-names":false,"suffix":""},{"dropping-particle":"","family":"Pénicaud","given":"Luc","non-dropping-particle":"","parse-names":false,"suffix":""},{"dropping-particle":"","family":"Layé","given":"Sophie","non-dropping-particle":"","parse-names":false,"suffix":""},{"dropping-particle":"","family":"Guiard","given":"Bruno P","non-dropping-particle":"","parse-names":false,"suffix":""},{"dropping-particle":"","family":"Fioramonti","given":"Xavier","non-dropping-particle":"","parse-names":false,"suffix":""}],"container-title":"Molecular psychiatry","id":"ITEM-3","issue":"6","issued":{"date-parts":[["2024","6"]]},"language":"eng","page":"1610-1619","publisher-place":"England","title":"Insulin modulates emotional behavior through a serotonin-dependent mechanism.","type":"article-journal","volume":"29"},"uris":["http://www.mendeley.com/documents/?uuid=52f55844-c7bb-3547-bae9-9beca5d020e1"]}],"mendeley":{"formattedCitation":"&lt;i&gt;(18–20)&lt;/i&gt;","plainTextFormattedCitation":"(18–20)","previouslyFormattedCitation":"&lt;i&gt;(18–20)&lt;/i&gt;"},"properties":{"noteIndex":0},"schema":"https://github.com/citation-style-language/schema/raw/master/csl-citation.json"}</w:instrText>
      </w:r>
      <w:r w:rsidR="00122188" w:rsidRPr="001533EC">
        <w:rPr>
          <w:rStyle w:val="Funotenzeichen"/>
          <w:rFonts w:eastAsia="Times New Roman"/>
          <w:sz w:val="24"/>
          <w:szCs w:val="24"/>
          <w:lang w:val="en-GB" w:eastAsia="de-DE"/>
        </w:rPr>
        <w:fldChar w:fldCharType="separate"/>
      </w:r>
      <w:r w:rsidR="00607440" w:rsidRPr="001533EC">
        <w:rPr>
          <w:rFonts w:eastAsia="Times New Roman"/>
          <w:bCs/>
          <w:i/>
          <w:noProof/>
          <w:sz w:val="24"/>
          <w:szCs w:val="24"/>
          <w:lang w:eastAsia="de-DE"/>
        </w:rPr>
        <w:t>(18–20)</w:t>
      </w:r>
      <w:r w:rsidR="00122188" w:rsidRPr="001533EC">
        <w:rPr>
          <w:rStyle w:val="Funotenzeichen"/>
          <w:rFonts w:eastAsia="Times New Roman"/>
          <w:sz w:val="24"/>
          <w:szCs w:val="24"/>
          <w:lang w:val="en-GB" w:eastAsia="de-DE"/>
        </w:rPr>
        <w:fldChar w:fldCharType="end"/>
      </w:r>
      <w:r w:rsidR="00EB35FE" w:rsidRPr="001533EC">
        <w:rPr>
          <w:rFonts w:eastAsia="Times New Roman"/>
          <w:sz w:val="24"/>
          <w:szCs w:val="24"/>
          <w:lang w:val="en-GB" w:eastAsia="de-DE"/>
        </w:rPr>
        <w:t xml:space="preserve"> </w:t>
      </w:r>
      <w:r w:rsidR="00C363D7" w:rsidRPr="001533EC">
        <w:rPr>
          <w:rFonts w:eastAsia="Times New Roman"/>
          <w:sz w:val="24"/>
          <w:szCs w:val="24"/>
          <w:lang w:val="en-GB" w:eastAsia="de-DE"/>
        </w:rPr>
        <w:t>and discern peripheral from brain insulin effects</w:t>
      </w:r>
      <w:r w:rsidR="009A06BF" w:rsidRPr="001533EC">
        <w:rPr>
          <w:rFonts w:eastAsia="Times New Roman"/>
          <w:sz w:val="24"/>
          <w:szCs w:val="24"/>
          <w:lang w:val="en-GB" w:eastAsia="de-DE"/>
        </w:rPr>
        <w:t xml:space="preserve"> </w:t>
      </w:r>
      <w:r w:rsidR="00122188" w:rsidRPr="001533EC">
        <w:rPr>
          <w:rStyle w:val="Funotenzeichen"/>
          <w:rFonts w:eastAsia="Times New Roman"/>
          <w:sz w:val="24"/>
          <w:szCs w:val="24"/>
          <w:lang w:val="en-GB" w:eastAsia="de-DE"/>
        </w:rPr>
        <w:fldChar w:fldCharType="begin" w:fldLock="1"/>
      </w:r>
      <w:r w:rsidR="00607440" w:rsidRPr="001533EC">
        <w:rPr>
          <w:rFonts w:eastAsia="Times New Roman"/>
          <w:sz w:val="24"/>
          <w:szCs w:val="24"/>
          <w:lang w:val="en-GB" w:eastAsia="de-DE"/>
        </w:rPr>
        <w:instrText>ADDIN CSL_CITATION {"citationItems":[{"id":"ITEM-1","itemData":{"DOI":"10.1007/s00125-024-06104-9","ISSN":"1432-0428","abstract":"Insulin exerts its actions not only on peripheral organs but is also transported into the brain where it performs distinct functions in various brain regions. This review highlights recent advancements in our understanding of insulin’s actions within the brain, with a specific emphasis on investigations in humans. It summarises current knowledge on the transport of insulin into the brain. Subsequently, it showcases robust evidence demonstrating the existence and physiological consequences of brain insulin action, while also introducing the presence of brain insulin resistance in humans. This pathophysiological condition goes along with an impaired acute modulation of peripheral metabolism in response to brain insulin action, particularly in the postprandial state. Furthermore, brain insulin resistance has been associated with long-term adiposity and an unfavourable adipose tissue distribution, thus implicating it in the pathogenesis of subgroups of obesity and (pre)diabetes that are characterised by distinct patterns of body fat distribution. Encouragingly, emerging evidence suggests that brain insulin resistance could represent a treatable entity, thereby opening up novel therapeutic avenues to improve systemic metabolism and enhance brain functions, including cognition. The review closes with an outlook towards prospective research directions aimed at further elucidating the clinical implications of brain insulin resistance. It emphasises the critical need to establish feasible diagnostic measures and effective therapeutic interventions.","author":[{"dropping-particle":"","family":"Heni","given":"Martin","non-dropping-particle":"","parse-names":false,"suffix":""}],"container-title":"Diabetologia","id":"ITEM-1","issued":{"date-parts":[["2024"]]},"title":"The insulin resistant brain: impact on whole-body metabolism and body fat distribution","type":"article-journal"},"uris":["http://www.mendeley.com/documents/?uuid=ee27ff2f-83b4-4277-83a1-357e4e6426d1"]}],"mendeley":{"formattedCitation":"&lt;i&gt;(8)&lt;/i&gt;","plainTextFormattedCitation":"(8)","previouslyFormattedCitation":"&lt;i&gt;(8)&lt;/i&gt;"},"properties":{"noteIndex":0},"schema":"https://github.com/citation-style-language/schema/raw/master/csl-citation.json"}</w:instrText>
      </w:r>
      <w:r w:rsidR="00122188" w:rsidRPr="001533EC">
        <w:rPr>
          <w:rStyle w:val="Funotenzeichen"/>
          <w:rFonts w:eastAsia="Times New Roman"/>
          <w:sz w:val="24"/>
          <w:szCs w:val="24"/>
          <w:lang w:val="en-GB" w:eastAsia="de-DE"/>
        </w:rPr>
        <w:fldChar w:fldCharType="separate"/>
      </w:r>
      <w:r w:rsidR="00607440" w:rsidRPr="001533EC">
        <w:rPr>
          <w:rFonts w:eastAsia="Times New Roman"/>
          <w:i/>
          <w:noProof/>
          <w:sz w:val="24"/>
          <w:szCs w:val="24"/>
          <w:lang w:val="en-GB" w:eastAsia="de-DE"/>
        </w:rPr>
        <w:t>(8)</w:t>
      </w:r>
      <w:r w:rsidR="00122188" w:rsidRPr="001533EC">
        <w:rPr>
          <w:rStyle w:val="Funotenzeichen"/>
          <w:rFonts w:eastAsia="Times New Roman"/>
          <w:sz w:val="24"/>
          <w:szCs w:val="24"/>
          <w:lang w:val="en-GB" w:eastAsia="de-DE"/>
        </w:rPr>
        <w:fldChar w:fldCharType="end"/>
      </w:r>
      <w:r w:rsidR="00C363D7" w:rsidRPr="001533EC">
        <w:rPr>
          <w:rFonts w:eastAsia="Times New Roman"/>
          <w:sz w:val="24"/>
          <w:szCs w:val="24"/>
          <w:lang w:val="en-GB" w:eastAsia="de-DE"/>
        </w:rPr>
        <w:t xml:space="preserve">. </w:t>
      </w:r>
      <w:r w:rsidRPr="001533EC">
        <w:rPr>
          <w:sz w:val="24"/>
        </w:rPr>
        <w:t>The</w:t>
      </w:r>
      <w:r w:rsidR="0047439B">
        <w:rPr>
          <w:sz w:val="24"/>
        </w:rPr>
        <w:t>se</w:t>
      </w:r>
      <w:r w:rsidRPr="001533EC">
        <w:rPr>
          <w:sz w:val="24"/>
        </w:rPr>
        <w:t xml:space="preserve"> epigenetic markers </w:t>
      </w:r>
      <w:r w:rsidR="0047439B">
        <w:rPr>
          <w:sz w:val="24"/>
        </w:rPr>
        <w:t>may</w:t>
      </w:r>
      <w:r w:rsidR="0047439B" w:rsidRPr="001533EC">
        <w:rPr>
          <w:sz w:val="24"/>
        </w:rPr>
        <w:t xml:space="preserve"> </w:t>
      </w:r>
      <w:r w:rsidRPr="001533EC">
        <w:rPr>
          <w:sz w:val="24"/>
        </w:rPr>
        <w:t>be of prognostic importance and could be further developed into panels as an alternative diagnostic method for identifying the</w:t>
      </w:r>
      <w:r w:rsidRPr="001533EC">
        <w:rPr>
          <w:sz w:val="24"/>
          <w:szCs w:val="24"/>
        </w:rPr>
        <w:t xml:space="preserve"> status of brain insulin responsiveness. </w:t>
      </w:r>
    </w:p>
    <w:p w14:paraId="77653B5D" w14:textId="77777777" w:rsidR="00C35B7A" w:rsidRPr="001533EC" w:rsidRDefault="00C35B7A" w:rsidP="00C35B7A">
      <w:pPr>
        <w:spacing w:line="480" w:lineRule="auto"/>
        <w:jc w:val="both"/>
        <w:rPr>
          <w:b/>
          <w:sz w:val="24"/>
          <w:szCs w:val="24"/>
        </w:rPr>
      </w:pPr>
    </w:p>
    <w:p w14:paraId="649AC9B9" w14:textId="7E1E90A4" w:rsidR="00C35B7A" w:rsidRPr="001533EC" w:rsidRDefault="00C35B7A" w:rsidP="001D78F9">
      <w:pPr>
        <w:spacing w:line="480" w:lineRule="auto"/>
        <w:jc w:val="both"/>
        <w:rPr>
          <w:b/>
          <w:sz w:val="24"/>
        </w:rPr>
      </w:pPr>
      <w:r w:rsidRPr="001533EC">
        <w:rPr>
          <w:b/>
          <w:sz w:val="24"/>
          <w:szCs w:val="24"/>
        </w:rPr>
        <w:t>RESULTS</w:t>
      </w:r>
      <w:r w:rsidRPr="001533EC">
        <w:rPr>
          <w:b/>
          <w:sz w:val="24"/>
          <w:szCs w:val="24"/>
        </w:rPr>
        <w:tab/>
      </w:r>
    </w:p>
    <w:p w14:paraId="0FCA6C0D" w14:textId="760623DD" w:rsidR="00C35B7A" w:rsidRPr="001533EC" w:rsidRDefault="00C35B7A" w:rsidP="00C35B7A">
      <w:pPr>
        <w:spacing w:line="480" w:lineRule="auto"/>
        <w:jc w:val="both"/>
        <w:rPr>
          <w:b/>
          <w:sz w:val="24"/>
        </w:rPr>
      </w:pPr>
      <w:r w:rsidRPr="001533EC">
        <w:rPr>
          <w:b/>
          <w:sz w:val="24"/>
        </w:rPr>
        <w:t>Study design and population characteristics</w:t>
      </w:r>
    </w:p>
    <w:p w14:paraId="639FEFAF" w14:textId="0128C1E7" w:rsidR="00C35B7A" w:rsidRPr="001533EC" w:rsidRDefault="00C35B7A" w:rsidP="00C35B7A">
      <w:pPr>
        <w:spacing w:line="480" w:lineRule="auto"/>
        <w:jc w:val="both"/>
        <w:rPr>
          <w:sz w:val="24"/>
          <w:szCs w:val="24"/>
        </w:rPr>
      </w:pPr>
      <w:r w:rsidRPr="001533EC">
        <w:rPr>
          <w:sz w:val="24"/>
          <w:szCs w:val="24"/>
        </w:rPr>
        <w:t>To identify blood-based epigenetic biomarkers that are representative of the status of hypothalamic responsiveness to insulin, a computational framework was applied to DNA methylation profiles of 167 individuals. Figure 1 illustrates the study design, the different steps, and the three cohorts (discovery, replication I</w:t>
      </w:r>
      <w:r w:rsidR="00506BB6">
        <w:rPr>
          <w:sz w:val="24"/>
          <w:szCs w:val="24"/>
        </w:rPr>
        <w:t>,</w:t>
      </w:r>
      <w:r w:rsidRPr="001533EC">
        <w:rPr>
          <w:sz w:val="24"/>
          <w:szCs w:val="24"/>
        </w:rPr>
        <w:t xml:space="preserve"> and replication II) used for the identification of epigenetic markers for brain insulin resistance. The study participants were either grouped as brain insulin sensitive (BIS) or brain insulin resistant (BIR) based on the brain insulin sensitivity index measured using CBF response to intranasal insulin (CBF in the hypothalamus 30 min after intranasal insulin minus baseline</w:t>
      </w:r>
      <w:r w:rsidR="00A615B1">
        <w:rPr>
          <w:sz w:val="24"/>
          <w:szCs w:val="24"/>
        </w:rPr>
        <w:t>,</w:t>
      </w:r>
      <w:r w:rsidRPr="001533EC">
        <w:rPr>
          <w:sz w:val="24"/>
          <w:szCs w:val="24"/>
        </w:rPr>
        <w:t xml:space="preserve"> adjusted for global CBF; </w:t>
      </w:r>
      <w:proofErr w:type="spellStart"/>
      <w:r w:rsidRPr="001533EC">
        <w:rPr>
          <w:sz w:val="24"/>
          <w:szCs w:val="24"/>
        </w:rPr>
        <w:t>ΔCBFn</w:t>
      </w:r>
      <w:proofErr w:type="spellEnd"/>
      <w:r w:rsidRPr="001533EC">
        <w:rPr>
          <w:sz w:val="24"/>
          <w:szCs w:val="24"/>
        </w:rPr>
        <w:t>-Hypothalamus)</w:t>
      </w:r>
      <w:r w:rsidR="009A06BF" w:rsidRPr="001533EC">
        <w:rPr>
          <w:sz w:val="24"/>
          <w:szCs w:val="24"/>
        </w:rPr>
        <w:t xml:space="preserve"> </w:t>
      </w:r>
      <w:r w:rsidR="00122188" w:rsidRPr="001533EC">
        <w:rPr>
          <w:rStyle w:val="Funotenzeichen"/>
          <w:sz w:val="24"/>
          <w:szCs w:val="24"/>
        </w:rPr>
        <w:fldChar w:fldCharType="begin" w:fldLock="1"/>
      </w:r>
      <w:r w:rsidR="00607440" w:rsidRPr="001533EC">
        <w:rPr>
          <w:sz w:val="24"/>
          <w:szCs w:val="24"/>
        </w:rPr>
        <w:instrText>ADDIN CSL_CITATION {"citationItems":[{"id":"ITEM-1","itemData":{"DOI":"10.1038/s41366-022-01167-3","ISSN":"1476-5497 (Electronic)","PMID":"35715625","abstract":"BACKGROUND/OBJECTIVES: Central insulin action influences cognitive processes,  peripheral metabolism, and eating behavior. However, the contribution of obesity and sex on central insulin-mediated neural food cue processing still remains unclear. SUBJECTS/METHODS: In a randomized within-participant design, including two visits, 60 participants (30 women, BMI 18-32 kg/m(2), age 21-69 years) underwent a functional MRI task measuring blood oxygen level-dependent (BOLD) signal in response to visual food cues after intranasal insulin or placebo spray administration. Central insulin action was defined as the neural BOLD response to food cues after insulin compared to placebo administration. Afterwards, participants were asked to rate the food cues for desire to eat (i.e., wanting rating). For statistical analyses, participants were grouped according to BMI and sex. RESULTS: Food cue reactivity in the amygdala showed higher BOLD activation in response to central insulin compared to placebo. Furthermore, women with overweight and obesity and men of normal weight showed higher BOLD neural food cue responsivity to central insulin compared to placebo. Higher central insulin action in the insular cortex was associated with better peripheral insulin sensitivity and higher cognitive control. Moreover, central insulin action in the dorsolateral prefrontal cortex (DLPFC) revealed significant sex differences. In response to central insulin compared to placebo, men showed lower DLPFC BOLD activity, whereas women showed higher DLPFC activity in response to highly desired food cues. On behavioral level, central insulin action significantly reduced hunger, whereas the desire to eat, especially for low caloric food cues was significantly higher with central insulin than with placebo. CONCLUSIONS: Obesity and sex influenced the central insulin-mediated neural BOLD activity to visual food cues in brain regions implicated in reward and cognitive control. These findings show that central insulin action regulates food response differentially in men and women, which may have consequences for metabolism and eating behavior.","author":[{"dropping-particle":"","family":"Wagner","given":"Lore","non-dropping-particle":"","parse-names":false,"suffix":""},{"dropping-particle":"","family":"Veit","given":"Ralf","non-dropping-particle":"","parse-names":false,"suffix":""},{"dropping-particle":"","family":"Fritsche","given":"Louise","non-dropping-particle":"","parse-names":false,"suffix":""},{"dropping-particle":"","family":"Häring","given":"Hans-Ulrich","non-dropping-particle":"","parse-names":false,"suffix":""},{"dropping-particle":"","family":"Fritsche","given":"Andreas","non-dropping-particle":"","parse-names":false,"suffix":""},{"dropping-particle":"","family":"Birkenfeld","given":"Andreas L","non-dropping-particle":"","parse-names":false,"suffix":""},{"dropping-particle":"","family":"Heni","given":"Martin","non-dropping-particle":"","parse-names":false,"suffix":""},{"dropping-particle":"","family":"Preissl","given":"Hubert","non-dropping-particle":"","parse-names":false,"suffix":""},{"dropping-particle":"","family":"Kullmann","given":"Stephanie","non-dropping-particle":"","parse-names":false,"suffix":""}],"container-title":"International journal of obesity (2005)","id":"ITEM-1","issue":"9","issued":{"date-parts":[["2022","9"]]},"language":"eng","page":"1662-1670","publisher-place":"England","title":"Sex differences in central insulin action: Effect of intranasal insulin on neural  food cue reactivity in adults with normal weight and overweight.","type":"article-journal","volume":"46"},"uris":["http://www.mendeley.com/documents/?uuid=4ce2b473-20c7-4dfe-b5a3-8f54fb00fb04","http://www.mendeley.com/documents/?uuid=f82bd694-d989-458c-b188-4f8de02efc03"]},{"id":"ITEM-2","itemData":{"DOI":"10.2337/dc21-1136","ISSN":"1935-5548 (Electronic)","PMID":"34716213","abstract":"OBJECTIVE: Insulin action in the human brain reduces food intake, improves  whole-body insulin sensitivity, and modulates body fat mass and its distribution. Obesity and type 2 diabetes are often associated with brain insulin resistance, resulting in impaired brain-derived modulation of peripheral metabolism. So far, no pharmacological treatment for brain insulin resistance has been established. Since sodium-glucose cotransporter 2 (SGLT2) inhibitors lower glucose levels and modulate energy metabolism, we hypothesized that SGLT2 inhibition may be a pharmacological approach to reverse brain insulin resistance. RESEARCH DESIGN AND METHODS: In this randomized, double-blind, placebo-controlled clinical trial, 40 patients (mean ± SD; age 60 ± 9 years; BMI 31.5 ± 3.8 kg/m2) with prediabetes were randomized to receive 25 mg empagliflozin every day or placebo. Before and after 8 weeks of treatment, brain insulin sensitivity was assessed by functional MRI combined with intranasal administration of insulin to the brain. RESULTS: We identified a significant interaction between time and treatment in the hypothalamic response to insulin. Post hoc analyses revealed that only empagliflozin-treated patients experienced increased hypothalamic insulin responsiveness. Hypothalamic insulin action significantly mediated the empagliflozin-induced decrease in fasting glucose and liver fat. CONCLUSIONS: Our results corroborate insulin resistance of the hypothalamus in humans with prediabetes. Treatment with empagliflozin for 8 weeks was able to restore hypothalamic insulin sensitivity, a favorable response that could contribute to the beneficial effects of SGLT2 inhibitors. Our findings position SGLT2 inhibition as the first pharmacological approach to reverse brain insulin resistance, with potential benefits for adiposity and whole-body metabolism.","author":[{"dropping-particle":"","family":"Kullmann","given":"Stephanie","non-dropping-particle":"","parse-names":false,"suffix":""},{"dropping-particle":"","family":"Hummel","given":"Julia","non-dropping-particle":"","parse-names":false,"suffix":""},{"dropping-particle":"","family":"Wagner","given":"Robert","non-dropping-particle":"","parse-names":false,"suffix":""},{"dropping-particle":"","family":"Dannecker","given":"Corinna","non-dropping-particle":"","parse-names":false,"suffix":""},{"dropping-particle":"","family":"Vosseler","given":"Andreas","non-dropping-particle":"","parse-names":false,"suffix":""},{"dropping-particle":"","family":"Fritsche","given":"Louise","non-dropping-particle":"","parse-names":false,"suffix":""},{"dropping-particle":"","family":"Veit","given":"Ralf","non-dropping-particle":"","parse-names":false,"suffix":""},{"dropping-particle":"","family":"Kantartzis","given":"Konstantinos","non-dropping-particle":"","parse-names":false,"suffix":""},{"dropping-particle":"","family":"Machann","given":"Jürgen","non-dropping-particle":"","parse-names":false,"suffix":""},{"dropping-particle":"","family":"Birkenfeld","given":"Andreas L","non-dropping-particle":"","parse-names":false,"suffix":""},{"dropping-particle":"","family":"Stefan","given":"Norbert","non-dropping-particle":"","parse-names":false,"suffix":""},{"dropping-particle":"","family":"Häring","given":"Hans-Ulrich","non-dropping-particle":"","parse-names":false,"suffix":""},{"dropping-particle":"","family":"Peter","given":"Andreas","non-dropping-particle":"","parse-names":false,"suffix":""},{"dropping-particle":"","family":"Preissl","given":"Hubert","non-dropping-particle":"","parse-names":false,"suffix":""},{"dropping-particle":"","family":"Fritsche","given":"Andreas","non-dropping-particle":"","parse-names":false,"suffix":""},{"dropping-particle":"","family":"Heni","given":"Martin","non-dropping-particle":"","parse-names":false,"suffix":""}],"container-title":"Diabetes care","id":"ITEM-2","issue":"2","issued":{"date-parts":[["2022","2"]]},"language":"eng","page":"398-406","publisher-place":"United States","title":"Empagliflozin Improves Insulin Sensitivity of the Hypothalamus in Humans With  Prediabetes: A Randomized, Double-Blind, Placebo-Controlled, Phase 2 Trial.","type":"article-journal","volume":"45"},"uris":["http://www.mendeley.com/documents/?uuid=202c73c6-0316-4f57-b1c8-a3960af651d6"]}],"mendeley":{"formattedCitation":"&lt;i&gt;(15, 21)&lt;/i&gt;","plainTextFormattedCitation":"(15, 21)","previouslyFormattedCitation":"&lt;i&gt;(15, 21)&lt;/i&gt;"},"properties":{"noteIndex":0},"schema":"https://github.com/citation-style-language/schema/raw/master/csl-citation.json"}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bCs/>
          <w:i/>
          <w:noProof/>
          <w:sz w:val="24"/>
          <w:szCs w:val="24"/>
        </w:rPr>
        <w:t>(15, 21)</w:t>
      </w:r>
      <w:r w:rsidR="00122188" w:rsidRPr="001533EC">
        <w:rPr>
          <w:rStyle w:val="Funotenzeichen"/>
          <w:sz w:val="24"/>
          <w:szCs w:val="24"/>
        </w:rPr>
        <w:fldChar w:fldCharType="end"/>
      </w:r>
      <w:r w:rsidRPr="001533EC">
        <w:rPr>
          <w:sz w:val="24"/>
          <w:szCs w:val="24"/>
        </w:rPr>
        <w:t>. In the discovery cohort, 167 individuals without T2D, with a mean age of 36.6 years, and a mean BMI of 27.6 kg/m</w:t>
      </w:r>
      <w:r w:rsidRPr="001533EC">
        <w:rPr>
          <w:sz w:val="24"/>
          <w:vertAlign w:val="superscript"/>
        </w:rPr>
        <w:t>2</w:t>
      </w:r>
      <w:r w:rsidRPr="001533EC">
        <w:rPr>
          <w:sz w:val="24"/>
          <w:szCs w:val="24"/>
        </w:rPr>
        <w:t xml:space="preserve"> were included. These individuals did not differ in their peripheral insulin sensitivity as indicated by the OGTT-derived insulin sensitivity index Matsuda. Apart from the </w:t>
      </w:r>
      <w:proofErr w:type="spellStart"/>
      <w:r w:rsidRPr="001533EC">
        <w:rPr>
          <w:sz w:val="24"/>
          <w:szCs w:val="24"/>
        </w:rPr>
        <w:t>ΔCBFn</w:t>
      </w:r>
      <w:proofErr w:type="spellEnd"/>
      <w:r w:rsidRPr="001533EC">
        <w:rPr>
          <w:sz w:val="24"/>
          <w:szCs w:val="24"/>
        </w:rPr>
        <w:t xml:space="preserve">-Hypothalamus, none of the analyzed </w:t>
      </w:r>
      <w:r w:rsidRPr="001533EC">
        <w:rPr>
          <w:rFonts w:eastAsia="Times New Roman"/>
          <w:sz w:val="24"/>
          <w:szCs w:val="24"/>
        </w:rPr>
        <w:t>anthropometric or</w:t>
      </w:r>
      <w:r w:rsidRPr="001533EC">
        <w:rPr>
          <w:sz w:val="24"/>
          <w:szCs w:val="24"/>
        </w:rPr>
        <w:t xml:space="preserve"> metabolic parameters were found to be significantly different between BIS and BIR in the discovery cohort (</w:t>
      </w:r>
      <w:r w:rsidR="002D524F">
        <w:rPr>
          <w:sz w:val="24"/>
          <w:szCs w:val="24"/>
        </w:rPr>
        <w:t>P</w:t>
      </w:r>
      <w:r w:rsidR="00992EB9" w:rsidRPr="001533EC">
        <w:rPr>
          <w:sz w:val="24"/>
          <w:szCs w:val="24"/>
        </w:rPr>
        <w:t xml:space="preserve"> </w:t>
      </w:r>
      <w:r w:rsidR="00CB309B" w:rsidRPr="001533EC">
        <w:rPr>
          <w:sz w:val="24"/>
          <w:szCs w:val="24"/>
        </w:rPr>
        <w:t>= 7</w:t>
      </w:r>
      <w:r w:rsidR="00DA5BA6">
        <w:rPr>
          <w:sz w:val="24"/>
          <w:szCs w:val="24"/>
        </w:rPr>
        <w:t>.04</w:t>
      </w:r>
      <w:r w:rsidR="00CB309B" w:rsidRPr="001533EC">
        <w:rPr>
          <w:sz w:val="24"/>
          <w:szCs w:val="24"/>
        </w:rPr>
        <w:t xml:space="preserve"> x 10</w:t>
      </w:r>
      <w:r w:rsidR="00CB309B" w:rsidRPr="001533EC">
        <w:rPr>
          <w:sz w:val="24"/>
          <w:szCs w:val="24"/>
          <w:vertAlign w:val="superscript"/>
        </w:rPr>
        <w:t>-29</w:t>
      </w:r>
      <w:r w:rsidR="00CB309B" w:rsidRPr="001533EC">
        <w:rPr>
          <w:sz w:val="24"/>
          <w:szCs w:val="24"/>
        </w:rPr>
        <w:t xml:space="preserve">, </w:t>
      </w:r>
      <w:r w:rsidRPr="001533EC">
        <w:rPr>
          <w:sz w:val="24"/>
          <w:szCs w:val="24"/>
        </w:rPr>
        <w:t xml:space="preserve">Table 1, left panel). The 33 individuals in the replication cohort I were older and had a higher BMI than participants of the discovery cohort (Table 1). In addition, in contrast to the discovery cohort, not only </w:t>
      </w:r>
      <w:proofErr w:type="spellStart"/>
      <w:r w:rsidRPr="001533EC">
        <w:rPr>
          <w:sz w:val="24"/>
          <w:szCs w:val="24"/>
        </w:rPr>
        <w:t>ΔCBFn</w:t>
      </w:r>
      <w:proofErr w:type="spellEnd"/>
      <w:r w:rsidRPr="001533EC">
        <w:rPr>
          <w:sz w:val="24"/>
          <w:szCs w:val="24"/>
        </w:rPr>
        <w:t xml:space="preserve">-Hypothalamus but also fasting glucose and triglycerides differed between BIS and BIR (Table 1, right panel), thereby reflecting the </w:t>
      </w:r>
      <w:r w:rsidR="008878B2" w:rsidRPr="001533EC">
        <w:rPr>
          <w:sz w:val="24"/>
          <w:szCs w:val="24"/>
        </w:rPr>
        <w:t>heterogeneous</w:t>
      </w:r>
      <w:r w:rsidRPr="001533EC">
        <w:rPr>
          <w:sz w:val="24"/>
          <w:szCs w:val="24"/>
        </w:rPr>
        <w:t xml:space="preserve"> phenotype of most overweight and obese people. </w:t>
      </w:r>
    </w:p>
    <w:p w14:paraId="64EC423C" w14:textId="13A3670E" w:rsidR="00C35B7A" w:rsidRPr="001533EC" w:rsidRDefault="00C35B7A" w:rsidP="00C35B7A">
      <w:pPr>
        <w:spacing w:line="480" w:lineRule="auto"/>
        <w:jc w:val="both"/>
        <w:rPr>
          <w:sz w:val="24"/>
          <w:szCs w:val="24"/>
        </w:rPr>
      </w:pPr>
      <w:r w:rsidRPr="001533EC">
        <w:rPr>
          <w:sz w:val="24"/>
          <w:szCs w:val="24"/>
        </w:rPr>
        <w:t xml:space="preserve">Blood cell DNA methylation profiles were assessed using two independent approaches. First, all </w:t>
      </w:r>
      <w:proofErr w:type="spellStart"/>
      <w:r w:rsidRPr="001533EC">
        <w:rPr>
          <w:sz w:val="24"/>
          <w:szCs w:val="24"/>
        </w:rPr>
        <w:t>CpGs</w:t>
      </w:r>
      <w:proofErr w:type="spellEnd"/>
      <w:r w:rsidRPr="001533EC">
        <w:rPr>
          <w:sz w:val="24"/>
          <w:szCs w:val="24"/>
        </w:rPr>
        <w:t xml:space="preserve"> measured by EPIC array in blood cells of BIS and BIR of the discovery cohort were combined as an input for developing a machine learning workflow to identify the </w:t>
      </w:r>
      <w:proofErr w:type="spellStart"/>
      <w:r w:rsidRPr="001533EC">
        <w:rPr>
          <w:sz w:val="24"/>
          <w:szCs w:val="24"/>
        </w:rPr>
        <w:t>CpGs</w:t>
      </w:r>
      <w:proofErr w:type="spellEnd"/>
      <w:r w:rsidRPr="001533EC">
        <w:rPr>
          <w:sz w:val="24"/>
          <w:szCs w:val="24"/>
        </w:rPr>
        <w:t xml:space="preserve"> </w:t>
      </w:r>
      <w:r w:rsidR="002B0952">
        <w:rPr>
          <w:sz w:val="24"/>
          <w:szCs w:val="24"/>
        </w:rPr>
        <w:t>indicative</w:t>
      </w:r>
      <w:r w:rsidR="002B0952" w:rsidRPr="001533EC">
        <w:rPr>
          <w:sz w:val="24"/>
          <w:szCs w:val="24"/>
        </w:rPr>
        <w:t xml:space="preserve"> </w:t>
      </w:r>
      <w:r w:rsidRPr="001533EC">
        <w:rPr>
          <w:sz w:val="24"/>
          <w:szCs w:val="24"/>
        </w:rPr>
        <w:t>of the status of brain insulin resistance. Th</w:t>
      </w:r>
      <w:r w:rsidR="00C66CDB">
        <w:rPr>
          <w:sz w:val="24"/>
          <w:szCs w:val="24"/>
        </w:rPr>
        <w:t>is</w:t>
      </w:r>
      <w:r w:rsidRPr="001533EC">
        <w:rPr>
          <w:sz w:val="24"/>
          <w:szCs w:val="24"/>
        </w:rPr>
        <w:t xml:space="preserve"> cohort of 167 individuals </w:t>
      </w:r>
      <w:r w:rsidR="00BE563D">
        <w:rPr>
          <w:sz w:val="24"/>
          <w:szCs w:val="24"/>
        </w:rPr>
        <w:t>(discovery</w:t>
      </w:r>
      <w:r w:rsidR="002732B4">
        <w:rPr>
          <w:sz w:val="24"/>
          <w:szCs w:val="24"/>
        </w:rPr>
        <w:t xml:space="preserve">, </w:t>
      </w:r>
      <w:r w:rsidR="009C06A4">
        <w:rPr>
          <w:sz w:val="24"/>
          <w:szCs w:val="24"/>
        </w:rPr>
        <w:t xml:space="preserve">from </w:t>
      </w:r>
      <w:r w:rsidR="002732B4" w:rsidRPr="00BE563D">
        <w:rPr>
          <w:sz w:val="24"/>
          <w:szCs w:val="24"/>
        </w:rPr>
        <w:t>Tübingen</w:t>
      </w:r>
      <w:r w:rsidR="002732B4">
        <w:rPr>
          <w:sz w:val="24"/>
          <w:szCs w:val="24"/>
        </w:rPr>
        <w:t>, Germany</w:t>
      </w:r>
      <w:r w:rsidR="00BE563D">
        <w:rPr>
          <w:sz w:val="24"/>
          <w:szCs w:val="24"/>
        </w:rPr>
        <w:t xml:space="preserve">) </w:t>
      </w:r>
      <w:r w:rsidRPr="001533EC">
        <w:rPr>
          <w:sz w:val="24"/>
          <w:szCs w:val="24"/>
        </w:rPr>
        <w:t>was split into training (n = 118) and testing</w:t>
      </w:r>
      <w:r w:rsidR="00F9654A">
        <w:rPr>
          <w:sz w:val="24"/>
          <w:szCs w:val="24"/>
        </w:rPr>
        <w:t xml:space="preserve"> </w:t>
      </w:r>
      <w:r w:rsidR="00F9654A" w:rsidRPr="001533EC">
        <w:rPr>
          <w:sz w:val="24"/>
          <w:szCs w:val="24"/>
        </w:rPr>
        <w:t>(n = 49)</w:t>
      </w:r>
      <w:r w:rsidRPr="001533EC">
        <w:rPr>
          <w:sz w:val="24"/>
          <w:szCs w:val="24"/>
        </w:rPr>
        <w:t xml:space="preserve"> dataset</w:t>
      </w:r>
      <w:r w:rsidR="00F9654A">
        <w:rPr>
          <w:sz w:val="24"/>
          <w:szCs w:val="24"/>
        </w:rPr>
        <w:t>s</w:t>
      </w:r>
      <w:r w:rsidRPr="001533EC">
        <w:rPr>
          <w:sz w:val="24"/>
          <w:szCs w:val="24"/>
        </w:rPr>
        <w:t xml:space="preserve">. To </w:t>
      </w:r>
      <w:r w:rsidRPr="001533EC">
        <w:rPr>
          <w:sz w:val="24"/>
          <w:szCs w:val="24"/>
        </w:rPr>
        <w:lastRenderedPageBreak/>
        <w:t xml:space="preserve">evaluate the performance of the developed machine learning model, datasets of additional individuals without T2D </w:t>
      </w:r>
      <w:r w:rsidR="00870D64">
        <w:rPr>
          <w:sz w:val="24"/>
          <w:szCs w:val="24"/>
        </w:rPr>
        <w:t xml:space="preserve">from two independent centers </w:t>
      </w:r>
      <w:r w:rsidR="009044DE">
        <w:rPr>
          <w:sz w:val="24"/>
          <w:szCs w:val="24"/>
        </w:rPr>
        <w:t>were</w:t>
      </w:r>
      <w:r w:rsidR="009044DE" w:rsidRPr="001533EC">
        <w:rPr>
          <w:sz w:val="24"/>
          <w:szCs w:val="24"/>
        </w:rPr>
        <w:t xml:space="preserve"> </w:t>
      </w:r>
      <w:r w:rsidRPr="001533EC">
        <w:rPr>
          <w:sz w:val="24"/>
          <w:szCs w:val="24"/>
        </w:rPr>
        <w:t>included (replication cohorts I</w:t>
      </w:r>
      <w:r w:rsidR="00870D64">
        <w:rPr>
          <w:sz w:val="24"/>
          <w:szCs w:val="24"/>
        </w:rPr>
        <w:t xml:space="preserve"> </w:t>
      </w:r>
      <w:r w:rsidR="002732B4">
        <w:rPr>
          <w:sz w:val="24"/>
          <w:szCs w:val="24"/>
        </w:rPr>
        <w:t xml:space="preserve">from </w:t>
      </w:r>
      <w:r w:rsidR="00BE563D" w:rsidRPr="00BE563D">
        <w:rPr>
          <w:sz w:val="24"/>
          <w:szCs w:val="24"/>
        </w:rPr>
        <w:t>Tübingen</w:t>
      </w:r>
      <w:r w:rsidR="00247B00">
        <w:rPr>
          <w:sz w:val="24"/>
          <w:szCs w:val="24"/>
        </w:rPr>
        <w:t>,</w:t>
      </w:r>
      <w:r w:rsidR="002732B4">
        <w:rPr>
          <w:sz w:val="24"/>
          <w:szCs w:val="24"/>
        </w:rPr>
        <w:t xml:space="preserve"> Germany</w:t>
      </w:r>
      <w:r w:rsidR="00FB6327">
        <w:rPr>
          <w:sz w:val="24"/>
          <w:szCs w:val="24"/>
        </w:rPr>
        <w:t>,</w:t>
      </w:r>
      <w:r w:rsidRPr="001533EC">
        <w:rPr>
          <w:sz w:val="24"/>
          <w:szCs w:val="24"/>
        </w:rPr>
        <w:t xml:space="preserve"> </w:t>
      </w:r>
      <w:r w:rsidR="009B6E17">
        <w:rPr>
          <w:sz w:val="24"/>
          <w:szCs w:val="24"/>
        </w:rPr>
        <w:t xml:space="preserve">n = 33 </w:t>
      </w:r>
      <w:r w:rsidRPr="001533EC">
        <w:rPr>
          <w:sz w:val="24"/>
          <w:szCs w:val="24"/>
        </w:rPr>
        <w:t>and II</w:t>
      </w:r>
      <w:r w:rsidR="00870D64">
        <w:rPr>
          <w:sz w:val="24"/>
          <w:szCs w:val="24"/>
        </w:rPr>
        <w:t xml:space="preserve"> from Lübeck</w:t>
      </w:r>
      <w:r w:rsidR="002732B4">
        <w:rPr>
          <w:sz w:val="24"/>
          <w:szCs w:val="24"/>
        </w:rPr>
        <w:t>, Germany</w:t>
      </w:r>
      <w:r w:rsidR="00247B00">
        <w:rPr>
          <w:sz w:val="24"/>
          <w:szCs w:val="24"/>
        </w:rPr>
        <w:t>,</w:t>
      </w:r>
      <w:r w:rsidR="009B6E17">
        <w:rPr>
          <w:sz w:val="24"/>
          <w:szCs w:val="24"/>
        </w:rPr>
        <w:t xml:space="preserve"> n = 24</w:t>
      </w:r>
      <w:r w:rsidRPr="001533EC">
        <w:rPr>
          <w:sz w:val="24"/>
          <w:szCs w:val="24"/>
        </w:rPr>
        <w:t xml:space="preserve">). The second approach used a pairwise comparison (BIS versus BIR) to detect differentially methylated </w:t>
      </w:r>
      <w:proofErr w:type="spellStart"/>
      <w:r w:rsidRPr="001533EC">
        <w:rPr>
          <w:sz w:val="24"/>
          <w:szCs w:val="24"/>
        </w:rPr>
        <w:t>CpGs</w:t>
      </w:r>
      <w:proofErr w:type="spellEnd"/>
      <w:r w:rsidRPr="001533EC">
        <w:rPr>
          <w:sz w:val="24"/>
          <w:szCs w:val="24"/>
        </w:rPr>
        <w:t xml:space="preserve"> in the discovery cohort (n = 167). </w:t>
      </w:r>
    </w:p>
    <w:p w14:paraId="5A275FC8" w14:textId="77777777" w:rsidR="00C35B7A" w:rsidRPr="001533EC" w:rsidRDefault="00C35B7A" w:rsidP="00C35B7A">
      <w:pPr>
        <w:spacing w:line="480" w:lineRule="auto"/>
        <w:jc w:val="both"/>
        <w:rPr>
          <w:b/>
          <w:sz w:val="24"/>
        </w:rPr>
      </w:pPr>
    </w:p>
    <w:p w14:paraId="56B5E318" w14:textId="7EB53709" w:rsidR="00C35B7A" w:rsidRPr="001533EC" w:rsidRDefault="00C35B7A" w:rsidP="00C35B7A">
      <w:pPr>
        <w:spacing w:line="480" w:lineRule="auto"/>
        <w:jc w:val="both"/>
        <w:rPr>
          <w:b/>
          <w:sz w:val="24"/>
        </w:rPr>
      </w:pPr>
      <w:r w:rsidRPr="001533EC">
        <w:rPr>
          <w:b/>
          <w:sz w:val="24"/>
        </w:rPr>
        <w:t>Machine learning</w:t>
      </w:r>
      <w:r w:rsidRPr="001533EC">
        <w:rPr>
          <w:b/>
          <w:sz w:val="24"/>
          <w:szCs w:val="24"/>
        </w:rPr>
        <w:t xml:space="preserve">-based identification of epigenetic </w:t>
      </w:r>
      <w:r w:rsidR="006E50B8" w:rsidRPr="001533EC">
        <w:rPr>
          <w:b/>
          <w:sz w:val="24"/>
          <w:szCs w:val="24"/>
        </w:rPr>
        <w:t>classifiers</w:t>
      </w:r>
      <w:r w:rsidRPr="001533EC">
        <w:rPr>
          <w:b/>
          <w:sz w:val="24"/>
          <w:szCs w:val="24"/>
        </w:rPr>
        <w:t xml:space="preserve"> of brain insulin resistance</w:t>
      </w:r>
    </w:p>
    <w:p w14:paraId="1AD5EDC2" w14:textId="6900DEA9" w:rsidR="00C35B7A" w:rsidRPr="001533EC" w:rsidRDefault="00C35B7A" w:rsidP="00C35B7A">
      <w:pPr>
        <w:spacing w:line="480" w:lineRule="auto"/>
        <w:jc w:val="both"/>
        <w:rPr>
          <w:sz w:val="24"/>
          <w:szCs w:val="24"/>
        </w:rPr>
      </w:pPr>
      <w:r w:rsidRPr="001533EC">
        <w:rPr>
          <w:sz w:val="24"/>
          <w:szCs w:val="24"/>
        </w:rPr>
        <w:t xml:space="preserve">Machine learning methods build </w:t>
      </w:r>
      <w:r w:rsidR="0050472E">
        <w:rPr>
          <w:sz w:val="24"/>
          <w:szCs w:val="24"/>
        </w:rPr>
        <w:t>classification</w:t>
      </w:r>
      <w:r w:rsidR="0050472E" w:rsidRPr="001533EC">
        <w:rPr>
          <w:sz w:val="24"/>
          <w:szCs w:val="24"/>
        </w:rPr>
        <w:t xml:space="preserve"> </w:t>
      </w:r>
      <w:r w:rsidRPr="001533EC">
        <w:rPr>
          <w:sz w:val="24"/>
          <w:szCs w:val="24"/>
        </w:rPr>
        <w:t>models based on a training dataset and verify their sensitivity and specificity in a testing dataset. Elastic net (E-net) was used to stabilize the features (</w:t>
      </w:r>
      <w:proofErr w:type="spellStart"/>
      <w:r w:rsidRPr="001533EC">
        <w:rPr>
          <w:sz w:val="24"/>
          <w:szCs w:val="24"/>
        </w:rPr>
        <w:t>CpGs</w:t>
      </w:r>
      <w:proofErr w:type="spellEnd"/>
      <w:r w:rsidRPr="001533EC">
        <w:rPr>
          <w:sz w:val="24"/>
          <w:szCs w:val="24"/>
        </w:rPr>
        <w:t xml:space="preserve"> </w:t>
      </w:r>
      <w:r w:rsidR="006E50B8" w:rsidRPr="001533EC">
        <w:rPr>
          <w:sz w:val="24"/>
          <w:szCs w:val="24"/>
        </w:rPr>
        <w:t>classifiers</w:t>
      </w:r>
      <w:r w:rsidRPr="001533EC">
        <w:rPr>
          <w:sz w:val="24"/>
          <w:szCs w:val="24"/>
        </w:rPr>
        <w:t xml:space="preserve">) from all </w:t>
      </w:r>
      <w:proofErr w:type="spellStart"/>
      <w:r w:rsidRPr="001533EC">
        <w:rPr>
          <w:sz w:val="24"/>
          <w:szCs w:val="24"/>
        </w:rPr>
        <w:t>CpGs</w:t>
      </w:r>
      <w:proofErr w:type="spellEnd"/>
      <w:r w:rsidRPr="001533EC">
        <w:rPr>
          <w:sz w:val="24"/>
          <w:szCs w:val="24"/>
        </w:rPr>
        <w:t xml:space="preserve"> (n = 735,460) measured in the EPIC array. A total of 360 splits among 1000 were found to have no significant differences </w:t>
      </w:r>
      <w:r w:rsidR="003E4722">
        <w:rPr>
          <w:sz w:val="24"/>
          <w:szCs w:val="24"/>
        </w:rPr>
        <w:t>(</w:t>
      </w:r>
      <w:r w:rsidR="009551BC">
        <w:rPr>
          <w:sz w:val="24"/>
          <w:szCs w:val="24"/>
        </w:rPr>
        <w:t>P</w:t>
      </w:r>
      <w:r w:rsidR="003E4722">
        <w:rPr>
          <w:sz w:val="24"/>
          <w:szCs w:val="24"/>
        </w:rPr>
        <w:t xml:space="preserve"> </w:t>
      </w:r>
      <w:r w:rsidR="00247B00">
        <w:rPr>
          <w:sz w:val="24"/>
          <w:szCs w:val="24"/>
        </w:rPr>
        <w:t xml:space="preserve">≥ </w:t>
      </w:r>
      <w:r w:rsidR="003E4722">
        <w:rPr>
          <w:sz w:val="24"/>
          <w:szCs w:val="24"/>
        </w:rPr>
        <w:t xml:space="preserve">0.05) </w:t>
      </w:r>
      <w:r w:rsidRPr="001533EC">
        <w:rPr>
          <w:sz w:val="24"/>
          <w:szCs w:val="24"/>
        </w:rPr>
        <w:t>in any other characteristics except for brain insulin sensitivity (Table S1</w:t>
      </w:r>
      <w:r w:rsidR="007E0F35">
        <w:rPr>
          <w:sz w:val="24"/>
          <w:szCs w:val="24"/>
        </w:rPr>
        <w:t xml:space="preserve"> in data file S1</w:t>
      </w:r>
      <w:r w:rsidRPr="001533EC">
        <w:rPr>
          <w:sz w:val="24"/>
          <w:szCs w:val="24"/>
        </w:rPr>
        <w:t>)</w:t>
      </w:r>
      <w:r w:rsidR="00F35CFC" w:rsidRPr="001533EC">
        <w:rPr>
          <w:sz w:val="24"/>
          <w:szCs w:val="24"/>
        </w:rPr>
        <w:t xml:space="preserve"> </w:t>
      </w:r>
      <w:r w:rsidR="00122188" w:rsidRPr="001533EC">
        <w:rPr>
          <w:rStyle w:val="Funotenzeichen"/>
          <w:sz w:val="24"/>
          <w:szCs w:val="24"/>
        </w:rPr>
        <w:fldChar w:fldCharType="begin" w:fldLock="1"/>
      </w:r>
      <w:r w:rsidR="00607440" w:rsidRPr="001533EC">
        <w:rPr>
          <w:sz w:val="24"/>
          <w:szCs w:val="24"/>
        </w:rPr>
        <w:instrText>ADDIN CSL_CITATION {"citationItems":[{"id":"ITEM-1","itemData":{"DOI":"10.1093/bioinformatics/btaa046","ISSN":"1367-4811 (Electronic)","PMID":"31985777","abstract":"SUMMARY: Feature selection can improve the accuracy of machine-learning models,  but appropriate steps must be taken to avoid overfitting. Nested cross-validation (nCV) is a common approach that chooses the classification model and features to represent a given outer fold based on features that give the maximum inner-fold accuracy. Differential privacy is a related technique to avoid overfitting that uses a privacy-preserving noise mechanism to identify features that are stable between training and holdout sets.We develop consensus nested cross-validation (cnCV) that combines the idea of feature stability from differential privacy with nCV. Feature selection is applied in each inner fold and the consensus of top features across folds is used as a measure of feature stability or reliability instead of classification accuracy, which is used in standard nCV. We use simulated data with main effects, correlation and interactions to compare the classification accuracy and feature selection performance of the new cnCV with standard nCV, Elastic Net optimized by cross-validation, differential privacy and private evaporative cooling (pEC). We also compare these methods using real RNA-seq data from a study of major depressive disorder.The cnCV method has similar training and validation accuracy to nCV, but cnCV has much shorter run times because it does not construct classifiers in the inner folds. The cnCV method chooses a more parsimonious set of features with fewer false positives than nCV. The cnCV method has similar accuracy to pEC and cnCV selects stable features between folds without the need to specify a privacy threshold. We show that cnCV is an effective and efficient approach for combining feature selection with classification. AVAILABILITY AND IMPLEMENTATION: Code available at https://github.com/insilico/cncv. SUPPLEMENTARY INFORMATION: Supplementary data are available at Bioinformatics online.","author":[{"dropping-particle":"","family":"Parvandeh","given":"Saeid","non-dropping-particle":"","parse-names":false,"suffix":""},{"dropping-particle":"","family":"Yeh","given":"Hung-Wen","non-dropping-particle":"","parse-names":false,"suffix":""},{"dropping-particle":"","family":"Paulus","given":"Martin P","non-dropping-particle":"","parse-names":false,"suffix":""},{"dropping-particle":"","family":"McKinney","given":"Brett A","non-dropping-particle":"","parse-names":false,"suffix":""}],"container-title":"Bioinformatics (Oxford, England)","id":"ITEM-1","issue":"10","issued":{"date-parts":[["2020","5"]]},"language":"eng","page":"3093-3098","publisher-place":"England","title":"Consensus features nested cross-validation.","type":"article-journal","volume":"36"},"uris":["http://www.mendeley.com/documents/?uuid=d13551f0-bc1f-42f4-9e05-eaba93d20aa5"]}],"mendeley":{"formattedCitation":"&lt;i&gt;(22)&lt;/i&gt;","plainTextFormattedCitation":"(22)","previouslyFormattedCitation":"&lt;i&gt;(22)&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bCs/>
          <w:i/>
          <w:noProof/>
          <w:sz w:val="24"/>
          <w:szCs w:val="24"/>
        </w:rPr>
        <w:t>(22)</w:t>
      </w:r>
      <w:r w:rsidR="00122188" w:rsidRPr="001533EC">
        <w:rPr>
          <w:rStyle w:val="Funotenzeichen"/>
          <w:sz w:val="24"/>
          <w:szCs w:val="24"/>
        </w:rPr>
        <w:fldChar w:fldCharType="end"/>
      </w:r>
      <w:r w:rsidRPr="001533EC">
        <w:rPr>
          <w:sz w:val="24"/>
          <w:szCs w:val="24"/>
        </w:rPr>
        <w:t xml:space="preserve">. This step was performed to ensure that the generated models are specific for brain insulin resistance, independent of whole-body insulin resistance, in the training datasets. The corresponding 360 models included 7,240 </w:t>
      </w:r>
      <w:proofErr w:type="spellStart"/>
      <w:r w:rsidRPr="001533EC">
        <w:rPr>
          <w:sz w:val="24"/>
          <w:szCs w:val="24"/>
        </w:rPr>
        <w:t>CpGs</w:t>
      </w:r>
      <w:proofErr w:type="spellEnd"/>
      <w:r w:rsidRPr="001533EC">
        <w:rPr>
          <w:sz w:val="24"/>
          <w:szCs w:val="24"/>
        </w:rPr>
        <w:t xml:space="preserve"> (</w:t>
      </w:r>
      <w:r w:rsidR="006E50B8" w:rsidRPr="001533EC">
        <w:rPr>
          <w:sz w:val="24"/>
          <w:szCs w:val="24"/>
        </w:rPr>
        <w:t>classifiers</w:t>
      </w:r>
      <w:r w:rsidRPr="001533EC">
        <w:rPr>
          <w:sz w:val="24"/>
          <w:szCs w:val="24"/>
        </w:rPr>
        <w:t xml:space="preserve">) (detailed in fig. S1). Among these, 540 </w:t>
      </w:r>
      <w:proofErr w:type="spellStart"/>
      <w:r w:rsidRPr="001533EC">
        <w:rPr>
          <w:sz w:val="24"/>
          <w:szCs w:val="24"/>
        </w:rPr>
        <w:t>CpGs</w:t>
      </w:r>
      <w:proofErr w:type="spellEnd"/>
      <w:r w:rsidRPr="001533EC">
        <w:rPr>
          <w:sz w:val="24"/>
          <w:szCs w:val="24"/>
        </w:rPr>
        <w:t xml:space="preserve"> appeared to be the most stable as they were identified in at least 10% of the models. As depicted in the heatmap, DNA methylation patterns in the 540 </w:t>
      </w:r>
      <w:proofErr w:type="spellStart"/>
      <w:r w:rsidRPr="001533EC">
        <w:rPr>
          <w:sz w:val="24"/>
          <w:szCs w:val="24"/>
        </w:rPr>
        <w:t>CpGs</w:t>
      </w:r>
      <w:proofErr w:type="spellEnd"/>
      <w:r w:rsidRPr="001533EC">
        <w:rPr>
          <w:sz w:val="24"/>
          <w:szCs w:val="24"/>
        </w:rPr>
        <w:t xml:space="preserve"> </w:t>
      </w:r>
      <w:r w:rsidR="006E50B8" w:rsidRPr="001533EC">
        <w:rPr>
          <w:sz w:val="24"/>
          <w:szCs w:val="24"/>
        </w:rPr>
        <w:t>classifiers</w:t>
      </w:r>
      <w:r w:rsidRPr="001533EC">
        <w:rPr>
          <w:sz w:val="24"/>
          <w:szCs w:val="24"/>
        </w:rPr>
        <w:t xml:space="preserve"> were different and could distinguish between BIS and BIR (Fig. 2A). </w:t>
      </w:r>
      <w:r w:rsidR="002B7C32">
        <w:rPr>
          <w:sz w:val="24"/>
          <w:szCs w:val="24"/>
        </w:rPr>
        <w:t>Last</w:t>
      </w:r>
      <w:r w:rsidRPr="001533EC">
        <w:rPr>
          <w:sz w:val="24"/>
          <w:szCs w:val="24"/>
        </w:rPr>
        <w:t xml:space="preserve">, the </w:t>
      </w:r>
      <w:r w:rsidR="00CA44D7">
        <w:rPr>
          <w:sz w:val="24"/>
          <w:szCs w:val="24"/>
        </w:rPr>
        <w:t>classification</w:t>
      </w:r>
      <w:r w:rsidR="00CA44D7" w:rsidRPr="001533EC">
        <w:rPr>
          <w:sz w:val="24"/>
          <w:szCs w:val="24"/>
        </w:rPr>
        <w:t xml:space="preserve"> </w:t>
      </w:r>
      <w:r w:rsidRPr="001533EC">
        <w:rPr>
          <w:sz w:val="24"/>
          <w:szCs w:val="24"/>
        </w:rPr>
        <w:t xml:space="preserve">capacity of these 540 </w:t>
      </w:r>
      <w:proofErr w:type="spellStart"/>
      <w:r w:rsidRPr="001533EC">
        <w:rPr>
          <w:sz w:val="24"/>
          <w:szCs w:val="24"/>
        </w:rPr>
        <w:t>CpGs</w:t>
      </w:r>
      <w:proofErr w:type="spellEnd"/>
      <w:r w:rsidRPr="001533EC">
        <w:rPr>
          <w:sz w:val="24"/>
          <w:szCs w:val="24"/>
        </w:rPr>
        <w:t xml:space="preserve"> was evaluated on the replication cohort I (n = 33) by Random Forest (RF) (accuracy = 94%, ROC-AUC = 0.97) </w:t>
      </w:r>
      <w:r w:rsidR="00D60239">
        <w:rPr>
          <w:sz w:val="24"/>
          <w:szCs w:val="24"/>
        </w:rPr>
        <w:t xml:space="preserve">showing 95% confidence interval (CI): (79.8, 99.2) </w:t>
      </w:r>
      <w:r w:rsidRPr="001533EC">
        <w:rPr>
          <w:sz w:val="24"/>
          <w:szCs w:val="24"/>
        </w:rPr>
        <w:t>and Support Vector Machine (SVM) (accuracy</w:t>
      </w:r>
      <w:r w:rsidR="002C6089">
        <w:rPr>
          <w:sz w:val="24"/>
          <w:szCs w:val="24"/>
        </w:rPr>
        <w:t xml:space="preserve"> </w:t>
      </w:r>
      <w:r w:rsidRPr="001533EC">
        <w:rPr>
          <w:sz w:val="24"/>
          <w:szCs w:val="24"/>
        </w:rPr>
        <w:t>=</w:t>
      </w:r>
      <w:r w:rsidR="002C6089">
        <w:rPr>
          <w:sz w:val="24"/>
          <w:szCs w:val="24"/>
        </w:rPr>
        <w:t xml:space="preserve"> </w:t>
      </w:r>
      <w:r w:rsidRPr="001533EC">
        <w:rPr>
          <w:sz w:val="24"/>
          <w:szCs w:val="24"/>
        </w:rPr>
        <w:t>88%, ROC-AUC = 0.97, Fig. 2B)</w:t>
      </w:r>
      <w:r w:rsidR="00D60239">
        <w:rPr>
          <w:sz w:val="24"/>
          <w:szCs w:val="24"/>
        </w:rPr>
        <w:t xml:space="preserve"> with 95% CI: (71.8, 96.6)</w:t>
      </w:r>
      <w:r w:rsidRPr="001533EC">
        <w:rPr>
          <w:sz w:val="24"/>
          <w:szCs w:val="24"/>
        </w:rPr>
        <w:t>. As outlined by precision recall curve, the Matthew correlation coefficient (MCC)</w:t>
      </w:r>
      <w:r w:rsidR="002C6089">
        <w:rPr>
          <w:sz w:val="24"/>
          <w:szCs w:val="24"/>
        </w:rPr>
        <w:t xml:space="preserve"> </w:t>
      </w:r>
      <w:r w:rsidR="00122188" w:rsidRPr="001533EC">
        <w:rPr>
          <w:rStyle w:val="Funotenzeichen"/>
          <w:sz w:val="24"/>
          <w:szCs w:val="24"/>
        </w:rPr>
        <w:fldChar w:fldCharType="begin" w:fldLock="1"/>
      </w:r>
      <w:r w:rsidR="0017498C">
        <w:rPr>
          <w:sz w:val="24"/>
          <w:szCs w:val="24"/>
        </w:rPr>
        <w:instrText>ADDIN CSL_CITATION {"citationItems":[{"id":"ITEM-1","itemData":{"DOI":"10.1186/s12864-019-6413-7","ISSN":"1471-2164 (Electronic)","PMID":"31898477","abstract":"BACKGROUND: To evaluate binary classifications and their confusion matrices,  scientific researchers can employ several statistical rates, accordingly to the goal of the experiment they are investigating. Despite being a crucial issue in machine learning, no widespread consensus has been reached on a unified elective chosen measure yet. Accuracy and F(1) score computed on confusion matrices have been (and still are) among the most popular adopted metrics in binary classification tasks. However, these statistical measures can dangerously show overoptimistic inflated results, especially on imbalanced datasets. RESULTS: The Matthews correlation coefficient (MCC), instead, is a more reliable statistical rate which produces a high score only if the prediction obtained good results in all of the four confusion matrix categories (true positives, false negatives, true negatives, and false positives), proportionally both to the size of positive elements and the size of negative elements in the dataset. CONCLUSIONS: In this article, we show how MCC produces a more informative and truthful score in evaluating binary classifications than accuracy and F(1) score, by first explaining the mathematical properties, and then the asset of MCC in six synthetic use cases and in a real genomics scenario. We believe that the Matthews correlation coefficient should be preferred to accuracy and F(1) score in evaluating binary classification tasks by all scientific communities.","author":[{"dropping-particle":"","family":"Chicco","given":"Davide","non-dropping-particle":"","parse-names":false,"suffix":""},{"dropping-particle":"","family":"Jurman","given":"Giuseppe","non-dropping-particle":"","parse-names":false,"suffix":""}],"container-title":"BMC genomics","id":"ITEM-1","issue":"1","issued":{"date-parts":[["2020","1"]]},"language":"eng","page":"6","publisher-place":"England","title":"The advantages of the Matthews correlation coefficient (MCC) over F1 score and  accuracy in binary classification evaluation.","type":"article-journal","volume":"21"},"uris":["http://www.mendeley.com/documents/?uuid=37d98458-b7ce-377c-b969-3b8e3f25a8c5"]}],"mendeley":{"formattedCitation":"&lt;i&gt;(23)&lt;/i&gt;","plainTextFormattedCitation":"(23)","previouslyFormattedCitation":"&lt;i&gt;(23)&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bCs/>
          <w:i/>
          <w:noProof/>
          <w:sz w:val="24"/>
          <w:szCs w:val="24"/>
        </w:rPr>
        <w:t>(23)</w:t>
      </w:r>
      <w:r w:rsidR="00122188" w:rsidRPr="001533EC">
        <w:rPr>
          <w:rStyle w:val="Funotenzeichen"/>
          <w:sz w:val="24"/>
          <w:szCs w:val="24"/>
        </w:rPr>
        <w:fldChar w:fldCharType="end"/>
      </w:r>
      <w:r w:rsidRPr="001533EC">
        <w:rPr>
          <w:sz w:val="24"/>
          <w:szCs w:val="24"/>
        </w:rPr>
        <w:t>, further</w:t>
      </w:r>
      <w:r w:rsidRPr="001533EC">
        <w:t xml:space="preserve"> </w:t>
      </w:r>
      <w:r w:rsidRPr="001533EC">
        <w:rPr>
          <w:sz w:val="24"/>
          <w:szCs w:val="24"/>
        </w:rPr>
        <w:t xml:space="preserve">reinforced fairly high </w:t>
      </w:r>
      <w:r w:rsidR="00CA44D7">
        <w:rPr>
          <w:sz w:val="24"/>
          <w:szCs w:val="24"/>
        </w:rPr>
        <w:t>classification</w:t>
      </w:r>
      <w:r w:rsidR="00CA44D7" w:rsidRPr="001533EC">
        <w:rPr>
          <w:sz w:val="24"/>
          <w:szCs w:val="24"/>
        </w:rPr>
        <w:t xml:space="preserve"> </w:t>
      </w:r>
      <w:r w:rsidRPr="001533EC">
        <w:rPr>
          <w:sz w:val="24"/>
          <w:szCs w:val="24"/>
        </w:rPr>
        <w:t xml:space="preserve">power of the identified 540 </w:t>
      </w:r>
      <w:proofErr w:type="spellStart"/>
      <w:r w:rsidRPr="001533EC">
        <w:rPr>
          <w:sz w:val="24"/>
          <w:szCs w:val="24"/>
        </w:rPr>
        <w:t>CpGs</w:t>
      </w:r>
      <w:proofErr w:type="spellEnd"/>
      <w:r w:rsidRPr="001533EC">
        <w:rPr>
          <w:sz w:val="24"/>
          <w:szCs w:val="24"/>
        </w:rPr>
        <w:t xml:space="preserve"> (MCC for RF = 0.87, MCC for SVM = 0.72)</w:t>
      </w:r>
      <w:r w:rsidR="00D60239">
        <w:rPr>
          <w:sz w:val="24"/>
          <w:szCs w:val="24"/>
        </w:rPr>
        <w:t xml:space="preserve"> </w:t>
      </w:r>
      <w:r w:rsidRPr="001533EC">
        <w:rPr>
          <w:sz w:val="24"/>
          <w:szCs w:val="24"/>
        </w:rPr>
        <w:t>(Fig. 2</w:t>
      </w:r>
      <w:r w:rsidR="0042490C">
        <w:rPr>
          <w:sz w:val="24"/>
          <w:szCs w:val="24"/>
        </w:rPr>
        <w:t>B</w:t>
      </w:r>
      <w:r w:rsidRPr="001533EC">
        <w:rPr>
          <w:sz w:val="24"/>
          <w:szCs w:val="24"/>
        </w:rPr>
        <w:t>).</w:t>
      </w:r>
    </w:p>
    <w:p w14:paraId="1C0EDD62" w14:textId="76F66E03" w:rsidR="00C35B7A" w:rsidRPr="001533EC" w:rsidRDefault="00C35B7A" w:rsidP="00C35B7A">
      <w:pPr>
        <w:spacing w:line="480" w:lineRule="auto"/>
        <w:jc w:val="both"/>
        <w:rPr>
          <w:sz w:val="24"/>
          <w:szCs w:val="24"/>
        </w:rPr>
      </w:pPr>
      <w:r w:rsidRPr="001533EC">
        <w:rPr>
          <w:sz w:val="24"/>
          <w:szCs w:val="24"/>
        </w:rPr>
        <w:t xml:space="preserve">To better understand the potential role of these epigenetic </w:t>
      </w:r>
      <w:r w:rsidR="006E50B8" w:rsidRPr="001533EC">
        <w:rPr>
          <w:sz w:val="24"/>
          <w:szCs w:val="24"/>
        </w:rPr>
        <w:t>markers</w:t>
      </w:r>
      <w:r w:rsidRPr="001533EC">
        <w:rPr>
          <w:sz w:val="24"/>
          <w:szCs w:val="24"/>
        </w:rPr>
        <w:t xml:space="preserve">, gene ontology analysis was performed for 445 genes annotated to the 540 </w:t>
      </w:r>
      <w:proofErr w:type="spellStart"/>
      <w:r w:rsidRPr="001533EC">
        <w:rPr>
          <w:sz w:val="24"/>
          <w:szCs w:val="24"/>
        </w:rPr>
        <w:t>CpGs</w:t>
      </w:r>
      <w:proofErr w:type="spellEnd"/>
      <w:r w:rsidRPr="001533EC">
        <w:rPr>
          <w:sz w:val="24"/>
          <w:szCs w:val="24"/>
        </w:rPr>
        <w:t xml:space="preserve"> </w:t>
      </w:r>
      <w:r w:rsidR="006E50B8" w:rsidRPr="001533EC">
        <w:rPr>
          <w:sz w:val="24"/>
          <w:szCs w:val="24"/>
        </w:rPr>
        <w:t>classifiers</w:t>
      </w:r>
      <w:r w:rsidRPr="001533EC">
        <w:rPr>
          <w:sz w:val="24"/>
          <w:szCs w:val="24"/>
        </w:rPr>
        <w:t xml:space="preserve">. Several GO terms (biological </w:t>
      </w:r>
      <w:r w:rsidRPr="001533EC">
        <w:rPr>
          <w:sz w:val="24"/>
          <w:szCs w:val="24"/>
        </w:rPr>
        <w:lastRenderedPageBreak/>
        <w:t>process and molecular function) grouping into neuronal development and related processes (</w:t>
      </w:r>
      <w:proofErr w:type="spellStart"/>
      <w:r w:rsidRPr="001533EC">
        <w:rPr>
          <w:sz w:val="24"/>
          <w:szCs w:val="24"/>
        </w:rPr>
        <w:t>axonogenesis</w:t>
      </w:r>
      <w:proofErr w:type="spellEnd"/>
      <w:r w:rsidRPr="001533EC">
        <w:rPr>
          <w:sz w:val="24"/>
          <w:szCs w:val="24"/>
        </w:rPr>
        <w:t>, nervous system development), sensory system development, and cell migration and adhesion were found to be enriched (</w:t>
      </w:r>
      <w:r w:rsidR="00487061">
        <w:rPr>
          <w:sz w:val="24"/>
          <w:szCs w:val="24"/>
        </w:rPr>
        <w:t>P</w:t>
      </w:r>
      <w:r w:rsidR="00487061" w:rsidRPr="001533EC">
        <w:rPr>
          <w:sz w:val="24"/>
          <w:szCs w:val="24"/>
        </w:rPr>
        <w:t xml:space="preserve"> </w:t>
      </w:r>
      <w:r w:rsidRPr="001533EC">
        <w:rPr>
          <w:sz w:val="24"/>
          <w:szCs w:val="24"/>
        </w:rPr>
        <w:t>&lt; 0.05) (Fig. 2</w:t>
      </w:r>
      <w:r w:rsidR="0042490C">
        <w:rPr>
          <w:sz w:val="24"/>
          <w:szCs w:val="24"/>
        </w:rPr>
        <w:t>C</w:t>
      </w:r>
      <w:r w:rsidRPr="001533EC">
        <w:rPr>
          <w:sz w:val="24"/>
          <w:szCs w:val="24"/>
        </w:rPr>
        <w:t xml:space="preserve"> and Table S2</w:t>
      </w:r>
      <w:r w:rsidR="007C0408">
        <w:rPr>
          <w:sz w:val="24"/>
          <w:szCs w:val="24"/>
        </w:rPr>
        <w:t xml:space="preserve"> in data file S1</w:t>
      </w:r>
      <w:r w:rsidRPr="001533EC">
        <w:rPr>
          <w:sz w:val="24"/>
          <w:szCs w:val="24"/>
        </w:rPr>
        <w:t xml:space="preserve">). Taken together, most genes annotated to these </w:t>
      </w:r>
      <w:proofErr w:type="spellStart"/>
      <w:r w:rsidRPr="001533EC">
        <w:rPr>
          <w:sz w:val="24"/>
          <w:szCs w:val="24"/>
        </w:rPr>
        <w:t>CpGs</w:t>
      </w:r>
      <w:proofErr w:type="spellEnd"/>
      <w:r w:rsidRPr="001533EC">
        <w:rPr>
          <w:sz w:val="24"/>
          <w:szCs w:val="24"/>
        </w:rPr>
        <w:t xml:space="preserve"> and found to be epigenetic </w:t>
      </w:r>
      <w:r w:rsidR="006E50B8" w:rsidRPr="001533EC">
        <w:rPr>
          <w:sz w:val="24"/>
          <w:szCs w:val="24"/>
        </w:rPr>
        <w:t>classifiers</w:t>
      </w:r>
      <w:r w:rsidRPr="001533EC">
        <w:rPr>
          <w:sz w:val="24"/>
          <w:szCs w:val="24"/>
        </w:rPr>
        <w:t xml:space="preserve"> were indeed related to biological processes that could play an important role in brain insulin resistance. </w:t>
      </w:r>
    </w:p>
    <w:p w14:paraId="5FB22F8E" w14:textId="77777777" w:rsidR="00C35B7A" w:rsidRPr="001533EC" w:rsidRDefault="00C35B7A" w:rsidP="00C35B7A">
      <w:pPr>
        <w:spacing w:line="480" w:lineRule="auto"/>
        <w:jc w:val="both"/>
        <w:rPr>
          <w:b/>
          <w:sz w:val="24"/>
        </w:rPr>
      </w:pPr>
    </w:p>
    <w:p w14:paraId="014FAB08" w14:textId="455E5C56" w:rsidR="00C35B7A" w:rsidRPr="001533EC" w:rsidRDefault="00C35B7A" w:rsidP="00C35B7A">
      <w:pPr>
        <w:spacing w:line="480" w:lineRule="auto"/>
        <w:jc w:val="both"/>
        <w:rPr>
          <w:b/>
          <w:sz w:val="24"/>
        </w:rPr>
      </w:pPr>
      <w:r w:rsidRPr="001533EC">
        <w:rPr>
          <w:b/>
          <w:sz w:val="24"/>
        </w:rPr>
        <w:t>DNA methylome differs between BIS and BIR individuals</w:t>
      </w:r>
    </w:p>
    <w:p w14:paraId="68610EBF" w14:textId="3B678B81" w:rsidR="00C35B7A" w:rsidRPr="001533EC" w:rsidRDefault="00C35B7A" w:rsidP="00C35B7A">
      <w:pPr>
        <w:spacing w:line="480" w:lineRule="auto"/>
        <w:jc w:val="both"/>
        <w:rPr>
          <w:sz w:val="24"/>
          <w:szCs w:val="24"/>
        </w:rPr>
      </w:pPr>
      <w:r w:rsidRPr="001533EC">
        <w:rPr>
          <w:sz w:val="24"/>
          <w:szCs w:val="24"/>
        </w:rPr>
        <w:t xml:space="preserve">In contrast to machine learning, DMP (differentially methylated positions) calculation compares two well-defined groups. In the discovery cohort, the DNA methylation profiles in peripheral blood of BIR (n = 86) were compared to those measured in BIS (n = 81) individuals (Fig. 3), resulting in a total of 5,481 CpG positions with differential DNA methylation (AdjP&lt;0.05, Fig. 3A-B) between the BIS and BIR individuals, after adjusting for all relevant technical and biological confounders (as detailed in Supplementary </w:t>
      </w:r>
      <w:r w:rsidR="00326B38">
        <w:rPr>
          <w:sz w:val="24"/>
          <w:szCs w:val="24"/>
        </w:rPr>
        <w:t xml:space="preserve">materials and </w:t>
      </w:r>
      <w:r w:rsidRPr="001533EC">
        <w:rPr>
          <w:sz w:val="24"/>
          <w:szCs w:val="24"/>
        </w:rPr>
        <w:t xml:space="preserve">methods). As depicted in the outer part of the </w:t>
      </w:r>
      <w:proofErr w:type="spellStart"/>
      <w:r w:rsidRPr="001533EC">
        <w:rPr>
          <w:sz w:val="24"/>
          <w:szCs w:val="24"/>
        </w:rPr>
        <w:t>circos</w:t>
      </w:r>
      <w:proofErr w:type="spellEnd"/>
      <w:r w:rsidRPr="001533EC">
        <w:rPr>
          <w:sz w:val="24"/>
          <w:szCs w:val="24"/>
        </w:rPr>
        <w:t xml:space="preserve"> plot of fig. S2, the 5481 DMPs were equally distributed across the genome. Additional information about the genomic distribution is detailed in fig. S3-S4.</w:t>
      </w:r>
    </w:p>
    <w:p w14:paraId="6E7FA21B" w14:textId="40CCDC96" w:rsidR="00C35B7A" w:rsidRPr="001533EC" w:rsidRDefault="00C35B7A" w:rsidP="00C35B7A">
      <w:pPr>
        <w:spacing w:line="480" w:lineRule="auto"/>
        <w:jc w:val="both"/>
        <w:rPr>
          <w:sz w:val="24"/>
          <w:szCs w:val="24"/>
        </w:rPr>
      </w:pPr>
      <w:r w:rsidRPr="001533EC">
        <w:rPr>
          <w:sz w:val="24"/>
          <w:szCs w:val="24"/>
        </w:rPr>
        <w:t>As expected, the majority of the methylation differences between BIS and BIR</w:t>
      </w:r>
      <w:r w:rsidRPr="001533EC" w:rsidDel="00964127">
        <w:rPr>
          <w:sz w:val="24"/>
          <w:szCs w:val="24"/>
        </w:rPr>
        <w:t xml:space="preserve"> </w:t>
      </w:r>
      <w:r w:rsidRPr="001533EC">
        <w:rPr>
          <w:sz w:val="24"/>
          <w:szCs w:val="24"/>
        </w:rPr>
        <w:t>were small (around 1 to 2.5%). Indeed, only 498 DMPs had larger methylation differences than 2.5% (|Δβ| = |β</w:t>
      </w:r>
      <w:r w:rsidRPr="001533EC">
        <w:rPr>
          <w:sz w:val="24"/>
          <w:szCs w:val="24"/>
          <w:vertAlign w:val="subscript"/>
        </w:rPr>
        <w:t>BIS</w:t>
      </w:r>
      <w:r w:rsidRPr="001533EC">
        <w:rPr>
          <w:sz w:val="24"/>
          <w:szCs w:val="24"/>
        </w:rPr>
        <w:t xml:space="preserve"> - β</w:t>
      </w:r>
      <w:r w:rsidRPr="001533EC">
        <w:rPr>
          <w:sz w:val="24"/>
          <w:szCs w:val="24"/>
          <w:vertAlign w:val="subscript"/>
        </w:rPr>
        <w:t>BIR</w:t>
      </w:r>
      <w:r w:rsidRPr="001533EC">
        <w:rPr>
          <w:sz w:val="24"/>
          <w:szCs w:val="24"/>
        </w:rPr>
        <w:t>| ≥ 2.5%: AdjP</w:t>
      </w:r>
      <w:r w:rsidR="00681F99">
        <w:rPr>
          <w:sz w:val="24"/>
          <w:szCs w:val="24"/>
        </w:rPr>
        <w:t xml:space="preserve"> </w:t>
      </w:r>
      <w:r w:rsidRPr="001533EC">
        <w:rPr>
          <w:sz w:val="24"/>
          <w:szCs w:val="24"/>
        </w:rPr>
        <w:t>&lt;</w:t>
      </w:r>
      <w:r w:rsidR="00681F99">
        <w:rPr>
          <w:sz w:val="24"/>
          <w:szCs w:val="24"/>
        </w:rPr>
        <w:t xml:space="preserve"> </w:t>
      </w:r>
      <w:r w:rsidRPr="001533EC">
        <w:rPr>
          <w:sz w:val="24"/>
          <w:szCs w:val="24"/>
        </w:rPr>
        <w:t xml:space="preserve">0.05). Out of these, 317 were found to be hypomethylated and 181 were hypermethylated in BIR individuals compared to BIS (Fig. 3B). All in all, </w:t>
      </w:r>
      <w:r w:rsidR="00D70683">
        <w:rPr>
          <w:sz w:val="24"/>
          <w:szCs w:val="24"/>
        </w:rPr>
        <w:t>these</w:t>
      </w:r>
      <w:r w:rsidR="00D70683" w:rsidRPr="001533EC">
        <w:rPr>
          <w:sz w:val="24"/>
          <w:szCs w:val="24"/>
        </w:rPr>
        <w:t xml:space="preserve"> </w:t>
      </w:r>
      <w:r w:rsidRPr="001533EC">
        <w:rPr>
          <w:sz w:val="24"/>
          <w:szCs w:val="24"/>
        </w:rPr>
        <w:t xml:space="preserve">498 DMPs were annotated to 304 genes enriched for nervous system development, dendrite self-avoidance, cell adhesion, axon guidance, and </w:t>
      </w:r>
      <w:proofErr w:type="spellStart"/>
      <w:r w:rsidRPr="001533EC">
        <w:rPr>
          <w:sz w:val="24"/>
          <w:szCs w:val="24"/>
        </w:rPr>
        <w:t>axonogenesis</w:t>
      </w:r>
      <w:proofErr w:type="spellEnd"/>
      <w:r w:rsidRPr="001533EC">
        <w:rPr>
          <w:sz w:val="24"/>
          <w:szCs w:val="24"/>
        </w:rPr>
        <w:t xml:space="preserve"> (Fig. 3C). Moreover, by examining the corresponding cellular compartments, we found 15 genes encoding for proteins located in axons, 8 in the presynaptic membrane, 86 in the plasma membrane, 9 in the actin cytoskeleton, and 12 in the synapse. These results indicate that altered DNA methylation profiles detected in </w:t>
      </w:r>
      <w:r w:rsidRPr="001533EC">
        <w:rPr>
          <w:sz w:val="24"/>
          <w:szCs w:val="24"/>
        </w:rPr>
        <w:lastRenderedPageBreak/>
        <w:t xml:space="preserve">the BIR group specifically occurred in genes related to brain development and signaling and could potentially reflect the status of brain insulin resistance. </w:t>
      </w:r>
    </w:p>
    <w:p w14:paraId="283B790C" w14:textId="08250841" w:rsidR="00C35B7A" w:rsidRPr="001533EC" w:rsidRDefault="00C35B7A" w:rsidP="00C35B7A">
      <w:pPr>
        <w:spacing w:line="480" w:lineRule="auto"/>
        <w:jc w:val="both"/>
        <w:rPr>
          <w:sz w:val="24"/>
          <w:szCs w:val="24"/>
        </w:rPr>
      </w:pPr>
      <w:r w:rsidRPr="001533EC">
        <w:rPr>
          <w:sz w:val="24"/>
          <w:szCs w:val="24"/>
        </w:rPr>
        <w:t>We next focused on the genes that exhibit the strongest differences in DNA methylation between BIR and BIS. Among the top 15 hypo- and hypermethylated DMPs (Table 2), four showed ≥ 10% |Δβ| between the groups, and</w:t>
      </w:r>
      <w:r w:rsidR="003529BA">
        <w:rPr>
          <w:sz w:val="24"/>
          <w:szCs w:val="24"/>
        </w:rPr>
        <w:t xml:space="preserve"> notably</w:t>
      </w:r>
      <w:r w:rsidRPr="001533EC">
        <w:rPr>
          <w:sz w:val="24"/>
          <w:szCs w:val="24"/>
        </w:rPr>
        <w:t xml:space="preserve"> three out of these four DMPs were annotated for the gene </w:t>
      </w:r>
      <w:r w:rsidRPr="001533EC">
        <w:rPr>
          <w:i/>
          <w:sz w:val="24"/>
          <w:szCs w:val="24"/>
        </w:rPr>
        <w:t>BRSK2</w:t>
      </w:r>
      <w:r w:rsidRPr="001533EC">
        <w:rPr>
          <w:sz w:val="24"/>
          <w:szCs w:val="24"/>
        </w:rPr>
        <w:t xml:space="preserve"> (Brain-specific serine/threonine-protein kinase 2). Six DMPs were annotated to </w:t>
      </w:r>
      <w:r w:rsidRPr="001533EC">
        <w:rPr>
          <w:i/>
          <w:sz w:val="24"/>
          <w:szCs w:val="24"/>
        </w:rPr>
        <w:t>MIR886</w:t>
      </w:r>
      <w:r w:rsidRPr="001533EC">
        <w:rPr>
          <w:sz w:val="24"/>
          <w:szCs w:val="24"/>
        </w:rPr>
        <w:t>, encoding a microRNA known to be altered in neuronal diseases such as ataxia</w:t>
      </w:r>
      <w:r w:rsidR="009A06BF" w:rsidRPr="001533EC">
        <w:rPr>
          <w:sz w:val="24"/>
          <w:szCs w:val="24"/>
        </w:rPr>
        <w:t xml:space="preserve"> </w:t>
      </w:r>
      <w:r w:rsidR="00122188" w:rsidRPr="001533EC">
        <w:rPr>
          <w:rStyle w:val="Funotenzeichen"/>
          <w:sz w:val="24"/>
          <w:szCs w:val="24"/>
        </w:rPr>
        <w:fldChar w:fldCharType="begin" w:fldLock="1"/>
      </w:r>
      <w:r w:rsidR="0017498C">
        <w:rPr>
          <w:sz w:val="24"/>
          <w:szCs w:val="24"/>
        </w:rPr>
        <w:instrText>ADDIN CSL_CITATION {"citationItems":[{"id":"ITEM-1","itemData":{"DOI":"https://doi.org/10.1007/s13311-013-0212-7","ISSN":"1878-7479","abstract":"The most fundamental roles of non-coding RNAs (ncRNAs) and epigenetic mechanisms are the guidance of cellular differentiation in development and the regulation of gene expression in adult tissues. In brain, both ncRNAs and the various epigenetic gene regulatory mechanisms play a fundamental role in neurogenesis and normal neuronal function. Thus, epigenetic chromatin remodelling can render coding sites transcriptionally inactive by DNA methylation, histone modifications or antisense RNA interactions. On the other hand, microRNAs (miRNAs) are ncRNA molecules that can regulate the expression of hundreds of genes post-transcriptionally, typically recognising binding sites in the 3′ untranslated region (UTR) of mRNA transcripts. Furthermore, there are a myriad of interactions in the interface of miRNAs and epigenetics. For example, epigenetic mechanisms can silence miRNA coding sites, and miRNAs can be the effectors of transcriptional gene silencing, targeting complementary promoters or silencing the expression of epigenetic modifier genes like MECP2 and EZH2 leading to global changes in the epigenome. Alterations in this regulatory machinery play a key role in the pathology of complex disorders including cancer and neurological diseases. For example, miRNA genes are frequently inactivated by epimutations in gliomas. Here we describe the interactions between epigenetic and ncRNA regulatory systems and discuss therapeutic potential, with an emphasis on tumors, cognitive disorders and neurodegenerative diseases.","author":[{"dropping-particle":"","family":"Varela","given":"Miguel A","non-dropping-particle":"","parse-names":false,"suffix":""},{"dropping-particle":"","family":"Roberts","given":"Thomas C","non-dropping-particle":"","parse-names":false,"suffix":""},{"dropping-particle":"","family":"Wood","given":"Matthew J A","non-dropping-particle":"","parse-names":false,"suffix":""}],"container-title":"Neurotherapeutics","id":"ITEM-1","issue":"4","issued":{"date-parts":[["2013"]]},"page":"621-631","title":"Epigenetics and ncRNAs in Brain Function and Disease: Mechanisms and Prospects for Therapy","type":"article-journal","volume":"10"},"uris":["http://www.mendeley.com/documents/?uuid=fdac1a8d-7a2b-3e2a-9921-455a1ce23ae9"]}],"mendeley":{"formattedCitation":"&lt;i&gt;(24)&lt;/i&gt;","plainTextFormattedCitation":"(24)","previouslyFormattedCitation":"&lt;i&gt;(24)&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bCs/>
          <w:i/>
          <w:noProof/>
          <w:sz w:val="24"/>
          <w:szCs w:val="24"/>
        </w:rPr>
        <w:t>(24)</w:t>
      </w:r>
      <w:r w:rsidR="00122188" w:rsidRPr="001533EC">
        <w:rPr>
          <w:rStyle w:val="Funotenzeichen"/>
          <w:sz w:val="24"/>
          <w:szCs w:val="24"/>
        </w:rPr>
        <w:fldChar w:fldCharType="end"/>
      </w:r>
      <w:r w:rsidRPr="001533EC">
        <w:rPr>
          <w:sz w:val="24"/>
          <w:szCs w:val="24"/>
        </w:rPr>
        <w:t>.</w:t>
      </w:r>
    </w:p>
    <w:p w14:paraId="6D4DB13B" w14:textId="77777777" w:rsidR="001D78F9" w:rsidRPr="001533EC" w:rsidRDefault="001D78F9" w:rsidP="00C35B7A">
      <w:pPr>
        <w:spacing w:line="480" w:lineRule="auto"/>
        <w:jc w:val="both"/>
        <w:rPr>
          <w:sz w:val="24"/>
          <w:szCs w:val="24"/>
        </w:rPr>
      </w:pPr>
    </w:p>
    <w:p w14:paraId="5207DC26" w14:textId="0E9A2BE8" w:rsidR="00C35B7A" w:rsidRPr="001533EC" w:rsidRDefault="00C35B7A" w:rsidP="00C35B7A">
      <w:pPr>
        <w:spacing w:line="480" w:lineRule="auto"/>
        <w:jc w:val="both"/>
        <w:rPr>
          <w:b/>
          <w:sz w:val="24"/>
          <w:szCs w:val="24"/>
        </w:rPr>
      </w:pPr>
      <w:r w:rsidRPr="001533EC">
        <w:rPr>
          <w:b/>
          <w:sz w:val="24"/>
          <w:szCs w:val="24"/>
        </w:rPr>
        <w:t xml:space="preserve">All CpG </w:t>
      </w:r>
      <w:r w:rsidR="006E50B8" w:rsidRPr="001533EC">
        <w:rPr>
          <w:b/>
          <w:sz w:val="24"/>
          <w:szCs w:val="24"/>
        </w:rPr>
        <w:t>classifiers</w:t>
      </w:r>
      <w:r w:rsidRPr="001533EC">
        <w:rPr>
          <w:b/>
          <w:sz w:val="24"/>
          <w:szCs w:val="24"/>
        </w:rPr>
        <w:t xml:space="preserve"> are also differentially methylated between BIS and BIR</w:t>
      </w:r>
    </w:p>
    <w:p w14:paraId="129573FA" w14:textId="18775A2F" w:rsidR="00C35B7A" w:rsidRPr="001533EC" w:rsidRDefault="009C6891" w:rsidP="00C35B7A">
      <w:pPr>
        <w:spacing w:line="480" w:lineRule="auto"/>
        <w:jc w:val="both"/>
        <w:rPr>
          <w:bCs/>
          <w:iCs/>
          <w:sz w:val="24"/>
          <w:szCs w:val="24"/>
        </w:rPr>
      </w:pPr>
      <w:r>
        <w:rPr>
          <w:sz w:val="24"/>
          <w:szCs w:val="24"/>
        </w:rPr>
        <w:t>T</w:t>
      </w:r>
      <w:r w:rsidR="00C35B7A" w:rsidRPr="001533EC">
        <w:rPr>
          <w:sz w:val="24"/>
          <w:szCs w:val="24"/>
        </w:rPr>
        <w:t xml:space="preserve">o confirm whether our </w:t>
      </w:r>
      <w:proofErr w:type="spellStart"/>
      <w:r w:rsidR="0099013E">
        <w:rPr>
          <w:sz w:val="24"/>
          <w:szCs w:val="24"/>
        </w:rPr>
        <w:t>CpGs</w:t>
      </w:r>
      <w:proofErr w:type="spellEnd"/>
      <w:r w:rsidR="00C35B7A" w:rsidRPr="001533EC">
        <w:rPr>
          <w:sz w:val="24"/>
          <w:szCs w:val="24"/>
        </w:rPr>
        <w:t xml:space="preserve"> identified by machine learning were also differentially methylated,</w:t>
      </w:r>
      <w:r w:rsidR="00C35B7A" w:rsidRPr="001533EC">
        <w:rPr>
          <w:bCs/>
          <w:iCs/>
          <w:sz w:val="24"/>
          <w:szCs w:val="24"/>
        </w:rPr>
        <w:t xml:space="preserve"> we overlapped the output of both approaches. 7,240 </w:t>
      </w:r>
      <w:proofErr w:type="spellStart"/>
      <w:r w:rsidR="00C35B7A" w:rsidRPr="001533EC">
        <w:rPr>
          <w:bCs/>
          <w:iCs/>
          <w:sz w:val="24"/>
          <w:szCs w:val="24"/>
        </w:rPr>
        <w:t>CpGs</w:t>
      </w:r>
      <w:proofErr w:type="spellEnd"/>
      <w:r w:rsidR="00C35B7A" w:rsidRPr="001533EC">
        <w:rPr>
          <w:bCs/>
          <w:iCs/>
          <w:sz w:val="24"/>
          <w:szCs w:val="24"/>
        </w:rPr>
        <w:t xml:space="preserve"> identified by E-net strongly overlapped with those detected as DMPs (77% of the DMPs)</w:t>
      </w:r>
      <w:r w:rsidR="00CC5A46">
        <w:rPr>
          <w:bCs/>
          <w:iCs/>
          <w:sz w:val="24"/>
          <w:szCs w:val="24"/>
        </w:rPr>
        <w:t xml:space="preserve"> (</w:t>
      </w:r>
      <w:r w:rsidR="00CC5A46" w:rsidRPr="001533EC">
        <w:rPr>
          <w:bCs/>
          <w:iCs/>
          <w:sz w:val="24"/>
          <w:szCs w:val="24"/>
        </w:rPr>
        <w:t>Fig. 3D</w:t>
      </w:r>
      <w:r w:rsidR="00CC5A46">
        <w:rPr>
          <w:bCs/>
          <w:iCs/>
          <w:sz w:val="24"/>
          <w:szCs w:val="24"/>
        </w:rPr>
        <w:t>)</w:t>
      </w:r>
      <w:r w:rsidR="00C35B7A" w:rsidRPr="001533EC">
        <w:rPr>
          <w:bCs/>
          <w:iCs/>
          <w:sz w:val="24"/>
          <w:szCs w:val="24"/>
        </w:rPr>
        <w:t xml:space="preserve">. Additionally, all 540 </w:t>
      </w:r>
      <w:proofErr w:type="spellStart"/>
      <w:r w:rsidR="00C35B7A" w:rsidRPr="001533EC">
        <w:rPr>
          <w:bCs/>
          <w:iCs/>
          <w:sz w:val="24"/>
          <w:szCs w:val="24"/>
        </w:rPr>
        <w:t>CpGs</w:t>
      </w:r>
      <w:proofErr w:type="spellEnd"/>
      <w:r w:rsidR="00C35B7A" w:rsidRPr="001533EC">
        <w:rPr>
          <w:bCs/>
          <w:iCs/>
          <w:sz w:val="24"/>
          <w:szCs w:val="24"/>
        </w:rPr>
        <w:t xml:space="preserve"> identified as </w:t>
      </w:r>
      <w:r w:rsidR="006E50B8" w:rsidRPr="001533EC">
        <w:rPr>
          <w:bCs/>
          <w:iCs/>
          <w:sz w:val="24"/>
          <w:szCs w:val="24"/>
        </w:rPr>
        <w:t>classifiers</w:t>
      </w:r>
      <w:r w:rsidR="00C35B7A" w:rsidRPr="001533EC">
        <w:rPr>
          <w:bCs/>
          <w:iCs/>
          <w:sz w:val="24"/>
          <w:szCs w:val="24"/>
        </w:rPr>
        <w:t xml:space="preserve"> for brain insulin resistance were differentially methylated, with 68 </w:t>
      </w:r>
      <w:proofErr w:type="spellStart"/>
      <w:r w:rsidR="00C35B7A" w:rsidRPr="001533EC">
        <w:rPr>
          <w:bCs/>
          <w:iCs/>
          <w:sz w:val="24"/>
          <w:szCs w:val="24"/>
        </w:rPr>
        <w:t>CpGs</w:t>
      </w:r>
      <w:proofErr w:type="spellEnd"/>
      <w:r w:rsidR="00C35B7A" w:rsidRPr="001533EC">
        <w:rPr>
          <w:bCs/>
          <w:iCs/>
          <w:sz w:val="24"/>
          <w:szCs w:val="24"/>
        </w:rPr>
        <w:t xml:space="preserve"> exhibiting methylation change</w:t>
      </w:r>
      <w:r w:rsidR="00F1539E">
        <w:rPr>
          <w:bCs/>
          <w:iCs/>
          <w:sz w:val="24"/>
          <w:szCs w:val="24"/>
        </w:rPr>
        <w:t>s</w:t>
      </w:r>
      <w:r w:rsidR="00C35B7A" w:rsidRPr="001533EC">
        <w:rPr>
          <w:bCs/>
          <w:iCs/>
          <w:sz w:val="24"/>
          <w:szCs w:val="24"/>
        </w:rPr>
        <w:t xml:space="preserve"> of more than 2.5%. </w:t>
      </w:r>
      <w:r w:rsidR="003814F7">
        <w:rPr>
          <w:bCs/>
          <w:iCs/>
          <w:sz w:val="24"/>
          <w:szCs w:val="24"/>
        </w:rPr>
        <w:t>Of note</w:t>
      </w:r>
      <w:r w:rsidR="00C35B7A" w:rsidRPr="001533EC">
        <w:rPr>
          <w:bCs/>
          <w:iCs/>
          <w:sz w:val="24"/>
          <w:szCs w:val="24"/>
        </w:rPr>
        <w:t xml:space="preserve">, not all DMPs with strong changes were found as </w:t>
      </w:r>
      <w:r w:rsidR="006E50B8" w:rsidRPr="001533EC">
        <w:rPr>
          <w:bCs/>
          <w:iCs/>
          <w:sz w:val="24"/>
          <w:szCs w:val="24"/>
        </w:rPr>
        <w:t>classifiers</w:t>
      </w:r>
      <w:r w:rsidR="00C35B7A" w:rsidRPr="001533EC">
        <w:rPr>
          <w:bCs/>
          <w:iCs/>
          <w:sz w:val="24"/>
          <w:szCs w:val="24"/>
        </w:rPr>
        <w:t xml:space="preserve"> by E-net (as shown for 123 DMPs, Fig. 3D), indicating that not all CpG sites with strong changes are sufficient to classify BIR and BIS with good accuracy. It appears that machine learning can identify biologically relevant </w:t>
      </w:r>
      <w:proofErr w:type="spellStart"/>
      <w:r w:rsidR="00C35B7A" w:rsidRPr="001533EC">
        <w:rPr>
          <w:bCs/>
          <w:iCs/>
          <w:sz w:val="24"/>
          <w:szCs w:val="24"/>
        </w:rPr>
        <w:t>CpGs</w:t>
      </w:r>
      <w:proofErr w:type="spellEnd"/>
      <w:r w:rsidR="00C35B7A" w:rsidRPr="001533EC">
        <w:rPr>
          <w:bCs/>
          <w:iCs/>
          <w:sz w:val="24"/>
          <w:szCs w:val="24"/>
        </w:rPr>
        <w:t xml:space="preserve"> even with smaller changes in DNA methylation.</w:t>
      </w:r>
    </w:p>
    <w:p w14:paraId="0A8EECF4" w14:textId="51338E27" w:rsidR="00C35B7A" w:rsidRPr="001533EC" w:rsidRDefault="002112E3" w:rsidP="00C35B7A">
      <w:pPr>
        <w:spacing w:line="480" w:lineRule="auto"/>
        <w:jc w:val="both"/>
        <w:rPr>
          <w:bCs/>
          <w:iCs/>
          <w:sz w:val="24"/>
          <w:szCs w:val="24"/>
        </w:rPr>
      </w:pPr>
      <w:r>
        <w:rPr>
          <w:bCs/>
          <w:iCs/>
          <w:sz w:val="24"/>
          <w:szCs w:val="24"/>
        </w:rPr>
        <w:t>F</w:t>
      </w:r>
      <w:r w:rsidR="00C35B7A" w:rsidRPr="001533EC">
        <w:rPr>
          <w:bCs/>
          <w:iCs/>
          <w:sz w:val="24"/>
          <w:szCs w:val="24"/>
        </w:rPr>
        <w:t xml:space="preserve">ig. S2 includes additional details related to these overlapping </w:t>
      </w:r>
      <w:proofErr w:type="spellStart"/>
      <w:r w:rsidR="00C35B7A" w:rsidRPr="001533EC">
        <w:rPr>
          <w:bCs/>
          <w:iCs/>
          <w:sz w:val="24"/>
          <w:szCs w:val="24"/>
        </w:rPr>
        <w:t>CpGs</w:t>
      </w:r>
      <w:proofErr w:type="spellEnd"/>
      <w:r w:rsidR="00C35B7A" w:rsidRPr="001533EC">
        <w:rPr>
          <w:bCs/>
          <w:iCs/>
          <w:sz w:val="24"/>
          <w:szCs w:val="24"/>
        </w:rPr>
        <w:t xml:space="preserve"> from different approaches. The </w:t>
      </w:r>
      <w:proofErr w:type="spellStart"/>
      <w:r w:rsidR="00C35B7A" w:rsidRPr="001533EC">
        <w:rPr>
          <w:bCs/>
          <w:iCs/>
          <w:sz w:val="24"/>
          <w:szCs w:val="24"/>
        </w:rPr>
        <w:t>circos</w:t>
      </w:r>
      <w:proofErr w:type="spellEnd"/>
      <w:r w:rsidR="00C35B7A" w:rsidRPr="001533EC">
        <w:rPr>
          <w:bCs/>
          <w:iCs/>
          <w:sz w:val="24"/>
          <w:szCs w:val="24"/>
        </w:rPr>
        <w:t xml:space="preserve"> plot shows the chromosomal location and the proportion of hypo- and hyper-methylated </w:t>
      </w:r>
      <w:proofErr w:type="spellStart"/>
      <w:r w:rsidR="00C35B7A" w:rsidRPr="001533EC">
        <w:rPr>
          <w:bCs/>
          <w:iCs/>
          <w:sz w:val="24"/>
          <w:szCs w:val="24"/>
        </w:rPr>
        <w:t>CpGs</w:t>
      </w:r>
      <w:proofErr w:type="spellEnd"/>
      <w:r w:rsidR="00C35B7A" w:rsidRPr="001533EC">
        <w:rPr>
          <w:bCs/>
          <w:iCs/>
          <w:sz w:val="24"/>
          <w:szCs w:val="24"/>
        </w:rPr>
        <w:t xml:space="preserve"> found in DMPs and E-net analysis. The outer circle corresponds to 5,481 DMPs, the middle one to 7,240 </w:t>
      </w:r>
      <w:proofErr w:type="spellStart"/>
      <w:r w:rsidR="00C35B7A" w:rsidRPr="001533EC">
        <w:rPr>
          <w:bCs/>
          <w:iCs/>
          <w:sz w:val="24"/>
          <w:szCs w:val="24"/>
        </w:rPr>
        <w:t>CpGs</w:t>
      </w:r>
      <w:proofErr w:type="spellEnd"/>
      <w:r w:rsidR="00C35B7A" w:rsidRPr="001533EC">
        <w:rPr>
          <w:bCs/>
          <w:iCs/>
          <w:sz w:val="24"/>
          <w:szCs w:val="24"/>
        </w:rPr>
        <w:t xml:space="preserve"> from all E-net models, and the innermost circle details 540 stable </w:t>
      </w:r>
      <w:proofErr w:type="spellStart"/>
      <w:r w:rsidR="00C35B7A" w:rsidRPr="001533EC">
        <w:rPr>
          <w:bCs/>
          <w:iCs/>
          <w:sz w:val="24"/>
          <w:szCs w:val="24"/>
        </w:rPr>
        <w:t>CpGs</w:t>
      </w:r>
      <w:proofErr w:type="spellEnd"/>
      <w:r w:rsidR="00C35B7A" w:rsidRPr="001533EC">
        <w:rPr>
          <w:bCs/>
          <w:iCs/>
          <w:sz w:val="24"/>
          <w:szCs w:val="24"/>
        </w:rPr>
        <w:t xml:space="preserve"> </w:t>
      </w:r>
      <w:r w:rsidR="006E50B8" w:rsidRPr="001533EC">
        <w:rPr>
          <w:bCs/>
          <w:iCs/>
          <w:sz w:val="24"/>
          <w:szCs w:val="24"/>
        </w:rPr>
        <w:t>classifiers</w:t>
      </w:r>
      <w:r w:rsidR="00C35B7A" w:rsidRPr="001533EC">
        <w:rPr>
          <w:bCs/>
          <w:iCs/>
          <w:sz w:val="24"/>
          <w:szCs w:val="24"/>
        </w:rPr>
        <w:t xml:space="preserve">. Taken together, the DMPs and CpG </w:t>
      </w:r>
      <w:r w:rsidR="006E50B8" w:rsidRPr="001533EC">
        <w:rPr>
          <w:bCs/>
          <w:iCs/>
          <w:sz w:val="24"/>
          <w:szCs w:val="24"/>
        </w:rPr>
        <w:t>classifiers</w:t>
      </w:r>
      <w:r w:rsidR="00C35B7A" w:rsidRPr="001533EC">
        <w:rPr>
          <w:bCs/>
          <w:iCs/>
          <w:sz w:val="24"/>
          <w:szCs w:val="24"/>
        </w:rPr>
        <w:t xml:space="preserve"> were equally distributed across the genome.</w:t>
      </w:r>
    </w:p>
    <w:p w14:paraId="49945C7E" w14:textId="77777777" w:rsidR="00C35B7A" w:rsidRPr="001533EC" w:rsidRDefault="00C35B7A" w:rsidP="00C35B7A">
      <w:pPr>
        <w:spacing w:line="480" w:lineRule="auto"/>
        <w:jc w:val="both"/>
        <w:rPr>
          <w:b/>
          <w:sz w:val="24"/>
        </w:rPr>
      </w:pPr>
    </w:p>
    <w:p w14:paraId="282509C9" w14:textId="690E68FF" w:rsidR="00C35B7A" w:rsidRPr="001533EC" w:rsidRDefault="00C35B7A" w:rsidP="00C35B7A">
      <w:pPr>
        <w:spacing w:line="480" w:lineRule="auto"/>
        <w:jc w:val="both"/>
        <w:rPr>
          <w:bCs/>
          <w:iCs/>
          <w:sz w:val="24"/>
          <w:szCs w:val="24"/>
        </w:rPr>
      </w:pPr>
      <w:r w:rsidRPr="001533EC">
        <w:rPr>
          <w:b/>
          <w:sz w:val="24"/>
        </w:rPr>
        <w:lastRenderedPageBreak/>
        <w:t xml:space="preserve">Correlation of CpG </w:t>
      </w:r>
      <w:r w:rsidR="006E50B8" w:rsidRPr="001533EC">
        <w:rPr>
          <w:b/>
          <w:sz w:val="24"/>
        </w:rPr>
        <w:t>classifiers</w:t>
      </w:r>
      <w:r w:rsidRPr="001533EC">
        <w:rPr>
          <w:b/>
          <w:sz w:val="24"/>
        </w:rPr>
        <w:t xml:space="preserve"> with anthropometric and metabolic traits</w:t>
      </w:r>
    </w:p>
    <w:p w14:paraId="2FF51FE3" w14:textId="1D5677B8" w:rsidR="00C35B7A" w:rsidRPr="001533EC" w:rsidRDefault="00C35B7A" w:rsidP="00C35B7A">
      <w:pPr>
        <w:spacing w:line="480" w:lineRule="auto"/>
        <w:jc w:val="both"/>
        <w:rPr>
          <w:sz w:val="24"/>
          <w:szCs w:val="24"/>
        </w:rPr>
      </w:pPr>
      <w:r w:rsidRPr="001533EC">
        <w:rPr>
          <w:sz w:val="24"/>
          <w:szCs w:val="24"/>
        </w:rPr>
        <w:t xml:space="preserve">To link the identified epigenetic </w:t>
      </w:r>
      <w:r w:rsidR="006E50B8" w:rsidRPr="001533EC">
        <w:rPr>
          <w:sz w:val="24"/>
          <w:szCs w:val="24"/>
        </w:rPr>
        <w:t>classifiers</w:t>
      </w:r>
      <w:r w:rsidRPr="001533EC">
        <w:rPr>
          <w:sz w:val="24"/>
          <w:szCs w:val="24"/>
        </w:rPr>
        <w:t xml:space="preserve"> to specific phenotypes, Spearman correlation was applied to 540 </w:t>
      </w:r>
      <w:proofErr w:type="spellStart"/>
      <w:r w:rsidRPr="001533EC">
        <w:rPr>
          <w:sz w:val="24"/>
          <w:szCs w:val="24"/>
        </w:rPr>
        <w:t>CpGs</w:t>
      </w:r>
      <w:proofErr w:type="spellEnd"/>
      <w:r w:rsidRPr="001533EC">
        <w:rPr>
          <w:sz w:val="24"/>
          <w:szCs w:val="24"/>
        </w:rPr>
        <w:t xml:space="preserve"> with the participants</w:t>
      </w:r>
      <w:r w:rsidR="000F17DA">
        <w:rPr>
          <w:sz w:val="24"/>
          <w:szCs w:val="24"/>
        </w:rPr>
        <w:t>’</w:t>
      </w:r>
      <w:r w:rsidRPr="001533EC">
        <w:rPr>
          <w:sz w:val="24"/>
          <w:szCs w:val="24"/>
        </w:rPr>
        <w:t xml:space="preserve"> anthropometric and metabolic measurements (Table</w:t>
      </w:r>
      <w:r w:rsidR="00F872CA">
        <w:rPr>
          <w:sz w:val="24"/>
          <w:szCs w:val="24"/>
        </w:rPr>
        <w:t>s</w:t>
      </w:r>
      <w:r w:rsidRPr="001533EC">
        <w:rPr>
          <w:sz w:val="24"/>
          <w:szCs w:val="24"/>
        </w:rPr>
        <w:t xml:space="preserve"> 1 and 3). Out of 540 </w:t>
      </w:r>
      <w:r w:rsidR="006E50B8" w:rsidRPr="001533EC">
        <w:rPr>
          <w:sz w:val="24"/>
          <w:szCs w:val="24"/>
        </w:rPr>
        <w:t>classifiers</w:t>
      </w:r>
      <w:r w:rsidRPr="001533EC">
        <w:rPr>
          <w:sz w:val="24"/>
          <w:szCs w:val="24"/>
        </w:rPr>
        <w:t xml:space="preserve">, 528 </w:t>
      </w:r>
      <w:proofErr w:type="spellStart"/>
      <w:r w:rsidRPr="001533EC">
        <w:rPr>
          <w:sz w:val="24"/>
          <w:szCs w:val="24"/>
        </w:rPr>
        <w:t>CpGs</w:t>
      </w:r>
      <w:proofErr w:type="spellEnd"/>
      <w:r w:rsidRPr="001533EC">
        <w:rPr>
          <w:sz w:val="24"/>
          <w:szCs w:val="24"/>
        </w:rPr>
        <w:t xml:space="preserve"> were significantly correlated with </w:t>
      </w:r>
      <w:proofErr w:type="spellStart"/>
      <w:r w:rsidRPr="001533EC">
        <w:rPr>
          <w:sz w:val="24"/>
          <w:szCs w:val="24"/>
        </w:rPr>
        <w:t>ΔCBFn</w:t>
      </w:r>
      <w:proofErr w:type="spellEnd"/>
      <w:r w:rsidRPr="001533EC">
        <w:rPr>
          <w:sz w:val="24"/>
          <w:szCs w:val="24"/>
        </w:rPr>
        <w:t xml:space="preserve">-Hypothalamus and only 12 correlated </w:t>
      </w:r>
      <w:r w:rsidR="00991F4C">
        <w:rPr>
          <w:sz w:val="24"/>
          <w:szCs w:val="24"/>
        </w:rPr>
        <w:t>with</w:t>
      </w:r>
      <w:r w:rsidR="00991F4C" w:rsidRPr="001533EC">
        <w:rPr>
          <w:sz w:val="24"/>
          <w:szCs w:val="24"/>
        </w:rPr>
        <w:t xml:space="preserve"> </w:t>
      </w:r>
      <w:r w:rsidRPr="001533EC">
        <w:rPr>
          <w:sz w:val="24"/>
          <w:szCs w:val="24"/>
        </w:rPr>
        <w:t>the rest of the analyzed phenotypes in the discovery cohort</w:t>
      </w:r>
      <w:r w:rsidR="00992EB9" w:rsidRPr="001533EC">
        <w:rPr>
          <w:sz w:val="24"/>
          <w:szCs w:val="24"/>
        </w:rPr>
        <w:t xml:space="preserve"> (</w:t>
      </w:r>
      <w:r w:rsidR="00AE2778" w:rsidRPr="00A42B09">
        <w:rPr>
          <w:sz w:val="24"/>
        </w:rPr>
        <w:t>AdjP</w:t>
      </w:r>
      <w:r w:rsidR="00992EB9" w:rsidRPr="001533EC">
        <w:rPr>
          <w:sz w:val="24"/>
          <w:szCs w:val="24"/>
        </w:rPr>
        <w:t xml:space="preserve"> &lt;</w:t>
      </w:r>
      <w:r w:rsidR="001F49EC">
        <w:rPr>
          <w:sz w:val="24"/>
          <w:szCs w:val="24"/>
        </w:rPr>
        <w:t xml:space="preserve"> </w:t>
      </w:r>
      <w:r w:rsidR="00992EB9" w:rsidRPr="001533EC">
        <w:rPr>
          <w:sz w:val="24"/>
          <w:szCs w:val="24"/>
        </w:rPr>
        <w:t>0.05)</w:t>
      </w:r>
      <w:r w:rsidRPr="001533EC">
        <w:rPr>
          <w:sz w:val="24"/>
          <w:szCs w:val="24"/>
        </w:rPr>
        <w:t xml:space="preserve">. In the replication cohort I, 540 </w:t>
      </w:r>
      <w:proofErr w:type="spellStart"/>
      <w:r w:rsidRPr="001533EC">
        <w:rPr>
          <w:sz w:val="24"/>
          <w:szCs w:val="24"/>
        </w:rPr>
        <w:t>CpGs</w:t>
      </w:r>
      <w:proofErr w:type="spellEnd"/>
      <w:r w:rsidRPr="001533EC">
        <w:rPr>
          <w:sz w:val="24"/>
          <w:szCs w:val="24"/>
        </w:rPr>
        <w:t xml:space="preserve"> correlated with multiple traits. Again, the highest number of correlated </w:t>
      </w:r>
      <w:r w:rsidR="006E50B8" w:rsidRPr="001533EC">
        <w:rPr>
          <w:sz w:val="24"/>
          <w:szCs w:val="24"/>
        </w:rPr>
        <w:t>classifiers</w:t>
      </w:r>
      <w:r w:rsidRPr="001533EC">
        <w:rPr>
          <w:sz w:val="24"/>
          <w:szCs w:val="24"/>
        </w:rPr>
        <w:t xml:space="preserve"> was with </w:t>
      </w:r>
      <w:proofErr w:type="spellStart"/>
      <w:r w:rsidRPr="001533EC">
        <w:rPr>
          <w:sz w:val="24"/>
          <w:szCs w:val="24"/>
        </w:rPr>
        <w:t>ΔCBFn</w:t>
      </w:r>
      <w:proofErr w:type="spellEnd"/>
      <w:r w:rsidRPr="001533EC">
        <w:rPr>
          <w:sz w:val="24"/>
          <w:szCs w:val="24"/>
        </w:rPr>
        <w:t>-Hypothalamus (2</w:t>
      </w:r>
      <w:r w:rsidR="00944270">
        <w:rPr>
          <w:sz w:val="24"/>
          <w:szCs w:val="24"/>
        </w:rPr>
        <w:t>48</w:t>
      </w:r>
      <w:r w:rsidRPr="001533EC">
        <w:rPr>
          <w:sz w:val="24"/>
          <w:szCs w:val="24"/>
        </w:rPr>
        <w:t xml:space="preserve"> </w:t>
      </w:r>
      <w:proofErr w:type="spellStart"/>
      <w:r w:rsidRPr="001533EC">
        <w:rPr>
          <w:sz w:val="24"/>
          <w:szCs w:val="24"/>
        </w:rPr>
        <w:t>CpGs</w:t>
      </w:r>
      <w:proofErr w:type="spellEnd"/>
      <w:r w:rsidRPr="001533EC">
        <w:rPr>
          <w:sz w:val="24"/>
          <w:szCs w:val="24"/>
        </w:rPr>
        <w:t>) followed by circulating triglycerides (8</w:t>
      </w:r>
      <w:r w:rsidR="00944270">
        <w:rPr>
          <w:sz w:val="24"/>
          <w:szCs w:val="24"/>
        </w:rPr>
        <w:t>3</w:t>
      </w:r>
      <w:r w:rsidRPr="001533EC">
        <w:rPr>
          <w:sz w:val="24"/>
          <w:szCs w:val="24"/>
        </w:rPr>
        <w:t xml:space="preserve"> </w:t>
      </w:r>
      <w:proofErr w:type="spellStart"/>
      <w:r w:rsidRPr="001533EC">
        <w:rPr>
          <w:sz w:val="24"/>
          <w:szCs w:val="24"/>
        </w:rPr>
        <w:t>CpGs</w:t>
      </w:r>
      <w:proofErr w:type="spellEnd"/>
      <w:r w:rsidRPr="001533EC">
        <w:rPr>
          <w:sz w:val="24"/>
          <w:szCs w:val="24"/>
        </w:rPr>
        <w:t>) and fasting glucose (</w:t>
      </w:r>
      <w:r w:rsidR="00944270">
        <w:rPr>
          <w:sz w:val="24"/>
          <w:szCs w:val="24"/>
        </w:rPr>
        <w:t>48</w:t>
      </w:r>
      <w:r w:rsidRPr="001533EC">
        <w:rPr>
          <w:sz w:val="24"/>
          <w:szCs w:val="24"/>
        </w:rPr>
        <w:t xml:space="preserve"> </w:t>
      </w:r>
      <w:proofErr w:type="spellStart"/>
      <w:r w:rsidRPr="001533EC">
        <w:rPr>
          <w:sz w:val="24"/>
          <w:szCs w:val="24"/>
        </w:rPr>
        <w:t>CpGs</w:t>
      </w:r>
      <w:proofErr w:type="spellEnd"/>
      <w:r w:rsidRPr="001533EC">
        <w:rPr>
          <w:sz w:val="24"/>
          <w:szCs w:val="24"/>
        </w:rPr>
        <w:t xml:space="preserve">; Table 3). Fig. 4 shows the correlation of 68 CpG </w:t>
      </w:r>
      <w:r w:rsidR="006E50B8" w:rsidRPr="001533EC">
        <w:rPr>
          <w:sz w:val="24"/>
          <w:szCs w:val="24"/>
        </w:rPr>
        <w:t>classifiers</w:t>
      </w:r>
      <w:r w:rsidRPr="001533EC">
        <w:rPr>
          <w:sz w:val="24"/>
          <w:szCs w:val="24"/>
        </w:rPr>
        <w:t xml:space="preserve"> (depicted in the middle of the red and blue circles of the Venn diagram</w:t>
      </w:r>
      <w:r w:rsidR="006D0CA2">
        <w:rPr>
          <w:sz w:val="24"/>
          <w:szCs w:val="24"/>
        </w:rPr>
        <w:t xml:space="preserve"> in</w:t>
      </w:r>
      <w:r w:rsidRPr="001533EC">
        <w:rPr>
          <w:sz w:val="24"/>
          <w:szCs w:val="24"/>
        </w:rPr>
        <w:t xml:space="preserve"> Fig. 3D) that exhibit</w:t>
      </w:r>
      <w:r w:rsidR="00B644E0">
        <w:rPr>
          <w:sz w:val="24"/>
          <w:szCs w:val="24"/>
        </w:rPr>
        <w:t>ed</w:t>
      </w:r>
      <w:r w:rsidRPr="001533EC">
        <w:rPr>
          <w:sz w:val="24"/>
          <w:szCs w:val="24"/>
        </w:rPr>
        <w:t xml:space="preserve"> the highest methylation changes with traits in discovery and replication cohorts.</w:t>
      </w:r>
      <w:r w:rsidRPr="001533EC" w:rsidDel="008B3E7E">
        <w:rPr>
          <w:sz w:val="24"/>
          <w:szCs w:val="24"/>
        </w:rPr>
        <w:t xml:space="preserve"> </w:t>
      </w:r>
      <w:r w:rsidRPr="001533EC">
        <w:rPr>
          <w:sz w:val="24"/>
          <w:szCs w:val="24"/>
        </w:rPr>
        <w:t xml:space="preserve">These results further confirm that epigenetic markers detected in blood cells can mirror the mutual influence of brain insulin resistance and several metabolic traits associated with obesity and type 2 diabetes. </w:t>
      </w:r>
    </w:p>
    <w:p w14:paraId="28A5158B" w14:textId="77777777" w:rsidR="00076606" w:rsidRPr="001533EC" w:rsidRDefault="00076606" w:rsidP="00076606">
      <w:pPr>
        <w:spacing w:line="480" w:lineRule="auto"/>
        <w:jc w:val="both"/>
        <w:rPr>
          <w:b/>
          <w:sz w:val="24"/>
        </w:rPr>
      </w:pPr>
    </w:p>
    <w:p w14:paraId="23E77FBD" w14:textId="5216D654" w:rsidR="00076606" w:rsidRPr="001533EC" w:rsidRDefault="004D53D8" w:rsidP="00076606">
      <w:pPr>
        <w:spacing w:line="480" w:lineRule="auto"/>
        <w:jc w:val="both"/>
        <w:rPr>
          <w:bCs/>
          <w:iCs/>
          <w:sz w:val="24"/>
          <w:szCs w:val="24"/>
        </w:rPr>
      </w:pPr>
      <w:r w:rsidRPr="001533EC">
        <w:rPr>
          <w:b/>
          <w:sz w:val="24"/>
        </w:rPr>
        <w:t xml:space="preserve">Associations of </w:t>
      </w:r>
      <w:r w:rsidR="00076606" w:rsidRPr="001533EC">
        <w:rPr>
          <w:b/>
          <w:sz w:val="24"/>
        </w:rPr>
        <w:t xml:space="preserve">CpG </w:t>
      </w:r>
      <w:r w:rsidR="006E50B8" w:rsidRPr="001533EC">
        <w:rPr>
          <w:b/>
          <w:sz w:val="24"/>
        </w:rPr>
        <w:t>classifiers</w:t>
      </w:r>
      <w:r w:rsidR="00076606" w:rsidRPr="001533EC">
        <w:rPr>
          <w:b/>
          <w:sz w:val="24"/>
        </w:rPr>
        <w:t xml:space="preserve"> </w:t>
      </w:r>
      <w:r w:rsidRPr="001533EC">
        <w:rPr>
          <w:b/>
          <w:sz w:val="24"/>
        </w:rPr>
        <w:t xml:space="preserve">with trait </w:t>
      </w:r>
      <w:r w:rsidR="00213A13" w:rsidRPr="001533EC">
        <w:rPr>
          <w:b/>
          <w:sz w:val="24"/>
        </w:rPr>
        <w:t xml:space="preserve">of </w:t>
      </w:r>
      <w:r w:rsidRPr="001533EC">
        <w:rPr>
          <w:b/>
          <w:sz w:val="24"/>
        </w:rPr>
        <w:t>an</w:t>
      </w:r>
      <w:r w:rsidR="00213A13" w:rsidRPr="001533EC">
        <w:rPr>
          <w:b/>
          <w:sz w:val="24"/>
        </w:rPr>
        <w:t xml:space="preserve"> elevated</w:t>
      </w:r>
      <w:r w:rsidRPr="001533EC">
        <w:rPr>
          <w:b/>
          <w:sz w:val="24"/>
        </w:rPr>
        <w:t xml:space="preserve"> T2D risk </w:t>
      </w:r>
    </w:p>
    <w:p w14:paraId="537FD2CF" w14:textId="193B8D9C" w:rsidR="00AD169A" w:rsidRPr="001533EC" w:rsidRDefault="002F178F" w:rsidP="00C35B7A">
      <w:pPr>
        <w:spacing w:line="480" w:lineRule="auto"/>
        <w:jc w:val="both"/>
        <w:rPr>
          <w:sz w:val="24"/>
          <w:szCs w:val="24"/>
        </w:rPr>
      </w:pPr>
      <w:r w:rsidRPr="001533EC">
        <w:rPr>
          <w:sz w:val="24"/>
        </w:rPr>
        <w:t xml:space="preserve">In replication </w:t>
      </w:r>
      <w:r w:rsidR="005016C0" w:rsidRPr="001533EC">
        <w:rPr>
          <w:sz w:val="24"/>
        </w:rPr>
        <w:t xml:space="preserve">cohort </w:t>
      </w:r>
      <w:r w:rsidRPr="001533EC">
        <w:rPr>
          <w:sz w:val="24"/>
        </w:rPr>
        <w:t xml:space="preserve">I, </w:t>
      </w:r>
      <w:r w:rsidR="00365431" w:rsidRPr="001533EC">
        <w:rPr>
          <w:sz w:val="24"/>
        </w:rPr>
        <w:t xml:space="preserve">several CpG </w:t>
      </w:r>
      <w:r w:rsidR="006E50B8" w:rsidRPr="001533EC">
        <w:rPr>
          <w:sz w:val="24"/>
        </w:rPr>
        <w:t>classifiers</w:t>
      </w:r>
      <w:r w:rsidR="00365431" w:rsidRPr="001533EC">
        <w:rPr>
          <w:sz w:val="24"/>
        </w:rPr>
        <w:t xml:space="preserve"> were correlated to </w:t>
      </w:r>
      <w:r w:rsidR="00365431" w:rsidRPr="001533EC">
        <w:rPr>
          <w:sz w:val="24"/>
          <w:szCs w:val="24"/>
        </w:rPr>
        <w:t xml:space="preserve">circulating triglycerides (85 </w:t>
      </w:r>
      <w:proofErr w:type="spellStart"/>
      <w:r w:rsidR="00365431" w:rsidRPr="001533EC">
        <w:rPr>
          <w:sz w:val="24"/>
          <w:szCs w:val="24"/>
        </w:rPr>
        <w:t>CpGs</w:t>
      </w:r>
      <w:proofErr w:type="spellEnd"/>
      <w:r w:rsidR="00365431" w:rsidRPr="001533EC">
        <w:rPr>
          <w:sz w:val="24"/>
          <w:szCs w:val="24"/>
        </w:rPr>
        <w:t>) and fasting glucose (51 CpG</w:t>
      </w:r>
      <w:r w:rsidR="004A0FA1" w:rsidRPr="001533EC">
        <w:rPr>
          <w:sz w:val="24"/>
          <w:szCs w:val="24"/>
        </w:rPr>
        <w:t xml:space="preserve"> sites</w:t>
      </w:r>
      <w:r w:rsidR="00365431" w:rsidRPr="001533EC">
        <w:rPr>
          <w:sz w:val="24"/>
          <w:szCs w:val="24"/>
        </w:rPr>
        <w:t xml:space="preserve">). </w:t>
      </w:r>
      <w:bookmarkStart w:id="3" w:name="_Hlk194507798"/>
      <w:r w:rsidR="00842A31" w:rsidRPr="001533EC">
        <w:rPr>
          <w:sz w:val="24"/>
          <w:szCs w:val="24"/>
        </w:rPr>
        <w:t xml:space="preserve">We sought to </w:t>
      </w:r>
      <w:r w:rsidR="00D625D9" w:rsidRPr="001533EC">
        <w:rPr>
          <w:sz w:val="24"/>
          <w:szCs w:val="24"/>
        </w:rPr>
        <w:t xml:space="preserve">replicate these findings in </w:t>
      </w:r>
      <w:r w:rsidR="00CF191C" w:rsidRPr="001533EC">
        <w:rPr>
          <w:sz w:val="24"/>
          <w:szCs w:val="24"/>
        </w:rPr>
        <w:t xml:space="preserve">the EPIC-Potsdam cohort - </w:t>
      </w:r>
      <w:r w:rsidR="00411A53" w:rsidRPr="001533EC">
        <w:rPr>
          <w:sz w:val="24"/>
          <w:szCs w:val="24"/>
        </w:rPr>
        <w:t xml:space="preserve">a healthy </w:t>
      </w:r>
      <w:r w:rsidR="00D625D9" w:rsidRPr="001533EC">
        <w:rPr>
          <w:sz w:val="24"/>
          <w:szCs w:val="24"/>
        </w:rPr>
        <w:t>population</w:t>
      </w:r>
      <w:r w:rsidR="00CF191C" w:rsidRPr="001533EC">
        <w:rPr>
          <w:sz w:val="24"/>
          <w:szCs w:val="24"/>
        </w:rPr>
        <w:t xml:space="preserve"> </w:t>
      </w:r>
      <w:r w:rsidR="00213A13" w:rsidRPr="001533EC">
        <w:rPr>
          <w:sz w:val="24"/>
          <w:szCs w:val="24"/>
        </w:rPr>
        <w:t xml:space="preserve">in which </w:t>
      </w:r>
      <w:r w:rsidR="00CF191C" w:rsidRPr="001533EC">
        <w:rPr>
          <w:sz w:val="24"/>
          <w:szCs w:val="24"/>
        </w:rPr>
        <w:t>sample</w:t>
      </w:r>
      <w:r w:rsidR="00213A13" w:rsidRPr="001533EC">
        <w:rPr>
          <w:sz w:val="24"/>
          <w:szCs w:val="24"/>
        </w:rPr>
        <w:t>s were analyzed at baseline before the diagnosis of</w:t>
      </w:r>
      <w:r w:rsidR="00CF191C" w:rsidRPr="001533EC">
        <w:rPr>
          <w:sz w:val="24"/>
          <w:szCs w:val="24"/>
        </w:rPr>
        <w:t xml:space="preserve"> T2D </w:t>
      </w:r>
      <w:r w:rsidR="00122188" w:rsidRPr="001533EC">
        <w:rPr>
          <w:rStyle w:val="Funotenzeichen"/>
          <w:sz w:val="24"/>
          <w:szCs w:val="24"/>
        </w:rPr>
        <w:fldChar w:fldCharType="begin" w:fldLock="1"/>
      </w:r>
      <w:r w:rsidR="0017498C">
        <w:rPr>
          <w:sz w:val="24"/>
          <w:szCs w:val="24"/>
        </w:rPr>
        <w:instrText>ADDIN CSL_CITATION {"citationItems":[{"id":"ITEM-1","itemData":{"DOI":"10.1159/000012787","ISSN":"0250-6807 (Print)","PMID":"10592369","abstract":"EPIC is among the largest cohort studies, with approximately 475,000 study  participants, on the etiological influence of diet and chronic diseases. During a 4-year recruitment period, two German EPIC centers, located in Heidelberg and Potsdam, aimed to recruit a total of 60,000 study participants from the local populations. The recruitment process was based on addresses from general population registries and started 4-5 weeks in advance with an initial invitation by mail to the basic examination for this study. Subjects not responding within 2 weeks were reminded. In Potsdam, this was done by mail and telephone, and in Heidelberg by telephone. During the recruitment phase, from 1994 to 1998, 53,162 subjects in total were examined for the cohort studies in Heidelberg (n = 25,546) and Potsdam (n = 27,616). The participation rate, compared to the invited number of subjects, was 22.7% in Potsdam and 38.3% in Heidelberg, with a considerable variation by municipality and gender. A comparison with data from the National Health Survey 1991/1992 revealed that the cohort populations were of higher socio-economic status and were healthier than the source population. We concluded that the selective participation would help to ensure high maintenance of the cohort during active follow-up. Selective participation does not harm etiological conclusions because disease associations are derived internally as relative risk. The relative risk estimates can be used to calculate population-attributable risk and preventable proportion, based on exposure prevalence derived by surveys and other studies.","author":[{"dropping-particle":"","family":"Boeing","given":"H","non-dropping-particle":"","parse-names":false,"suffix":""},{"dropping-particle":"","family":"Korfmann","given":"A","non-dropping-particle":"","parse-names":false,"suffix":""},{"dropping-particle":"","family":"Bergmann","given":"M M","non-dropping-particle":"","parse-names":false,"suffix":""}],"container-title":"Annals of nutrition &amp; metabolism","id":"ITEM-1","issue":"4","issued":{"date-parts":[["1999"]]},"language":"eng","page":"205-215","publisher-place":"Switzerland","title":"Recruitment procedures of EPIC-Germany. European Investigation into Cancer and  Nutrition.","type":"article-journal","volume":"43"},"uris":["http://www.mendeley.com/documents/?uuid=ae65b521-c059-40d8-876f-811feded018f"]}],"mendeley":{"formattedCitation":"&lt;i&gt;(25)&lt;/i&gt;","plainTextFormattedCitation":"(25)","previouslyFormattedCitation":"&lt;i&gt;(25)&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bCs/>
          <w:i/>
          <w:noProof/>
          <w:sz w:val="24"/>
          <w:szCs w:val="24"/>
        </w:rPr>
        <w:t>(25)</w:t>
      </w:r>
      <w:r w:rsidR="00122188" w:rsidRPr="001533EC">
        <w:rPr>
          <w:rStyle w:val="Funotenzeichen"/>
          <w:sz w:val="24"/>
          <w:szCs w:val="24"/>
        </w:rPr>
        <w:fldChar w:fldCharType="end"/>
      </w:r>
      <w:r w:rsidR="00411A53" w:rsidRPr="001533EC">
        <w:rPr>
          <w:sz w:val="24"/>
          <w:szCs w:val="24"/>
        </w:rPr>
        <w:t xml:space="preserve">. </w:t>
      </w:r>
      <w:r w:rsidR="00BE00C6" w:rsidRPr="001533EC">
        <w:rPr>
          <w:sz w:val="24"/>
          <w:szCs w:val="24"/>
        </w:rPr>
        <w:t xml:space="preserve">Out of the 540 CpG sites, </w:t>
      </w:r>
      <w:r w:rsidR="00415D2C" w:rsidRPr="001533EC">
        <w:rPr>
          <w:sz w:val="24"/>
          <w:szCs w:val="24"/>
        </w:rPr>
        <w:t>30</w:t>
      </w:r>
      <w:r w:rsidR="004D53D8" w:rsidRPr="001533EC">
        <w:rPr>
          <w:sz w:val="24"/>
          <w:szCs w:val="24"/>
        </w:rPr>
        <w:t xml:space="preserve"> were statistically significantly</w:t>
      </w:r>
      <w:r w:rsidR="0028009E">
        <w:rPr>
          <w:sz w:val="24"/>
          <w:szCs w:val="24"/>
        </w:rPr>
        <w:t xml:space="preserve"> </w:t>
      </w:r>
      <w:r w:rsidR="0028009E" w:rsidRPr="001533EC">
        <w:rPr>
          <w:sz w:val="24"/>
          <w:szCs w:val="24"/>
        </w:rPr>
        <w:t>associated</w:t>
      </w:r>
      <w:r w:rsidR="004D53D8" w:rsidRPr="001533EC">
        <w:rPr>
          <w:sz w:val="24"/>
          <w:szCs w:val="24"/>
        </w:rPr>
        <w:t xml:space="preserve"> </w:t>
      </w:r>
      <w:bookmarkEnd w:id="3"/>
      <w:r w:rsidR="004D53D8" w:rsidRPr="001533EC">
        <w:rPr>
          <w:sz w:val="24"/>
          <w:szCs w:val="24"/>
        </w:rPr>
        <w:t>(</w:t>
      </w:r>
      <w:r w:rsidR="001F49EC">
        <w:rPr>
          <w:sz w:val="24"/>
          <w:szCs w:val="24"/>
        </w:rPr>
        <w:t>P</w:t>
      </w:r>
      <w:r w:rsidR="004D53D8" w:rsidRPr="001533EC">
        <w:rPr>
          <w:sz w:val="24"/>
          <w:szCs w:val="24"/>
        </w:rPr>
        <w:t xml:space="preserve"> &lt; 0.05) </w:t>
      </w:r>
      <w:r w:rsidR="00BE00C6" w:rsidRPr="001533EC">
        <w:rPr>
          <w:sz w:val="24"/>
          <w:szCs w:val="24"/>
        </w:rPr>
        <w:t>with</w:t>
      </w:r>
      <w:r w:rsidR="00415D2C" w:rsidRPr="001533EC">
        <w:rPr>
          <w:sz w:val="24"/>
          <w:szCs w:val="24"/>
        </w:rPr>
        <w:t xml:space="preserve"> triglycerides, 40 </w:t>
      </w:r>
      <w:r w:rsidR="007B1ACA" w:rsidRPr="001533EC">
        <w:rPr>
          <w:sz w:val="24"/>
          <w:szCs w:val="24"/>
        </w:rPr>
        <w:t xml:space="preserve">with </w:t>
      </w:r>
      <w:r w:rsidR="004D53D8" w:rsidRPr="001533EC">
        <w:rPr>
          <w:sz w:val="24"/>
          <w:szCs w:val="24"/>
        </w:rPr>
        <w:t>H</w:t>
      </w:r>
      <w:r w:rsidR="00415D2C" w:rsidRPr="001533EC">
        <w:rPr>
          <w:sz w:val="24"/>
          <w:szCs w:val="24"/>
        </w:rPr>
        <w:t>bA1c</w:t>
      </w:r>
      <w:r w:rsidR="007B1ACA" w:rsidRPr="001533EC">
        <w:rPr>
          <w:sz w:val="24"/>
          <w:szCs w:val="24"/>
        </w:rPr>
        <w:t>, 37 with cholesterol</w:t>
      </w:r>
      <w:r w:rsidR="00135382">
        <w:rPr>
          <w:sz w:val="24"/>
          <w:szCs w:val="24"/>
        </w:rPr>
        <w:t>,</w:t>
      </w:r>
      <w:r w:rsidR="007B1ACA" w:rsidRPr="001533EC">
        <w:rPr>
          <w:sz w:val="24"/>
          <w:szCs w:val="24"/>
        </w:rPr>
        <w:t xml:space="preserve"> and 36 with BMI</w:t>
      </w:r>
      <w:r w:rsidR="00655B01" w:rsidRPr="001533EC">
        <w:rPr>
          <w:sz w:val="24"/>
          <w:szCs w:val="24"/>
        </w:rPr>
        <w:t xml:space="preserve"> </w:t>
      </w:r>
      <w:r w:rsidR="00CF191C" w:rsidRPr="001533EC">
        <w:rPr>
          <w:sz w:val="24"/>
          <w:szCs w:val="24"/>
        </w:rPr>
        <w:t>in a cross-sectional design</w:t>
      </w:r>
      <w:r w:rsidR="00372760" w:rsidRPr="001533EC">
        <w:rPr>
          <w:sz w:val="24"/>
          <w:szCs w:val="24"/>
        </w:rPr>
        <w:t xml:space="preserve"> </w:t>
      </w:r>
      <w:r w:rsidR="00655B01" w:rsidRPr="001533EC">
        <w:rPr>
          <w:sz w:val="24"/>
          <w:szCs w:val="24"/>
        </w:rPr>
        <w:t>(Table</w:t>
      </w:r>
      <w:r w:rsidR="00C40975" w:rsidRPr="001533EC">
        <w:rPr>
          <w:sz w:val="24"/>
          <w:szCs w:val="24"/>
        </w:rPr>
        <w:t xml:space="preserve"> S3</w:t>
      </w:r>
      <w:r w:rsidR="00655B01" w:rsidRPr="001533EC">
        <w:rPr>
          <w:sz w:val="24"/>
          <w:szCs w:val="24"/>
        </w:rPr>
        <w:t>).</w:t>
      </w:r>
      <w:r w:rsidR="00BE00C6" w:rsidRPr="001533EC">
        <w:rPr>
          <w:sz w:val="24"/>
          <w:szCs w:val="24"/>
        </w:rPr>
        <w:t xml:space="preserve"> </w:t>
      </w:r>
      <w:r w:rsidR="004D53D8" w:rsidRPr="001533EC">
        <w:rPr>
          <w:sz w:val="24"/>
          <w:szCs w:val="24"/>
        </w:rPr>
        <w:t xml:space="preserve">In addition, we found 63 CpG sites associated with </w:t>
      </w:r>
      <w:r w:rsidR="00213A13" w:rsidRPr="001533EC">
        <w:rPr>
          <w:sz w:val="24"/>
          <w:szCs w:val="24"/>
        </w:rPr>
        <w:t xml:space="preserve">T2D </w:t>
      </w:r>
      <w:r w:rsidR="004D53D8" w:rsidRPr="001533EC">
        <w:rPr>
          <w:sz w:val="24"/>
          <w:szCs w:val="24"/>
        </w:rPr>
        <w:t>risk in a prospective</w:t>
      </w:r>
      <w:r w:rsidR="00CF191C" w:rsidRPr="001533EC">
        <w:rPr>
          <w:sz w:val="24"/>
          <w:szCs w:val="24"/>
        </w:rPr>
        <w:t xml:space="preserve"> analysis</w:t>
      </w:r>
      <w:r w:rsidR="00145CE8">
        <w:rPr>
          <w:sz w:val="24"/>
          <w:szCs w:val="24"/>
        </w:rPr>
        <w:t xml:space="preserve"> </w:t>
      </w:r>
      <w:r w:rsidR="00145CE8" w:rsidRPr="001533EC">
        <w:rPr>
          <w:sz w:val="24"/>
          <w:szCs w:val="24"/>
        </w:rPr>
        <w:t>(Table S</w:t>
      </w:r>
      <w:r w:rsidR="00145CE8">
        <w:rPr>
          <w:sz w:val="24"/>
          <w:szCs w:val="24"/>
        </w:rPr>
        <w:t>4</w:t>
      </w:r>
      <w:r w:rsidR="00145CE8" w:rsidRPr="001533EC">
        <w:rPr>
          <w:sz w:val="24"/>
          <w:szCs w:val="24"/>
        </w:rPr>
        <w:t>).</w:t>
      </w:r>
    </w:p>
    <w:p w14:paraId="103D1E06" w14:textId="77777777" w:rsidR="00A9625E" w:rsidRPr="001533EC" w:rsidRDefault="00A9625E" w:rsidP="00C35B7A">
      <w:pPr>
        <w:spacing w:line="480" w:lineRule="auto"/>
        <w:jc w:val="both"/>
        <w:rPr>
          <w:b/>
          <w:sz w:val="24"/>
        </w:rPr>
      </w:pPr>
    </w:p>
    <w:p w14:paraId="69D52652" w14:textId="540CF5C3" w:rsidR="00C35B7A" w:rsidRPr="001533EC" w:rsidRDefault="00C35B7A" w:rsidP="00C35B7A">
      <w:pPr>
        <w:spacing w:line="480" w:lineRule="auto"/>
        <w:jc w:val="both"/>
        <w:rPr>
          <w:b/>
          <w:sz w:val="24"/>
        </w:rPr>
      </w:pPr>
      <w:r w:rsidRPr="001533EC">
        <w:rPr>
          <w:b/>
          <w:sz w:val="24"/>
        </w:rPr>
        <w:t>Blood-brain correlation enrichment</w:t>
      </w:r>
    </w:p>
    <w:p w14:paraId="312C1658" w14:textId="73E157E0" w:rsidR="00C35B7A" w:rsidRPr="001533EC" w:rsidRDefault="00C35B7A" w:rsidP="00C35B7A">
      <w:pPr>
        <w:spacing w:line="480" w:lineRule="auto"/>
        <w:jc w:val="both"/>
        <w:rPr>
          <w:sz w:val="24"/>
          <w:szCs w:val="24"/>
        </w:rPr>
      </w:pPr>
      <w:r w:rsidRPr="001533EC">
        <w:rPr>
          <w:sz w:val="24"/>
          <w:szCs w:val="24"/>
        </w:rPr>
        <w:t xml:space="preserve">To estimate which epigenetically regulated genes detected in blood cells reflect those expressed in brain regions, we screened the 540 </w:t>
      </w:r>
      <w:proofErr w:type="spellStart"/>
      <w:r w:rsidRPr="001533EC">
        <w:rPr>
          <w:sz w:val="24"/>
          <w:szCs w:val="24"/>
        </w:rPr>
        <w:t>CpGs</w:t>
      </w:r>
      <w:proofErr w:type="spellEnd"/>
      <w:r w:rsidRPr="001533EC">
        <w:rPr>
          <w:sz w:val="24"/>
          <w:szCs w:val="24"/>
        </w:rPr>
        <w:t xml:space="preserve"> identified as </w:t>
      </w:r>
      <w:r w:rsidR="006E50B8" w:rsidRPr="001533EC">
        <w:rPr>
          <w:sz w:val="24"/>
          <w:szCs w:val="24"/>
        </w:rPr>
        <w:t>classifiers</w:t>
      </w:r>
      <w:r w:rsidRPr="001533EC">
        <w:rPr>
          <w:sz w:val="24"/>
          <w:szCs w:val="24"/>
        </w:rPr>
        <w:t xml:space="preserve"> of brain insulin resistance </w:t>
      </w:r>
      <w:r w:rsidRPr="001533EC">
        <w:rPr>
          <w:sz w:val="24"/>
          <w:szCs w:val="24"/>
        </w:rPr>
        <w:lastRenderedPageBreak/>
        <w:t xml:space="preserve">for a blood-brain correlation of DNA methylation using an online database (https://epigenetics.essex.ac.uk/bloodbrain/). </w:t>
      </w:r>
      <w:bookmarkStart w:id="4" w:name="OLE_LINK1"/>
      <w:r w:rsidRPr="001533EC">
        <w:rPr>
          <w:sz w:val="24"/>
          <w:szCs w:val="24"/>
        </w:rPr>
        <w:t xml:space="preserve">Among these 540 </w:t>
      </w:r>
      <w:proofErr w:type="spellStart"/>
      <w:r w:rsidRPr="001533EC">
        <w:rPr>
          <w:sz w:val="24"/>
          <w:szCs w:val="24"/>
        </w:rPr>
        <w:t>CpGs</w:t>
      </w:r>
      <w:proofErr w:type="spellEnd"/>
      <w:r w:rsidRPr="001533EC">
        <w:rPr>
          <w:sz w:val="24"/>
          <w:szCs w:val="24"/>
        </w:rPr>
        <w:t>, 309 were available in the database which was generated with the 450K array, 231 were missing and 98 were found to exhibit significant blood-brain DNA methylation correlation in at least one of the assessed brain regions (</w:t>
      </w:r>
      <w:r w:rsidR="002D524F">
        <w:rPr>
          <w:sz w:val="24"/>
          <w:szCs w:val="24"/>
        </w:rPr>
        <w:t>P</w:t>
      </w:r>
      <w:r w:rsidR="00BF2921" w:rsidRPr="001533EC">
        <w:rPr>
          <w:sz w:val="24"/>
          <w:szCs w:val="24"/>
        </w:rPr>
        <w:t xml:space="preserve"> &lt; 0.05; </w:t>
      </w:r>
      <w:r w:rsidRPr="001533EC">
        <w:rPr>
          <w:sz w:val="24"/>
          <w:szCs w:val="24"/>
        </w:rPr>
        <w:t xml:space="preserve">Fig. 5B). </w:t>
      </w:r>
      <w:bookmarkEnd w:id="4"/>
      <w:r w:rsidRPr="001533EC">
        <w:rPr>
          <w:sz w:val="24"/>
          <w:szCs w:val="24"/>
        </w:rPr>
        <w:t xml:space="preserve">As expected, the DNA methylation of the majority of these 98 </w:t>
      </w:r>
      <w:proofErr w:type="spellStart"/>
      <w:r w:rsidRPr="001533EC">
        <w:rPr>
          <w:sz w:val="24"/>
          <w:szCs w:val="24"/>
        </w:rPr>
        <w:t>CpGs</w:t>
      </w:r>
      <w:proofErr w:type="spellEnd"/>
      <w:r w:rsidRPr="001533EC">
        <w:rPr>
          <w:sz w:val="24"/>
          <w:szCs w:val="24"/>
        </w:rPr>
        <w:t xml:space="preserve"> </w:t>
      </w:r>
      <w:r w:rsidR="00227B70">
        <w:rPr>
          <w:sz w:val="24"/>
          <w:szCs w:val="24"/>
        </w:rPr>
        <w:t>was</w:t>
      </w:r>
      <w:r w:rsidR="00227B70" w:rsidRPr="001533EC">
        <w:rPr>
          <w:sz w:val="24"/>
          <w:szCs w:val="24"/>
        </w:rPr>
        <w:t xml:space="preserve"> </w:t>
      </w:r>
      <w:r w:rsidRPr="001533EC">
        <w:rPr>
          <w:sz w:val="24"/>
          <w:szCs w:val="24"/>
        </w:rPr>
        <w:t xml:space="preserve">positively correlated between blood and brain. Furthermore, they were found to be equally distributed in the four brain regions available in the database; 45 </w:t>
      </w:r>
      <w:proofErr w:type="spellStart"/>
      <w:r w:rsidRPr="001533EC">
        <w:rPr>
          <w:sz w:val="24"/>
          <w:szCs w:val="24"/>
        </w:rPr>
        <w:t>CpGs</w:t>
      </w:r>
      <w:proofErr w:type="spellEnd"/>
      <w:r w:rsidRPr="001533EC">
        <w:rPr>
          <w:sz w:val="24"/>
          <w:szCs w:val="24"/>
        </w:rPr>
        <w:t xml:space="preserve"> in </w:t>
      </w:r>
      <w:r w:rsidR="00E97418">
        <w:rPr>
          <w:sz w:val="24"/>
          <w:szCs w:val="24"/>
        </w:rPr>
        <w:t xml:space="preserve">the </w:t>
      </w:r>
      <w:r w:rsidRPr="001533EC">
        <w:rPr>
          <w:sz w:val="24"/>
          <w:szCs w:val="24"/>
        </w:rPr>
        <w:t xml:space="preserve">prefrontal cortex (outer circle), 49 </w:t>
      </w:r>
      <w:proofErr w:type="spellStart"/>
      <w:r w:rsidRPr="001533EC">
        <w:rPr>
          <w:sz w:val="24"/>
          <w:szCs w:val="24"/>
        </w:rPr>
        <w:t>CpGs</w:t>
      </w:r>
      <w:proofErr w:type="spellEnd"/>
      <w:r w:rsidRPr="001533EC">
        <w:rPr>
          <w:sz w:val="24"/>
          <w:szCs w:val="24"/>
        </w:rPr>
        <w:t xml:space="preserve"> in</w:t>
      </w:r>
      <w:r w:rsidR="001B5C02">
        <w:rPr>
          <w:sz w:val="24"/>
          <w:szCs w:val="24"/>
        </w:rPr>
        <w:t xml:space="preserve"> the</w:t>
      </w:r>
      <w:r w:rsidRPr="001533EC">
        <w:rPr>
          <w:sz w:val="24"/>
          <w:szCs w:val="24"/>
        </w:rPr>
        <w:t xml:space="preserve"> entorhinal cortex, 48 </w:t>
      </w:r>
      <w:proofErr w:type="spellStart"/>
      <w:r w:rsidRPr="001533EC">
        <w:rPr>
          <w:sz w:val="24"/>
          <w:szCs w:val="24"/>
        </w:rPr>
        <w:t>CpGs</w:t>
      </w:r>
      <w:proofErr w:type="spellEnd"/>
      <w:r w:rsidRPr="001533EC">
        <w:rPr>
          <w:sz w:val="24"/>
          <w:szCs w:val="24"/>
        </w:rPr>
        <w:t xml:space="preserve"> in </w:t>
      </w:r>
      <w:r w:rsidR="001B5C02">
        <w:rPr>
          <w:sz w:val="24"/>
          <w:szCs w:val="24"/>
        </w:rPr>
        <w:t xml:space="preserve">the </w:t>
      </w:r>
      <w:r w:rsidRPr="001533EC">
        <w:rPr>
          <w:sz w:val="24"/>
          <w:szCs w:val="24"/>
        </w:rPr>
        <w:t xml:space="preserve">superior temporal gyrus, and 33 </w:t>
      </w:r>
      <w:proofErr w:type="spellStart"/>
      <w:r w:rsidRPr="001533EC">
        <w:rPr>
          <w:sz w:val="24"/>
          <w:szCs w:val="24"/>
        </w:rPr>
        <w:t>CpGs</w:t>
      </w:r>
      <w:proofErr w:type="spellEnd"/>
      <w:r w:rsidRPr="001533EC">
        <w:rPr>
          <w:sz w:val="24"/>
          <w:szCs w:val="24"/>
        </w:rPr>
        <w:t xml:space="preserve"> in</w:t>
      </w:r>
      <w:r w:rsidR="00227B70">
        <w:rPr>
          <w:sz w:val="24"/>
          <w:szCs w:val="24"/>
        </w:rPr>
        <w:t xml:space="preserve"> the</w:t>
      </w:r>
      <w:r w:rsidRPr="001533EC">
        <w:rPr>
          <w:sz w:val="24"/>
          <w:szCs w:val="24"/>
        </w:rPr>
        <w:t xml:space="preserve"> cerebrum inner track. Of note, correlation coefficients for 14 </w:t>
      </w:r>
      <w:proofErr w:type="spellStart"/>
      <w:r w:rsidRPr="001533EC">
        <w:rPr>
          <w:sz w:val="24"/>
          <w:szCs w:val="24"/>
        </w:rPr>
        <w:t>CpGs</w:t>
      </w:r>
      <w:proofErr w:type="spellEnd"/>
      <w:r w:rsidRPr="001533EC">
        <w:rPr>
          <w:sz w:val="24"/>
          <w:szCs w:val="24"/>
        </w:rPr>
        <w:t xml:space="preserve"> were significant</w:t>
      </w:r>
      <w:r w:rsidR="001D0F62">
        <w:rPr>
          <w:sz w:val="24"/>
          <w:szCs w:val="24"/>
        </w:rPr>
        <w:t xml:space="preserve"> </w:t>
      </w:r>
      <w:r w:rsidR="00EB54D1">
        <w:rPr>
          <w:sz w:val="24"/>
          <w:szCs w:val="24"/>
        </w:rPr>
        <w:t>(</w:t>
      </w:r>
      <w:r w:rsidR="00687464">
        <w:rPr>
          <w:sz w:val="24"/>
          <w:szCs w:val="24"/>
        </w:rPr>
        <w:t>P</w:t>
      </w:r>
      <w:r w:rsidR="001F49EC">
        <w:rPr>
          <w:sz w:val="24"/>
          <w:szCs w:val="24"/>
        </w:rPr>
        <w:t xml:space="preserve"> </w:t>
      </w:r>
      <w:r w:rsidR="00EB54D1">
        <w:rPr>
          <w:sz w:val="24"/>
          <w:szCs w:val="24"/>
        </w:rPr>
        <w:t>&lt;</w:t>
      </w:r>
      <w:r w:rsidR="001F49EC">
        <w:rPr>
          <w:sz w:val="24"/>
          <w:szCs w:val="24"/>
        </w:rPr>
        <w:t xml:space="preserve"> </w:t>
      </w:r>
      <w:r w:rsidR="00EB54D1">
        <w:rPr>
          <w:sz w:val="24"/>
          <w:szCs w:val="24"/>
        </w:rPr>
        <w:t>0.05)</w:t>
      </w:r>
      <w:r w:rsidR="00687464">
        <w:rPr>
          <w:sz w:val="24"/>
          <w:szCs w:val="24"/>
        </w:rPr>
        <w:t xml:space="preserve"> </w:t>
      </w:r>
      <w:r w:rsidRPr="001533EC">
        <w:rPr>
          <w:sz w:val="24"/>
          <w:szCs w:val="24"/>
        </w:rPr>
        <w:t xml:space="preserve">(Fig. 5) for all four brain regions. </w:t>
      </w:r>
      <w:r w:rsidR="00EE534C">
        <w:rPr>
          <w:sz w:val="24"/>
          <w:szCs w:val="24"/>
        </w:rPr>
        <w:t>In particular,</w:t>
      </w:r>
      <w:r w:rsidRPr="001533EC">
        <w:rPr>
          <w:sz w:val="24"/>
          <w:szCs w:val="24"/>
        </w:rPr>
        <w:t xml:space="preserve"> cg12186219 annotated to </w:t>
      </w:r>
      <w:r w:rsidRPr="001533EC">
        <w:rPr>
          <w:i/>
          <w:sz w:val="24"/>
          <w:szCs w:val="24"/>
        </w:rPr>
        <w:t xml:space="preserve">BRSK2, </w:t>
      </w:r>
      <w:r w:rsidRPr="001533EC">
        <w:rPr>
          <w:sz w:val="24"/>
          <w:szCs w:val="24"/>
        </w:rPr>
        <w:t xml:space="preserve">which is a CpG </w:t>
      </w:r>
      <w:r w:rsidR="00482ACB">
        <w:rPr>
          <w:sz w:val="24"/>
          <w:szCs w:val="24"/>
        </w:rPr>
        <w:t xml:space="preserve">site </w:t>
      </w:r>
      <w:r w:rsidRPr="001533EC">
        <w:rPr>
          <w:sz w:val="24"/>
          <w:szCs w:val="24"/>
        </w:rPr>
        <w:t>with high DNA methylation differences in BIS and BIR.</w:t>
      </w:r>
      <w:r w:rsidRPr="001533EC">
        <w:rPr>
          <w:i/>
          <w:sz w:val="24"/>
          <w:szCs w:val="24"/>
        </w:rPr>
        <w:t xml:space="preserve"> </w:t>
      </w:r>
      <w:r w:rsidRPr="001533EC">
        <w:rPr>
          <w:sz w:val="24"/>
          <w:szCs w:val="24"/>
        </w:rPr>
        <w:t xml:space="preserve">DNA methylation </w:t>
      </w:r>
      <w:r w:rsidR="00D905C0" w:rsidRPr="001533EC">
        <w:rPr>
          <w:sz w:val="24"/>
          <w:szCs w:val="24"/>
        </w:rPr>
        <w:t>values</w:t>
      </w:r>
      <w:r w:rsidRPr="001533EC">
        <w:rPr>
          <w:sz w:val="24"/>
          <w:szCs w:val="24"/>
        </w:rPr>
        <w:t xml:space="preserve"> for cg12186219 </w:t>
      </w:r>
      <w:r w:rsidR="00732FA8">
        <w:rPr>
          <w:sz w:val="24"/>
          <w:szCs w:val="24"/>
        </w:rPr>
        <w:t xml:space="preserve">were higher in blood cells </w:t>
      </w:r>
      <w:r w:rsidRPr="001533EC">
        <w:rPr>
          <w:sz w:val="24"/>
          <w:szCs w:val="24"/>
        </w:rPr>
        <w:t>than in the brain</w:t>
      </w:r>
      <w:r w:rsidRPr="001533EC">
        <w:rPr>
          <w:i/>
          <w:sz w:val="24"/>
          <w:szCs w:val="24"/>
        </w:rPr>
        <w:t xml:space="preserve">. </w:t>
      </w:r>
      <w:r w:rsidRPr="001533EC">
        <w:rPr>
          <w:sz w:val="24"/>
          <w:szCs w:val="24"/>
        </w:rPr>
        <w:t>However, interindividual variations follow</w:t>
      </w:r>
      <w:r w:rsidR="00643739">
        <w:rPr>
          <w:sz w:val="24"/>
          <w:szCs w:val="24"/>
        </w:rPr>
        <w:t>ed</w:t>
      </w:r>
      <w:r w:rsidRPr="001533EC">
        <w:rPr>
          <w:sz w:val="24"/>
          <w:szCs w:val="24"/>
        </w:rPr>
        <w:t xml:space="preserve"> the same pattern in all four brain regions and blood cells (fig. S5A). As the blood-brain correlation database </w:t>
      </w:r>
      <w:r w:rsidR="00196E4D">
        <w:rPr>
          <w:sz w:val="24"/>
          <w:szCs w:val="24"/>
        </w:rPr>
        <w:t>was</w:t>
      </w:r>
      <w:r w:rsidR="00196E4D" w:rsidRPr="001533EC">
        <w:rPr>
          <w:sz w:val="24"/>
          <w:szCs w:val="24"/>
        </w:rPr>
        <w:t xml:space="preserve"> </w:t>
      </w:r>
      <w:r w:rsidRPr="001533EC">
        <w:rPr>
          <w:sz w:val="24"/>
          <w:szCs w:val="24"/>
        </w:rPr>
        <w:t xml:space="preserve">based on 450K arrays, we also grouped the identified </w:t>
      </w:r>
      <w:proofErr w:type="spellStart"/>
      <w:r w:rsidRPr="001533EC">
        <w:rPr>
          <w:sz w:val="24"/>
          <w:szCs w:val="24"/>
        </w:rPr>
        <w:t>CpGs</w:t>
      </w:r>
      <w:proofErr w:type="spellEnd"/>
      <w:r w:rsidRPr="001533EC">
        <w:rPr>
          <w:sz w:val="24"/>
          <w:szCs w:val="24"/>
        </w:rPr>
        <w:t xml:space="preserve"> based on the intraclass correlation (ICC) derived from EPIC</w:t>
      </w:r>
      <w:r w:rsidR="00AE6979">
        <w:rPr>
          <w:sz w:val="24"/>
          <w:szCs w:val="24"/>
        </w:rPr>
        <w:t xml:space="preserve"> </w:t>
      </w:r>
      <w:r w:rsidRPr="001533EC">
        <w:rPr>
          <w:sz w:val="24"/>
          <w:szCs w:val="24"/>
        </w:rPr>
        <w:t>v</w:t>
      </w:r>
      <w:r w:rsidR="00AE6979">
        <w:rPr>
          <w:sz w:val="24"/>
          <w:szCs w:val="24"/>
        </w:rPr>
        <w:t>ersion</w:t>
      </w:r>
      <w:r w:rsidRPr="001533EC">
        <w:rPr>
          <w:sz w:val="24"/>
          <w:szCs w:val="24"/>
        </w:rPr>
        <w:t>1, as detailed previously</w:t>
      </w:r>
      <w:r w:rsidR="00B91804">
        <w:rPr>
          <w:sz w:val="24"/>
          <w:szCs w:val="24"/>
        </w:rPr>
        <w:t xml:space="preserve"> </w:t>
      </w:r>
      <w:r w:rsidR="00122188" w:rsidRPr="001533EC">
        <w:rPr>
          <w:rStyle w:val="Funotenzeichen"/>
          <w:sz w:val="24"/>
          <w:szCs w:val="24"/>
        </w:rPr>
        <w:fldChar w:fldCharType="begin" w:fldLock="1"/>
      </w:r>
      <w:r w:rsidR="00607440" w:rsidRPr="001533EC">
        <w:rPr>
          <w:sz w:val="24"/>
          <w:szCs w:val="24"/>
        </w:rPr>
        <w:instrText>ADDIN CSL_CITATION {"citationItems":[{"id":"ITEM-1","itemData":{"DOI":"10.1080/15592294.2024.2333660","ISSN":"1559-2308 (Electronic)","PMID":"38564759","abstract":"DNA methylation (DNAm) plays a crucial role in a number of complex diseases.  However, the reliability of DNAm levels measured using Illumina arrays varies across different probes. Previous research primarily assessed probe reliability by comparing duplicate samples between the 450k-450k or 450k-EPIC platforms, with limited investigations on Illumina EPIC v1.0 arrays. We conducted a comprehensive assessment of the EPIC v1.0 array probe reliability using 69 blood DNA samples, each measured twice, generated by the Alzheimer's Disease Neuroimaging Initiative study. We observed higher reliability in probes with average methylation beta values of 0.2 to 0.8, and lower reliability in type I probes or those within the promoter and CpG island regions. Importantly, we found that probe reliability has significant implications in the analyses of Epigenome-wide Association Studies (EWAS). Higher reliability is associated with more consistent effect sizes in different studies, the identification of differentially methylated regions (DMRs) and methylation quantitative trait locus (mQTLs), and significant correlations with downstream gene expression. Moreover, blood DNAm measurements obtained from probes with higher reliability are more likely to show concordance with brain DNAm measurements. Our findings, which provide crucial reliability information for probes on the EPIC v1.0 array, will serve as a valuable resource for future DNAm studies.","author":[{"dropping-particle":"","family":"Zhang","given":"Wei","non-dropping-particle":"","parse-names":false,"suffix":""},{"dropping-particle":"","family":"Young","given":"Juan I","non-dropping-particle":"","parse-names":false,"suffix":""},{"dropping-particle":"","family":"Gomez","given":"Lissette","non-dropping-particle":"","parse-names":false,"suffix":""},{"dropping-particle":"","family":"Schmidt","given":"Michael A","non-dropping-particle":"","parse-names":false,"suffix":""},{"dropping-particle":"","family":"Lukacsovich","given":"David","non-dropping-particle":"","parse-names":false,"suffix":""},{"dropping-particle":"","family":"Varma","given":"Achintya","non-dropping-particle":"","parse-names":false,"suffix":""},{"dropping-particle":"","family":"Chen","given":"X Steven","non-dropping-particle":"","parse-names":false,"suffix":""},{"dropping-particle":"","family":"Kunkle","given":"Brian","non-dropping-particle":"","parse-names":false,"suffix":""},{"dropping-particle":"","family":"Martin","given":"Eden R","non-dropping-particle":"","parse-names":false,"suffix":""},{"dropping-particle":"","family":"Wang","given":"Lily","non-dropping-particle":"","parse-names":false,"suffix":""}],"container-title":"Epigenetics","id":"ITEM-1","issue":"1","issued":{"date-parts":[["2024","12"]]},"language":"eng","page":"2333660","publisher-place":"United States","title":"Critical evaluation of the reliability of DNA methylation probes on the Illumina  MethylationEPIC v1.0 BeadChip microarrays.","type":"article-journal","volume":"19"},"uris":["http://www.mendeley.com/documents/?uuid=9d211552-b8b6-4669-9588-033e6e005d8d"]}],"mendeley":{"formattedCitation":"&lt;i&gt;(26)&lt;/i&gt;","plainTextFormattedCitation":"(26)","previouslyFormattedCitation":"&lt;i&gt;(26)&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bCs/>
          <w:i/>
          <w:noProof/>
          <w:sz w:val="24"/>
          <w:szCs w:val="24"/>
        </w:rPr>
        <w:t>(26)</w:t>
      </w:r>
      <w:r w:rsidR="00122188" w:rsidRPr="001533EC">
        <w:rPr>
          <w:rStyle w:val="Funotenzeichen"/>
          <w:sz w:val="24"/>
          <w:szCs w:val="24"/>
        </w:rPr>
        <w:fldChar w:fldCharType="end"/>
      </w:r>
      <w:r w:rsidRPr="001533EC">
        <w:rPr>
          <w:sz w:val="24"/>
          <w:szCs w:val="24"/>
        </w:rPr>
        <w:t xml:space="preserve">. Among the top 30 </w:t>
      </w:r>
      <w:proofErr w:type="spellStart"/>
      <w:r w:rsidRPr="001533EC">
        <w:rPr>
          <w:sz w:val="24"/>
          <w:szCs w:val="24"/>
        </w:rPr>
        <w:t>CpGs</w:t>
      </w:r>
      <w:proofErr w:type="spellEnd"/>
      <w:r w:rsidRPr="001533EC">
        <w:rPr>
          <w:sz w:val="24"/>
          <w:szCs w:val="24"/>
        </w:rPr>
        <w:t xml:space="preserve"> with a high DNA methylation difference, 12 </w:t>
      </w:r>
      <w:proofErr w:type="spellStart"/>
      <w:r w:rsidRPr="001533EC">
        <w:rPr>
          <w:sz w:val="24"/>
          <w:szCs w:val="24"/>
        </w:rPr>
        <w:t>CpGs</w:t>
      </w:r>
      <w:proofErr w:type="spellEnd"/>
      <w:r w:rsidRPr="001533EC">
        <w:rPr>
          <w:sz w:val="24"/>
          <w:szCs w:val="24"/>
        </w:rPr>
        <w:t xml:space="preserve"> were identified as excellent, inferring a strong blood-brain methylation correlation (fig. S5B, Table </w:t>
      </w:r>
      <w:r w:rsidR="007E4606" w:rsidRPr="001533EC">
        <w:rPr>
          <w:sz w:val="24"/>
          <w:szCs w:val="24"/>
        </w:rPr>
        <w:t>S</w:t>
      </w:r>
      <w:r w:rsidR="007E4606">
        <w:rPr>
          <w:sz w:val="24"/>
          <w:szCs w:val="24"/>
        </w:rPr>
        <w:t>5</w:t>
      </w:r>
      <w:r w:rsidR="00D7093E">
        <w:rPr>
          <w:sz w:val="24"/>
          <w:szCs w:val="24"/>
        </w:rPr>
        <w:t>, data file 1</w:t>
      </w:r>
      <w:r w:rsidRPr="001533EC">
        <w:rPr>
          <w:sz w:val="24"/>
          <w:szCs w:val="24"/>
        </w:rPr>
        <w:t xml:space="preserve">). </w:t>
      </w:r>
    </w:p>
    <w:p w14:paraId="1D946A89" w14:textId="26F51A12" w:rsidR="00C35B7A" w:rsidRPr="00064115" w:rsidRDefault="00C35B7A" w:rsidP="00C35B7A">
      <w:pPr>
        <w:spacing w:line="480" w:lineRule="auto"/>
        <w:jc w:val="both"/>
        <w:rPr>
          <w:sz w:val="24"/>
          <w:szCs w:val="24"/>
        </w:rPr>
      </w:pPr>
      <w:r w:rsidRPr="001533EC">
        <w:rPr>
          <w:sz w:val="24"/>
          <w:szCs w:val="24"/>
        </w:rPr>
        <w:t xml:space="preserve">Another strategy to investigate the relevance of these 540 epigenetic markers in possible regulation of brain gene expression is to use </w:t>
      </w:r>
      <w:r w:rsidR="008878B2" w:rsidRPr="001533EC">
        <w:rPr>
          <w:sz w:val="24"/>
          <w:szCs w:val="24"/>
        </w:rPr>
        <w:t>publicly</w:t>
      </w:r>
      <w:r w:rsidRPr="001533EC">
        <w:rPr>
          <w:sz w:val="24"/>
          <w:szCs w:val="24"/>
        </w:rPr>
        <w:t xml:space="preserve"> available data on chromatin accessibility. To verify whether the CpG sites </w:t>
      </w:r>
      <w:proofErr w:type="gramStart"/>
      <w:r w:rsidRPr="001533EC">
        <w:rPr>
          <w:sz w:val="24"/>
          <w:szCs w:val="24"/>
        </w:rPr>
        <w:t>are located in</w:t>
      </w:r>
      <w:proofErr w:type="gramEnd"/>
      <w:r w:rsidRPr="001533EC">
        <w:rPr>
          <w:sz w:val="24"/>
          <w:szCs w:val="24"/>
        </w:rPr>
        <w:t xml:space="preserve"> open chromatin structure, in a cis-regulatory elements, we used </w:t>
      </w:r>
      <w:proofErr w:type="spellStart"/>
      <w:r w:rsidR="001F49EC">
        <w:rPr>
          <w:sz w:val="24"/>
          <w:szCs w:val="24"/>
        </w:rPr>
        <w:t>C</w:t>
      </w:r>
      <w:r w:rsidR="001F49EC" w:rsidRPr="001533EC">
        <w:rPr>
          <w:sz w:val="24"/>
          <w:szCs w:val="24"/>
        </w:rPr>
        <w:t>hi</w:t>
      </w:r>
      <w:r w:rsidR="001F49EC">
        <w:rPr>
          <w:sz w:val="24"/>
          <w:szCs w:val="24"/>
        </w:rPr>
        <w:t>P</w:t>
      </w:r>
      <w:proofErr w:type="spellEnd"/>
      <w:r w:rsidR="001F49EC">
        <w:rPr>
          <w:sz w:val="24"/>
          <w:szCs w:val="24"/>
        </w:rPr>
        <w:t>-</w:t>
      </w:r>
      <w:r w:rsidRPr="001533EC">
        <w:rPr>
          <w:sz w:val="24"/>
          <w:szCs w:val="24"/>
        </w:rPr>
        <w:t xml:space="preserve">seq data of H3K27ac performed in human </w:t>
      </w:r>
      <w:r w:rsidR="008878B2" w:rsidRPr="001533EC">
        <w:rPr>
          <w:sz w:val="24"/>
          <w:szCs w:val="24"/>
        </w:rPr>
        <w:t>prefrontal</w:t>
      </w:r>
      <w:r w:rsidRPr="001533EC">
        <w:rPr>
          <w:sz w:val="24"/>
          <w:szCs w:val="24"/>
        </w:rPr>
        <w:t xml:space="preserve"> cortex. The mapping results indicated that 339 out of 540 </w:t>
      </w:r>
      <w:proofErr w:type="spellStart"/>
      <w:r w:rsidRPr="001533EC">
        <w:rPr>
          <w:sz w:val="24"/>
          <w:szCs w:val="24"/>
        </w:rPr>
        <w:t>CpGs</w:t>
      </w:r>
      <w:proofErr w:type="spellEnd"/>
      <w:r w:rsidRPr="001533EC">
        <w:rPr>
          <w:sz w:val="24"/>
          <w:szCs w:val="24"/>
        </w:rPr>
        <w:t xml:space="preserve"> </w:t>
      </w:r>
      <w:proofErr w:type="gramStart"/>
      <w:r w:rsidR="009D5DB7">
        <w:rPr>
          <w:sz w:val="24"/>
          <w:szCs w:val="24"/>
        </w:rPr>
        <w:t xml:space="preserve">were </w:t>
      </w:r>
      <w:r w:rsidRPr="001533EC">
        <w:rPr>
          <w:sz w:val="24"/>
          <w:szCs w:val="24"/>
        </w:rPr>
        <w:t>located in</w:t>
      </w:r>
      <w:proofErr w:type="gramEnd"/>
      <w:r w:rsidRPr="001533EC">
        <w:rPr>
          <w:sz w:val="24"/>
          <w:szCs w:val="24"/>
        </w:rPr>
        <w:t xml:space="preserve"> near proximity of open chromatin region</w:t>
      </w:r>
      <w:r w:rsidR="00E1696D">
        <w:rPr>
          <w:sz w:val="24"/>
          <w:szCs w:val="24"/>
        </w:rPr>
        <w:t>s</w:t>
      </w:r>
      <w:r w:rsidR="008073ED" w:rsidRPr="001533EC">
        <w:rPr>
          <w:sz w:val="24"/>
          <w:szCs w:val="24"/>
        </w:rPr>
        <w:t xml:space="preserve"> (</w:t>
      </w:r>
      <w:proofErr w:type="gramStart"/>
      <w:r w:rsidR="008073ED" w:rsidRPr="001533EC">
        <w:rPr>
          <w:sz w:val="24"/>
          <w:szCs w:val="24"/>
        </w:rPr>
        <w:t>fig.S</w:t>
      </w:r>
      <w:proofErr w:type="gramEnd"/>
      <w:r w:rsidR="008073ED" w:rsidRPr="001533EC">
        <w:rPr>
          <w:sz w:val="24"/>
          <w:szCs w:val="24"/>
        </w:rPr>
        <w:t>6)</w:t>
      </w:r>
      <w:r w:rsidRPr="001533EC">
        <w:rPr>
          <w:sz w:val="24"/>
          <w:szCs w:val="24"/>
        </w:rPr>
        <w:t>. Taken together, these data suggest that blood-based epigenetic signatures at least partially mirror distinct brain epigenetic profiles and could potentially reflect the biological processes underlying brain insulin responsiveness.</w:t>
      </w:r>
    </w:p>
    <w:p w14:paraId="735ECDE5" w14:textId="6B86B211" w:rsidR="00C35B7A" w:rsidRPr="001533EC" w:rsidRDefault="000B07CD" w:rsidP="00C35B7A">
      <w:pPr>
        <w:spacing w:line="480" w:lineRule="auto"/>
        <w:jc w:val="both"/>
        <w:rPr>
          <w:b/>
          <w:sz w:val="24"/>
        </w:rPr>
      </w:pPr>
      <w:r>
        <w:rPr>
          <w:b/>
          <w:sz w:val="24"/>
        </w:rPr>
        <w:lastRenderedPageBreak/>
        <w:t>Classifier</w:t>
      </w:r>
      <w:r w:rsidRPr="001533EC">
        <w:rPr>
          <w:b/>
          <w:sz w:val="24"/>
        </w:rPr>
        <w:t xml:space="preserve"> </w:t>
      </w:r>
      <w:r w:rsidR="00C35B7A" w:rsidRPr="001533EC">
        <w:rPr>
          <w:b/>
          <w:sz w:val="24"/>
        </w:rPr>
        <w:t xml:space="preserve">capacity of the </w:t>
      </w:r>
      <w:proofErr w:type="spellStart"/>
      <w:r w:rsidR="00C35B7A" w:rsidRPr="001533EC">
        <w:rPr>
          <w:b/>
          <w:sz w:val="24"/>
        </w:rPr>
        <w:t>CpGs</w:t>
      </w:r>
      <w:proofErr w:type="spellEnd"/>
      <w:r w:rsidR="00C35B7A" w:rsidRPr="001533EC">
        <w:rPr>
          <w:b/>
          <w:sz w:val="24"/>
        </w:rPr>
        <w:t xml:space="preserve"> sites in a second replication cohort</w:t>
      </w:r>
    </w:p>
    <w:p w14:paraId="4F060A1C" w14:textId="06D032AD" w:rsidR="001A416B" w:rsidRDefault="00C35B7A" w:rsidP="00C8031E">
      <w:pPr>
        <w:spacing w:line="480" w:lineRule="auto"/>
        <w:jc w:val="both"/>
        <w:rPr>
          <w:sz w:val="24"/>
        </w:rPr>
      </w:pPr>
      <w:r w:rsidRPr="001533EC">
        <w:rPr>
          <w:sz w:val="24"/>
        </w:rPr>
        <w:t xml:space="preserve">To validate the capacity of the identified methylation markers </w:t>
      </w:r>
      <w:r w:rsidR="004A1514">
        <w:rPr>
          <w:sz w:val="24"/>
        </w:rPr>
        <w:t xml:space="preserve">to classify brain insulin resistance </w:t>
      </w:r>
      <w:r w:rsidRPr="001533EC">
        <w:rPr>
          <w:sz w:val="24"/>
        </w:rPr>
        <w:t xml:space="preserve">in an independent cohort, 24 individuals with and without brain insulin resistance from another center (Lübeck, </w:t>
      </w:r>
      <w:r w:rsidR="00AE6979">
        <w:rPr>
          <w:sz w:val="24"/>
        </w:rPr>
        <w:t xml:space="preserve">Germany, </w:t>
      </w:r>
      <w:r w:rsidRPr="001533EC">
        <w:rPr>
          <w:sz w:val="24"/>
        </w:rPr>
        <w:t xml:space="preserve">replication II, fig. S1, Table </w:t>
      </w:r>
      <w:r w:rsidR="00D7093E">
        <w:rPr>
          <w:sz w:val="24"/>
        </w:rPr>
        <w:t>1</w:t>
      </w:r>
      <w:r w:rsidRPr="001533EC">
        <w:rPr>
          <w:sz w:val="24"/>
        </w:rPr>
        <w:t xml:space="preserve">), were included. Both discovery and replication cohort I were </w:t>
      </w:r>
      <w:r w:rsidR="00AB4EB8" w:rsidRPr="001533EC">
        <w:rPr>
          <w:sz w:val="24"/>
        </w:rPr>
        <w:t>assessed</w:t>
      </w:r>
      <w:r w:rsidRPr="001533EC">
        <w:rPr>
          <w:sz w:val="24"/>
        </w:rPr>
        <w:t xml:space="preserve"> with Illumina's EPIC version 1 arrays which are currently discontinued and </w:t>
      </w:r>
      <w:r w:rsidR="00B916BD">
        <w:rPr>
          <w:sz w:val="24"/>
        </w:rPr>
        <w:t xml:space="preserve">were </w:t>
      </w:r>
      <w:r w:rsidRPr="001533EC">
        <w:rPr>
          <w:sz w:val="24"/>
        </w:rPr>
        <w:t xml:space="preserve">replaced by “EPIC version 2”. To make our results accessible for future studies and exclude any potential technical limitations, DNA methylation profiles from these additional 24 individuals (replication II) were profiled with EPIC version 2. Out of the 540, only 504 CpG sites were available in EPIC version 2. Therefore, using the remaining 504 </w:t>
      </w:r>
      <w:proofErr w:type="spellStart"/>
      <w:r w:rsidRPr="001533EC">
        <w:rPr>
          <w:sz w:val="24"/>
        </w:rPr>
        <w:t>CpGs</w:t>
      </w:r>
      <w:proofErr w:type="spellEnd"/>
      <w:r w:rsidRPr="001533EC">
        <w:rPr>
          <w:sz w:val="24"/>
        </w:rPr>
        <w:t xml:space="preserve"> as </w:t>
      </w:r>
      <w:r w:rsidR="006E50B8" w:rsidRPr="001533EC">
        <w:rPr>
          <w:sz w:val="24"/>
        </w:rPr>
        <w:t>classifiers</w:t>
      </w:r>
      <w:r w:rsidRPr="001533EC">
        <w:rPr>
          <w:sz w:val="24"/>
        </w:rPr>
        <w:t xml:space="preserve">, machine learning models RF and SVM were trained on the discovery </w:t>
      </w:r>
      <w:proofErr w:type="gramStart"/>
      <w:r w:rsidRPr="001533EC">
        <w:rPr>
          <w:sz w:val="24"/>
        </w:rPr>
        <w:t>cohort</w:t>
      </w:r>
      <w:proofErr w:type="gramEnd"/>
      <w:r w:rsidRPr="001533EC">
        <w:rPr>
          <w:sz w:val="24"/>
        </w:rPr>
        <w:t xml:space="preserve"> and their performance </w:t>
      </w:r>
      <w:r w:rsidR="003146B0">
        <w:rPr>
          <w:sz w:val="24"/>
        </w:rPr>
        <w:t>was</w:t>
      </w:r>
      <w:r w:rsidRPr="001533EC">
        <w:rPr>
          <w:sz w:val="24"/>
        </w:rPr>
        <w:t xml:space="preserve"> then evaluated on both replication cohorts. Notably, the RF model achieved high </w:t>
      </w:r>
      <w:r w:rsidR="004458EE">
        <w:rPr>
          <w:sz w:val="24"/>
        </w:rPr>
        <w:t>classification</w:t>
      </w:r>
      <w:r w:rsidR="004458EE" w:rsidRPr="001533EC">
        <w:rPr>
          <w:sz w:val="24"/>
        </w:rPr>
        <w:t xml:space="preserve"> </w:t>
      </w:r>
      <w:r w:rsidRPr="001533EC">
        <w:rPr>
          <w:sz w:val="24"/>
        </w:rPr>
        <w:t xml:space="preserve">accuracy: 94% for replication cohort I (MCC = 0.85) and 87.5% for replication cohort II (MCC = 0.77). Similarly, the SVM model demonstrated robust performance with </w:t>
      </w:r>
      <w:r w:rsidR="004458EE">
        <w:rPr>
          <w:sz w:val="24"/>
        </w:rPr>
        <w:t>classification</w:t>
      </w:r>
      <w:r w:rsidR="004458EE" w:rsidRPr="001533EC">
        <w:rPr>
          <w:sz w:val="24"/>
        </w:rPr>
        <w:t xml:space="preserve"> </w:t>
      </w:r>
      <w:r w:rsidRPr="001533EC">
        <w:rPr>
          <w:sz w:val="24"/>
        </w:rPr>
        <w:t xml:space="preserve">accuracy of 90% (MCC = 0.79) and 83% (MCC = 0.79) for replication cohorts I and II, respectively (Fig. 6A-B). This consistent performance of both models across two distinct datasets suggests good robustness of the 504 CpG </w:t>
      </w:r>
      <w:r w:rsidR="006E50B8" w:rsidRPr="001533EC">
        <w:rPr>
          <w:sz w:val="24"/>
        </w:rPr>
        <w:t>classifiers</w:t>
      </w:r>
      <w:r w:rsidRPr="001533EC">
        <w:rPr>
          <w:sz w:val="24"/>
        </w:rPr>
        <w:t xml:space="preserve">. </w:t>
      </w:r>
    </w:p>
    <w:p w14:paraId="661F5D48" w14:textId="4F8D5A55" w:rsidR="00C8031E" w:rsidRPr="001533EC" w:rsidRDefault="00C8031E" w:rsidP="00C8031E">
      <w:pPr>
        <w:spacing w:line="480" w:lineRule="auto"/>
        <w:jc w:val="both"/>
        <w:rPr>
          <w:sz w:val="24"/>
        </w:rPr>
      </w:pPr>
      <w:r w:rsidRPr="001533EC">
        <w:rPr>
          <w:sz w:val="24"/>
        </w:rPr>
        <w:t xml:space="preserve">As the participants of the discovery cohort were leaner and younger than those included in replication </w:t>
      </w:r>
      <w:r w:rsidR="007702E3" w:rsidRPr="001533EC">
        <w:rPr>
          <w:sz w:val="24"/>
        </w:rPr>
        <w:t xml:space="preserve">cohorts </w:t>
      </w:r>
      <w:r w:rsidRPr="001533EC">
        <w:rPr>
          <w:sz w:val="24"/>
        </w:rPr>
        <w:t xml:space="preserve">I and II, we investigated whether the </w:t>
      </w:r>
      <w:r w:rsidR="009E0743">
        <w:rPr>
          <w:sz w:val="24"/>
        </w:rPr>
        <w:t>classification</w:t>
      </w:r>
      <w:r w:rsidR="009E0743" w:rsidRPr="001533EC">
        <w:rPr>
          <w:sz w:val="24"/>
        </w:rPr>
        <w:t xml:space="preserve"> </w:t>
      </w:r>
      <w:r w:rsidRPr="001533EC">
        <w:rPr>
          <w:sz w:val="24"/>
        </w:rPr>
        <w:t xml:space="preserve">capacity of the 540 CpG methylation markers remained consistent across heterogeneous age and BMI. Therefore, individuals from replication </w:t>
      </w:r>
      <w:r w:rsidR="007702E3" w:rsidRPr="001533EC">
        <w:rPr>
          <w:sz w:val="24"/>
        </w:rPr>
        <w:t xml:space="preserve">cohort </w:t>
      </w:r>
      <w:r w:rsidRPr="001533EC">
        <w:rPr>
          <w:sz w:val="24"/>
        </w:rPr>
        <w:t xml:space="preserve">I and II were divided according to their age and BMI. For age, nearly 90% of the older individuals – those above the group’s average </w:t>
      </w:r>
      <w:r w:rsidR="002037BD" w:rsidRPr="001533EC">
        <w:rPr>
          <w:sz w:val="24"/>
        </w:rPr>
        <w:t xml:space="preserve">age of </w:t>
      </w:r>
      <w:r w:rsidRPr="001533EC">
        <w:rPr>
          <w:sz w:val="24"/>
        </w:rPr>
        <w:t xml:space="preserve">52 years – were </w:t>
      </w:r>
      <w:r w:rsidR="009E0743">
        <w:rPr>
          <w:sz w:val="24"/>
        </w:rPr>
        <w:t>classified</w:t>
      </w:r>
      <w:r w:rsidR="009E0743" w:rsidRPr="001533EC">
        <w:rPr>
          <w:sz w:val="24"/>
        </w:rPr>
        <w:t xml:space="preserve"> </w:t>
      </w:r>
      <w:r w:rsidRPr="001533EC">
        <w:rPr>
          <w:sz w:val="24"/>
        </w:rPr>
        <w:t xml:space="preserve">accurately </w:t>
      </w:r>
      <w:r w:rsidR="003B0E00" w:rsidRPr="001533EC">
        <w:rPr>
          <w:sz w:val="24"/>
        </w:rPr>
        <w:t>(</w:t>
      </w:r>
      <w:r w:rsidR="004D3DE1">
        <w:rPr>
          <w:sz w:val="24"/>
        </w:rPr>
        <w:t>f</w:t>
      </w:r>
      <w:r w:rsidR="004D3DE1" w:rsidRPr="001533EC">
        <w:rPr>
          <w:sz w:val="24"/>
        </w:rPr>
        <w:t>ig</w:t>
      </w:r>
      <w:r w:rsidRPr="001533EC">
        <w:rPr>
          <w:sz w:val="24"/>
        </w:rPr>
        <w:t>.</w:t>
      </w:r>
      <w:r w:rsidR="004D3DE1">
        <w:rPr>
          <w:sz w:val="24"/>
        </w:rPr>
        <w:t xml:space="preserve"> </w:t>
      </w:r>
      <w:r w:rsidRPr="001533EC">
        <w:rPr>
          <w:sz w:val="24"/>
        </w:rPr>
        <w:t>S</w:t>
      </w:r>
      <w:r w:rsidR="00AA45FF" w:rsidRPr="001533EC">
        <w:rPr>
          <w:sz w:val="24"/>
        </w:rPr>
        <w:t>7</w:t>
      </w:r>
      <w:r w:rsidR="00955F38" w:rsidRPr="001533EC">
        <w:rPr>
          <w:sz w:val="24"/>
        </w:rPr>
        <w:t>A</w:t>
      </w:r>
      <w:r w:rsidR="003B0E00" w:rsidRPr="001533EC">
        <w:rPr>
          <w:sz w:val="24"/>
        </w:rPr>
        <w:t>)</w:t>
      </w:r>
      <w:r w:rsidRPr="001533EC">
        <w:rPr>
          <w:sz w:val="24"/>
        </w:rPr>
        <w:t xml:space="preserve">. For BMI, we divided the two replication cohorts in three categories; normal weight (BMI </w:t>
      </w:r>
      <w:r w:rsidR="00075987" w:rsidRPr="001533EC">
        <w:rPr>
          <w:sz w:val="24"/>
        </w:rPr>
        <w:t>&lt;</w:t>
      </w:r>
      <w:r w:rsidR="004D3DE1">
        <w:rPr>
          <w:sz w:val="24"/>
        </w:rPr>
        <w:t xml:space="preserve"> </w:t>
      </w:r>
      <w:r w:rsidRPr="001533EC">
        <w:rPr>
          <w:sz w:val="24"/>
        </w:rPr>
        <w:t>25), overweight (BMI between 25-30), and obese (BMI &gt;</w:t>
      </w:r>
      <w:r w:rsidR="004D3DE1">
        <w:rPr>
          <w:sz w:val="24"/>
        </w:rPr>
        <w:t xml:space="preserve"> </w:t>
      </w:r>
      <w:r w:rsidRPr="001533EC">
        <w:rPr>
          <w:sz w:val="24"/>
        </w:rPr>
        <w:t>30)</w:t>
      </w:r>
      <w:r w:rsidR="002F2755" w:rsidRPr="001533EC">
        <w:rPr>
          <w:sz w:val="24"/>
        </w:rPr>
        <w:t xml:space="preserve"> </w:t>
      </w:r>
      <w:r w:rsidR="0073488A" w:rsidRPr="001533EC">
        <w:rPr>
          <w:sz w:val="24"/>
        </w:rPr>
        <w:t>(</w:t>
      </w:r>
      <w:r w:rsidR="004D3DE1">
        <w:rPr>
          <w:sz w:val="24"/>
        </w:rPr>
        <w:t>f</w:t>
      </w:r>
      <w:r w:rsidR="004D3DE1" w:rsidRPr="001533EC">
        <w:rPr>
          <w:sz w:val="24"/>
        </w:rPr>
        <w:t>ig</w:t>
      </w:r>
      <w:r w:rsidR="0073488A" w:rsidRPr="001533EC">
        <w:rPr>
          <w:sz w:val="24"/>
        </w:rPr>
        <w:t>.</w:t>
      </w:r>
      <w:r w:rsidR="004D3DE1">
        <w:rPr>
          <w:sz w:val="24"/>
        </w:rPr>
        <w:t xml:space="preserve"> </w:t>
      </w:r>
      <w:r w:rsidR="0073488A" w:rsidRPr="001533EC">
        <w:rPr>
          <w:sz w:val="24"/>
        </w:rPr>
        <w:t>S7B)</w:t>
      </w:r>
      <w:r w:rsidRPr="001533EC">
        <w:rPr>
          <w:sz w:val="24"/>
        </w:rPr>
        <w:t xml:space="preserve">. The 540 CpG sites were able to accurately </w:t>
      </w:r>
      <w:r w:rsidR="00CA4E80">
        <w:rPr>
          <w:sz w:val="24"/>
        </w:rPr>
        <w:t>classify</w:t>
      </w:r>
      <w:r w:rsidR="00CA4E80" w:rsidRPr="001533EC">
        <w:rPr>
          <w:sz w:val="24"/>
        </w:rPr>
        <w:t xml:space="preserve"> </w:t>
      </w:r>
      <w:r w:rsidRPr="001533EC">
        <w:rPr>
          <w:sz w:val="24"/>
        </w:rPr>
        <w:t>90% of the overweight and obese individuals.</w:t>
      </w:r>
    </w:p>
    <w:p w14:paraId="4F8F84B2" w14:textId="17FD2C00" w:rsidR="002670CB" w:rsidRPr="001533EC" w:rsidRDefault="00C35B7A" w:rsidP="00C35B7A">
      <w:pPr>
        <w:spacing w:line="480" w:lineRule="auto"/>
        <w:jc w:val="both"/>
        <w:rPr>
          <w:b/>
          <w:sz w:val="32"/>
        </w:rPr>
      </w:pPr>
      <w:r w:rsidRPr="001533EC">
        <w:rPr>
          <w:sz w:val="24"/>
        </w:rPr>
        <w:lastRenderedPageBreak/>
        <w:t>To extrapolate these findings to the clinic, one option could be to design customized DNA methylation panel including these 540 CpG sites of interest.</w:t>
      </w:r>
      <w:r w:rsidR="00E01A55" w:rsidRPr="001533EC">
        <w:rPr>
          <w:sz w:val="24"/>
        </w:rPr>
        <w:t xml:space="preserve"> Indeed, measuring these methylation markers </w:t>
      </w:r>
      <w:r w:rsidR="00075987" w:rsidRPr="001533EC">
        <w:rPr>
          <w:sz w:val="24"/>
        </w:rPr>
        <w:t xml:space="preserve">in eight samples </w:t>
      </w:r>
      <w:r w:rsidR="00E01A55" w:rsidRPr="001533EC">
        <w:rPr>
          <w:sz w:val="24"/>
        </w:rPr>
        <w:t xml:space="preserve">with </w:t>
      </w:r>
      <w:r w:rsidR="00BD7EB2" w:rsidRPr="001533EC">
        <w:rPr>
          <w:sz w:val="24"/>
        </w:rPr>
        <w:t>a customized sequencing library</w:t>
      </w:r>
      <w:r w:rsidR="00730DCE" w:rsidRPr="001533EC">
        <w:rPr>
          <w:sz w:val="24"/>
        </w:rPr>
        <w:t xml:space="preserve"> </w:t>
      </w:r>
      <w:r w:rsidR="005150EF" w:rsidRPr="001533EC">
        <w:rPr>
          <w:sz w:val="24"/>
        </w:rPr>
        <w:t>revealed</w:t>
      </w:r>
      <w:r w:rsidR="007D5141" w:rsidRPr="001533EC">
        <w:rPr>
          <w:sz w:val="24"/>
        </w:rPr>
        <w:t xml:space="preserve"> similar DNA</w:t>
      </w:r>
      <w:r w:rsidR="005150EF" w:rsidRPr="001533EC">
        <w:rPr>
          <w:sz w:val="24"/>
        </w:rPr>
        <w:t xml:space="preserve"> </w:t>
      </w:r>
      <w:r w:rsidR="000D61C2" w:rsidRPr="001533EC">
        <w:rPr>
          <w:sz w:val="24"/>
        </w:rPr>
        <w:t>methylation</w:t>
      </w:r>
      <w:r w:rsidR="00A21CE3" w:rsidRPr="001533EC">
        <w:rPr>
          <w:sz w:val="24"/>
        </w:rPr>
        <w:t xml:space="preserve"> </w:t>
      </w:r>
      <w:r w:rsidR="00C569FA" w:rsidRPr="001533EC">
        <w:rPr>
          <w:sz w:val="24"/>
        </w:rPr>
        <w:t>results</w:t>
      </w:r>
      <w:r w:rsidR="00A21CE3" w:rsidRPr="001533EC">
        <w:rPr>
          <w:sz w:val="24"/>
        </w:rPr>
        <w:t xml:space="preserve"> </w:t>
      </w:r>
      <w:r w:rsidR="00DC657B" w:rsidRPr="001533EC">
        <w:rPr>
          <w:sz w:val="24"/>
        </w:rPr>
        <w:t xml:space="preserve">to those </w:t>
      </w:r>
      <w:r w:rsidR="00A21CE3" w:rsidRPr="001533EC">
        <w:rPr>
          <w:sz w:val="24"/>
        </w:rPr>
        <w:t>detected by EPIC arrays</w:t>
      </w:r>
      <w:r w:rsidR="00C569FA" w:rsidRPr="001533EC">
        <w:rPr>
          <w:sz w:val="24"/>
        </w:rPr>
        <w:t xml:space="preserve"> </w:t>
      </w:r>
      <w:r w:rsidR="002F2755" w:rsidRPr="001533EC">
        <w:rPr>
          <w:sz w:val="24"/>
        </w:rPr>
        <w:t>(Fig.</w:t>
      </w:r>
      <w:r w:rsidR="009E2A96">
        <w:rPr>
          <w:sz w:val="24"/>
        </w:rPr>
        <w:t xml:space="preserve"> </w:t>
      </w:r>
      <w:r w:rsidR="002F2755" w:rsidRPr="001533EC">
        <w:rPr>
          <w:sz w:val="24"/>
        </w:rPr>
        <w:t>S8</w:t>
      </w:r>
      <w:r w:rsidR="005150EF" w:rsidRPr="001533EC">
        <w:rPr>
          <w:sz w:val="24"/>
        </w:rPr>
        <w:t xml:space="preserve">) and </w:t>
      </w:r>
      <w:r w:rsidR="00075987" w:rsidRPr="001533EC">
        <w:rPr>
          <w:sz w:val="24"/>
        </w:rPr>
        <w:t>BIR</w:t>
      </w:r>
      <w:r w:rsidR="005150EF" w:rsidRPr="001533EC">
        <w:rPr>
          <w:sz w:val="24"/>
        </w:rPr>
        <w:t xml:space="preserve"> </w:t>
      </w:r>
      <w:r w:rsidR="00730DCE" w:rsidRPr="001533EC">
        <w:rPr>
          <w:sz w:val="24"/>
        </w:rPr>
        <w:t xml:space="preserve">status </w:t>
      </w:r>
      <w:r w:rsidR="005150EF" w:rsidRPr="001533EC">
        <w:rPr>
          <w:sz w:val="24"/>
        </w:rPr>
        <w:t>could be</w:t>
      </w:r>
      <w:r w:rsidR="00BD7EB2" w:rsidRPr="001533EC">
        <w:rPr>
          <w:sz w:val="24"/>
        </w:rPr>
        <w:t xml:space="preserve"> </w:t>
      </w:r>
      <w:r w:rsidR="005E39F8">
        <w:rPr>
          <w:sz w:val="24"/>
        </w:rPr>
        <w:t>detected</w:t>
      </w:r>
      <w:r w:rsidR="005E39F8" w:rsidRPr="001533EC">
        <w:rPr>
          <w:sz w:val="24"/>
        </w:rPr>
        <w:t xml:space="preserve"> </w:t>
      </w:r>
      <w:r w:rsidR="00730DCE" w:rsidRPr="001533EC">
        <w:rPr>
          <w:sz w:val="24"/>
        </w:rPr>
        <w:t>accurately.</w:t>
      </w:r>
    </w:p>
    <w:p w14:paraId="1FDA30A7" w14:textId="77777777" w:rsidR="001D78F9" w:rsidRPr="001533EC" w:rsidRDefault="001D78F9" w:rsidP="001D78F9">
      <w:pPr>
        <w:spacing w:line="480" w:lineRule="auto"/>
        <w:rPr>
          <w:b/>
          <w:sz w:val="24"/>
          <w:szCs w:val="24"/>
        </w:rPr>
      </w:pPr>
    </w:p>
    <w:p w14:paraId="6DDF66BB" w14:textId="35D59259" w:rsidR="001D78F9" w:rsidRPr="001533EC" w:rsidRDefault="00C35B7A" w:rsidP="001D78F9">
      <w:pPr>
        <w:spacing w:line="480" w:lineRule="auto"/>
        <w:rPr>
          <w:b/>
          <w:sz w:val="24"/>
          <w:szCs w:val="24"/>
        </w:rPr>
      </w:pPr>
      <w:r w:rsidRPr="001533EC">
        <w:rPr>
          <w:b/>
          <w:sz w:val="24"/>
          <w:szCs w:val="24"/>
        </w:rPr>
        <w:t>DISCUSSION</w:t>
      </w:r>
      <w:bookmarkStart w:id="5" w:name="_Hlk174271345"/>
    </w:p>
    <w:p w14:paraId="39CCB346" w14:textId="68E5F46C" w:rsidR="00F21ED6" w:rsidRDefault="00C35B7A" w:rsidP="00C35B7A">
      <w:pPr>
        <w:spacing w:line="480" w:lineRule="auto"/>
        <w:jc w:val="both"/>
        <w:rPr>
          <w:sz w:val="24"/>
          <w:szCs w:val="24"/>
        </w:rPr>
      </w:pPr>
      <w:r w:rsidRPr="001533EC">
        <w:rPr>
          <w:sz w:val="24"/>
          <w:szCs w:val="24"/>
        </w:rPr>
        <w:t xml:space="preserve">Brain insulin action plays an important role in metabolic and cognitive health but no readily available biomarker has been identified thus far. </w:t>
      </w:r>
      <w:r w:rsidR="00576B72">
        <w:rPr>
          <w:sz w:val="24"/>
          <w:szCs w:val="24"/>
        </w:rPr>
        <w:t xml:space="preserve">We discovered </w:t>
      </w:r>
      <w:r w:rsidRPr="00F06FA3">
        <w:rPr>
          <w:sz w:val="24"/>
          <w:szCs w:val="24"/>
        </w:rPr>
        <w:t xml:space="preserve">epigenetic </w:t>
      </w:r>
      <w:r w:rsidR="00576B72">
        <w:rPr>
          <w:sz w:val="24"/>
          <w:szCs w:val="24"/>
        </w:rPr>
        <w:t>classifiers</w:t>
      </w:r>
      <w:r w:rsidRPr="00F06FA3">
        <w:rPr>
          <w:sz w:val="24"/>
          <w:szCs w:val="24"/>
        </w:rPr>
        <w:t xml:space="preserve"> for human brain insulin responsiveness from peripheral blood cells in persons without neurodegenerative disorders</w:t>
      </w:r>
      <w:proofErr w:type="gramStart"/>
      <w:r w:rsidRPr="00F06FA3">
        <w:rPr>
          <w:sz w:val="24"/>
          <w:szCs w:val="24"/>
        </w:rPr>
        <w:t xml:space="preserve">. </w:t>
      </w:r>
      <w:r w:rsidRPr="001533EC">
        <w:rPr>
          <w:sz w:val="24"/>
          <w:szCs w:val="24"/>
        </w:rPr>
        <w:t>.</w:t>
      </w:r>
      <w:proofErr w:type="gramEnd"/>
      <w:r w:rsidRPr="001533EC">
        <w:rPr>
          <w:sz w:val="24"/>
          <w:szCs w:val="24"/>
        </w:rPr>
        <w:t xml:space="preserve"> Of note, genes annotated to these </w:t>
      </w:r>
      <w:proofErr w:type="spellStart"/>
      <w:r w:rsidRPr="001533EC">
        <w:rPr>
          <w:sz w:val="24"/>
          <w:szCs w:val="24"/>
        </w:rPr>
        <w:t>CpGs</w:t>
      </w:r>
      <w:proofErr w:type="spellEnd"/>
      <w:r w:rsidRPr="001533EC">
        <w:rPr>
          <w:sz w:val="24"/>
          <w:szCs w:val="24"/>
        </w:rPr>
        <w:t xml:space="preserve"> were found to be enriched in neuronal pathways and exhibit a strong blood-brain correlation. The present study introduces blood-based epigenetic biomarkers for brain insulin resistance, which could potentially be developed into prognostic tests for early diagnosis and better stratification of individuals at risk to develop T2D. </w:t>
      </w:r>
    </w:p>
    <w:p w14:paraId="622C0828" w14:textId="5FA00465" w:rsidR="004D77D7" w:rsidRDefault="00C35B7A" w:rsidP="00C35B7A">
      <w:pPr>
        <w:spacing w:line="480" w:lineRule="auto"/>
        <w:jc w:val="both"/>
        <w:rPr>
          <w:sz w:val="24"/>
          <w:szCs w:val="24"/>
        </w:rPr>
      </w:pPr>
      <w:r w:rsidRPr="001533EC">
        <w:rPr>
          <w:sz w:val="24"/>
          <w:szCs w:val="24"/>
        </w:rPr>
        <w:t xml:space="preserve">Insulin resistance, a hallmark feature of T2D, is not limited to the periphery or metabolic diseases. </w:t>
      </w:r>
      <w:r w:rsidR="00F21ED6">
        <w:rPr>
          <w:sz w:val="24"/>
          <w:szCs w:val="24"/>
        </w:rPr>
        <w:t>Substantial</w:t>
      </w:r>
      <w:r w:rsidR="00F21ED6" w:rsidRPr="001533EC">
        <w:rPr>
          <w:sz w:val="24"/>
          <w:szCs w:val="24"/>
        </w:rPr>
        <w:t xml:space="preserve"> </w:t>
      </w:r>
      <w:r w:rsidRPr="001533EC">
        <w:rPr>
          <w:sz w:val="24"/>
          <w:szCs w:val="24"/>
        </w:rPr>
        <w:t>disturbances in brain insulin action are often present in obesity, as well as neurodegenerative diseases</w:t>
      </w:r>
      <w:r w:rsidR="009A06BF" w:rsidRPr="001533EC">
        <w:rPr>
          <w:sz w:val="24"/>
          <w:szCs w:val="24"/>
        </w:rPr>
        <w:t xml:space="preserve"> </w:t>
      </w:r>
      <w:r w:rsidR="00122188" w:rsidRPr="001533EC">
        <w:rPr>
          <w:rStyle w:val="Funotenzeichen"/>
          <w:sz w:val="24"/>
          <w:szCs w:val="24"/>
        </w:rPr>
        <w:fldChar w:fldCharType="begin" w:fldLock="1"/>
      </w:r>
      <w:r w:rsidR="0017498C">
        <w:rPr>
          <w:sz w:val="24"/>
          <w:szCs w:val="24"/>
        </w:rPr>
        <w:instrText>ADDIN CSL_CITATION {"citationItems":[{"id":"ITEM-1","itemData":{"DOI":"10.1152/physrev.00032.2015","ISSN":"1522-1210 (Electronic)","PMID":"27489306","abstract":"Ever since the brain was identified as an insulin-sensitive organ, evidence has  rapidly accumulated that insulin action in the brain produces multiple behavioral and metabolic effects, influencing eating behavior, peripheral metabolism, and cognition. Disturbances in brain insulin action can be observed in obesity and type 2 diabetes (T2D), as well as in aging and dementia. Decreases in insulin sensitivity of central nervous pathways, i.e., brain insulin resistance, may therefore constitute a joint pathological feature of metabolic and cognitive dysfunctions. Modern neuroimaging methods have provided new means of probing brain insulin action, revealing the influence of insulin on both global and regional brain function. In this review, we highlight recent findings on brain insulin action in humans and its impact on metabolism and cognition. Furthermore, we elaborate on the most prominent factors associated with brain insulin resistance, i.e., obesity, T2D, genes, maternal metabolism, normal aging, inflammation, and dementia, and on their roles regarding causes and consequences of brain insulin resistance. We also describe the beneficial effects of enhanced brain insulin signaling on human eating behavior and cognition and discuss potential applications in the treatment of metabolic and cognitive disorders.","author":[{"dropping-particle":"","family":"Kullmann","given":"Stephanie","non-dropping-particle":"","parse-names":false,"suffix":""},{"dropping-particle":"","family":"Heni","given":"Martin","non-dropping-particle":"","parse-names":false,"suffix":""},{"dropping-particle":"","family":"Hallschmid","given":"Manfred","non-dropping-particle":"","parse-names":false,"suffix":""},{"dropping-particle":"","family":"Fritsche","given":"Andreas","non-dropping-particle":"","parse-names":false,"suffix":""},{"dropping-particle":"","family":"Preissl","given":"Hubert","non-dropping-particle":"","parse-names":false,"suffix":""},{"dropping-particle":"","family":"Häring","given":"Hans-Ulrich","non-dropping-particle":"","parse-names":false,"suffix":""}],"container-title":"Physiological reviews","id":"ITEM-1","issue":"4","issued":{"date-parts":[["2016","10"]]},"language":"eng","page":"1169-1209","publisher-place":"United States","title":"Brain Insulin Resistance at the Crossroads of Metabolic and Cognitive Disorders  in Humans.","type":"article-journal","volume":"96"},"uris":["http://www.mendeley.com/documents/?uuid=1846355e-15ee-3647-8b02-c6b364efacb8"]}],"mendeley":{"formattedCitation":"&lt;i&gt;(3)&lt;/i&gt;","plainTextFormattedCitation":"(3)","previouslyFormattedCitation":"&lt;i&gt;(3)&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i/>
          <w:noProof/>
          <w:sz w:val="24"/>
          <w:szCs w:val="24"/>
        </w:rPr>
        <w:t>(3)</w:t>
      </w:r>
      <w:r w:rsidR="00122188" w:rsidRPr="001533EC">
        <w:rPr>
          <w:rStyle w:val="Funotenzeichen"/>
          <w:sz w:val="24"/>
          <w:szCs w:val="24"/>
        </w:rPr>
        <w:fldChar w:fldCharType="end"/>
      </w:r>
      <w:r w:rsidRPr="001533EC">
        <w:rPr>
          <w:sz w:val="24"/>
          <w:szCs w:val="24"/>
        </w:rPr>
        <w:t>. Central insulin, delivered via the intranasal pathway, acts in a anorexigenic fashion</w:t>
      </w:r>
      <w:r w:rsidR="00776633">
        <w:rPr>
          <w:sz w:val="24"/>
          <w:szCs w:val="24"/>
        </w:rPr>
        <w:t>,</w:t>
      </w:r>
      <w:r w:rsidRPr="001533EC">
        <w:rPr>
          <w:sz w:val="24"/>
          <w:szCs w:val="24"/>
        </w:rPr>
        <w:t xml:space="preserve"> reducing food intake and subjective feeling of appetite and facilitates memory processes in persons who are brain insulin sensitive</w:t>
      </w:r>
      <w:r w:rsidR="009A06BF" w:rsidRPr="001533EC">
        <w:rPr>
          <w:sz w:val="24"/>
          <w:szCs w:val="24"/>
        </w:rPr>
        <w:t xml:space="preserve"> </w:t>
      </w:r>
      <w:r w:rsidR="00122188" w:rsidRPr="001533EC">
        <w:rPr>
          <w:rStyle w:val="Funotenzeichen"/>
          <w:sz w:val="24"/>
          <w:szCs w:val="24"/>
        </w:rPr>
        <w:fldChar w:fldCharType="begin" w:fldLock="1"/>
      </w:r>
      <w:r w:rsidR="00607440" w:rsidRPr="001533EC">
        <w:rPr>
          <w:sz w:val="24"/>
          <w:szCs w:val="24"/>
        </w:rPr>
        <w:instrText>ADDIN CSL_CITATION {"citationItems":[{"id":"ITEM-1","itemData":{"DOI":"10.1111/jne.12934","ISSN":"1365-2826 (Electronic)","PMID":"33506526","abstract":"The intranasal (IN) route enables the delivery of insulin to the central nervous  system in the relative absence of systemic uptake and related peripheral side effects. Intranasally administered insulin is assumed to travel along olfactory and adjacent pathways and has been shown to rapidly accumulate in cerebrospinal fluid, indicating efficient transport to the brain. Two decades of studies in healthy humans and patients have demonstrated that IN insulin exerts functional effects on metabolism, such as reductions in food intake and body weight and improvements of glucose homeostasis, as well as cognition, ie, enhancements of memory performance both in healthy individuals and patients with mild cognitive impairment or Alzheimer's disease; these studies moreover indicate a favourable safety profile of the acute and repeated use of IN insulin. Emerging findings suggest that IN insulin also modulates neuroendocrine activity, sleep-related mechanisms, sensory perception and mood. Some, but not all studies point to sex differences in the response to IN insulin that need to be further investigated along with the impact of age. \"Brain insulin resistance\" is an evolving concept that posits impairments in central nervous insulin signalling as a pathophysiological factor in metabolic and cognitive disorders such as obesity, type 2 diabetes and Alzheimer's disease, and, notably, a target of interventions that rely on IN insulin. Still, the negative outcomes of longer-term IN insulin trials in individuals with obesity or Alzheimer's disease highlight the need for conceptual as well as methodological advances to translate the promising results of proof-of-concept experiments and pilot clinical trials into the successful clinical application of IN insulin.","author":[{"dropping-particle":"","family":"Hallschmid","given":"Manfred","non-dropping-particle":"","parse-names":false,"suffix":""}],"container-title":"Journal of neuroendocrinology","id":"ITEM-1","issue":"4","issued":{"date-parts":[["2021","4"]]},"language":"eng","page":"e12934","publisher-place":"United States","title":"Intranasal insulin.","type":"article-journal","volume":"33"},"uris":["http://www.mendeley.com/documents/?uuid=a0b7ad5b-1075-47ed-81f9-e06ccee7ad03"]}],"mendeley":{"formattedCitation":"&lt;i&gt;(27)&lt;/i&gt;","plainTextFormattedCitation":"(27)","previouslyFormattedCitation":"&lt;i&gt;(27)&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bCs/>
          <w:i/>
          <w:noProof/>
          <w:sz w:val="24"/>
          <w:szCs w:val="24"/>
        </w:rPr>
        <w:t>(27)</w:t>
      </w:r>
      <w:r w:rsidR="00122188" w:rsidRPr="001533EC">
        <w:rPr>
          <w:rStyle w:val="Funotenzeichen"/>
          <w:sz w:val="24"/>
          <w:szCs w:val="24"/>
        </w:rPr>
        <w:fldChar w:fldCharType="end"/>
      </w:r>
      <w:r w:rsidRPr="001533EC">
        <w:rPr>
          <w:sz w:val="24"/>
          <w:szCs w:val="24"/>
        </w:rPr>
        <w:t>. Brain insulin action also has favorable effects on peripheral metabolism, enhancing whole-body insulin sensitivity</w:t>
      </w:r>
      <w:r w:rsidR="00A257DF" w:rsidRPr="001533EC">
        <w:rPr>
          <w:sz w:val="24"/>
          <w:szCs w:val="24"/>
        </w:rPr>
        <w:t xml:space="preserve"> </w:t>
      </w:r>
      <w:r w:rsidR="00A257DF" w:rsidRPr="001533EC">
        <w:rPr>
          <w:sz w:val="24"/>
          <w:szCs w:val="24"/>
        </w:rPr>
        <w:fldChar w:fldCharType="begin" w:fldLock="1"/>
      </w:r>
      <w:r w:rsidR="0017498C">
        <w:rPr>
          <w:sz w:val="24"/>
          <w:szCs w:val="24"/>
        </w:rPr>
        <w:instrText>ADDIN CSL_CITATION {"citationItems":[{"id":"ITEM-1","itemData":{"DOI":"10.1016/S2213-8587(20)30113-3","ISSN":"2213-8595 (Electronic)","PMID":"32445739","abstract":"Insulin acts on the CNS to modulate behaviour and systemic metabolism.  Disturbances in brain insulin action represent a possible link between metabolic and cognitive health. Current findings from human research suggest that boosting central insulin action in the brain modulates peripheral metabolism, enhancing whole-body insulin sensitivity and suppressing endogenous glucose production. Moreover, central insulin action curbs food intake by reducing the salience of highly palatable food cues and increasing cognitive control. Animal models show that the mesocorticolimbic circuitry is finely tuned in response to insulin, driven mainly by the dopamine system. These mechanisms are impaired in people with obesity, which might increase their risk of developing type 2 diabetes and associated diseases. Overall, current findings highlight the role of insulin action in the brain and its consequences on peripheral metabolism and cognition. Hence, improving central insulin action could represent a therapeutic option for people at an increased risk of developing metabolic and cognitive diseases.","author":[{"dropping-particle":"","family":"Kullmann","given":"Stephanie","non-dropping-particle":"","parse-names":false,"suffix":""},{"dropping-particle":"","family":"Kleinridders","given":"André","non-dropping-particle":"","parse-names":false,"suffix":""},{"dropping-particle":"","family":"Small","given":"Dana M","non-dropping-particle":"","parse-names":false,"suffix":""},{"dropping-particle":"","family":"Fritsche","given":"Andreas","non-dropping-particle":"","parse-names":false,"suffix":""},{"dropping-particle":"","family":"Häring","given":"Hans-Ulrich","non-dropping-particle":"","parse-names":false,"suffix":""},{"dropping-particle":"","family":"Preissl","given":"Hubert","non-dropping-particle":"","parse-names":false,"suffix":""},{"dropping-particle":"","family":"Heni","given":"Martin","non-dropping-particle":"","parse-names":false,"suffix":""}],"container-title":"The lancet. Diabetes &amp; endocrinology","id":"ITEM-1","issue":"6","issued":{"date-parts":[["2020","6"]]},"language":"eng","page":"524-534","publisher-place":"England","title":"Central nervous pathways of insulin action in the control of metabolism and food  intake.","type":"article-journal","volume":"8"},"uris":["http://www.mendeley.com/documents/?uuid=a7d0c581-29d9-49ff-a27f-ba1e61e2edff"]},{"id":"ITEM-2","itemData":{"DOI":"10.1038/ncomms15259","ISSN":"2041-1723 (Electronic)","PMID":"28469281","abstract":"The central nervous system (CNS) has an important role in the regulation of  peripheral insulin sensitivity and glucose homeostasis. Research in this dynamically developing field has progressed rapidly due to techniques allowing targeted transgenesis and neurocircuitry mapping, which have defined the primary responsive neurons, associated molecular mechanisms and downstream neurocircuitries and processes involved. Here we review the brain regions, neurons and molecular mechanisms by which the CNS controls peripheral glucose metabolism, particularly via regulation of liver, brown adipose tissue and pancreatic function, and highlight the potential implications of these regulatory pathways in type 2 diabetes and obesity.","author":[{"dropping-particle":"","family":"Ruud","given":"Johan","non-dropping-particle":"","parse-names":false,"suffix":""},{"dropping-particle":"","family":"Steculorum","given":"Sophie M","non-dropping-particle":"","parse-names":false,"suffix":""},{"dropping-particle":"","family":"Brüning","given":"Jens C","non-dropping-particle":"","parse-names":false,"suffix":""}],"container-title":"Nature communications","id":"ITEM-2","issued":{"date-parts":[["2017","5"]]},"language":"eng","page":"15259","publisher-place":"England","title":"Neuronal control of peripheral insulin sensitivity and glucose metabolism.","type":"article-journal","volume":"8"},"uris":["http://www.mendeley.com/documents/?uuid=ce73c053-4680-46fe-8fe6-ff5cefc4d6e2"]},{"id":"ITEM-3","itemData":{"DOI":"10.1038/s42255-023-00869-w","ISSN":"2522-5812 (Electronic)","PMID":"37735274","abstract":"Insulin action in the human brain modulates eating behaviour, whole-body  metabolism and body fat distribution(1,2). In particular, brain insulin action increases whole-body insulin sensitivity, but these studies were mainly performed in lean men(3,4). Here we investigate metabolic and hypothalamic effects of brain insulin action in women with a focus on the impact of menstrual cycle ( ClinicalTrials.gov registration: NCT03929419 ).Eleven women underwent four hyperinsulinemic-euglycemic clamps, two in the follicular phase and two in the luteal phase. Brain insulin action was introduced using nasal insulin spray(5-7) and compared to placebo spray in a fourfold crossover design with change in glucose infusion rate as the primary endpoint. Here we show that during the follicular phase, more glucose has to be infused after administration of nasal insulin than after administration of placebo. This remains significant after adjustment for blood glucose and insulin. During the luteal phase, no significant influence of brain insulin action on glucose infusion rate is detected after adjustment for blood glucose and insulin (secondary endpoint). In 15 other women, hypothalamic insulin sensitivity was assessed in a within-subject design by functional magnetic resonance imaging with intranasal insulin administration(8). Hypothalamus responsivity is influenced by insulin in the follicular phase but not the luteal phase.Our study therefore highlights that brain insulin action improves peripheral insulin sensitivity also in women but only during the follicular phase. Thus, brain insulin resistance could contribute to whole-body insulin resistance in the luteal phase of the menstrual cycle.","author":[{"dropping-particle":"","family":"Hummel","given":"Julia","non-dropping-particle":"","parse-names":false,"suffix":""},{"dropping-particle":"","family":"Benkendorff","given":"Charlotte","non-dropping-particle":"","parse-names":false,"suffix":""},{"dropping-particle":"","family":"Fritsche","given":"Louise","non-dropping-particle":"","parse-names":false,"suffix":""},{"dropping-particle":"","family":"Prystupa","given":"Katsiaryna","non-dropping-particle":"","parse-names":false,"suffix":""},{"dropping-particle":"","family":"Vosseler","given":"Andreas","non-dropping-particle":"","parse-names":false,"suffix":""},{"dropping-particle":"","family":"Gancheva","given":"Sofiya","non-dropping-particle":"","parse-names":false,"suffix":""},{"dropping-particle":"","family":"Trenkamp","given":"Sandra","non-dropping-particle":"","parse-names":false,"suffix":""},{"dropping-particle":"","family":"Birkenfeld","given":"Andreas L","non-dropping-particle":"","parse-names":false,"suffix":""},{"dropping-particle":"","family":"Preissl","given":"Hubert","non-dropping-particle":"","parse-names":false,"suffix":""},{"dropping-particle":"","family":"Roden","given":"Michael","non-dropping-particle":"","parse-names":false,"suffix":""},{"dropping-particle":"","family":"Häring","given":"Hans-Ulrich","non-dropping-particle":"","parse-names":false,"suffix":""},{"dropping-particle":"","family":"Fritsche","given":"Andreas","non-dropping-particle":"","parse-names":false,"suffix":""},{"dropping-particle":"","family":"Peter","given":"Andreas","non-dropping-particle":"","parse-names":false,"suffix":""},{"dropping-particle":"","family":"Wagner","given":"Robert","non-dropping-particle":"","parse-names":false,"suffix":""},{"dropping-particle":"","family":"Kullmann","given":"Stephanie","non-dropping-particle":"","parse-names":false,"suffix":""},{"dropping-particle":"","family":"Heni","given":"Martin","non-dropping-particle":"","parse-names":false,"suffix":""}],"container-title":"Nature metabolism","id":"ITEM-3","issue":"9","issued":{"date-parts":[["2023","9"]]},"language":"eng","page":"1475-1482","publisher-place":"Germany","title":"Brain insulin action on peripheral insulin sensitivity in women depends on  menstrual cycle phase.","type":"article-journal","volume":"5"},"uris":["http://www.mendeley.com/documents/?uuid=ef5b6085-56f0-34a0-93fd-4f21b84ca336"]},{"id":"ITEM-4","itemData":{"DOI":"10.2337/db14-0477","ISSN":"1939-327X (Electronic)","PMID":"25028522","abstract":"Animal studies suggest that insulin action in the brain is involved in the  regulation of peripheral insulin sensitivity. Whether this holds true in humans is unknown. Using intranasal application of insulin to the human brain, we studied the impacts of brain insulin action on whole-body insulin sensitivity and the mechanisms involved in this process. Insulin sensitivity was assessed by hyperinsulinemic-euglycemic glucose clamp before and after intranasal application of insulin and placebo in randomized order in lean and obese men. After insulin spray application in lean subjects, a higher glucose infusion rate was necessary to maintain euglycemia compared with placebo. Accordingly, clamp-derived insulin sensitivity index improved after insulin spray. In obese subjects, this insulin-sensitizing effect could not be detected. Change in the high-frequency band of heart rate variability, an estimate of parasympathetic output, correlated positively with change in whole-body insulin sensitivity after intranasal insulin. Improvement in whole-body insulin sensitivity correlated with the change in hypothalamic activity as assessed by functional magnetic resonance imaging. Intranasal insulin improves peripheral insulin sensitivity in lean but not in obese men. Furthermore, brain-derived peripheral insulin sensitization is associated with hypothalamic activity and parasympathetic outputs. Thus, the findings provide novel insights into the regulation of insulin sensitivity and the pathogenesis of insulin resistance in humans.","author":[{"dropping-particle":"","family":"Heni","given":"Martin","non-dropping-particle":"","parse-names":false,"suffix":""},{"dropping-particle":"","family":"Wagner","given":"Robert","non-dropping-particle":"","parse-names":false,"suffix":""},{"dropping-particle":"","family":"Kullmann","given":"Stephanie","non-dropping-particle":"","parse-names":false,"suffix":""},{"dropping-particle":"","family":"Veit","given":"Ralf","non-dropping-particle":"","parse-names":false,"suffix":""},{"dropping-particle":"","family":"Mat Husin","given":"Haliza","non-dropping-particle":"","parse-names":false,"suffix":""},{"dropping-particle":"","family":"Linder","given":"Katarzyna","non-dropping-particle":"","parse-names":false,"suffix":""},{"dropping-particle":"","family":"Benkendorff","given":"Charlotte","non-dropping-particle":"","parse-names":false,"suffix":""},{"dropping-particle":"","family":"Peter","given":"Andreas","non-dropping-particle":"","parse-names":false,"suffix":""},{"dropping-particle":"","family":"Stefan","given":"Norbert","non-dropping-particle":"","parse-names":false,"suffix":""},{"dropping-particle":"","family":"Häring","given":"Hans-Ulrich","non-dropping-particle":"","parse-names":false,"suffix":""},{"dropping-particle":"","family":"Preissl","given":"Hubert","non-dropping-particle":"","parse-names":false,"suffix":""},{"dropping-particle":"","family":"Fritsche","given":"Andreas","non-dropping-particle":"","parse-names":false,"suffix":""}],"container-title":"Diabetes","id":"ITEM-4","issue":"12","issued":{"date-parts":[["2014","12"]]},"language":"eng","page":"4083-4088","publisher-place":"United States","title":"Central insulin administration improves whole-body insulin sensitivity via  hypothalamus and parasympathetic outputs in men.","type":"article-journal","volume":"63"},"uris":["http://www.mendeley.com/documents/?uuid=bd69d22c-bf09-479c-909b-d845603d1f34"]}],"mendeley":{"formattedCitation":"&lt;i&gt;(6, 28–30)&lt;/i&gt;","plainTextFormattedCitation":"(6, 28–30)","previouslyFormattedCitation":"&lt;i&gt;(6, 28–30)&lt;/i&gt;"},"properties":{"noteIndex":0},"schema":"https://github.com/citation-style-language/schema/raw/master/csl-citation.json"}</w:instrText>
      </w:r>
      <w:r w:rsidR="00A257DF" w:rsidRPr="001533EC">
        <w:rPr>
          <w:sz w:val="24"/>
          <w:szCs w:val="24"/>
        </w:rPr>
        <w:fldChar w:fldCharType="separate"/>
      </w:r>
      <w:r w:rsidR="00607440" w:rsidRPr="001533EC">
        <w:rPr>
          <w:i/>
          <w:noProof/>
          <w:sz w:val="24"/>
          <w:szCs w:val="24"/>
        </w:rPr>
        <w:t>(6, 28–30)</w:t>
      </w:r>
      <w:r w:rsidR="00A257DF" w:rsidRPr="001533EC">
        <w:rPr>
          <w:sz w:val="24"/>
          <w:szCs w:val="24"/>
        </w:rPr>
        <w:fldChar w:fldCharType="end"/>
      </w:r>
      <w:r w:rsidRPr="001533EC">
        <w:rPr>
          <w:sz w:val="24"/>
          <w:szCs w:val="24"/>
        </w:rPr>
        <w:t>, suppressing hepatic glucose production</w:t>
      </w:r>
      <w:r w:rsidR="00915B06">
        <w:rPr>
          <w:sz w:val="24"/>
          <w:szCs w:val="24"/>
        </w:rPr>
        <w:t xml:space="preserve"> </w:t>
      </w:r>
      <w:r w:rsidR="00122188" w:rsidRPr="001533EC">
        <w:rPr>
          <w:rStyle w:val="Funotenzeichen"/>
          <w:sz w:val="24"/>
          <w:szCs w:val="24"/>
        </w:rPr>
        <w:fldChar w:fldCharType="begin" w:fldLock="1"/>
      </w:r>
      <w:r w:rsidR="00607440" w:rsidRPr="001533EC">
        <w:rPr>
          <w:sz w:val="24"/>
          <w:szCs w:val="24"/>
        </w:rPr>
        <w:instrText>ADDIN CSL_CITATION {"citationItems":[{"id":"ITEM-1","itemData":{"DOI":"10.2337/db16-1380","ISSN":"1939-327X (Electronic)","PMID":"28174292","abstract":"Intranasal spray application facilitates insulin delivery to the human brain.  Although brain insulin modulates peripheral metabolism, the mechanisms involved remain elusive. Twenty-one men underwent two hyperinsulinemic-euglycemic clamps with d-[6,6-(2)H(2)]glucose infusion to measure endogenous glucose production and glucose disappearance. On two separate days, participants received intranasal insulin or placebo. Insulin spillover into circulation after intranasal insulin application was mimicked by an intravenous insulin bolus on placebo day. On a different day, brain insulin sensitivity was assessed by functional MRI. Glucose infusion rates (GIRs) had to be increased more after nasal insulin than after placebo to maintain euglycemia in lean but not in overweight people. The increase in GIRs was associated with regional brain insulin action in hypothalamus and striatum. Suppression of endogenous glucose production by circulating insulin was more pronounced after administration of nasal insulin than after placebo. Furthermore, glucose uptake into tissue tended to be higher after nasal insulin application. No such effects were detected in overweight participants. By increasing insulin-mediated suppression of endogenous glucose production and stimulating peripheral glucose uptake, brain insulin may improve glucose metabolism during systemic hyperinsulinemia. Obese people appear to lack these mechanisms. Therefore, brain insulin resistance in obesity may have unfavorable consequences for whole-body glucose homeostasis.","author":[{"dropping-particle":"","family":"Heni","given":"Martin","non-dropping-particle":"","parse-names":false,"suffix":""},{"dropping-particle":"","family":"Wagner","given":"Robert","non-dropping-particle":"","parse-names":false,"suffix":""},{"dropping-particle":"","family":"Kullmann","given":"Stephanie","non-dropping-particle":"","parse-names":false,"suffix":""},{"dropping-particle":"","family":"Gancheva","given":"Sofiya","non-dropping-particle":"","parse-names":false,"suffix":""},{"dropping-particle":"","family":"Roden","given":"Michael","non-dropping-particle":"","parse-names":false,"suffix":""},{"dropping-particle":"","family":"Peter","given":"Andreas","non-dropping-particle":"","parse-names":false,"suffix":""},{"dropping-particle":"","family":"Stefan","given":"Norbert","non-dropping-particle":"","parse-names":false,"suffix":""},{"dropping-particle":"","family":"Preissl","given":"Hubert","non-dropping-particle":"","parse-names":false,"suffix":""},{"dropping-particle":"","family":"Häring","given":"Hans-Ulrich","non-dropping-particle":"","parse-names":false,"suffix":""},{"dropping-particle":"","family":"Fritsche","given":"Andreas","non-dropping-particle":"","parse-names":false,"suffix":""}],"container-title":"Diabetes","id":"ITEM-1","issue":"7","issued":{"date-parts":[["2017","7"]]},"language":"eng","page":"1797-1806","publisher-place":"United States","title":"Hypothalamic and Striatal Insulin Action Suppresses Endogenous Glucose Production  and May Stimulate Glucose Uptake During Hyperinsulinemia in Lean but Not in Overweight Men.","type":"article-journal","volume":"66"},"uris":["http://www.mendeley.com/documents/?uuid=4d49f086-0e1d-4774-b05e-8060c93621b3"]}],"mendeley":{"formattedCitation":"&lt;i&gt;(31)&lt;/i&gt;","plainTextFormattedCitation":"(31)","previouslyFormattedCitation":"&lt;i&gt;(31)&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bCs/>
          <w:i/>
          <w:noProof/>
          <w:sz w:val="24"/>
          <w:szCs w:val="24"/>
        </w:rPr>
        <w:t>(31)</w:t>
      </w:r>
      <w:r w:rsidR="00122188" w:rsidRPr="001533EC">
        <w:rPr>
          <w:rStyle w:val="Funotenzeichen"/>
          <w:sz w:val="24"/>
          <w:szCs w:val="24"/>
        </w:rPr>
        <w:fldChar w:fldCharType="end"/>
      </w:r>
      <w:r w:rsidRPr="001533EC">
        <w:rPr>
          <w:sz w:val="24"/>
          <w:szCs w:val="24"/>
        </w:rPr>
        <w:t>, and stimulating pancreatic insulin secretion</w:t>
      </w:r>
      <w:r w:rsidR="009A06BF" w:rsidRPr="001533EC">
        <w:rPr>
          <w:sz w:val="24"/>
          <w:szCs w:val="24"/>
        </w:rPr>
        <w:t xml:space="preserve"> </w:t>
      </w:r>
      <w:r w:rsidR="00122188" w:rsidRPr="001533EC">
        <w:rPr>
          <w:rStyle w:val="Funotenzeichen"/>
          <w:sz w:val="24"/>
          <w:szCs w:val="24"/>
        </w:rPr>
        <w:fldChar w:fldCharType="begin" w:fldLock="1"/>
      </w:r>
      <w:r w:rsidR="00607440" w:rsidRPr="001533EC">
        <w:rPr>
          <w:sz w:val="24"/>
          <w:szCs w:val="24"/>
        </w:rPr>
        <w:instrText>ADDIN CSL_CITATION {"citationItems":[{"id":"ITEM-1","itemData":{"DOI":"10.1159/000504551","ISSN":"1423-0194 (Electronic)","PMID":"31689708","abstract":"BACKGROUND: Animal studies and initial correlative data in humans indicate that  insulin action in the brain may affect pancreatic insulin secretion. An important brain region for this process is the hypothalamus, an area that can develop insulin resistance. METHODS: Fifteen young, healthy men (27 ± 3 years) with a wide BMI spectrum (20-30 kg/m2) underwent 2 hyperglycemic clamps (target blood glucose: 10 mmol/L). In this double-blind study, subjects received 160 U of insulin or placebo as a nasal spray on 2 days in randomized order. On another day, insulin sensitivity of the hypothalamus was determined by functional magnetic resonance imaging. RESULTS: Glucose levels were comparable on both study days. In the whole group, C-peptide levels were not significantly different between conditions. Though, there was a significant interaction between insulin sensitivity of the hypothalamus × nasal spray × time on C-peptide levels (p = 10-6). The group was therefore divided according to median hypothalamic insulin sensitivity. C-peptide concentrations were higher after intranasal insulin compared to placebo spray in the group with a strong hypothalamic insulin response (p &lt; 0.0001, β = 6.00 ± 1.24) and lower in the brain insulin-resistant group (p = 0.005, β = -2.68 ± 0.95). Neither somatostatin nor glucagon kinetics was altered by the nasal spray. CONCLUSIONS: In participants with high hypothalamic insulin sensitivity, insulin action in the brain enhanced second-phase insulin secretion from pancreatic beta cells. This reaction could, for example, contribute to late postprandial glucose regulation by suppressing hepatic glucose production by portal venous insulin.","author":[{"dropping-particle":"","family":"Heni","given":"Martin","non-dropping-particle":"","parse-names":false,"suffix":""},{"dropping-particle":"","family":"Wagner","given":"Robert","non-dropping-particle":"","parse-names":false,"suffix":""},{"dropping-particle":"","family":"Willmann","given":"Caroline","non-dropping-particle":"","parse-names":false,"suffix":""},{"dropping-particle":"","family":"Jaghutriz","given":"Benjamin Assad","non-dropping-particle":"","parse-names":false,"suffix":""},{"dropping-particle":"","family":"Vosseler","given":"Andreas","non-dropping-particle":"","parse-names":false,"suffix":""},{"dropping-particle":"","family":"Kübler","given":"Christian","non-dropping-particle":"","parse-names":false,"suffix":""},{"dropping-particle":"","family":"Hund","given":"Verena","non-dropping-particle":"","parse-names":false,"suffix":""},{"dropping-particle":"","family":"Scheffler","given":"Klaus","non-dropping-particle":"","parse-names":false,"suffix":""},{"dropping-particle":"","family":"Peter","given":"Andreas","non-dropping-particle":"","parse-names":false,"suffix":""},{"dropping-particle":"","family":"Häring","given":"Hans-Ulrich","non-dropping-particle":"","parse-names":false,"suffix":""},{"dropping-particle":"","family":"Preissl","given":"Hubert","non-dropping-particle":"","parse-names":false,"suffix":""},{"dropping-particle":"","family":"Kullmann","given":"Stephanie","non-dropping-particle":"","parse-names":false,"suffix":""},{"dropping-particle":"","family":"Fritsche","given":"Andreas","non-dropping-particle":"","parse-names":false,"suffix":""}],"container-title":"Neuroendocrinology","id":"ITEM-1","issue":"11-12","issued":{"date-parts":[["2020"]]},"language":"eng","page":"929-937","publisher-place":"Switzerland","title":"Insulin Action in the Hypothalamus Increases Second-Phase Insulin Secretion in  Humans.","type":"article-journal","volume":"110"},"uris":["http://www.mendeley.com/documents/?uuid=16f0b986-6897-4358-b719-109d7128e57a","http://www.mendeley.com/documents/?uuid=9e4fe7b8-79f5-4776-b86a-9489dc79abfc"]},{"id":"ITEM-2","itemData":{"DOI":"10.1016/S2213-8587(20)30113-3","ISSN":"2213-8595 (Electronic)","PMID":"32445739","abstract":"Insulin acts on the CNS to modulate behaviour and systemic metabolism.  Disturbances in brain insulin action represent a possible link between metabolic and cognitive health. Current findings from human research suggest that boosting central insulin action in the brain modulates peripheral metabolism, enhancing whole-body insulin sensitivity and suppressing endogenous glucose production. Moreover, central insulin action curbs food intake by reducing the salience of highly palatable food cues and increasing cognitive control. Animal models show that the mesocorticolimbic circuitry is finely tuned in response to insulin, driven mainly by the dopamine system. These mechanisms are impaired in people with obesity, which might increase their risk of developing type 2 diabetes and associated diseases. Overall, current findings highlight the role of insulin action in the brain and its consequences on peripheral metabolism and cognition. Hence, improving central insulin action could represent a therapeutic option for people at an increased risk of developing metabolic and cognitive diseases.","author":[{"dropping-particle":"","family":"Kullmann","given":"Stephanie","non-dropping-particle":"","parse-names":false,"suffix":""},{"dropping-particle":"","family":"Kleinridders","given":"André","non-dropping-particle":"","parse-names":false,"suffix":""},{"dropping-particle":"","family":"Small","given":"Dana M","non-dropping-particle":"","parse-names":false,"suffix":""},{"dropping-particle":"","family":"Fritsche","given":"Andreas","non-dropping-particle":"","parse-names":false,"suffix":""},{"dropping-particle":"","family":"Häring","given":"Hans-Ulrich","non-dropping-particle":"","parse-names":false,"suffix":""},{"dropping-particle":"","family":"Preissl","given":"Hubert","non-dropping-particle":"","parse-names":false,"suffix":""},{"dropping-particle":"","family":"Heni","given":"Martin","non-dropping-particle":"","parse-names":false,"suffix":""}],"container-title":"The lancet. Diabetes &amp; endocrinology","id":"ITEM-2","issue":"6","issued":{"date-parts":[["2020","6"]]},"language":"eng","page":"524-534","publisher-place":"England","title":"Central nervous pathways of insulin action in the control of metabolism and food  intake.","type":"article-journal","volume":"8"},"uris":["http://www.mendeley.com/documents/?uuid=a7d0c581-29d9-49ff-a27f-ba1e61e2edff"]}],"mendeley":{"formattedCitation":"&lt;i&gt;(6, 32)&lt;/i&gt;","plainTextFormattedCitation":"(6, 32)","previouslyFormattedCitation":"&lt;i&gt;(6, 32)&lt;/i&gt;"},"properties":{"noteIndex":0},"schema":"https://github.com/citation-style-language/schema/raw/master/csl-citation.json"}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bCs/>
          <w:i/>
          <w:noProof/>
          <w:sz w:val="24"/>
          <w:szCs w:val="24"/>
        </w:rPr>
        <w:t>(6, 32)</w:t>
      </w:r>
      <w:r w:rsidR="00122188" w:rsidRPr="001533EC">
        <w:rPr>
          <w:rStyle w:val="Funotenzeichen"/>
          <w:sz w:val="24"/>
          <w:szCs w:val="24"/>
        </w:rPr>
        <w:fldChar w:fldCharType="end"/>
      </w:r>
      <w:r w:rsidRPr="001533EC">
        <w:rPr>
          <w:sz w:val="24"/>
          <w:szCs w:val="24"/>
        </w:rPr>
        <w:t>. Hence, brain insulin sensitivity has a strong impact on metabolic processes related to the development of T2D</w:t>
      </w:r>
      <w:r w:rsidR="009A06BF" w:rsidRPr="001533EC">
        <w:rPr>
          <w:sz w:val="24"/>
          <w:szCs w:val="24"/>
        </w:rPr>
        <w:t xml:space="preserve"> </w:t>
      </w:r>
      <w:r w:rsidR="00122188" w:rsidRPr="001533EC">
        <w:rPr>
          <w:rStyle w:val="Funotenzeichen"/>
          <w:sz w:val="24"/>
          <w:szCs w:val="24"/>
        </w:rPr>
        <w:fldChar w:fldCharType="begin" w:fldLock="1"/>
      </w:r>
      <w:r w:rsidR="00607440" w:rsidRPr="001533EC">
        <w:rPr>
          <w:sz w:val="24"/>
          <w:szCs w:val="24"/>
        </w:rPr>
        <w:instrText>ADDIN CSL_CITATION {"citationItems":[{"id":"ITEM-1","itemData":{"DOI":"10.1007/s00125-024-06104-9","ISSN":"1432-0428","abstract":"Insulin exerts its actions not only on peripheral organs but is also transported into the brain where it performs distinct functions in various brain regions. This review highlights recent advancements in our understanding of insulin’s actions within the brain, with a specific emphasis on investigations in humans. It summarises current knowledge on the transport of insulin into the brain. Subsequently, it showcases robust evidence demonstrating the existence and physiological consequences of brain insulin action, while also introducing the presence of brain insulin resistance in humans. This pathophysiological condition goes along with an impaired acute modulation of peripheral metabolism in response to brain insulin action, particularly in the postprandial state. Furthermore, brain insulin resistance has been associated with long-term adiposity and an unfavourable adipose tissue distribution, thus implicating it in the pathogenesis of subgroups of obesity and (pre)diabetes that are characterised by distinct patterns of body fat distribution. Encouragingly, emerging evidence suggests that brain insulin resistance could represent a treatable entity, thereby opening up novel therapeutic avenues to improve systemic metabolism and enhance brain functions, including cognition. The review closes with an outlook towards prospective research directions aimed at further elucidating the clinical implications of brain insulin resistance. It emphasises the critical need to establish feasible diagnostic measures and effective therapeutic interventions.","author":[{"dropping-particle":"","family":"Heni","given":"Martin","non-dropping-particle":"","parse-names":false,"suffix":""}],"container-title":"Diabetologia","id":"ITEM-1","issued":{"date-parts":[["2024"]]},"title":"The insulin resistant brain: impact on whole-body metabolism and body fat distribution","type":"article-journal"},"uris":["http://www.mendeley.com/documents/?uuid=ee27ff2f-83b4-4277-83a1-357e4e6426d1"]}],"mendeley":{"formattedCitation":"&lt;i&gt;(8)&lt;/i&gt;","plainTextFormattedCitation":"(8)","previouslyFormattedCitation":"&lt;i&gt;(8)&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i/>
          <w:noProof/>
          <w:sz w:val="24"/>
          <w:szCs w:val="24"/>
        </w:rPr>
        <w:t>(8)</w:t>
      </w:r>
      <w:r w:rsidR="00122188" w:rsidRPr="001533EC">
        <w:rPr>
          <w:rStyle w:val="Funotenzeichen"/>
          <w:sz w:val="24"/>
          <w:szCs w:val="24"/>
        </w:rPr>
        <w:fldChar w:fldCharType="end"/>
      </w:r>
      <w:r w:rsidRPr="001533EC">
        <w:rPr>
          <w:sz w:val="24"/>
          <w:szCs w:val="24"/>
        </w:rPr>
        <w:t>. In persons with brain insulin resistance, central insulin fails to enhance peripheral metabolism</w:t>
      </w:r>
      <w:r w:rsidR="009A06BF" w:rsidRPr="001533EC">
        <w:rPr>
          <w:sz w:val="24"/>
          <w:szCs w:val="24"/>
        </w:rPr>
        <w:t xml:space="preserve"> </w:t>
      </w:r>
      <w:r w:rsidR="00122188" w:rsidRPr="001533EC">
        <w:rPr>
          <w:rStyle w:val="Funotenzeichen"/>
          <w:sz w:val="24"/>
          <w:szCs w:val="24"/>
        </w:rPr>
        <w:fldChar w:fldCharType="begin" w:fldLock="1"/>
      </w:r>
      <w:r w:rsidR="00607440" w:rsidRPr="001533EC">
        <w:rPr>
          <w:sz w:val="24"/>
          <w:szCs w:val="24"/>
        </w:rPr>
        <w:instrText>ADDIN CSL_CITATION {"citationItems":[{"id":"ITEM-1","itemData":{"DOI":"10.1016/S2213-8587(20)30113-3","ISSN":"2213-8595 (Electronic)","PMID":"32445739","abstract":"Insulin acts on the CNS to modulate behaviour and systemic metabolism.  Disturbances in brain insulin action represent a possible link between metabolic and cognitive health. Current findings from human research suggest that boosting central insulin action in the brain modulates peripheral metabolism, enhancing whole-body insulin sensitivity and suppressing endogenous glucose production. Moreover, central insulin action curbs food intake by reducing the salience of highly palatable food cues and increasing cognitive control. Animal models show that the mesocorticolimbic circuitry is finely tuned in response to insulin, driven mainly by the dopamine system. These mechanisms are impaired in people with obesity, which might increase their risk of developing type 2 diabetes and associated diseases. Overall, current findings highlight the role of insulin action in the brain and its consequences on peripheral metabolism and cognition. Hence, improving central insulin action could represent a therapeutic option for people at an increased risk of developing metabolic and cognitive diseases.","author":[{"dropping-particle":"","family":"Kullmann","given":"Stephanie","non-dropping-particle":"","parse-names":false,"suffix":""},{"dropping-particle":"","family":"Kleinridders","given":"André","non-dropping-particle":"","parse-names":false,"suffix":""},{"dropping-particle":"","family":"Small","given":"Dana M","non-dropping-particle":"","parse-names":false,"suffix":""},{"dropping-particle":"","family":"Fritsche","given":"Andreas","non-dropping-particle":"","parse-names":false,"suffix":""},{"dropping-particle":"","family":"Häring","given":"Hans-Ulrich","non-dropping-particle":"","parse-names":false,"suffix":""},{"dropping-particle":"","family":"Preissl","given":"Hubert","non-dropping-particle":"","parse-names":false,"suffix":""},{"dropping-particle":"","family":"Heni","given":"Martin","non-dropping-particle":"","parse-names":false,"suffix":""}],"container-title":"The lancet. Diabetes &amp; endocrinology","id":"ITEM-1","issue":"6","issued":{"date-parts":[["2020","6"]]},"language":"eng","page":"524-534","publisher-place":"England","title":"Central nervous pathways of insulin action in the control of metabolism and food  intake.","type":"article-journal","volume":"8"},"uris":["http://www.mendeley.com/documents/?uuid=a7d0c581-29d9-49ff-a27f-ba1e61e2edff"]}],"mendeley":{"formattedCitation":"&lt;i&gt;(6)&lt;/i&gt;","plainTextFormattedCitation":"(6)","previouslyFormattedCitation":"&lt;i&gt;(6)&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i/>
          <w:noProof/>
          <w:sz w:val="24"/>
          <w:szCs w:val="24"/>
        </w:rPr>
        <w:t>(6)</w:t>
      </w:r>
      <w:r w:rsidR="00122188" w:rsidRPr="001533EC">
        <w:rPr>
          <w:rStyle w:val="Funotenzeichen"/>
          <w:sz w:val="24"/>
          <w:szCs w:val="24"/>
        </w:rPr>
        <w:fldChar w:fldCharType="end"/>
      </w:r>
      <w:r w:rsidRPr="001533EC">
        <w:rPr>
          <w:sz w:val="24"/>
          <w:szCs w:val="24"/>
        </w:rPr>
        <w:t xml:space="preserve">. Metabolically unhealthy individuals show an altered hypothalamic response to intranasal insulin, which is related to unhealthy eating behavior and </w:t>
      </w:r>
      <w:r w:rsidRPr="001533EC">
        <w:rPr>
          <w:sz w:val="24"/>
          <w:szCs w:val="24"/>
        </w:rPr>
        <w:lastRenderedPageBreak/>
        <w:t>fat distribution</w:t>
      </w:r>
      <w:r w:rsidR="009A06BF" w:rsidRPr="001533EC">
        <w:rPr>
          <w:sz w:val="24"/>
          <w:szCs w:val="24"/>
        </w:rPr>
        <w:t xml:space="preserve"> </w:t>
      </w:r>
      <w:r w:rsidR="00122188" w:rsidRPr="001533EC">
        <w:rPr>
          <w:rStyle w:val="Funotenzeichen"/>
          <w:sz w:val="24"/>
          <w:szCs w:val="24"/>
        </w:rPr>
        <w:fldChar w:fldCharType="begin" w:fldLock="1"/>
      </w:r>
      <w:r w:rsidR="0017498C">
        <w:rPr>
          <w:sz w:val="24"/>
          <w:szCs w:val="24"/>
        </w:rPr>
        <w:instrText>ADDIN CSL_CITATION {"citationItems":[{"id":"ITEM-1","itemData":{"DOI":"10.1016/S2213-8587(20)30113-3","ISSN":"2213-8595 (Electronic)","PMID":"32445739","abstract":"Insulin acts on the CNS to modulate behaviour and systemic metabolism.  Disturbances in brain insulin action represent a possible link between metabolic and cognitive health. Current findings from human research suggest that boosting central insulin action in the brain modulates peripheral metabolism, enhancing whole-body insulin sensitivity and suppressing endogenous glucose production. Moreover, central insulin action curbs food intake by reducing the salience of highly palatable food cues and increasing cognitive control. Animal models show that the mesocorticolimbic circuitry is finely tuned in response to insulin, driven mainly by the dopamine system. These mechanisms are impaired in people with obesity, which might increase their risk of developing type 2 diabetes and associated diseases. Overall, current findings highlight the role of insulin action in the brain and its consequences on peripheral metabolism and cognition. Hence, improving central insulin action could represent a therapeutic option for people at an increased risk of developing metabolic and cognitive diseases.","author":[{"dropping-particle":"","family":"Kullmann","given":"Stephanie","non-dropping-particle":"","parse-names":false,"suffix":""},{"dropping-particle":"","family":"Kleinridders","given":"André","non-dropping-particle":"","parse-names":false,"suffix":""},{"dropping-particle":"","family":"Small","given":"Dana M","non-dropping-particle":"","parse-names":false,"suffix":""},{"dropping-particle":"","family":"Fritsche","given":"Andreas","non-dropping-particle":"","parse-names":false,"suffix":""},{"dropping-particle":"","family":"Häring","given":"Hans-Ulrich","non-dropping-particle":"","parse-names":false,"suffix":""},{"dropping-particle":"","family":"Preissl","given":"Hubert","non-dropping-particle":"","parse-names":false,"suffix":""},{"dropping-particle":"","family":"Heni","given":"Martin","non-dropping-particle":"","parse-names":false,"suffix":""}],"container-title":"The lancet. Diabetes &amp; endocrinology","id":"ITEM-1","issue":"6","issued":{"date-parts":[["2020","6"]]},"language":"eng","page":"524-534","publisher-place":"England","title":"Central nervous pathways of insulin action in the control of metabolism and food  intake.","type":"article-journal","volume":"8"},"uris":["http://www.mendeley.com/documents/?uuid=a7d0c581-29d9-49ff-a27f-ba1e61e2edff"]},{"id":"ITEM-2","itemData":{"DOI":"10.2337/dc14-2319","ISSN":"1935-5548 (Electronic)","PMID":"25795413","abstract":"OBJECTIVE: Impaired brain insulin action has been linked to obesity, type 2  diabetes, and neurodegenerative diseases. To date, the central nervous effects of insulin in obese humans still remain ill defined, and no study thus far has evaluated the specific brain areas affected by insulin resistance. RESEARCH DESIGN AND METHODS: In 25 healthy lean and 23 overweight/obese participants, we performed magnetic resonance imaging to measure cerebral blood flow (CBF) before and 15 and 30 min after application of intranasal insulin or placebo. Additionally, participants explicitly rated pictures of high-caloric savory and sweet food 60 min after the spray for wanting and liking. RESULTS: In response to insulin compared with placebo, we found a significant CBF decrease in the hypothalamus in both lean and overweight/obese participants. The magnitude of this response correlated with visceral adipose tissue independent of other fat compartments. Furthermore, we observed a differential response in the lean compared with the overweight/obese group in the prefrontal cortex, resulting in an insulin-induced CBF reduction in lean participants only. This prefrontal cortex response significantly correlated with peripheral insulin sensitivity and eating behavior measures such as disinhibition and food craving. Behaviorally, we were able to observe a significant reduction for the wanting of sweet foods after insulin application in lean men only. CONCLUSIONS: Brain insulin action was selectively impaired in the prefrontal cortex in overweight and obese adults and in the hypothalamus in participants with high visceral adipose tissue, potentially promoting an altered homeostatic set point and reduced inhibitory control contributing to overeating behavior.","author":[{"dropping-particle":"","family":"Kullmann","given":"Stephanie","non-dropping-particle":"","parse-names":false,"suffix":""},{"dropping-particle":"","family":"Heni","given":"Martin","non-dropping-particle":"","parse-names":false,"suffix":""},{"dropping-particle":"","family":"Veit","given":"Ralf","non-dropping-particle":"","parse-names":false,"suffix":""},{"dropping-particle":"","family":"Scheffler","given":"Klaus","non-dropping-particle":"","parse-names":false,"suffix":""},{"dropping-particle":"","family":"Machann","given":"Jürgen","non-dropping-particle":"","parse-names":false,"suffix":""},{"dropping-particle":"","family":"Häring","given":"Hans-Ulrich","non-dropping-particle":"","parse-names":false,"suffix":""},{"dropping-particle":"","family":"Fritsche","given":"Andreas","non-dropping-particle":"","parse-names":false,"suffix":""},{"dropping-particle":"","family":"Preissl","given":"Hubert","non-dropping-particle":"","parse-names":false,"suffix":""}],"container-title":"Diabetes care","id":"ITEM-2","issue":"6","issued":{"date-parts":[["2015","6"]]},"language":"eng","page":"1044-1050","publisher-place":"United States","title":"Selective insulin resistance in homeostatic and cognitive control brain areas in  overweight and obese adults.","type":"article-journal","volume":"38"},"uris":["http://www.mendeley.com/documents/?uuid=b3c3bf05-2eca-47b0-b37b-9ccc13cf91af"]},{"id":"ITEM-3","itemData":{"DOI":"10.1111/dom.15094","ISSN":"1463-1326 (Electronic)","PMID":"37046367","abstract":"AIMS: Insulin action in the brain influences cognitive processes, peripheral  metabolism and eating behaviour. However, the influence of age and peripheral insulin sensitivity on brain insulin action remains unclear. MATERIALS AND METHODS: We used intranasal administration of insulin and functional magnetic resonance imaging in a randomized, placebo-controlled within-subject design in 110 participants (54 women, body mass index 18-49 kg/m(2) , age 21-74 years). Cerebral blood flow was measured before and after nasal spray application to assess brain insulin action. Peripheral insulin sensitivity was assessed by a five-point oral glucose tolerance test. Linear regressions were used to investigate associations between age and peripheral insulin sensitivity with brain insulin action in predefined region of interests (i.e. insulin-sensitive brain regions). RESULTS: We found significant negative associations between age and insulin action in the hippocampus (β = -0.215; p = .017) and caudate nucleus (β = -0.184; p = .047); and between peripheral insulin sensitivity and insulin action in the amygdala (β = -0.190, p = .023). Insulin action in the insular cortex showed an interaction effect between age and peripheral insulin sensitivity (β = -0.219 p = .005). Furthermore, women showed the strongest negative association between age and hippocampal insulin action, while men showed the strongest associations with peripheral insulin sensitivity and age in reward-related brain regions. CONCLUSION: We could show a region-specific relationship between brain insulin responsiveness, age and peripheral insulin sensitivity. Our findings underline the need to study brain insulin action in both men and women and further substantiate that brain insulin sensitivity is a possible link between systemic metabolism and neurocognitive functions.","author":[{"dropping-particle":"","family":"Wagner","given":"Lore","non-dropping-particle":"","parse-names":false,"suffix":""},{"dropping-particle":"","family":"Veit","given":"Ralf","non-dropping-particle":"","parse-names":false,"suffix":""},{"dropping-particle":"","family":"Kübler","given":"Christian","non-dropping-particle":"","parse-names":false,"suffix":""},{"dropping-particle":"","family":"Fritsche","given":"Andreas","non-dropping-particle":"","parse-names":false,"suffix":""},{"dropping-particle":"","family":"Häring","given":"Hans-Ulrich","non-dropping-particle":"","parse-names":false,"suffix":""},{"dropping-particle":"","family":"Birkenfeld","given":"Andreas L","non-dropping-particle":"","parse-names":false,"suffix":""},{"dropping-particle":"","family":"Heni","given":"Martin","non-dropping-particle":"","parse-names":false,"suffix":""},{"dropping-particle":"","family":"Preissl","given":"Hubert","non-dropping-particle":"","parse-names":false,"suffix":""},{"dropping-particle":"","family":"Kullmann","given":"Stephanie","non-dropping-particle":"","parse-names":false,"suffix":""}],"container-title":"Diabetes, obesity &amp; metabolism","id":"ITEM-3","issue":"8","issued":{"date-parts":[["2023","8"]]},"language":"eng","page":"2171-2180","publisher-place":"England","title":"Brain insulin responsiveness is linked to age and peripheral insulin sensitivity.","type":"article-journal","volume":"25"},"uris":["http://www.mendeley.com/documents/?uuid=015f0716-46d7-3ffd-ae45-d9358a530a50"]},{"id":"ITEM-4","itemData":{"DOI":"10.1038/s41366-022-01167-3","ISSN":"1476-5497 (Electronic)","PMID":"35715625","abstract":"BACKGROUND/OBJECTIVES: Central insulin action influences cognitive processes,  peripheral metabolism, and eating behavior. However, the contribution of obesity and sex on central insulin-mediated neural food cue processing still remains unclear. SUBJECTS/METHODS: In a randomized within-participant design, including two visits, 60 participants (30 women, BMI 18-32 kg/m(2), age 21-69 years) underwent a functional MRI task measuring blood oxygen level-dependent (BOLD) signal in response to visual food cues after intranasal insulin or placebo spray administration. Central insulin action was defined as the neural BOLD response to food cues after insulin compared to placebo administration. Afterwards, participants were asked to rate the food cues for desire to eat (i.e., wanting rating). For statistical analyses, participants were grouped according to BMI and sex. RESULTS: Food cue reactivity in the amygdala showed higher BOLD activation in response to central insulin compared to placebo. Furthermore, women with overweight and obesity and men of normal weight showed higher BOLD neural food cue responsivity to central insulin compared to placebo. Higher central insulin action in the insular cortex was associated with better peripheral insulin sensitivity and higher cognitive control. Moreover, central insulin action in the dorsolateral prefrontal cortex (DLPFC) revealed significant sex differences. In response to central insulin compared to placebo, men showed lower DLPFC BOLD activity, whereas women showed higher DLPFC activity in response to highly desired food cues. On behavioral level, central insulin action significantly reduced hunger, whereas the desire to eat, especially for low caloric food cues was significantly higher with central insulin than with placebo. CONCLUSIONS: Obesity and sex influenced the central insulin-mediated neural BOLD activity to visual food cues in brain regions implicated in reward and cognitive control. These findings show that central insulin action regulates food response differentially in men and women, which may have consequences for metabolism and eating behavior.","author":[{"dropping-particle":"","family":"Wagner","given":"Lore","non-dropping-particle":"","parse-names":false,"suffix":""},{"dropping-particle":"","family":"Veit","given":"Ralf","non-dropping-particle":"","parse-names":false,"suffix":""},{"dropping-particle":"","family":"Fritsche","given":"Louise","non-dropping-particle":"","parse-names":false,"suffix":""},{"dropping-particle":"","family":"Häring","given":"Hans-Ulrich","non-dropping-particle":"","parse-names":false,"suffix":""},{"dropping-particle":"","family":"Fritsche","given":"Andreas","non-dropping-particle":"","parse-names":false,"suffix":""},{"dropping-particle":"","family":"Birkenfeld","given":"Andreas L","non-dropping-particle":"","parse-names":false,"suffix":""},{"dropping-particle":"","family":"Heni","given":"Martin","non-dropping-particle":"","parse-names":false,"suffix":""},{"dropping-particle":"","family":"Preissl","given":"Hubert","non-dropping-particle":"","parse-names":false,"suffix":""},{"dropping-particle":"","family":"Kullmann","given":"Stephanie","non-dropping-particle":"","parse-names":false,"suffix":""}],"container-title":"International journal of obesity (2005)","id":"ITEM-4","issue":"9","issued":{"date-parts":[["2022","9"]]},"language":"eng","page":"1662-1670","publisher-place":"England","title":"Sex differences in central insulin action: Effect of intranasal insulin on neural  food cue reactivity in adults with normal weight and overweight.","type":"article-journal","volume":"46"},"uris":["http://www.mendeley.com/documents/?uuid=f82bd694-d989-458c-b188-4f8de02efc03","http://www.mendeley.com/documents/?uuid=4ce2b473-20c7-4dfe-b5a3-8f54fb00fb04","http://www.mendeley.com/documents/?uuid=bf0dbd79-a1ec-4b67-900d-2b747df4466d"]}],"mendeley":{"formattedCitation":"&lt;i&gt;(6, 21, 33, 34)&lt;/i&gt;","plainTextFormattedCitation":"(6, 21, 33, 34)","previouslyFormattedCitation":"&lt;i&gt;(6, 21, 33, 34)&lt;/i&gt;"},"properties":{"noteIndex":0},"schema":"https://github.com/citation-style-language/schema/raw/master/csl-citation.json"}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bCs/>
          <w:i/>
          <w:noProof/>
          <w:sz w:val="24"/>
          <w:szCs w:val="24"/>
        </w:rPr>
        <w:t>(6, 21, 33, 34)</w:t>
      </w:r>
      <w:r w:rsidR="00122188" w:rsidRPr="001533EC">
        <w:rPr>
          <w:rStyle w:val="Funotenzeichen"/>
          <w:sz w:val="24"/>
          <w:szCs w:val="24"/>
        </w:rPr>
        <w:fldChar w:fldCharType="end"/>
      </w:r>
      <w:r w:rsidRPr="001533EC">
        <w:rPr>
          <w:sz w:val="24"/>
          <w:szCs w:val="24"/>
        </w:rPr>
        <w:t>. Brain insulin resistance also predicts body weight trajectory and body fat distribution over a time span of 9 years</w:t>
      </w:r>
      <w:r w:rsidR="009A06BF" w:rsidRPr="001533EC">
        <w:rPr>
          <w:sz w:val="24"/>
          <w:szCs w:val="24"/>
        </w:rPr>
        <w:t xml:space="preserve"> </w:t>
      </w:r>
      <w:r w:rsidR="00122188" w:rsidRPr="001533EC">
        <w:rPr>
          <w:rStyle w:val="Funotenzeichen"/>
          <w:sz w:val="24"/>
          <w:szCs w:val="24"/>
        </w:rPr>
        <w:fldChar w:fldCharType="begin" w:fldLock="1"/>
      </w:r>
      <w:r w:rsidR="0017498C">
        <w:rPr>
          <w:sz w:val="24"/>
          <w:szCs w:val="24"/>
        </w:rPr>
        <w:instrText>ADDIN CSL_CITATION {"citationItems":[{"id":"ITEM-1","itemData":{"DOI":"10.1038/s41467-020-15686-y","ISSN":"20411723","PMID":"32296068","abstract":"Brain insulin action regulates eating behavior and energy fluxes throughout the body. However, numerous people are brain insulin resistant. How brain insulin responsiveness affects long-term weight and body fat composition in humans is still unknown. Here we show that high brain insulin sensitivity before lifestyle intervention associates with a more pronounced reduction in total and visceral fat during the program. High brain insulin sensitivity is also associated with less regain of fat mass during a nine year follow-up. Cross-sectionally, strong insulin responsiveness of the hypothalamus associates with less visceral fat, while subcutaneous fat is unrelated. Our results demonstrate that high brain insulin sensitivity is linked to weight loss during lifestyle intervention and associates with a favorable body fat distribution. Since visceral fat is strongly linked to diabetes, cardiovascular risk and cancer, these findings have implications beyond metabolic diseases and indicate the necessity of strategies to resolve brain insulin resistance.","author":[{"dropping-particle":"","family":"Kullmann","given":"Stephanie","non-dropping-particle":"","parse-names":false,"suffix":""},{"dropping-particle":"","family":"Valenta","given":"Vera","non-dropping-particle":"","parse-names":false,"suffix":""},{"dropping-particle":"","family":"Wagner","given":"Robert","non-dropping-particle":"","parse-names":false,"suffix":""},{"dropping-particle":"","family":"Tschritter","given":"Otto","non-dropping-particle":"","parse-names":false,"suffix":""},{"dropping-particle":"","family":"Machann","given":"Jürgen","non-dropping-particle":"","parse-names":false,"suffix":""},{"dropping-particle":"","family":"Häring","given":"Hans Ulrich","non-dropping-particle":"","parse-names":false,"suffix":""},{"dropping-particle":"","family":"Preissl","given":"Hubert","non-dropping-particle":"","parse-names":false,"suffix":""},{"dropping-particle":"","family":"Fritsche","given":"Andreas","non-dropping-particle":"","parse-names":false,"suffix":""},{"dropping-particle":"","family":"Heni","given":"Martin","non-dropping-particle":"","parse-names":false,"suffix":""}],"container-title":"Nature Communications","id":"ITEM-1","issue":"1","issued":{"date-parts":[["2020","12","1"]]},"publisher":"Nature Research","title":"Brain insulin sensitivity is linked to adiposity and body fat distribution","type":"article-journal","volume":"11"},"uris":["http://www.mendeley.com/documents/?uuid=70cb2476-8915-34c7-b417-ba5695f1b3f6"]}],"mendeley":{"formattedCitation":"&lt;i&gt;(14)&lt;/i&gt;","plainTextFormattedCitation":"(14)","previouslyFormattedCitation":"&lt;i&gt;(14)&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i/>
          <w:noProof/>
          <w:sz w:val="24"/>
          <w:szCs w:val="24"/>
        </w:rPr>
        <w:t>(14)</w:t>
      </w:r>
      <w:r w:rsidR="00122188" w:rsidRPr="001533EC">
        <w:rPr>
          <w:rStyle w:val="Funotenzeichen"/>
          <w:sz w:val="24"/>
          <w:szCs w:val="24"/>
        </w:rPr>
        <w:fldChar w:fldCharType="end"/>
      </w:r>
      <w:r w:rsidRPr="001533EC">
        <w:rPr>
          <w:sz w:val="24"/>
          <w:szCs w:val="24"/>
        </w:rPr>
        <w:t>. Thus, the identification of people with brain insulin resistance could potentially guide screening and treatment in</w:t>
      </w:r>
      <w:r w:rsidR="00776633">
        <w:rPr>
          <w:sz w:val="24"/>
          <w:szCs w:val="24"/>
        </w:rPr>
        <w:t xml:space="preserve"> the</w:t>
      </w:r>
      <w:r w:rsidRPr="001533EC">
        <w:rPr>
          <w:sz w:val="24"/>
          <w:szCs w:val="24"/>
        </w:rPr>
        <w:t xml:space="preserve"> future. </w:t>
      </w:r>
    </w:p>
    <w:p w14:paraId="17CD3CA8" w14:textId="13AB3D6C" w:rsidR="00C35B7A" w:rsidRPr="001533EC" w:rsidRDefault="00C35B7A" w:rsidP="00C35B7A">
      <w:pPr>
        <w:spacing w:line="480" w:lineRule="auto"/>
        <w:jc w:val="both"/>
        <w:rPr>
          <w:sz w:val="24"/>
          <w:szCs w:val="24"/>
        </w:rPr>
      </w:pPr>
      <w:r w:rsidRPr="001533EC">
        <w:rPr>
          <w:sz w:val="24"/>
          <w:szCs w:val="24"/>
        </w:rPr>
        <w:t>Epigenetic factors have been described as one mechanism - among others - involved in developing obesity and T2D. In this research field, many human studies described the epigenetic alterations in the liver, muscle, islets of Langerhans, and blood cells, however brain data are limited</w:t>
      </w:r>
      <w:r w:rsidR="009A06BF" w:rsidRPr="001533EC">
        <w:rPr>
          <w:sz w:val="24"/>
          <w:szCs w:val="24"/>
        </w:rPr>
        <w:t xml:space="preserve"> </w:t>
      </w:r>
      <w:r w:rsidR="00122188" w:rsidRPr="001533EC">
        <w:rPr>
          <w:rStyle w:val="Funotenzeichen"/>
          <w:sz w:val="24"/>
          <w:szCs w:val="24"/>
        </w:rPr>
        <w:fldChar w:fldCharType="begin" w:fldLock="1"/>
      </w:r>
      <w:r w:rsidR="00607440" w:rsidRPr="001533EC">
        <w:rPr>
          <w:sz w:val="24"/>
          <w:szCs w:val="24"/>
        </w:rPr>
        <w:instrText>ADDIN CSL_CITATION {"citationItems":[{"id":"ITEM-1","itemData":{"DOI":"10.1038/s41467-019-12081-0","ISSN":"2041-1723","abstract":"The mechanisms underlying improved insulin sensitivity after surgically-induced weight loss are still unclear. We monitored skeletal muscle metabolism in obese individuals before and over 52 weeks after metabolic surgery. Initial weight loss occurs in parallel with a decrease in muscle oxidative capacity and respiratory control ratio. Persistent elevation of intramyocellular lipid intermediates, likely resulting from unrestrained adipose tissue lipolysis, accompanies the lack of rapid changes in insulin sensitivity. Simultaneously, alterations in skeletal muscle expression of genes involved in calcium/lipid metabolism and mitochondrial function associate with subsequent distinct DNA methylation patterns at 52 weeks after surgery. Thus, initial unfavorable metabolic changes including insulin resistance of adipose tissue and skeletal muscle precede epigenetic modifications of genes involved in muscle energy metabolism and the long-term improvement of insulin sensitivity.","author":[{"dropping-particle":"","family":"Gancheva","given":"Sofiya","non-dropping-particle":"","parse-names":false,"suffix":""},{"dropping-particle":"","family":"Ouni","given":"Meriem","non-dropping-particle":"","parse-names":false,"suffix":""},{"dropping-particle":"","family":"Jelenik","given":"Tomas","non-dropping-particle":"","parse-names":false,"suffix":""},{"dropping-particle":"","family":"Koliaki","given":"Chrysi","non-dropping-particle":"","parse-names":false,"suffix":""},{"dropping-particle":"","family":"Szendroedi","given":"Julia","non-dropping-particle":"","parse-names":false,"suffix":""},{"dropping-particle":"","family":"Toledo","given":"Frederico G S","non-dropping-particle":"","parse-names":false,"suffix":""},{"dropping-particle":"","family":"Markgraf","given":"Daniel F","non-dropping-particle":"","parse-names":false,"suffix":""},{"dropping-particle":"","family":"Pesta","given":"Dominik H","non-dropping-particle":"","parse-names":false,"suffix":""},{"dropping-particle":"","family":"Mastrototaro","given":"Lucia","non-dropping-particle":"","parse-names":false,"suffix":""},{"dropping-particle":"","family":"Filippo","given":"Elisabetta","non-dropping-particle":"De","parse-names":false,"suffix":""},{"dropping-particle":"","family":"Herder","given":"Christian","non-dropping-particle":"","parse-names":false,"suffix":""},{"dropping-particle":"","family":"Jähnert","given":"Markus","non-dropping-particle":"","parse-names":false,"suffix":""},{"dropping-particle":"","family":"Weiss","given":"Jürgen","non-dropping-particle":"","parse-names":false,"suffix":""},{"dropping-particle":"","family":"Strassburger","given":"Klaus","non-dropping-particle":"","parse-names":false,"suffix":""},{"dropping-particle":"","family":"Schlensak","given":"Matthias","non-dropping-particle":"","parse-names":false,"suffix":""},{"dropping-particle":"","family":"Schürmann","given":"Annette","non-dropping-particle":"","parse-names":false,"suffix":""},{"dropping-particle":"","family":"Roden","given":"Michael","non-dropping-particle":"","parse-names":false,"suffix":""}],"container-title":"Nature Communications","id":"ITEM-1","issue":"1","issued":{"date-parts":[["2019"]]},"page":"4179","title":"Dynamic changes of muscle insulin sensitivity after metabolic surgery","type":"article-journal","volume":"10"},"uris":["http://www.mendeley.com/documents/?uuid=19cad881-44e6-4c49-a0bc-62910d4a7bb2"]},{"id":"ITEM-2","itemData":{"DOI":"10.1016/j.cmet.2019.03.009","ISSN":"1550-4131","author":[{"dropping-particle":"","family":"Ling","given":"Charlotte","non-dropping-particle":"","parse-names":false,"suffix":""},{"dropping-particle":"","family":"Rönn","given":"Tina","non-dropping-particle":"","parse-names":false,"suffix":""}],"container-title":"Cell Metabolism","id":"ITEM-2","issue":"5","issued":{"date-parts":[["2019","5"]]},"page":"1028-1044","publisher":"Elsevier","title":"Epigenetics in Human Obesity and Type 2 Diabetes","type":"article-journal","volume":"29"},"uris":["http://www.mendeley.com/documents/?uuid=b5547aed-1a7b-48de-9977-1ae651a4bf32"]},{"id":"ITEM-3","itemData":{"DOI":"10.1016/j.molmet.2023.101774","ISSN":"2212-8778 (Electronic)","PMID":"37429525","abstract":"OBJECTIVES: Better disease management can be achieved with earlier detection  through robust, sensitive, and easily accessible biomarkers. The aim of the current study was to identify novel epigenetic biomarkers determining the risk of type 2 diabetes (T2D). METHODS: Livers of 10-week-old female New Zealand Obese (NZO) mice, slightly differing in their degree of hyperglycemia and liver fat content and thereby in their diabetes susceptibility were used for expression and methylation profiling. We screened for differences in hepatic expression and DNA methylation in diabetes-prone and -resistant mice, and verified a candidate (HAMP) in human livers and blood cells. Hamp expression was manipulated in primary hepatocytes and insulin-stimulated pAKT was detected. Luciferase reporter assays were conducted in a murine liver cell line to test the impact of DNA methylation on promoter activity. RESULTS: In livers of NZO mice, the overlap of methylome and transcriptome analyses revealed a potential transcriptional dysregulation of 12 hepatokines. The strongest effect with a 52% decreased expression in livers of diabetes-prone mice was detected for the Hamp gene, mediated by elevated DNA methylation of two CpG sites located in the promoter. Hamp encodes the iron-regulatory hormone hepcidin, which had a lower abundance in the livers of mice prone to developing diabetes. Suppression of Hamp reduces the levels of pAKT in insulin-treated hepatocytes. In liver biopsies of obese insulin-resistant women, HAMP expression was significantly downregulated along with increased DNA methylation of a homologous CpG site. In blood cells of incident T2D cases from the prospective EPIC-Potsdam cohort, higher DNA methylation of two CpG sites was related to increased risk of incident diabetes. CONCLUSIONS: We identified epigenetic changes in the HAMP gene which may be used as an early marker preceding T2D.","author":[{"dropping-particle":"","family":"Ouni","given":"Meriem","non-dropping-particle":"","parse-names":false,"suffix":""},{"dropping-particle":"","family":"Eichelmann","given":"Fabian","non-dropping-particle":"","parse-names":false,"suffix":""},{"dropping-particle":"","family":"Jähnert","given":"Markus","non-dropping-particle":"","parse-names":false,"suffix":""},{"dropping-particle":"","family":"Krause","given":"Christin","non-dropping-particle":"","parse-names":false,"suffix":""},{"dropping-particle":"","family":"Saussenthaler","given":"Sophie","non-dropping-particle":"","parse-names":false,"suffix":""},{"dropping-particle":"","family":"Ott","given":"Christiane","non-dropping-particle":"","parse-names":false,"suffix":""},{"dropping-particle":"","family":"Gottmann","given":"Pascal","non-dropping-particle":"","parse-names":false,"suffix":""},{"dropping-particle":"","family":"Speckmann","given":"Thilo","non-dropping-particle":"","parse-names":false,"suffix":""},{"dropping-particle":"","family":"Huypens","given":"Peter","non-dropping-particle":"","parse-names":false,"suffix":""},{"dropping-particle":"","family":"Wolter","given":"Stefan","non-dropping-particle":"","parse-names":false,"suffix":""},{"dropping-particle":"","family":"Mann","given":"Oliver","non-dropping-particle":"","parse-names":false,"suffix":""},{"dropping-particle":"","family":"Angelis","given":"Martin Hrabé","non-dropping-particle":"De","parse-names":false,"suffix":""},{"dropping-particle":"","family":"Beckers","given":"Johannes","non-dropping-particle":"","parse-names":false,"suffix":""},{"dropping-particle":"","family":"Kirchner","given":"Henriette","non-dropping-particle":"","parse-names":false,"suffix":""},{"dropping-particle":"","family":"Schulze","given":"Matthias B","non-dropping-particle":"","parse-names":false,"suffix":""},{"dropping-particle":"","family":"Schürmann","given":"Annette","non-dropping-particle":"","parse-names":false,"suffix":""}],"container-title":"Molecular metabolism","id":"ITEM-3","issued":{"date-parts":[["2023","9"]]},"language":"eng","page":"101774","publisher-place":"Germany","title":"Differences in DNA methylation of HAMP in blood cells predicts the development of  type 2 diabetes.","type":"article-journal","volume":"75"},"uris":["http://www.mendeley.com/documents/?uuid=fc988422-3679-450d-9ac1-398755de513c"]},{"id":"ITEM-4","itemData":{"DOI":"10.2337/db20-0204","ISSN":"0012-1797","abstract":"The identification of individuals with a high risk of developing type 2 diabetes (T2D) is fundamental for prevention. Here, we used a translational approach and prediction criteria to identify changes in DNA methylation visible before the development of T2D. Islets of Langerhans were isolated from genetically identical 10-week-old female New Zealand Obese mice, which differ in their degree of hyperglycemia and in liver fat content. The application of a semiexplorative approach identified 497 differentially expressed and methylated genes (P = 6.42e-09, hypergeometric test) enriched in pathways linked to insulin secretion and extracellular matrix-receptor interaction. The comparison of mouse data with DNA methylation levels of incident T2D cases from the prospective European Prospective Investigation of Cancer (EPIC)-Potsdam cohort, revealed 105 genes with altered DNA methylation at 605 cytosine-phosphate-guanine (CpG) sites, which were associated with future T2D. AKAP13, TENM2, CTDSPL, PTPRN2, and PTPRS showed the strongest predictive potential (area under the receiver operating characteristic curve values 0.62–0.73). Among the new candidates identified in blood cells, 655 CpG sites, located in 99 genes, were differentially methylated in islets of humans with T2D. Using correction for multiple testing detected 236 genes with an altered DNA methylation in blood cells and 201 genes in diabetic islets. Thus, the introduced translational approach identified novel putative biomarkers for early pancreatic islet aberrations preceding T2D.","author":[{"dropping-particle":"","family":"Ouni","given":"Meriem","non-dropping-particle":"","parse-names":false,"suffix":""},{"dropping-particle":"","family":"Saussenthaler","given":"Sophie","non-dropping-particle":"","parse-names":false,"suffix":""},{"dropping-particle":"","family":"Eichelmann","given":"Fabian","non-dropping-particle":"","parse-names":false,"suffix":""},{"dropping-particle":"","family":"Jähnert","given":"Markus","non-dropping-particle":"","parse-names":false,"suffix":""},{"dropping-particle":"","family":"Stadion","given":"Mandy","non-dropping-particle":"","parse-names":false,"suffix":""},{"dropping-particle":"","family":"Wittenbecher","given":"Clemens","non-dropping-particle":"","parse-names":false,"suffix":""},{"dropping-particle":"","family":"Rönn","given":"Tina","non-dropping-particle":"","parse-names":false,"suffix":""},{"dropping-particle":"","family":"Zellner","given":"Lisa","non-dropping-particle":"","parse-names":false,"suffix":""},{"dropping-particle":"","family":"Gottmann","given":"Pascal","non-dropping-particle":"","parse-names":false,"suffix":""},{"dropping-particle":"","family":"Ling","given":"Charlotte","non-dropping-particle":"","parse-names":false,"suffix":""},{"dropping-particle":"","family":"Schulze","given":"Matthias B","non-dropping-particle":"","parse-names":false,"suffix":""},{"dropping-particle":"","family":"Schürmann","given":"Annette","non-dropping-particle":"","parse-names":false,"suffix":""}],"container-title":"Diabetes","id":"ITEM-4","issue":"11","issued":{"date-parts":[["2020","8"]]},"page":"2503-2517","title":"Epigenetic Changes in Islets of Langerhans Preceding the Onset of Diabetes","type":"article-journal","volume":"69"},"uris":["http://www.mendeley.com/documents/?uuid=a0fbf9a0-15a6-4c1b-876b-490b35b8d5b1"]}],"mendeley":{"formattedCitation":"&lt;i&gt;(16, 35–37)&lt;/i&gt;","plainTextFormattedCitation":"(16, 35–37)","previouslyFormattedCitation":"&lt;i&gt;(16, 35–37)&lt;/i&gt;"},"properties":{"noteIndex":0},"schema":"https://github.com/citation-style-language/schema/raw/master/csl-citation.json"}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bCs/>
          <w:i/>
          <w:noProof/>
          <w:sz w:val="24"/>
          <w:szCs w:val="24"/>
        </w:rPr>
        <w:t>(16, 35–37)</w:t>
      </w:r>
      <w:r w:rsidR="00122188" w:rsidRPr="001533EC">
        <w:rPr>
          <w:rStyle w:val="Funotenzeichen"/>
          <w:sz w:val="24"/>
          <w:szCs w:val="24"/>
        </w:rPr>
        <w:fldChar w:fldCharType="end"/>
      </w:r>
      <w:r w:rsidRPr="001533EC">
        <w:rPr>
          <w:sz w:val="24"/>
          <w:szCs w:val="24"/>
        </w:rPr>
        <w:t xml:space="preserve">. Although the role of epigenetic factors in obesity has been largely investigated, brain insulin resistance remains underexplored. </w:t>
      </w:r>
      <w:r w:rsidR="00782385">
        <w:rPr>
          <w:sz w:val="24"/>
          <w:szCs w:val="24"/>
        </w:rPr>
        <w:t xml:space="preserve">We </w:t>
      </w:r>
      <w:r w:rsidRPr="001533EC">
        <w:rPr>
          <w:sz w:val="24"/>
          <w:szCs w:val="24"/>
        </w:rPr>
        <w:t>compared the epigenetic signatures of humans with different brain insulin sensitivity statuses</w:t>
      </w:r>
      <w:r w:rsidR="00F67383">
        <w:rPr>
          <w:sz w:val="24"/>
          <w:szCs w:val="24"/>
        </w:rPr>
        <w:t xml:space="preserve"> and identified 540 </w:t>
      </w:r>
      <w:proofErr w:type="spellStart"/>
      <w:r w:rsidR="00F67383">
        <w:rPr>
          <w:sz w:val="24"/>
          <w:szCs w:val="24"/>
        </w:rPr>
        <w:t>CpGs</w:t>
      </w:r>
      <w:proofErr w:type="spellEnd"/>
      <w:r w:rsidR="00F67383">
        <w:rPr>
          <w:sz w:val="24"/>
          <w:szCs w:val="24"/>
        </w:rPr>
        <w:t xml:space="preserve"> that accurately classify</w:t>
      </w:r>
      <w:r w:rsidR="00F9294C">
        <w:rPr>
          <w:sz w:val="24"/>
          <w:szCs w:val="24"/>
        </w:rPr>
        <w:t xml:space="preserve"> </w:t>
      </w:r>
      <w:r w:rsidRPr="001533EC">
        <w:rPr>
          <w:sz w:val="24"/>
          <w:szCs w:val="24"/>
        </w:rPr>
        <w:t xml:space="preserve">brain insulin responsiveness in an easily accessible tissue. </w:t>
      </w:r>
      <w:r w:rsidR="0035254C">
        <w:rPr>
          <w:sz w:val="24"/>
          <w:szCs w:val="24"/>
        </w:rPr>
        <w:t>R</w:t>
      </w:r>
      <w:r w:rsidRPr="001533EC">
        <w:rPr>
          <w:sz w:val="24"/>
          <w:szCs w:val="24"/>
        </w:rPr>
        <w:t xml:space="preserve">esults were successfully validated in </w:t>
      </w:r>
      <w:r w:rsidR="00E83502">
        <w:rPr>
          <w:sz w:val="24"/>
          <w:szCs w:val="24"/>
        </w:rPr>
        <w:t>two</w:t>
      </w:r>
      <w:r w:rsidR="00E83502" w:rsidRPr="001533EC">
        <w:rPr>
          <w:sz w:val="24"/>
          <w:szCs w:val="24"/>
        </w:rPr>
        <w:t xml:space="preserve"> </w:t>
      </w:r>
      <w:r w:rsidRPr="001533EC">
        <w:rPr>
          <w:sz w:val="24"/>
          <w:szCs w:val="24"/>
        </w:rPr>
        <w:t>independent cohort</w:t>
      </w:r>
      <w:r w:rsidR="00E83502">
        <w:rPr>
          <w:sz w:val="24"/>
          <w:szCs w:val="24"/>
        </w:rPr>
        <w:t>s</w:t>
      </w:r>
      <w:r w:rsidRPr="001533EC">
        <w:rPr>
          <w:sz w:val="24"/>
          <w:szCs w:val="24"/>
        </w:rPr>
        <w:t>.</w:t>
      </w:r>
      <w:r w:rsidR="00902398" w:rsidRPr="001533EC">
        <w:rPr>
          <w:sz w:val="24"/>
          <w:szCs w:val="24"/>
        </w:rPr>
        <w:t xml:space="preserve"> </w:t>
      </w:r>
      <w:r w:rsidR="00075987" w:rsidRPr="001533EC">
        <w:rPr>
          <w:sz w:val="24"/>
          <w:szCs w:val="24"/>
        </w:rPr>
        <w:t>Furthermore, o</w:t>
      </w:r>
      <w:r w:rsidR="00896296" w:rsidRPr="001533EC">
        <w:rPr>
          <w:sz w:val="24"/>
          <w:szCs w:val="24"/>
        </w:rPr>
        <w:t xml:space="preserve">ur </w:t>
      </w:r>
      <w:r w:rsidR="00902398" w:rsidRPr="001533EC">
        <w:rPr>
          <w:sz w:val="24"/>
          <w:szCs w:val="24"/>
        </w:rPr>
        <w:t xml:space="preserve">analyses in initially healthy individuals also indicated that some of the identified CpG sites are related to </w:t>
      </w:r>
      <w:r w:rsidR="00896296" w:rsidRPr="001533EC">
        <w:rPr>
          <w:sz w:val="24"/>
          <w:szCs w:val="24"/>
        </w:rPr>
        <w:t xml:space="preserve">T2D risk </w:t>
      </w:r>
      <w:r w:rsidR="00902398" w:rsidRPr="001533EC">
        <w:rPr>
          <w:sz w:val="24"/>
          <w:szCs w:val="24"/>
        </w:rPr>
        <w:t xml:space="preserve">and </w:t>
      </w:r>
      <w:r w:rsidR="00C82062" w:rsidRPr="001533EC">
        <w:rPr>
          <w:sz w:val="24"/>
          <w:szCs w:val="24"/>
        </w:rPr>
        <w:t xml:space="preserve">were indeed </w:t>
      </w:r>
      <w:r w:rsidR="00902398" w:rsidRPr="001533EC">
        <w:rPr>
          <w:sz w:val="24"/>
          <w:szCs w:val="24"/>
        </w:rPr>
        <w:t xml:space="preserve">altered </w:t>
      </w:r>
      <w:r w:rsidR="00896296" w:rsidRPr="001533EC">
        <w:rPr>
          <w:sz w:val="24"/>
          <w:szCs w:val="24"/>
        </w:rPr>
        <w:t>prior to T2D</w:t>
      </w:r>
      <w:r w:rsidR="00C82062" w:rsidRPr="001533EC">
        <w:rPr>
          <w:sz w:val="24"/>
          <w:szCs w:val="24"/>
        </w:rPr>
        <w:t xml:space="preserve"> </w:t>
      </w:r>
      <w:r w:rsidR="00902398" w:rsidRPr="001533EC">
        <w:rPr>
          <w:sz w:val="24"/>
          <w:szCs w:val="24"/>
        </w:rPr>
        <w:t>diagnosis.</w:t>
      </w:r>
      <w:r w:rsidR="001A3A0B">
        <w:rPr>
          <w:sz w:val="24"/>
          <w:szCs w:val="24"/>
        </w:rPr>
        <w:t xml:space="preserve"> These finding underline the </w:t>
      </w:r>
      <w:r w:rsidR="001A3A0B" w:rsidRPr="001A3A0B">
        <w:rPr>
          <w:sz w:val="24"/>
          <w:szCs w:val="24"/>
        </w:rPr>
        <w:t xml:space="preserve">mutual </w:t>
      </w:r>
      <w:r w:rsidR="00A41D8F">
        <w:rPr>
          <w:sz w:val="24"/>
          <w:szCs w:val="24"/>
        </w:rPr>
        <w:t>interplay</w:t>
      </w:r>
      <w:r w:rsidR="001A3A0B" w:rsidRPr="001A3A0B">
        <w:rPr>
          <w:sz w:val="24"/>
          <w:szCs w:val="24"/>
        </w:rPr>
        <w:t xml:space="preserve"> of brain insulin resistance and metabolic traits associated with obesity and type 2 diabetes. </w:t>
      </w:r>
    </w:p>
    <w:p w14:paraId="379CAAEF" w14:textId="60F7DF49" w:rsidR="00C35B7A" w:rsidRPr="001533EC" w:rsidRDefault="00C35B7A" w:rsidP="00C35B7A">
      <w:pPr>
        <w:spacing w:line="480" w:lineRule="auto"/>
        <w:jc w:val="both"/>
        <w:rPr>
          <w:sz w:val="24"/>
          <w:szCs w:val="24"/>
        </w:rPr>
      </w:pPr>
      <w:r w:rsidRPr="001533EC">
        <w:rPr>
          <w:sz w:val="24"/>
          <w:szCs w:val="24"/>
        </w:rPr>
        <w:t xml:space="preserve">Clinical epigenetics emerged as a prominent area to facilitate the discovery of disease markers. </w:t>
      </w:r>
      <w:r w:rsidR="00A37B8C">
        <w:rPr>
          <w:sz w:val="24"/>
          <w:szCs w:val="24"/>
        </w:rPr>
        <w:t>Although</w:t>
      </w:r>
      <w:r w:rsidR="00A37B8C" w:rsidRPr="001533EC">
        <w:rPr>
          <w:sz w:val="24"/>
          <w:szCs w:val="24"/>
        </w:rPr>
        <w:t xml:space="preserve"> </w:t>
      </w:r>
      <w:r w:rsidRPr="001533EC">
        <w:rPr>
          <w:sz w:val="24"/>
          <w:szCs w:val="24"/>
        </w:rPr>
        <w:t>clinical epigenetics contributed significantly to screening, early diagnosis, and therapy guidance in cancer, to date, epigenetic studies in the field of obesity and T2D remain in the quest for robust methylation markers. Even though whole-blood DNA methylation profiling provides a snapshot of stable epigenetic markers, connecting these changes to the pathophysiological status of a specific tissue</w:t>
      </w:r>
      <w:r w:rsidR="009A06BF" w:rsidRPr="001533EC">
        <w:rPr>
          <w:sz w:val="24"/>
          <w:szCs w:val="24"/>
        </w:rPr>
        <w:t xml:space="preserve"> </w:t>
      </w:r>
      <w:r w:rsidR="00122188" w:rsidRPr="001533EC">
        <w:rPr>
          <w:rStyle w:val="Funotenzeichen"/>
          <w:sz w:val="24"/>
          <w:szCs w:val="24"/>
        </w:rPr>
        <w:fldChar w:fldCharType="begin" w:fldLock="1"/>
      </w:r>
      <w:r w:rsidR="00607440" w:rsidRPr="001533EC">
        <w:rPr>
          <w:sz w:val="24"/>
          <w:szCs w:val="24"/>
        </w:rPr>
        <w:instrText>ADDIN CSL_CITATION {"citationItems":[{"id":"ITEM-1","itemData":{"DOI":"10.1038/s42003-024-06591-x","ISSN":"2399-3642","abstract":"The difficulty of obtaining samples from certain human tissues has led to efforts to find accessible sources to analyze molecular markers derived from DNA. In this study, we look for DNA methylation patterns in blood samples and its association with the brain methylation pattern in neurodegenerative disorders. Using data from methylation databases, we selected 18,293 CpGs presenting correlated methylation levels between blood and brain (bb-CpGs) and compare their methylation level between blood samples from patients with neurodegenerative diseases (Alzheimer’s disease, Parkinson’s disease, Multiple Sclerosis, and X Fragile Syndrome) and healthy controls. Sixty-four bb-CpGs presented significant distinct methylation levels in patients, being: nine for Alzheimer’s disease, nine for Parkinson’s disease, 28 for Multiple Sclerosis, and 18 for Fragile X Syndrome. Similar differences in methylation pattern for the nine Alzheimer’s bb-CpGs was also observed when comparing brain tissue from patients vs. controls. The genomic regions of some of these 64 bb-CpGs are placed close to or inside genes previously associated with the respective condition. Our findings support the rationale of using blood DNA as a surrogate of brain tissue to analyze changes in CpG methylation level in patients with neurodegenerative diseases, opening the possibility for characterizing new biomarkers.","author":[{"dropping-particle":"","family":"Mendonça","given":"Vanessa","non-dropping-particle":"","parse-names":false,"suffix":""},{"dropping-particle":"","family":"Soares-Lima","given":"Sheila Coelho","non-dropping-particle":"","parse-names":false,"suffix":""},{"dropping-particle":"","family":"Moreira","given":"Miguel Angelo Martins","non-dropping-particle":"","parse-names":false,"suffix":""}],"container-title":"Communications Biology","id":"ITEM-1","issue":"1","issued":{"date-parts":[["2024"]]},"page":"904","title":"Exploring cross-tissue DNA methylation patterns: blood–brain CpGs as potential neurodegenerative disease biomarkers","type":"article-journal","volume":"7"},"uris":["http://www.mendeley.com/documents/?uuid=ebbc30d1-9c19-4b48-b067-14bceea31e06"]}],"mendeley":{"formattedCitation":"&lt;i&gt;(38)&lt;/i&gt;","plainTextFormattedCitation":"(38)","previouslyFormattedCitation":"&lt;i&gt;(38)&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bCs/>
          <w:i/>
          <w:noProof/>
          <w:sz w:val="24"/>
          <w:szCs w:val="24"/>
        </w:rPr>
        <w:t>(38)</w:t>
      </w:r>
      <w:r w:rsidR="00122188" w:rsidRPr="001533EC">
        <w:rPr>
          <w:rStyle w:val="Funotenzeichen"/>
          <w:sz w:val="24"/>
          <w:szCs w:val="24"/>
        </w:rPr>
        <w:fldChar w:fldCharType="end"/>
      </w:r>
      <w:r w:rsidRPr="001533EC">
        <w:rPr>
          <w:sz w:val="24"/>
          <w:szCs w:val="24"/>
        </w:rPr>
        <w:t xml:space="preserve"> is challenging. One option to overcome this challenge is by estimating the concordance between the epigenetic profiles of the tissue of interest and blood cells, as has been performed in other studies</w:t>
      </w:r>
      <w:r w:rsidR="009A06BF" w:rsidRPr="001533EC">
        <w:rPr>
          <w:sz w:val="24"/>
          <w:szCs w:val="24"/>
        </w:rPr>
        <w:t xml:space="preserve"> </w:t>
      </w:r>
      <w:r w:rsidR="00122188" w:rsidRPr="00D35F54">
        <w:rPr>
          <w:rStyle w:val="Funotenzeichen"/>
          <w:sz w:val="24"/>
          <w:szCs w:val="24"/>
        </w:rPr>
        <w:fldChar w:fldCharType="begin" w:fldLock="1"/>
      </w:r>
      <w:r w:rsidR="0017498C" w:rsidRPr="00D35F54">
        <w:rPr>
          <w:sz w:val="24"/>
          <w:szCs w:val="24"/>
        </w:rPr>
        <w:instrText>ADDIN CSL_CITATION {"citationItems":[{"id":"ITEM-1","itemData":{"DOI":"10.1093/schbul/sbv074","ISSN":"0586-7614","abstract":"Given the difficulty of procuring human brain tissue, a key question in molecular psychiatry concerns the extent to which epigenetic signatures measured in more accessible tissues such as blood can serve as a surrogate marker for the brain. Here, we aimed (1) to investigate the blood-brain correspondence of DNA methylation using a within-subject design and (2) to identify changes in DNA methylation of brain-related biological pathways in schizophrenia.We obtained paired blood and temporal lobe biopsy samples simultaneously from 12 epilepsy patients during neurosurgical treatment. Using the Infinium 450K methylation array we calculated similarity of blood and brain DNA methylation for each individual separately. We applied our findings by performing gene set enrichment analyses (GSEA) of peripheral blood DNA methylation data (Infinium 27K) of 111 schizophrenia patients and 122 healthy controls and included only Cytosine-phosphate-Guanine (CpG) sites that were significantly correlated across tissues.Only 7.9% of CpG sites showed a statistically significant, large correlation between blood and brain tissue, a proportion that although small was significantly greater than predicted by chance. GSEA analysis of schizophrenia data revealed altered methylation profiles in pathways related to precursor metabolites and signaling peptides.Our findings indicate that most DNA methylation markers in peripheral blood do not reliably predict brain DNA methylation status. However, a subset of peripheral data may proxy methylation status of brain tissue. Restricting the analysis to these markers can identify meaningful epigenetic differences in schizophrenia and potentially other brain disorders.","author":[{"dropping-particle":"","family":"Walton","given":"Esther","non-dropping-particle":"","parse-names":false,"suffix":""},{"dropping-particle":"","family":"Hass","given":"Johanna","non-dropping-particle":"","parse-names":false,"suffix":""},{"dropping-particle":"","family":"Liu","given":"Jingyu","non-dropping-particle":"","parse-names":false,"suffix":""},{"dropping-particle":"","family":"Roffman","given":"Joshua L","non-dropping-particle":"","parse-names":false,"suffix":""},{"dropping-particle":"","family":"Bernardoni","given":"Fabio","non-dropping-particle":"","parse-names":false,"suffix":""},{"dropping-particle":"","family":"Roessner","given":"Veit","non-dropping-particle":"","parse-names":false,"suffix":""},{"dropping-particle":"","family":"Kirsch","given":"Matthias","non-dropping-particle":"","parse-names":false,"suffix":""},{"dropping-particle":"","family":"Schackert","given":"Gabriele","non-dropping-particle":"","parse-names":false,"suffix":""},{"dropping-particle":"","family":"Calhoun","given":"Vince","non-dropping-particle":"","parse-names":false,"suffix":""},{"dropping-particle":"","family":"Ehrlich","given":"Stefan","non-dropping-particle":"","parse-names":false,"suffix":""}],"container-title":"Schizophrenia Bulletin","id":"ITEM-1","issue":"2","issued":{"date-parts":[["2016","3","1"]]},"page":"406-414","title":"Correspondence of DNA Methylation Between Blood and Brain Tissue and Its Application to Schizophrenia Research","type":"article-journal","volume":"42"},"uris":["http://www.mendeley.com/documents/?uuid=7f4b0de0-2f42-312d-a8ad-be8c1f208ee9"]},{"id":"ITEM-2","itemData":{"DOI":"10.1038/s41398-019-0376-y","ISSN":"2158-3188","abstract":"Differential DNA methylation in the brain is associated with many psychiatric diseases, but access to brain tissues is essentially limited to postmortem samples. The use of surrogate tissues has become common in identifying methylation changes associated with psychiatric disease. In this study, we determined the extent to which peripheral tissues can be used as surrogates for DNA methylation in the brain. Blood, saliva, buccal, and live brain tissue samples from 27 patients with medically intractable epilepsy undergoing brain resection were collected (age range 5–61 years). Genome-wide methylation was assessed with the Infinium HumanMethylation450 (n = 12) and HumanMethylationEPIC BeadChip arrays (n = 21). For the EPIC methylation data averaged for each CpG across subjects, the saliva–brain correlation (r = 0.90) was higher than that for blood–brain (r = 0.86) and buccal–brain (r = 0.85) comparisons. However, within individual CpGs, blood had the highest proportion of CpGs correlated to brain at nominally significant levels (20.8%), as compared to buccal tissue (17.4%) and saliva (15.1%). For each CpG and each gene, levels of brain-peripheral tissue correlation varied widely. This indicates that to determine the most useful surrogate tissue for representing brain DNA methylation, the patterns specific to the genomic region of interest must be considered. To assist in that objective, we have developed a website, IMAGE-CpG, that allows researchers to interrogate DNA methylation levels and degree of cross-tissue correlation in user-defined locations across the genome.","author":[{"dropping-particle":"","family":"Braun","given":"Patricia R","non-dropping-particle":"","parse-names":false,"suffix":""},{"dropping-particle":"","family":"Han","given":"Shizhong","non-dropping-particle":"","parse-names":false,"suffix":""},{"dropping-particle":"","family":"Hing","given":"Benjamin","non-dropping-particle":"","parse-names":false,"suffix":""},{"dropping-particle":"","family":"Nagahama","given":"Yasunori","non-dropping-particle":"","parse-names":false,"suffix":""},{"dropping-particle":"","family":"Gaul","given":"Lindsey N","non-dropping-particle":"","parse-names":false,"suffix":""},{"dropping-particle":"","family":"Heinzman","given":"Jonathan T","non-dropping-particle":"","parse-names":false,"suffix":""},{"dropping-particle":"","family":"Grossbach","given":"Andrew J","non-dropping-particle":"","parse-names":false,"suffix":""},{"dropping-particle":"","family":"Close","given":"Liesl","non-dropping-particle":"","parse-names":false,"suffix":""},{"dropping-particle":"","family":"Dlouhy","given":"Brian J","non-dropping-particle":"","parse-names":false,"suffix":""},{"dropping-particle":"","family":"Howard","given":"Matthew A","non-dropping-particle":"","parse-names":false,"suffix":""},{"dropping-particle":"","family":"Kawasaki","given":"Hiroto","non-dropping-particle":"","parse-names":false,"suffix":""},{"dropping-particle":"","family":"Potash","given":"James B","non-dropping-particle":"","parse-names":false,"suffix":""},{"dropping-particle":"","family":"Shinozaki","given":"Gen","non-dropping-particle":"","parse-names":false,"suffix":""}],"container-title":"Translational Psychiatry","id":"ITEM-2","issue":"1","issued":{"date-parts":[["2019"]]},"page":"47","title":"Genome-wide DNA methylation comparison between live human brain and peripheral tissues within individuals","type":"article-journal","volume":"9"},"uris":["http://www.mendeley.com/documents/?uuid=561e2826-1347-3dab-91f8-bb58f1896caa"]},{"id":"ITEM-3","itemData":{"DOI":"10.1038/s42003-024-06591-x","ISSN":"2399-3642","abstract":"The difficulty of obtaining samples from certain human tissues has led to efforts to find accessible sources to analyze molecular markers derived from DNA. In this study, we look for DNA methylation patterns in blood samples and its association with the brain methylation pattern in neurodegenerative disorders. Using data from methylation databases, we selected 18,293 CpGs presenting correlated methylation levels between blood and brain (bb-CpGs) and compare their methylation level between blood samples from patients with neurodegenerative diseases (Alzheimer’s disease, Parkinson’s disease, Multiple Sclerosis, and X Fragile Syndrome) and healthy controls. Sixty-four bb-CpGs presented significant distinct methylation levels in patients, being: nine for Alzheimer’s disease, nine for Parkinson’s disease, 28 for Multiple Sclerosis, and 18 for Fragile X Syndrome. Similar differences in methylation pattern for the nine Alzheimer’s bb-CpGs was also observed when comparing brain tissue from patients vs. controls. The genomic regions of some of these 64 bb-CpGs are placed close to or inside genes previously associated with the respective condition. Our findings support the rationale of using blood DNA as a surrogate of brain tissue to analyze changes in CpG methylation level in patients with neurodegenerative diseases, opening the possibility for characterizing new biomarkers.","author":[{"dropping-particle":"","family":"Mendonça","given":"Vanessa","non-dropping-particle":"","parse-names":false,"suffix":""},{"dropping-particle":"","family":"Soares-Lima","given":"Sheila Coelho","non-dropping-particle":"","parse-names":false,"suffix":""},{"dropping-particle":"","family":"Moreira","given":"Miguel Angelo Martins","non-dropping-particle":"","parse-names":false,"suffix":""}],"container-title":"Communications Biology","id":"ITEM-3","issue":"1","issued":{"date-parts":[["2024"]]},"page":"904","title":"Exploring cross-tissue DNA methylation patterns: blood–brain CpGs as potential neurodegenerative disease biomarkers","type":"article-journal","volume":"7"},"uris":["http://www.mendeley.com/documents/?uuid=ebbc30d1-9c19-4b48-b067-14bceea31e06"]}],"mendeley":{"formattedCitation":"&lt;i&gt;(38–40)&lt;/i&gt;","plainTextFormattedCitation":"(38–40)","previouslyFormattedCitation":"&lt;i&gt;(38–40)&lt;/i&gt;"},"properties":{"noteIndex":0},"schema":"https://github.com/citation-style-language/schema/raw/master/csl-citation.json"}</w:instrText>
      </w:r>
      <w:r w:rsidR="00122188" w:rsidRPr="00D35F54">
        <w:rPr>
          <w:rStyle w:val="Funotenzeichen"/>
          <w:sz w:val="24"/>
          <w:szCs w:val="24"/>
        </w:rPr>
        <w:fldChar w:fldCharType="separate"/>
      </w:r>
      <w:r w:rsidR="00607440" w:rsidRPr="00D35F54">
        <w:rPr>
          <w:bCs/>
          <w:i/>
          <w:noProof/>
          <w:sz w:val="24"/>
          <w:szCs w:val="24"/>
        </w:rPr>
        <w:t>(38–40)</w:t>
      </w:r>
      <w:r w:rsidR="00122188" w:rsidRPr="00D35F54">
        <w:rPr>
          <w:rStyle w:val="Funotenzeichen"/>
          <w:sz w:val="24"/>
          <w:szCs w:val="24"/>
        </w:rPr>
        <w:fldChar w:fldCharType="end"/>
      </w:r>
      <w:r w:rsidRPr="00D35F54">
        <w:rPr>
          <w:sz w:val="24"/>
          <w:szCs w:val="24"/>
        </w:rPr>
        <w:t xml:space="preserve">. , </w:t>
      </w:r>
      <w:r w:rsidR="00813AE9" w:rsidRPr="00D35F54">
        <w:rPr>
          <w:sz w:val="24"/>
          <w:szCs w:val="24"/>
        </w:rPr>
        <w:t xml:space="preserve"> This </w:t>
      </w:r>
      <w:r w:rsidR="00556F4F" w:rsidRPr="00D35F54">
        <w:rPr>
          <w:sz w:val="24"/>
          <w:szCs w:val="24"/>
        </w:rPr>
        <w:t>approach</w:t>
      </w:r>
      <w:r w:rsidR="00813AE9" w:rsidRPr="00D35F54">
        <w:rPr>
          <w:sz w:val="24"/>
          <w:szCs w:val="24"/>
        </w:rPr>
        <w:t xml:space="preserve"> revealed</w:t>
      </w:r>
      <w:r w:rsidR="0018590D" w:rsidRPr="00D35F54">
        <w:rPr>
          <w:sz w:val="24"/>
          <w:szCs w:val="24"/>
        </w:rPr>
        <w:t xml:space="preserve"> ~ 100 </w:t>
      </w:r>
      <w:proofErr w:type="spellStart"/>
      <w:r w:rsidRPr="00D35F54">
        <w:rPr>
          <w:sz w:val="24"/>
          <w:szCs w:val="24"/>
        </w:rPr>
        <w:t>CpGs</w:t>
      </w:r>
      <w:proofErr w:type="spellEnd"/>
      <w:r w:rsidRPr="00D35F54">
        <w:rPr>
          <w:sz w:val="24"/>
          <w:szCs w:val="24"/>
        </w:rPr>
        <w:t xml:space="preserve"> </w:t>
      </w:r>
      <w:r w:rsidR="006E50B8" w:rsidRPr="00D35F54">
        <w:rPr>
          <w:sz w:val="24"/>
          <w:szCs w:val="24"/>
        </w:rPr>
        <w:t>classifiers</w:t>
      </w:r>
      <w:r w:rsidRPr="00D35F54">
        <w:rPr>
          <w:sz w:val="24"/>
          <w:szCs w:val="24"/>
        </w:rPr>
        <w:t xml:space="preserve"> </w:t>
      </w:r>
      <w:r w:rsidR="00556F4F" w:rsidRPr="00D35F54">
        <w:rPr>
          <w:sz w:val="24"/>
          <w:szCs w:val="24"/>
        </w:rPr>
        <w:t xml:space="preserve">showing </w:t>
      </w:r>
      <w:r w:rsidRPr="00D35F54">
        <w:rPr>
          <w:sz w:val="24"/>
          <w:szCs w:val="24"/>
        </w:rPr>
        <w:t xml:space="preserve"> good correlation between blood cells and  brain, highlighting the presence of brain-specific</w:t>
      </w:r>
      <w:r w:rsidRPr="001533EC">
        <w:rPr>
          <w:sz w:val="24"/>
          <w:szCs w:val="24"/>
        </w:rPr>
        <w:t xml:space="preserve"> epigenetic signatures in peripheral blood cells. </w:t>
      </w:r>
    </w:p>
    <w:p w14:paraId="10566B9E" w14:textId="7641D38F" w:rsidR="00C35B7A" w:rsidRPr="001533EC" w:rsidRDefault="00C35B7A" w:rsidP="00C35B7A">
      <w:pPr>
        <w:spacing w:line="480" w:lineRule="auto"/>
        <w:jc w:val="both"/>
        <w:rPr>
          <w:sz w:val="24"/>
          <w:szCs w:val="24"/>
        </w:rPr>
      </w:pPr>
      <w:r w:rsidRPr="001533EC">
        <w:rPr>
          <w:sz w:val="24"/>
          <w:szCs w:val="24"/>
        </w:rPr>
        <w:t>Taken together, these results further supported our hypothesis that specific epigenetic alterations in tissues are indeed mirrored in blood cells</w:t>
      </w:r>
      <w:r w:rsidR="009A06BF" w:rsidRPr="001533EC">
        <w:rPr>
          <w:sz w:val="24"/>
          <w:szCs w:val="24"/>
        </w:rPr>
        <w:t xml:space="preserve"> </w:t>
      </w:r>
      <w:r w:rsidR="00122188" w:rsidRPr="001533EC">
        <w:rPr>
          <w:rStyle w:val="Funotenzeichen"/>
          <w:sz w:val="24"/>
          <w:szCs w:val="24"/>
        </w:rPr>
        <w:fldChar w:fldCharType="begin" w:fldLock="1"/>
      </w:r>
      <w:r w:rsidR="0017498C">
        <w:rPr>
          <w:sz w:val="24"/>
          <w:szCs w:val="24"/>
        </w:rPr>
        <w:instrText>ADDIN CSL_CITATION {"citationItems":[{"id":"ITEM-1","itemData":{"DOI":"10.1186/s13148-015-0062-8","ISSN":"1868-7075 (Print)","PMID":"25789079","abstract":"BACKGROUND: Even if genetics play an important role, individual variation in  stature remains unexplained at the molecular level. Indeed, genome-wide association study (GWAS) have revealed hundreds of variants that contribute to the variability of height but could explain only a limited part of it, and no single variant accounts for more than 0.3% of height variance. At the interface of genetics and environment, epigenetics contributes to phenotypic diversity. Quantifying the impact of epigenetic variation on quantitative traits, an emerging challenge in humans, has not been attempted for height. Since insulin-like growth factor 1 (IGF1) controls postnatal growth, we tested whether the CG methylation of the two promoters (P1 and P2) of the IGF1 gene is a potential epigenetic contributor to the individual variation in circulating IGF1 and stature in growing children. RESULTS: Child height was closely correlated with serum IGF1. The methylation of a cluster of six CGs located within the proximal part of the IGF1 P2 promoter showed a strong negative association with serum IGF1 and growth. The highest association was for CG-137 methylation, which contributed 13% to the variance of height and 10% to serum IGF1. CG methylation (studied in children undergoing surgery) was approximately 50% lower in liver and growth plates, indicating that the IGF1 promoters are tissue-differentially methylated regions (t-DMR). CG methylation was inversely correlated with the transcriptional activity of the P2 promoter in mononuclear blood cells and in transfection experiments, suggesting that the observed association of methylation with the studied traits reflects true biological causality. CONCLUSIONS: Our observations introduce epigenetics among the individual determinants of child growth and serum IGF1. The P2 promoter of the IGF1 gene is the first epigenetic quantitative trait locus (QTL(epi)) reported in humans. The CG methylation of the P2 promoter takes place among the multifactorial factors explaining the variation in human stature.","author":[{"dropping-particle":"","family":"Ouni","given":"Meriem","non-dropping-particle":"","parse-names":false,"suffix":""},{"dropping-particle":"","family":"Gunes","given":"Yasemin","non-dropping-particle":"","parse-names":false,"suffix":""},{"dropping-particle":"","family":"Belot","given":"Marie-Pierre","non-dropping-particle":"","parse-names":false,"suffix":""},{"dropping-particle":"","family":"Castell","given":"Anne-Laure","non-dropping-particle":"","parse-names":false,"suffix":""},{"dropping-particle":"","family":"Fradin","given":"Delphine","non-dropping-particle":"","parse-names":false,"suffix":""},{"dropping-particle":"","family":"Bougnères","given":"Pierre","non-dropping-particle":"","parse-names":false,"suffix":""}],"container-title":"Clinical epigenetics","id":"ITEM-1","issue":"1","issued":{"date-parts":[["2015"]]},"language":"eng","page":"22","publisher-place":"Germany","title":"The IGF1 P2 promoter is an epigenetic QTL for circulating IGF1 and human growth.","type":"article-journal","volume":"7"},"uris":["http://www.mendeley.com/documents/?uuid=90138e12-9d33-3188-9b47-bcfacf6c3e28"]},{"id":"ITEM-2","itemData":{"DOI":"10.2337/db18-0620","ISSN":"1939-327X (Electronic)","PMID":"30396904","abstract":"Recent studies suggest that insulin-like growth factor binding protein 2  (IGFBP-2) may protect against type 2 diabetes, but population-based human studies are scarce. We aimed to investigate the prospective association of circulating IGFBP-2 concentrations and of differential methylation in the IGFBP-2 gene with type 2 diabetes risk.","author":[{"dropping-particle":"","family":"Wittenbecher","given":"Clemens","non-dropping-particle":"","parse-names":false,"suffix":""},{"dropping-particle":"","family":"Ouni","given":"Meriem","non-dropping-particle":"","parse-names":false,"suffix":""},{"dropping-particle":"","family":"Kuxhaus","given":"Olga","non-dropping-particle":"","parse-names":false,"suffix":""},{"dropping-particle":"","family":"Jähnert","given":"Markus","non-dropping-particle":"","parse-names":false,"suffix":""},{"dropping-particle":"","family":"Gottmann","given":"Pascal","non-dropping-particle":"","parse-names":false,"suffix":""},{"dropping-particle":"","family":"Teichmann","given":"Andrea","non-dropping-particle":"","parse-names":false,"suffix":""},{"dropping-particle":"","family":"Meidtner","given":"Karina","non-dropping-particle":"","parse-names":false,"suffix":""},{"dropping-particle":"","family":"Kriebel","given":"Jennifer","non-dropping-particle":"","parse-names":false,"suffix":""},{"dropping-particle":"","family":"Grallert","given":"Harald","non-dropping-particle":"","parse-names":false,"suffix":""},{"dropping-particle":"","family":"Pischon","given":"Tobias","non-dropping-particle":"","parse-names":false,"suffix":""},{"dropping-particle":"","family":"Boeing","given":"Heiner","non-dropping-particle":"","parse-names":false,"suffix":""},{"dropping-particle":"","family":"Schulze","given":"Matthias B","non-dropping-particle":"","parse-names":false,"suffix":""},{"dropping-particle":"","family":"Schürmann","given":"Annette","non-dropping-particle":"","parse-names":false,"suffix":""}],"container-title":"Diabetes","id":"ITEM-2","issue":"1","issued":{"date-parts":[["2019","1"]]},"language":"eng","page":"188-197","publisher-place":"United States","title":"Insulin-Like Growth Factor Binding Protein 2 (IGFBP-2) and the Risk of Developing  Type 2 Diabetes.","type":"article-journal","volume":"68"},"uris":["http://www.mendeley.com/documents/?uuid=0241df63-abf4-3782-9b70-b093eaad349b"]},{"id":"ITEM-3","itemData":{"DOI":"10.1210/jc.2015-1413","ISSN":"1945-7197 (Electronic)","PMID":"25835289","abstract":"CONTEXT: Like all hormones, GH has variable physiological effects across people.  Many of these effects initiated by the binding of GH to its receptor (GHR) in target tissues are mediated by the expression of the IGF1 gene. Genetic as well as epigenetic variation is known to contribute to the individual diversity of GH-dependent phenotypes through two mechanisms. The first one is the genetic polymorphism of the GHR gene due to the common deletion of exon 3. The second, more recently reported, is the epigenetic variation in the methylation of a cluster of CGs dinucleotides located within the proximal part of the P2 promoter of the IGF-1 (IGF1) gene, notably CG-137. OBJECTIVE: The current study evaluates the relative contribution of these two factors controlling individual GH sensitivity by measuring the response of serum IGF-1 to a GH injection (IGF-1 generation test) in a sample of 72 children with idiopathic short stature. RESULTS: Although the d3 polymorphism of the GHR contributed 19% to the variance of the IGF-1 response, CG-137 methylation in the IGF-1 promoter contributed 30%, the combined contribution of the two factors totaling 43%. CONCLUSION: Our observation indicates that genetic and epigenetic variation at the GHR and IGF-1 loci play a major role as independent modulators of individual GH sensitivity.","author":[{"dropping-particle":"","family":"Ouni","given":"Meriem","non-dropping-particle":"","parse-names":false,"suffix":""},{"dropping-particle":"","family":"Castell","given":"Anne-Laure","non-dropping-particle":"","parse-names":false,"suffix":""},{"dropping-particle":"","family":"Linglart","given":"Agnès","non-dropping-particle":"","parse-names":false,"suffix":""},{"dropping-particle":"","family":"Bougnères","given":"Pierre","non-dropping-particle":"","parse-names":false,"suffix":""}],"container-title":"The Journal of clinical endocrinology and metabolism","id":"ITEM-3","issue":"6","issued":{"date-parts":[["2015","6"]]},"language":"eng","page":"E919-25","publisher-place":"United States","title":"Genetic and Epigenetic Modulation of Growth Hormone Sensitivity Studied With the  IGF-1 Generation Test.","type":"article-journal","volume":"100"},"uris":["http://www.mendeley.com/documents/?uuid=a9c4795f-8e0a-3aea-a1bb-af9085044604"]},{"id":"ITEM-4","itemData":{"DOI":"10.2337/db20-0204","ISSN":"0012-1797","abstract":"The identification of individuals with a high risk of developing type 2 diabetes (T2D) is fundamental for prevention. Here, we used a translational approach and prediction criteria to identify changes in DNA methylation visible before the development of T2D. Islets of Langerhans were isolated from genetically identical 10-week-old female New Zealand Obese mice, which differ in their degree of hyperglycemia and in liver fat content. The application of a semiexplorative approach identified 497 differentially expressed and methylated genes (P = 6.42e-09, hypergeometric test) enriched in pathways linked to insulin secretion and extracellular matrix-receptor interaction. The comparison of mouse data with DNA methylation levels of incident T2D cases from the prospective European Prospective Investigation of Cancer (EPIC)-Potsdam cohort, revealed 105 genes with altered DNA methylation at 605 cytosine-phosphate-guanine (CpG) sites, which were associated with future T2D. AKAP13, TENM2, CTDSPL, PTPRN2, and PTPRS showed the strongest predictive potential (area under the receiver operating characteristic curve values 0.62–0.73). Among the new candidates identified in blood cells, 655 CpG sites, located in 99 genes, were differentially methylated in islets of humans with T2D. Using correction for multiple testing detected 236 genes with an altered DNA methylation in blood cells and 201 genes in diabetic islets. Thus, the introduced translational approach identified novel putative biomarkers for early pancreatic islet aberrations preceding T2D.","author":[{"dropping-particle":"","family":"Ouni","given":"Meriem","non-dropping-particle":"","parse-names":false,"suffix":""},{"dropping-particle":"","family":"Saussenthaler","given":"Sophie","non-dropping-particle":"","parse-names":false,"suffix":""},{"dropping-particle":"","family":"Eichelmann","given":"Fabian","non-dropping-particle":"","parse-names":false,"suffix":""},{"dropping-particle":"","family":"Jähnert","given":"Markus","non-dropping-particle":"","parse-names":false,"suffix":""},{"dropping-particle":"","family":"Stadion","given":"Mandy","non-dropping-particle":"","parse-names":false,"suffix":""},{"dropping-particle":"","family":"Wittenbecher","given":"Clemens","non-dropping-particle":"","parse-names":false,"suffix":""},{"dropping-particle":"","family":"Rönn","given":"Tina","non-dropping-particle":"","parse-names":false,"suffix":""},{"dropping-particle":"","family":"Zellner","given":"Lisa","non-dropping-particle":"","parse-names":false,"suffix":""},{"dropping-particle":"","family":"Gottmann","given":"Pascal","non-dropping-particle":"","parse-names":false,"suffix":""},{"dropping-particle":"","family":"Ling","given":"Charlotte","non-dropping-particle":"","parse-names":false,"suffix":""},{"dropping-particle":"","family":"Schulze","given":"Matthias B","non-dropping-particle":"","parse-names":false,"suffix":""},{"dropping-particle":"","family":"Schürmann","given":"Annette","non-dropping-particle":"","parse-names":false,"suffix":""}],"container-title":"Diabetes","id":"ITEM-4","issue":"11","issued":{"date-parts":[["2020","8"]]},"page":"2503-2517","title":"Epigenetic Changes in Islets of Langerhans Preceding the Onset of Diabetes","type":"article-journal","volume":"69"},"uris":["http://www.mendeley.com/documents/?uuid=a0fbf9a0-15a6-4c1b-876b-490b35b8d5b1"]},{"id":"ITEM-5","itemData":{"DOI":"10.1016/j.molmet.2023.101774","ISSN":"2212-8778 (Electronic)","PMID":"37429525","abstract":"OBJECTIVES: Better disease management can be achieved with earlier detection  through robust, sensitive, and easily accessible biomarkers. The aim of the current study was to identify novel epigenetic biomarkers determining the risk of type 2 diabetes (T2D). METHODS: Livers of 10-week-old female New Zealand Obese (NZO) mice, slightly differing in their degree of hyperglycemia and liver fat content and thereby in their diabetes susceptibility were used for expression and methylation profiling. We screened for differences in hepatic expression and DNA methylation in diabetes-prone and -resistant mice, and verified a candidate (HAMP) in human livers and blood cells. Hamp expression was manipulated in primary hepatocytes and insulin-stimulated pAKT was detected. Luciferase reporter assays were conducted in a murine liver cell line to test the impact of DNA methylation on promoter activity. RESULTS: In livers of NZO mice, the overlap of methylome and transcriptome analyses revealed a potential transcriptional dysregulation of 12 hepatokines. The strongest effect with a 52% decreased expression in livers of diabetes-prone mice was detected for the Hamp gene, mediated by elevated DNA methylation of two CpG sites located in the promoter. Hamp encodes the iron-regulatory hormone hepcidin, which had a lower abundance in the livers of mice prone to developing diabetes. Suppression of Hamp reduces the levels of pAKT in insulin-treated hepatocytes. In liver biopsies of obese insulin-resistant women, HAMP expression was significantly downregulated along with increased DNA methylation of a homologous CpG site. In blood cells of incident T2D cases from the prospective EPIC-Potsdam cohort, higher DNA methylation of two CpG sites was related to increased risk of incident diabetes. CONCLUSIONS: We identified epigenetic changes in the HAMP gene which may be used as an early marker preceding T2D.","author":[{"dropping-particle":"","family":"Ouni","given":"Meriem","non-dropping-particle":"","parse-names":false,"suffix":""},{"dropping-particle":"","family":"Eichelmann","given":"Fabian","non-dropping-particle":"","parse-names":false,"suffix":""},{"dropping-particle":"","family":"Jähnert","given":"Markus","non-dropping-particle":"","parse-names":false,"suffix":""},{"dropping-particle":"","family":"Krause","given":"Christin","non-dropping-particle":"","parse-names":false,"suffix":""},{"dropping-particle":"","family":"Saussenthaler","given":"Sophie","non-dropping-particle":"","parse-names":false,"suffix":""},{"dropping-particle":"","family":"Ott","given":"Christiane","non-dropping-particle":"","parse-names":false,"suffix":""},{"dropping-particle":"","family":"Gottmann","given":"Pascal","non-dropping-particle":"","parse-names":false,"suffix":""},{"dropping-particle":"","family":"Speckmann","given":"Thilo","non-dropping-particle":"","parse-names":false,"suffix":""},{"dropping-particle":"","family":"Huypens","given":"Peter","non-dropping-particle":"","parse-names":false,"suffix":""},{"dropping-particle":"","family":"Wolter","given":"Stefan","non-dropping-particle":"","parse-names":false,"suffix":""},{"dropping-particle":"","family":"Mann","given":"Oliver","non-dropping-particle":"","parse-names":false,"suffix":""},{"dropping-particle":"","family":"Angelis","given":"Martin Hrabé","non-dropping-particle":"De","parse-names":false,"suffix":""},{"dropping-particle":"","family":"Beckers","given":"Johannes","non-dropping-particle":"","parse-names":false,"suffix":""},{"dropping-particle":"","family":"Kirchner","given":"Henriette","non-dropping-particle":"","parse-names":false,"suffix":""},{"dropping-particle":"","family":"Schulze","given":"Matthias B","non-dropping-particle":"","parse-names":false,"suffix":""},{"dropping-particle":"","family":"Schürmann","given":"Annette","non-dropping-particle":"","parse-names":false,"suffix":""}],"container-title":"Molecular metabolism","id":"ITEM-5","issued":{"date-parts":[["2023","9"]]},"language":"eng","page":"101774","publisher-place":"Germany","title":"Differences in DNA methylation of HAMP in blood cells predicts the development of  type 2 diabetes.","type":"article-journal","volume":"75"},"uris":["http://www.mendeley.com/documents/?uuid=fc988422-3679-450d-9ac1-398755de513c"]}],"mendeley":{"formattedCitation":"&lt;i&gt;(36, 37, 41–43)&lt;/i&gt;","plainTextFormattedCitation":"(36, 37, 41–43)","previouslyFormattedCitation":"&lt;i&gt;(36, 37, 41–43)&lt;/i&gt;"},"properties":{"noteIndex":0},"schema":"https://github.com/citation-style-language/schema/raw/master/csl-citation.json"}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bCs/>
          <w:i/>
          <w:noProof/>
          <w:sz w:val="24"/>
          <w:szCs w:val="24"/>
        </w:rPr>
        <w:t>(36, 37, 41–43)</w:t>
      </w:r>
      <w:r w:rsidR="00122188" w:rsidRPr="001533EC">
        <w:rPr>
          <w:rStyle w:val="Funotenzeichen"/>
          <w:sz w:val="24"/>
          <w:szCs w:val="24"/>
        </w:rPr>
        <w:fldChar w:fldCharType="end"/>
      </w:r>
      <w:r w:rsidRPr="001533EC">
        <w:rPr>
          <w:sz w:val="24"/>
          <w:szCs w:val="24"/>
        </w:rPr>
        <w:t xml:space="preserve">. However, the </w:t>
      </w:r>
      <w:r w:rsidRPr="001533EC">
        <w:rPr>
          <w:sz w:val="24"/>
          <w:szCs w:val="24"/>
        </w:rPr>
        <w:lastRenderedPageBreak/>
        <w:t xml:space="preserve">underlying molecular mechanisms remain unclear. One explanation could be that DNA methylation </w:t>
      </w:r>
      <w:r w:rsidR="007770F0">
        <w:rPr>
          <w:sz w:val="24"/>
          <w:szCs w:val="24"/>
        </w:rPr>
        <w:t>at</w:t>
      </w:r>
      <w:r w:rsidR="007770F0" w:rsidRPr="001533EC">
        <w:rPr>
          <w:sz w:val="24"/>
          <w:szCs w:val="24"/>
        </w:rPr>
        <w:t xml:space="preserve"> </w:t>
      </w:r>
      <w:r w:rsidRPr="001533EC">
        <w:rPr>
          <w:sz w:val="24"/>
          <w:szCs w:val="24"/>
        </w:rPr>
        <w:t xml:space="preserve">specific CpG sites </w:t>
      </w:r>
      <w:r w:rsidR="004B2F9A">
        <w:rPr>
          <w:sz w:val="24"/>
          <w:szCs w:val="24"/>
        </w:rPr>
        <w:t>is</w:t>
      </w:r>
      <w:r w:rsidR="004B2F9A" w:rsidRPr="001533EC">
        <w:rPr>
          <w:sz w:val="24"/>
          <w:szCs w:val="24"/>
        </w:rPr>
        <w:t xml:space="preserve"> </w:t>
      </w:r>
      <w:r w:rsidRPr="001533EC">
        <w:rPr>
          <w:sz w:val="24"/>
          <w:szCs w:val="24"/>
        </w:rPr>
        <w:t>established during early development (</w:t>
      </w:r>
      <w:r w:rsidR="005D61FD">
        <w:rPr>
          <w:sz w:val="24"/>
          <w:szCs w:val="24"/>
        </w:rPr>
        <w:t xml:space="preserve">for example </w:t>
      </w:r>
      <w:r w:rsidRPr="001533EC">
        <w:rPr>
          <w:sz w:val="24"/>
          <w:szCs w:val="24"/>
        </w:rPr>
        <w:t>metastable epiallele</w:t>
      </w:r>
      <w:r w:rsidR="005D61FD">
        <w:rPr>
          <w:sz w:val="24"/>
          <w:szCs w:val="24"/>
        </w:rPr>
        <w:t>s</w:t>
      </w:r>
      <w:r w:rsidRPr="001533EC">
        <w:rPr>
          <w:sz w:val="24"/>
          <w:szCs w:val="24"/>
        </w:rPr>
        <w:t>)</w:t>
      </w:r>
      <w:r w:rsidR="00630AB4">
        <w:rPr>
          <w:sz w:val="24"/>
          <w:szCs w:val="24"/>
        </w:rPr>
        <w:t xml:space="preserve"> </w:t>
      </w:r>
      <w:r w:rsidR="00122188" w:rsidRPr="001533EC">
        <w:rPr>
          <w:rStyle w:val="Funotenzeichen"/>
          <w:sz w:val="24"/>
          <w:szCs w:val="24"/>
        </w:rPr>
        <w:fldChar w:fldCharType="begin" w:fldLock="1"/>
      </w:r>
      <w:r w:rsidR="00607440" w:rsidRPr="001533EC">
        <w:rPr>
          <w:sz w:val="24"/>
          <w:szCs w:val="24"/>
        </w:rPr>
        <w:instrText>ADDIN CSL_CITATION {"citationItems":[{"id":"ITEM-1","itemData":{"DOI":"10.1016/j.tig.2023.09.007","ISSN":"0168-9525 (Print)","PMID":"38000919","abstract":"First identified in isogenic mice, metastable epialleles (MEs) are loci where the  extent of DNA methylation (DNAm) is variable between individuals but correlates across tissues derived from different germ layers within a given individual. This property, termed systemic interindividual variation (SIV), is attributed to stochastic methylation establishment before germ layer differentiation. Evidence suggests that some putative human MEs are sensitive to environmental exposures in early development. In this review we introduce key concepts pertaining to human MEs, describe methods used to identify MEs in humans, and review their genomic features. We also highlight studies linking DNAm at putative human MEs to early environmental exposures and postnatal (including disease) phenotypes.","author":[{"dropping-particle":"","family":"Derakhshan","given":"Maria","non-dropping-particle":"","parse-names":false,"suffix":""},{"dropping-particle":"","family":"Kessler","given":"Noah J","non-dropping-particle":"","parse-names":false,"suffix":""},{"dropping-particle":"","family":"Hellenthal","given":"Garrett","non-dropping-particle":"","parse-names":false,"suffix":""},{"dropping-particle":"","family":"Silver","given":"Matt J","non-dropping-particle":"","parse-names":false,"suffix":""}],"container-title":"Trends in genetics : TIG","id":"ITEM-1","issue":"1","issued":{"date-parts":[["2024","1"]]},"language":"eng","page":"52-68","publisher-place":"England","title":"Metastable epialleles in humans.","type":"article-journal","volume":"40"},"uris":["http://www.mendeley.com/documents/?uuid=ad3bf1f3-21c5-4c44-9c08-47983675c8bb"]},{"id":"ITEM-2","itemData":{"DOI":"10.1111/1753-0407.13403","ISSN":"1753-0407 (Electronic)","PMID":"37190864","abstract":"Mounting epidemiological evidence indicates that environmental exposures in early  life have roles in diabetes susceptibility in later life. Additionally, environmentally induced diabetic susceptibility could be transmitted to subsequent generations. Epigenetic modifications provide a potential association with the environmental factors and altered gene expression that might cause disease phenotypes. Here, we bring the increasing evidence that environmental exposures early in development are linked to diabetes through epigenetic modifications. This review first summarizes the epigenetic targets, including metastable epialleles and imprinting genes, by which the environmental factors can modify the epigenome. Then we review the epigenetics changes in response to environmental challenge during critical developmental windows, gametogenesis, embryogenesis, and fetal and postnatal period, with the specific example of diabetic susceptibility. Although the mechanisms are still largely unknown, especially in humans, the new research methods are now gradually available, and the animal models can provide more in-depth study of mechanisms. These have implications for investigating the link of the phenomena to human diabetes, providing a new perspective on environmentally triggered diabetes risk.","author":[{"dropping-particle":"","family":"Zhu","given":"Hong","non-dropping-particle":"","parse-names":false,"suffix":""},{"dropping-particle":"","family":"Ding","given":"Guolian","non-dropping-particle":"","parse-names":false,"suffix":""},{"dropping-particle":"","family":"Liu","given":"Xinmei","non-dropping-particle":"","parse-names":false,"suffix":""},{"dropping-particle":"","family":"Huang","given":"Hefeng","non-dropping-particle":"","parse-names":false,"suffix":""}],"container-title":"Journal of diabetes","id":"ITEM-2","issue":"7","issued":{"date-parts":[["2023","7"]]},"language":"eng","page":"569-582","publisher-place":"Australia","title":"Developmental origins of diabetes mellitus: Environmental epigenomics and  emerging patterns.","type":"article-journal","volume":"15"},"uris":["http://www.mendeley.com/documents/?uuid=21bf3637-562e-4317-8c9b-93719b4b070a"]},{"id":"ITEM-3","itemData":{"DOI":"10.1016/j.cell.2018.09.043","ISSN":"1097-4172 (Electronic)","PMID":"30454646","abstract":"Generally repressed by epigenetic mechanisms, retrotransposons represent around  40% of the murine genome. At the Agouti viable yellow (A(vy)) locus, an endogenous retrovirus (ERV) of the intracisternal A particle (IAP) class retrotransposed upstream of the agouti coat-color locus, providing an alternative promoter that is variably DNA methylated in genetically identical individuals. This results in variable expressivity of coat color that is inherited transgenerationally. Here, a systematic genome-wide screen identifies multiple C57BL/6J murine IAPs with A(vy) epigenetic properties. Each exhibits a stable methylation state within an individual but varies between individuals. Only in rare instances do they act as promoters controlling adjacent gene expression. Their methylation state is locus-specific within an individual, and their flanking regions are enriched for CTCF. Variably methylated IAPs are reprogrammed after fertilization and re-established as variable loci in the next generation, indicating reconstruction of metastable epigenetic states and challenging the generalizability of non-genetic inheritance at these regions.","author":[{"dropping-particle":"","family":"Kazachenka","given":"Anastasiya","non-dropping-particle":"","parse-names":false,"suffix":""},{"dropping-particle":"","family":"Bertozzi","given":"Tessa M","non-dropping-particle":"","parse-names":false,"suffix":""},{"dropping-particle":"","family":"Sjoberg-Herrera","given":"Marcela K","non-dropping-particle":"","parse-names":false,"suffix":""},{"dropping-particle":"","family":"Walker","given":"Nic","non-dropping-particle":"","parse-names":false,"suffix":""},{"dropping-particle":"","family":"Gardner","given":"Joseph","non-dropping-particle":"","parse-names":false,"suffix":""},{"dropping-particle":"","family":"Gunning","given":"Richard","non-dropping-particle":"","parse-names":false,"suffix":""},{"dropping-particle":"","family":"Pahita","given":"Elena","non-dropping-particle":"","parse-names":false,"suffix":""},{"dropping-particle":"","family":"Adams","given":"Sarah","non-dropping-particle":"","parse-names":false,"suffix":""},{"dropping-particle":"","family":"Adams","given":"David","non-dropping-particle":"","parse-names":false,"suffix":""},{"dropping-particle":"","family":"Ferguson-Smith","given":"Anne C","non-dropping-particle":"","parse-names":false,"suffix":""}],"container-title":"Cell","id":"ITEM-3","issue":"5","issued":{"date-parts":[["2018","11"]]},"language":"eng","page":"1259-1271.e13","publisher-place":"United States","title":"Identification, Characterization, and Heritability of Murine Metastable  Epialleles: Implications for Non-genetic Inheritance.","type":"article-journal","volume":"175"},"uris":["http://www.mendeley.com/documents/?uuid=b98304a8-5a08-49f0-9171-5e9a7bac20d7"]}],"mendeley":{"formattedCitation":"&lt;i&gt;(44–46)&lt;/i&gt;","plainTextFormattedCitation":"(44–46)","previouslyFormattedCitation":"&lt;i&gt;(44–46)&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bCs/>
          <w:i/>
          <w:noProof/>
          <w:sz w:val="24"/>
          <w:szCs w:val="24"/>
        </w:rPr>
        <w:t>(44–46)</w:t>
      </w:r>
      <w:r w:rsidR="00122188" w:rsidRPr="001533EC">
        <w:rPr>
          <w:rStyle w:val="Funotenzeichen"/>
          <w:sz w:val="24"/>
          <w:szCs w:val="24"/>
        </w:rPr>
        <w:fldChar w:fldCharType="end"/>
      </w:r>
      <w:r w:rsidRPr="001533EC">
        <w:rPr>
          <w:sz w:val="24"/>
          <w:szCs w:val="24"/>
        </w:rPr>
        <w:t>, and remain</w:t>
      </w:r>
      <w:r w:rsidR="0063153D">
        <w:rPr>
          <w:sz w:val="24"/>
          <w:szCs w:val="24"/>
        </w:rPr>
        <w:t>s</w:t>
      </w:r>
      <w:r w:rsidRPr="001533EC">
        <w:rPr>
          <w:sz w:val="24"/>
          <w:szCs w:val="24"/>
        </w:rPr>
        <w:t xml:space="preserve"> stably affected throughout life. Indeed, failure to adapt to a glucose challenge has already been described in the human fetal brain of mothers with gestational diabetes mellitus (GDM)</w:t>
      </w:r>
      <w:r w:rsidR="009A06BF" w:rsidRPr="001533EC">
        <w:rPr>
          <w:sz w:val="24"/>
          <w:szCs w:val="24"/>
        </w:rPr>
        <w:t xml:space="preserve"> </w:t>
      </w:r>
      <w:r w:rsidR="00122188" w:rsidRPr="001533EC">
        <w:rPr>
          <w:rStyle w:val="Funotenzeichen"/>
          <w:sz w:val="24"/>
          <w:szCs w:val="24"/>
        </w:rPr>
        <w:fldChar w:fldCharType="begin" w:fldLock="1"/>
      </w:r>
      <w:r w:rsidR="00607440" w:rsidRPr="001533EC">
        <w:rPr>
          <w:sz w:val="24"/>
          <w:szCs w:val="24"/>
        </w:rPr>
        <w:instrText>ADDIN CSL_CITATION {"citationItems":[{"id":"ITEM-1","itemData":{"DOI":"10.1210/jc.2015-2692","ISSN":"1945-7197 (Electronic)","PMID":"26465393","abstract":"CONTEXT: Gestational diabetes (GDM) influences the fetal phenotype. OBJECTIVE: In  the present study, our aim was to determine the effect of GDM specifically on fetal brain activity. DESIGN: Pregnant participants underwent an oral glucose tolerance test (OGTT, 75 g). At 0, 60, and 120 minutes, maternal metabolism was determined, and fetal auditory evoked fields were recorded with a fetal magnetoencephalographic device. SETTING: All measurements were performed at the fMEG Center in Tübingen. PARTICIPANTS: Twelve women with GDM and 28 normal glucose-tolerant (NGT) pregnant women participated on a voluntary basis. INTERVENTIONS: OGTT (75 g, 120 minutes) was used in this study. MAIN OUTCOMES AND MEASURES: Fetal auditory evoked response latencies were determined for this study. RESULTS: In the fetuses of NGT women, latencies decreased between 0 and 60 minutes from 260 ± 90 to 206 ± 74 ms (P = .008) and remained stable until 120 minutes (206 ± 74 vs 230 ± 79, P =.129). In fetuses of women with GDM, there was no change in response latencies during OGTT (P = .11). Sixty minutes after glucose ingestion, fetal latencies in the GDM group were longer than in the NGT group (296 ± 82 vs 206 ± 74 ms, P = .001). Linear regression revealed a significant effect of maternal glucose, insulin levels, and insulin sensitivity on response latencies after 60 minutes. CONCLUSIONS: Fetal postprandial brain responses were slower in the offspring of women with GDM. This might indicate that gestational diabetes directly affects fetal brain development and may lead to central nervous insulin resistance in the fetus.","author":[{"dropping-particle":"","family":"Linder","given":"Katarzyna","non-dropping-particle":"","parse-names":false,"suffix":""},{"dropping-particle":"","family":"Schleger","given":"Franziska","non-dropping-particle":"","parse-names":false,"suffix":""},{"dropping-particle":"","family":"Kiefer-Schmidt","given":"Isabelle","non-dropping-particle":"","parse-names":false,"suffix":""},{"dropping-particle":"","family":"Fritsche","given":"Louise","non-dropping-particle":"","parse-names":false,"suffix":""},{"dropping-particle":"","family":"Kümmel","given":"Stefanie","non-dropping-particle":"","parse-names":false,"suffix":""},{"dropping-particle":"","family":"Böcker","given":"Marlene","non-dropping-particle":"","parse-names":false,"suffix":""},{"dropping-particle":"","family":"Heni","given":"Martin","non-dropping-particle":"","parse-names":false,"suffix":""},{"dropping-particle":"","family":"Weiss","given":"Magdalene","non-dropping-particle":"","parse-names":false,"suffix":""},{"dropping-particle":"","family":"Häring","given":"Hans-Ulrich","non-dropping-particle":"","parse-names":false,"suffix":""},{"dropping-particle":"","family":"Preissl","given":"Hubert","non-dropping-particle":"","parse-names":false,"suffix":""},{"dropping-particle":"","family":"Fritsche","given":"Andreas","non-dropping-particle":"","parse-names":false,"suffix":""}],"container-title":"The Journal of clinical endocrinology and metabolism","id":"ITEM-1","issue":"11","issued":{"date-parts":[["2015","11"]]},"language":"eng","page":"4029-4036","publisher-place":"United States","title":"Gestational Diabetes Impairs Human Fetal Postprandial Brain Activity.","type":"article-journal","volume":"100"},"uris":["http://www.mendeley.com/documents/?uuid=77de9972-747f-4d44-ae58-cb0b232d6ae3"]}],"mendeley":{"formattedCitation":"&lt;i&gt;(47)&lt;/i&gt;","plainTextFormattedCitation":"(47)","previouslyFormattedCitation":"&lt;i&gt;(47)&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i/>
          <w:noProof/>
          <w:sz w:val="24"/>
          <w:szCs w:val="24"/>
        </w:rPr>
        <w:t>(47)</w:t>
      </w:r>
      <w:r w:rsidR="00122188" w:rsidRPr="001533EC">
        <w:rPr>
          <w:rStyle w:val="Funotenzeichen"/>
          <w:sz w:val="24"/>
          <w:szCs w:val="24"/>
        </w:rPr>
        <w:fldChar w:fldCharType="end"/>
      </w:r>
      <w:r w:rsidRPr="001533EC">
        <w:rPr>
          <w:sz w:val="24"/>
          <w:szCs w:val="24"/>
        </w:rPr>
        <w:t>. Furthermore, children exposed to GDM before 26 weeks of gestation have hypothalamic alterations in response to glucose that predict future weight gain</w:t>
      </w:r>
      <w:r w:rsidR="009A06BF" w:rsidRPr="001533EC">
        <w:rPr>
          <w:sz w:val="24"/>
          <w:szCs w:val="24"/>
        </w:rPr>
        <w:t xml:space="preserve"> </w:t>
      </w:r>
      <w:r w:rsidR="00122188" w:rsidRPr="001533EC">
        <w:rPr>
          <w:rStyle w:val="Funotenzeichen"/>
          <w:sz w:val="24"/>
          <w:szCs w:val="24"/>
        </w:rPr>
        <w:fldChar w:fldCharType="begin" w:fldLock="1"/>
      </w:r>
      <w:r w:rsidR="00607440" w:rsidRPr="001533EC">
        <w:rPr>
          <w:sz w:val="24"/>
          <w:szCs w:val="24"/>
        </w:rPr>
        <w:instrText>ADDIN CSL_CITATION {"citationItems":[{"id":"ITEM-1","itemData":{"DOI":"10.2337/dc18-2581","ISSN":"1935-5548 (Electronic)","PMID":"31332028","abstract":"OBJECTIVE: Exposure in utero to maternal obesity or gestational diabetes mellitus  (GDM) is linked to a high risk for obesity in offspring. Animal studies suggest that these exposures disrupt the development of the hypothalamus, a brain region that regulates body weight, predisposing offspring to develop obesity. This study tested the hypothesis in humans that in utero exposure to maternal obesity and/or GDM is associated with alterations in the hypothalamic response to glucose and the altered hypothalamic response would predict greater increases in child adiposity 1 year later. RESEARCH DESIGN AND METHODS: Participants were 91 children aged 7-11 years with and without in utero exposure to GDM. Maternal prepregnancy BMI and GDM exposures were determined from electronic medical records. Arterial spin labeling MRI was used to determine the child's hypothalamic blood flow response to oral glucose. Anthropometric measures were acquired in all children at their initial visit and again 1 year later in a subset of 44 children. RESULTS: Children exposed to GDM diagnosed at ≤26 weeks' gestation had increased hypothalamic blood flow (a marker of hypothalamic activation) in response to glucose when compared with unexposed children, and results remained after adjustments for child age, sex, BMI, and maternal prepregnancy BMI. Maternal prepregnancy BMI was positively associated with the child's hypothalamic response to glucose. Greater hypothalamic response to glucose predicted greater increases in child's BMI 1 year later. CONCLUSIONS: Increased glucose-linked hypothalamic activation during childhood represents a possible mechanism by which exposure to maternal metabolic disorders during fetal development increases future risk for obesity.","author":[{"dropping-particle":"","family":"Page","given":"Kathleen A","non-dropping-particle":"","parse-names":false,"suffix":""},{"dropping-particle":"","family":"Luo","given":"Shan","non-dropping-particle":"","parse-names":false,"suffix":""},{"dropping-particle":"","family":"Wang","given":"Xinhui","non-dropping-particle":"","parse-names":false,"suffix":""},{"dropping-particle":"","family":"Chow","given":"Ting","non-dropping-particle":"","parse-names":false,"suffix":""},{"dropping-particle":"","family":"Alves","given":"Jasmin","non-dropping-particle":"","parse-names":false,"suffix":""},{"dropping-particle":"","family":"Buchanan","given":"Thomas A","non-dropping-particle":"","parse-names":false,"suffix":""},{"dropping-particle":"","family":"Xiang","given":"Anny H","non-dropping-particle":"","parse-names":false,"suffix":""}],"container-title":"Diabetes care","id":"ITEM-1","issue":"8","issued":{"date-parts":[["2019","8"]]},"language":"eng","page":"1473-1480","publisher-place":"United States","title":"Children Exposed to Maternal Obesity or Gestational Diabetes Mellitus During  Early Fetal Development Have Hypothalamic Alterations That Predict Future Weight Gain.","type":"article-journal","volume":"42"},"uris":["http://www.mendeley.com/documents/?uuid=8c2ee8a5-b329-4752-9f67-4adc151f7736"]}],"mendeley":{"formattedCitation":"&lt;i&gt;(48)&lt;/i&gt;","plainTextFormattedCitation":"(48)","previouslyFormattedCitation":"&lt;i&gt;(48)&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bCs/>
          <w:i/>
          <w:noProof/>
          <w:sz w:val="24"/>
          <w:szCs w:val="24"/>
        </w:rPr>
        <w:t>(48)</w:t>
      </w:r>
      <w:r w:rsidR="00122188" w:rsidRPr="001533EC">
        <w:rPr>
          <w:rStyle w:val="Funotenzeichen"/>
          <w:sz w:val="24"/>
          <w:szCs w:val="24"/>
        </w:rPr>
        <w:fldChar w:fldCharType="end"/>
      </w:r>
      <w:r w:rsidRPr="001533EC">
        <w:rPr>
          <w:sz w:val="24"/>
          <w:szCs w:val="24"/>
        </w:rPr>
        <w:t>. Hence, brain insulin resistance itself may alter the epigenetic signature in blood cells. Another explanation could be that obesogenic factors such as increased energy intake, body weight</w:t>
      </w:r>
      <w:r w:rsidR="0034285C">
        <w:rPr>
          <w:sz w:val="24"/>
          <w:szCs w:val="24"/>
        </w:rPr>
        <w:t>,</w:t>
      </w:r>
      <w:r w:rsidRPr="001533EC">
        <w:rPr>
          <w:sz w:val="24"/>
          <w:szCs w:val="24"/>
        </w:rPr>
        <w:t xml:space="preserve"> or blood glucose, or chronic low-grade inflammation</w:t>
      </w:r>
      <w:r w:rsidR="0034285C">
        <w:rPr>
          <w:sz w:val="24"/>
          <w:szCs w:val="24"/>
        </w:rPr>
        <w:t>,</w:t>
      </w:r>
      <w:r w:rsidRPr="001533EC">
        <w:rPr>
          <w:sz w:val="24"/>
          <w:szCs w:val="24"/>
        </w:rPr>
        <w:t xml:space="preserve"> modulate DNA methylation of specific loci in the brain and the periphery. </w:t>
      </w:r>
    </w:p>
    <w:p w14:paraId="5E6B493D" w14:textId="4DEE25B7" w:rsidR="00C35B7A" w:rsidRPr="001533EC" w:rsidRDefault="00C35B7A" w:rsidP="00C35B7A">
      <w:pPr>
        <w:spacing w:line="480" w:lineRule="auto"/>
        <w:jc w:val="both"/>
        <w:rPr>
          <w:sz w:val="24"/>
          <w:szCs w:val="24"/>
        </w:rPr>
      </w:pPr>
      <w:r w:rsidRPr="00D35F54">
        <w:rPr>
          <w:sz w:val="24"/>
          <w:szCs w:val="24"/>
        </w:rPr>
        <w:t xml:space="preserve">All identified CpG </w:t>
      </w:r>
      <w:r w:rsidR="006E50B8" w:rsidRPr="00D35F54">
        <w:rPr>
          <w:sz w:val="24"/>
          <w:szCs w:val="24"/>
        </w:rPr>
        <w:t>classifiers</w:t>
      </w:r>
      <w:r w:rsidRPr="00D35F54">
        <w:rPr>
          <w:sz w:val="24"/>
          <w:szCs w:val="24"/>
        </w:rPr>
        <w:t xml:space="preserve"> were differentially methylated</w:t>
      </w:r>
      <w:r w:rsidR="006B0007" w:rsidRPr="00D35F54">
        <w:rPr>
          <w:sz w:val="24"/>
          <w:szCs w:val="24"/>
        </w:rPr>
        <w:t>,</w:t>
      </w:r>
      <w:r w:rsidR="0034285C">
        <w:rPr>
          <w:sz w:val="24"/>
          <w:szCs w:val="24"/>
        </w:rPr>
        <w:t xml:space="preserve"> </w:t>
      </w:r>
      <w:r w:rsidRPr="00D35F54">
        <w:rPr>
          <w:sz w:val="24"/>
          <w:szCs w:val="24"/>
        </w:rPr>
        <w:t xml:space="preserve">with the </w:t>
      </w:r>
      <w:proofErr w:type="gramStart"/>
      <w:r w:rsidRPr="00D35F54">
        <w:rPr>
          <w:sz w:val="24"/>
          <w:szCs w:val="24"/>
        </w:rPr>
        <w:t>strongest  changes</w:t>
      </w:r>
      <w:proofErr w:type="gramEnd"/>
      <w:r w:rsidRPr="00D35F54">
        <w:rPr>
          <w:sz w:val="24"/>
          <w:szCs w:val="24"/>
        </w:rPr>
        <w:t xml:space="preserve"> </w:t>
      </w:r>
      <w:r w:rsidR="006B0007" w:rsidRPr="00D35F54">
        <w:rPr>
          <w:sz w:val="24"/>
          <w:szCs w:val="24"/>
        </w:rPr>
        <w:t>linked</w:t>
      </w:r>
      <w:r w:rsidRPr="00D35F54">
        <w:rPr>
          <w:sz w:val="24"/>
          <w:szCs w:val="24"/>
        </w:rPr>
        <w:t xml:space="preserve"> to genes involved in either insulin signaling (such as </w:t>
      </w:r>
      <w:r w:rsidRPr="00D35F54">
        <w:rPr>
          <w:i/>
          <w:sz w:val="24"/>
          <w:szCs w:val="24"/>
        </w:rPr>
        <w:t>IGF1R, BRSK2</w:t>
      </w:r>
      <w:r w:rsidRPr="00D35F54">
        <w:rPr>
          <w:sz w:val="24"/>
          <w:szCs w:val="24"/>
        </w:rPr>
        <w:t xml:space="preserve">) or brain development (such as </w:t>
      </w:r>
      <w:r w:rsidRPr="00D35F54">
        <w:rPr>
          <w:i/>
          <w:iCs/>
          <w:sz w:val="24"/>
          <w:szCs w:val="24"/>
        </w:rPr>
        <w:t>KCNC1</w:t>
      </w:r>
      <w:r w:rsidRPr="001533EC">
        <w:rPr>
          <w:i/>
          <w:iCs/>
          <w:sz w:val="24"/>
          <w:szCs w:val="24"/>
        </w:rPr>
        <w:t xml:space="preserve">, </w:t>
      </w:r>
      <w:r w:rsidRPr="001533EC">
        <w:rPr>
          <w:i/>
          <w:sz w:val="24"/>
          <w:szCs w:val="24"/>
        </w:rPr>
        <w:t>BRSK2</w:t>
      </w:r>
      <w:r w:rsidRPr="001533EC">
        <w:rPr>
          <w:sz w:val="24"/>
          <w:szCs w:val="24"/>
        </w:rPr>
        <w:t xml:space="preserve">). Indeed, previous studies have also identified decreased expression of the insulin receptor substrate-1 (IRS-1), a major substrate for the insulin and insulin-like growth factor-1 (IGF-1) receptors, </w:t>
      </w:r>
      <w:r w:rsidR="00C077CA">
        <w:rPr>
          <w:sz w:val="24"/>
          <w:szCs w:val="24"/>
        </w:rPr>
        <w:t>as</w:t>
      </w:r>
      <w:r w:rsidRPr="001533EC">
        <w:rPr>
          <w:sz w:val="24"/>
          <w:szCs w:val="24"/>
        </w:rPr>
        <w:t xml:space="preserve"> linked to brain insulin resistance</w:t>
      </w:r>
      <w:r w:rsidR="009A06BF" w:rsidRPr="001533EC">
        <w:rPr>
          <w:sz w:val="24"/>
          <w:szCs w:val="24"/>
        </w:rPr>
        <w:t xml:space="preserve"> </w:t>
      </w:r>
      <w:r w:rsidR="00122188" w:rsidRPr="001533EC">
        <w:rPr>
          <w:rStyle w:val="Funotenzeichen"/>
          <w:sz w:val="24"/>
          <w:szCs w:val="24"/>
        </w:rPr>
        <w:fldChar w:fldCharType="begin" w:fldLock="1"/>
      </w:r>
      <w:r w:rsidR="0017498C">
        <w:rPr>
          <w:sz w:val="24"/>
          <w:szCs w:val="24"/>
        </w:rPr>
        <w:instrText>ADDIN CSL_CITATION {"citationItems":[{"id":"ITEM-1","itemData":{"DOI":"10.1172/JCI59903","ISSN":"1558-8238 (Electronic)","PMID":"22476197","abstract":"While a potential causal factor in Alzheimer's disease (AD), brain insulin  resistance has not been demonstrated directly in that disorder. We provide such a demonstration here by showing that the hippocampal formation (HF) and, to a lesser degree, the cerebellar cortex in AD cases without diabetes exhibit markedly reduced responses to insulin signaling in the IR→IRS-1→PI3K signaling pathway with greatly reduced responses to IGF-1 in the IGF-1R→IRS-2→PI3K signaling pathway. Reduced insulin responses were maximal at the level of IRS-1 and were consistently associated with basal elevations in IRS-1 phosphorylated at serine 616 (IRS-1 pS⁶¹⁶) and IRS-1 pS⁶³⁶/⁶³⁹. In the HF, these candidate biomarkers of brain insulin resistance increased commonly and progressively from normal cases to mild cognitively impaired cases to AD cases regardless of diabetes or APOE ε4 status. Levels of IRS-1 pS⁶¹⁶ and IRS-1 pS⁶³⁶/⁶³⁹ and their activated kinases correlated positively with those of oligomeric Aβ plaques and were negatively associated with episodic and working memory, even after adjusting for Aβ plaques, neurofibrillary tangles, and APOE ε4. Brain insulin resistance thus appears to be an early and common feature of AD, a phenomenon accompanied by IGF-1 resistance and closely associated with IRS-1 dysfunction potentially triggered by Aβ oligomers and yet promoting cognitive decline independent of classic AD pathology.","author":[{"dropping-particle":"","family":"Talbot","given":"Konrad","non-dropping-particle":"","parse-names":false,"suffix":""},{"dropping-particle":"","family":"Wang","given":"Hoau-Yan","non-dropping-particle":"","parse-names":false,"suffix":""},{"dropping-particle":"","family":"Kazi","given":"Hala","non-dropping-particle":"","parse-names":false,"suffix":""},{"dropping-particle":"","family":"Han","given":"Li-Ying","non-dropping-particle":"","parse-names":false,"suffix":""},{"dropping-particle":"","family":"Bakshi","given":"Kalindi P","non-dropping-particle":"","parse-names":false,"suffix":""},{"dropping-particle":"","family":"Stucky","given":"Andres","non-dropping-particle":"","parse-names":false,"suffix":""},{"dropping-particle":"","family":"Fuino","given":"Robert L","non-dropping-particle":"","parse-names":false,"suffix":""},{"dropping-particle":"","family":"Kawaguchi","given":"Krista R","non-dropping-particle":"","parse-names":false,"suffix":""},{"dropping-particle":"","family":"Samoyedny","given":"Andrew J","non-dropping-particle":"","parse-names":false,"suffix":""},{"dropping-particle":"","family":"Wilson","given":"Robert S","non-dropping-particle":"","parse-names":false,"suffix":""},{"dropping-particle":"","family":"Arvanitakis","given":"Zoe","non-dropping-particle":"","parse-names":false,"suffix":""},{"dropping-particle":"","family":"Schneider","given":"Julie A","non-dropping-particle":"","parse-names":false,"suffix":""},{"dropping-particle":"","family":"Wolf","given":"Bryan A","non-dropping-particle":"","parse-names":false,"suffix":""},{"dropping-particle":"","family":"Bennett","given":"David A","non-dropping-particle":"","parse-names":false,"suffix":""},{"dropping-particle":"","family":"Trojanowski","given":"John Q","non-dropping-particle":"","parse-names":false,"suffix":""},{"dropping-particle":"","family":"Arnold","given":"Steven E","non-dropping-particle":"","parse-names":false,"suffix":""}],"container-title":"The Journal of clinical investigation","id":"ITEM-1","issue":"4","issued":{"date-parts":[["2012","4"]]},"language":"eng","page":"1316-1338","publisher-place":"United States","title":"Demonstrated brain insulin resistance in Alzheimer's disease patients is  associated with IGF-1 resistance, IRS-1 dysregulation, and cognitive decline.","type":"article-journal","volume":"122"},"uris":["http://www.mendeley.com/documents/?uuid=094b1914-ced9-3674-955a-0135a93d2f2d"]},{"id":"ITEM-2","itemData":{"DOI":"https://doi.org/10.1016/j.neurobiolaging.2008.04.002","ISSN":"0197-4580","abstract":"Insulin like growth factor-1 receptor (IGF-1R) and insulin receptor (IR) signalling control vital growth, survival and metabolic functions in the brain. Here we describe specific and significant alterations in IGF-1R, IR, and their key substrate adaptor proteins IRS-1 and IRS-2 in Alzheimer's disease (AD). Western immunoblot analysis detected increased IGF-1R levels, and decreased levels of IGF-1-binding protein-2 (IGFBP-2), a major IGF-1-binding protein, in AD temporal cortex. Increased IGF-1R was observed surrounding and within amyloid-β (Aβ)-containing plaques, also evident in an animal model of AD, and in astrocytes in AD. However, despite the overall increase in IGF-1R levels, a significantly lower number of neurons expressed IGF-1R in AD, and IGF-1R was aberrantly distributed in AD neurons especially evident in those with neurofibrillary tangles (NFTs). IR protein levels were similar in AD and control cases, however, the IR was concentrated intracellularly in AD neurons, unlike its distribution throughout the neuronal cell soma and in dendrites in control brain. Significant decreases in IRS-1 and IRS-2 levels were identified in AD neurons, in association with increased levels of inactivated phosphoSer312IRS-1 and phosphoSer616IRS-1, where increased levels of these phosphoserine epitopes colocalised strongly with NFTs. Our results show that IGF-1R and IR signalling is compromised in AD neurons and suggest that neurons that degenerate in AD may be resistant to IGF-1R/IR signalling.","author":[{"dropping-particle":"","family":"Moloney","given":"Aileen M","non-dropping-particle":"","parse-names":false,"suffix":""},{"dropping-particle":"","family":"Griffin","given":"Rebecca J","non-dropping-particle":"","parse-names":false,"suffix":""},{"dropping-particle":"","family":"Timmons","given":"Suzanne","non-dropping-particle":"","parse-names":false,"suffix":""},{"dropping-particle":"","family":"O’Connor","given":"Rosemary","non-dropping-particle":"","parse-names":false,"suffix":""},{"dropping-particle":"","family":"Ravid","given":"Rivka","non-dropping-particle":"","parse-names":false,"suffix":""},{"dropping-particle":"","family":"O’Neill","given":"Cora","non-dropping-particle":"","parse-names":false,"suffix":""}],"container-title":"Neurobiology of Aging","id":"ITEM-2","issue":"2","issued":{"date-parts":[["2010"]]},"page":"224-243","title":"Defects in IGF-1 receptor, insulin receptor and IRS-1/2 in Alzheimer's disease indicate possible resistance to IGF-1 and insulin signalling","type":"article-journal","volume":"31"},"uris":["http://www.mendeley.com/documents/?uuid=748f0e5a-a572-4f6a-a554-4f075aaf40a2"]},{"id":"ITEM-3","itemData":{"DOI":"https://doi.org/10.1016/j.neubiorev.2023.105301","ISSN":"0149-7634","abstract":"Potassium channels (K+-channels) selectively control the passive flow of potassium ions across biological membranes and thereby also regulate membrane excitability. Genetic variants affecting many of the human K+-channels are well known causes of Mendelian disorders within cardiology, neurology, and endocrinology. K+-channels are also primary targets of many natural toxins from poisonous organisms and drugs used within cardiology and metabolism. As genetic tools are improving and larger clinical samples are being investigated, the spectrum of clinical phenotypes implicated in K+-channels dysfunction is rapidly expanding, notably within immunology, neurosciences, and metabolism. K+-channels that previously were considered to be expressed in only a few organs and to have discrete physiological functions, have recently been found in multiple tissues and with new, unexpected functions. The pleiotropic functions and patterns of expression of K+-channels may provide additional therapeutic opportunities, along with new emerging challenges from off-target effects. Here we review the functions and therapeutic potential of K+-channels, with an emphasis on the nervous system, roles in neuropsychiatric disorders and their involvement in other organ systems and diseases.","author":[{"dropping-particle":"","family":"Alam","given":"Kazi Asraful","non-dropping-particle":"","parse-names":false,"suffix":""},{"dropping-particle":"","family":"Svalastoga","given":"Pernille","non-dropping-particle":"","parse-names":false,"suffix":""},{"dropping-particle":"","family":"Martinez","given":"Aurora","non-dropping-particle":"","parse-names":false,"suffix":""},{"dropping-particle":"","family":"Glennon","given":"Jeffrey Colm","non-dropping-particle":"","parse-names":false,"suffix":""},{"dropping-particle":"","family":"Haavik","given":"Jan","non-dropping-particle":"","parse-names":false,"suffix":""}],"container-title":"Neuroscience &amp; Biobehavioral Reviews","id":"ITEM-3","issued":{"date-parts":[["2023"]]},"page":"105301","title":"Potassium channels in behavioral brain disorders. Molecular mechanisms and therapeutic potential: A narrative review","type":"article-journal","volume":"152"},"uris":["http://www.mendeley.com/documents/?uuid=bd59b20a-12ce-3163-bc57-723789771ec0"]},{"id":"ITEM-4","itemData":{"DOI":"https://doi.org/10.1016/j.tins.2022.03.001","ISSN":"0166-2236","abstract":"Since its discovery over 100 years ago, insulin has been recognized as a key hormone in control of glucose homeostasis. Deficiencies of insulin signaling are central to diabetes and many other disorders. The brain is among the targets of insulin action, and insulin resistance is a major contributor to many diseases, including brain disorders. Here, we summarize key roles of insulin action in the brain and how this involves different brain cell types. Disordered brain insulin signaling can also contribute to neuropsychiatric diseases, affecting brain circuits involved in mood and cognition. Understanding of insulin signaling in different brain cell types/circuits and how these are altered in disease may lead to the development of new therapeutic approaches to these challenging disorders.","author":[{"dropping-particle":"","family":"Chen","given":"Wenqiang","non-dropping-particle":"","parse-names":false,"suffix":""},{"dropping-particle":"","family":"Cai","given":"Weikang","non-dropping-particle":"","parse-names":false,"suffix":""},{"dropping-particle":"","family":"Hoover","given":"Benjamin","non-dropping-particle":"","parse-names":false,"suffix":""},{"dropping-particle":"","family":"Kahn","given":"C Ronald","non-dropping-particle":"","parse-names":false,"suffix":""}],"container-title":"Trends in Neurosciences","id":"ITEM-4","issue":"5","issued":{"date-parts":[["2022"]]},"page":"384-400","title":"Insulin action in the brain: cell types, circuits, and diseases","type":"article-journal","volume":"45"},"uris":["http://www.mendeley.com/documents/?uuid=839e9b3b-b0dd-3a4a-b4ac-3d02d9c26306"]}],"mendeley":{"formattedCitation":"&lt;i&gt;(4, 49–51)&lt;/i&gt;","plainTextFormattedCitation":"(4, 49–51)","previouslyFormattedCitation":"&lt;i&gt;(4, 49–51)&lt;/i&gt;"},"properties":{"noteIndex":0},"schema":"https://github.com/citation-style-language/schema/raw/master/csl-citation.json"}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bCs/>
          <w:i/>
          <w:noProof/>
          <w:sz w:val="24"/>
          <w:szCs w:val="24"/>
        </w:rPr>
        <w:t>(4, 49–51)</w:t>
      </w:r>
      <w:r w:rsidR="00122188" w:rsidRPr="001533EC">
        <w:rPr>
          <w:rStyle w:val="Funotenzeichen"/>
          <w:sz w:val="24"/>
          <w:szCs w:val="24"/>
        </w:rPr>
        <w:fldChar w:fldCharType="end"/>
      </w:r>
      <w:r w:rsidR="00044DCF" w:rsidRPr="001533EC">
        <w:rPr>
          <w:sz w:val="24"/>
          <w:szCs w:val="24"/>
        </w:rPr>
        <w:t>.</w:t>
      </w:r>
      <w:r w:rsidR="007702E3" w:rsidRPr="001533EC">
        <w:rPr>
          <w:i/>
          <w:sz w:val="24"/>
          <w:szCs w:val="24"/>
        </w:rPr>
        <w:t xml:space="preserve"> </w:t>
      </w:r>
      <w:r w:rsidRPr="001533EC">
        <w:rPr>
          <w:i/>
          <w:sz w:val="24"/>
          <w:szCs w:val="24"/>
        </w:rPr>
        <w:t>BRSK2</w:t>
      </w:r>
      <w:r w:rsidR="007702E3" w:rsidRPr="001533EC">
        <w:rPr>
          <w:sz w:val="24"/>
          <w:szCs w:val="24"/>
        </w:rPr>
        <w:t xml:space="preserve"> is </w:t>
      </w:r>
      <w:r w:rsidRPr="001533EC">
        <w:rPr>
          <w:sz w:val="24"/>
          <w:szCs w:val="24"/>
        </w:rPr>
        <w:t xml:space="preserve">an important kinase belonging to the AMPK family </w:t>
      </w:r>
      <w:r w:rsidR="0065325B" w:rsidRPr="001533EC">
        <w:rPr>
          <w:sz w:val="24"/>
          <w:szCs w:val="24"/>
        </w:rPr>
        <w:t xml:space="preserve">and </w:t>
      </w:r>
      <w:r w:rsidR="00B90D02">
        <w:rPr>
          <w:sz w:val="24"/>
          <w:szCs w:val="24"/>
        </w:rPr>
        <w:t xml:space="preserve">is </w:t>
      </w:r>
      <w:r w:rsidR="0065325B" w:rsidRPr="001533EC">
        <w:rPr>
          <w:sz w:val="24"/>
          <w:szCs w:val="24"/>
        </w:rPr>
        <w:t xml:space="preserve">involved in </w:t>
      </w:r>
      <w:r w:rsidR="000577A7" w:rsidRPr="001533EC">
        <w:rPr>
          <w:sz w:val="24"/>
          <w:szCs w:val="24"/>
        </w:rPr>
        <w:t>TAU</w:t>
      </w:r>
      <w:r w:rsidR="0065325B" w:rsidRPr="001533EC">
        <w:rPr>
          <w:sz w:val="24"/>
          <w:szCs w:val="24"/>
        </w:rPr>
        <w:t xml:space="preserve"> phosphorylation</w:t>
      </w:r>
      <w:r w:rsidR="00F07A69" w:rsidRPr="001533EC">
        <w:rPr>
          <w:sz w:val="24"/>
          <w:szCs w:val="24"/>
        </w:rPr>
        <w:t xml:space="preserve"> that was linked</w:t>
      </w:r>
      <w:r w:rsidR="0065325B" w:rsidRPr="001533EC">
        <w:rPr>
          <w:sz w:val="24"/>
          <w:szCs w:val="24"/>
        </w:rPr>
        <w:t xml:space="preserve"> </w:t>
      </w:r>
      <w:r w:rsidR="0034285C">
        <w:rPr>
          <w:sz w:val="24"/>
          <w:szCs w:val="24"/>
        </w:rPr>
        <w:t xml:space="preserve">to </w:t>
      </w:r>
      <w:r w:rsidR="000577A7" w:rsidRPr="001533EC">
        <w:rPr>
          <w:sz w:val="24"/>
          <w:szCs w:val="24"/>
          <w:lang w:val="en-GB"/>
        </w:rPr>
        <w:t>neurodegenerative disease</w:t>
      </w:r>
      <w:r w:rsidR="009A06BF" w:rsidRPr="001533EC">
        <w:rPr>
          <w:sz w:val="24"/>
          <w:szCs w:val="24"/>
          <w:lang w:val="en-GB"/>
        </w:rPr>
        <w:t xml:space="preserve"> </w:t>
      </w:r>
      <w:r w:rsidR="00122188" w:rsidRPr="001533EC">
        <w:rPr>
          <w:rStyle w:val="Funotenzeichen"/>
          <w:sz w:val="24"/>
          <w:szCs w:val="24"/>
          <w:lang w:val="en-GB"/>
        </w:rPr>
        <w:fldChar w:fldCharType="begin" w:fldLock="1"/>
      </w:r>
      <w:r w:rsidR="0017498C">
        <w:rPr>
          <w:sz w:val="24"/>
          <w:szCs w:val="24"/>
          <w:lang w:val="en-GB"/>
        </w:rPr>
        <w:instrText>ADDIN CSL_CITATION {"citationItems":[{"id":"ITEM-1","itemData":{"DOI":"10.1038/s42003-024-05920-4","ISSN":"2399-3642 (Electronic)","PMID":"38429335","abstract":"Tau is a microtubule-associated protein often found in neurofibrillary tangles  (NFTs) in the brains of patients with Alzheimer's disease. Beyond this context, mounting evidence suggests that tau localizes into the nucleus, where it may play a role in DNA protection and heterochromatin regulation. The molecular mechanisms behind these observations are currently unclear. Using in vitro biophysical experiments, here we demonstrate that tau can undergo liquid-liquid phase separation (LLPS) with DNA, mononucleosomes, and reconstituted nucleosome arrays under low salt conditions. Low concentrations of tau promote chromatin compaction and protect DNA from digestion. While the material state of samples at physiological salt is dominated by chromatin oligomerization, tau can still associate strongly and reversibly with nucleosome arrays. These properties are driven by tau's strong interactions with linker and nucleosomal DNA. In addition, tau co-localizes into droplets formed by nucleosome arrays and phosphorylated HP1α, a key heterochromatin constituent thought to function through an LLPS mechanism. Importantly, LLPS and chromatin interactions are disrupted by aberrant tau hyperphosphorylation. These biophysical properties suggest that tau may directly impact DNA and chromatin accessibility and that loss of these interactions could contribute to the aberrant nuclear effects seen in tau pathology.","author":[{"dropping-particle":"","family":"Abasi","given":"Lannah S","non-dropping-particle":"","parse-names":false,"suffix":""},{"dropping-particle":"","family":"Elathram","given":"Nesreen","non-dropping-particle":"","parse-names":false,"suffix":""},{"dropping-particle":"","family":"Movva","given":"Manasi","non-dropping-particle":"","parse-names":false,"suffix":""},{"dropping-particle":"","family":"Deep","given":"Amar","non-dropping-particle":"","parse-names":false,"suffix":""},{"dropping-particle":"","family":"Corbett","given":"Kevin D","non-dropping-particle":"","parse-names":false,"suffix":""},{"dropping-particle":"","family":"Debelouchina","given":"Galia T","non-dropping-particle":"","parse-names":false,"suffix":""}],"container-title":"Communications biology","id":"ITEM-1","issue":"1","issued":{"date-parts":[["2024","3"]]},"language":"eng","page":"251","publisher-place":"England","title":"Phosphorylation regulates tau's phase separation behavior and interactions with  chromatin.","type":"article-journal","volume":"7"},"uris":["http://www.mendeley.com/documents/?uuid=c7534e84-1146-4e34-88e6-b1facd3e8b7c"]},{"id":"ITEM-2","itemData":{"DOI":"10.1093/brain/awaa223","ISSN":"1460-2156 (Electronic)","PMID":"32812023","abstract":"Accumulation of phosphorylated tau is a key pathological feature of Alzheimer's  disease. Phosphorylated tau accumulation causes synaptic impairment, neuronal dysfunction and formation of neurofibrillary tangles. The pathological actions of phosphorylated tau are mediated by surrounding neuronal proteins; however, a comprehensive understanding of the proteins that phosphorylated tau interacts with in Alzheimer's disease is surprisingly limited. Therefore, the aim of this study was to determine the phosphorylated tau interactome. To this end, we used two complementary proteomics approaches: (i) quantitative proteomics was performed on neurofibrillary tangles microdissected from patients with advanced Alzheimer's disease; and (ii) affinity purification-mass spectrometry was used to identify which of these proteins specifically bound to phosphorylated tau. We identified 542 proteins in neurofibrillary tangles. This included the abundant detection of many proteins known to be present in neurofibrillary tangles such as tau, ubiquitin, neurofilament proteins and apolipoprotein E. Affinity purification-mass spectrometry confirmed that 75 proteins present in neurofibrillary tangles interacted with PHF1-immunoreactive phosphorylated tau. Twenty-nine of these proteins have been previously associated with phosphorylated tau, therefore validating our proteomic approach. More importantly, 34 proteins had previously been associated with total tau, but not yet linked directly to phosphorylated tau (e.g. synaptic protein VAMP2, vacuolar-ATPase subunit ATP6V0D1); therefore, we provide new evidence that they directly interact with phosphorylated tau in Alzheimer's disease. In addition, we also identified 12 novel proteins, not previously known to be physiologically or pathologically associated with tau (e.g. RNA binding protein HNRNPA1). Network analysis showed that the phosphorylated tau interactome was enriched in proteins involved in the protein ubiquitination pathway and phagosome maturation. Importantly, we were able to pinpoint specific proteins that phosphorylated tau interacts with in these pathways for the first time, therefore providing novel potential pathogenic mechanisms that can be explored in future studies. Combined, our results reveal new potential drug targets for the treatment of tauopathies and provide insight into how phosphorylated tau mediates its toxicity in Alzheimer's disease.","author":[{"dropping-particle":"","family":"Drummond","given":"Eleanor","non-dropping-particle":"","parse-names":false,"suffix":""},{"dropping-particle":"","family":"Pires","given":"Geoffrey","non-dropping-particle":"","parse-names":false,"suffix":""},{"dropping-particle":"","family":"MacMurray","given":"Claire","non-dropping-particle":"","parse-names":false,"suffix":""},{"dropping-particle":"","family":"Askenazi","given":"Manor","non-dropping-particle":"","parse-names":false,"suffix":""},{"dropping-particle":"","family":"Nayak","given":"Shruti","non-dropping-particle":"","parse-names":false,"suffix":""},{"dropping-particle":"","family":"Bourdon","given":"Marie","non-dropping-particle":"","parse-names":false,"suffix":""},{"dropping-particle":"","family":"Safar","given":"Jiri","non-dropping-particle":"","parse-names":false,"suffix":""},{"dropping-particle":"","family":"Ueberheide","given":"Beatrix","non-dropping-particle":"","parse-names":false,"suffix":""},{"dropping-particle":"","family":"Wisniewski","given":"Thomas","non-dropping-particle":"","parse-names":false,"suffix":""}],"container-title":"Brain : a journal of neurology","id":"ITEM-2","issue":"9","issued":{"date-parts":[["2020","9"]]},"language":"eng","page":"2803-2817","publisher-place":"England","title":"Phosphorylated tau interactome in the human Alzheimer's disease brain.","type":"article-journal","volume":"143"},"uris":["http://www.mendeley.com/documents/?uuid=5fb08a4f-0bb0-44a0-9ab6-a82d56a3943a"]}],"mendeley":{"formattedCitation":"&lt;i&gt;(52, 53)&lt;/i&gt;","plainTextFormattedCitation":"(52, 53)","previouslyFormattedCitation":"&lt;i&gt;(52, 53)&lt;/i&gt;"},"properties":{"noteIndex":0},"schema":"https://github.com/citation-style-language/schema/raw/master/csl-citation.json"}</w:instrText>
      </w:r>
      <w:r w:rsidR="00122188" w:rsidRPr="001533EC">
        <w:rPr>
          <w:rStyle w:val="Funotenzeichen"/>
          <w:sz w:val="24"/>
          <w:szCs w:val="24"/>
          <w:lang w:val="en-GB"/>
        </w:rPr>
        <w:fldChar w:fldCharType="separate"/>
      </w:r>
      <w:r w:rsidR="00607440" w:rsidRPr="001533EC">
        <w:rPr>
          <w:bCs/>
          <w:i/>
          <w:noProof/>
          <w:sz w:val="24"/>
          <w:szCs w:val="24"/>
        </w:rPr>
        <w:t>(52, 53)</w:t>
      </w:r>
      <w:r w:rsidR="00122188" w:rsidRPr="001533EC">
        <w:rPr>
          <w:rStyle w:val="Funotenzeichen"/>
          <w:sz w:val="24"/>
          <w:szCs w:val="24"/>
          <w:lang w:val="en-GB"/>
        </w:rPr>
        <w:fldChar w:fldCharType="end"/>
      </w:r>
      <w:r w:rsidR="000577A7" w:rsidRPr="001533EC">
        <w:rPr>
          <w:sz w:val="24"/>
          <w:szCs w:val="24"/>
          <w:lang w:val="en-GB"/>
        </w:rPr>
        <w:t xml:space="preserve">. </w:t>
      </w:r>
      <w:r w:rsidR="000577A7" w:rsidRPr="001533EC">
        <w:rPr>
          <w:i/>
          <w:sz w:val="24"/>
          <w:szCs w:val="24"/>
          <w:lang w:val="en-GB"/>
        </w:rPr>
        <w:t>BRSK2</w:t>
      </w:r>
      <w:r w:rsidR="00F07A69" w:rsidRPr="001533EC">
        <w:rPr>
          <w:i/>
          <w:sz w:val="24"/>
          <w:szCs w:val="24"/>
          <w:lang w:val="en-GB"/>
        </w:rPr>
        <w:t>/Brsk2</w:t>
      </w:r>
      <w:r w:rsidRPr="001533EC">
        <w:rPr>
          <w:sz w:val="24"/>
          <w:szCs w:val="24"/>
        </w:rPr>
        <w:t xml:space="preserve"> has been proposed in previous rodent studies as a nutrient sensor, and in a large-scale human genetic study in the Chinese population, </w:t>
      </w:r>
      <w:r w:rsidRPr="001533EC">
        <w:rPr>
          <w:i/>
          <w:iCs/>
          <w:sz w:val="24"/>
          <w:szCs w:val="24"/>
        </w:rPr>
        <w:t>BRSK2</w:t>
      </w:r>
      <w:r w:rsidRPr="001533EC">
        <w:rPr>
          <w:sz w:val="24"/>
          <w:szCs w:val="24"/>
        </w:rPr>
        <w:t xml:space="preserve"> variants (rs112377266, rs61002819, and rs536028004) were associated with T2D</w:t>
      </w:r>
      <w:r w:rsidR="00B116E6" w:rsidRPr="001533EC">
        <w:rPr>
          <w:sz w:val="24"/>
          <w:szCs w:val="24"/>
        </w:rPr>
        <w:t xml:space="preserve"> </w:t>
      </w:r>
      <w:r w:rsidR="00122188" w:rsidRPr="001533EC">
        <w:rPr>
          <w:rStyle w:val="Funotenzeichen"/>
          <w:sz w:val="24"/>
          <w:szCs w:val="24"/>
        </w:rPr>
        <w:fldChar w:fldCharType="begin" w:fldLock="1"/>
      </w:r>
      <w:r w:rsidR="0017498C">
        <w:rPr>
          <w:sz w:val="24"/>
          <w:szCs w:val="24"/>
        </w:rPr>
        <w:instrText>ADDIN CSL_CITATION {"citationItems":[{"id":"ITEM-1","itemData":{"DOI":"10.1093/jmcb/mjad033","ISSN":"1759-4685 (Electronic)","PMID":"37188647","abstract":"Brain-specific serine/threonine-protein kinase 2 (BRSK2) plays critical roles in  insulin secretion and β-cell biology. However, whether BRSK2 is associated with human type 2 diabetes mellitus (T2DM) has not been determined. Here, we report that BRSK2 genetic variants are closely related to worsening glucose metabolism due to hyperinsulinemia and insulin resistance in the Chinese population. BRSK2 protein levels are significantly elevated in β cells from T2DM patients and high-fat diet (HFD)-fed mice due to enhanced protein stability. Mice with inducible β-cell-specific Brsk2 knockout (βKO) exhibit normal metabolism with a high potential for insulin secretion under chow-diet conditions. Moreover, βKO mice are protected from HFD-induced hyperinsulinemia, obesity, insulin resistance, and glucose intolerance. Conversely, gain-of-function BRSK2 in mature β cells reversibly triggers hyperglycemia due to β-cell hypersecretion-coupled insulin resistance. Mechanistically, BRSK2 senses lipid signals and induces basal insulin secretion in a kinase-dependent manner. The enhanced basal insulin secretion drives insulin resistance and β-cell exhaustion and thus the onset of T2DM in mice fed an HFD or with gain-of-function BRSK2 in β cells. These findings reveal that BRSK2 links hyperinsulinemia to systematic insulin resistance via interplay between β cells and insulin-sensitive tissues in the populations carrying human genetic variants or under nutrient-overload conditions.","author":[{"dropping-particle":"","family":"Xu","given":"Rufeng","non-dropping-particle":"","parse-names":false,"suffix":""},{"dropping-particle":"","family":"Wang","given":"Kaiyuan","non-dropping-particle":"","parse-names":false,"suffix":""},{"dropping-particle":"","family":"Yao","given":"Zhengjian","non-dropping-particle":"","parse-names":false,"suffix":""},{"dropping-particle":"","family":"Zhang","given":"Yan","non-dropping-particle":"","parse-names":false,"suffix":""},{"dropping-particle":"","family":"Jin","given":"Li","non-dropping-particle":"","parse-names":false,"suffix":""},{"dropping-particle":"","family":"Pang","given":"Jing","non-dropping-particle":"","parse-names":false,"suffix":""},{"dropping-particle":"","family":"Zhou","given":"Yuncai","non-dropping-particle":"","parse-names":false,"suffix":""},{"dropping-particle":"","family":"Wang","given":"Kai","non-dropping-particle":"","parse-names":false,"suffix":""},{"dropping-particle":"","family":"Liu","given":"Dechen","non-dropping-particle":"","parse-names":false,"suffix":""},{"dropping-particle":"","family":"Zhang","given":"Yaqin","non-dropping-particle":"","parse-names":false,"suffix":""},{"dropping-particle":"","family":"Sun","given":"Peng","non-dropping-particle":"","parse-names":false,"suffix":""},{"dropping-particle":"","family":"Wang","given":"Fuqiang","non-dropping-particle":"","parse-names":false,"suffix":""},{"dropping-particle":"","family":"Chang","given":"Xiaoai","non-dropping-particle":"","parse-names":false,"suffix":""},{"dropping-particle":"","family":"Liu","given":"Tengli","non-dropping-particle":"","parse-names":false,"suffix":""},{"dropping-particle":"","family":"Wang","given":"Shusen","non-dropping-particle":"","parse-names":false,"suffix":""},{"dropping-particle":"","family":"Zhang","given":"Yalin","non-dropping-particle":"","parse-names":false,"suffix":""},{"dropping-particle":"","family":"Lin","given":"Shuyong","non-dropping-particle":"","parse-names":false,"suffix":""},{"dropping-particle":"","family":"Hu","given":"Cheng","non-dropping-particle":"","parse-names":false,"suffix":""},{"dropping-particle":"","family":"Zhu","given":"Yunxia","non-dropping-particle":"","parse-names":false,"suffix":""},{"dropping-particle":"","family":"Han","given":"Xiao","non-dropping-particle":"","parse-names":false,"suffix":""}],"container-title":"Journal of molecular cell biology","id":"ITEM-1","issue":"5","issued":{"date-parts":[["2023","11"]]},"language":"eng","publisher-place":"United States","title":"BRSK2 in pancreatic β cells promotes hyperinsulinemia-coupled insulin resistance  and its genetic variants are associated with human type 2 diabetes.","type":"article-journal","volume":"15"},"uris":["http://www.mendeley.com/documents/?uuid=d6ee558a-f937-3743-8e36-3585b4ae0f79"]}],"mendeley":{"formattedCitation":"&lt;i&gt;(54)&lt;/i&gt;","plainTextFormattedCitation":"(54)","previouslyFormattedCitation":"&lt;i&gt;(54)&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bCs/>
          <w:i/>
          <w:noProof/>
          <w:sz w:val="24"/>
          <w:szCs w:val="24"/>
        </w:rPr>
        <w:t>(54)</w:t>
      </w:r>
      <w:r w:rsidR="00122188" w:rsidRPr="001533EC">
        <w:rPr>
          <w:rStyle w:val="Funotenzeichen"/>
          <w:sz w:val="24"/>
          <w:szCs w:val="24"/>
        </w:rPr>
        <w:fldChar w:fldCharType="end"/>
      </w:r>
      <w:r w:rsidRPr="001533EC">
        <w:rPr>
          <w:sz w:val="24"/>
          <w:szCs w:val="24"/>
        </w:rPr>
        <w:t xml:space="preserve">. </w:t>
      </w:r>
      <w:r w:rsidR="006953F2">
        <w:rPr>
          <w:sz w:val="24"/>
          <w:szCs w:val="24"/>
        </w:rPr>
        <w:t>Of note</w:t>
      </w:r>
      <w:r w:rsidRPr="001533EC">
        <w:rPr>
          <w:sz w:val="24"/>
          <w:szCs w:val="24"/>
        </w:rPr>
        <w:t xml:space="preserve">, in mice an elevated </w:t>
      </w:r>
      <w:r w:rsidRPr="001533EC">
        <w:rPr>
          <w:i/>
          <w:sz w:val="24"/>
          <w:szCs w:val="24"/>
        </w:rPr>
        <w:t>Bsrk2</w:t>
      </w:r>
      <w:r w:rsidRPr="001533EC">
        <w:rPr>
          <w:sz w:val="24"/>
          <w:szCs w:val="24"/>
        </w:rPr>
        <w:t xml:space="preserve"> expression was found before the onset of hyperglycemia and insulin resistance</w:t>
      </w:r>
      <w:r w:rsidR="00B116E6" w:rsidRPr="001533EC">
        <w:rPr>
          <w:sz w:val="24"/>
          <w:szCs w:val="24"/>
        </w:rPr>
        <w:t xml:space="preserve"> </w:t>
      </w:r>
      <w:r w:rsidR="00122188" w:rsidRPr="001533EC">
        <w:rPr>
          <w:rStyle w:val="Funotenzeichen"/>
          <w:sz w:val="24"/>
          <w:szCs w:val="24"/>
        </w:rPr>
        <w:fldChar w:fldCharType="begin" w:fldLock="1"/>
      </w:r>
      <w:r w:rsidR="0017498C">
        <w:rPr>
          <w:sz w:val="24"/>
          <w:szCs w:val="24"/>
        </w:rPr>
        <w:instrText>ADDIN CSL_CITATION {"citationItems":[{"id":"ITEM-1","itemData":{"DOI":"10.1093/jmcb/mjad033","ISSN":"1759-4685 (Electronic)","PMID":"37188647","abstract":"Brain-specific serine/threonine-protein kinase 2 (BRSK2) plays critical roles in  insulin secretion and β-cell biology. However, whether BRSK2 is associated with human type 2 diabetes mellitus (T2DM) has not been determined. Here, we report that BRSK2 genetic variants are closely related to worsening glucose metabolism due to hyperinsulinemia and insulin resistance in the Chinese population. BRSK2 protein levels are significantly elevated in β cells from T2DM patients and high-fat diet (HFD)-fed mice due to enhanced protein stability. Mice with inducible β-cell-specific Brsk2 knockout (βKO) exhibit normal metabolism with a high potential for insulin secretion under chow-diet conditions. Moreover, βKO mice are protected from HFD-induced hyperinsulinemia, obesity, insulin resistance, and glucose intolerance. Conversely, gain-of-function BRSK2 in mature β cells reversibly triggers hyperglycemia due to β-cell hypersecretion-coupled insulin resistance. Mechanistically, BRSK2 senses lipid signals and induces basal insulin secretion in a kinase-dependent manner. The enhanced basal insulin secretion drives insulin resistance and β-cell exhaustion and thus the onset of T2DM in mice fed an HFD or with gain-of-function BRSK2 in β cells. These findings reveal that BRSK2 links hyperinsulinemia to systematic insulin resistance via interplay between β cells and insulin-sensitive tissues in the populations carrying human genetic variants or under nutrient-overload conditions.","author":[{"dropping-particle":"","family":"Xu","given":"Rufeng","non-dropping-particle":"","parse-names":false,"suffix":""},{"dropping-particle":"","family":"Wang","given":"Kaiyuan","non-dropping-particle":"","parse-names":false,"suffix":""},{"dropping-particle":"","family":"Yao","given":"Zhengjian","non-dropping-particle":"","parse-names":false,"suffix":""},{"dropping-particle":"","family":"Zhang","given":"Yan","non-dropping-particle":"","parse-names":false,"suffix":""},{"dropping-particle":"","family":"Jin","given":"Li","non-dropping-particle":"","parse-names":false,"suffix":""},{"dropping-particle":"","family":"Pang","given":"Jing","non-dropping-particle":"","parse-names":false,"suffix":""},{"dropping-particle":"","family":"Zhou","given":"Yuncai","non-dropping-particle":"","parse-names":false,"suffix":""},{"dropping-particle":"","family":"Wang","given":"Kai","non-dropping-particle":"","parse-names":false,"suffix":""},{"dropping-particle":"","family":"Liu","given":"Dechen","non-dropping-particle":"","parse-names":false,"suffix":""},{"dropping-particle":"","family":"Zhang","given":"Yaqin","non-dropping-particle":"","parse-names":false,"suffix":""},{"dropping-particle":"","family":"Sun","given":"Peng","non-dropping-particle":"","parse-names":false,"suffix":""},{"dropping-particle":"","family":"Wang","given":"Fuqiang","non-dropping-particle":"","parse-names":false,"suffix":""},{"dropping-particle":"","family":"Chang","given":"Xiaoai","non-dropping-particle":"","parse-names":false,"suffix":""},{"dropping-particle":"","family":"Liu","given":"Tengli","non-dropping-particle":"","parse-names":false,"suffix":""},{"dropping-particle":"","family":"Wang","given":"Shusen","non-dropping-particle":"","parse-names":false,"suffix":""},{"dropping-particle":"","family":"Zhang","given":"Yalin","non-dropping-particle":"","parse-names":false,"suffix":""},{"dropping-particle":"","family":"Lin","given":"Shuyong","non-dropping-particle":"","parse-names":false,"suffix":""},{"dropping-particle":"","family":"Hu","given":"Cheng","non-dropping-particle":"","parse-names":false,"suffix":""},{"dropping-particle":"","family":"Zhu","given":"Yunxia","non-dropping-particle":"","parse-names":false,"suffix":""},{"dropping-particle":"","family":"Han","given":"Xiao","non-dropping-particle":"","parse-names":false,"suffix":""}],"container-title":"Journal of molecular cell biology","id":"ITEM-1","issue":"5","issued":{"date-parts":[["2023","11"]]},"language":"eng","publisher-place":"United States","title":"BRSK2 in pancreatic β cells promotes hyperinsulinemia-coupled insulin resistance  and its genetic variants are associated with human type 2 diabetes.","type":"article-journal","volume":"15"},"uris":["http://www.mendeley.com/documents/?uuid=d6ee558a-f937-3743-8e36-3585b4ae0f79"]}],"mendeley":{"formattedCitation":"&lt;i&gt;(54)&lt;/i&gt;","plainTextFormattedCitation":"(54)","previouslyFormattedCitation":"&lt;i&gt;(54)&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i/>
          <w:noProof/>
          <w:sz w:val="24"/>
          <w:szCs w:val="24"/>
        </w:rPr>
        <w:t>(54)</w:t>
      </w:r>
      <w:r w:rsidR="00122188" w:rsidRPr="001533EC">
        <w:rPr>
          <w:rStyle w:val="Funotenzeichen"/>
          <w:sz w:val="24"/>
          <w:szCs w:val="24"/>
        </w:rPr>
        <w:fldChar w:fldCharType="end"/>
      </w:r>
      <w:r w:rsidRPr="001533EC">
        <w:rPr>
          <w:sz w:val="24"/>
          <w:szCs w:val="24"/>
        </w:rPr>
        <w:t>. The function of BRSK2 in the human brain remains under investigation. However, previous research shows that BRSK2 deficiency leads to neurodevelopmental disorders and that it is involved in axon growth and extension, neuronal polarization, and plasticity</w:t>
      </w:r>
      <w:r w:rsidR="00B116E6" w:rsidRPr="001533EC">
        <w:rPr>
          <w:sz w:val="24"/>
          <w:szCs w:val="24"/>
        </w:rPr>
        <w:t xml:space="preserve"> </w:t>
      </w:r>
      <w:r w:rsidR="00122188" w:rsidRPr="001533EC">
        <w:rPr>
          <w:rStyle w:val="Funotenzeichen"/>
          <w:sz w:val="24"/>
          <w:szCs w:val="24"/>
        </w:rPr>
        <w:fldChar w:fldCharType="begin" w:fldLock="1"/>
      </w:r>
      <w:r w:rsidR="0017498C">
        <w:rPr>
          <w:sz w:val="24"/>
          <w:szCs w:val="24"/>
        </w:rPr>
        <w:instrText>ADDIN CSL_CITATION {"citationItems":[{"id":"ITEM-1","itemData":{"DOI":"https://doi.org/10.1016/j.cub.2013.07.073","ISSN":"0960-9822","abstract":"Summary The polarity proteins LKB1 and SAD-A/B are key regulators of axon specification in the developing cerebral cortex. Recent studies now show that this mechanism cannot be generalized to other classes of neurons: instead, SAD-A/B functions downstream of neurotrophin signaling in sensory neurons to mediate a later stage of axon development — arborization in the target field.","author":[{"dropping-particle":"","family":"Xing","given":"Lei","non-dropping-particle":"","parse-names":false,"suffix":""},{"dropping-particle":"","family":"Newbern","given":"Jason M.","non-dropping-particle":"","parse-names":false,"suffix":""},{"dropping-particle":"","family":"Snider","given":"William D.","non-dropping-particle":"","parse-names":false,"suffix":""}],"container-title":"Current Biology","id":"ITEM-1","issue":"17","issued":{"date-parts":[["2013"]]},"page":"R720-R723","title":"Neuronal Development: SAD Kinases Make Happy Axons","type":"article-journal","volume":"23"},"uris":["http://www.mendeley.com/documents/?uuid=126ad4ab-7a27-3e05-9658-2fc12e99ee84"]},{"id":"ITEM-2","itemData":{"DOI":"10.1073/pnas.1321990111","ISSN":"1091-6490 (Electronic)","PMID":"24395778","abstract":"Axons develop in a series of steps, beginning with specification, outgrowth, and  arborization, and terminating with formation and maturation of presynaptic specializations. We found previously that the SAD-A and SAD-B kinases are required for axon specification and arborization in subsets of mouse neurons. Here, we show that following these steps, SAD kinases become localized to synaptic sites and are required within presynaptic cells for structural and functional maturation of synapses in both peripheral and central nervous systems. Deleting SADs from sensory neurons can perturb either axonal arborization or nerve terminal maturation, depending on the stage of deletion. Thus, a single pair of kinases plays multiple, sequential roles in axonal differentiation.","author":[{"dropping-particle":"","family":"Lilley","given":"Brendan N","non-dropping-particle":"","parse-names":false,"suffix":""},{"dropping-particle":"","family":"Krishnaswamy","given":"Arjun","non-dropping-particle":"","parse-names":false,"suffix":""},{"dropping-particle":"","family":"Wang","given":"Zhi","non-dropping-particle":"","parse-names":false,"suffix":""},{"dropping-particle":"","family":"Kishi","given":"Masashi","non-dropping-particle":"","parse-names":false,"suffix":""},{"dropping-particle":"","family":"Frank","given":"Eric","non-dropping-particle":"","parse-names":false,"suffix":""},{"dropping-particle":"","family":"Sanes","given":"Joshua R","non-dropping-particle":"","parse-names":false,"suffix":""}],"container-title":"Proceedings of the National Academy of Sciences of the United States of America","id":"ITEM-2","issue":"3","issued":{"date-parts":[["2014","1"]]},"language":"eng","page":"1138-1143","publisher-place":"United States","title":"SAD kinases control the maturation of nerve terminals in the mammalian peripheral  and central nervous systems.","type":"article-journal","volume":"111"},"uris":["http://www.mendeley.com/documents/?uuid=175251eb-542f-48fc-a637-7a54d962d039"]}],"mendeley":{"formattedCitation":"&lt;i&gt;(55, 56)&lt;/i&gt;","plainTextFormattedCitation":"(55, 56)","previouslyFormattedCitation":"&lt;i&gt;(55, 56)&lt;/i&gt;"},"properties":{"noteIndex":0},"schema":"https://github.com/citation-style-language/schema/raw/master/csl-citation.json"}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bCs/>
          <w:i/>
          <w:noProof/>
          <w:sz w:val="24"/>
          <w:szCs w:val="24"/>
        </w:rPr>
        <w:t>(55, 56)</w:t>
      </w:r>
      <w:r w:rsidR="00122188" w:rsidRPr="001533EC">
        <w:rPr>
          <w:rStyle w:val="Funotenzeichen"/>
          <w:sz w:val="24"/>
          <w:szCs w:val="24"/>
        </w:rPr>
        <w:fldChar w:fldCharType="end"/>
      </w:r>
      <w:r w:rsidRPr="001533EC">
        <w:rPr>
          <w:sz w:val="24"/>
          <w:szCs w:val="24"/>
        </w:rPr>
        <w:t xml:space="preserve">. </w:t>
      </w:r>
      <w:r w:rsidRPr="001533EC">
        <w:rPr>
          <w:i/>
          <w:sz w:val="24"/>
          <w:szCs w:val="24"/>
        </w:rPr>
        <w:t>In</w:t>
      </w:r>
      <w:r w:rsidR="00CF748F">
        <w:rPr>
          <w:i/>
          <w:sz w:val="24"/>
          <w:szCs w:val="24"/>
        </w:rPr>
        <w:t xml:space="preserve"> </w:t>
      </w:r>
      <w:r w:rsidRPr="001533EC">
        <w:rPr>
          <w:i/>
          <w:sz w:val="24"/>
          <w:szCs w:val="24"/>
        </w:rPr>
        <w:t>vitro</w:t>
      </w:r>
      <w:r w:rsidRPr="001533EC">
        <w:rPr>
          <w:sz w:val="24"/>
          <w:szCs w:val="24"/>
        </w:rPr>
        <w:t xml:space="preserve"> studies have also demonstrated that endoplasmic reticulum stress induces </w:t>
      </w:r>
      <w:r w:rsidRPr="001533EC">
        <w:rPr>
          <w:i/>
          <w:sz w:val="24"/>
          <w:szCs w:val="24"/>
        </w:rPr>
        <w:t>BRSK2</w:t>
      </w:r>
      <w:r w:rsidRPr="001533EC">
        <w:rPr>
          <w:sz w:val="24"/>
          <w:szCs w:val="24"/>
        </w:rPr>
        <w:t xml:space="preserve"> transcription</w:t>
      </w:r>
      <w:r w:rsidR="00607440" w:rsidRPr="001533EC">
        <w:rPr>
          <w:sz w:val="24"/>
          <w:szCs w:val="24"/>
        </w:rPr>
        <w:t xml:space="preserve"> </w:t>
      </w:r>
      <w:r w:rsidR="00122188" w:rsidRPr="001533EC">
        <w:rPr>
          <w:rStyle w:val="Funotenzeichen"/>
          <w:sz w:val="24"/>
          <w:szCs w:val="24"/>
        </w:rPr>
        <w:fldChar w:fldCharType="begin" w:fldLock="1"/>
      </w:r>
      <w:r w:rsidR="0017498C">
        <w:rPr>
          <w:sz w:val="24"/>
          <w:szCs w:val="24"/>
        </w:rPr>
        <w:instrText>ADDIN CSL_CITATION {"citationItems":[{"id":"ITEM-1","itemData":{"DOI":"https://doi.org/10.1016/j.bbrc.2012.06.046","ISSN":"0006-291X","abstract":"The accumulation of unfolded protein in lumen of the endoplasmic reticulum (ER) triggers a cell stress response called ER stress, which induces the transcriptional up-regulation of a number of proteins, including molecular chaperones and folding enzymes, the global inhibition of protein synthesis, and the activation of apoptotic pathways. The molecular mechanism underlying the apoptotic response has remained largely elusive. AMP activated protein kinase (AMPK) has been implicated in ER stress-induced apoptosis through its role in attenuating ER stress. BRSK2 (brain selective kinase 2, also known as SAD-A) is a serine/threonine kinase of the AMPK family. Here, we demonstrate that the BRSK2 protein levels are significantly down-regulated in response to ER stress in PANC-1 and HeLa cells. Furthermore, we also observed that ER stress induces endogenous BRSK2 to localize to the ER. Importantly, knockdown of endogenous BRSK2 expression enhances ER stress-mediated apoptosis in cells while over express BRSK2 in wild type or kinase-dead type both reduce the apoptosis. BRSK2 knockdown increases the transcription of CHOP and the levels of cleaved caspase-3 in cells in response to ER stress while over expression of BRSK2 decrease CHOP mRNA and levels of cleaved caspase-3. Taken together, our findings demonstrate ER stress may reduce BRSK2 protein and change BRSK2 subcellular localization, which in turn alleviate ER stress-induced apoptosis.","author":[{"dropping-particle":"","family":"Wang","given":"Yingli","non-dropping-particle":"","parse-names":false,"suffix":""},{"dropping-particle":"","family":"Wan","given":"Bo","non-dropping-particle":"","parse-names":false,"suffix":""},{"dropping-particle":"","family":"Li","given":"Dawei","non-dropping-particle":"","parse-names":false,"suffix":""},{"dropping-particle":"","family":"Zhou","given":"Jun","non-dropping-particle":"","parse-names":false,"suffix":""},{"dropping-particle":"","family":"Li","given":"Ruwei","non-dropping-particle":"","parse-names":false,"suffix":""},{"dropping-particle":"","family":"Bai","given":"Meirong","non-dropping-particle":"","parse-names":false,"suffix":""},{"dropping-particle":"","family":"Chen","given":"Fang","non-dropping-particle":"","parse-names":false,"suffix":""},{"dropping-particle":"","family":"Yu","given":"Long","non-dropping-particle":"","parse-names":false,"suffix":""}],"container-title":"Biochemical and Biophysical Research Communications","id":"ITEM-1","issue":"4","issued":{"date-parts":[["2012"]]},"page":"813-818","title":"BRSK2 is regulated by ER stress in protein level and involved in ER stress-induced apoptosis","type":"article-journal","volume":"423"},"uris":["http://www.mendeley.com/documents/?uuid=8aeb8c92-1518-3c89-a119-a734784d8c68"]}],"mendeley":{"formattedCitation":"&lt;i&gt;(57)&lt;/i&gt;","plainTextFormattedCitation":"(57)","previouslyFormattedCitation":"&lt;i&gt;(57)&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i/>
          <w:noProof/>
          <w:sz w:val="24"/>
          <w:szCs w:val="24"/>
        </w:rPr>
        <w:t>(57)</w:t>
      </w:r>
      <w:r w:rsidR="00122188" w:rsidRPr="001533EC">
        <w:rPr>
          <w:rStyle w:val="Funotenzeichen"/>
          <w:sz w:val="24"/>
          <w:szCs w:val="24"/>
        </w:rPr>
        <w:fldChar w:fldCharType="end"/>
      </w:r>
      <w:r w:rsidRPr="001533EC">
        <w:rPr>
          <w:sz w:val="24"/>
          <w:szCs w:val="24"/>
        </w:rPr>
        <w:t xml:space="preserve">. This gene seems to be important for brain function and metabolism. </w:t>
      </w:r>
      <w:r w:rsidR="00DF5D3E" w:rsidRPr="001533EC">
        <w:rPr>
          <w:sz w:val="24"/>
          <w:szCs w:val="24"/>
        </w:rPr>
        <w:t>B</w:t>
      </w:r>
      <w:r w:rsidR="00075987" w:rsidRPr="001533EC">
        <w:rPr>
          <w:sz w:val="24"/>
          <w:szCs w:val="24"/>
        </w:rPr>
        <w:t xml:space="preserve">eside </w:t>
      </w:r>
      <w:r w:rsidR="00075987" w:rsidRPr="001533EC">
        <w:rPr>
          <w:i/>
          <w:sz w:val="24"/>
          <w:szCs w:val="24"/>
        </w:rPr>
        <w:t>BSRK2</w:t>
      </w:r>
      <w:r w:rsidR="00DF5D3E" w:rsidRPr="001533EC">
        <w:rPr>
          <w:sz w:val="24"/>
          <w:szCs w:val="24"/>
          <w:lang w:val="en-GB"/>
        </w:rPr>
        <w:t>,</w:t>
      </w:r>
      <w:r w:rsidR="004E0E29" w:rsidRPr="001533EC">
        <w:rPr>
          <w:sz w:val="24"/>
          <w:szCs w:val="24"/>
          <w:lang w:val="en-GB"/>
        </w:rPr>
        <w:t xml:space="preserve"> </w:t>
      </w:r>
      <w:r w:rsidR="00DF5D3E" w:rsidRPr="001533EC">
        <w:rPr>
          <w:sz w:val="24"/>
          <w:szCs w:val="24"/>
          <w:lang w:val="en-GB"/>
        </w:rPr>
        <w:t xml:space="preserve">few </w:t>
      </w:r>
      <w:r w:rsidR="001F46DD" w:rsidRPr="001533EC">
        <w:rPr>
          <w:sz w:val="24"/>
          <w:szCs w:val="24"/>
          <w:lang w:val="en-GB"/>
        </w:rPr>
        <w:t>methylation markers</w:t>
      </w:r>
      <w:r w:rsidR="00DF5D3E" w:rsidRPr="001533EC">
        <w:rPr>
          <w:sz w:val="24"/>
          <w:szCs w:val="24"/>
          <w:lang w:val="en-GB"/>
        </w:rPr>
        <w:t xml:space="preserve"> were located in genes </w:t>
      </w:r>
      <w:r w:rsidR="00DF5D3E" w:rsidRPr="001533EC">
        <w:rPr>
          <w:sz w:val="24"/>
          <w:szCs w:val="24"/>
          <w:lang w:val="en-GB"/>
        </w:rPr>
        <w:lastRenderedPageBreak/>
        <w:t>related to either TAU phosphorylation (</w:t>
      </w:r>
      <w:r w:rsidR="00DF5D3E" w:rsidRPr="001533EC">
        <w:rPr>
          <w:i/>
          <w:sz w:val="24"/>
          <w:szCs w:val="24"/>
          <w:lang w:val="en-GB"/>
        </w:rPr>
        <w:t>MAP1S</w:t>
      </w:r>
      <w:r w:rsidR="00DF5D3E" w:rsidRPr="001533EC">
        <w:rPr>
          <w:sz w:val="24"/>
          <w:szCs w:val="24"/>
          <w:lang w:val="en-GB"/>
        </w:rPr>
        <w:t xml:space="preserve">, </w:t>
      </w:r>
      <w:r w:rsidR="00DF5D3E" w:rsidRPr="001533EC">
        <w:rPr>
          <w:i/>
          <w:sz w:val="24"/>
          <w:szCs w:val="24"/>
          <w:lang w:val="en-GB"/>
        </w:rPr>
        <w:t>DDX5</w:t>
      </w:r>
      <w:r w:rsidR="00DF5D3E" w:rsidRPr="001533EC">
        <w:rPr>
          <w:sz w:val="24"/>
          <w:szCs w:val="24"/>
          <w:lang w:val="en-GB"/>
        </w:rPr>
        <w:t xml:space="preserve">, </w:t>
      </w:r>
      <w:r w:rsidR="00DF5D3E" w:rsidRPr="001533EC">
        <w:rPr>
          <w:i/>
          <w:sz w:val="24"/>
          <w:szCs w:val="24"/>
          <w:lang w:val="en-GB"/>
        </w:rPr>
        <w:t>CLK4,</w:t>
      </w:r>
      <w:r w:rsidR="00DF5D3E" w:rsidRPr="001533EC">
        <w:rPr>
          <w:sz w:val="24"/>
          <w:szCs w:val="24"/>
          <w:lang w:val="en-GB"/>
        </w:rPr>
        <w:t xml:space="preserve"> and </w:t>
      </w:r>
      <w:r w:rsidR="00DF5D3E" w:rsidRPr="001533EC">
        <w:rPr>
          <w:i/>
          <w:sz w:val="24"/>
          <w:szCs w:val="24"/>
          <w:lang w:val="en-GB"/>
        </w:rPr>
        <w:t>AP3D1</w:t>
      </w:r>
      <w:r w:rsidR="00DF5D3E" w:rsidRPr="001533EC">
        <w:rPr>
          <w:sz w:val="24"/>
          <w:szCs w:val="24"/>
          <w:lang w:val="en-GB"/>
        </w:rPr>
        <w:t>) or amyloid metabolism</w:t>
      </w:r>
      <w:r w:rsidR="004E0E29" w:rsidRPr="001533EC">
        <w:rPr>
          <w:sz w:val="24"/>
          <w:szCs w:val="24"/>
          <w:lang w:val="en-GB"/>
        </w:rPr>
        <w:t>. All in all,</w:t>
      </w:r>
      <w:r w:rsidR="00DF5D3E" w:rsidRPr="001533EC">
        <w:rPr>
          <w:sz w:val="24"/>
          <w:szCs w:val="24"/>
          <w:lang w:val="en-GB"/>
        </w:rPr>
        <w:t xml:space="preserve"> </w:t>
      </w:r>
      <w:r w:rsidR="00075987" w:rsidRPr="001533EC">
        <w:rPr>
          <w:sz w:val="24"/>
          <w:szCs w:val="24"/>
        </w:rPr>
        <w:t>we did not find a strong overlap of epigenetic markers classifying BIR and neurodegenerative disease</w:t>
      </w:r>
      <w:r w:rsidR="007B60C2">
        <w:rPr>
          <w:sz w:val="24"/>
          <w:szCs w:val="24"/>
        </w:rPr>
        <w:t xml:space="preserve"> (</w:t>
      </w:r>
      <w:r w:rsidR="00D70846">
        <w:rPr>
          <w:sz w:val="24"/>
          <w:szCs w:val="24"/>
        </w:rPr>
        <w:t>Table S6</w:t>
      </w:r>
      <w:r w:rsidR="007B60C2">
        <w:rPr>
          <w:sz w:val="24"/>
          <w:szCs w:val="24"/>
        </w:rPr>
        <w:t>)</w:t>
      </w:r>
      <w:r w:rsidR="00075987" w:rsidRPr="001533EC">
        <w:rPr>
          <w:sz w:val="24"/>
          <w:szCs w:val="24"/>
        </w:rPr>
        <w:t>.</w:t>
      </w:r>
      <w:r w:rsidR="00615962" w:rsidRPr="001533EC">
        <w:rPr>
          <w:sz w:val="24"/>
          <w:szCs w:val="24"/>
        </w:rPr>
        <w:t xml:space="preserve"> </w:t>
      </w:r>
      <w:r w:rsidR="00075987" w:rsidRPr="001533EC">
        <w:rPr>
          <w:sz w:val="24"/>
          <w:szCs w:val="24"/>
        </w:rPr>
        <w:t xml:space="preserve">Up to now, </w:t>
      </w:r>
      <w:r w:rsidR="005405A9" w:rsidRPr="001533EC">
        <w:rPr>
          <w:sz w:val="24"/>
          <w:szCs w:val="24"/>
        </w:rPr>
        <w:t>we only can speculate that BIR i</w:t>
      </w:r>
      <w:r w:rsidR="00075987" w:rsidRPr="001533EC">
        <w:rPr>
          <w:sz w:val="24"/>
          <w:szCs w:val="24"/>
        </w:rPr>
        <w:t xml:space="preserve">s a risk factor of </w:t>
      </w:r>
      <w:r w:rsidR="005405A9" w:rsidRPr="001533EC">
        <w:rPr>
          <w:sz w:val="24"/>
          <w:szCs w:val="24"/>
        </w:rPr>
        <w:t xml:space="preserve">later </w:t>
      </w:r>
      <w:r w:rsidR="00075987" w:rsidRPr="001533EC">
        <w:rPr>
          <w:sz w:val="24"/>
          <w:szCs w:val="24"/>
        </w:rPr>
        <w:t>neurodegenerative disease and if so</w:t>
      </w:r>
      <w:r w:rsidR="00490041" w:rsidRPr="001533EC">
        <w:rPr>
          <w:sz w:val="24"/>
          <w:szCs w:val="24"/>
        </w:rPr>
        <w:t>,</w:t>
      </w:r>
      <w:r w:rsidR="00075987" w:rsidRPr="001533EC">
        <w:rPr>
          <w:sz w:val="24"/>
          <w:szCs w:val="24"/>
        </w:rPr>
        <w:t xml:space="preserve"> </w:t>
      </w:r>
      <w:r w:rsidR="005405A9" w:rsidRPr="001533EC">
        <w:rPr>
          <w:sz w:val="24"/>
          <w:szCs w:val="24"/>
        </w:rPr>
        <w:t xml:space="preserve">we do not know </w:t>
      </w:r>
      <w:r w:rsidR="00075987" w:rsidRPr="001533EC">
        <w:rPr>
          <w:sz w:val="24"/>
          <w:szCs w:val="24"/>
        </w:rPr>
        <w:t>if changes in the DNA methylation pattern</w:t>
      </w:r>
      <w:r w:rsidR="006723BF">
        <w:rPr>
          <w:sz w:val="24"/>
          <w:szCs w:val="24"/>
        </w:rPr>
        <w:t>,</w:t>
      </w:r>
      <w:r w:rsidR="00075987" w:rsidRPr="001533EC">
        <w:rPr>
          <w:sz w:val="24"/>
          <w:szCs w:val="24"/>
        </w:rPr>
        <w:t xml:space="preserve"> </w:t>
      </w:r>
      <w:r w:rsidR="005405A9" w:rsidRPr="001533EC">
        <w:rPr>
          <w:sz w:val="24"/>
          <w:szCs w:val="24"/>
        </w:rPr>
        <w:t>which are present in the state of BIR</w:t>
      </w:r>
      <w:r w:rsidR="006723BF">
        <w:rPr>
          <w:sz w:val="24"/>
          <w:szCs w:val="24"/>
        </w:rPr>
        <w:t>,</w:t>
      </w:r>
      <w:r w:rsidR="005405A9" w:rsidRPr="001533EC">
        <w:rPr>
          <w:sz w:val="24"/>
          <w:szCs w:val="24"/>
        </w:rPr>
        <w:t xml:space="preserve"> are</w:t>
      </w:r>
      <w:r w:rsidR="00075987" w:rsidRPr="001533EC">
        <w:rPr>
          <w:sz w:val="24"/>
          <w:szCs w:val="24"/>
        </w:rPr>
        <w:t xml:space="preserve"> stable until symptoms of Alzheimer occur</w:t>
      </w:r>
      <w:r w:rsidR="005405A9" w:rsidRPr="001533EC">
        <w:rPr>
          <w:sz w:val="24"/>
          <w:szCs w:val="24"/>
        </w:rPr>
        <w:t>.</w:t>
      </w:r>
      <w:r w:rsidR="00965945">
        <w:rPr>
          <w:sz w:val="24"/>
          <w:szCs w:val="24"/>
        </w:rPr>
        <w:t xml:space="preserve"> </w:t>
      </w:r>
      <w:r w:rsidR="00965945" w:rsidRPr="00D35F54">
        <w:rPr>
          <w:sz w:val="24"/>
          <w:szCs w:val="24"/>
        </w:rPr>
        <w:t xml:space="preserve">To test this hypothesis, we will assess the complex interplay between BIR, metabolic and cognitive functions in longitudinal design in the future. Thereby, we will test the capacity of 540 </w:t>
      </w:r>
      <w:proofErr w:type="spellStart"/>
      <w:r w:rsidR="00965945" w:rsidRPr="00D35F54">
        <w:rPr>
          <w:sz w:val="24"/>
          <w:szCs w:val="24"/>
        </w:rPr>
        <w:t>CpGs</w:t>
      </w:r>
      <w:proofErr w:type="spellEnd"/>
      <w:r w:rsidR="00965945" w:rsidRPr="00D35F54">
        <w:rPr>
          <w:sz w:val="24"/>
          <w:szCs w:val="24"/>
        </w:rPr>
        <w:t xml:space="preserve"> classifiers to predict the development of </w:t>
      </w:r>
      <w:r w:rsidR="00D35F54" w:rsidRPr="00D35F54">
        <w:rPr>
          <w:sz w:val="24"/>
          <w:szCs w:val="24"/>
        </w:rPr>
        <w:t xml:space="preserve">impaired glucose metabolism and </w:t>
      </w:r>
      <w:r w:rsidR="00965945" w:rsidRPr="00D35F54">
        <w:rPr>
          <w:sz w:val="24"/>
          <w:szCs w:val="24"/>
        </w:rPr>
        <w:t>cognitive decline.</w:t>
      </w:r>
    </w:p>
    <w:p w14:paraId="06B3C816" w14:textId="0DEB1546" w:rsidR="00C35B7A" w:rsidRPr="001533EC" w:rsidRDefault="00C35B7A" w:rsidP="00C35B7A">
      <w:pPr>
        <w:spacing w:line="480" w:lineRule="auto"/>
        <w:jc w:val="both"/>
        <w:rPr>
          <w:sz w:val="24"/>
          <w:szCs w:val="24"/>
          <w:lang w:val="en-GB"/>
        </w:rPr>
      </w:pPr>
      <w:r w:rsidRPr="001533EC">
        <w:rPr>
          <w:sz w:val="24"/>
          <w:szCs w:val="24"/>
        </w:rPr>
        <w:t>This study has limitations.</w:t>
      </w:r>
      <w:r w:rsidR="000C1B76" w:rsidRPr="001533EC">
        <w:rPr>
          <w:sz w:val="24"/>
          <w:szCs w:val="24"/>
          <w:lang w:val="en-GB"/>
        </w:rPr>
        <w:t xml:space="preserve"> </w:t>
      </w:r>
      <w:r w:rsidRPr="001533EC">
        <w:rPr>
          <w:sz w:val="24"/>
          <w:szCs w:val="24"/>
        </w:rPr>
        <w:t>The cohort size of the present study was limited to 167 individuals. Machine learning usually performs better with higher statistical power, however, as brain insulin resistance is not routinely investigated in the clinics, achieving a higher number of participants as in the present study is challenging. To overcome the small sample size and to stabilize the features (</w:t>
      </w:r>
      <w:proofErr w:type="spellStart"/>
      <w:r w:rsidRPr="001533EC">
        <w:rPr>
          <w:sz w:val="24"/>
          <w:szCs w:val="24"/>
        </w:rPr>
        <w:t>CpGs</w:t>
      </w:r>
      <w:proofErr w:type="spellEnd"/>
      <w:r w:rsidRPr="001533EC">
        <w:rPr>
          <w:sz w:val="24"/>
          <w:szCs w:val="24"/>
        </w:rPr>
        <w:t xml:space="preserve">), a multi-fold cross-validated E-net was performed. </w:t>
      </w:r>
      <w:r w:rsidR="008F0D83">
        <w:rPr>
          <w:sz w:val="24"/>
          <w:szCs w:val="24"/>
          <w:lang w:val="en-GB"/>
        </w:rPr>
        <w:t>Additionally, whereas</w:t>
      </w:r>
      <w:r w:rsidR="001C1601" w:rsidRPr="001533EC">
        <w:rPr>
          <w:sz w:val="24"/>
          <w:szCs w:val="24"/>
          <w:lang w:val="en-GB"/>
        </w:rPr>
        <w:t xml:space="preserve"> the EPIC array covers a broad range of CpG sites, </w:t>
      </w:r>
      <w:r w:rsidR="00890D43" w:rsidRPr="001533EC">
        <w:rPr>
          <w:sz w:val="24"/>
          <w:szCs w:val="24"/>
          <w:lang w:val="en-GB"/>
        </w:rPr>
        <w:t>d</w:t>
      </w:r>
      <w:r w:rsidR="001C1601" w:rsidRPr="001533EC">
        <w:rPr>
          <w:sz w:val="24"/>
          <w:szCs w:val="24"/>
          <w:lang w:val="en-GB"/>
        </w:rPr>
        <w:t>irect methylation sequencing</w:t>
      </w:r>
      <w:r w:rsidR="000D03A3" w:rsidRPr="001533EC">
        <w:rPr>
          <w:sz w:val="24"/>
          <w:szCs w:val="24"/>
          <w:lang w:val="en-GB"/>
        </w:rPr>
        <w:t>, which is more cost intensive,</w:t>
      </w:r>
      <w:r w:rsidR="001C1601" w:rsidRPr="001533EC">
        <w:rPr>
          <w:sz w:val="24"/>
          <w:szCs w:val="24"/>
          <w:lang w:val="en-GB"/>
        </w:rPr>
        <w:t xml:space="preserve"> offers </w:t>
      </w:r>
      <w:r w:rsidR="00490041" w:rsidRPr="001533EC">
        <w:rPr>
          <w:sz w:val="24"/>
          <w:szCs w:val="24"/>
          <w:lang w:val="en-GB"/>
        </w:rPr>
        <w:t>further</w:t>
      </w:r>
      <w:r w:rsidR="001C1601" w:rsidRPr="001533EC">
        <w:rPr>
          <w:sz w:val="24"/>
          <w:szCs w:val="24"/>
          <w:lang w:val="en-GB"/>
        </w:rPr>
        <w:t xml:space="preserve"> comprehensive and unbiased view of the methylome, including non-CpG methylation and regions not covered by the array. However, the array's ability to detect differential methylation with high sensitivity and specificity makes it a valuable tool for identifying epigenetic signatures associated with complex traits such as </w:t>
      </w:r>
      <w:r w:rsidR="001C1601" w:rsidRPr="00210B28">
        <w:rPr>
          <w:sz w:val="24"/>
          <w:szCs w:val="24"/>
          <w:lang w:val="en-GB"/>
        </w:rPr>
        <w:t xml:space="preserve">BIR. Future research could benefit from combining array-based screening with targeted </w:t>
      </w:r>
      <w:r w:rsidR="00835178" w:rsidRPr="00210B28">
        <w:rPr>
          <w:sz w:val="24"/>
          <w:szCs w:val="24"/>
          <w:lang w:val="en-GB"/>
        </w:rPr>
        <w:t xml:space="preserve">enzymatic </w:t>
      </w:r>
      <w:r w:rsidR="001C1601" w:rsidRPr="00210B28">
        <w:rPr>
          <w:sz w:val="24"/>
          <w:szCs w:val="24"/>
          <w:lang w:val="en-GB"/>
        </w:rPr>
        <w:t>sequencing of</w:t>
      </w:r>
      <w:r w:rsidR="001C1601" w:rsidRPr="001533EC">
        <w:rPr>
          <w:sz w:val="24"/>
          <w:szCs w:val="24"/>
          <w:lang w:val="en-GB"/>
        </w:rPr>
        <w:t xml:space="preserve"> key regions identified in this study.</w:t>
      </w:r>
      <w:r w:rsidR="00835178">
        <w:rPr>
          <w:sz w:val="24"/>
          <w:szCs w:val="24"/>
          <w:lang w:val="en-GB"/>
        </w:rPr>
        <w:t xml:space="preserve"> </w:t>
      </w:r>
      <w:r w:rsidR="00835178" w:rsidRPr="00210B28">
        <w:rPr>
          <w:sz w:val="24"/>
          <w:szCs w:val="24"/>
          <w:lang w:val="en-GB"/>
        </w:rPr>
        <w:t>Results from such pilot study showed reproducible and promising results</w:t>
      </w:r>
      <w:r w:rsidR="001C1601" w:rsidRPr="00210B28">
        <w:rPr>
          <w:sz w:val="24"/>
          <w:szCs w:val="24"/>
          <w:lang w:val="en-GB"/>
        </w:rPr>
        <w:t xml:space="preserve"> </w:t>
      </w:r>
      <w:r w:rsidR="00A63B9D" w:rsidRPr="00210B28">
        <w:rPr>
          <w:sz w:val="24"/>
          <w:szCs w:val="24"/>
          <w:lang w:val="en-GB"/>
        </w:rPr>
        <w:t xml:space="preserve">and </w:t>
      </w:r>
      <w:r w:rsidR="001C1601" w:rsidRPr="00210B28">
        <w:rPr>
          <w:sz w:val="24"/>
          <w:szCs w:val="24"/>
          <w:lang w:val="en-GB"/>
        </w:rPr>
        <w:t>provide</w:t>
      </w:r>
      <w:r w:rsidR="00A63B9D" w:rsidRPr="00210B28">
        <w:rPr>
          <w:sz w:val="24"/>
          <w:szCs w:val="24"/>
          <w:lang w:val="en-GB"/>
        </w:rPr>
        <w:t>d</w:t>
      </w:r>
      <w:r w:rsidR="001C1601" w:rsidRPr="00210B28">
        <w:rPr>
          <w:sz w:val="24"/>
          <w:szCs w:val="24"/>
          <w:lang w:val="en-GB"/>
        </w:rPr>
        <w:t xml:space="preserve"> deeper insights into the methylation landscape</w:t>
      </w:r>
      <w:r w:rsidR="00A63B9D" w:rsidRPr="00210B28">
        <w:rPr>
          <w:sz w:val="24"/>
          <w:szCs w:val="24"/>
          <w:lang w:val="en-GB"/>
        </w:rPr>
        <w:t xml:space="preserve"> -not captured by the arrays-</w:t>
      </w:r>
      <w:r w:rsidR="001C1601" w:rsidRPr="00210B28">
        <w:rPr>
          <w:sz w:val="24"/>
          <w:szCs w:val="24"/>
          <w:lang w:val="en-GB"/>
        </w:rPr>
        <w:t xml:space="preserve"> and validate the findings at a higher resolution. </w:t>
      </w:r>
      <w:r w:rsidR="00745292" w:rsidRPr="00210B28">
        <w:rPr>
          <w:sz w:val="24"/>
          <w:szCs w:val="24"/>
          <w:lang w:val="en-GB"/>
        </w:rPr>
        <w:t>B</w:t>
      </w:r>
      <w:r w:rsidRPr="00210B28">
        <w:rPr>
          <w:sz w:val="24"/>
          <w:szCs w:val="24"/>
          <w:lang w:val="en-GB"/>
        </w:rPr>
        <w:t>rain insulin resistance is a difficult-to-measure phenotype</w:t>
      </w:r>
      <w:r w:rsidRPr="001533EC">
        <w:rPr>
          <w:sz w:val="24"/>
          <w:szCs w:val="24"/>
          <w:lang w:val="en-GB"/>
        </w:rPr>
        <w:t xml:space="preserve"> and </w:t>
      </w:r>
      <w:r w:rsidR="004A507A" w:rsidRPr="001533EC">
        <w:rPr>
          <w:sz w:val="24"/>
          <w:szCs w:val="24"/>
          <w:lang w:val="en-GB"/>
        </w:rPr>
        <w:t>its</w:t>
      </w:r>
      <w:r w:rsidR="00745292" w:rsidRPr="001533EC">
        <w:rPr>
          <w:sz w:val="24"/>
          <w:szCs w:val="24"/>
          <w:lang w:val="en-GB"/>
        </w:rPr>
        <w:t xml:space="preserve"> </w:t>
      </w:r>
      <w:r w:rsidR="00B6249B" w:rsidRPr="001533EC">
        <w:rPr>
          <w:sz w:val="24"/>
          <w:szCs w:val="24"/>
          <w:lang w:val="en-GB"/>
        </w:rPr>
        <w:t>classification</w:t>
      </w:r>
      <w:r w:rsidR="00745292" w:rsidRPr="001533EC">
        <w:rPr>
          <w:sz w:val="24"/>
          <w:szCs w:val="24"/>
          <w:lang w:val="en-GB"/>
        </w:rPr>
        <w:t xml:space="preserve"> depends on the implemented methods</w:t>
      </w:r>
      <w:r w:rsidR="004A507A" w:rsidRPr="001533EC">
        <w:rPr>
          <w:sz w:val="24"/>
          <w:szCs w:val="24"/>
          <w:lang w:val="en-GB"/>
        </w:rPr>
        <w:t>. Moreover, the</w:t>
      </w:r>
      <w:r w:rsidRPr="001533EC">
        <w:rPr>
          <w:sz w:val="24"/>
          <w:szCs w:val="24"/>
          <w:lang w:val="en-GB"/>
        </w:rPr>
        <w:t xml:space="preserve"> molecular and pathological differences might be present only at the tissue level. </w:t>
      </w:r>
      <w:r w:rsidR="00492591">
        <w:rPr>
          <w:sz w:val="24"/>
          <w:szCs w:val="24"/>
          <w:lang w:val="en-GB"/>
        </w:rPr>
        <w:t>Although our</w:t>
      </w:r>
      <w:r w:rsidR="00303846" w:rsidRPr="001533EC">
        <w:rPr>
          <w:sz w:val="24"/>
          <w:szCs w:val="24"/>
          <w:lang w:val="en-GB"/>
        </w:rPr>
        <w:t xml:space="preserve"> study identifies potential biomarkers, the exact molecular </w:t>
      </w:r>
      <w:r w:rsidR="00303846" w:rsidRPr="001533EC">
        <w:rPr>
          <w:sz w:val="24"/>
          <w:szCs w:val="24"/>
          <w:lang w:val="en-GB"/>
        </w:rPr>
        <w:lastRenderedPageBreak/>
        <w:t xml:space="preserve">mechanisms by which these epigenetic changes contribute to BIR remain to be fully elucidated. </w:t>
      </w:r>
      <w:r w:rsidR="00294202" w:rsidRPr="001533EC">
        <w:rPr>
          <w:sz w:val="24"/>
          <w:szCs w:val="24"/>
          <w:lang w:val="en-GB"/>
        </w:rPr>
        <w:t xml:space="preserve">Longitudinal studies </w:t>
      </w:r>
      <w:r w:rsidR="0059117E" w:rsidRPr="001533EC">
        <w:rPr>
          <w:sz w:val="24"/>
          <w:szCs w:val="24"/>
          <w:lang w:val="en-GB"/>
        </w:rPr>
        <w:t xml:space="preserve">are </w:t>
      </w:r>
      <w:r w:rsidR="00294202" w:rsidRPr="001533EC">
        <w:rPr>
          <w:sz w:val="24"/>
          <w:szCs w:val="24"/>
          <w:lang w:val="en-GB"/>
        </w:rPr>
        <w:t>need</w:t>
      </w:r>
      <w:r w:rsidR="0059117E" w:rsidRPr="001533EC">
        <w:rPr>
          <w:sz w:val="24"/>
          <w:szCs w:val="24"/>
          <w:lang w:val="en-GB"/>
        </w:rPr>
        <w:t>ed</w:t>
      </w:r>
      <w:r w:rsidR="00294202" w:rsidRPr="001533EC">
        <w:rPr>
          <w:sz w:val="24"/>
          <w:szCs w:val="24"/>
          <w:lang w:val="en-GB"/>
        </w:rPr>
        <w:t xml:space="preserve"> to evaluate whether the identified </w:t>
      </w:r>
      <w:proofErr w:type="spellStart"/>
      <w:r w:rsidR="00294202" w:rsidRPr="001533EC">
        <w:rPr>
          <w:sz w:val="24"/>
          <w:szCs w:val="24"/>
          <w:lang w:val="en-GB"/>
        </w:rPr>
        <w:t>CpGs</w:t>
      </w:r>
      <w:proofErr w:type="spellEnd"/>
      <w:r w:rsidR="00294202" w:rsidRPr="001533EC">
        <w:rPr>
          <w:sz w:val="24"/>
          <w:szCs w:val="24"/>
          <w:lang w:val="en-GB"/>
        </w:rPr>
        <w:t xml:space="preserve"> contribute to the progression of brain insulin resistance. </w:t>
      </w:r>
      <w:r w:rsidR="00A63B9D" w:rsidRPr="00A43926">
        <w:rPr>
          <w:sz w:val="24"/>
          <w:szCs w:val="24"/>
          <w:lang w:val="en-GB"/>
        </w:rPr>
        <w:t>Additional functional studies will be needed in the future to establish causality. Although the identified CpG classifiers are biologically plausible and enriched for neuronal pathways, direct experimental validation of their functional consequences</w:t>
      </w:r>
      <w:r w:rsidR="006723BF">
        <w:rPr>
          <w:sz w:val="24"/>
          <w:szCs w:val="24"/>
          <w:lang w:val="en-GB"/>
        </w:rPr>
        <w:t>-</w:t>
      </w:r>
      <w:r w:rsidR="00A63B9D" w:rsidRPr="00A43926">
        <w:rPr>
          <w:sz w:val="24"/>
          <w:szCs w:val="24"/>
          <w:lang w:val="en-GB"/>
        </w:rPr>
        <w:t>such as gene expression modulation in neuronal cells or animal models</w:t>
      </w:r>
      <w:r w:rsidR="006723BF">
        <w:rPr>
          <w:sz w:val="24"/>
          <w:szCs w:val="24"/>
          <w:lang w:val="en-GB"/>
        </w:rPr>
        <w:t>-</w:t>
      </w:r>
      <w:r w:rsidR="00A63B9D" w:rsidRPr="00A43926">
        <w:rPr>
          <w:sz w:val="24"/>
          <w:szCs w:val="24"/>
          <w:lang w:val="en-GB"/>
        </w:rPr>
        <w:t xml:space="preserve">is warranted in future studies. </w:t>
      </w:r>
      <w:r w:rsidR="001A2E8C" w:rsidRPr="00A43926">
        <w:rPr>
          <w:sz w:val="24"/>
          <w:szCs w:val="24"/>
          <w:lang w:val="en-GB"/>
        </w:rPr>
        <w:t>Moreover</w:t>
      </w:r>
      <w:r w:rsidRPr="00A43926">
        <w:rPr>
          <w:sz w:val="24"/>
          <w:szCs w:val="24"/>
          <w:lang w:val="en-GB"/>
        </w:rPr>
        <w:t>, it remains</w:t>
      </w:r>
      <w:r w:rsidRPr="001533EC">
        <w:rPr>
          <w:sz w:val="24"/>
          <w:szCs w:val="24"/>
          <w:lang w:val="en-GB"/>
        </w:rPr>
        <w:t xml:space="preserve"> a challenge to collect brain biopsies from living individuals. This limitation was addressed using the publicly available datasets and demonstrated that several candidates showed strong blood-brain correlations.</w:t>
      </w:r>
      <w:r w:rsidR="00E53AD4" w:rsidRPr="001533EC">
        <w:rPr>
          <w:sz w:val="24"/>
          <w:szCs w:val="24"/>
          <w:lang w:val="en-GB"/>
        </w:rPr>
        <w:t xml:space="preserve"> </w:t>
      </w:r>
    </w:p>
    <w:p w14:paraId="26BE1238" w14:textId="77777777" w:rsidR="00C361F6" w:rsidRPr="001533EC" w:rsidRDefault="00C361F6" w:rsidP="00C35B7A">
      <w:pPr>
        <w:spacing w:line="480" w:lineRule="auto"/>
        <w:jc w:val="both"/>
        <w:rPr>
          <w:b/>
          <w:sz w:val="24"/>
          <w:szCs w:val="24"/>
          <w:lang w:val="en-GB"/>
        </w:rPr>
      </w:pPr>
    </w:p>
    <w:p w14:paraId="5AA40DB9" w14:textId="6DB5C9F8" w:rsidR="00C361F6" w:rsidRPr="001533EC" w:rsidRDefault="00BA44AF" w:rsidP="00132A60">
      <w:pPr>
        <w:spacing w:line="480" w:lineRule="auto"/>
        <w:jc w:val="both"/>
        <w:rPr>
          <w:b/>
          <w:sz w:val="24"/>
          <w:szCs w:val="24"/>
        </w:rPr>
      </w:pPr>
      <w:r>
        <w:rPr>
          <w:sz w:val="24"/>
          <w:lang w:val="en-GB"/>
        </w:rPr>
        <w:t>In conclusion, we</w:t>
      </w:r>
      <w:r w:rsidR="00C35B7A" w:rsidRPr="001533EC">
        <w:rPr>
          <w:sz w:val="24"/>
          <w:lang w:val="en-GB"/>
        </w:rPr>
        <w:t xml:space="preserve"> show</w:t>
      </w:r>
      <w:r>
        <w:rPr>
          <w:sz w:val="24"/>
          <w:lang w:val="en-GB"/>
        </w:rPr>
        <w:t>ed</w:t>
      </w:r>
      <w:r w:rsidR="00C35B7A" w:rsidRPr="001533EC">
        <w:rPr>
          <w:sz w:val="24"/>
          <w:lang w:val="en-GB"/>
        </w:rPr>
        <w:t xml:space="preserve"> that </w:t>
      </w:r>
      <w:r w:rsidR="00C35B7A" w:rsidRPr="001533EC">
        <w:rPr>
          <w:sz w:val="24"/>
          <w:szCs w:val="24"/>
          <w:lang w:val="en-GB"/>
        </w:rPr>
        <w:t xml:space="preserve">the </w:t>
      </w:r>
      <w:r w:rsidR="00C35B7A" w:rsidRPr="001533EC">
        <w:rPr>
          <w:sz w:val="24"/>
          <w:lang w:val="en-GB"/>
        </w:rPr>
        <w:t xml:space="preserve">circulating epigenetic signature </w:t>
      </w:r>
      <w:r w:rsidR="00934294">
        <w:rPr>
          <w:sz w:val="24"/>
          <w:lang w:val="en-GB"/>
        </w:rPr>
        <w:t>classifies</w:t>
      </w:r>
      <w:r w:rsidR="00934294" w:rsidRPr="001533EC">
        <w:rPr>
          <w:sz w:val="24"/>
          <w:lang w:val="en-GB"/>
        </w:rPr>
        <w:t xml:space="preserve"> </w:t>
      </w:r>
      <w:r w:rsidR="00C35B7A" w:rsidRPr="001533EC">
        <w:rPr>
          <w:sz w:val="24"/>
          <w:lang w:val="en-GB"/>
        </w:rPr>
        <w:t xml:space="preserve">the status of brain insulin responsiveness using a robust and stable machine learning approach. Our results suggest that whole blood DNA methylation </w:t>
      </w:r>
      <w:r w:rsidR="004761DE" w:rsidRPr="001533EC">
        <w:rPr>
          <w:sz w:val="24"/>
          <w:lang w:val="en-GB"/>
        </w:rPr>
        <w:t xml:space="preserve">patterns </w:t>
      </w:r>
      <w:r w:rsidR="00C35B7A" w:rsidRPr="001533EC">
        <w:rPr>
          <w:sz w:val="24"/>
          <w:lang w:val="en-GB"/>
        </w:rPr>
        <w:t>mirror the brain epigenetic landscape</w:t>
      </w:r>
      <w:r w:rsidR="00C35B7A" w:rsidRPr="001533EC">
        <w:rPr>
          <w:sz w:val="24"/>
          <w:szCs w:val="24"/>
          <w:lang w:val="en-GB"/>
        </w:rPr>
        <w:t>, which reflects</w:t>
      </w:r>
      <w:r w:rsidR="00C35B7A" w:rsidRPr="001533EC">
        <w:rPr>
          <w:sz w:val="24"/>
          <w:szCs w:val="24"/>
        </w:rPr>
        <w:t xml:space="preserve"> brain insulin resistance.</w:t>
      </w:r>
      <w:r w:rsidR="00C35B7A" w:rsidRPr="001533EC">
        <w:t xml:space="preserve"> </w:t>
      </w:r>
      <w:r w:rsidR="00C35B7A" w:rsidRPr="001533EC">
        <w:rPr>
          <w:sz w:val="24"/>
          <w:szCs w:val="24"/>
        </w:rPr>
        <w:t xml:space="preserve">These findings </w:t>
      </w:r>
      <w:r w:rsidR="00410729">
        <w:rPr>
          <w:sz w:val="24"/>
          <w:szCs w:val="24"/>
        </w:rPr>
        <w:t xml:space="preserve">may </w:t>
      </w:r>
      <w:r w:rsidR="00C35B7A" w:rsidRPr="001533EC">
        <w:rPr>
          <w:sz w:val="24"/>
          <w:szCs w:val="24"/>
        </w:rPr>
        <w:t>provide a promising step toward the development of non-invasive, blood-based biomarkers for brain insulin resistance, with potential benefits for early diagnosis and personalized interventions in metabolic and neurodegenerative diseases.</w:t>
      </w:r>
      <w:r w:rsidR="00C361F6" w:rsidRPr="001533EC">
        <w:rPr>
          <w:b/>
          <w:sz w:val="24"/>
          <w:szCs w:val="24"/>
        </w:rPr>
        <w:br w:type="page"/>
      </w:r>
    </w:p>
    <w:p w14:paraId="6FF13620" w14:textId="076F66B5" w:rsidR="00C361F6" w:rsidRPr="001533EC" w:rsidRDefault="00C35B7A" w:rsidP="00C35B7A">
      <w:pPr>
        <w:spacing w:line="480" w:lineRule="auto"/>
        <w:jc w:val="both"/>
        <w:rPr>
          <w:b/>
          <w:sz w:val="24"/>
          <w:szCs w:val="24"/>
        </w:rPr>
      </w:pPr>
      <w:r w:rsidRPr="001533EC">
        <w:rPr>
          <w:b/>
          <w:sz w:val="24"/>
          <w:szCs w:val="24"/>
        </w:rPr>
        <w:lastRenderedPageBreak/>
        <w:t>MATERIALS AND METHODS</w:t>
      </w:r>
    </w:p>
    <w:p w14:paraId="69F3FD04" w14:textId="1028740A" w:rsidR="001533EC" w:rsidRPr="001533EC" w:rsidRDefault="001533EC" w:rsidP="00C35B7A">
      <w:pPr>
        <w:spacing w:line="480" w:lineRule="auto"/>
        <w:jc w:val="both"/>
        <w:rPr>
          <w:b/>
          <w:sz w:val="24"/>
          <w:szCs w:val="24"/>
        </w:rPr>
      </w:pPr>
      <w:r>
        <w:rPr>
          <w:b/>
          <w:sz w:val="24"/>
          <w:szCs w:val="24"/>
        </w:rPr>
        <w:t>Study design</w:t>
      </w:r>
    </w:p>
    <w:p w14:paraId="5B6B0878" w14:textId="1F3ABF25" w:rsidR="00DF42F9" w:rsidRDefault="00C35B7A" w:rsidP="00C35B7A">
      <w:pPr>
        <w:spacing w:line="480" w:lineRule="auto"/>
        <w:jc w:val="both"/>
        <w:rPr>
          <w:sz w:val="24"/>
          <w:szCs w:val="24"/>
        </w:rPr>
      </w:pPr>
      <w:bookmarkStart w:id="6" w:name="_Hlk202452404"/>
      <w:r w:rsidRPr="001533EC">
        <w:rPr>
          <w:sz w:val="24"/>
          <w:szCs w:val="24"/>
        </w:rPr>
        <w:t xml:space="preserve">This </w:t>
      </w:r>
      <w:r w:rsidR="00DF42F9">
        <w:rPr>
          <w:sz w:val="24"/>
          <w:szCs w:val="24"/>
        </w:rPr>
        <w:t xml:space="preserve">retrospective </w:t>
      </w:r>
      <w:r w:rsidRPr="001533EC">
        <w:rPr>
          <w:sz w:val="24"/>
          <w:szCs w:val="24"/>
        </w:rPr>
        <w:t xml:space="preserve">study included </w:t>
      </w:r>
      <w:r w:rsidR="00AB6874">
        <w:rPr>
          <w:sz w:val="24"/>
          <w:szCs w:val="24"/>
        </w:rPr>
        <w:t>three</w:t>
      </w:r>
      <w:r w:rsidRPr="001533EC">
        <w:rPr>
          <w:sz w:val="24"/>
          <w:szCs w:val="24"/>
        </w:rPr>
        <w:t xml:space="preserve"> study cohorts</w:t>
      </w:r>
      <w:r w:rsidR="00DF42F9">
        <w:rPr>
          <w:sz w:val="24"/>
          <w:szCs w:val="24"/>
        </w:rPr>
        <w:t xml:space="preserve"> of healthy volunteers of different weight groups based on previous studies </w:t>
      </w:r>
      <w:r w:rsidR="00DF42F9" w:rsidRPr="001533EC">
        <w:rPr>
          <w:rStyle w:val="Funotenzeichen"/>
          <w:sz w:val="24"/>
          <w:szCs w:val="24"/>
        </w:rPr>
        <w:fldChar w:fldCharType="begin" w:fldLock="1"/>
      </w:r>
      <w:r w:rsidR="0017498C">
        <w:rPr>
          <w:sz w:val="24"/>
          <w:szCs w:val="24"/>
        </w:rPr>
        <w:instrText>ADDIN CSL_CITATION {"citationItems":[{"id":"ITEM-1","itemData":{"DOI":"10.2337/dc14-2319","ISSN":"1935-5548 (Electronic)","PMID":"25795413","abstract":"OBJECTIVE: Impaired brain insulin action has been linked to obesity, type 2  diabetes, and neurodegenerative diseases. To date, the central nervous effects of insulin in obese humans still remain ill defined, and no study thus far has evaluated the specific brain areas affected by insulin resistance. RESEARCH DESIGN AND METHODS: In 25 healthy lean and 23 overweight/obese participants, we performed magnetic resonance imaging to measure cerebral blood flow (CBF) before and 15 and 30 min after application of intranasal insulin or placebo. Additionally, participants explicitly rated pictures of high-caloric savory and sweet food 60 min after the spray for wanting and liking. RESULTS: In response to insulin compared with placebo, we found a significant CBF decrease in the hypothalamus in both lean and overweight/obese participants. The magnitude of this response correlated with visceral adipose tissue independent of other fat compartments. Furthermore, we observed a differential response in the lean compared with the overweight/obese group in the prefrontal cortex, resulting in an insulin-induced CBF reduction in lean participants only. This prefrontal cortex response significantly correlated with peripheral insulin sensitivity and eating behavior measures such as disinhibition and food craving. Behaviorally, we were able to observe a significant reduction for the wanting of sweet foods after insulin application in lean men only. CONCLUSIONS: Brain insulin action was selectively impaired in the prefrontal cortex in overweight and obese adults and in the hypothalamus in participants with high visceral adipose tissue, potentially promoting an altered homeostatic set point and reduced inhibitory control contributing to overeating behavior.","author":[{"dropping-particle":"","family":"Kullmann","given":"Stephanie","non-dropping-particle":"","parse-names":false,"suffix":""},{"dropping-particle":"","family":"Heni","given":"Martin","non-dropping-particle":"","parse-names":false,"suffix":""},{"dropping-particle":"","family":"Veit","given":"Ralf","non-dropping-particle":"","parse-names":false,"suffix":""},{"dropping-particle":"","family":"Scheffler","given":"Klaus","non-dropping-particle":"","parse-names":false,"suffix":""},{"dropping-particle":"","family":"Machann","given":"Jürgen","non-dropping-particle":"","parse-names":false,"suffix":""},{"dropping-particle":"","family":"Häring","given":"Hans-Ulrich","non-dropping-particle":"","parse-names":false,"suffix":""},{"dropping-particle":"","family":"Fritsche","given":"Andreas","non-dropping-particle":"","parse-names":false,"suffix":""},{"dropping-particle":"","family":"Preissl","given":"Hubert","non-dropping-particle":"","parse-names":false,"suffix":""}],"container-title":"Diabetes care","id":"ITEM-1","issue":"6","issued":{"date-parts":[["2015","6"]]},"language":"eng","page":"1044-1050","publisher-place":"United States","title":"Selective insulin resistance in homeostatic and cognitive control brain areas in  overweight and obese adults.","type":"article-journal","volume":"38"},"uris":["http://www.mendeley.com/documents/?uuid=b3c3bf05-2eca-47b0-b37b-9ccc13cf91af"]},{"id":"ITEM-2","itemData":{"DOI":"10.1172/jci.insight.161498","ISSN":"2379-3708 (Electronic)","PMID":"36134657","abstract":"BACKGROUNDInsulin resistance of the brain can unfavorably affect long-term weight  maintenance and body fat distribution. Little is known if and how brain insulin sensitivity can be restored in humans. We aimed to evaluate the effects of an exercise intervention on insulin sensitivity of the brain and how this relates to exercise-induced changes in whole-body metabolism and behavior.METHODSIn this clinical trial, sedentary participants who were overweight and obese underwent an 8-week supervised aerobic training intervention. Brain insulin sensitivity was assessed in 21 participants (14 women, 7 men; age range 21-59 years; BMI range 27.5-45.5 kg/m2) using functional MRI, combined with intranasal administration of insulin, before and after the intervention.RESULTSThe exercise program resulted in enhanced brain insulin action to the level of a person of healthy weight, demonstrated by increased insulin-induced striatal activity and strengthened hippocampal functional connectivity. Improved brain insulin action correlated with increased mitochondrial respiration in skeletal muscle, reductions in visceral fat and hunger, as well as improved cognition. Mediation analyses suggest that improved brain insulin responsiveness helps mediate the peripheral exercise effects leading to healthier body fat distribution and reduced perception of hunger.CONCLUSIONOur study demonstrates that an 8-week exercise intervention in sedentary individuals can restore insulin action in the brain. Hence, the ameliorating benefits of exercise toward brain insulin resistance may provide an objective therapeutic target in humans in the challenge to reduce diabetes risk factors.TRIAL REGISTRATIONClinicalTrials.gov (NCT03151590).FUNDINGBMBF/DZD 01GI0925.","author":[{"dropping-particle":"","family":"Kullmann","given":"Stephanie","non-dropping-particle":"","parse-names":false,"suffix":""},{"dropping-particle":"","family":"Goj","given":"Thomas","non-dropping-particle":"","parse-names":false,"suffix":""},{"dropping-particle":"","family":"Veit","given":"Ralf","non-dropping-particle":"","parse-names":false,"suffix":""},{"dropping-particle":"","family":"Fritsche","given":"Louise","non-dropping-particle":"","parse-names":false,"suffix":""},{"dropping-particle":"","family":"Wagner","given":"Lore","non-dropping-particle":"","parse-names":false,"suffix":""},{"dropping-particle":"","family":"Schneeweiss","given":"Patrick","non-dropping-particle":"","parse-names":false,"suffix":""},{"dropping-particle":"","family":"Hoene","given":"Miriam","non-dropping-particle":"","parse-names":false,"suffix":""},{"dropping-particle":"","family":"Hoffmann","given":"Christoph","non-dropping-particle":"","parse-names":false,"suffix":""},{"dropping-particle":"","family":"Machann","given":"Jürgen","non-dropping-particle":"","parse-names":false,"suffix":""},{"dropping-particle":"","family":"Niess","given":"Andreas","non-dropping-particle":"","parse-names":false,"suffix":""},{"dropping-particle":"","family":"Preissl","given":"Hubert","non-dropping-particle":"","parse-names":false,"suffix":""},{"dropping-particle":"","family":"Birkenfeld","given":"Andreas L","non-dropping-particle":"","parse-names":false,"suffix":""},{"dropping-particle":"","family":"Peter","given":"Andreas","non-dropping-particle":"","parse-names":false,"suffix":""},{"dropping-particle":"","family":"Häring","given":"Hans-Ulrich","non-dropping-particle":"","parse-names":false,"suffix":""},{"dropping-particle":"","family":"Fritsche","given":"Andreas","non-dropping-particle":"","parse-names":false,"suffix":""},{"dropping-particle":"","family":"Moller","given":"Anja","non-dropping-particle":"","parse-names":false,"suffix":""},{"dropping-particle":"","family":"Weigert","given":"Cora","non-dropping-particle":"","parse-names":false,"suffix":""},{"dropping-particle":"","family":"Heni","given":"Martin","non-dropping-particle":"","parse-names":false,"suffix":""}],"container-title":"JCI insight","id":"ITEM-2","issue":"18","issued":{"date-parts":[["2022","9"]]},"language":"eng","publisher-place":"United States","title":"Exercise restores brain insulin sensitivity in sedentary adults who are  overweight and obese.","type":"article-journal","volume":"7"},"uris":["http://www.mendeley.com/documents/?uuid=85acbd95-612c-4639-a70c-cec194bedb4f"]},{"id":"ITEM-3","itemData":{"DOI":"10.2337/dc21-1136","ISSN":"1935-5548 (Electronic)","PMID":"34716213","abstract":"OBJECTIVE: Insulin action in the human brain reduces food intake, improves  whole-body insulin sensitivity, and modulates body fat mass and its distribution. Obesity and type 2 diabetes are often associated with brain insulin resistance, resulting in impaired brain-derived modulation of peripheral metabolism. So far, no pharmacological treatment for brain insulin resistance has been established. Since sodium-glucose cotransporter 2 (SGLT2) inhibitors lower glucose levels and modulate energy metabolism, we hypothesized that SGLT2 inhibition may be a pharmacological approach to reverse brain insulin resistance. RESEARCH DESIGN AND METHODS: In this randomized, double-blind, placebo-controlled clinical trial, 40 patients (mean ± SD; age 60 ± 9 years; BMI 31.5 ± 3.8 kg/m2) with prediabetes were randomized to receive 25 mg empagliflozin every day or placebo. Before and after 8 weeks of treatment, brain insulin sensitivity was assessed by functional MRI combined with intranasal administration of insulin to the brain. RESULTS: We identified a significant interaction between time and treatment in the hypothalamic response to insulin. Post hoc analyses revealed that only empagliflozin-treated patients experienced increased hypothalamic insulin responsiveness. Hypothalamic insulin action significantly mediated the empagliflozin-induced decrease in fasting glucose and liver fat. CONCLUSIONS: Our results corroborate insulin resistance of the hypothalamus in humans with prediabetes. Treatment with empagliflozin for 8 weeks was able to restore hypothalamic insulin sensitivity, a favorable response that could contribute to the beneficial effects of SGLT2 inhibitors. Our findings position SGLT2 inhibition as the first pharmacological approach to reverse brain insulin resistance, with potential benefits for adiposity and whole-body metabolism.","author":[{"dropping-particle":"","family":"Kullmann","given":"Stephanie","non-dropping-particle":"","parse-names":false,"suffix":""},{"dropping-particle":"","family":"Hummel","given":"Julia","non-dropping-particle":"","parse-names":false,"suffix":""},{"dropping-particle":"","family":"Wagner","given":"Robert","non-dropping-particle":"","parse-names":false,"suffix":""},{"dropping-particle":"","family":"Dannecker","given":"Corinna","non-dropping-particle":"","parse-names":false,"suffix":""},{"dropping-particle":"","family":"Vosseler","given":"Andreas","non-dropping-particle":"","parse-names":false,"suffix":""},{"dropping-particle":"","family":"Fritsche","given":"Louise","non-dropping-particle":"","parse-names":false,"suffix":""},{"dropping-particle":"","family":"Veit","given":"Ralf","non-dropping-particle":"","parse-names":false,"suffix":""},{"dropping-particle":"","family":"Kantartzis","given":"Konstantinos","non-dropping-particle":"","parse-names":false,"suffix":""},{"dropping-particle":"","family":"Machann","given":"Jürgen","non-dropping-particle":"","parse-names":false,"suffix":""},{"dropping-particle":"","family":"Birkenfeld","given":"Andreas L","non-dropping-particle":"","parse-names":false,"suffix":""},{"dropping-particle":"","family":"Stefan","given":"Norbert","non-dropping-particle":"","parse-names":false,"suffix":""},{"dropping-particle":"","family":"Häring","given":"Hans-Ulrich","non-dropping-particle":"","parse-names":false,"suffix":""},{"dropping-particle":"","family":"Peter","given":"Andreas","non-dropping-particle":"","parse-names":false,"suffix":""},{"dropping-particle":"","family":"Preissl","given":"Hubert","non-dropping-particle":"","parse-names":false,"suffix":""},{"dropping-particle":"","family":"Fritsche","given":"Andreas","non-dropping-particle":"","parse-names":false,"suffix":""},{"dropping-particle":"","family":"Heni","given":"Martin","non-dropping-particle":"","parse-names":false,"suffix":""}],"container-title":"Diabetes care","id":"ITEM-3","issue":"2","issued":{"date-parts":[["2022","2"]]},"language":"eng","page":"398-406","publisher-place":"United States","title":"Empagliflozin Improves Insulin Sensitivity of the Hypothalamus in Humans With  Prediabetes: A Randomized, Double-Blind, Placebo-Controlled, Phase 2 Trial.","type":"article-journal","volume":"45"},"uris":["http://www.mendeley.com/documents/?uuid=202c73c6-0316-4f57-b1c8-a3960af651d6"]},{"id":"ITEM-4","itemData":{"DOI":"10.1111/dom.15094","ISSN":"1463-1326 (Electronic)","PMID":"37046367","abstract":"AIMS: Insulin action in the brain influences cognitive processes, peripheral  metabolism and eating behaviour. However, the influence of age and peripheral insulin sensitivity on brain insulin action remains unclear. MATERIALS AND METHODS: We used intranasal administration of insulin and functional magnetic resonance imaging in a randomized, placebo-controlled within-subject design in 110 participants (54 women, body mass index 18-49 kg/m(2) , age 21-74 years). Cerebral blood flow was measured before and after nasal spray application to assess brain insulin action. Peripheral insulin sensitivity was assessed by a five-point oral glucose tolerance test. Linear regressions were used to investigate associations between age and peripheral insulin sensitivity with brain insulin action in predefined region of interests (i.e. insulin-sensitive brain regions). RESULTS: We found significant negative associations between age and insulin action in the hippocampus (β = -0.215; p = .017) and caudate nucleus (β = -0.184; p = .047); and between peripheral insulin sensitivity and insulin action in the amygdala (β = -0.190, p = .023). Insulin action in the insular cortex showed an interaction effect between age and peripheral insulin sensitivity (β = -0.219 p = .005). Furthermore, women showed the strongest negative association between age and hippocampal insulin action, while men showed the strongest associations with peripheral insulin sensitivity and age in reward-related brain regions. CONCLUSION: We could show a region-specific relationship between brain insulin responsiveness, age and peripheral insulin sensitivity. Our findings underline the need to study brain insulin action in both men and women and further substantiate that brain insulin sensitivity is a possible link between systemic metabolism and neurocognitive functions.","author":[{"dropping-particle":"","family":"Wagner","given":"Lore","non-dropping-particle":"","parse-names":false,"suffix":""},{"dropping-particle":"","family":"Veit","given":"Ralf","non-dropping-particle":"","parse-names":false,"suffix":""},{"dropping-particle":"","family":"Kübler","given":"Christian","non-dropping-particle":"","parse-names":false,"suffix":""},{"dropping-particle":"","family":"Fritsche","given":"Andreas","non-dropping-particle":"","parse-names":false,"suffix":""},{"dropping-particle":"","family":"Häring","given":"Hans-Ulrich","non-dropping-particle":"","parse-names":false,"suffix":""},{"dropping-particle":"","family":"Birkenfeld","given":"Andreas L","non-dropping-particle":"","parse-names":false,"suffix":""},{"dropping-particle":"","family":"Heni","given":"Martin","non-dropping-particle":"","parse-names":false,"suffix":""},{"dropping-particle":"","family":"Preissl","given":"Hubert","non-dropping-particle":"","parse-names":false,"suffix":""},{"dropping-particle":"","family":"Kullmann","given":"Stephanie","non-dropping-particle":"","parse-names":false,"suffix":""}],"container-title":"Diabetes, obesity &amp; metabolism","id":"ITEM-4","issue":"8","issued":{"date-parts":[["2023","8"]]},"language":"eng","page":"2171-2180","publisher-place":"England","title":"Brain insulin responsiveness is linked to age and peripheral insulin sensitivity.","type":"article-journal","volume":"25"},"uris":["http://www.mendeley.com/documents/?uuid=015f0716-46d7-3ffd-ae45-d9358a530a50"]}],"mendeley":{"formattedCitation":"&lt;i&gt;(15, 33, 34, 58)&lt;/i&gt;","plainTextFormattedCitation":"(15, 33, 34, 58)","previouslyFormattedCitation":"&lt;i&gt;(15, 33, 34, 58)&lt;/i&gt;"},"properties":{"noteIndex":0},"schema":"https://github.com/citation-style-language/schema/raw/master/csl-citation.json"}</w:instrText>
      </w:r>
      <w:r w:rsidR="00DF42F9" w:rsidRPr="001533EC">
        <w:rPr>
          <w:rStyle w:val="Funotenzeichen"/>
          <w:sz w:val="24"/>
          <w:szCs w:val="24"/>
        </w:rPr>
        <w:fldChar w:fldCharType="separate"/>
      </w:r>
      <w:r w:rsidR="00DF42F9" w:rsidRPr="001533EC">
        <w:rPr>
          <w:bCs/>
          <w:i/>
          <w:noProof/>
          <w:sz w:val="24"/>
          <w:szCs w:val="24"/>
        </w:rPr>
        <w:t>(15, 33, 34, 58)</w:t>
      </w:r>
      <w:r w:rsidR="00DF42F9" w:rsidRPr="001533EC">
        <w:rPr>
          <w:rStyle w:val="Funotenzeichen"/>
          <w:sz w:val="24"/>
          <w:szCs w:val="24"/>
        </w:rPr>
        <w:fldChar w:fldCharType="end"/>
      </w:r>
      <w:r w:rsidRPr="001533EC">
        <w:rPr>
          <w:sz w:val="24"/>
          <w:szCs w:val="24"/>
        </w:rPr>
        <w:t xml:space="preserve">: a discovery </w:t>
      </w:r>
      <w:r w:rsidR="002B4E3C">
        <w:rPr>
          <w:sz w:val="24"/>
          <w:szCs w:val="24"/>
        </w:rPr>
        <w:t>c</w:t>
      </w:r>
      <w:r w:rsidR="0009768D">
        <w:rPr>
          <w:sz w:val="24"/>
          <w:szCs w:val="24"/>
        </w:rPr>
        <w:t xml:space="preserve">ohort </w:t>
      </w:r>
      <w:r w:rsidRPr="001533EC">
        <w:rPr>
          <w:sz w:val="24"/>
          <w:szCs w:val="24"/>
        </w:rPr>
        <w:t xml:space="preserve">(n = 167) and two replication cohorts (replication cohort I; n = 33, replication cohort II; n = 24). </w:t>
      </w:r>
      <w:r w:rsidR="00DF42F9" w:rsidRPr="001533EC">
        <w:rPr>
          <w:sz w:val="24"/>
          <w:szCs w:val="24"/>
        </w:rPr>
        <w:t xml:space="preserve">Characteristics of the participants are detailed in Table 1. </w:t>
      </w:r>
      <w:r w:rsidR="00DF42F9">
        <w:rPr>
          <w:sz w:val="24"/>
          <w:szCs w:val="24"/>
        </w:rPr>
        <w:t xml:space="preserve">The sample size was based to provide sufficient power </w:t>
      </w:r>
      <w:r w:rsidR="00DF42F9" w:rsidRPr="00C641EB">
        <w:rPr>
          <w:sz w:val="24"/>
          <w:szCs w:val="24"/>
          <w:lang w:val="en-GB"/>
        </w:rPr>
        <w:t>(1-</w:t>
      </w:r>
      <w:r w:rsidR="00DF42F9" w:rsidRPr="00C641EB">
        <w:rPr>
          <w:sz w:val="24"/>
          <w:szCs w:val="24"/>
          <w:lang w:val="de-DE"/>
        </w:rPr>
        <w:t>β</w:t>
      </w:r>
      <w:r w:rsidR="00DF42F9" w:rsidRPr="00C641EB">
        <w:rPr>
          <w:sz w:val="24"/>
          <w:szCs w:val="24"/>
          <w:lang w:val="en-GB"/>
        </w:rPr>
        <w:t xml:space="preserve"> = </w:t>
      </w:r>
      <w:r w:rsidR="004C5556">
        <w:rPr>
          <w:sz w:val="24"/>
          <w:szCs w:val="24"/>
          <w:lang w:val="en-GB"/>
        </w:rPr>
        <w:t>0</w:t>
      </w:r>
      <w:r w:rsidR="00DF42F9" w:rsidRPr="00C641EB">
        <w:rPr>
          <w:sz w:val="24"/>
          <w:szCs w:val="24"/>
          <w:lang w:val="en-GB"/>
        </w:rPr>
        <w:t>.86) for moderate to large between group effects</w:t>
      </w:r>
      <w:r w:rsidR="00F02D43">
        <w:rPr>
          <w:sz w:val="24"/>
          <w:szCs w:val="24"/>
          <w:lang w:val="en-GB"/>
        </w:rPr>
        <w:t>,</w:t>
      </w:r>
      <w:r w:rsidR="00DF42F9" w:rsidRPr="00C641EB">
        <w:rPr>
          <w:sz w:val="24"/>
          <w:szCs w:val="24"/>
          <w:lang w:val="en-GB"/>
        </w:rPr>
        <w:t xml:space="preserve"> based on previous studies investigating brain insulin sensitivity in humans.</w:t>
      </w:r>
      <w:r w:rsidR="0017498C">
        <w:rPr>
          <w:sz w:val="24"/>
          <w:szCs w:val="24"/>
          <w:lang w:val="en-GB"/>
        </w:rPr>
        <w:fldChar w:fldCharType="begin" w:fldLock="1"/>
      </w:r>
      <w:r w:rsidR="0017498C">
        <w:rPr>
          <w:sz w:val="24"/>
          <w:szCs w:val="24"/>
          <w:lang w:val="en-GB"/>
        </w:rPr>
        <w:instrText>ADDIN CSL_CITATION {"citationItems":[{"id":"ITEM-1","itemData":{"DOI":"10.1111/dom.15094","ISSN":"1463-1326 (Electronic)","PMID":"37046367","abstract":"AIMS: Insulin action in the brain influences cognitive processes, peripheral  metabolism and eating behaviour. However, the influence of age and peripheral insulin sensitivity on brain insulin action remains unclear. MATERIALS AND METHODS: We used intranasal administration of insulin and functional magnetic resonance imaging in a randomized, placebo-controlled within-subject design in 110 participants (54 women, body mass index 18-49 kg/m(2) , age 21-74 years). Cerebral blood flow was measured before and after nasal spray application to assess brain insulin action. Peripheral insulin sensitivity was assessed by a five-point oral glucose tolerance test. Linear regressions were used to investigate associations between age and peripheral insulin sensitivity with brain insulin action in predefined region of interests (i.e. insulin-sensitive brain regions). RESULTS: We found significant negative associations between age and insulin action in the hippocampus (β = -0.215; p = .017) and caudate nucleus (β = -0.184; p = .047); and between peripheral insulin sensitivity and insulin action in the amygdala (β = -0.190, p = .023). Insulin action in the insular cortex showed an interaction effect between age and peripheral insulin sensitivity (β = -0.219 p = .005). Furthermore, women showed the strongest negative association between age and hippocampal insulin action, while men showed the strongest associations with peripheral insulin sensitivity and age in reward-related brain regions. CONCLUSION: We could show a region-specific relationship between brain insulin responsiveness, age and peripheral insulin sensitivity. Our findings underline the need to study brain insulin action in both men and women and further substantiate that brain insulin sensitivity is a possible link between systemic metabolism and neurocognitive functions.","author":[{"dropping-particle":"","family":"Wagner","given":"Lore","non-dropping-particle":"","parse-names":false,"suffix":""},{"dropping-particle":"","family":"Veit","given":"Ralf","non-dropping-particle":"","parse-names":false,"suffix":""},{"dropping-particle":"","family":"Kübler","given":"Christian","non-dropping-particle":"","parse-names":false,"suffix":""},{"dropping-particle":"","family":"Fritsche","given":"Andreas","non-dropping-particle":"","parse-names":false,"suffix":""},{"dropping-particle":"","family":"Häring","given":"Hans-Ulrich Ulrich","non-dropping-particle":"","parse-names":false,"suffix":""},{"dropping-particle":"","family":"Birkenfeld","given":"Andreas L.","non-dropping-particle":"","parse-names":false,"suffix":""},{"dropping-particle":"","family":"Heni","given":"Martin","non-dropping-particle":"","parse-names":false,"suffix":""},{"dropping-particle":"","family":"Preissl","given":"Hubert","non-dropping-particle":"","parse-names":false,"suffix":""},{"dropping-particle":"","family":"Kullmann","given":"Stephanie","non-dropping-particle":"","parse-names":false,"suffix":""}],"container-title":"Diabetes, obesity &amp; metabolism","id":"ITEM-1","issue":"8","issued":{"date-parts":[["2023","8","1"]]},"language":"eng","page":"2171-2180","publisher":"John Wiley and Sons Inc","publisher-place":"England","title":"Brain insulin responsiveness is linked to age and peripheral insulin sensitivity.","type":"article-journal","volume":"25"},"uris":["http://www.mendeley.com/documents/?uuid=30c1b4f9-849a-42d9-8b0e-977a89ced318"]},{"id":"ITEM-2","itemData":{"DOI":"10.2337/dc14-2319","ISSN":"1935-5548 (Electronic)","PMID":"25795413","abstract":"OBJECTIVE: Impaired brain insulin action has been linked to obesity, type 2  diabetes, and neurodegenerative diseases. To date, the central nervous effects of insulin in obese humans still remain ill defined, and no study thus far has evaluated the specific brain areas affected by insulin resistance. RESEARCH DESIGN AND METHODS: In 25 healthy lean and 23 overweight/obese participants, we performed magnetic resonance imaging to measure cerebral blood flow (CBF) before and 15 and 30 min after application of intranasal insulin or placebo. Additionally, participants explicitly rated pictures of high-caloric savory and sweet food 60 min after the spray for wanting and liking. RESULTS: In response to insulin compared with placebo, we found a significant CBF decrease in the hypothalamus in both lean and overweight/obese participants. The magnitude of this response correlated with visceral adipose tissue independent of other fat compartments. Furthermore, we observed a differential response in the lean compared with the overweight/obese group in the prefrontal cortex, resulting in an insulin-induced CBF reduction in lean participants only. This prefrontal cortex response significantly correlated with peripheral insulin sensitivity and eating behavior measures such as disinhibition and food craving. Behaviorally, we were able to observe a significant reduction for the wanting of sweet foods after insulin application in lean men only. CONCLUSIONS: Brain insulin action was selectively impaired in the prefrontal cortex in overweight and obese adults and in the hypothalamus in participants with high visceral adipose tissue, potentially promoting an altered homeostatic set point and reduced inhibitory control contributing to overeating behavior.","author":[{"dropping-particle":"","family":"Kullmann","given":"Stephanie","non-dropping-particle":"","parse-names":false,"suffix":""},{"dropping-particle":"","family":"Heni","given":"Martin","non-dropping-particle":"","parse-names":false,"suffix":""},{"dropping-particle":"","family":"Veit","given":"Ralf","non-dropping-particle":"","parse-names":false,"suffix":""},{"dropping-particle":"","family":"Scheffler","given":"Klaus","non-dropping-particle":"","parse-names":false,"suffix":""},{"dropping-particle":"","family":"Machann","given":"Jürgen","non-dropping-particle":"","parse-names":false,"suffix":""},{"dropping-particle":"","family":"Häring","given":"Hans-Ulrich","non-dropping-particle":"","parse-names":false,"suffix":""},{"dropping-particle":"","family":"Fritsche","given":"Andreas","non-dropping-particle":"","parse-names":false,"suffix":""},{"dropping-particle":"","family":"Preissl","given":"Hubert","non-dropping-particle":"","parse-names":false,"suffix":""}],"container-title":"Diabetes care","id":"ITEM-2","issue":"6","issued":{"date-parts":[["2015","6"]]},"language":"eng","page":"1044-1050","publisher-place":"United States","title":"Selective insulin resistance in homeostatic and cognitive control brain areas in  overweight and obese adults.","type":"article-journal","volume":"38"},"uris":["http://www.mendeley.com/documents/?uuid=b3c3bf05-2eca-47b0-b37b-9ccc13cf91af"]}],"mendeley":{"formattedCitation":"&lt;i&gt;(33, 59)&lt;/i&gt;","plainTextFormattedCitation":"(33, 59)","previouslyFormattedCitation":"&lt;i&gt;(33, 59)&lt;/i&gt;"},"properties":{"noteIndex":0},"schema":"https://github.com/citation-style-language/schema/raw/master/csl-citation.json"}</w:instrText>
      </w:r>
      <w:r w:rsidR="0017498C">
        <w:rPr>
          <w:sz w:val="24"/>
          <w:szCs w:val="24"/>
          <w:lang w:val="en-GB"/>
        </w:rPr>
        <w:fldChar w:fldCharType="separate"/>
      </w:r>
      <w:r w:rsidR="0017498C" w:rsidRPr="0017498C">
        <w:rPr>
          <w:i/>
          <w:noProof/>
          <w:sz w:val="24"/>
          <w:szCs w:val="24"/>
          <w:lang w:val="en-GB"/>
        </w:rPr>
        <w:t>(33, 59)</w:t>
      </w:r>
      <w:r w:rsidR="0017498C">
        <w:rPr>
          <w:sz w:val="24"/>
          <w:szCs w:val="24"/>
          <w:lang w:val="en-GB"/>
        </w:rPr>
        <w:fldChar w:fldCharType="end"/>
      </w:r>
      <w:r w:rsidR="00DF42F9" w:rsidRPr="001533EC" w:rsidDel="00923BC6">
        <w:rPr>
          <w:sz w:val="24"/>
          <w:szCs w:val="24"/>
        </w:rPr>
        <w:t xml:space="preserve"> </w:t>
      </w:r>
    </w:p>
    <w:p w14:paraId="35A45F96" w14:textId="487B29EA" w:rsidR="00DF42F9" w:rsidRDefault="00DF42F9" w:rsidP="00C35B7A">
      <w:pPr>
        <w:spacing w:line="480" w:lineRule="auto"/>
        <w:jc w:val="both"/>
        <w:rPr>
          <w:sz w:val="24"/>
        </w:rPr>
      </w:pPr>
      <w:r>
        <w:rPr>
          <w:sz w:val="24"/>
          <w:szCs w:val="24"/>
        </w:rPr>
        <w:t>P</w:t>
      </w:r>
      <w:r w:rsidR="00C35B7A" w:rsidRPr="001533EC">
        <w:rPr>
          <w:sz w:val="24"/>
          <w:szCs w:val="24"/>
        </w:rPr>
        <w:t>articipants were grouped as either brain insulin</w:t>
      </w:r>
      <w:r w:rsidR="00AD1D4E">
        <w:rPr>
          <w:sz w:val="24"/>
          <w:szCs w:val="24"/>
        </w:rPr>
        <w:t>-</w:t>
      </w:r>
      <w:r w:rsidR="00C35B7A" w:rsidRPr="001533EC">
        <w:rPr>
          <w:sz w:val="24"/>
          <w:szCs w:val="24"/>
        </w:rPr>
        <w:t>sensitive (BIS) or brain insulin</w:t>
      </w:r>
      <w:r w:rsidR="00AD1D4E">
        <w:rPr>
          <w:sz w:val="24"/>
          <w:szCs w:val="24"/>
        </w:rPr>
        <w:t>-</w:t>
      </w:r>
      <w:r w:rsidR="00C35B7A" w:rsidRPr="001533EC">
        <w:rPr>
          <w:sz w:val="24"/>
          <w:szCs w:val="24"/>
        </w:rPr>
        <w:t>resistant (BIR) based on the responsiveness of the brain to intranasal insulin. The hypothalamus is the main area of the brain that controls metabolism. Hence, brain insulin resistance was defined as the failure to show an insulin-induced inhibition of hypothalamic blood flow as recently described</w:t>
      </w:r>
      <w:r w:rsidR="005F724A" w:rsidRPr="001533EC">
        <w:rPr>
          <w:sz w:val="24"/>
          <w:szCs w:val="24"/>
        </w:rPr>
        <w:t xml:space="preserve"> </w:t>
      </w:r>
      <w:r w:rsidR="00122188" w:rsidRPr="001533EC">
        <w:rPr>
          <w:rStyle w:val="Funotenzeichen"/>
          <w:sz w:val="24"/>
          <w:szCs w:val="24"/>
        </w:rPr>
        <w:fldChar w:fldCharType="begin" w:fldLock="1"/>
      </w:r>
      <w:r w:rsidR="0017498C">
        <w:rPr>
          <w:sz w:val="24"/>
          <w:szCs w:val="24"/>
        </w:rPr>
        <w:instrText>ADDIN CSL_CITATION {"citationItems":[{"id":"ITEM-1","itemData":{"DOI":"10.2337/dc14-2319","ISSN":"1935-5548 (Electronic)","PMID":"25795413","abstract":"OBJECTIVE: Impaired brain insulin action has been linked to obesity, type 2  diabetes, and neurodegenerative diseases. To date, the central nervous effects of insulin in obese humans still remain ill defined, and no study thus far has evaluated the specific brain areas affected by insulin resistance. RESEARCH DESIGN AND METHODS: In 25 healthy lean and 23 overweight/obese participants, we performed magnetic resonance imaging to measure cerebral blood flow (CBF) before and 15 and 30 min after application of intranasal insulin or placebo. Additionally, participants explicitly rated pictures of high-caloric savory and sweet food 60 min after the spray for wanting and liking. RESULTS: In response to insulin compared with placebo, we found a significant CBF decrease in the hypothalamus in both lean and overweight/obese participants. The magnitude of this response correlated with visceral adipose tissue independent of other fat compartments. Furthermore, we observed a differential response in the lean compared with the overweight/obese group in the prefrontal cortex, resulting in an insulin-induced CBF reduction in lean participants only. This prefrontal cortex response significantly correlated with peripheral insulin sensitivity and eating behavior measures such as disinhibition and food craving. Behaviorally, we were able to observe a significant reduction for the wanting of sweet foods after insulin application in lean men only. CONCLUSIONS: Brain insulin action was selectively impaired in the prefrontal cortex in overweight and obese adults and in the hypothalamus in participants with high visceral adipose tissue, potentially promoting an altered homeostatic set point and reduced inhibitory control contributing to overeating behavior.","author":[{"dropping-particle":"","family":"Kullmann","given":"Stephanie","non-dropping-particle":"","parse-names":false,"suffix":""},{"dropping-particle":"","family":"Heni","given":"Martin","non-dropping-particle":"","parse-names":false,"suffix":""},{"dropping-particle":"","family":"Veit","given":"Ralf","non-dropping-particle":"","parse-names":false,"suffix":""},{"dropping-particle":"","family":"Scheffler","given":"Klaus","non-dropping-particle":"","parse-names":false,"suffix":""},{"dropping-particle":"","family":"Machann","given":"Jürgen","non-dropping-particle":"","parse-names":false,"suffix":""},{"dropping-particle":"","family":"Häring","given":"Hans-Ulrich","non-dropping-particle":"","parse-names":false,"suffix":""},{"dropping-particle":"","family":"Fritsche","given":"Andreas","non-dropping-particle":"","parse-names":false,"suffix":""},{"dropping-particle":"","family":"Preissl","given":"Hubert","non-dropping-particle":"","parse-names":false,"suffix":""}],"container-title":"Diabetes care","id":"ITEM-1","issue":"6","issued":{"date-parts":[["2015","6"]]},"language":"eng","page":"1044-1050","publisher-place":"United States","title":"Selective insulin resistance in homeostatic and cognitive control brain areas in  overweight and obese adults.","type":"article-journal","volume":"38"},"uris":["http://www.mendeley.com/documents/?uuid=b3c3bf05-2eca-47b0-b37b-9ccc13cf91af"]},{"id":"ITEM-2","itemData":{"DOI":"10.1210/jc.2017-01976","ISSN":"1945-7197 (Electronic)","PMID":"29095982","abstract":"CONTEXT: Insulin action in the human brain influences eating behavior, cognition,  and whole-body metabolism. Studies investigating brain insulin rely on intranasal application. OBJECTIVE: To investigate effects of three doses of insulin and placebo as nasal sprays on the central and autonomous nervous system and analyze absorption of insulin into the bloodstream. DESIGN, PARTICIPANTS, AND METHODS: Nine healthy men received placebo or 40 U, 80 U, and 160 U insulin spray in randomized order. Before and after spray, brain activity was assessed by functional magnetic resonance imaging, and heart rate variability (HRV) was assessed from electrocardiogram. Plasma insulin, C-peptide, and glucose were measured regularly. SETTING: General community. RESULTS: Nasal insulin administration dose-dependently modulated regional brain activity and the normalized high-frequency component of the HRV. Post hoc analyses revealed that only 160 U insulin showed a considerable difference from placebo. Dose-dependent spillover of nasal insulin into the bloodstream was detected. The brain response was not correlated with this temporary rise in circulating insulin. CONCLUSIONS: Nasal insulin dose-dependently modulated regional brain activity with the strongest effects after 160 U. However, this dose was accompanied by a transient increase in circulating insulin concentrations due to a spillover into circulation. Our current results may serve as a basis for future studies with nasal insulin to untangle brain insulin effects in health and disease.","author":[{"dropping-particle":"","family":"Kullmann","given":"Stephanie","non-dropping-particle":"","parse-names":false,"suffix":""},{"dropping-particle":"","family":"Veit","given":"Ralf","non-dropping-particle":"","parse-names":false,"suffix":""},{"dropping-particle":"","family":"Peter","given":"Andreas","non-dropping-particle":"","parse-names":false,"suffix":""},{"dropping-particle":"","family":"Pohmann","given":"Rolf","non-dropping-particle":"","parse-names":false,"suffix":""},{"dropping-particle":"","family":"Scheffler","given":"Klaus","non-dropping-particle":"","parse-names":false,"suffix":""},{"dropping-particle":"","family":"Häring","given":"Hans-Ulrich","non-dropping-particle":"","parse-names":false,"suffix":""},{"dropping-particle":"","family":"Fritsche","given":"Andreas","non-dropping-particle":"","parse-names":false,"suffix":""},{"dropping-particle":"","family":"Preissl","given":"Hubert","non-dropping-particle":"","parse-names":false,"suffix":""},{"dropping-particle":"","family":"Heni","given":"Martin","non-dropping-particle":"","parse-names":false,"suffix":""}],"container-title":"The Journal of clinical endocrinology and metabolism","id":"ITEM-2","issue":"1","issued":{"date-parts":[["2018","1"]]},"language":"eng","page":"253-262","publisher-place":"United States","title":"Dose-Dependent Effects of Intranasal Insulin on Resting-State Brain Activity.","type":"article-journal","volume":"103"},"uris":["http://www.mendeley.com/documents/?uuid=159f1686-16b7-471e-8b77-1d10284ba0aa"]},{"id":"ITEM-3","itemData":{"DOI":"10.2337/dc21-1136","ISSN":"1935-5548 (Electronic)","PMID":"34716213","abstract":"OBJECTIVE: Insulin action in the human brain reduces food intake, improves  whole-body insulin sensitivity, and modulates body fat mass and its distribution. Obesity and type 2 diabetes are often associated with brain insulin resistance, resulting in impaired brain-derived modulation of peripheral metabolism. So far, no pharmacological treatment for brain insulin resistance has been established. Since sodium-glucose cotransporter 2 (SGLT2) inhibitors lower glucose levels and modulate energy metabolism, we hypothesized that SGLT2 inhibition may be a pharmacological approach to reverse brain insulin resistance. RESEARCH DESIGN AND METHODS: In this randomized, double-blind, placebo-controlled clinical trial, 40 patients (mean ± SD; age 60 ± 9 years; BMI 31.5 ± 3.8 kg/m2) with prediabetes were randomized to receive 25 mg empagliflozin every day or placebo. Before and after 8 weeks of treatment, brain insulin sensitivity was assessed by functional MRI combined with intranasal administration of insulin to the brain. RESULTS: We identified a significant interaction between time and treatment in the hypothalamic response to insulin. Post hoc analyses revealed that only empagliflozin-treated patients experienced increased hypothalamic insulin responsiveness. Hypothalamic insulin action significantly mediated the empagliflozin-induced decrease in fasting glucose and liver fat. CONCLUSIONS: Our results corroborate insulin resistance of the hypothalamus in humans with prediabetes. Treatment with empagliflozin for 8 weeks was able to restore hypothalamic insulin sensitivity, a favorable response that could contribute to the beneficial effects of SGLT2 inhibitors. Our findings position SGLT2 inhibition as the first pharmacological approach to reverse brain insulin resistance, with potential benefits for adiposity and whole-body metabolism.","author":[{"dropping-particle":"","family":"Kullmann","given":"Stephanie","non-dropping-particle":"","parse-names":false,"suffix":""},{"dropping-particle":"","family":"Hummel","given":"Julia","non-dropping-particle":"","parse-names":false,"suffix":""},{"dropping-particle":"","family":"Wagner","given":"Robert","non-dropping-particle":"","parse-names":false,"suffix":""},{"dropping-particle":"","family":"Dannecker","given":"Corinna","non-dropping-particle":"","parse-names":false,"suffix":""},{"dropping-particle":"","family":"Vosseler","given":"Andreas","non-dropping-particle":"","parse-names":false,"suffix":""},{"dropping-particle":"","family":"Fritsche","given":"Louise","non-dropping-particle":"","parse-names":false,"suffix":""},{"dropping-particle":"","family":"Veit","given":"Ralf","non-dropping-particle":"","parse-names":false,"suffix":""},{"dropping-particle":"","family":"Kantartzis","given":"Konstantinos","non-dropping-particle":"","parse-names":false,"suffix":""},{"dropping-particle":"","family":"Machann","given":"Jürgen","non-dropping-particle":"","parse-names":false,"suffix":""},{"dropping-particle":"","family":"Birkenfeld","given":"Andreas L","non-dropping-particle":"","parse-names":false,"suffix":""},{"dropping-particle":"","family":"Stefan","given":"Norbert","non-dropping-particle":"","parse-names":false,"suffix":""},{"dropping-particle":"","family":"Häring","given":"Hans-Ulrich","non-dropping-particle":"","parse-names":false,"suffix":""},{"dropping-particle":"","family":"Peter","given":"Andreas","non-dropping-particle":"","parse-names":false,"suffix":""},{"dropping-particle":"","family":"Preissl","given":"Hubert","non-dropping-particle":"","parse-names":false,"suffix":""},{"dropping-particle":"","family":"Fritsche","given":"Andreas","non-dropping-particle":"","parse-names":false,"suffix":""},{"dropping-particle":"","family":"Heni","given":"Martin","non-dropping-particle":"","parse-names":false,"suffix":""}],"container-title":"Diabetes care","id":"ITEM-3","issue":"2","issued":{"date-parts":[["2022","2"]]},"language":"eng","page":"398-406","publisher-place":"United States","title":"Empagliflozin Improves Insulin Sensitivity of the Hypothalamus in Humans With  Prediabetes: A Randomized, Double-Blind, Placebo-Controlled, Phase 2 Trial.","type":"article-journal","volume":"45"},"uris":["http://www.mendeley.com/documents/?uuid=202c73c6-0316-4f57-b1c8-a3960af651d6"]},{"id":"ITEM-4","itemData":{"DOI":"10.1111/dom.15094","ISSN":"1463-1326 (Electronic)","PMID":"37046367","abstract":"AIMS: Insulin action in the brain influences cognitive processes, peripheral  metabolism and eating behaviour. However, the influence of age and peripheral insulin sensitivity on brain insulin action remains unclear. MATERIALS AND METHODS: We used intranasal administration of insulin and functional magnetic resonance imaging in a randomized, placebo-controlled within-subject design in 110 participants (54 women, body mass index 18-49 kg/m(2) , age 21-74 years). Cerebral blood flow was measured before and after nasal spray application to assess brain insulin action. Peripheral insulin sensitivity was assessed by a five-point oral glucose tolerance test. Linear regressions were used to investigate associations between age and peripheral insulin sensitivity with brain insulin action in predefined region of interests (i.e. insulin-sensitive brain regions). RESULTS: We found significant negative associations between age and insulin action in the hippocampus (β = -0.215; p = .017) and caudate nucleus (β = -0.184; p = .047); and between peripheral insulin sensitivity and insulin action in the amygdala (β = -0.190, p = .023). Insulin action in the insular cortex showed an interaction effect between age and peripheral insulin sensitivity (β = -0.219 p = .005). Furthermore, women showed the strongest negative association between age and hippocampal insulin action, while men showed the strongest associations with peripheral insulin sensitivity and age in reward-related brain regions. CONCLUSION: We could show a region-specific relationship between brain insulin responsiveness, age and peripheral insulin sensitivity. Our findings underline the need to study brain insulin action in both men and women and further substantiate that brain insulin sensitivity is a possible link between systemic metabolism and neurocognitive functions.","author":[{"dropping-particle":"","family":"Wagner","given":"Lore","non-dropping-particle":"","parse-names":false,"suffix":""},{"dropping-particle":"","family":"Veit","given":"Ralf","non-dropping-particle":"","parse-names":false,"suffix":""},{"dropping-particle":"","family":"Kübler","given":"Christian","non-dropping-particle":"","parse-names":false,"suffix":""},{"dropping-particle":"","family":"Fritsche","given":"Andreas","non-dropping-particle":"","parse-names":false,"suffix":""},{"dropping-particle":"","family":"Häring","given":"Hans-Ulrich","non-dropping-particle":"","parse-names":false,"suffix":""},{"dropping-particle":"","family":"Birkenfeld","given":"Andreas L","non-dropping-particle":"","parse-names":false,"suffix":""},{"dropping-particle":"","family":"Heni","given":"Martin","non-dropping-particle":"","parse-names":false,"suffix":""},{"dropping-particle":"","family":"Preissl","given":"Hubert","non-dropping-particle":"","parse-names":false,"suffix":""},{"dropping-particle":"","family":"Kullmann","given":"Stephanie","non-dropping-particle":"","parse-names":false,"suffix":""}],"container-title":"Diabetes, obesity &amp; metabolism","id":"ITEM-4","issue":"8","issued":{"date-parts":[["2023","8"]]},"language":"eng","page":"2171-2180","publisher-place":"England","title":"Brain insulin responsiveness is linked to age and peripheral insulin sensitivity.","type":"article-journal","volume":"25"},"uris":["http://www.mendeley.com/documents/?uuid=015f0716-46d7-3ffd-ae45-d9358a530a50"]}],"mendeley":{"formattedCitation":"&lt;i&gt;(15, 19, 33, 34)&lt;/i&gt;","plainTextFormattedCitation":"(15, 19, 33, 34)","previouslyFormattedCitation":"&lt;i&gt;(15, 19, 33, 34)&lt;/i&gt;"},"properties":{"noteIndex":0},"schema":"https://github.com/citation-style-language/schema/raw/master/csl-citation.json"}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i/>
          <w:noProof/>
          <w:sz w:val="24"/>
          <w:szCs w:val="24"/>
        </w:rPr>
        <w:t>(15, 19, 33, 34)</w:t>
      </w:r>
      <w:r w:rsidR="00122188" w:rsidRPr="001533EC">
        <w:rPr>
          <w:rStyle w:val="Funotenzeichen"/>
          <w:sz w:val="24"/>
          <w:szCs w:val="24"/>
        </w:rPr>
        <w:fldChar w:fldCharType="end"/>
      </w:r>
      <w:r w:rsidR="00C35B7A" w:rsidRPr="001533EC">
        <w:rPr>
          <w:sz w:val="24"/>
          <w:szCs w:val="24"/>
        </w:rPr>
        <w:t>.</w:t>
      </w:r>
      <w:r w:rsidRPr="00DF42F9">
        <w:rPr>
          <w:sz w:val="24"/>
        </w:rPr>
        <w:t xml:space="preserve"> </w:t>
      </w:r>
      <w:r>
        <w:rPr>
          <w:sz w:val="24"/>
        </w:rPr>
        <w:t>The primary objective of the study was t</w:t>
      </w:r>
      <w:r w:rsidRPr="001533EC">
        <w:rPr>
          <w:sz w:val="24"/>
        </w:rPr>
        <w:t xml:space="preserve">o identify key epigenetic markers </w:t>
      </w:r>
      <w:r>
        <w:rPr>
          <w:sz w:val="24"/>
        </w:rPr>
        <w:t xml:space="preserve">of brain insulin sensitivity </w:t>
      </w:r>
      <w:r w:rsidRPr="001533EC">
        <w:rPr>
          <w:sz w:val="24"/>
        </w:rPr>
        <w:t xml:space="preserve">using a machine learning approach. </w:t>
      </w:r>
      <w:r>
        <w:rPr>
          <w:sz w:val="24"/>
        </w:rPr>
        <w:t xml:space="preserve">We hypothesized that persons with brain insulin resistance show a distinct epigenetic profile compared to brain insulin sensitive persons independent of </w:t>
      </w:r>
      <w:r w:rsidRPr="001533EC">
        <w:rPr>
          <w:sz w:val="24"/>
        </w:rPr>
        <w:t xml:space="preserve">peripheral insulin sensitivity. </w:t>
      </w:r>
    </w:p>
    <w:p w14:paraId="42232940" w14:textId="03D06733" w:rsidR="00DF42F9" w:rsidRDefault="00DF42F9" w:rsidP="00DF42F9">
      <w:pPr>
        <w:spacing w:line="480" w:lineRule="auto"/>
        <w:jc w:val="both"/>
        <w:rPr>
          <w:sz w:val="24"/>
          <w:szCs w:val="24"/>
        </w:rPr>
      </w:pPr>
      <w:r>
        <w:rPr>
          <w:sz w:val="24"/>
          <w:szCs w:val="24"/>
        </w:rPr>
        <w:t xml:space="preserve">Only healthy </w:t>
      </w:r>
      <w:r w:rsidRPr="001533EC">
        <w:rPr>
          <w:sz w:val="24"/>
          <w:szCs w:val="24"/>
        </w:rPr>
        <w:t>individuals with</w:t>
      </w:r>
      <w:r>
        <w:rPr>
          <w:sz w:val="24"/>
          <w:szCs w:val="24"/>
        </w:rPr>
        <w:t>out a diagnosis of</w:t>
      </w:r>
      <w:r w:rsidRPr="001533EC">
        <w:rPr>
          <w:sz w:val="24"/>
          <w:szCs w:val="24"/>
        </w:rPr>
        <w:t xml:space="preserve"> chronic diseases</w:t>
      </w:r>
      <w:r w:rsidR="00F02D43">
        <w:rPr>
          <w:sz w:val="24"/>
          <w:szCs w:val="24"/>
        </w:rPr>
        <w:t>,</w:t>
      </w:r>
      <w:r w:rsidRPr="001533EC">
        <w:rPr>
          <w:sz w:val="24"/>
          <w:szCs w:val="24"/>
        </w:rPr>
        <w:t xml:space="preserve"> or type 2 diabetes</w:t>
      </w:r>
      <w:r w:rsidR="00F02D43">
        <w:rPr>
          <w:sz w:val="24"/>
          <w:szCs w:val="24"/>
        </w:rPr>
        <w:t>,</w:t>
      </w:r>
      <w:r w:rsidRPr="001533EC">
        <w:rPr>
          <w:sz w:val="24"/>
          <w:szCs w:val="24"/>
        </w:rPr>
        <w:t xml:space="preserve"> or receiv</w:t>
      </w:r>
      <w:r>
        <w:rPr>
          <w:sz w:val="24"/>
          <w:szCs w:val="24"/>
        </w:rPr>
        <w:t>ing</w:t>
      </w:r>
      <w:r w:rsidRPr="001533EC">
        <w:rPr>
          <w:sz w:val="24"/>
          <w:szCs w:val="24"/>
        </w:rPr>
        <w:t xml:space="preserve"> glucose</w:t>
      </w:r>
      <w:r>
        <w:rPr>
          <w:sz w:val="24"/>
          <w:szCs w:val="24"/>
        </w:rPr>
        <w:t>-</w:t>
      </w:r>
      <w:r w:rsidRPr="001533EC">
        <w:rPr>
          <w:sz w:val="24"/>
          <w:szCs w:val="24"/>
        </w:rPr>
        <w:t>lowering medications</w:t>
      </w:r>
      <w:r>
        <w:rPr>
          <w:sz w:val="24"/>
          <w:szCs w:val="24"/>
        </w:rPr>
        <w:t xml:space="preserve"> were included in the study</w:t>
      </w:r>
      <w:r w:rsidRPr="001533EC">
        <w:rPr>
          <w:sz w:val="24"/>
          <w:szCs w:val="24"/>
        </w:rPr>
        <w:t>. In the discovery cohort, the participants only differed with respect to their brain but not peripheral insulin sensitivity, as assessed through a 5-point 75</w:t>
      </w:r>
      <w:r>
        <w:rPr>
          <w:sz w:val="24"/>
          <w:szCs w:val="24"/>
        </w:rPr>
        <w:t xml:space="preserve"> </w:t>
      </w:r>
      <w:r w:rsidRPr="001533EC">
        <w:rPr>
          <w:sz w:val="24"/>
          <w:szCs w:val="24"/>
        </w:rPr>
        <w:t xml:space="preserve">g oral glucose tolerance test; participants of replication cohort I </w:t>
      </w:r>
      <w:r w:rsidR="005A0CAB">
        <w:rPr>
          <w:sz w:val="24"/>
          <w:szCs w:val="24"/>
        </w:rPr>
        <w:t xml:space="preserve">and II </w:t>
      </w:r>
      <w:r w:rsidRPr="001533EC">
        <w:rPr>
          <w:sz w:val="24"/>
          <w:szCs w:val="24"/>
        </w:rPr>
        <w:t xml:space="preserve">had a more heterogenous phenotype (Table 1). </w:t>
      </w:r>
      <w:r>
        <w:rPr>
          <w:sz w:val="24"/>
          <w:szCs w:val="24"/>
        </w:rPr>
        <w:t>Only participants with b</w:t>
      </w:r>
      <w:r w:rsidRPr="001533EC">
        <w:rPr>
          <w:sz w:val="24"/>
          <w:szCs w:val="24"/>
        </w:rPr>
        <w:t>lood samples for DNA methylation measurements prior to intranasal insulin administration</w:t>
      </w:r>
      <w:r>
        <w:rPr>
          <w:sz w:val="24"/>
          <w:szCs w:val="24"/>
        </w:rPr>
        <w:t xml:space="preserve"> were included</w:t>
      </w:r>
      <w:r w:rsidRPr="001533EC">
        <w:rPr>
          <w:sz w:val="24"/>
          <w:szCs w:val="24"/>
        </w:rPr>
        <w:t>.</w:t>
      </w:r>
      <w:r>
        <w:rPr>
          <w:sz w:val="24"/>
          <w:szCs w:val="24"/>
        </w:rPr>
        <w:t xml:space="preserve"> </w:t>
      </w:r>
      <w:r w:rsidRPr="001533EC">
        <w:rPr>
          <w:sz w:val="24"/>
          <w:szCs w:val="24"/>
        </w:rPr>
        <w:t xml:space="preserve">The analyses included </w:t>
      </w:r>
      <w:r w:rsidR="00E15730">
        <w:rPr>
          <w:sz w:val="24"/>
          <w:szCs w:val="24"/>
        </w:rPr>
        <w:t xml:space="preserve">baseline </w:t>
      </w:r>
      <w:r w:rsidRPr="001533EC">
        <w:rPr>
          <w:sz w:val="24"/>
          <w:szCs w:val="24"/>
        </w:rPr>
        <w:t xml:space="preserve">data from previously published studies </w:t>
      </w:r>
      <w:r w:rsidRPr="001533EC">
        <w:rPr>
          <w:rStyle w:val="Funotenzeichen"/>
          <w:sz w:val="24"/>
          <w:szCs w:val="24"/>
        </w:rPr>
        <w:fldChar w:fldCharType="begin" w:fldLock="1"/>
      </w:r>
      <w:r w:rsidR="0017498C">
        <w:rPr>
          <w:sz w:val="24"/>
          <w:szCs w:val="24"/>
        </w:rPr>
        <w:instrText>ADDIN CSL_CITATION {"citationItems":[{"id":"ITEM-1","itemData":{"DOI":"10.2337/dc14-2319","ISSN":"1935-5548 (Electronic)","PMID":"25795413","abstract":"OBJECTIVE: Impaired brain insulin action has been linked to obesity, type 2  diabetes, and neurodegenerative diseases. To date, the central nervous effects of insulin in obese humans still remain ill defined, and no study thus far has evaluated the specific brain areas affected by insulin resistance. RESEARCH DESIGN AND METHODS: In 25 healthy lean and 23 overweight/obese participants, we performed magnetic resonance imaging to measure cerebral blood flow (CBF) before and 15 and 30 min after application of intranasal insulin or placebo. Additionally, participants explicitly rated pictures of high-caloric savory and sweet food 60 min after the spray for wanting and liking. RESULTS: In response to insulin compared with placebo, we found a significant CBF decrease in the hypothalamus in both lean and overweight/obese participants. The magnitude of this response correlated with visceral adipose tissue independent of other fat compartments. Furthermore, we observed a differential response in the lean compared with the overweight/obese group in the prefrontal cortex, resulting in an insulin-induced CBF reduction in lean participants only. This prefrontal cortex response significantly correlated with peripheral insulin sensitivity and eating behavior measures such as disinhibition and food craving. Behaviorally, we were able to observe a significant reduction for the wanting of sweet foods after insulin application in lean men only. CONCLUSIONS: Brain insulin action was selectively impaired in the prefrontal cortex in overweight and obese adults and in the hypothalamus in participants with high visceral adipose tissue, potentially promoting an altered homeostatic set point and reduced inhibitory control contributing to overeating behavior.","author":[{"dropping-particle":"","family":"Kullmann","given":"Stephanie","non-dropping-particle":"","parse-names":false,"suffix":""},{"dropping-particle":"","family":"Heni","given":"Martin","non-dropping-particle":"","parse-names":false,"suffix":""},{"dropping-particle":"","family":"Veit","given":"Ralf","non-dropping-particle":"","parse-names":false,"suffix":""},{"dropping-particle":"","family":"Scheffler","given":"Klaus","non-dropping-particle":"","parse-names":false,"suffix":""},{"dropping-particle":"","family":"Machann","given":"Jürgen","non-dropping-particle":"","parse-names":false,"suffix":""},{"dropping-particle":"","family":"Häring","given":"Hans-Ulrich","non-dropping-particle":"","parse-names":false,"suffix":""},{"dropping-particle":"","family":"Fritsche","given":"Andreas","non-dropping-particle":"","parse-names":false,"suffix":""},{"dropping-particle":"","family":"Preissl","given":"Hubert","non-dropping-particle":"","parse-names":false,"suffix":""}],"container-title":"Diabetes care","id":"ITEM-1","issue":"6","issued":{"date-parts":[["2015","6"]]},"language":"eng","page":"1044-1050","publisher-place":"United States","title":"Selective insulin resistance in homeostatic and cognitive control brain areas in  overweight and obese adults.","type":"article-journal","volume":"38"},"uris":["http://www.mendeley.com/documents/?uuid=b3c3bf05-2eca-47b0-b37b-9ccc13cf91af"]},{"id":"ITEM-2","itemData":{"DOI":"10.1172/jci.insight.161498","ISSN":"2379-3708 (Electronic)","PMID":"36134657","abstract":"BACKGROUNDInsulin resistance of the brain can unfavorably affect long-term weight  maintenance and body fat distribution. Little is known if and how brain insulin sensitivity can be restored in humans. We aimed to evaluate the effects of an exercise intervention on insulin sensitivity of the brain and how this relates to exercise-induced changes in whole-body metabolism and behavior.METHODSIn this clinical trial, sedentary participants who were overweight and obese underwent an 8-week supervised aerobic training intervention. Brain insulin sensitivity was assessed in 21 participants (14 women, 7 men; age range 21-59 years; BMI range 27.5-45.5 kg/m2) using functional MRI, combined with intranasal administration of insulin, before and after the intervention.RESULTSThe exercise program resulted in enhanced brain insulin action to the level of a person of healthy weight, demonstrated by increased insulin-induced striatal activity and strengthened hippocampal functional connectivity. Improved brain insulin action correlated with increased mitochondrial respiration in skeletal muscle, reductions in visceral fat and hunger, as well as improved cognition. Mediation analyses suggest that improved brain insulin responsiveness helps mediate the peripheral exercise effects leading to healthier body fat distribution and reduced perception of hunger.CONCLUSIONOur study demonstrates that an 8-week exercise intervention in sedentary individuals can restore insulin action in the brain. Hence, the ameliorating benefits of exercise toward brain insulin resistance may provide an objective therapeutic target in humans in the challenge to reduce diabetes risk factors.TRIAL REGISTRATIONClinicalTrials.gov (NCT03151590).FUNDINGBMBF/DZD 01GI0925.","author":[{"dropping-particle":"","family":"Kullmann","given":"Stephanie","non-dropping-particle":"","parse-names":false,"suffix":""},{"dropping-particle":"","family":"Goj","given":"Thomas","non-dropping-particle":"","parse-names":false,"suffix":""},{"dropping-particle":"","family":"Veit","given":"Ralf","non-dropping-particle":"","parse-names":false,"suffix":""},{"dropping-particle":"","family":"Fritsche","given":"Louise","non-dropping-particle":"","parse-names":false,"suffix":""},{"dropping-particle":"","family":"Wagner","given":"Lore","non-dropping-particle":"","parse-names":false,"suffix":""},{"dropping-particle":"","family":"Schneeweiss","given":"Patrick","non-dropping-particle":"","parse-names":false,"suffix":""},{"dropping-particle":"","family":"Hoene","given":"Miriam","non-dropping-particle":"","parse-names":false,"suffix":""},{"dropping-particle":"","family":"Hoffmann","given":"Christoph","non-dropping-particle":"","parse-names":false,"suffix":""},{"dropping-particle":"","family":"Machann","given":"Jürgen","non-dropping-particle":"","parse-names":false,"suffix":""},{"dropping-particle":"","family":"Niess","given":"Andreas","non-dropping-particle":"","parse-names":false,"suffix":""},{"dropping-particle":"","family":"Preissl","given":"Hubert","non-dropping-particle":"","parse-names":false,"suffix":""},{"dropping-particle":"","family":"Birkenfeld","given":"Andreas L","non-dropping-particle":"","parse-names":false,"suffix":""},{"dropping-particle":"","family":"Peter","given":"Andreas","non-dropping-particle":"","parse-names":false,"suffix":""},{"dropping-particle":"","family":"Häring","given":"Hans-Ulrich","non-dropping-particle":"","parse-names":false,"suffix":""},{"dropping-particle":"","family":"Fritsche","given":"Andreas","non-dropping-particle":"","parse-names":false,"suffix":""},{"dropping-particle":"","family":"Moller","given":"Anja","non-dropping-particle":"","parse-names":false,"suffix":""},{"dropping-particle":"","family":"Weigert","given":"Cora","non-dropping-particle":"","parse-names":false,"suffix":""},{"dropping-particle":"","family":"Heni","given":"Martin","non-dropping-particle":"","parse-names":false,"suffix":""}],"container-title":"JCI insight","id":"ITEM-2","issue":"18","issued":{"date-parts":[["2022","9"]]},"language":"eng","publisher-place":"United States","title":"Exercise restores brain insulin sensitivity in sedentary adults who are  overweight and obese.","type":"article-journal","volume":"7"},"uris":["http://www.mendeley.com/documents/?uuid=85acbd95-612c-4639-a70c-cec194bedb4f"]},{"id":"ITEM-3","itemData":{"DOI":"10.2337/dc21-1136","ISSN":"1935-5548 (Electronic)","PMID":"34716213","abstract":"OBJECTIVE: Insulin action in the human brain reduces food intake, improves  whole-body insulin sensitivity, and modulates body fat mass and its distribution. Obesity and type 2 diabetes are often associated with brain insulin resistance, resulting in impaired brain-derived modulation of peripheral metabolism. So far, no pharmacological treatment for brain insulin resistance has been established. Since sodium-glucose cotransporter 2 (SGLT2) inhibitors lower glucose levels and modulate energy metabolism, we hypothesized that SGLT2 inhibition may be a pharmacological approach to reverse brain insulin resistance. RESEARCH DESIGN AND METHODS: In this randomized, double-blind, placebo-controlled clinical trial, 40 patients (mean ± SD; age 60 ± 9 years; BMI 31.5 ± 3.8 kg/m2) with prediabetes were randomized to receive 25 mg empagliflozin every day or placebo. Before and after 8 weeks of treatment, brain insulin sensitivity was assessed by functional MRI combined with intranasal administration of insulin to the brain. RESULTS: We identified a significant interaction between time and treatment in the hypothalamic response to insulin. Post hoc analyses revealed that only empagliflozin-treated patients experienced increased hypothalamic insulin responsiveness. Hypothalamic insulin action significantly mediated the empagliflozin-induced decrease in fasting glucose and liver fat. CONCLUSIONS: Our results corroborate insulin resistance of the hypothalamus in humans with prediabetes. Treatment with empagliflozin for 8 weeks was able to restore hypothalamic insulin sensitivity, a favorable response that could contribute to the beneficial effects of SGLT2 inhibitors. Our findings position SGLT2 inhibition as the first pharmacological approach to reverse brain insulin resistance, with potential benefits for adiposity and whole-body metabolism.","author":[{"dropping-particle":"","family":"Kullmann","given":"Stephanie","non-dropping-particle":"","parse-names":false,"suffix":""},{"dropping-particle":"","family":"Hummel","given":"Julia","non-dropping-particle":"","parse-names":false,"suffix":""},{"dropping-particle":"","family":"Wagner","given":"Robert","non-dropping-particle":"","parse-names":false,"suffix":""},{"dropping-particle":"","family":"Dannecker","given":"Corinna","non-dropping-particle":"","parse-names":false,"suffix":""},{"dropping-particle":"","family":"Vosseler","given":"Andreas","non-dropping-particle":"","parse-names":false,"suffix":""},{"dropping-particle":"","family":"Fritsche","given":"Louise","non-dropping-particle":"","parse-names":false,"suffix":""},{"dropping-particle":"","family":"Veit","given":"Ralf","non-dropping-particle":"","parse-names":false,"suffix":""},{"dropping-particle":"","family":"Kantartzis","given":"Konstantinos","non-dropping-particle":"","parse-names":false,"suffix":""},{"dropping-particle":"","family":"Machann","given":"Jürgen","non-dropping-particle":"","parse-names":false,"suffix":""},{"dropping-particle":"","family":"Birkenfeld","given":"Andreas L","non-dropping-particle":"","parse-names":false,"suffix":""},{"dropping-particle":"","family":"Stefan","given":"Norbert","non-dropping-particle":"","parse-names":false,"suffix":""},{"dropping-particle":"","family":"Häring","given":"Hans-Ulrich","non-dropping-particle":"","parse-names":false,"suffix":""},{"dropping-particle":"","family":"Peter","given":"Andreas","non-dropping-particle":"","parse-names":false,"suffix":""},{"dropping-particle":"","family":"Preissl","given":"Hubert","non-dropping-particle":"","parse-names":false,"suffix":""},{"dropping-particle":"","family":"Fritsche","given":"Andreas","non-dropping-particle":"","parse-names":false,"suffix":""},{"dropping-particle":"","family":"Heni","given":"Martin","non-dropping-particle":"","parse-names":false,"suffix":""}],"container-title":"Diabetes care","id":"ITEM-3","issue":"2","issued":{"date-parts":[["2022","2"]]},"language":"eng","page":"398-406","publisher-place":"United States","title":"Empagliflozin Improves Insulin Sensitivity of the Hypothalamus in Humans With  Prediabetes: A Randomized, Double-Blind, Placebo-Controlled, Phase 2 Trial.","type":"article-journal","volume":"45"},"uris":["http://www.mendeley.com/documents/?uuid=202c73c6-0316-4f57-b1c8-a3960af651d6"]},{"id":"ITEM-4","itemData":{"DOI":"10.1111/dom.15094","ISSN":"1463-1326 (Electronic)","PMID":"37046367","abstract":"AIMS: Insulin action in the brain influences cognitive processes, peripheral  metabolism and eating behaviour. However, the influence of age and peripheral insulin sensitivity on brain insulin action remains unclear. MATERIALS AND METHODS: We used intranasal administration of insulin and functional magnetic resonance imaging in a randomized, placebo-controlled within-subject design in 110 participants (54 women, body mass index 18-49 kg/m(2) , age 21-74 years). Cerebral blood flow was measured before and after nasal spray application to assess brain insulin action. Peripheral insulin sensitivity was assessed by a five-point oral glucose tolerance test. Linear regressions were used to investigate associations between age and peripheral insulin sensitivity with brain insulin action in predefined region of interests (i.e. insulin-sensitive brain regions). RESULTS: We found significant negative associations between age and insulin action in the hippocampus (β = -0.215; p = .017) and caudate nucleus (β = -0.184; p = .047); and between peripheral insulin sensitivity and insulin action in the amygdala (β = -0.190, p = .023). Insulin action in the insular cortex showed an interaction effect between age and peripheral insulin sensitivity (β = -0.219 p = .005). Furthermore, women showed the strongest negative association between age and hippocampal insulin action, while men showed the strongest associations with peripheral insulin sensitivity and age in reward-related brain regions. CONCLUSION: We could show a region-specific relationship between brain insulin responsiveness, age and peripheral insulin sensitivity. Our findings underline the need to study brain insulin action in both men and women and further substantiate that brain insulin sensitivity is a possible link between systemic metabolism and neurocognitive functions.","author":[{"dropping-particle":"","family":"Wagner","given":"Lore","non-dropping-particle":"","parse-names":false,"suffix":""},{"dropping-particle":"","family":"Veit","given":"Ralf","non-dropping-particle":"","parse-names":false,"suffix":""},{"dropping-particle":"","family":"Kübler","given":"Christian","non-dropping-particle":"","parse-names":false,"suffix":""},{"dropping-particle":"","family":"Fritsche","given":"Andreas","non-dropping-particle":"","parse-names":false,"suffix":""},{"dropping-particle":"","family":"Häring","given":"Hans-Ulrich","non-dropping-particle":"","parse-names":false,"suffix":""},{"dropping-particle":"","family":"Birkenfeld","given":"Andreas L","non-dropping-particle":"","parse-names":false,"suffix":""},{"dropping-particle":"","family":"Heni","given":"Martin","non-dropping-particle":"","parse-names":false,"suffix":""},{"dropping-particle":"","family":"Preissl","given":"Hubert","non-dropping-particle":"","parse-names":false,"suffix":""},{"dropping-particle":"","family":"Kullmann","given":"Stephanie","non-dropping-particle":"","parse-names":false,"suffix":""}],"container-title":"Diabetes, obesity &amp; metabolism","id":"ITEM-4","issue":"8","issued":{"date-parts":[["2023","8"]]},"language":"eng","page":"2171-2180","publisher-place":"England","title":"Brain insulin responsiveness is linked to age and peripheral insulin sensitivity.","type":"article-journal","volume":"25"},"uris":["http://www.mendeley.com/documents/?uuid=015f0716-46d7-3ffd-ae45-d9358a530a50"]}],"mendeley":{"formattedCitation":"&lt;i&gt;(15, 33, 34, 58)&lt;/i&gt;","plainTextFormattedCitation":"(15, 33, 34, 58)","previouslyFormattedCitation":"&lt;i&gt;(15, 33, 34, 58)&lt;/i&gt;"},"properties":{"noteIndex":0},"schema":"https://github.com/citation-style-language/schema/raw/master/csl-citation.json"}</w:instrText>
      </w:r>
      <w:r w:rsidRPr="001533EC">
        <w:rPr>
          <w:rStyle w:val="Funotenzeichen"/>
          <w:sz w:val="24"/>
          <w:szCs w:val="24"/>
        </w:rPr>
        <w:fldChar w:fldCharType="separate"/>
      </w:r>
      <w:r w:rsidRPr="001533EC">
        <w:rPr>
          <w:bCs/>
          <w:i/>
          <w:noProof/>
          <w:sz w:val="24"/>
          <w:szCs w:val="24"/>
        </w:rPr>
        <w:t>(15, 33, 34, 58)</w:t>
      </w:r>
      <w:r w:rsidRPr="001533EC">
        <w:rPr>
          <w:rStyle w:val="Funotenzeichen"/>
          <w:sz w:val="24"/>
          <w:szCs w:val="24"/>
        </w:rPr>
        <w:fldChar w:fldCharType="end"/>
      </w:r>
      <w:r w:rsidR="00F02D43">
        <w:rPr>
          <w:sz w:val="24"/>
          <w:szCs w:val="24"/>
        </w:rPr>
        <w:t xml:space="preserve"> </w:t>
      </w:r>
      <w:r>
        <w:rPr>
          <w:sz w:val="24"/>
          <w:szCs w:val="24"/>
        </w:rPr>
        <w:t>that</w:t>
      </w:r>
      <w:r w:rsidRPr="001533EC">
        <w:rPr>
          <w:sz w:val="24"/>
          <w:szCs w:val="24"/>
        </w:rPr>
        <w:t xml:space="preserve"> were approved by the ethics committee of the University Clinic Tübingen</w:t>
      </w:r>
      <w:r w:rsidR="00E45487">
        <w:rPr>
          <w:sz w:val="24"/>
          <w:szCs w:val="24"/>
        </w:rPr>
        <w:t xml:space="preserve"> </w:t>
      </w:r>
      <w:r w:rsidR="00E45487">
        <w:rPr>
          <w:sz w:val="24"/>
          <w:szCs w:val="24"/>
        </w:rPr>
        <w:fldChar w:fldCharType="begin" w:fldLock="1"/>
      </w:r>
      <w:r w:rsidR="003663F0">
        <w:rPr>
          <w:sz w:val="24"/>
          <w:szCs w:val="24"/>
        </w:rPr>
        <w:instrText>ADDIN CSL_CITATION {"citationItems":[{"id":"ITEM-1","itemData":{"DOI":"10.1186/S12916-024-03771-8,","ISSN":"17417015","PMID":"39593091","abstract":"Background: The potential impact of specific food additives, common in Western diets, on the risk of developing type 2 diabetes is not well understood. This study focuses on carrageenan, a widely used food additive known to induce insulin resistance and gut inflammation in animal models, and its effects on human health. Methods: In a randomised, double-blind, placebo-controlled, cross-over trial conducted at a university hospital metabolic study centre, 20 males (age 27.4 ± 4.3 years, BMI 24.5 ± 2.5 kg/m2) participated. The intervention involved oral intake of carrageenan (250 mg) or placebo in the morning and in the evening and each intervention lasted 2 weeks. The primary outcome measured was insulin sensitivity (using oral glucose tolerance test [OGTT] and hyperinsulinaemic-euglycaemic clamp). Additional end-points included whole body and hepatic insulin sensitivity, MRI-measured brain inflammation and insulin resistance, intestinal permeability (via lactulose-mannitol test and plasma zonulin levels), and gut microbiome composition. Immune-cell activation and pro-inflammatory cytokine release from peripheral blood mononuclear cells were measured. Results: Overall insulin sensitivity did not show significant differences between the treatments. However, interactions between BMI and treatment were observed (OGTT-based insulin sensitivity index: p=0.04, fasting insulin resistance:p=0.01, hepatic insulin sensitivity index: p=0.04). In overweight participants, carrageenan exposure resulted in lower whole body and hepatic insulin sensitivity, a trend towards increased brain inflammation, and elevated C-reactive protein (CRP) and IL-6 levels compared to placebo. Additionally, carrageenan was associated with increased intestinal permeability. In vitro natural killer (NK-)cell activation and increased pro-inflammatory cytokine release were found after carrageenan exposure in the participant’s peripheral blood mononuclear cells. Conclusions: These findings suggest that carrageenan, a common food additive, may contribute to insulin resistance and subclinical inflammation in overweight individuals through pro-inflammatory mechanisms in the gut. Further investigation into the long-term health impacts of carrageenan and other food additives is warranted. Trial registration: NCT02629705.","author":[{"dropping-particle":"","family":"Wagner","given":"Robert","non-dropping-particle":"","parse-names":false,"suffix":""},{"dropping-particle":"","family":"Buettner","given":"Janine","non-dropping-particle":"","parse-names":false,"suffix":""},{"dropping-particle":"","family":"Heni","given":"Martin","non-dropping-particle":"","parse-names":false,"suffix":""},{"dropping-particle":"","family":"Fritsche","given":"Louise","non-dropping-particle":"","parse-names":false,"suffix":""},{"dropping-particle":"","family":"Kullmann","given":"Stephanie","non-dropping-particle":"","parse-names":false,"suffix":""},{"dropping-particle":"","family":"Wagmüller","given":"Moritz","non-dropping-particle":"","parse-names":false,"suffix":""},{"dropping-particle":"","family":"Peter","given":"Andreas","non-dropping-particle":"","parse-names":false,"suffix":""},{"dropping-particle":"","family":"Preissl","given":"Hubert","non-dropping-particle":"","parse-names":false,"suffix":""},{"dropping-particle":"","family":"Machann","given":"Jürgen","non-dropping-particle":"","parse-names":false,"suffix":""},{"dropping-particle":"","family":"Jumpertz von Schwartzenberg","given":"Reiner","non-dropping-particle":"","parse-names":false,"suffix":""},{"dropping-particle":"","family":"Birkenfeld","given":"Andreas L.","non-dropping-particle":"","parse-names":false,"suffix":""},{"dropping-particle":"","family":"Pape","given":"Ulrich Frank","non-dropping-particle":"","parse-names":false,"suffix":""},{"dropping-particle":"","family":"Hall","given":"Gerrit","non-dropping-particle":"van","parse-names":false,"suffix":""},{"dropping-particle":"","family":"Plomgaard","given":"Peter","non-dropping-particle":"","parse-names":false,"suffix":""},{"dropping-particle":"","family":"Häring","given":"Hans Ulrich","non-dropping-particle":"","parse-names":false,"suffix":""},{"dropping-particle":"","family":"Fritsche","given":"Andreas","non-dropping-particle":"","parse-names":false,"suffix":""},{"dropping-particle":"","family":"Thompson","given":"Kelsey N.","non-dropping-particle":"","parse-names":false,"suffix":""},{"dropping-particle":"","family":"Klein","given":"Reinhild","non-dropping-particle":"","parse-names":false,"suffix":""},{"dropping-particle":"","family":"Stefan","given":"Norbert","non-dropping-particle":"","parse-names":false,"suffix":""}],"container-title":"BMC Medicine","id":"ITEM-1","issue":"1","issued":{"date-parts":[["2024","12","1"]]},"publisher":"BioMed Central Ltd","title":"Carrageenan and insulin resistance in humans: a randomised double-blind cross-over trial","type":"article-journal","volume":"22"},"uris":["http://www.mendeley.com/documents/?uuid=60614bdd-b10a-36fe-bb3e-258719e8c290"]},{"id":"ITEM-2","itemData":{"DOI":"10.1038/S42255-025-01226-9","ISSN":"25225812","PMID":"39984682","abstract":"Brain insulin responsiveness is linked to long-term weight gain and unhealthy body fat distribution. Here we show that short-term overeating with calorie-rich sweet and fatty foods triggers liver fat accumulation and disrupted brain insulin action that outlasted the time-frame of its consumption in healthy weight men. Hence, brain response to insulin can adapt to short-term changes in diet before weight gain and may facilitate the development of obesity and associated diseases.","author":[{"dropping-particle":"","family":"Kullmann","given":"Stephanie","non-dropping-particle":"","parse-names":false,"suffix":""},{"dropping-particle":"","family":"Wagner","given":"Lore","non-dropping-particle":"","parse-names":false,"suffix":""},{"dropping-particle":"","family":"Hauffe","given":"Robert","non-dropping-particle":"","parse-names":false,"suffix":""},{"dropping-particle":"","family":"Kühnel","given":"Anne","non-dropping-particle":"","parse-names":false,"suffix":""},{"dropping-particle":"","family":"Sandforth","given":"Leontine","non-dropping-particle":"","parse-names":false,"suffix":""},{"dropping-particle":"","family":"Veit","given":"Ralf","non-dropping-particle":"","parse-names":false,"suffix":""},{"dropping-particle":"","family":"Dannecker","given":"Corinna","non-dropping-particle":"","parse-names":false,"suffix":""},{"dropping-particle":"","family":"Machann","given":"Jürgen","non-dropping-particle":"","parse-names":false,"suffix":""},{"dropping-particle":"","family":"Fritsche","given":"Andreas","non-dropping-particle":"","parse-names":false,"suffix":""},{"dropping-particle":"","family":"Stefan","given":"Nobert","non-dropping-particle":"","parse-names":false,"suffix":""},{"dropping-particle":"","family":"Preissl","given":"Hubert","non-dropping-particle":"","parse-names":false,"suffix":""},{"dropping-particle":"","family":"Kroemer","given":"Nils B.","non-dropping-particle":"","parse-names":false,"suffix":""},{"dropping-particle":"","family":"Heni","given":"Martin","non-dropping-particle":"","parse-names":false,"suffix":""},{"dropping-particle":"","family":"Kleinridders","given":"André","non-dropping-particle":"","parse-names":false,"suffix":""},{"dropping-particle":"","family":"Birkenfeld","given":"Andreas L.","non-dropping-particle":"","parse-names":false,"suffix":""}],"container-title":"Nature Metabolism","id":"ITEM-2","issue":"3","issued":{"date-parts":[["2025","3","1"]]},"page":"469","publisher":"Nature Research","title":"A short-term, high-caloric diet has prolonged effects on brain insulin action in men","type":"article-journal","volume":"7"},"uris":["http://www.mendeley.com/documents/?uuid=8b2cfe8b-da7e-3c9e-a29a-73e5f11f74f4"]},{"id":"ITEM-3","itemData":{"DOI":"10.1016/S2213-8587(23)00286-3","ISSN":"22138595","PMID":"37866366","author":[{"dropping-particle":"","family":"Hummel","given":"Julia","non-dropping-particle":"","parse-names":false,"suffix":""},{"dropping-particle":"","family":"Kullmann","given":"Stephanie","non-dropping-particle":"","parse-names":false,"suffix":""},{"dropping-particle":"","family":"Wagner","given":"Róbert","non-dropping-particle":"","parse-names":false,"suffix":""},{"dropping-particle":"","family":"Heni","given":"Martin","non-dropping-particle":"","parse-names":false,"suffix":""}],"container-title":"The Lancet Diabetes and Endocrinology","id":"ITEM-3","issue":"12","issued":{"date-parts":[["2023","12","1"]]},"page":"883-884","publisher":"Elsevier Ltd","title":"Glycaemic fluctuations across the menstrual cycle: possible effect of the brain","type":"article-journal","volume":"11"},"uris":["http://www.mendeley.com/documents/?uuid=34766230-db60-3f22-ab9b-c2a01ddca528"]}],"mendeley":{"formattedCitation":"&lt;i&gt;(60–62)&lt;/i&gt;","plainTextFormattedCitation":"(60–62)","previouslyFormattedCitation":"&lt;i&gt;(60–62)&lt;/i&gt;"},"properties":{"noteIndex":0},"schema":"https://github.com/citation-style-language/schema/raw/master/csl-citation.json"}</w:instrText>
      </w:r>
      <w:r w:rsidR="00E45487">
        <w:rPr>
          <w:sz w:val="24"/>
          <w:szCs w:val="24"/>
        </w:rPr>
        <w:fldChar w:fldCharType="separate"/>
      </w:r>
      <w:r w:rsidR="00E45487" w:rsidRPr="00E45487">
        <w:rPr>
          <w:i/>
          <w:noProof/>
          <w:sz w:val="24"/>
          <w:szCs w:val="24"/>
        </w:rPr>
        <w:t>(60–62)</w:t>
      </w:r>
      <w:r w:rsidR="00E45487">
        <w:rPr>
          <w:sz w:val="24"/>
          <w:szCs w:val="24"/>
        </w:rPr>
        <w:fldChar w:fldCharType="end"/>
      </w:r>
      <w:r w:rsidR="00C83BAB">
        <w:rPr>
          <w:sz w:val="24"/>
          <w:szCs w:val="24"/>
        </w:rPr>
        <w:t xml:space="preserve"> and belonging to different clinical trial </w:t>
      </w:r>
      <w:r w:rsidR="00C83BAB" w:rsidRPr="00023012">
        <w:rPr>
          <w:sz w:val="24"/>
          <w:szCs w:val="24"/>
        </w:rPr>
        <w:t>NCT04372849</w:t>
      </w:r>
      <w:r w:rsidR="00C83BAB">
        <w:rPr>
          <w:sz w:val="24"/>
          <w:szCs w:val="24"/>
        </w:rPr>
        <w:t xml:space="preserve">, </w:t>
      </w:r>
      <w:r w:rsidR="00C83BAB" w:rsidRPr="00023012">
        <w:rPr>
          <w:sz w:val="24"/>
          <w:szCs w:val="24"/>
        </w:rPr>
        <w:t>NCT01797601</w:t>
      </w:r>
      <w:r w:rsidR="00C83BAB">
        <w:rPr>
          <w:sz w:val="24"/>
          <w:szCs w:val="24"/>
        </w:rPr>
        <w:t>,</w:t>
      </w:r>
      <w:r w:rsidR="00C83BAB" w:rsidRPr="00023012">
        <w:rPr>
          <w:sz w:val="24"/>
          <w:szCs w:val="24"/>
        </w:rPr>
        <w:t xml:space="preserve"> NCT03227484</w:t>
      </w:r>
      <w:r w:rsidR="00C83BAB">
        <w:rPr>
          <w:sz w:val="24"/>
          <w:szCs w:val="24"/>
        </w:rPr>
        <w:t xml:space="preserve">, </w:t>
      </w:r>
      <w:r w:rsidR="00C83BAB" w:rsidRPr="00023012">
        <w:rPr>
          <w:sz w:val="24"/>
          <w:szCs w:val="24"/>
        </w:rPr>
        <w:t>NCT03151590</w:t>
      </w:r>
      <w:r w:rsidR="00C83BAB">
        <w:rPr>
          <w:sz w:val="24"/>
          <w:szCs w:val="24"/>
        </w:rPr>
        <w:t xml:space="preserve">, </w:t>
      </w:r>
      <w:r w:rsidR="00C83BAB" w:rsidRPr="00493918">
        <w:rPr>
          <w:color w:val="0069A6"/>
          <w:sz w:val="24"/>
          <w:szCs w:val="24"/>
          <w:lang w:val="en-GB"/>
        </w:rPr>
        <w:t>NCT03590561</w:t>
      </w:r>
      <w:r w:rsidR="00C83BAB" w:rsidRPr="00493918">
        <w:rPr>
          <w:color w:val="000000"/>
          <w:sz w:val="24"/>
          <w:szCs w:val="24"/>
          <w:lang w:val="en-GB"/>
        </w:rPr>
        <w:t>, NCT03929419, NCT02629705</w:t>
      </w:r>
      <w:r w:rsidRPr="001533EC">
        <w:rPr>
          <w:sz w:val="24"/>
          <w:szCs w:val="24"/>
        </w:rPr>
        <w:t xml:space="preserve">. </w:t>
      </w:r>
      <w:r w:rsidRPr="001533EC">
        <w:rPr>
          <w:rFonts w:eastAsia="GuardianSansGR-Regular"/>
          <w:sz w:val="24"/>
          <w:szCs w:val="24"/>
        </w:rPr>
        <w:t>The stud</w:t>
      </w:r>
      <w:r>
        <w:rPr>
          <w:rFonts w:eastAsia="GuardianSansGR-Regular"/>
          <w:sz w:val="24"/>
          <w:szCs w:val="24"/>
        </w:rPr>
        <w:t>ies were</w:t>
      </w:r>
      <w:r w:rsidRPr="001533EC">
        <w:rPr>
          <w:rFonts w:eastAsia="GuardianSansGR-Regular"/>
          <w:sz w:val="24"/>
          <w:szCs w:val="24"/>
        </w:rPr>
        <w:t xml:space="preserve"> </w:t>
      </w:r>
      <w:r>
        <w:rPr>
          <w:rFonts w:eastAsia="GuardianSansGR-Regular"/>
          <w:sz w:val="24"/>
          <w:szCs w:val="24"/>
        </w:rPr>
        <w:t>a</w:t>
      </w:r>
      <w:r w:rsidRPr="001533EC">
        <w:rPr>
          <w:rFonts w:eastAsia="GuardianSansGR-Regular"/>
          <w:sz w:val="24"/>
          <w:szCs w:val="24"/>
        </w:rPr>
        <w:t xml:space="preserve"> basic experimental study </w:t>
      </w:r>
      <w:r w:rsidRPr="001533EC">
        <w:rPr>
          <w:rFonts w:eastAsia="GuardianSansGR-Regular"/>
          <w:sz w:val="24"/>
          <w:szCs w:val="24"/>
        </w:rPr>
        <w:lastRenderedPageBreak/>
        <w:t xml:space="preserve">involving humans (BESH). </w:t>
      </w:r>
      <w:r w:rsidRPr="001533EC">
        <w:rPr>
          <w:sz w:val="24"/>
          <w:szCs w:val="24"/>
        </w:rPr>
        <w:t>Written informed consent was obtained by all the participants before the onset of the study</w:t>
      </w:r>
      <w:r>
        <w:rPr>
          <w:sz w:val="24"/>
          <w:szCs w:val="24"/>
        </w:rPr>
        <w:t>.</w:t>
      </w:r>
    </w:p>
    <w:bookmarkEnd w:id="6"/>
    <w:p w14:paraId="1E789DDD" w14:textId="77777777" w:rsidR="00C361F6" w:rsidRPr="001533EC" w:rsidRDefault="00C361F6" w:rsidP="00C35B7A">
      <w:pPr>
        <w:spacing w:line="480" w:lineRule="auto"/>
        <w:jc w:val="both"/>
        <w:rPr>
          <w:b/>
          <w:sz w:val="24"/>
          <w:szCs w:val="24"/>
        </w:rPr>
      </w:pPr>
    </w:p>
    <w:p w14:paraId="7F5C5C79" w14:textId="654B8D4D" w:rsidR="00C35B7A" w:rsidRPr="001533EC" w:rsidRDefault="00C35B7A" w:rsidP="00C35B7A">
      <w:pPr>
        <w:spacing w:line="480" w:lineRule="auto"/>
        <w:jc w:val="both"/>
        <w:rPr>
          <w:b/>
          <w:sz w:val="24"/>
          <w:szCs w:val="24"/>
        </w:rPr>
      </w:pPr>
      <w:r w:rsidRPr="001533EC">
        <w:rPr>
          <w:b/>
          <w:sz w:val="24"/>
          <w:szCs w:val="24"/>
        </w:rPr>
        <w:t>Functional MRI</w:t>
      </w:r>
    </w:p>
    <w:p w14:paraId="1554937B" w14:textId="68C70513" w:rsidR="00C35B7A" w:rsidRPr="001533EC" w:rsidRDefault="00C35B7A" w:rsidP="00C35B7A">
      <w:pPr>
        <w:autoSpaceDE w:val="0"/>
        <w:autoSpaceDN w:val="0"/>
        <w:adjustRightInd w:val="0"/>
        <w:spacing w:line="480" w:lineRule="auto"/>
        <w:jc w:val="both"/>
        <w:rPr>
          <w:sz w:val="24"/>
          <w:szCs w:val="24"/>
        </w:rPr>
      </w:pPr>
      <w:r w:rsidRPr="001533EC">
        <w:rPr>
          <w:sz w:val="24"/>
          <w:szCs w:val="24"/>
        </w:rPr>
        <w:t>Scanning was conducted at 3 Tesla whole-body scanner (</w:t>
      </w:r>
      <w:proofErr w:type="spellStart"/>
      <w:r w:rsidRPr="001533EC">
        <w:rPr>
          <w:sz w:val="24"/>
          <w:szCs w:val="24"/>
        </w:rPr>
        <w:t>Magnetom</w:t>
      </w:r>
      <w:proofErr w:type="spellEnd"/>
      <w:r w:rsidRPr="001533EC">
        <w:rPr>
          <w:sz w:val="24"/>
          <w:szCs w:val="24"/>
        </w:rPr>
        <w:t xml:space="preserve"> Trio, A Tim System; Siemens Healthcare or </w:t>
      </w:r>
      <w:proofErr w:type="spellStart"/>
      <w:r w:rsidRPr="001533EC">
        <w:rPr>
          <w:sz w:val="24"/>
          <w:szCs w:val="24"/>
        </w:rPr>
        <w:t>Magnetom</w:t>
      </w:r>
      <w:proofErr w:type="spellEnd"/>
      <w:r w:rsidRPr="001533EC">
        <w:rPr>
          <w:sz w:val="24"/>
          <w:szCs w:val="24"/>
        </w:rPr>
        <w:t xml:space="preserve"> Prisma). To acquire cerebral blood flow (CBF) maps, pulsed arterial spin labeling (PASL) images were obtained, as detailed previously </w:t>
      </w:r>
      <w:r w:rsidR="00122188" w:rsidRPr="001533EC">
        <w:rPr>
          <w:rStyle w:val="Funotenzeichen"/>
          <w:sz w:val="24"/>
          <w:szCs w:val="24"/>
        </w:rPr>
        <w:fldChar w:fldCharType="begin" w:fldLock="1"/>
      </w:r>
      <w:r w:rsidR="0017498C">
        <w:rPr>
          <w:sz w:val="24"/>
          <w:szCs w:val="24"/>
        </w:rPr>
        <w:instrText>ADDIN CSL_CITATION {"citationItems":[{"id":"ITEM-1","itemData":{"DOI":"10.1111/dom.15094","ISSN":"1463-1326 (Electronic)","PMID":"37046367","abstract":"AIMS: Insulin action in the brain influences cognitive processes, peripheral  metabolism and eating behaviour. However, the influence of age and peripheral insulin sensitivity on brain insulin action remains unclear. MATERIALS AND METHODS: We used intranasal administration of insulin and functional magnetic resonance imaging in a randomized, placebo-controlled within-subject design in 110 participants (54 women, body mass index 18-49 kg/m(2) , age 21-74 years). Cerebral blood flow was measured before and after nasal spray application to assess brain insulin action. Peripheral insulin sensitivity was assessed by a five-point oral glucose tolerance test. Linear regressions were used to investigate associations between age and peripheral insulin sensitivity with brain insulin action in predefined region of interests (i.e. insulin-sensitive brain regions). RESULTS: We found significant negative associations between age and insulin action in the hippocampus (β = -0.215; p = .017) and caudate nucleus (β = -0.184; p = .047); and between peripheral insulin sensitivity and insulin action in the amygdala (β = -0.190, p = .023). Insulin action in the insular cortex showed an interaction effect between age and peripheral insulin sensitivity (β = -0.219 p = .005). Furthermore, women showed the strongest negative association between age and hippocampal insulin action, while men showed the strongest associations with peripheral insulin sensitivity and age in reward-related brain regions. CONCLUSION: We could show a region-specific relationship between brain insulin responsiveness, age and peripheral insulin sensitivity. Our findings underline the need to study brain insulin action in both men and women and further substantiate that brain insulin sensitivity is a possible link between systemic metabolism and neurocognitive functions.","author":[{"dropping-particle":"","family":"Wagner","given":"Lore","non-dropping-particle":"","parse-names":false,"suffix":""},{"dropping-particle":"","family":"Veit","given":"Ralf","non-dropping-particle":"","parse-names":false,"suffix":""},{"dropping-particle":"","family":"Kübler","given":"Christian","non-dropping-particle":"","parse-names":false,"suffix":""},{"dropping-particle":"","family":"Fritsche","given":"Andreas","non-dropping-particle":"","parse-names":false,"suffix":""},{"dropping-particle":"","family":"Häring","given":"Hans-Ulrich","non-dropping-particle":"","parse-names":false,"suffix":""},{"dropping-particle":"","family":"Birkenfeld","given":"Andreas L","non-dropping-particle":"","parse-names":false,"suffix":""},{"dropping-particle":"","family":"Heni","given":"Martin","non-dropping-particle":"","parse-names":false,"suffix":""},{"dropping-particle":"","family":"Preissl","given":"Hubert","non-dropping-particle":"","parse-names":false,"suffix":""},{"dropping-particle":"","family":"Kullmann","given":"Stephanie","non-dropping-particle":"","parse-names":false,"suffix":""}],"container-title":"Diabetes, obesity &amp; metabolism","id":"ITEM-1","issue":"8","issued":{"date-parts":[["2023","8"]]},"language":"eng","page":"2171-2180","publisher-place":"England","title":"Brain insulin responsiveness is linked to age and peripheral insulin sensitivity.","type":"article-journal","volume":"25"},"uris":["http://www.mendeley.com/documents/?uuid=015f0716-46d7-3ffd-ae45-d9358a530a50"]}],"mendeley":{"formattedCitation":"&lt;i&gt;(34)&lt;/i&gt;","plainTextFormattedCitation":"(34)","previouslyFormattedCitation":"&lt;i&gt;(34)&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i/>
          <w:noProof/>
          <w:sz w:val="24"/>
          <w:szCs w:val="24"/>
        </w:rPr>
        <w:t>(34)</w:t>
      </w:r>
      <w:r w:rsidR="00122188" w:rsidRPr="001533EC">
        <w:rPr>
          <w:rStyle w:val="Funotenzeichen"/>
          <w:sz w:val="24"/>
          <w:szCs w:val="24"/>
        </w:rPr>
        <w:fldChar w:fldCharType="end"/>
      </w:r>
      <w:r w:rsidRPr="001533EC">
        <w:rPr>
          <w:sz w:val="24"/>
          <w:szCs w:val="24"/>
        </w:rPr>
        <w:t>. CBF was acquired at baseline in the fasted state and 30 minutes after 160 IU of nasal insulin. The insulin dose was chosen based on previous work, as 160</w:t>
      </w:r>
      <w:r w:rsidR="00D138B5">
        <w:rPr>
          <w:sz w:val="24"/>
          <w:szCs w:val="24"/>
        </w:rPr>
        <w:t xml:space="preserve"> </w:t>
      </w:r>
      <w:r w:rsidRPr="001533EC">
        <w:rPr>
          <w:sz w:val="24"/>
          <w:szCs w:val="24"/>
        </w:rPr>
        <w:t>U induced the most prominent acute effect on hypothalamic blood flow</w:t>
      </w:r>
      <w:r w:rsidR="00383B56" w:rsidRPr="001533EC">
        <w:rPr>
          <w:sz w:val="24"/>
          <w:szCs w:val="24"/>
        </w:rPr>
        <w:t xml:space="preserve"> </w:t>
      </w:r>
      <w:r w:rsidR="00122188" w:rsidRPr="001533EC">
        <w:rPr>
          <w:rStyle w:val="Funotenzeichen"/>
          <w:sz w:val="24"/>
          <w:szCs w:val="24"/>
        </w:rPr>
        <w:fldChar w:fldCharType="begin" w:fldLock="1"/>
      </w:r>
      <w:r w:rsidR="00607440" w:rsidRPr="001533EC">
        <w:rPr>
          <w:sz w:val="24"/>
          <w:szCs w:val="24"/>
        </w:rPr>
        <w:instrText>ADDIN CSL_CITATION {"citationItems":[{"id":"ITEM-1","itemData":{"DOI":"10.1210/jc.2017-01976","ISSN":"1945-7197 (Electronic)","PMID":"29095982","abstract":"CONTEXT: Insulin action in the human brain influences eating behavior, cognition,  and whole-body metabolism. Studies investigating brain insulin rely on intranasal application. OBJECTIVE: To investigate effects of three doses of insulin and placebo as nasal sprays on the central and autonomous nervous system and analyze absorption of insulin into the bloodstream. DESIGN, PARTICIPANTS, AND METHODS: Nine healthy men received placebo or 40 U, 80 U, and 160 U insulin spray in randomized order. Before and after spray, brain activity was assessed by functional magnetic resonance imaging, and heart rate variability (HRV) was assessed from electrocardiogram. Plasma insulin, C-peptide, and glucose were measured regularly. SETTING: General community. RESULTS: Nasal insulin administration dose-dependently modulated regional brain activity and the normalized high-frequency component of the HRV. Post hoc analyses revealed that only 160 U insulin showed a considerable difference from placebo. Dose-dependent spillover of nasal insulin into the bloodstream was detected. The brain response was not correlated with this temporary rise in circulating insulin. CONCLUSIONS: Nasal insulin dose-dependently modulated regional brain activity with the strongest effects after 160 U. However, this dose was accompanied by a transient increase in circulating insulin concentrations due to a spillover into circulation. Our current results may serve as a basis for future studies with nasal insulin to untangle brain insulin effects in health and disease.","author":[{"dropping-particle":"","family":"Kullmann","given":"Stephanie","non-dropping-particle":"","parse-names":false,"suffix":""},{"dropping-particle":"","family":"Veit","given":"Ralf","non-dropping-particle":"","parse-names":false,"suffix":""},{"dropping-particle":"","family":"Peter","given":"Andreas","non-dropping-particle":"","parse-names":false,"suffix":""},{"dropping-particle":"","family":"Pohmann","given":"Rolf","non-dropping-particle":"","parse-names":false,"suffix":""},{"dropping-particle":"","family":"Scheffler","given":"Klaus","non-dropping-particle":"","parse-names":false,"suffix":""},{"dropping-particle":"","family":"Häring","given":"Hans-Ulrich","non-dropping-particle":"","parse-names":false,"suffix":""},{"dropping-particle":"","family":"Fritsche","given":"Andreas","non-dropping-particle":"","parse-names":false,"suffix":""},{"dropping-particle":"","family":"Preissl","given":"Hubert","non-dropping-particle":"","parse-names":false,"suffix":""},{"dropping-particle":"","family":"Heni","given":"Martin","non-dropping-particle":"","parse-names":false,"suffix":""}],"container-title":"The Journal of clinical endocrinology and metabolism","id":"ITEM-1","issue":"1","issued":{"date-parts":[["2018","1"]]},"language":"eng","page":"253-262","publisher-place":"United States","title":"Dose-Dependent Effects of Intranasal Insulin on Resting-State Brain Activity.","type":"article-journal","volume":"103"},"uris":["http://www.mendeley.com/documents/?uuid=159f1686-16b7-471e-8b77-1d10284ba0aa"]}],"mendeley":{"formattedCitation":"&lt;i&gt;(19)&lt;/i&gt;","plainTextFormattedCitation":"(19)","previouslyFormattedCitation":"&lt;i&gt;(19)&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i/>
          <w:noProof/>
          <w:sz w:val="24"/>
          <w:szCs w:val="24"/>
        </w:rPr>
        <w:t>(19)</w:t>
      </w:r>
      <w:r w:rsidR="00122188" w:rsidRPr="001533EC">
        <w:rPr>
          <w:rStyle w:val="Funotenzeichen"/>
          <w:sz w:val="24"/>
          <w:szCs w:val="24"/>
        </w:rPr>
        <w:fldChar w:fldCharType="end"/>
      </w:r>
      <w:r w:rsidRPr="001533EC">
        <w:rPr>
          <w:rFonts w:cstheme="minorHAnsi"/>
          <w:sz w:val="24"/>
          <w:szCs w:val="24"/>
        </w:rPr>
        <w:t xml:space="preserve">. </w:t>
      </w:r>
      <w:r w:rsidRPr="001533EC">
        <w:rPr>
          <w:sz w:val="24"/>
          <w:szCs w:val="24"/>
        </w:rPr>
        <w:t xml:space="preserve">Image preprocessing was performed by using the </w:t>
      </w:r>
      <w:proofErr w:type="spellStart"/>
      <w:r w:rsidRPr="001533EC">
        <w:rPr>
          <w:sz w:val="24"/>
          <w:szCs w:val="24"/>
        </w:rPr>
        <w:t>ASLtbx</w:t>
      </w:r>
      <w:proofErr w:type="spellEnd"/>
      <w:r w:rsidRPr="001533EC">
        <w:rPr>
          <w:sz w:val="24"/>
          <w:szCs w:val="24"/>
        </w:rPr>
        <w:t xml:space="preserve"> with SPM12 (</w:t>
      </w:r>
      <w:proofErr w:type="spellStart"/>
      <w:r w:rsidRPr="001533EC">
        <w:rPr>
          <w:sz w:val="24"/>
          <w:szCs w:val="24"/>
        </w:rPr>
        <w:t>Wellcome</w:t>
      </w:r>
      <w:proofErr w:type="spellEnd"/>
      <w:r w:rsidRPr="001533EC">
        <w:rPr>
          <w:sz w:val="24"/>
          <w:szCs w:val="24"/>
        </w:rPr>
        <w:t xml:space="preserve"> Trust Centre for Neuroimaging) (for details see </w:t>
      </w:r>
      <w:r w:rsidR="00122188" w:rsidRPr="001533EC">
        <w:rPr>
          <w:rStyle w:val="Funotenzeichen"/>
          <w:sz w:val="24"/>
          <w:szCs w:val="24"/>
        </w:rPr>
        <w:fldChar w:fldCharType="begin" w:fldLock="1"/>
      </w:r>
      <w:r w:rsidR="0017498C">
        <w:rPr>
          <w:sz w:val="24"/>
          <w:szCs w:val="24"/>
        </w:rPr>
        <w:instrText>ADDIN CSL_CITATION {"citationItems":[{"id":"ITEM-1","itemData":{"DOI":"10.1111/dom.15094","ISSN":"1463-1326 (Electronic)","PMID":"37046367","abstract":"AIMS: Insulin action in the brain influences cognitive processes, peripheral  metabolism and eating behaviour. However, the influence of age and peripheral insulin sensitivity on brain insulin action remains unclear. MATERIALS AND METHODS: We used intranasal administration of insulin and functional magnetic resonance imaging in a randomized, placebo-controlled within-subject design in 110 participants (54 women, body mass index 18-49 kg/m(2) , age 21-74 years). Cerebral blood flow was measured before and after nasal spray application to assess brain insulin action. Peripheral insulin sensitivity was assessed by a five-point oral glucose tolerance test. Linear regressions were used to investigate associations between age and peripheral insulin sensitivity with brain insulin action in predefined region of interests (i.e. insulin-sensitive brain regions). RESULTS: We found significant negative associations between age and insulin action in the hippocampus (β = -0.215; p = .017) and caudate nucleus (β = -0.184; p = .047); and between peripheral insulin sensitivity and insulin action in the amygdala (β = -0.190, p = .023). Insulin action in the insular cortex showed an interaction effect between age and peripheral insulin sensitivity (β = -0.219 p = .005). Furthermore, women showed the strongest negative association between age and hippocampal insulin action, while men showed the strongest associations with peripheral insulin sensitivity and age in reward-related brain regions. CONCLUSION: We could show a region-specific relationship between brain insulin responsiveness, age and peripheral insulin sensitivity. Our findings underline the need to study brain insulin action in both men and women and further substantiate that brain insulin sensitivity is a possible link between systemic metabolism and neurocognitive functions.","author":[{"dropping-particle":"","family":"Wagner","given":"Lore","non-dropping-particle":"","parse-names":false,"suffix":""},{"dropping-particle":"","family":"Veit","given":"Ralf","non-dropping-particle":"","parse-names":false,"suffix":""},{"dropping-particle":"","family":"Kübler","given":"Christian","non-dropping-particle":"","parse-names":false,"suffix":""},{"dropping-particle":"","family":"Fritsche","given":"Andreas","non-dropping-particle":"","parse-names":false,"suffix":""},{"dropping-particle":"","family":"Häring","given":"Hans-Ulrich","non-dropping-particle":"","parse-names":false,"suffix":""},{"dropping-particle":"","family":"Birkenfeld","given":"Andreas L","non-dropping-particle":"","parse-names":false,"suffix":""},{"dropping-particle":"","family":"Heni","given":"Martin","non-dropping-particle":"","parse-names":false,"suffix":""},{"dropping-particle":"","family":"Preissl","given":"Hubert","non-dropping-particle":"","parse-names":false,"suffix":""},{"dropping-particle":"","family":"Kullmann","given":"Stephanie","non-dropping-particle":"","parse-names":false,"suffix":""}],"container-title":"Diabetes, obesity &amp; metabolism","id":"ITEM-1","issue":"8","issued":{"date-parts":[["2023","8"]]},"language":"eng","page":"2171-2180","publisher-place":"England","title":"Brain insulin responsiveness is linked to age and peripheral insulin sensitivity.","type":"article-journal","volume":"25"},"uris":["http://www.mendeley.com/documents/?uuid=015f0716-46d7-3ffd-ae45-d9358a530a50"]}],"mendeley":{"formattedCitation":"&lt;i&gt;(34)&lt;/i&gt;","plainTextFormattedCitation":"(34)","previouslyFormattedCitation":"&lt;i&gt;(34)&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i/>
          <w:noProof/>
          <w:sz w:val="24"/>
          <w:szCs w:val="24"/>
        </w:rPr>
        <w:t>(34)</w:t>
      </w:r>
      <w:r w:rsidR="00122188" w:rsidRPr="001533EC">
        <w:rPr>
          <w:rStyle w:val="Funotenzeichen"/>
          <w:sz w:val="24"/>
          <w:szCs w:val="24"/>
        </w:rPr>
        <w:fldChar w:fldCharType="end"/>
      </w:r>
      <w:r w:rsidRPr="001533EC">
        <w:rPr>
          <w:sz w:val="24"/>
          <w:szCs w:val="24"/>
        </w:rPr>
        <w:t xml:space="preserve">). CBF values of each measurement were extracted for the hypothalamus. The hypothalamus mask was based on the </w:t>
      </w:r>
      <w:proofErr w:type="spellStart"/>
      <w:r w:rsidRPr="001533EC">
        <w:rPr>
          <w:i/>
          <w:sz w:val="24"/>
          <w:szCs w:val="24"/>
        </w:rPr>
        <w:t>wfu</w:t>
      </w:r>
      <w:proofErr w:type="spellEnd"/>
      <w:r w:rsidRPr="001533EC">
        <w:rPr>
          <w:sz w:val="24"/>
          <w:szCs w:val="24"/>
        </w:rPr>
        <w:t xml:space="preserve"> pick atlas (</w:t>
      </w:r>
      <w:r w:rsidRPr="00473A45">
        <w:rPr>
          <w:sz w:val="24"/>
          <w:szCs w:val="24"/>
        </w:rPr>
        <w:fldChar w:fldCharType="begin"/>
      </w:r>
      <w:r w:rsidRPr="00473A45">
        <w:rPr>
          <w:sz w:val="24"/>
          <w:szCs w:val="24"/>
        </w:rPr>
        <w:instrText xml:space="preserve"> https://www.nitrc.org/projects/wfu_pickatlas/" </w:instrText>
      </w:r>
      <w:r w:rsidRPr="00473A45">
        <w:rPr>
          <w:sz w:val="24"/>
          <w:szCs w:val="24"/>
        </w:rPr>
        <w:fldChar w:fldCharType="end"/>
      </w:r>
      <w:hyperlink r:id="rId12" w:history="1">
        <w:r w:rsidRPr="00473A45">
          <w:rPr>
            <w:rStyle w:val="Hyperlink"/>
            <w:color w:val="auto"/>
            <w:sz w:val="24"/>
            <w:szCs w:val="24"/>
          </w:rPr>
          <w:t>https://www.nitrc.org/projects/wfu_pickatlas</w:t>
        </w:r>
      </w:hyperlink>
      <w:r w:rsidRPr="001533EC">
        <w:rPr>
          <w:sz w:val="24"/>
          <w:szCs w:val="24"/>
        </w:rPr>
        <w:t>).</w:t>
      </w:r>
    </w:p>
    <w:p w14:paraId="68AAA388" w14:textId="77777777" w:rsidR="00C35B7A" w:rsidRPr="001533EC" w:rsidRDefault="00C35B7A" w:rsidP="00C35B7A">
      <w:pPr>
        <w:spacing w:line="480" w:lineRule="auto"/>
        <w:jc w:val="both"/>
        <w:rPr>
          <w:sz w:val="24"/>
          <w:szCs w:val="24"/>
        </w:rPr>
      </w:pPr>
      <w:r w:rsidRPr="001533EC">
        <w:rPr>
          <w:sz w:val="24"/>
          <w:szCs w:val="24"/>
        </w:rPr>
        <w:t>We used the hypothalamic blood flow response from before to 30 min after 160 IU intranasal insulin, adjusted for global cerebral blood flow, as the classifier for brain insulin sensitivity (</w:t>
      </w:r>
      <w:proofErr w:type="spellStart"/>
      <w:r w:rsidRPr="001533EC">
        <w:rPr>
          <w:sz w:val="24"/>
          <w:szCs w:val="24"/>
        </w:rPr>
        <w:t>ΔCBFn</w:t>
      </w:r>
      <w:proofErr w:type="spellEnd"/>
      <w:r w:rsidRPr="001533EC">
        <w:rPr>
          <w:sz w:val="24"/>
          <w:szCs w:val="24"/>
        </w:rPr>
        <w:t xml:space="preserve">-Hypothalamus). Only participants with a negative insulin-induced hypothalamus index were grouped as brain insulin sensitive, all others as brain insulin resistant. </w:t>
      </w:r>
    </w:p>
    <w:p w14:paraId="4E784ADD" w14:textId="77777777" w:rsidR="00C361F6" w:rsidRPr="001533EC" w:rsidRDefault="00C361F6" w:rsidP="00C35B7A">
      <w:pPr>
        <w:spacing w:line="480" w:lineRule="auto"/>
        <w:jc w:val="both"/>
        <w:rPr>
          <w:b/>
          <w:sz w:val="24"/>
        </w:rPr>
      </w:pPr>
      <w:bookmarkStart w:id="7" w:name="_Hlk179300769"/>
    </w:p>
    <w:p w14:paraId="75508E0A" w14:textId="46B5FB58" w:rsidR="00C35B7A" w:rsidRPr="001533EC" w:rsidRDefault="00C35B7A" w:rsidP="00C35B7A">
      <w:pPr>
        <w:spacing w:line="480" w:lineRule="auto"/>
        <w:jc w:val="both"/>
        <w:rPr>
          <w:b/>
          <w:sz w:val="24"/>
        </w:rPr>
      </w:pPr>
      <w:r w:rsidRPr="001533EC">
        <w:rPr>
          <w:b/>
          <w:sz w:val="24"/>
        </w:rPr>
        <w:t xml:space="preserve">Genome-wide DNA methylation profiling </w:t>
      </w:r>
      <w:bookmarkEnd w:id="7"/>
    </w:p>
    <w:p w14:paraId="2E661C94" w14:textId="5E9D411C" w:rsidR="00C35B7A" w:rsidRPr="001533EC" w:rsidRDefault="00C35B7A" w:rsidP="00C35B7A">
      <w:pPr>
        <w:spacing w:line="480" w:lineRule="auto"/>
        <w:jc w:val="both"/>
        <w:rPr>
          <w:sz w:val="24"/>
          <w:szCs w:val="24"/>
        </w:rPr>
      </w:pPr>
      <w:r w:rsidRPr="001533EC">
        <w:rPr>
          <w:sz w:val="24"/>
          <w:szCs w:val="24"/>
        </w:rPr>
        <w:t xml:space="preserve">Genomic DNA was isolated from blood cells via precipitation with sodium acetate. </w:t>
      </w:r>
      <w:r w:rsidR="00B53A1C" w:rsidRPr="001533EC">
        <w:rPr>
          <w:sz w:val="24"/>
          <w:szCs w:val="24"/>
        </w:rPr>
        <w:t xml:space="preserve">The measurement of </w:t>
      </w:r>
      <w:r w:rsidRPr="001533EC">
        <w:rPr>
          <w:sz w:val="24"/>
          <w:szCs w:val="24"/>
        </w:rPr>
        <w:t xml:space="preserve">DNA methylation, after bisulfite treatment, were determined by the Infinium </w:t>
      </w:r>
      <w:proofErr w:type="spellStart"/>
      <w:r w:rsidRPr="001533EC">
        <w:rPr>
          <w:sz w:val="24"/>
          <w:szCs w:val="24"/>
        </w:rPr>
        <w:t>MethylationEPIC</w:t>
      </w:r>
      <w:proofErr w:type="spellEnd"/>
      <w:r w:rsidRPr="001533EC">
        <w:rPr>
          <w:sz w:val="24"/>
          <w:szCs w:val="24"/>
        </w:rPr>
        <w:t xml:space="preserve"> </w:t>
      </w:r>
      <w:proofErr w:type="spellStart"/>
      <w:r w:rsidRPr="001533EC">
        <w:rPr>
          <w:sz w:val="24"/>
          <w:szCs w:val="24"/>
        </w:rPr>
        <w:t>BeadChip</w:t>
      </w:r>
      <w:proofErr w:type="spellEnd"/>
      <w:r w:rsidRPr="001533EC">
        <w:rPr>
          <w:sz w:val="24"/>
          <w:szCs w:val="24"/>
        </w:rPr>
        <w:t xml:space="preserve"> (EPIC</w:t>
      </w:r>
      <w:r w:rsidR="00EA5493">
        <w:rPr>
          <w:sz w:val="24"/>
          <w:szCs w:val="24"/>
        </w:rPr>
        <w:t xml:space="preserve"> </w:t>
      </w:r>
      <w:r w:rsidRPr="001533EC">
        <w:rPr>
          <w:sz w:val="24"/>
          <w:szCs w:val="24"/>
        </w:rPr>
        <w:t>v</w:t>
      </w:r>
      <w:r w:rsidR="00EA5493">
        <w:rPr>
          <w:sz w:val="24"/>
          <w:szCs w:val="24"/>
        </w:rPr>
        <w:t xml:space="preserve">ersion </w:t>
      </w:r>
      <w:r w:rsidRPr="001533EC">
        <w:rPr>
          <w:sz w:val="24"/>
          <w:szCs w:val="24"/>
        </w:rPr>
        <w:t>1.0, 850K</w:t>
      </w:r>
      <w:r w:rsidR="00EA5493">
        <w:rPr>
          <w:sz w:val="24"/>
          <w:szCs w:val="24"/>
        </w:rPr>
        <w:t xml:space="preserve"> for discovery, replication I and EPIC- Potsdam Replication II</w:t>
      </w:r>
      <w:r w:rsidR="00BC3ED5">
        <w:rPr>
          <w:sz w:val="24"/>
          <w:szCs w:val="24"/>
        </w:rPr>
        <w:t xml:space="preserve"> with EPIC version 2.0, 930K).</w:t>
      </w:r>
      <w:r w:rsidRPr="001533EC">
        <w:rPr>
          <w:sz w:val="24"/>
          <w:szCs w:val="24"/>
        </w:rPr>
        <w:t xml:space="preserve"> Bisulfite treatment and array hybridization were assessed by LIFE &amp; BRAIN GENOMICS GmbH. </w:t>
      </w:r>
      <w:r w:rsidR="00EC7AD0">
        <w:rPr>
          <w:sz w:val="24"/>
          <w:szCs w:val="24"/>
        </w:rPr>
        <w:t>D</w:t>
      </w:r>
      <w:r w:rsidRPr="001533EC">
        <w:rPr>
          <w:sz w:val="24"/>
          <w:szCs w:val="24"/>
        </w:rPr>
        <w:t>ata were processed using R (v.4) packages “</w:t>
      </w:r>
      <w:proofErr w:type="spellStart"/>
      <w:r w:rsidRPr="001533EC">
        <w:rPr>
          <w:sz w:val="24"/>
          <w:szCs w:val="24"/>
        </w:rPr>
        <w:t>meffil</w:t>
      </w:r>
      <w:proofErr w:type="spellEnd"/>
      <w:r w:rsidRPr="001533EC">
        <w:rPr>
          <w:sz w:val="24"/>
          <w:szCs w:val="24"/>
        </w:rPr>
        <w:t>” (v.1.3.1) and “</w:t>
      </w:r>
      <w:proofErr w:type="spellStart"/>
      <w:r w:rsidRPr="001533EC">
        <w:rPr>
          <w:sz w:val="24"/>
          <w:szCs w:val="24"/>
        </w:rPr>
        <w:t>ChAMP</w:t>
      </w:r>
      <w:proofErr w:type="spellEnd"/>
      <w:r w:rsidRPr="001533EC">
        <w:rPr>
          <w:sz w:val="24"/>
          <w:szCs w:val="24"/>
        </w:rPr>
        <w:t>” (v. 2.24.0) as described earlier</w:t>
      </w:r>
      <w:r w:rsidR="00383B56" w:rsidRPr="001533EC">
        <w:rPr>
          <w:sz w:val="24"/>
          <w:szCs w:val="24"/>
        </w:rPr>
        <w:t xml:space="preserve"> </w:t>
      </w:r>
      <w:r w:rsidR="00122188" w:rsidRPr="001533EC">
        <w:rPr>
          <w:rStyle w:val="Funotenzeichen"/>
          <w:sz w:val="24"/>
          <w:szCs w:val="24"/>
        </w:rPr>
        <w:fldChar w:fldCharType="begin" w:fldLock="1"/>
      </w:r>
      <w:r w:rsidR="00607440" w:rsidRPr="001533EC">
        <w:rPr>
          <w:sz w:val="24"/>
          <w:szCs w:val="24"/>
        </w:rPr>
        <w:instrText>ADDIN CSL_CITATION {"citationItems":[{"id":"ITEM-1","itemData":{"DOI":"10.1016/j.molmet.2023.101774","ISSN":"2212-8778 (Electronic)","PMID":"37429525","abstract":"OBJECTIVES: Better disease management can be achieved with earlier detection  through robust, sensitive, and easily accessible biomarkers. The aim of the current study was to identify novel epigenetic biomarkers determining the risk of type 2 diabetes (T2D). METHODS: Livers of 10-week-old female New Zealand Obese (NZO) mice, slightly differing in their degree of hyperglycemia and liver fat content and thereby in their diabetes susceptibility were used for expression and methylation profiling. We screened for differences in hepatic expression and DNA methylation in diabetes-prone and -resistant mice, and verified a candidate (HAMP) in human livers and blood cells. Hamp expression was manipulated in primary hepatocytes and insulin-stimulated pAKT was detected. Luciferase reporter assays were conducted in a murine liver cell line to test the impact of DNA methylation on promoter activity. RESULTS: In livers of NZO mice, the overlap of methylome and transcriptome analyses revealed a potential transcriptional dysregulation of 12 hepatokines. The strongest effect with a 52% decreased expression in livers of diabetes-prone mice was detected for the Hamp gene, mediated by elevated DNA methylation of two CpG sites located in the promoter. Hamp encodes the iron-regulatory hormone hepcidin, which had a lower abundance in the livers of mice prone to developing diabetes. Suppression of Hamp reduces the levels of pAKT in insulin-treated hepatocytes. In liver biopsies of obese insulin-resistant women, HAMP expression was significantly downregulated along with increased DNA methylation of a homologous CpG site. In blood cells of incident T2D cases from the prospective EPIC-Potsdam cohort, higher DNA methylation of two CpG sites was related to increased risk of incident diabetes. CONCLUSIONS: We identified epigenetic changes in the HAMP gene which may be used as an early marker preceding T2D.","author":[{"dropping-particle":"","family":"Ouni","given":"Meriem","non-dropping-particle":"","parse-names":false,"suffix":""},{"dropping-particle":"","family":"Eichelmann","given":"Fabian","non-dropping-particle":"","parse-names":false,"suffix":""},{"dropping-particle":"","family":"Jähnert","given":"Markus","non-dropping-particle":"","parse-names":false,"suffix":""},{"dropping-particle":"","family":"Krause","given":"Christin","non-dropping-particle":"","parse-names":false,"suffix":""},{"dropping-particle":"","family":"Saussenthaler","given":"Sophie","non-dropping-particle":"","parse-names":false,"suffix":""},{"dropping-particle":"","family":"Ott","given":"Christiane","non-dropping-particle":"","parse-names":false,"suffix":""},{"dropping-particle":"","family":"Gottmann","given":"Pascal","non-dropping-particle":"","parse-names":false,"suffix":""},{"dropping-particle":"","family":"Speckmann","given":"Thilo","non-dropping-particle":"","parse-names":false,"suffix":""},{"dropping-particle":"","family":"Huypens","given":"Peter","non-dropping-particle":"","parse-names":false,"suffix":""},{"dropping-particle":"","family":"Wolter","given":"Stefan","non-dropping-particle":"","parse-names":false,"suffix":""},{"dropping-particle":"","family":"Mann","given":"Oliver","non-dropping-particle":"","parse-names":false,"suffix":""},{"dropping-particle":"","family":"Angelis","given":"Martin Hrabé","non-dropping-particle":"De","parse-names":false,"suffix":""},{"dropping-particle":"","family":"Beckers","given":"Johannes","non-dropping-particle":"","parse-names":false,"suffix":""},{"dropping-particle":"","family":"Kirchner","given":"Henriette","non-dropping-particle":"","parse-names":false,"suffix":""},{"dropping-particle":"","family":"Schulze","given":"Matthias B","non-dropping-particle":"","parse-names":false,"suffix":""},{"dropping-particle":"","family":"Schürmann","given":"Annette","non-dropping-particle":"","parse-names":false,"suffix":""}],"container-title":"Molecular metabolism","id":"ITEM-1","issued":{"date-parts":[["2023","9"]]},"language":"eng","page":"101774","publisher-place":"Germany","title":"Differences in DNA methylation of HAMP in blood cells predicts the development of  type 2 diabetes.","type":"article-journal","volume":"75"},"uris":["http://www.mendeley.com/documents/?uuid=fc988422-3679-450d-9ac1-398755de513c"]},{"id":"ITEM-2","itemData":{"DOI":"10.2337/db20-0204","ISSN":"0012-1797","abstract":"The identification of individuals with a high risk of developing type 2 diabetes (T2D) is fundamental for prevention. Here, we used a translational approach and prediction criteria to identify changes in DNA methylation visible before the development of T2D. Islets of Langerhans were isolated from genetically identical 10-week-old female New Zealand Obese mice, which differ in their degree of hyperglycemia and in liver fat content. The application of a semiexplorative approach identified 497 differentially expressed and methylated genes (P = 6.42e-09, hypergeometric test) enriched in pathways linked to insulin secretion and extracellular matrix-receptor interaction. The comparison of mouse data with DNA methylation levels of incident T2D cases from the prospective European Prospective Investigation of Cancer (EPIC)-Potsdam cohort, revealed 105 genes with altered DNA methylation at 605 cytosine-phosphate-guanine (CpG) sites, which were associated with future T2D. AKAP13, TENM2, CTDSPL, PTPRN2, and PTPRS showed the strongest predictive potential (area under the receiver operating characteristic curve values 0.62–0.73). Among the new candidates identified in blood cells, 655 CpG sites, located in 99 genes, were differentially methylated in islets of humans with T2D. Using correction for multiple testing detected 236 genes with an altered DNA methylation in blood cells and 201 genes in diabetic islets. Thus, the introduced translational approach identified novel putative biomarkers for early pancreatic islet aberrations preceding T2D.","author":[{"dropping-particle":"","family":"Ouni","given":"Meriem","non-dropping-particle":"","parse-names":false,"suffix":""},{"dropping-particle":"","family":"Saussenthaler","given":"Sophie","non-dropping-particle":"","parse-names":false,"suffix":""},{"dropping-particle":"","family":"Eichelmann","given":"Fabian","non-dropping-particle":"","parse-names":false,"suffix":""},{"dropping-particle":"","family":"Jähnert","given":"Markus","non-dropping-particle":"","parse-names":false,"suffix":""},{"dropping-particle":"","family":"Stadion","given":"Mandy","non-dropping-particle":"","parse-names":false,"suffix":""},{"dropping-particle":"","family":"Wittenbecher","given":"Clemens","non-dropping-particle":"","parse-names":false,"suffix":""},{"dropping-particle":"","family":"Rönn","given":"Tina","non-dropping-particle":"","parse-names":false,"suffix":""},{"dropping-particle":"","family":"Zellner","given":"Lisa","non-dropping-particle":"","parse-names":false,"suffix":""},{"dropping-particle":"","family":"Gottmann","given":"Pascal","non-dropping-particle":"","parse-names":false,"suffix":""},{"dropping-particle":"","family":"Ling","given":"Charlotte","non-dropping-particle":"","parse-names":false,"suffix":""},{"dropping-particle":"","family":"Schulze","given":"Matthias B","non-dropping-particle":"","parse-names":false,"suffix":""},{"dropping-particle":"","family":"Schürmann","given":"Annette","non-dropping-particle":"","parse-names":false,"suffix":""}],"container-title":"Diabetes","id":"ITEM-2","issue":"11","issued":{"date-parts":[["2020","8"]]},"page":"2503-2517","title":"Epigenetic Changes in Islets of Langerhans Preceding the Onset of Diabetes","type":"article-journal","volume":"69"},"uris":["http://www.mendeley.com/documents/?uuid=a0fbf9a0-15a6-4c1b-876b-490b35b8d5b1"]}],"mendeley":{"formattedCitation":"&lt;i&gt;(36, 37)&lt;/i&gt;","plainTextFormattedCitation":"(36, 37)","previouslyFormattedCitation":"&lt;i&gt;(36, 37)&lt;/i&gt;"},"properties":{"noteIndex":0},"schema":"https://github.com/citation-style-language/schema/raw/master/csl-citation.json"}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i/>
          <w:noProof/>
          <w:sz w:val="24"/>
          <w:szCs w:val="24"/>
        </w:rPr>
        <w:t>(36, 37)</w:t>
      </w:r>
      <w:r w:rsidR="00122188" w:rsidRPr="001533EC">
        <w:rPr>
          <w:rStyle w:val="Funotenzeichen"/>
          <w:sz w:val="24"/>
          <w:szCs w:val="24"/>
        </w:rPr>
        <w:fldChar w:fldCharType="end"/>
      </w:r>
      <w:r w:rsidRPr="001533EC">
        <w:rPr>
          <w:sz w:val="24"/>
          <w:szCs w:val="24"/>
        </w:rPr>
        <w:t xml:space="preserve">. </w:t>
      </w:r>
    </w:p>
    <w:p w14:paraId="1BE7CB76" w14:textId="77777777" w:rsidR="00B674F4" w:rsidRPr="001533EC" w:rsidRDefault="00B674F4" w:rsidP="00C35B7A">
      <w:pPr>
        <w:spacing w:line="480" w:lineRule="auto"/>
        <w:jc w:val="both"/>
        <w:rPr>
          <w:b/>
          <w:sz w:val="24"/>
        </w:rPr>
      </w:pPr>
    </w:p>
    <w:p w14:paraId="5C4B5027" w14:textId="1F51B05E" w:rsidR="0040171C" w:rsidRPr="001533EC" w:rsidRDefault="00046674" w:rsidP="00C35B7A">
      <w:pPr>
        <w:spacing w:line="480" w:lineRule="auto"/>
        <w:jc w:val="both"/>
        <w:rPr>
          <w:b/>
          <w:sz w:val="24"/>
        </w:rPr>
      </w:pPr>
      <w:r w:rsidRPr="001533EC">
        <w:rPr>
          <w:b/>
          <w:sz w:val="24"/>
        </w:rPr>
        <w:t>DNA methylation profiling with c</w:t>
      </w:r>
      <w:r w:rsidR="0040171C" w:rsidRPr="001533EC">
        <w:rPr>
          <w:b/>
          <w:sz w:val="24"/>
        </w:rPr>
        <w:t>ustomized enzymatic sequencing</w:t>
      </w:r>
    </w:p>
    <w:p w14:paraId="121538C8" w14:textId="20924059" w:rsidR="00B674F4" w:rsidRDefault="000741FB" w:rsidP="00C35B7A">
      <w:pPr>
        <w:spacing w:line="480" w:lineRule="auto"/>
        <w:jc w:val="both"/>
        <w:rPr>
          <w:sz w:val="24"/>
          <w:szCs w:val="24"/>
          <w:lang w:val="en-GB"/>
        </w:rPr>
      </w:pPr>
      <w:r>
        <w:rPr>
          <w:sz w:val="24"/>
        </w:rPr>
        <w:t>To</w:t>
      </w:r>
      <w:r w:rsidR="000E56BE" w:rsidRPr="001533EC">
        <w:rPr>
          <w:sz w:val="24"/>
        </w:rPr>
        <w:t xml:space="preserve"> </w:t>
      </w:r>
      <w:r w:rsidR="000E56BE" w:rsidRPr="001533EC">
        <w:rPr>
          <w:sz w:val="24"/>
          <w:szCs w:val="24"/>
          <w:lang w:val="en-GB"/>
        </w:rPr>
        <w:t xml:space="preserve">validated our findings </w:t>
      </w:r>
      <w:r w:rsidR="00602210">
        <w:rPr>
          <w:sz w:val="24"/>
          <w:szCs w:val="24"/>
          <w:lang w:val="en-GB"/>
        </w:rPr>
        <w:t>using</w:t>
      </w:r>
      <w:r w:rsidR="000E56BE" w:rsidRPr="001533EC">
        <w:rPr>
          <w:sz w:val="24"/>
          <w:szCs w:val="24"/>
          <w:lang w:val="en-GB"/>
        </w:rPr>
        <w:t xml:space="preserve"> an alternative </w:t>
      </w:r>
      <w:r w:rsidR="00602210">
        <w:rPr>
          <w:sz w:val="24"/>
          <w:szCs w:val="24"/>
          <w:lang w:val="en-GB"/>
        </w:rPr>
        <w:t>method</w:t>
      </w:r>
      <w:r w:rsidR="000E56BE" w:rsidRPr="001533EC">
        <w:rPr>
          <w:sz w:val="24"/>
          <w:szCs w:val="24"/>
          <w:lang w:val="en-GB"/>
        </w:rPr>
        <w:t xml:space="preserve">, we </w:t>
      </w:r>
      <w:r w:rsidR="00602210">
        <w:rPr>
          <w:sz w:val="24"/>
          <w:szCs w:val="24"/>
          <w:lang w:val="en-GB"/>
        </w:rPr>
        <w:t>performed</w:t>
      </w:r>
      <w:r w:rsidR="00602210" w:rsidRPr="001533EC">
        <w:rPr>
          <w:sz w:val="24"/>
          <w:szCs w:val="24"/>
          <w:lang w:val="en-GB"/>
        </w:rPr>
        <w:t xml:space="preserve"> </w:t>
      </w:r>
      <w:r w:rsidR="000E56BE" w:rsidRPr="001533EC">
        <w:rPr>
          <w:sz w:val="24"/>
          <w:szCs w:val="24"/>
          <w:lang w:val="en-GB"/>
        </w:rPr>
        <w:t xml:space="preserve"> </w:t>
      </w:r>
      <w:r w:rsidR="007A7411">
        <w:rPr>
          <w:sz w:val="24"/>
          <w:szCs w:val="24"/>
          <w:lang w:val="en-GB"/>
        </w:rPr>
        <w:t xml:space="preserve">enzymatic </w:t>
      </w:r>
      <w:r w:rsidR="000E56BE" w:rsidRPr="001533EC">
        <w:rPr>
          <w:sz w:val="24"/>
          <w:szCs w:val="24"/>
          <w:lang w:val="en-GB"/>
        </w:rPr>
        <w:t>methyl sequencing</w:t>
      </w:r>
      <w:r w:rsidR="007A7411">
        <w:rPr>
          <w:sz w:val="24"/>
          <w:szCs w:val="24"/>
          <w:lang w:val="en-GB"/>
        </w:rPr>
        <w:t xml:space="preserve"> (EM </w:t>
      </w:r>
      <w:proofErr w:type="spellStart"/>
      <w:r w:rsidR="007A7411">
        <w:rPr>
          <w:sz w:val="24"/>
          <w:szCs w:val="24"/>
          <w:lang w:val="en-GB"/>
        </w:rPr>
        <w:t>seq</w:t>
      </w:r>
      <w:proofErr w:type="spellEnd"/>
      <w:r w:rsidR="007A7411">
        <w:rPr>
          <w:sz w:val="24"/>
          <w:szCs w:val="24"/>
          <w:lang w:val="en-GB"/>
        </w:rPr>
        <w:t>)</w:t>
      </w:r>
      <w:r w:rsidR="000E56BE" w:rsidRPr="001533EC">
        <w:rPr>
          <w:sz w:val="24"/>
          <w:szCs w:val="24"/>
          <w:lang w:val="en-GB"/>
        </w:rPr>
        <w:t xml:space="preserve"> </w:t>
      </w:r>
      <w:r w:rsidR="00602210">
        <w:rPr>
          <w:sz w:val="24"/>
          <w:szCs w:val="24"/>
          <w:lang w:val="en-GB"/>
        </w:rPr>
        <w:t xml:space="preserve">with </w:t>
      </w:r>
      <w:r w:rsidR="0090235E">
        <w:rPr>
          <w:sz w:val="24"/>
          <w:szCs w:val="24"/>
          <w:lang w:val="en-GB"/>
        </w:rPr>
        <w:t xml:space="preserve">a </w:t>
      </w:r>
      <w:r w:rsidR="000E56BE" w:rsidRPr="001533EC">
        <w:rPr>
          <w:sz w:val="24"/>
          <w:szCs w:val="24"/>
          <w:lang w:val="en-GB"/>
        </w:rPr>
        <w:t>customized panel</w:t>
      </w:r>
      <w:r w:rsidR="00A41C10" w:rsidRPr="001533EC">
        <w:rPr>
          <w:sz w:val="24"/>
          <w:szCs w:val="24"/>
          <w:lang w:val="en-GB"/>
        </w:rPr>
        <w:t xml:space="preserve"> </w:t>
      </w:r>
      <w:r w:rsidR="00122188" w:rsidRPr="001533EC">
        <w:rPr>
          <w:rStyle w:val="Funotenzeichen"/>
          <w:sz w:val="24"/>
          <w:szCs w:val="24"/>
          <w:lang w:val="en-GB"/>
        </w:rPr>
        <w:fldChar w:fldCharType="begin" w:fldLock="1"/>
      </w:r>
      <w:r w:rsidR="003663F0">
        <w:rPr>
          <w:sz w:val="24"/>
          <w:szCs w:val="24"/>
          <w:lang w:val="en-GB"/>
        </w:rPr>
        <w:instrText>ADDIN CSL_CITATION {"citationItems":[{"id":"ITEM-1","itemData":{"DOI":"10.1101/gr.266551.120","ISSN":"1549-5469 (Electronic)","PMID":"34140313","abstract":"Bisulfite sequencing detects 5mC and 5hmC at single-base resolution. However,  bisulfite treatment damages DNA, which results in fragmentation, DNA loss, and biased sequencing data. To overcome these problems, enzymatic methyl-seq (EM-seq) was developed. This method detects 5mC and 5hmC using two sets of enzymatic reactions. In the first reaction, TET2 and T4-BGT convert 5mC and 5hmC into products that cannot be deaminated by APOBEC3A. In the second reaction, APOBEC3A deaminates unmodified cytosines by converting them to uracils. Therefore, these three enzymes enable the identification of 5mC and 5hmC. EM-seq libraries were compared with bisulfite-converted DNA, and each library type was ligated to Illumina adaptors before conversion. Libraries were made using NA12878 genomic DNA, cell-free DNA, and FFPE DNA over a range of DNA inputs. The 5mC and 5hmC detected in EM-seq libraries were similar to those of bisulfite libraries. However, libraries made using EM-seq outperformed bisulfite-converted libraries in all specific measures examined (coverage, duplication, sensitivity, etc.). EM-seq libraries displayed even GC distribution, better correlations across DNA inputs, increased numbers of CpGs within genomic features, and accuracy of cytosine methylation calls. EM-seq was effective using as little as 100 pg of DNA, and these libraries maintained the described advantages over bisulfite sequencing. EM-seq library construction, using challenging samples and lower DNA inputs, opens new avenues for research and clinical applications.","author":[{"dropping-particle":"","family":"Vaisvila","given":"Romualdas","non-dropping-particle":"","parse-names":false,"suffix":""},{"dropping-particle":"","family":"Ponnaluri","given":"V K Chaithanya","non-dropping-particle":"","parse-names":false,"suffix":""},{"dropping-particle":"","family":"Sun","given":"Zhiyi","non-dropping-particle":"","parse-names":false,"suffix":""},{"dropping-particle":"","family":"Langhorst","given":"Bradley W","non-dropping-particle":"","parse-names":false,"suffix":""},{"dropping-particle":"","family":"Saleh","given":"Lana","non-dropping-particle":"","parse-names":false,"suffix":""},{"dropping-particle":"","family":"Guan","given":"Shengxi","non-dropping-particle":"","parse-names":false,"suffix":""},{"dropping-particle":"","family":"Dai","given":"Nan","non-dropping-particle":"","parse-names":false,"suffix":""},{"dropping-particle":"","family":"Campbell","given":"Matthew A","non-dropping-particle":"","parse-names":false,"suffix":""},{"dropping-particle":"","family":"Sexton","given":"Brittany S","non-dropping-particle":"","parse-names":false,"suffix":""},{"dropping-particle":"","family":"Marks","given":"Katherine","non-dropping-particle":"","parse-names":false,"suffix":""},{"dropping-particle":"","family":"Samaranayake","given":"Mala","non-dropping-particle":"","parse-names":false,"suffix":""},{"dropping-particle":"","family":"Samuelson","given":"James C","non-dropping-particle":"","parse-names":false,"suffix":""},{"dropping-particle":"","family":"Church","given":"Heidi E","non-dropping-particle":"","parse-names":false,"suffix":""},{"dropping-particle":"","family":"Tamanaha","given":"Esta","non-dropping-particle":"","parse-names":false,"suffix":""},{"dropping-particle":"","family":"Corrêa","given":"Ivan R Jr","non-dropping-particle":"","parse-names":false,"suffix":""},{"dropping-particle":"","family":"Pradhan","given":"Sriharsa","non-dropping-particle":"","parse-names":false,"suffix":""},{"dropping-particle":"","family":"Dimalanta","given":"Eileen T","non-dropping-particle":"","parse-names":false,"suffix":""},{"dropping-particle":"","family":"Evans","given":"Thomas C Jr","non-dropping-particle":"","parse-names":false,"suffix":""},{"dropping-particle":"","family":"Williams","given":"Louise","non-dropping-particle":"","parse-names":false,"suffix":""},{"dropping-particle":"","family":"Davis","given":"Theodore B","non-dropping-particle":"","parse-names":false,"suffix":""}],"container-title":"Genome research","id":"ITEM-1","issue":"7","issued":{"date-parts":[["2021","7"]]},"language":"eng","page":"1280-1289","publisher-place":"United States","title":"Enzymatic methyl sequencing detects DNA methylation at single-base resolution  from picograms of DNA.","type":"article-journal","volume":"31"},"uris":["http://www.mendeley.com/documents/?uuid=59f550eb-02b4-3128-a34a-4f17a78df5eb"]}],"mendeley":{"formattedCitation":"&lt;i&gt;(63)&lt;/i&gt;","plainTextFormattedCitation":"(63)","previouslyFormattedCitation":"&lt;i&gt;(63)&lt;/i&gt;"},"properties":{"noteIndex":0},"schema":"https://github.com/citation-style-language/schema/raw/master/csl-citation.json"}</w:instrText>
      </w:r>
      <w:r w:rsidR="00122188" w:rsidRPr="001533EC">
        <w:rPr>
          <w:rStyle w:val="Funotenzeichen"/>
          <w:sz w:val="24"/>
          <w:szCs w:val="24"/>
          <w:lang w:val="en-GB"/>
        </w:rPr>
        <w:fldChar w:fldCharType="separate"/>
      </w:r>
      <w:r w:rsidR="00E45487" w:rsidRPr="00E45487">
        <w:rPr>
          <w:bCs/>
          <w:i/>
          <w:noProof/>
          <w:sz w:val="24"/>
          <w:szCs w:val="24"/>
        </w:rPr>
        <w:t>(63)</w:t>
      </w:r>
      <w:r w:rsidR="00122188" w:rsidRPr="001533EC">
        <w:rPr>
          <w:rStyle w:val="Funotenzeichen"/>
          <w:sz w:val="24"/>
          <w:szCs w:val="24"/>
          <w:lang w:val="en-GB"/>
        </w:rPr>
        <w:fldChar w:fldCharType="end"/>
      </w:r>
      <w:r w:rsidR="000E56BE" w:rsidRPr="001533EC">
        <w:rPr>
          <w:sz w:val="24"/>
          <w:szCs w:val="24"/>
          <w:lang w:val="en-GB"/>
        </w:rPr>
        <w:t>. In a pilot experiment in cooperation with T</w:t>
      </w:r>
      <w:r w:rsidR="00BB1878" w:rsidRPr="001533EC">
        <w:rPr>
          <w:sz w:val="24"/>
          <w:szCs w:val="24"/>
          <w:lang w:val="en-GB"/>
        </w:rPr>
        <w:t>wist</w:t>
      </w:r>
      <w:r w:rsidR="000E56BE" w:rsidRPr="001533EC">
        <w:rPr>
          <w:sz w:val="24"/>
          <w:szCs w:val="24"/>
          <w:lang w:val="en-GB"/>
        </w:rPr>
        <w:t xml:space="preserve"> Bioscience, we designed a customized panel containing different primer sequences targeting the 7,233 CpG sites, originally identified with all models of E-net.</w:t>
      </w:r>
      <w:r w:rsidR="00A41B29" w:rsidRPr="001533EC">
        <w:rPr>
          <w:sz w:val="24"/>
          <w:szCs w:val="24"/>
          <w:lang w:val="en-GB"/>
        </w:rPr>
        <w:t xml:space="preserve"> </w:t>
      </w:r>
      <w:r w:rsidR="00BF397C" w:rsidRPr="001533EC">
        <w:rPr>
          <w:sz w:val="24"/>
          <w:szCs w:val="24"/>
          <w:lang w:val="en-GB"/>
        </w:rPr>
        <w:t xml:space="preserve">Sequencing was carried out by </w:t>
      </w:r>
      <w:r w:rsidR="00BF397C" w:rsidRPr="001533EC">
        <w:rPr>
          <w:sz w:val="24"/>
          <w:szCs w:val="24"/>
        </w:rPr>
        <w:t xml:space="preserve">LIFE &amp; BRAIN GENOMICS GmbH and </w:t>
      </w:r>
      <w:r w:rsidR="008878B2" w:rsidRPr="001533EC">
        <w:rPr>
          <w:sz w:val="24"/>
          <w:szCs w:val="24"/>
        </w:rPr>
        <w:t>bioinformatics</w:t>
      </w:r>
      <w:r w:rsidR="00BF397C" w:rsidRPr="001533EC">
        <w:rPr>
          <w:sz w:val="24"/>
          <w:szCs w:val="24"/>
        </w:rPr>
        <w:t xml:space="preserve"> analysis was done a</w:t>
      </w:r>
      <w:r w:rsidR="00A86A99" w:rsidRPr="001533EC">
        <w:rPr>
          <w:sz w:val="24"/>
          <w:szCs w:val="24"/>
          <w:lang w:val="en-GB"/>
        </w:rPr>
        <w:t>s described earlier</w:t>
      </w:r>
      <w:r w:rsidR="00A41C10" w:rsidRPr="001533EC">
        <w:rPr>
          <w:sz w:val="24"/>
          <w:szCs w:val="24"/>
          <w:lang w:val="en-GB"/>
        </w:rPr>
        <w:t xml:space="preserve"> </w:t>
      </w:r>
      <w:r w:rsidR="00122188" w:rsidRPr="001533EC">
        <w:rPr>
          <w:rStyle w:val="Funotenzeichen"/>
          <w:sz w:val="24"/>
          <w:szCs w:val="24"/>
          <w:lang w:val="en-GB"/>
        </w:rPr>
        <w:fldChar w:fldCharType="begin" w:fldLock="1"/>
      </w:r>
      <w:r w:rsidR="003663F0">
        <w:rPr>
          <w:sz w:val="24"/>
          <w:szCs w:val="24"/>
          <w:lang w:val="en-GB"/>
        </w:rPr>
        <w:instrText>ADDIN CSL_CITATION {"citationItems":[{"id":"ITEM-1","itemData":{"DOI":"10.1101/gr.266551.120","ISSN":"1549-5469 (Electronic)","PMID":"34140313","abstract":"Bisulfite sequencing detects 5mC and 5hmC at single-base resolution. However,  bisulfite treatment damages DNA, which results in fragmentation, DNA loss, and biased sequencing data. To overcome these problems, enzymatic methyl-seq (EM-seq) was developed. This method detects 5mC and 5hmC using two sets of enzymatic reactions. In the first reaction, TET2 and T4-BGT convert 5mC and 5hmC into products that cannot be deaminated by APOBEC3A. In the second reaction, APOBEC3A deaminates unmodified cytosines by converting them to uracils. Therefore, these three enzymes enable the identification of 5mC and 5hmC. EM-seq libraries were compared with bisulfite-converted DNA, and each library type was ligated to Illumina adaptors before conversion. Libraries were made using NA12878 genomic DNA, cell-free DNA, and FFPE DNA over a range of DNA inputs. The 5mC and 5hmC detected in EM-seq libraries were similar to those of bisulfite libraries. However, libraries made using EM-seq outperformed bisulfite-converted libraries in all specific measures examined (coverage, duplication, sensitivity, etc.). EM-seq libraries displayed even GC distribution, better correlations across DNA inputs, increased numbers of CpGs within genomic features, and accuracy of cytosine methylation calls. EM-seq was effective using as little as 100 pg of DNA, and these libraries maintained the described advantages over bisulfite sequencing. EM-seq library construction, using challenging samples and lower DNA inputs, opens new avenues for research and clinical applications.","author":[{"dropping-particle":"","family":"Vaisvila","given":"Romualdas","non-dropping-particle":"","parse-names":false,"suffix":""},{"dropping-particle":"","family":"Ponnaluri","given":"V K Chaithanya","non-dropping-particle":"","parse-names":false,"suffix":""},{"dropping-particle":"","family":"Sun","given":"Zhiyi","non-dropping-particle":"","parse-names":false,"suffix":""},{"dropping-particle":"","family":"Langhorst","given":"Bradley W","non-dropping-particle":"","parse-names":false,"suffix":""},{"dropping-particle":"","family":"Saleh","given":"Lana","non-dropping-particle":"","parse-names":false,"suffix":""},{"dropping-particle":"","family":"Guan","given":"Shengxi","non-dropping-particle":"","parse-names":false,"suffix":""},{"dropping-particle":"","family":"Dai","given":"Nan","non-dropping-particle":"","parse-names":false,"suffix":""},{"dropping-particle":"","family":"Campbell","given":"Matthew A","non-dropping-particle":"","parse-names":false,"suffix":""},{"dropping-particle":"","family":"Sexton","given":"Brittany S","non-dropping-particle":"","parse-names":false,"suffix":""},{"dropping-particle":"","family":"Marks","given":"Katherine","non-dropping-particle":"","parse-names":false,"suffix":""},{"dropping-particle":"","family":"Samaranayake","given":"Mala","non-dropping-particle":"","parse-names":false,"suffix":""},{"dropping-particle":"","family":"Samuelson","given":"James C","non-dropping-particle":"","parse-names":false,"suffix":""},{"dropping-particle":"","family":"Church","given":"Heidi E","non-dropping-particle":"","parse-names":false,"suffix":""},{"dropping-particle":"","family":"Tamanaha","given":"Esta","non-dropping-particle":"","parse-names":false,"suffix":""},{"dropping-particle":"","family":"Corrêa","given":"Ivan R Jr","non-dropping-particle":"","parse-names":false,"suffix":""},{"dropping-particle":"","family":"Pradhan","given":"Sriharsa","non-dropping-particle":"","parse-names":false,"suffix":""},{"dropping-particle":"","family":"Dimalanta","given":"Eileen T","non-dropping-particle":"","parse-names":false,"suffix":""},{"dropping-particle":"","family":"Evans","given":"Thomas C Jr","non-dropping-particle":"","parse-names":false,"suffix":""},{"dropping-particle":"","family":"Williams","given":"Louise","non-dropping-particle":"","parse-names":false,"suffix":""},{"dropping-particle":"","family":"Davis","given":"Theodore B","non-dropping-particle":"","parse-names":false,"suffix":""}],"container-title":"Genome research","id":"ITEM-1","issue":"7","issued":{"date-parts":[["2021","7"]]},"language":"eng","page":"1280-1289","publisher-place":"United States","title":"Enzymatic methyl sequencing detects DNA methylation at single-base resolution  from picograms of DNA.","type":"article-journal","volume":"31"},"uris":["http://www.mendeley.com/documents/?uuid=59f550eb-02b4-3128-a34a-4f17a78df5eb"]}],"mendeley":{"formattedCitation":"&lt;i&gt;(63)&lt;/i&gt;","plainTextFormattedCitation":"(63)","previouslyFormattedCitation":"&lt;i&gt;(63)&lt;/i&gt;"},"properties":{"noteIndex":0},"schema":"https://github.com/citation-style-language/schema/raw/master/csl-citation.json"}</w:instrText>
      </w:r>
      <w:r w:rsidR="00122188" w:rsidRPr="001533EC">
        <w:rPr>
          <w:rStyle w:val="Funotenzeichen"/>
          <w:sz w:val="24"/>
          <w:szCs w:val="24"/>
          <w:lang w:val="en-GB"/>
        </w:rPr>
        <w:fldChar w:fldCharType="separate"/>
      </w:r>
      <w:r w:rsidR="00E45487" w:rsidRPr="00E45487">
        <w:rPr>
          <w:i/>
          <w:noProof/>
          <w:sz w:val="24"/>
          <w:szCs w:val="24"/>
          <w:lang w:val="en-GB"/>
        </w:rPr>
        <w:t>(63)</w:t>
      </w:r>
      <w:r w:rsidR="00122188" w:rsidRPr="001533EC">
        <w:rPr>
          <w:rStyle w:val="Funotenzeichen"/>
          <w:sz w:val="24"/>
          <w:szCs w:val="24"/>
          <w:lang w:val="en-GB"/>
        </w:rPr>
        <w:fldChar w:fldCharType="end"/>
      </w:r>
      <w:r w:rsidR="00BB1878" w:rsidRPr="001533EC">
        <w:rPr>
          <w:sz w:val="24"/>
          <w:szCs w:val="24"/>
          <w:lang w:val="en-GB"/>
        </w:rPr>
        <w:t>. We only measured the methylation profiles of eight samples,</w:t>
      </w:r>
      <w:r w:rsidR="00635A62" w:rsidRPr="001533EC">
        <w:rPr>
          <w:sz w:val="24"/>
          <w:szCs w:val="24"/>
          <w:lang w:val="en-GB"/>
        </w:rPr>
        <w:t xml:space="preserve"> previously </w:t>
      </w:r>
      <w:r w:rsidR="008878B2" w:rsidRPr="001533EC">
        <w:rPr>
          <w:sz w:val="24"/>
          <w:szCs w:val="24"/>
          <w:lang w:val="en-GB"/>
        </w:rPr>
        <w:t>assessed</w:t>
      </w:r>
      <w:r w:rsidR="00635A62" w:rsidRPr="001533EC">
        <w:rPr>
          <w:sz w:val="24"/>
          <w:szCs w:val="24"/>
          <w:lang w:val="en-GB"/>
        </w:rPr>
        <w:t xml:space="preserve"> with EPIC arrays</w:t>
      </w:r>
      <w:r w:rsidR="00BB1878" w:rsidRPr="001533EC">
        <w:rPr>
          <w:sz w:val="24"/>
          <w:szCs w:val="24"/>
          <w:lang w:val="en-GB"/>
        </w:rPr>
        <w:t>,</w:t>
      </w:r>
      <w:r w:rsidR="000E56BE" w:rsidRPr="001533EC">
        <w:rPr>
          <w:sz w:val="24"/>
          <w:szCs w:val="24"/>
          <w:lang w:val="en-GB"/>
        </w:rPr>
        <w:t xml:space="preserve"> in which we applied a threshold of at least </w:t>
      </w:r>
      <w:r w:rsidR="00DA3008" w:rsidRPr="001533EC">
        <w:rPr>
          <w:sz w:val="24"/>
          <w:szCs w:val="24"/>
          <w:lang w:val="en-GB"/>
        </w:rPr>
        <w:t xml:space="preserve">10 </w:t>
      </w:r>
      <w:r w:rsidR="00D52A28" w:rsidRPr="001533EC">
        <w:rPr>
          <w:sz w:val="24"/>
          <w:szCs w:val="24"/>
          <w:lang w:val="en-GB"/>
        </w:rPr>
        <w:t xml:space="preserve">reads. In order to test accuracy of the </w:t>
      </w:r>
      <w:r w:rsidR="00934294">
        <w:rPr>
          <w:sz w:val="24"/>
          <w:szCs w:val="24"/>
          <w:lang w:val="en-GB"/>
        </w:rPr>
        <w:t>classification</w:t>
      </w:r>
      <w:r w:rsidR="00934294" w:rsidRPr="001533EC">
        <w:rPr>
          <w:sz w:val="24"/>
          <w:szCs w:val="24"/>
          <w:lang w:val="en-GB"/>
        </w:rPr>
        <w:t xml:space="preserve"> </w:t>
      </w:r>
      <w:r w:rsidR="00D52A28" w:rsidRPr="001533EC">
        <w:rPr>
          <w:sz w:val="24"/>
          <w:szCs w:val="24"/>
          <w:lang w:val="en-GB"/>
        </w:rPr>
        <w:t xml:space="preserve">with this customized sequencing, we increased the threshold of sequencing depth to </w:t>
      </w:r>
      <w:r w:rsidR="000E56BE" w:rsidRPr="001533EC">
        <w:rPr>
          <w:sz w:val="24"/>
          <w:szCs w:val="24"/>
          <w:lang w:val="en-GB"/>
        </w:rPr>
        <w:t xml:space="preserve">30 read counts. </w:t>
      </w:r>
    </w:p>
    <w:p w14:paraId="1494679A" w14:textId="77777777" w:rsidR="001C720C" w:rsidRPr="001533EC" w:rsidRDefault="001C720C" w:rsidP="00C35B7A">
      <w:pPr>
        <w:spacing w:line="480" w:lineRule="auto"/>
        <w:jc w:val="both"/>
        <w:rPr>
          <w:sz w:val="24"/>
          <w:szCs w:val="24"/>
          <w:lang w:val="en-GB"/>
        </w:rPr>
      </w:pPr>
    </w:p>
    <w:p w14:paraId="1E6338DA" w14:textId="57833C31" w:rsidR="00C35B7A" w:rsidRPr="001533EC" w:rsidRDefault="00C35B7A" w:rsidP="00C35B7A">
      <w:pPr>
        <w:spacing w:line="480" w:lineRule="auto"/>
        <w:jc w:val="both"/>
        <w:rPr>
          <w:b/>
          <w:sz w:val="24"/>
        </w:rPr>
      </w:pPr>
      <w:r w:rsidRPr="001533EC">
        <w:rPr>
          <w:b/>
          <w:sz w:val="24"/>
        </w:rPr>
        <w:t>Machine learning model</w:t>
      </w:r>
      <w:r w:rsidRPr="001533EC">
        <w:rPr>
          <w:b/>
          <w:sz w:val="24"/>
          <w:szCs w:val="24"/>
        </w:rPr>
        <w:t xml:space="preserve"> workflow</w:t>
      </w:r>
    </w:p>
    <w:p w14:paraId="5F88C9ED" w14:textId="1D86F650" w:rsidR="00C35B7A" w:rsidRPr="001533EC" w:rsidRDefault="00C35B7A" w:rsidP="00C35B7A">
      <w:pPr>
        <w:spacing w:line="480" w:lineRule="auto"/>
        <w:jc w:val="both"/>
        <w:rPr>
          <w:sz w:val="24"/>
          <w:szCs w:val="24"/>
        </w:rPr>
      </w:pPr>
      <w:r w:rsidRPr="001533EC">
        <w:rPr>
          <w:sz w:val="24"/>
          <w:szCs w:val="24"/>
        </w:rPr>
        <w:t>The machine learning model developed in the present study was based on the discovery cohort (n =</w:t>
      </w:r>
      <w:r w:rsidR="00261D83">
        <w:rPr>
          <w:sz w:val="24"/>
          <w:szCs w:val="24"/>
        </w:rPr>
        <w:t xml:space="preserve"> </w:t>
      </w:r>
      <w:r w:rsidRPr="001533EC">
        <w:rPr>
          <w:sz w:val="24"/>
          <w:szCs w:val="24"/>
        </w:rPr>
        <w:t xml:space="preserve">167). </w:t>
      </w:r>
      <w:r w:rsidR="009410AE">
        <w:rPr>
          <w:sz w:val="24"/>
          <w:szCs w:val="24"/>
        </w:rPr>
        <w:t xml:space="preserve">Using a bootstrap method, </w:t>
      </w:r>
      <w:r w:rsidRPr="001533EC">
        <w:rPr>
          <w:sz w:val="24"/>
          <w:szCs w:val="24"/>
        </w:rPr>
        <w:t xml:space="preserve">DNA methylation data from 70% (n = 118) of </w:t>
      </w:r>
      <w:r w:rsidR="000466A8">
        <w:rPr>
          <w:sz w:val="24"/>
          <w:szCs w:val="24"/>
        </w:rPr>
        <w:t>the</w:t>
      </w:r>
      <w:r w:rsidRPr="001533EC">
        <w:rPr>
          <w:sz w:val="24"/>
          <w:szCs w:val="24"/>
        </w:rPr>
        <w:t xml:space="preserve"> 167 </w:t>
      </w:r>
      <w:r w:rsidR="000466A8">
        <w:rPr>
          <w:sz w:val="24"/>
          <w:szCs w:val="24"/>
        </w:rPr>
        <w:t xml:space="preserve">individuals selected at random </w:t>
      </w:r>
      <w:r w:rsidRPr="001533EC">
        <w:rPr>
          <w:sz w:val="24"/>
          <w:szCs w:val="24"/>
        </w:rPr>
        <w:t>was assigned to the training set, and the remaining 30% (n = 49) to the test set</w:t>
      </w:r>
      <w:r w:rsidR="00CE5A7D">
        <w:rPr>
          <w:sz w:val="24"/>
          <w:szCs w:val="24"/>
        </w:rPr>
        <w:t>,</w:t>
      </w:r>
      <w:r w:rsidRPr="001533EC">
        <w:rPr>
          <w:sz w:val="24"/>
          <w:szCs w:val="24"/>
        </w:rPr>
        <w:t xml:space="preserve"> 1000 times (Fig. 1, fig. S1). For each split, the phenotype distributions were assessed between brain insulin resistant and </w:t>
      </w:r>
      <w:r w:rsidR="00940E30">
        <w:rPr>
          <w:sz w:val="24"/>
          <w:szCs w:val="24"/>
        </w:rPr>
        <w:t>sensitive groups</w:t>
      </w:r>
      <w:r w:rsidRPr="001533EC">
        <w:rPr>
          <w:sz w:val="24"/>
          <w:szCs w:val="24"/>
        </w:rPr>
        <w:t xml:space="preserve"> to ensure no significant differences existed besides the hypothalamus index, and 360 out of 1000 </w:t>
      </w:r>
      <w:r w:rsidR="0047375A">
        <w:rPr>
          <w:sz w:val="24"/>
          <w:szCs w:val="24"/>
        </w:rPr>
        <w:t xml:space="preserve">splits </w:t>
      </w:r>
      <w:r w:rsidRPr="001533EC">
        <w:rPr>
          <w:sz w:val="24"/>
          <w:szCs w:val="24"/>
        </w:rPr>
        <w:t xml:space="preserve">qualified the set criteria. This step was included to stabilize the feature and avoid potential confounders. For each of these 360 splits, Elastic net (E-net) logistic regression was applied to the training data using the R </w:t>
      </w:r>
      <w:proofErr w:type="spellStart"/>
      <w:r w:rsidRPr="001533EC">
        <w:rPr>
          <w:sz w:val="24"/>
          <w:szCs w:val="24"/>
        </w:rPr>
        <w:t>glmnet</w:t>
      </w:r>
      <w:proofErr w:type="spellEnd"/>
      <w:r w:rsidRPr="001533EC">
        <w:rPr>
          <w:sz w:val="24"/>
          <w:szCs w:val="24"/>
        </w:rPr>
        <w:t xml:space="preserve"> package</w:t>
      </w:r>
      <w:r w:rsidR="00267494">
        <w:rPr>
          <w:sz w:val="24"/>
          <w:szCs w:val="24"/>
        </w:rPr>
        <w:t xml:space="preserve"> </w:t>
      </w:r>
      <w:r w:rsidR="00122188" w:rsidRPr="001533EC">
        <w:rPr>
          <w:rStyle w:val="Funotenzeichen"/>
          <w:sz w:val="24"/>
          <w:szCs w:val="24"/>
        </w:rPr>
        <w:fldChar w:fldCharType="begin" w:fldLock="1"/>
      </w:r>
      <w:r w:rsidR="003663F0">
        <w:rPr>
          <w:sz w:val="24"/>
          <w:szCs w:val="24"/>
        </w:rPr>
        <w:instrText>ADDIN CSL_CITATION {"citationItems":[{"id":"ITEM-1","itemData":{"DOI":"10.1186/s13148-019-0730-1","ISSN":"1868-7083","abstract":"Elastic net type regression methods have become very popular for prediction of certain outcomes in epigenome-wide association studies (EWAS). The methods considered accept biased coefficient estimates in return for lower variance thus obtaining improved prediction accuracy. We provide guidelines on how to obtain parsimonious models with low mean squared error and include easy to follow walk-through examples for each step in R.","author":[{"dropping-particle":"","family":"Engebretsen","given":"Solveig","non-dropping-particle":"","parse-names":false,"suffix":""},{"dropping-particle":"","family":"Bohlin","given":"Jon","non-dropping-particle":"","parse-names":false,"suffix":""}],"container-title":"Clinical Epigenetics","id":"ITEM-1","issue":"1","issued":{"date-parts":[["2019"]]},"page":"123","title":"Statistical predictions with glmnet","type":"article-journal","volume":"11"},"uris":["http://www.mendeley.com/documents/?uuid=20f6fca9-433d-3242-b5e0-8978e5cb7dfa"]}],"mendeley":{"formattedCitation":"&lt;i&gt;(64)&lt;/i&gt;","plainTextFormattedCitation":"(64)","previouslyFormattedCitation":"&lt;i&gt;(64)&lt;/i&gt;"},"properties":{"noteIndex":0},"schema":"https://github.com/citation-style-language/schema/raw/master/csl-citation.json"}</w:instrText>
      </w:r>
      <w:r w:rsidR="00122188" w:rsidRPr="001533EC">
        <w:rPr>
          <w:rStyle w:val="Funotenzeichen"/>
          <w:sz w:val="24"/>
          <w:szCs w:val="24"/>
        </w:rPr>
        <w:fldChar w:fldCharType="separate"/>
      </w:r>
      <w:r w:rsidR="00E45487" w:rsidRPr="00E45487">
        <w:rPr>
          <w:bCs/>
          <w:i/>
          <w:noProof/>
          <w:sz w:val="24"/>
          <w:szCs w:val="24"/>
        </w:rPr>
        <w:t>(64)</w:t>
      </w:r>
      <w:r w:rsidR="00122188" w:rsidRPr="001533EC">
        <w:rPr>
          <w:rStyle w:val="Funotenzeichen"/>
          <w:sz w:val="24"/>
          <w:szCs w:val="24"/>
        </w:rPr>
        <w:fldChar w:fldCharType="end"/>
      </w:r>
      <w:r w:rsidRPr="001533EC">
        <w:rPr>
          <w:sz w:val="24"/>
          <w:szCs w:val="24"/>
        </w:rPr>
        <w:t>. Using E-net, the optimal regularization parameter (λ) was identified through 10-fold cross-validation within the training data</w:t>
      </w:r>
      <w:r w:rsidR="00B116E6" w:rsidRPr="001533EC">
        <w:rPr>
          <w:sz w:val="24"/>
          <w:szCs w:val="24"/>
        </w:rPr>
        <w:t xml:space="preserve"> </w:t>
      </w:r>
      <w:r w:rsidR="00122188" w:rsidRPr="001533EC">
        <w:rPr>
          <w:rStyle w:val="Funotenzeichen"/>
          <w:sz w:val="24"/>
          <w:szCs w:val="24"/>
        </w:rPr>
        <w:fldChar w:fldCharType="begin" w:fldLock="1"/>
      </w:r>
      <w:r w:rsidR="00607440" w:rsidRPr="001533EC">
        <w:rPr>
          <w:sz w:val="24"/>
          <w:szCs w:val="24"/>
        </w:rPr>
        <w:instrText>ADDIN CSL_CITATION {"citationItems":[{"id":"ITEM-1","itemData":{"DOI":"10.1093/bioinformatics/btaa046","ISSN":"1367-4811 (Electronic)","PMID":"31985777","abstract":"SUMMARY: Feature selection can improve the accuracy of machine-learning models,  but appropriate steps must be taken to avoid overfitting. Nested cross-validation (nCV) is a common approach that chooses the classification model and features to represent a given outer fold based on features that give the maximum inner-fold accuracy. Differential privacy is a related technique to avoid overfitting that uses a privacy-preserving noise mechanism to identify features that are stable between training and holdout sets.We develop consensus nested cross-validation (cnCV) that combines the idea of feature stability from differential privacy with nCV. Feature selection is applied in each inner fold and the consensus of top features across folds is used as a measure of feature stability or reliability instead of classification accuracy, which is used in standard nCV. We use simulated data with main effects, correlation and interactions to compare the classification accuracy and feature selection performance of the new cnCV with standard nCV, Elastic Net optimized by cross-validation, differential privacy and private evaporative cooling (pEC). We also compare these methods using real RNA-seq data from a study of major depressive disorder.The cnCV method has similar training and validation accuracy to nCV, but cnCV has much shorter run times because it does not construct classifiers in the inner folds. The cnCV method chooses a more parsimonious set of features with fewer false positives than nCV. The cnCV method has similar accuracy to pEC and cnCV selects stable features between folds without the need to specify a privacy threshold. We show that cnCV is an effective and efficient approach for combining feature selection with classification. AVAILABILITY AND IMPLEMENTATION: Code available at https://github.com/insilico/cncv. SUPPLEMENTARY INFORMATION: Supplementary data are available at Bioinformatics online.","author":[{"dropping-particle":"","family":"Parvandeh","given":"Saeid","non-dropping-particle":"","parse-names":false,"suffix":""},{"dropping-particle":"","family":"Yeh","given":"Hung-Wen","non-dropping-particle":"","parse-names":false,"suffix":""},{"dropping-particle":"","family":"Paulus","given":"Martin P","non-dropping-particle":"","parse-names":false,"suffix":""},{"dropping-particle":"","family":"McKinney","given":"Brett A","non-dropping-particle":"","parse-names":false,"suffix":""}],"container-title":"Bioinformatics (Oxford, England)","id":"ITEM-1","issue":"10","issued":{"date-parts":[["2020","5"]]},"language":"eng","page":"3093-3098","publisher-place":"England","title":"Consensus features nested cross-validation.","type":"article-journal","volume":"36"},"uris":["http://www.mendeley.com/documents/?uuid=d13551f0-bc1f-42f4-9e05-eaba93d20aa5"]}],"mendeley":{"formattedCitation":"&lt;i&gt;(22)&lt;/i&gt;","plainTextFormattedCitation":"(22)","previouslyFormattedCitation":"&lt;i&gt;(22)&lt;/i&gt;"},"properties":{"noteIndex":0},"schema":"https://github.com/citation-style-language/schema/raw/master/csl-citation.json"}</w:instrText>
      </w:r>
      <w:r w:rsidR="00122188" w:rsidRPr="001533EC">
        <w:rPr>
          <w:rStyle w:val="Funotenzeichen"/>
          <w:sz w:val="24"/>
          <w:szCs w:val="24"/>
        </w:rPr>
        <w:fldChar w:fldCharType="separate"/>
      </w:r>
      <w:r w:rsidR="00607440" w:rsidRPr="001533EC">
        <w:rPr>
          <w:i/>
          <w:noProof/>
          <w:sz w:val="24"/>
          <w:szCs w:val="24"/>
        </w:rPr>
        <w:t>(22)</w:t>
      </w:r>
      <w:r w:rsidR="00122188" w:rsidRPr="001533EC">
        <w:rPr>
          <w:rStyle w:val="Funotenzeichen"/>
          <w:sz w:val="24"/>
          <w:szCs w:val="24"/>
        </w:rPr>
        <w:fldChar w:fldCharType="end"/>
      </w:r>
      <w:r w:rsidRPr="001533EC">
        <w:rPr>
          <w:sz w:val="24"/>
          <w:szCs w:val="24"/>
        </w:rPr>
        <w:t xml:space="preserve">. Each trained model was subsequently evaluated on its corresponding test set and all the features from these models (n = 360) were retained for further analysis (Table S1). </w:t>
      </w:r>
    </w:p>
    <w:p w14:paraId="1DB774EC" w14:textId="5DA41CB3" w:rsidR="00C35B7A" w:rsidRPr="001533EC" w:rsidRDefault="00C35B7A" w:rsidP="00C35B7A">
      <w:pPr>
        <w:spacing w:line="480" w:lineRule="auto"/>
        <w:jc w:val="both"/>
        <w:rPr>
          <w:sz w:val="24"/>
          <w:szCs w:val="24"/>
        </w:rPr>
      </w:pPr>
      <w:r w:rsidRPr="001533EC">
        <w:rPr>
          <w:sz w:val="24"/>
          <w:szCs w:val="24"/>
        </w:rPr>
        <w:lastRenderedPageBreak/>
        <w:t xml:space="preserve">Features that appeared in at least 10% (36 out of 360) of the models were deemed stable and used to train </w:t>
      </w:r>
      <w:bookmarkStart w:id="8" w:name="_Hlk193795551"/>
      <w:r w:rsidRPr="001533EC">
        <w:rPr>
          <w:sz w:val="24"/>
          <w:szCs w:val="24"/>
        </w:rPr>
        <w:t xml:space="preserve">Random Forest </w:t>
      </w:r>
      <w:bookmarkEnd w:id="8"/>
      <w:r w:rsidRPr="001533EC">
        <w:rPr>
          <w:sz w:val="24"/>
          <w:szCs w:val="24"/>
        </w:rPr>
        <w:t xml:space="preserve">(RF) and </w:t>
      </w:r>
      <w:bookmarkStart w:id="9" w:name="_Hlk193795616"/>
      <w:r w:rsidRPr="001533EC">
        <w:rPr>
          <w:sz w:val="24"/>
          <w:szCs w:val="24"/>
        </w:rPr>
        <w:t xml:space="preserve">Support Vector Machine </w:t>
      </w:r>
      <w:bookmarkEnd w:id="9"/>
      <w:r w:rsidRPr="001533EC">
        <w:rPr>
          <w:sz w:val="24"/>
          <w:szCs w:val="24"/>
        </w:rPr>
        <w:t>(SVM) classification models</w:t>
      </w:r>
      <w:r w:rsidR="00B116E6" w:rsidRPr="001533EC">
        <w:rPr>
          <w:sz w:val="24"/>
          <w:szCs w:val="24"/>
        </w:rPr>
        <w:t xml:space="preserve"> </w:t>
      </w:r>
      <w:r w:rsidR="00122188" w:rsidRPr="001533EC">
        <w:rPr>
          <w:rStyle w:val="Funotenzeichen"/>
          <w:sz w:val="24"/>
          <w:szCs w:val="24"/>
        </w:rPr>
        <w:fldChar w:fldCharType="begin" w:fldLock="1"/>
      </w:r>
      <w:r w:rsidR="003663F0">
        <w:rPr>
          <w:sz w:val="24"/>
          <w:szCs w:val="24"/>
        </w:rPr>
        <w:instrText>ADDIN CSL_CITATION {"citationItems":[{"id":"ITEM-1","itemData":{"DOI":"https://doi.org/10.1111/j.1467-9868.2010.00740.x","ISSN":"1369-7412","abstract":"Summary.? Estimation of structure, such as in variable selection, graphical modelling or cluster analysis, is notoriously difficult, especially for high dimensional data. We introduce stability selection. It is based on subsampling in combination with (high dimensional) selection algorithms. As such, the method is extremely general and has a very wide range of applicability. Stability selection provides finite sample control for some error rates of false discoveries and hence a transparent principle to choose a proper amount of regularization for structure estimation. Variable selection and structure estimation improve markedly for a range of selection methods if stability selection is applied. We prove for the randomized lasso that stability selection will be variable selection consistent even if the necessary conditions for consistency of the original lasso method are violated. We demonstrate stability selection for variable selection and Gaussian graphical modelling, using real and simulated data.","author":[{"dropping-particle":"","family":"Meinshausen","given":"Nicolai","non-dropping-particle":"","parse-names":false,"suffix":""},{"dropping-particle":"","family":"Bühlmann","given":"Peter","non-dropping-particle":"","parse-names":false,"suffix":""}],"container-title":"Journal of the Royal Statistical Society: Series B (Statistical Methodology)","id":"ITEM-1","issue":"4","issued":{"date-parts":[["2010","9","1"]]},"page":"417-473","publisher":"John Wiley &amp; Sons, Ltd","title":"Stability selection","type":"article-journal","volume":"72"},"uris":["http://www.mendeley.com/documents/?uuid=84baaa49-6b3e-43a9-a9e5-dee25d1b42e5"]}],"mendeley":{"formattedCitation":"&lt;i&gt;(65)&lt;/i&gt;","plainTextFormattedCitation":"(65)","previouslyFormattedCitation":"&lt;i&gt;(65)&lt;/i&gt;"},"properties":{"noteIndex":0},"schema":"https://github.com/citation-style-language/schema/raw/master/csl-citation.json"}</w:instrText>
      </w:r>
      <w:r w:rsidR="00122188" w:rsidRPr="001533EC">
        <w:rPr>
          <w:rStyle w:val="Funotenzeichen"/>
          <w:sz w:val="24"/>
          <w:szCs w:val="24"/>
        </w:rPr>
        <w:fldChar w:fldCharType="separate"/>
      </w:r>
      <w:r w:rsidR="00E45487" w:rsidRPr="00E45487">
        <w:rPr>
          <w:bCs/>
          <w:i/>
          <w:noProof/>
          <w:sz w:val="24"/>
          <w:szCs w:val="24"/>
        </w:rPr>
        <w:t>(65)</w:t>
      </w:r>
      <w:r w:rsidR="00122188" w:rsidRPr="001533EC">
        <w:rPr>
          <w:rStyle w:val="Funotenzeichen"/>
          <w:sz w:val="24"/>
          <w:szCs w:val="24"/>
        </w:rPr>
        <w:fldChar w:fldCharType="end"/>
      </w:r>
      <w:r w:rsidRPr="001533EC">
        <w:rPr>
          <w:sz w:val="24"/>
          <w:szCs w:val="24"/>
        </w:rPr>
        <w:t xml:space="preserve">. To ensure robust model training, both models were trained on the entire discovery dataset (n = 167) leveraging maximum information for learning. This potentially improves accuracy and generalizes performance. </w:t>
      </w:r>
      <w:r w:rsidR="00D51E4C">
        <w:rPr>
          <w:sz w:val="24"/>
          <w:szCs w:val="24"/>
        </w:rPr>
        <w:t>Whereas</w:t>
      </w:r>
      <w:r w:rsidR="00D51E4C" w:rsidRPr="001533EC">
        <w:rPr>
          <w:sz w:val="24"/>
          <w:szCs w:val="24"/>
        </w:rPr>
        <w:t xml:space="preserve"> </w:t>
      </w:r>
      <w:r w:rsidRPr="001533EC">
        <w:rPr>
          <w:sz w:val="24"/>
          <w:szCs w:val="24"/>
        </w:rPr>
        <w:t xml:space="preserve">the discovery data was initially split into training and test set for the feature selection, the final models were rigorously evaluated on two independent replication cohorts (replication I, n = 33 and replication II, n = 24) that were not used during the training or feature selection. Performance metrics, including accuracy, precision, recall, and the area under the Receiver Operating Characteristic (ROC) curve (AUC) were computed to assess </w:t>
      </w:r>
      <w:proofErr w:type="gramStart"/>
      <w:r w:rsidRPr="001533EC">
        <w:rPr>
          <w:sz w:val="24"/>
          <w:szCs w:val="24"/>
        </w:rPr>
        <w:t xml:space="preserve">the </w:t>
      </w:r>
      <w:r w:rsidR="005437A5">
        <w:rPr>
          <w:sz w:val="24"/>
          <w:szCs w:val="24"/>
        </w:rPr>
        <w:t xml:space="preserve"> discriminative</w:t>
      </w:r>
      <w:proofErr w:type="gramEnd"/>
      <w:r w:rsidR="005437A5">
        <w:rPr>
          <w:sz w:val="24"/>
          <w:szCs w:val="24"/>
        </w:rPr>
        <w:t xml:space="preserve"> </w:t>
      </w:r>
      <w:r w:rsidRPr="001533EC">
        <w:rPr>
          <w:sz w:val="24"/>
          <w:szCs w:val="24"/>
        </w:rPr>
        <w:t>power and generalizability of the models. Additionally, the Matthew correlation coefficient was calculated to assess the performance of the replication cohort</w:t>
      </w:r>
      <w:r w:rsidR="00772D20">
        <w:rPr>
          <w:sz w:val="24"/>
          <w:szCs w:val="24"/>
        </w:rPr>
        <w:t>s</w:t>
      </w:r>
      <w:r w:rsidRPr="001533EC">
        <w:rPr>
          <w:sz w:val="24"/>
          <w:szCs w:val="24"/>
        </w:rPr>
        <w:t>.</w:t>
      </w:r>
    </w:p>
    <w:p w14:paraId="30010E60" w14:textId="28B346F7" w:rsidR="001533EC" w:rsidRPr="0088126A" w:rsidRDefault="001533EC" w:rsidP="0088126A">
      <w:pPr>
        <w:spacing w:line="480" w:lineRule="auto"/>
        <w:jc w:val="both"/>
        <w:rPr>
          <w:rFonts w:ascii="Calibri"/>
          <w:b/>
          <w:i/>
          <w:sz w:val="24"/>
          <w:szCs w:val="24"/>
        </w:rPr>
      </w:pPr>
      <w:bookmarkStart w:id="10" w:name="_Hlk179013913"/>
      <w:bookmarkStart w:id="11" w:name="_Hlk179301061"/>
      <w:r w:rsidRPr="0088126A">
        <w:rPr>
          <w:b/>
          <w:sz w:val="24"/>
          <w:szCs w:val="24"/>
        </w:rPr>
        <w:t>Statistical</w:t>
      </w:r>
      <w:r w:rsidRPr="0088126A">
        <w:rPr>
          <w:b/>
          <w:spacing w:val="-1"/>
          <w:sz w:val="24"/>
          <w:szCs w:val="24"/>
        </w:rPr>
        <w:t xml:space="preserve"> </w:t>
      </w:r>
      <w:r w:rsidRPr="0088126A">
        <w:rPr>
          <w:b/>
          <w:spacing w:val="-2"/>
          <w:sz w:val="24"/>
          <w:szCs w:val="24"/>
        </w:rPr>
        <w:t>analyses</w:t>
      </w:r>
    </w:p>
    <w:p w14:paraId="339138CA" w14:textId="77777777" w:rsidR="001533EC" w:rsidRPr="00A42B09" w:rsidRDefault="001533EC" w:rsidP="0088126A">
      <w:pPr>
        <w:widowControl w:val="0"/>
        <w:tabs>
          <w:tab w:val="left" w:pos="796"/>
        </w:tabs>
        <w:autoSpaceDE w:val="0"/>
        <w:autoSpaceDN w:val="0"/>
        <w:spacing w:line="480" w:lineRule="auto"/>
        <w:jc w:val="both"/>
        <w:rPr>
          <w:rFonts w:ascii="Calibri" w:hAnsi="Calibri"/>
        </w:rPr>
      </w:pPr>
      <w:r w:rsidRPr="00A42B09">
        <w:rPr>
          <w:sz w:val="24"/>
        </w:rPr>
        <w:t>The</w:t>
      </w:r>
      <w:r w:rsidRPr="00A42B09">
        <w:rPr>
          <w:spacing w:val="-10"/>
          <w:sz w:val="24"/>
        </w:rPr>
        <w:t xml:space="preserve"> </w:t>
      </w:r>
      <w:r w:rsidRPr="00A42B09">
        <w:rPr>
          <w:sz w:val="24"/>
        </w:rPr>
        <w:t>clinical</w:t>
      </w:r>
      <w:r w:rsidRPr="00A42B09">
        <w:rPr>
          <w:spacing w:val="-9"/>
          <w:sz w:val="24"/>
        </w:rPr>
        <w:t xml:space="preserve"> </w:t>
      </w:r>
      <w:r w:rsidRPr="00A42B09">
        <w:rPr>
          <w:sz w:val="24"/>
        </w:rPr>
        <w:t>characteristics</w:t>
      </w:r>
      <w:r w:rsidRPr="00A42B09">
        <w:rPr>
          <w:spacing w:val="-8"/>
          <w:sz w:val="24"/>
        </w:rPr>
        <w:t xml:space="preserve"> </w:t>
      </w:r>
      <w:r w:rsidRPr="00A42B09">
        <w:rPr>
          <w:sz w:val="24"/>
        </w:rPr>
        <w:t>of</w:t>
      </w:r>
      <w:r w:rsidRPr="00A42B09">
        <w:rPr>
          <w:spacing w:val="-14"/>
          <w:sz w:val="24"/>
        </w:rPr>
        <w:t xml:space="preserve"> </w:t>
      </w:r>
      <w:r w:rsidRPr="00A42B09">
        <w:rPr>
          <w:sz w:val="24"/>
        </w:rPr>
        <w:t>the</w:t>
      </w:r>
      <w:r w:rsidRPr="00A42B09">
        <w:rPr>
          <w:spacing w:val="-7"/>
          <w:sz w:val="24"/>
        </w:rPr>
        <w:t xml:space="preserve"> </w:t>
      </w:r>
      <w:r w:rsidRPr="00A42B09">
        <w:rPr>
          <w:sz w:val="24"/>
        </w:rPr>
        <w:t>individuals</w:t>
      </w:r>
      <w:r w:rsidRPr="00A42B09">
        <w:rPr>
          <w:spacing w:val="-8"/>
          <w:sz w:val="24"/>
        </w:rPr>
        <w:t xml:space="preserve"> </w:t>
      </w:r>
      <w:r w:rsidRPr="00A42B09">
        <w:rPr>
          <w:sz w:val="24"/>
        </w:rPr>
        <w:t>were</w:t>
      </w:r>
      <w:r w:rsidRPr="00A42B09">
        <w:rPr>
          <w:spacing w:val="-7"/>
          <w:sz w:val="24"/>
        </w:rPr>
        <w:t xml:space="preserve"> </w:t>
      </w:r>
      <w:r w:rsidRPr="00A42B09">
        <w:rPr>
          <w:sz w:val="24"/>
        </w:rPr>
        <w:t>summarized</w:t>
      </w:r>
      <w:r w:rsidRPr="00A42B09">
        <w:rPr>
          <w:spacing w:val="-6"/>
          <w:sz w:val="24"/>
        </w:rPr>
        <w:t xml:space="preserve"> </w:t>
      </w:r>
      <w:r w:rsidRPr="00A42B09">
        <w:rPr>
          <w:sz w:val="24"/>
        </w:rPr>
        <w:t>as</w:t>
      </w:r>
      <w:r w:rsidRPr="00A42B09">
        <w:rPr>
          <w:spacing w:val="-3"/>
          <w:sz w:val="24"/>
        </w:rPr>
        <w:t xml:space="preserve"> </w:t>
      </w:r>
      <w:r w:rsidRPr="00A42B09">
        <w:rPr>
          <w:sz w:val="24"/>
        </w:rPr>
        <w:t>mean</w:t>
      </w:r>
      <w:r w:rsidRPr="00A42B09">
        <w:rPr>
          <w:spacing w:val="-11"/>
          <w:sz w:val="24"/>
        </w:rPr>
        <w:t xml:space="preserve"> </w:t>
      </w:r>
      <w:r w:rsidRPr="00A42B09">
        <w:rPr>
          <w:sz w:val="24"/>
        </w:rPr>
        <w:t>±</w:t>
      </w:r>
      <w:r w:rsidRPr="00A42B09">
        <w:rPr>
          <w:spacing w:val="-8"/>
          <w:sz w:val="24"/>
        </w:rPr>
        <w:t xml:space="preserve"> </w:t>
      </w:r>
      <w:r w:rsidRPr="00A42B09">
        <w:rPr>
          <w:sz w:val="24"/>
        </w:rPr>
        <w:t>SD. The</w:t>
      </w:r>
      <w:r w:rsidRPr="00A42B09">
        <w:rPr>
          <w:spacing w:val="-7"/>
          <w:sz w:val="24"/>
        </w:rPr>
        <w:t xml:space="preserve"> </w:t>
      </w:r>
      <w:r w:rsidRPr="00A42B09">
        <w:rPr>
          <w:sz w:val="24"/>
        </w:rPr>
        <w:t>two-</w:t>
      </w:r>
      <w:r w:rsidRPr="00A42B09">
        <w:rPr>
          <w:spacing w:val="-2"/>
          <w:sz w:val="24"/>
        </w:rPr>
        <w:t>sample</w:t>
      </w:r>
    </w:p>
    <w:p w14:paraId="653C74E6" w14:textId="77777777" w:rsidR="001533EC" w:rsidRPr="00A42B09" w:rsidRDefault="001533EC" w:rsidP="0088126A">
      <w:pPr>
        <w:widowControl w:val="0"/>
        <w:tabs>
          <w:tab w:val="left" w:pos="796"/>
        </w:tabs>
        <w:autoSpaceDE w:val="0"/>
        <w:autoSpaceDN w:val="0"/>
        <w:spacing w:line="480" w:lineRule="auto"/>
        <w:jc w:val="both"/>
        <w:rPr>
          <w:rFonts w:ascii="Calibri"/>
        </w:rPr>
      </w:pPr>
      <w:r w:rsidRPr="00A42B09">
        <w:rPr>
          <w:sz w:val="24"/>
        </w:rPr>
        <w:t>Wilcoxon</w:t>
      </w:r>
      <w:r w:rsidRPr="00A42B09">
        <w:rPr>
          <w:spacing w:val="1"/>
          <w:sz w:val="24"/>
        </w:rPr>
        <w:t xml:space="preserve"> </w:t>
      </w:r>
      <w:r w:rsidRPr="00A42B09">
        <w:rPr>
          <w:sz w:val="24"/>
        </w:rPr>
        <w:t>rank</w:t>
      </w:r>
      <w:r w:rsidRPr="00A42B09">
        <w:rPr>
          <w:spacing w:val="9"/>
          <w:sz w:val="24"/>
        </w:rPr>
        <w:t xml:space="preserve"> </w:t>
      </w:r>
      <w:r w:rsidRPr="00A42B09">
        <w:rPr>
          <w:sz w:val="24"/>
        </w:rPr>
        <w:t>test</w:t>
      </w:r>
      <w:r w:rsidRPr="00A42B09">
        <w:rPr>
          <w:spacing w:val="5"/>
          <w:sz w:val="24"/>
        </w:rPr>
        <w:t xml:space="preserve"> </w:t>
      </w:r>
      <w:r w:rsidRPr="00A42B09">
        <w:rPr>
          <w:sz w:val="24"/>
        </w:rPr>
        <w:t>or</w:t>
      </w:r>
      <w:r w:rsidRPr="00A42B09">
        <w:rPr>
          <w:spacing w:val="6"/>
          <w:sz w:val="24"/>
        </w:rPr>
        <w:t xml:space="preserve"> </w:t>
      </w:r>
      <w:r w:rsidRPr="00A42B09">
        <w:rPr>
          <w:sz w:val="24"/>
        </w:rPr>
        <w:t>Unpaired</w:t>
      </w:r>
      <w:r w:rsidRPr="00A42B09">
        <w:rPr>
          <w:spacing w:val="8"/>
          <w:sz w:val="24"/>
        </w:rPr>
        <w:t xml:space="preserve"> </w:t>
      </w:r>
      <w:r w:rsidRPr="00A42B09">
        <w:rPr>
          <w:sz w:val="24"/>
        </w:rPr>
        <w:t>t-test</w:t>
      </w:r>
      <w:r w:rsidRPr="00A42B09">
        <w:rPr>
          <w:spacing w:val="10"/>
          <w:sz w:val="24"/>
        </w:rPr>
        <w:t xml:space="preserve"> </w:t>
      </w:r>
      <w:r w:rsidRPr="00A42B09">
        <w:rPr>
          <w:sz w:val="24"/>
        </w:rPr>
        <w:t>was</w:t>
      </w:r>
      <w:r w:rsidRPr="00A42B09">
        <w:rPr>
          <w:spacing w:val="7"/>
          <w:sz w:val="24"/>
        </w:rPr>
        <w:t xml:space="preserve"> </w:t>
      </w:r>
      <w:r w:rsidRPr="00A42B09">
        <w:rPr>
          <w:sz w:val="24"/>
        </w:rPr>
        <w:t>used</w:t>
      </w:r>
      <w:r w:rsidRPr="00A42B09">
        <w:rPr>
          <w:spacing w:val="9"/>
          <w:sz w:val="24"/>
        </w:rPr>
        <w:t xml:space="preserve"> </w:t>
      </w:r>
      <w:r w:rsidRPr="00A42B09">
        <w:rPr>
          <w:sz w:val="24"/>
        </w:rPr>
        <w:t>based</w:t>
      </w:r>
      <w:r w:rsidRPr="00A42B09">
        <w:rPr>
          <w:spacing w:val="8"/>
          <w:sz w:val="24"/>
        </w:rPr>
        <w:t xml:space="preserve"> </w:t>
      </w:r>
      <w:r w:rsidRPr="00A42B09">
        <w:rPr>
          <w:sz w:val="24"/>
        </w:rPr>
        <w:t>on the</w:t>
      </w:r>
      <w:r w:rsidRPr="00A42B09">
        <w:rPr>
          <w:spacing w:val="8"/>
          <w:sz w:val="24"/>
        </w:rPr>
        <w:t xml:space="preserve"> </w:t>
      </w:r>
      <w:r w:rsidRPr="00A42B09">
        <w:rPr>
          <w:sz w:val="24"/>
        </w:rPr>
        <w:t>data</w:t>
      </w:r>
      <w:r w:rsidRPr="00A42B09">
        <w:rPr>
          <w:spacing w:val="8"/>
          <w:sz w:val="24"/>
        </w:rPr>
        <w:t xml:space="preserve"> </w:t>
      </w:r>
      <w:r w:rsidRPr="00A42B09">
        <w:rPr>
          <w:sz w:val="24"/>
        </w:rPr>
        <w:t>normality tested</w:t>
      </w:r>
      <w:r w:rsidRPr="00A42B09">
        <w:rPr>
          <w:spacing w:val="9"/>
          <w:sz w:val="24"/>
        </w:rPr>
        <w:t xml:space="preserve"> </w:t>
      </w:r>
      <w:r w:rsidRPr="00A42B09">
        <w:rPr>
          <w:sz w:val="24"/>
        </w:rPr>
        <w:t xml:space="preserve">by </w:t>
      </w:r>
      <w:r w:rsidRPr="00A42B09">
        <w:rPr>
          <w:spacing w:val="-2"/>
          <w:sz w:val="24"/>
        </w:rPr>
        <w:t>Shapiro</w:t>
      </w:r>
    </w:p>
    <w:p w14:paraId="6703A0C5" w14:textId="7BEDDD5C" w:rsidR="001533EC" w:rsidRPr="00A42B09" w:rsidRDefault="001533EC" w:rsidP="0088126A">
      <w:pPr>
        <w:widowControl w:val="0"/>
        <w:tabs>
          <w:tab w:val="left" w:pos="796"/>
        </w:tabs>
        <w:autoSpaceDE w:val="0"/>
        <w:autoSpaceDN w:val="0"/>
        <w:spacing w:line="480" w:lineRule="auto"/>
        <w:jc w:val="both"/>
        <w:rPr>
          <w:rFonts w:ascii="Calibri"/>
        </w:rPr>
      </w:pPr>
      <w:r w:rsidRPr="00A42B09">
        <w:rPr>
          <w:sz w:val="24"/>
        </w:rPr>
        <w:t>Wilk</w:t>
      </w:r>
      <w:r w:rsidRPr="00A42B09">
        <w:rPr>
          <w:spacing w:val="7"/>
          <w:sz w:val="24"/>
        </w:rPr>
        <w:t xml:space="preserve"> </w:t>
      </w:r>
      <w:r w:rsidRPr="00A42B09">
        <w:rPr>
          <w:sz w:val="24"/>
        </w:rPr>
        <w:t>normality</w:t>
      </w:r>
      <w:r w:rsidRPr="00A42B09">
        <w:rPr>
          <w:spacing w:val="1"/>
          <w:sz w:val="24"/>
        </w:rPr>
        <w:t xml:space="preserve"> </w:t>
      </w:r>
      <w:r w:rsidRPr="00A42B09">
        <w:rPr>
          <w:sz w:val="24"/>
        </w:rPr>
        <w:t>test</w:t>
      </w:r>
      <w:r w:rsidRPr="00A42B09">
        <w:rPr>
          <w:spacing w:val="11"/>
          <w:sz w:val="24"/>
        </w:rPr>
        <w:t xml:space="preserve"> </w:t>
      </w:r>
      <w:r w:rsidRPr="00A42B09">
        <w:rPr>
          <w:sz w:val="24"/>
        </w:rPr>
        <w:t>and</w:t>
      </w:r>
      <w:r w:rsidRPr="00A42B09">
        <w:rPr>
          <w:spacing w:val="9"/>
          <w:sz w:val="24"/>
        </w:rPr>
        <w:t xml:space="preserve"> </w:t>
      </w:r>
      <w:r w:rsidRPr="00A42B09">
        <w:rPr>
          <w:sz w:val="24"/>
        </w:rPr>
        <w:t>variance</w:t>
      </w:r>
      <w:r w:rsidRPr="00A42B09">
        <w:rPr>
          <w:spacing w:val="9"/>
          <w:sz w:val="24"/>
        </w:rPr>
        <w:t xml:space="preserve"> </w:t>
      </w:r>
      <w:r w:rsidRPr="00A42B09">
        <w:rPr>
          <w:sz w:val="24"/>
        </w:rPr>
        <w:t>with</w:t>
      </w:r>
      <w:r w:rsidRPr="00A42B09">
        <w:rPr>
          <w:spacing w:val="5"/>
          <w:sz w:val="24"/>
        </w:rPr>
        <w:t xml:space="preserve"> </w:t>
      </w:r>
      <w:r w:rsidRPr="00A42B09">
        <w:rPr>
          <w:sz w:val="24"/>
        </w:rPr>
        <w:t>F</w:t>
      </w:r>
      <w:r w:rsidRPr="00A42B09">
        <w:rPr>
          <w:spacing w:val="6"/>
          <w:sz w:val="24"/>
        </w:rPr>
        <w:t xml:space="preserve"> </w:t>
      </w:r>
      <w:r w:rsidRPr="00A42B09">
        <w:rPr>
          <w:sz w:val="24"/>
        </w:rPr>
        <w:t>test.</w:t>
      </w:r>
      <w:r w:rsidRPr="00A42B09">
        <w:rPr>
          <w:spacing w:val="7"/>
          <w:sz w:val="24"/>
        </w:rPr>
        <w:t xml:space="preserve"> </w:t>
      </w:r>
      <w:r w:rsidRPr="00A42B09">
        <w:rPr>
          <w:sz w:val="24"/>
        </w:rPr>
        <w:t>For</w:t>
      </w:r>
      <w:r w:rsidRPr="00A42B09">
        <w:rPr>
          <w:spacing w:val="2"/>
          <w:sz w:val="24"/>
        </w:rPr>
        <w:t xml:space="preserve"> </w:t>
      </w:r>
      <w:r w:rsidRPr="00A42B09">
        <w:rPr>
          <w:sz w:val="24"/>
        </w:rPr>
        <w:t>the</w:t>
      </w:r>
      <w:r w:rsidRPr="00A42B09">
        <w:rPr>
          <w:spacing w:val="9"/>
          <w:sz w:val="24"/>
        </w:rPr>
        <w:t xml:space="preserve"> </w:t>
      </w:r>
      <w:r w:rsidRPr="00A42B09">
        <w:rPr>
          <w:sz w:val="24"/>
        </w:rPr>
        <w:t>categorical</w:t>
      </w:r>
      <w:r w:rsidRPr="00A42B09">
        <w:rPr>
          <w:spacing w:val="1"/>
          <w:sz w:val="24"/>
        </w:rPr>
        <w:t xml:space="preserve"> </w:t>
      </w:r>
      <w:r w:rsidRPr="00A42B09">
        <w:rPr>
          <w:sz w:val="24"/>
        </w:rPr>
        <w:t>data,</w:t>
      </w:r>
      <w:r w:rsidRPr="00A42B09">
        <w:rPr>
          <w:spacing w:val="7"/>
          <w:sz w:val="24"/>
        </w:rPr>
        <w:t xml:space="preserve"> </w:t>
      </w:r>
      <w:r w:rsidRPr="00A42B09">
        <w:rPr>
          <w:sz w:val="24"/>
        </w:rPr>
        <w:t>the</w:t>
      </w:r>
      <w:r w:rsidRPr="00A42B09">
        <w:rPr>
          <w:spacing w:val="9"/>
          <w:sz w:val="24"/>
        </w:rPr>
        <w:t xml:space="preserve"> </w:t>
      </w:r>
      <w:r w:rsidRPr="00A42B09">
        <w:rPr>
          <w:sz w:val="24"/>
        </w:rPr>
        <w:t>Chi-square</w:t>
      </w:r>
      <w:r w:rsidRPr="00A42B09">
        <w:rPr>
          <w:spacing w:val="5"/>
          <w:sz w:val="24"/>
        </w:rPr>
        <w:t xml:space="preserve"> </w:t>
      </w:r>
      <w:r w:rsidRPr="00A42B09">
        <w:rPr>
          <w:sz w:val="24"/>
        </w:rPr>
        <w:t>test</w:t>
      </w:r>
      <w:r w:rsidRPr="00A42B09">
        <w:rPr>
          <w:spacing w:val="11"/>
          <w:sz w:val="24"/>
        </w:rPr>
        <w:t xml:space="preserve"> </w:t>
      </w:r>
      <w:r w:rsidRPr="00A42B09">
        <w:rPr>
          <w:spacing w:val="-5"/>
          <w:sz w:val="24"/>
        </w:rPr>
        <w:t>was</w:t>
      </w:r>
      <w:r w:rsidR="00820CE9">
        <w:rPr>
          <w:rFonts w:ascii="Calibri"/>
        </w:rPr>
        <w:t xml:space="preserve"> </w:t>
      </w:r>
      <w:r w:rsidRPr="00A42B09">
        <w:rPr>
          <w:sz w:val="24"/>
        </w:rPr>
        <w:t>used,</w:t>
      </w:r>
      <w:r w:rsidRPr="00A42B09">
        <w:rPr>
          <w:spacing w:val="-7"/>
          <w:sz w:val="24"/>
        </w:rPr>
        <w:t xml:space="preserve"> </w:t>
      </w:r>
      <w:r w:rsidRPr="00A42B09">
        <w:rPr>
          <w:sz w:val="24"/>
        </w:rPr>
        <w:t>and</w:t>
      </w:r>
      <w:r w:rsidRPr="00A42B09">
        <w:rPr>
          <w:spacing w:val="-2"/>
          <w:sz w:val="24"/>
        </w:rPr>
        <w:t xml:space="preserve"> </w:t>
      </w:r>
      <w:r w:rsidRPr="00A42B09">
        <w:rPr>
          <w:sz w:val="24"/>
        </w:rPr>
        <w:t>for</w:t>
      </w:r>
      <w:r w:rsidRPr="00A42B09">
        <w:rPr>
          <w:spacing w:val="-10"/>
          <w:sz w:val="24"/>
        </w:rPr>
        <w:t xml:space="preserve"> </w:t>
      </w:r>
      <w:r w:rsidRPr="00A42B09">
        <w:rPr>
          <w:sz w:val="24"/>
        </w:rPr>
        <w:t>the</w:t>
      </w:r>
      <w:r w:rsidRPr="00A42B09">
        <w:rPr>
          <w:spacing w:val="-8"/>
          <w:sz w:val="24"/>
        </w:rPr>
        <w:t xml:space="preserve"> </w:t>
      </w:r>
      <w:r w:rsidRPr="00A42B09">
        <w:rPr>
          <w:sz w:val="24"/>
        </w:rPr>
        <w:t>analyses,</w:t>
      </w:r>
      <w:r w:rsidRPr="00A42B09">
        <w:rPr>
          <w:spacing w:val="-5"/>
          <w:sz w:val="24"/>
        </w:rPr>
        <w:t xml:space="preserve"> </w:t>
      </w:r>
      <w:r w:rsidR="00820CE9">
        <w:rPr>
          <w:sz w:val="24"/>
        </w:rPr>
        <w:t>P</w:t>
      </w:r>
      <w:r w:rsidRPr="00A42B09">
        <w:rPr>
          <w:spacing w:val="-6"/>
          <w:sz w:val="24"/>
        </w:rPr>
        <w:t xml:space="preserve"> </w:t>
      </w:r>
      <w:r w:rsidRPr="00A42B09">
        <w:rPr>
          <w:sz w:val="24"/>
        </w:rPr>
        <w:t>&lt;</w:t>
      </w:r>
      <w:r w:rsidRPr="00A42B09">
        <w:rPr>
          <w:spacing w:val="-8"/>
          <w:sz w:val="24"/>
        </w:rPr>
        <w:t xml:space="preserve"> </w:t>
      </w:r>
      <w:r w:rsidRPr="00A42B09">
        <w:rPr>
          <w:sz w:val="24"/>
        </w:rPr>
        <w:t>0.05</w:t>
      </w:r>
      <w:r w:rsidRPr="00A42B09">
        <w:rPr>
          <w:spacing w:val="-7"/>
          <w:sz w:val="24"/>
        </w:rPr>
        <w:t xml:space="preserve"> </w:t>
      </w:r>
      <w:r w:rsidRPr="00A42B09">
        <w:rPr>
          <w:sz w:val="24"/>
        </w:rPr>
        <w:t>was</w:t>
      </w:r>
      <w:r w:rsidRPr="00A42B09">
        <w:rPr>
          <w:spacing w:val="-8"/>
          <w:sz w:val="24"/>
        </w:rPr>
        <w:t xml:space="preserve"> </w:t>
      </w:r>
      <w:r w:rsidRPr="00A42B09">
        <w:rPr>
          <w:sz w:val="24"/>
        </w:rPr>
        <w:t>considered</w:t>
      </w:r>
      <w:r w:rsidRPr="00A42B09">
        <w:rPr>
          <w:spacing w:val="2"/>
          <w:sz w:val="24"/>
        </w:rPr>
        <w:t xml:space="preserve"> </w:t>
      </w:r>
      <w:r w:rsidRPr="00A42B09">
        <w:rPr>
          <w:sz w:val="24"/>
        </w:rPr>
        <w:t>significant.</w:t>
      </w:r>
      <w:r w:rsidRPr="00A42B09">
        <w:rPr>
          <w:spacing w:val="-5"/>
          <w:sz w:val="24"/>
        </w:rPr>
        <w:t xml:space="preserve"> </w:t>
      </w:r>
      <w:r w:rsidRPr="00A42B09">
        <w:rPr>
          <w:sz w:val="24"/>
        </w:rPr>
        <w:t>For</w:t>
      </w:r>
      <w:r w:rsidRPr="00A42B09">
        <w:rPr>
          <w:spacing w:val="-9"/>
          <w:sz w:val="24"/>
        </w:rPr>
        <w:t xml:space="preserve"> </w:t>
      </w:r>
      <w:r w:rsidRPr="00A42B09">
        <w:rPr>
          <w:sz w:val="24"/>
        </w:rPr>
        <w:t>the</w:t>
      </w:r>
      <w:r w:rsidRPr="00A42B09">
        <w:rPr>
          <w:spacing w:val="-8"/>
          <w:sz w:val="24"/>
        </w:rPr>
        <w:t xml:space="preserve"> </w:t>
      </w:r>
      <w:r w:rsidRPr="00A42B09">
        <w:rPr>
          <w:sz w:val="24"/>
        </w:rPr>
        <w:t>differential</w:t>
      </w:r>
      <w:r w:rsidR="0088126A">
        <w:rPr>
          <w:spacing w:val="-10"/>
          <w:sz w:val="24"/>
        </w:rPr>
        <w:t xml:space="preserve"> </w:t>
      </w:r>
      <w:r w:rsidRPr="00A42B09">
        <w:rPr>
          <w:spacing w:val="-2"/>
          <w:sz w:val="24"/>
        </w:rPr>
        <w:t>methylation</w:t>
      </w:r>
      <w:r w:rsidR="00820CE9">
        <w:rPr>
          <w:spacing w:val="-2"/>
          <w:sz w:val="24"/>
        </w:rPr>
        <w:t xml:space="preserve"> </w:t>
      </w:r>
      <w:r w:rsidRPr="00A42B09">
        <w:rPr>
          <w:sz w:val="24"/>
        </w:rPr>
        <w:t>analysis,</w:t>
      </w:r>
      <w:r w:rsidRPr="00A42B09">
        <w:rPr>
          <w:spacing w:val="12"/>
          <w:sz w:val="24"/>
        </w:rPr>
        <w:t xml:space="preserve"> </w:t>
      </w:r>
      <w:r w:rsidRPr="00A42B09">
        <w:rPr>
          <w:sz w:val="24"/>
        </w:rPr>
        <w:t>default</w:t>
      </w:r>
      <w:r w:rsidRPr="00A42B09">
        <w:rPr>
          <w:spacing w:val="17"/>
          <w:sz w:val="24"/>
        </w:rPr>
        <w:t xml:space="preserve"> </w:t>
      </w:r>
      <w:proofErr w:type="spellStart"/>
      <w:r w:rsidRPr="00A42B09">
        <w:rPr>
          <w:sz w:val="24"/>
        </w:rPr>
        <w:t>ChAMP</w:t>
      </w:r>
      <w:proofErr w:type="spellEnd"/>
      <w:r w:rsidRPr="00A42B09">
        <w:rPr>
          <w:spacing w:val="13"/>
          <w:sz w:val="24"/>
        </w:rPr>
        <w:t xml:space="preserve"> </w:t>
      </w:r>
      <w:r w:rsidRPr="00A42B09">
        <w:rPr>
          <w:sz w:val="24"/>
        </w:rPr>
        <w:t>parameters</w:t>
      </w:r>
      <w:r w:rsidRPr="00A42B09">
        <w:rPr>
          <w:spacing w:val="11"/>
          <w:sz w:val="24"/>
        </w:rPr>
        <w:t xml:space="preserve"> </w:t>
      </w:r>
      <w:r w:rsidRPr="00A42B09">
        <w:rPr>
          <w:sz w:val="24"/>
        </w:rPr>
        <w:t>were</w:t>
      </w:r>
      <w:r w:rsidRPr="00A42B09">
        <w:rPr>
          <w:spacing w:val="11"/>
          <w:sz w:val="24"/>
        </w:rPr>
        <w:t xml:space="preserve"> </w:t>
      </w:r>
      <w:r w:rsidRPr="00A42B09">
        <w:rPr>
          <w:sz w:val="24"/>
        </w:rPr>
        <w:t>used</w:t>
      </w:r>
      <w:r w:rsidRPr="00A42B09">
        <w:rPr>
          <w:spacing w:val="12"/>
          <w:sz w:val="24"/>
        </w:rPr>
        <w:t xml:space="preserve"> </w:t>
      </w:r>
      <w:r w:rsidRPr="00A42B09">
        <w:rPr>
          <w:sz w:val="24"/>
        </w:rPr>
        <w:t>and</w:t>
      </w:r>
      <w:r w:rsidRPr="00A42B09">
        <w:rPr>
          <w:spacing w:val="18"/>
          <w:sz w:val="24"/>
        </w:rPr>
        <w:t xml:space="preserve"> </w:t>
      </w:r>
      <w:r w:rsidRPr="00A42B09">
        <w:rPr>
          <w:sz w:val="24"/>
        </w:rPr>
        <w:t>AdjP</w:t>
      </w:r>
      <w:r w:rsidRPr="00A42B09">
        <w:rPr>
          <w:spacing w:val="13"/>
          <w:sz w:val="24"/>
        </w:rPr>
        <w:t xml:space="preserve"> </w:t>
      </w:r>
      <w:r w:rsidRPr="00A42B09">
        <w:rPr>
          <w:sz w:val="24"/>
        </w:rPr>
        <w:t>&lt;</w:t>
      </w:r>
      <w:r w:rsidRPr="00A42B09">
        <w:rPr>
          <w:spacing w:val="11"/>
          <w:sz w:val="24"/>
        </w:rPr>
        <w:t xml:space="preserve"> </w:t>
      </w:r>
      <w:r w:rsidRPr="00A42B09">
        <w:rPr>
          <w:sz w:val="24"/>
        </w:rPr>
        <w:t>0.05</w:t>
      </w:r>
      <w:r w:rsidRPr="00A42B09">
        <w:rPr>
          <w:spacing w:val="13"/>
          <w:sz w:val="24"/>
        </w:rPr>
        <w:t xml:space="preserve"> </w:t>
      </w:r>
      <w:r w:rsidRPr="00A42B09">
        <w:rPr>
          <w:sz w:val="24"/>
        </w:rPr>
        <w:t>was</w:t>
      </w:r>
      <w:r w:rsidRPr="00A42B09">
        <w:rPr>
          <w:spacing w:val="10"/>
          <w:sz w:val="24"/>
        </w:rPr>
        <w:t xml:space="preserve"> </w:t>
      </w:r>
      <w:r w:rsidRPr="00A42B09">
        <w:rPr>
          <w:sz w:val="24"/>
        </w:rPr>
        <w:t>considered</w:t>
      </w:r>
      <w:r w:rsidRPr="00A42B09">
        <w:rPr>
          <w:spacing w:val="13"/>
          <w:sz w:val="24"/>
        </w:rPr>
        <w:t xml:space="preserve"> </w:t>
      </w:r>
      <w:r w:rsidRPr="00A42B09">
        <w:rPr>
          <w:spacing w:val="-2"/>
          <w:sz w:val="24"/>
        </w:rPr>
        <w:t>statistically</w:t>
      </w:r>
      <w:r w:rsidR="0088126A">
        <w:rPr>
          <w:rFonts w:ascii="Calibri"/>
        </w:rPr>
        <w:t xml:space="preserve"> </w:t>
      </w:r>
      <w:r w:rsidRPr="00A42B09">
        <w:rPr>
          <w:position w:val="2"/>
          <w:sz w:val="24"/>
        </w:rPr>
        <w:t>significant.</w:t>
      </w:r>
      <w:r w:rsidRPr="00A42B09">
        <w:rPr>
          <w:spacing w:val="-9"/>
          <w:position w:val="2"/>
          <w:sz w:val="24"/>
        </w:rPr>
        <w:t xml:space="preserve"> </w:t>
      </w:r>
      <w:r w:rsidRPr="00A42B09">
        <w:rPr>
          <w:position w:val="2"/>
          <w:sz w:val="24"/>
        </w:rPr>
        <w:t>The</w:t>
      </w:r>
      <w:r w:rsidRPr="00A42B09">
        <w:rPr>
          <w:spacing w:val="-12"/>
          <w:position w:val="2"/>
          <w:sz w:val="24"/>
        </w:rPr>
        <w:t xml:space="preserve"> </w:t>
      </w:r>
      <w:r w:rsidRPr="00A42B09">
        <w:rPr>
          <w:position w:val="2"/>
          <w:sz w:val="24"/>
        </w:rPr>
        <w:t>top</w:t>
      </w:r>
      <w:r w:rsidRPr="00A42B09">
        <w:rPr>
          <w:spacing w:val="-10"/>
          <w:position w:val="2"/>
          <w:sz w:val="24"/>
        </w:rPr>
        <w:t xml:space="preserve"> </w:t>
      </w:r>
      <w:r w:rsidRPr="00A42B09">
        <w:rPr>
          <w:position w:val="2"/>
          <w:sz w:val="24"/>
        </w:rPr>
        <w:t>differentially</w:t>
      </w:r>
      <w:r w:rsidRPr="00A42B09">
        <w:rPr>
          <w:spacing w:val="-11"/>
          <w:position w:val="2"/>
          <w:sz w:val="24"/>
        </w:rPr>
        <w:t xml:space="preserve"> </w:t>
      </w:r>
      <w:r w:rsidRPr="00A42B09">
        <w:rPr>
          <w:position w:val="2"/>
          <w:sz w:val="24"/>
        </w:rPr>
        <w:t>methylated</w:t>
      </w:r>
      <w:r w:rsidRPr="00A42B09">
        <w:rPr>
          <w:spacing w:val="-10"/>
          <w:position w:val="2"/>
          <w:sz w:val="24"/>
        </w:rPr>
        <w:t xml:space="preserve"> </w:t>
      </w:r>
      <w:r w:rsidRPr="00A42B09">
        <w:rPr>
          <w:position w:val="2"/>
          <w:sz w:val="24"/>
        </w:rPr>
        <w:t>positions</w:t>
      </w:r>
      <w:r w:rsidRPr="00A42B09">
        <w:rPr>
          <w:spacing w:val="-13"/>
          <w:position w:val="2"/>
          <w:sz w:val="24"/>
        </w:rPr>
        <w:t xml:space="preserve"> </w:t>
      </w:r>
      <w:r w:rsidRPr="00A42B09">
        <w:rPr>
          <w:position w:val="2"/>
          <w:sz w:val="24"/>
        </w:rPr>
        <w:t>were</w:t>
      </w:r>
      <w:r w:rsidRPr="00A42B09">
        <w:rPr>
          <w:spacing w:val="-11"/>
          <w:position w:val="2"/>
          <w:sz w:val="24"/>
        </w:rPr>
        <w:t xml:space="preserve"> </w:t>
      </w:r>
      <w:r w:rsidRPr="00A42B09">
        <w:rPr>
          <w:position w:val="2"/>
          <w:sz w:val="24"/>
        </w:rPr>
        <w:t>defined</w:t>
      </w:r>
      <w:r w:rsidRPr="00A42B09">
        <w:rPr>
          <w:spacing w:val="-11"/>
          <w:position w:val="2"/>
          <w:sz w:val="24"/>
        </w:rPr>
        <w:t xml:space="preserve"> </w:t>
      </w:r>
      <w:r w:rsidRPr="00A42B09">
        <w:rPr>
          <w:position w:val="2"/>
          <w:sz w:val="24"/>
        </w:rPr>
        <w:t>as</w:t>
      </w:r>
      <w:r w:rsidRPr="00A42B09">
        <w:rPr>
          <w:spacing w:val="-12"/>
          <w:position w:val="2"/>
          <w:sz w:val="24"/>
        </w:rPr>
        <w:t xml:space="preserve"> </w:t>
      </w:r>
      <w:r w:rsidRPr="00A42B09">
        <w:rPr>
          <w:position w:val="2"/>
          <w:sz w:val="24"/>
        </w:rPr>
        <w:t>|Δβ|</w:t>
      </w:r>
      <w:r w:rsidRPr="00A42B09">
        <w:rPr>
          <w:spacing w:val="-11"/>
          <w:position w:val="2"/>
          <w:sz w:val="24"/>
        </w:rPr>
        <w:t xml:space="preserve"> </w:t>
      </w:r>
      <w:r w:rsidRPr="00A42B09">
        <w:rPr>
          <w:position w:val="2"/>
          <w:sz w:val="24"/>
        </w:rPr>
        <w:t>=</w:t>
      </w:r>
      <w:r w:rsidRPr="00A42B09">
        <w:rPr>
          <w:spacing w:val="-6"/>
          <w:position w:val="2"/>
          <w:sz w:val="24"/>
        </w:rPr>
        <w:t xml:space="preserve"> </w:t>
      </w:r>
      <w:r w:rsidRPr="00A42B09">
        <w:rPr>
          <w:position w:val="2"/>
          <w:sz w:val="24"/>
        </w:rPr>
        <w:t>β</w:t>
      </w:r>
      <w:r w:rsidRPr="00A42B09">
        <w:rPr>
          <w:sz w:val="16"/>
        </w:rPr>
        <w:t>BIS</w:t>
      </w:r>
      <w:r w:rsidRPr="00A42B09">
        <w:rPr>
          <w:spacing w:val="-10"/>
          <w:sz w:val="16"/>
        </w:rPr>
        <w:t xml:space="preserve"> </w:t>
      </w:r>
      <w:r w:rsidRPr="00A42B09">
        <w:rPr>
          <w:position w:val="2"/>
          <w:sz w:val="24"/>
        </w:rPr>
        <w:t>-</w:t>
      </w:r>
      <w:r w:rsidRPr="00A42B09">
        <w:rPr>
          <w:spacing w:val="-8"/>
          <w:position w:val="2"/>
          <w:sz w:val="24"/>
        </w:rPr>
        <w:t xml:space="preserve"> </w:t>
      </w:r>
      <w:r w:rsidRPr="00A42B09">
        <w:rPr>
          <w:position w:val="2"/>
          <w:sz w:val="24"/>
        </w:rPr>
        <w:t>β</w:t>
      </w:r>
      <w:r w:rsidRPr="00A42B09">
        <w:rPr>
          <w:sz w:val="16"/>
        </w:rPr>
        <w:t>BIR</w:t>
      </w:r>
      <w:r w:rsidRPr="00A42B09">
        <w:rPr>
          <w:spacing w:val="14"/>
          <w:sz w:val="16"/>
        </w:rPr>
        <w:t xml:space="preserve"> </w:t>
      </w:r>
      <w:r w:rsidRPr="00A42B09">
        <w:rPr>
          <w:position w:val="2"/>
          <w:sz w:val="24"/>
        </w:rPr>
        <w:t>≥</w:t>
      </w:r>
      <w:r w:rsidRPr="00A42B09">
        <w:rPr>
          <w:spacing w:val="-13"/>
          <w:position w:val="2"/>
          <w:sz w:val="24"/>
        </w:rPr>
        <w:t xml:space="preserve"> </w:t>
      </w:r>
      <w:r w:rsidRPr="00A42B09">
        <w:rPr>
          <w:spacing w:val="-4"/>
          <w:position w:val="2"/>
          <w:sz w:val="24"/>
        </w:rPr>
        <w:t>2.5%</w:t>
      </w:r>
      <w:r w:rsidR="0088126A">
        <w:rPr>
          <w:rFonts w:ascii="Calibri"/>
        </w:rPr>
        <w:t xml:space="preserve"> </w:t>
      </w:r>
      <w:r w:rsidRPr="00A42B09">
        <w:rPr>
          <w:sz w:val="24"/>
        </w:rPr>
        <w:t>and</w:t>
      </w:r>
      <w:r w:rsidRPr="00A42B09">
        <w:rPr>
          <w:spacing w:val="-9"/>
          <w:sz w:val="24"/>
        </w:rPr>
        <w:t xml:space="preserve"> </w:t>
      </w:r>
      <w:r w:rsidRPr="00A42B09">
        <w:rPr>
          <w:sz w:val="24"/>
        </w:rPr>
        <w:t>AdjP</w:t>
      </w:r>
      <w:r w:rsidRPr="00A42B09">
        <w:rPr>
          <w:spacing w:val="-5"/>
          <w:sz w:val="24"/>
        </w:rPr>
        <w:t xml:space="preserve"> </w:t>
      </w:r>
      <w:r w:rsidRPr="00A42B09">
        <w:rPr>
          <w:sz w:val="24"/>
        </w:rPr>
        <w:t>&lt;</w:t>
      </w:r>
      <w:r w:rsidRPr="00A42B09">
        <w:rPr>
          <w:spacing w:val="-7"/>
          <w:sz w:val="24"/>
        </w:rPr>
        <w:t xml:space="preserve"> </w:t>
      </w:r>
      <w:r w:rsidRPr="00A42B09">
        <w:rPr>
          <w:sz w:val="24"/>
        </w:rPr>
        <w:t>0.05.</w:t>
      </w:r>
      <w:r w:rsidRPr="00A42B09">
        <w:rPr>
          <w:spacing w:val="-13"/>
          <w:sz w:val="24"/>
        </w:rPr>
        <w:t xml:space="preserve"> </w:t>
      </w:r>
      <w:r w:rsidRPr="00A42B09">
        <w:rPr>
          <w:sz w:val="24"/>
        </w:rPr>
        <w:t>The</w:t>
      </w:r>
      <w:r w:rsidRPr="00A42B09">
        <w:rPr>
          <w:spacing w:val="-7"/>
          <w:sz w:val="24"/>
        </w:rPr>
        <w:t xml:space="preserve"> </w:t>
      </w:r>
      <w:r w:rsidRPr="00A42B09">
        <w:rPr>
          <w:sz w:val="24"/>
        </w:rPr>
        <w:t>Spearman</w:t>
      </w:r>
      <w:r w:rsidRPr="00A42B09">
        <w:rPr>
          <w:spacing w:val="-10"/>
          <w:sz w:val="24"/>
        </w:rPr>
        <w:t xml:space="preserve"> </w:t>
      </w:r>
      <w:r w:rsidRPr="00A42B09">
        <w:rPr>
          <w:sz w:val="24"/>
        </w:rPr>
        <w:t>test</w:t>
      </w:r>
      <w:r w:rsidRPr="00A42B09">
        <w:rPr>
          <w:spacing w:val="-2"/>
          <w:sz w:val="24"/>
        </w:rPr>
        <w:t xml:space="preserve"> </w:t>
      </w:r>
      <w:r w:rsidRPr="00A42B09">
        <w:rPr>
          <w:sz w:val="24"/>
        </w:rPr>
        <w:t>was</w:t>
      </w:r>
      <w:r w:rsidRPr="00A42B09">
        <w:rPr>
          <w:spacing w:val="-13"/>
          <w:sz w:val="24"/>
        </w:rPr>
        <w:t xml:space="preserve"> </w:t>
      </w:r>
      <w:r w:rsidRPr="00A42B09">
        <w:rPr>
          <w:sz w:val="24"/>
        </w:rPr>
        <w:t>performed</w:t>
      </w:r>
      <w:r w:rsidRPr="00A42B09">
        <w:rPr>
          <w:spacing w:val="-10"/>
          <w:sz w:val="24"/>
        </w:rPr>
        <w:t xml:space="preserve"> </w:t>
      </w:r>
      <w:r w:rsidRPr="00A42B09">
        <w:rPr>
          <w:sz w:val="24"/>
        </w:rPr>
        <w:t>to</w:t>
      </w:r>
      <w:r w:rsidRPr="00A42B09">
        <w:rPr>
          <w:spacing w:val="-6"/>
          <w:sz w:val="24"/>
        </w:rPr>
        <w:t xml:space="preserve"> </w:t>
      </w:r>
      <w:r w:rsidRPr="00A42B09">
        <w:rPr>
          <w:sz w:val="24"/>
        </w:rPr>
        <w:t>check</w:t>
      </w:r>
      <w:r w:rsidRPr="00A42B09">
        <w:rPr>
          <w:spacing w:val="-6"/>
          <w:sz w:val="24"/>
        </w:rPr>
        <w:t xml:space="preserve"> </w:t>
      </w:r>
      <w:r w:rsidRPr="00A42B09">
        <w:rPr>
          <w:sz w:val="24"/>
        </w:rPr>
        <w:t>the</w:t>
      </w:r>
      <w:r w:rsidRPr="00A42B09">
        <w:rPr>
          <w:spacing w:val="-7"/>
          <w:sz w:val="24"/>
        </w:rPr>
        <w:t xml:space="preserve"> </w:t>
      </w:r>
      <w:r w:rsidRPr="00A42B09">
        <w:rPr>
          <w:sz w:val="24"/>
        </w:rPr>
        <w:t>correlation</w:t>
      </w:r>
      <w:r w:rsidR="0088126A">
        <w:rPr>
          <w:spacing w:val="-11"/>
          <w:sz w:val="24"/>
        </w:rPr>
        <w:t xml:space="preserve"> </w:t>
      </w:r>
      <w:r w:rsidRPr="00A42B09">
        <w:rPr>
          <w:sz w:val="24"/>
        </w:rPr>
        <w:t>between</w:t>
      </w:r>
      <w:r w:rsidRPr="00A42B09">
        <w:rPr>
          <w:spacing w:val="-10"/>
          <w:sz w:val="24"/>
        </w:rPr>
        <w:t xml:space="preserve"> </w:t>
      </w:r>
      <w:r w:rsidRPr="00A42B09">
        <w:rPr>
          <w:sz w:val="24"/>
        </w:rPr>
        <w:t>the</w:t>
      </w:r>
      <w:r w:rsidRPr="00A42B09">
        <w:rPr>
          <w:spacing w:val="-7"/>
          <w:sz w:val="24"/>
        </w:rPr>
        <w:t xml:space="preserve"> </w:t>
      </w:r>
      <w:r w:rsidRPr="00A42B09">
        <w:rPr>
          <w:spacing w:val="-2"/>
          <w:sz w:val="24"/>
        </w:rPr>
        <w:t>subset</w:t>
      </w:r>
      <w:r w:rsidR="0088126A">
        <w:rPr>
          <w:rFonts w:ascii="Calibri"/>
        </w:rPr>
        <w:t xml:space="preserve"> </w:t>
      </w:r>
      <w:r w:rsidRPr="00A42B09">
        <w:rPr>
          <w:sz w:val="24"/>
        </w:rPr>
        <w:t>of</w:t>
      </w:r>
      <w:r w:rsidRPr="00A42B09">
        <w:rPr>
          <w:spacing w:val="20"/>
          <w:sz w:val="24"/>
        </w:rPr>
        <w:t xml:space="preserve"> </w:t>
      </w:r>
      <w:proofErr w:type="spellStart"/>
      <w:r w:rsidRPr="00A42B09">
        <w:rPr>
          <w:sz w:val="24"/>
        </w:rPr>
        <w:t>CpGs</w:t>
      </w:r>
      <w:proofErr w:type="spellEnd"/>
      <w:r w:rsidRPr="00A42B09">
        <w:rPr>
          <w:spacing w:val="29"/>
          <w:sz w:val="24"/>
        </w:rPr>
        <w:t xml:space="preserve"> </w:t>
      </w:r>
      <w:r w:rsidRPr="00A42B09">
        <w:rPr>
          <w:sz w:val="24"/>
        </w:rPr>
        <w:t>(beta</w:t>
      </w:r>
      <w:r w:rsidRPr="00A42B09">
        <w:rPr>
          <w:spacing w:val="26"/>
          <w:sz w:val="24"/>
        </w:rPr>
        <w:t xml:space="preserve"> </w:t>
      </w:r>
      <w:r w:rsidRPr="00A42B09">
        <w:rPr>
          <w:sz w:val="24"/>
        </w:rPr>
        <w:t>values)</w:t>
      </w:r>
      <w:r w:rsidRPr="00A42B09">
        <w:rPr>
          <w:spacing w:val="32"/>
          <w:sz w:val="24"/>
        </w:rPr>
        <w:t xml:space="preserve"> </w:t>
      </w:r>
      <w:r w:rsidRPr="00A42B09">
        <w:rPr>
          <w:sz w:val="24"/>
        </w:rPr>
        <w:t>and</w:t>
      </w:r>
      <w:r w:rsidRPr="00A42B09">
        <w:rPr>
          <w:spacing w:val="30"/>
          <w:sz w:val="24"/>
        </w:rPr>
        <w:t xml:space="preserve"> </w:t>
      </w:r>
      <w:r w:rsidRPr="00A42B09">
        <w:rPr>
          <w:sz w:val="24"/>
        </w:rPr>
        <w:t>the</w:t>
      </w:r>
      <w:r w:rsidRPr="00A42B09">
        <w:rPr>
          <w:spacing w:val="30"/>
          <w:sz w:val="24"/>
        </w:rPr>
        <w:t xml:space="preserve"> </w:t>
      </w:r>
      <w:r w:rsidRPr="00A42B09">
        <w:rPr>
          <w:sz w:val="24"/>
        </w:rPr>
        <w:t>clinical</w:t>
      </w:r>
      <w:r w:rsidRPr="00A42B09">
        <w:rPr>
          <w:spacing w:val="21"/>
          <w:sz w:val="24"/>
        </w:rPr>
        <w:t xml:space="preserve"> </w:t>
      </w:r>
      <w:r w:rsidRPr="00A42B09">
        <w:rPr>
          <w:sz w:val="24"/>
        </w:rPr>
        <w:t>and</w:t>
      </w:r>
      <w:r w:rsidRPr="00A42B09">
        <w:rPr>
          <w:spacing w:val="31"/>
          <w:sz w:val="24"/>
        </w:rPr>
        <w:t xml:space="preserve"> </w:t>
      </w:r>
      <w:r w:rsidRPr="00A42B09">
        <w:rPr>
          <w:sz w:val="24"/>
        </w:rPr>
        <w:t>anthropometric</w:t>
      </w:r>
      <w:r w:rsidR="0088126A">
        <w:rPr>
          <w:spacing w:val="34"/>
          <w:sz w:val="24"/>
        </w:rPr>
        <w:t xml:space="preserve"> </w:t>
      </w:r>
      <w:r w:rsidRPr="00A42B09">
        <w:rPr>
          <w:sz w:val="24"/>
        </w:rPr>
        <w:t>measurements.</w:t>
      </w:r>
      <w:r w:rsidRPr="00A42B09">
        <w:rPr>
          <w:spacing w:val="32"/>
          <w:sz w:val="24"/>
        </w:rPr>
        <w:t xml:space="preserve"> </w:t>
      </w:r>
      <w:r w:rsidRPr="00A42B09">
        <w:rPr>
          <w:sz w:val="24"/>
        </w:rPr>
        <w:t>The</w:t>
      </w:r>
      <w:r w:rsidRPr="00A42B09">
        <w:rPr>
          <w:spacing w:val="29"/>
          <w:sz w:val="24"/>
        </w:rPr>
        <w:t xml:space="preserve"> </w:t>
      </w:r>
      <w:r w:rsidRPr="00A42B09">
        <w:rPr>
          <w:sz w:val="24"/>
        </w:rPr>
        <w:t>p-value</w:t>
      </w:r>
      <w:r w:rsidRPr="00A42B09">
        <w:rPr>
          <w:spacing w:val="30"/>
          <w:sz w:val="24"/>
        </w:rPr>
        <w:t xml:space="preserve"> </w:t>
      </w:r>
      <w:r w:rsidRPr="00A42B09">
        <w:rPr>
          <w:spacing w:val="-5"/>
          <w:sz w:val="24"/>
        </w:rPr>
        <w:t>was</w:t>
      </w:r>
      <w:r w:rsidR="0088126A">
        <w:rPr>
          <w:rFonts w:ascii="Calibri"/>
        </w:rPr>
        <w:t xml:space="preserve"> </w:t>
      </w:r>
      <w:r w:rsidRPr="00A42B09">
        <w:rPr>
          <w:sz w:val="24"/>
        </w:rPr>
        <w:t>adjusted</w:t>
      </w:r>
      <w:r w:rsidRPr="00A42B09">
        <w:rPr>
          <w:spacing w:val="49"/>
          <w:sz w:val="24"/>
        </w:rPr>
        <w:t xml:space="preserve"> </w:t>
      </w:r>
      <w:r w:rsidRPr="00A42B09">
        <w:rPr>
          <w:sz w:val="24"/>
        </w:rPr>
        <w:t>using</w:t>
      </w:r>
      <w:r w:rsidRPr="00A42B09">
        <w:rPr>
          <w:spacing w:val="51"/>
          <w:sz w:val="24"/>
        </w:rPr>
        <w:t xml:space="preserve"> </w:t>
      </w:r>
      <w:r w:rsidRPr="00A42B09">
        <w:rPr>
          <w:sz w:val="24"/>
        </w:rPr>
        <w:t>the</w:t>
      </w:r>
      <w:r w:rsidRPr="00A42B09">
        <w:rPr>
          <w:spacing w:val="51"/>
          <w:sz w:val="24"/>
        </w:rPr>
        <w:t xml:space="preserve"> </w:t>
      </w:r>
      <w:r w:rsidRPr="00A42B09">
        <w:rPr>
          <w:sz w:val="24"/>
        </w:rPr>
        <w:t>Benjamini-Hochberg</w:t>
      </w:r>
      <w:r w:rsidRPr="00A42B09">
        <w:rPr>
          <w:spacing w:val="57"/>
          <w:sz w:val="24"/>
        </w:rPr>
        <w:t xml:space="preserve"> </w:t>
      </w:r>
      <w:r w:rsidRPr="00A42B09">
        <w:rPr>
          <w:sz w:val="24"/>
        </w:rPr>
        <w:t>method,</w:t>
      </w:r>
      <w:r w:rsidRPr="00A42B09">
        <w:rPr>
          <w:spacing w:val="49"/>
          <w:sz w:val="24"/>
        </w:rPr>
        <w:t xml:space="preserve"> </w:t>
      </w:r>
      <w:r w:rsidRPr="00A42B09">
        <w:rPr>
          <w:sz w:val="24"/>
        </w:rPr>
        <w:t>and</w:t>
      </w:r>
      <w:r w:rsidRPr="00A42B09">
        <w:rPr>
          <w:spacing w:val="51"/>
          <w:sz w:val="24"/>
        </w:rPr>
        <w:t xml:space="preserve"> </w:t>
      </w:r>
      <w:r w:rsidRPr="00A42B09">
        <w:rPr>
          <w:sz w:val="24"/>
        </w:rPr>
        <w:t>a</w:t>
      </w:r>
      <w:r w:rsidRPr="00A42B09">
        <w:rPr>
          <w:spacing w:val="55"/>
          <w:sz w:val="24"/>
        </w:rPr>
        <w:t xml:space="preserve"> </w:t>
      </w:r>
      <w:r w:rsidRPr="00A42B09">
        <w:rPr>
          <w:sz w:val="24"/>
        </w:rPr>
        <w:t>value</w:t>
      </w:r>
      <w:r w:rsidRPr="00A42B09">
        <w:rPr>
          <w:spacing w:val="56"/>
          <w:sz w:val="24"/>
        </w:rPr>
        <w:t xml:space="preserve"> </w:t>
      </w:r>
      <w:r w:rsidRPr="00A42B09">
        <w:rPr>
          <w:sz w:val="24"/>
        </w:rPr>
        <w:t>below</w:t>
      </w:r>
      <w:r w:rsidRPr="00A42B09">
        <w:rPr>
          <w:spacing w:val="51"/>
          <w:sz w:val="24"/>
        </w:rPr>
        <w:t xml:space="preserve"> </w:t>
      </w:r>
      <w:r w:rsidRPr="00A42B09">
        <w:rPr>
          <w:sz w:val="24"/>
        </w:rPr>
        <w:t>0.05</w:t>
      </w:r>
      <w:r w:rsidRPr="00A42B09">
        <w:rPr>
          <w:spacing w:val="51"/>
          <w:sz w:val="24"/>
        </w:rPr>
        <w:t xml:space="preserve"> </w:t>
      </w:r>
      <w:r w:rsidRPr="00A42B09">
        <w:rPr>
          <w:sz w:val="24"/>
        </w:rPr>
        <w:t>was</w:t>
      </w:r>
      <w:r w:rsidRPr="00A42B09">
        <w:rPr>
          <w:spacing w:val="50"/>
          <w:sz w:val="24"/>
        </w:rPr>
        <w:t xml:space="preserve"> </w:t>
      </w:r>
      <w:r w:rsidRPr="00A42B09">
        <w:rPr>
          <w:spacing w:val="-2"/>
          <w:sz w:val="24"/>
        </w:rPr>
        <w:t>considered</w:t>
      </w:r>
      <w:r w:rsidR="0088126A">
        <w:rPr>
          <w:rFonts w:ascii="Calibri"/>
        </w:rPr>
        <w:t xml:space="preserve"> </w:t>
      </w:r>
      <w:r w:rsidRPr="00A42B09">
        <w:rPr>
          <w:sz w:val="24"/>
        </w:rPr>
        <w:t>statistically</w:t>
      </w:r>
      <w:r w:rsidRPr="00A42B09">
        <w:rPr>
          <w:spacing w:val="10"/>
          <w:sz w:val="24"/>
        </w:rPr>
        <w:t xml:space="preserve"> </w:t>
      </w:r>
      <w:r w:rsidRPr="00A42B09">
        <w:rPr>
          <w:sz w:val="24"/>
        </w:rPr>
        <w:t>significant.</w:t>
      </w:r>
      <w:r w:rsidRPr="00A42B09">
        <w:rPr>
          <w:spacing w:val="24"/>
          <w:sz w:val="24"/>
        </w:rPr>
        <w:t xml:space="preserve"> </w:t>
      </w:r>
      <w:r w:rsidRPr="00A42B09">
        <w:rPr>
          <w:sz w:val="24"/>
        </w:rPr>
        <w:t>For</w:t>
      </w:r>
      <w:r w:rsidRPr="00A42B09">
        <w:rPr>
          <w:spacing w:val="18"/>
          <w:sz w:val="24"/>
        </w:rPr>
        <w:t xml:space="preserve"> </w:t>
      </w:r>
      <w:r w:rsidRPr="00A42B09">
        <w:rPr>
          <w:sz w:val="24"/>
        </w:rPr>
        <w:t>the</w:t>
      </w:r>
      <w:r w:rsidRPr="00A42B09">
        <w:rPr>
          <w:spacing w:val="22"/>
          <w:sz w:val="24"/>
        </w:rPr>
        <w:t xml:space="preserve"> </w:t>
      </w:r>
      <w:r w:rsidRPr="00A42B09">
        <w:rPr>
          <w:sz w:val="24"/>
        </w:rPr>
        <w:t>blood-brain</w:t>
      </w:r>
      <w:r w:rsidRPr="00A42B09">
        <w:rPr>
          <w:spacing w:val="17"/>
          <w:sz w:val="24"/>
        </w:rPr>
        <w:t xml:space="preserve"> </w:t>
      </w:r>
      <w:r w:rsidRPr="00A42B09">
        <w:rPr>
          <w:sz w:val="24"/>
        </w:rPr>
        <w:t>enrichment</w:t>
      </w:r>
      <w:r w:rsidR="0088126A">
        <w:rPr>
          <w:spacing w:val="27"/>
          <w:sz w:val="24"/>
        </w:rPr>
        <w:t xml:space="preserve"> </w:t>
      </w:r>
      <w:r w:rsidRPr="00A42B09">
        <w:rPr>
          <w:sz w:val="24"/>
        </w:rPr>
        <w:t>using</w:t>
      </w:r>
      <w:r w:rsidRPr="00A42B09">
        <w:rPr>
          <w:spacing w:val="22"/>
          <w:sz w:val="24"/>
        </w:rPr>
        <w:t xml:space="preserve"> </w:t>
      </w:r>
      <w:r w:rsidRPr="00A42B09">
        <w:rPr>
          <w:sz w:val="24"/>
        </w:rPr>
        <w:t>the</w:t>
      </w:r>
      <w:r w:rsidRPr="00A42B09">
        <w:rPr>
          <w:spacing w:val="16"/>
          <w:sz w:val="24"/>
        </w:rPr>
        <w:t xml:space="preserve"> </w:t>
      </w:r>
      <w:r w:rsidRPr="00A42B09">
        <w:rPr>
          <w:sz w:val="24"/>
        </w:rPr>
        <w:t>online</w:t>
      </w:r>
      <w:r w:rsidRPr="00A42B09">
        <w:rPr>
          <w:spacing w:val="21"/>
          <w:sz w:val="24"/>
        </w:rPr>
        <w:t xml:space="preserve"> </w:t>
      </w:r>
      <w:r w:rsidRPr="00A42B09">
        <w:rPr>
          <w:sz w:val="24"/>
        </w:rPr>
        <w:t>database,</w:t>
      </w:r>
      <w:r w:rsidRPr="00A42B09">
        <w:rPr>
          <w:spacing w:val="24"/>
          <w:sz w:val="24"/>
        </w:rPr>
        <w:t xml:space="preserve"> </w:t>
      </w:r>
      <w:r w:rsidRPr="00A42B09">
        <w:rPr>
          <w:sz w:val="24"/>
        </w:rPr>
        <w:t>a</w:t>
      </w:r>
      <w:r w:rsidRPr="00A42B09">
        <w:rPr>
          <w:spacing w:val="22"/>
          <w:sz w:val="24"/>
        </w:rPr>
        <w:t xml:space="preserve"> </w:t>
      </w:r>
      <w:r w:rsidRPr="00A42B09">
        <w:rPr>
          <w:spacing w:val="-2"/>
          <w:sz w:val="24"/>
        </w:rPr>
        <w:t>Pearson</w:t>
      </w:r>
      <w:r w:rsidR="0088126A">
        <w:rPr>
          <w:rFonts w:ascii="Calibri"/>
        </w:rPr>
        <w:t xml:space="preserve"> </w:t>
      </w:r>
      <w:r w:rsidRPr="00A42B09">
        <w:rPr>
          <w:sz w:val="24"/>
        </w:rPr>
        <w:t>correlation</w:t>
      </w:r>
      <w:r w:rsidRPr="00A42B09">
        <w:rPr>
          <w:spacing w:val="-9"/>
          <w:sz w:val="24"/>
        </w:rPr>
        <w:t xml:space="preserve"> </w:t>
      </w:r>
      <w:r w:rsidRPr="00A42B09">
        <w:rPr>
          <w:sz w:val="24"/>
        </w:rPr>
        <w:t>p-value</w:t>
      </w:r>
      <w:r w:rsidR="00FB2B62">
        <w:rPr>
          <w:sz w:val="24"/>
        </w:rPr>
        <w:t xml:space="preserve"> below</w:t>
      </w:r>
      <w:r w:rsidR="00FB2B62">
        <w:rPr>
          <w:spacing w:val="-3"/>
          <w:sz w:val="24"/>
        </w:rPr>
        <w:t xml:space="preserve"> P </w:t>
      </w:r>
      <w:r w:rsidRPr="00A42B09">
        <w:rPr>
          <w:sz w:val="24"/>
        </w:rPr>
        <w:t>&lt;</w:t>
      </w:r>
      <w:r w:rsidRPr="00A42B09">
        <w:rPr>
          <w:spacing w:val="-3"/>
          <w:sz w:val="24"/>
        </w:rPr>
        <w:t xml:space="preserve"> </w:t>
      </w:r>
      <w:r w:rsidRPr="00A42B09">
        <w:rPr>
          <w:sz w:val="24"/>
        </w:rPr>
        <w:t>0.05</w:t>
      </w:r>
      <w:r w:rsidRPr="00A42B09">
        <w:rPr>
          <w:spacing w:val="-2"/>
          <w:sz w:val="24"/>
        </w:rPr>
        <w:t xml:space="preserve"> </w:t>
      </w:r>
      <w:r w:rsidRPr="00A42B09">
        <w:rPr>
          <w:sz w:val="24"/>
        </w:rPr>
        <w:t>was</w:t>
      </w:r>
      <w:r w:rsidRPr="00A42B09">
        <w:rPr>
          <w:spacing w:val="-4"/>
          <w:sz w:val="24"/>
        </w:rPr>
        <w:t xml:space="preserve"> </w:t>
      </w:r>
      <w:r w:rsidRPr="00A42B09">
        <w:rPr>
          <w:sz w:val="24"/>
        </w:rPr>
        <w:t>considered</w:t>
      </w:r>
      <w:r w:rsidRPr="00A42B09">
        <w:rPr>
          <w:spacing w:val="-2"/>
          <w:sz w:val="24"/>
        </w:rPr>
        <w:t xml:space="preserve"> </w:t>
      </w:r>
      <w:r w:rsidRPr="00A42B09">
        <w:rPr>
          <w:sz w:val="24"/>
        </w:rPr>
        <w:t>statistically</w:t>
      </w:r>
      <w:r w:rsidRPr="00A42B09">
        <w:rPr>
          <w:spacing w:val="-6"/>
          <w:sz w:val="24"/>
        </w:rPr>
        <w:t xml:space="preserve"> </w:t>
      </w:r>
      <w:r w:rsidRPr="00A42B09">
        <w:rPr>
          <w:spacing w:val="-2"/>
          <w:sz w:val="24"/>
        </w:rPr>
        <w:t>significant.</w:t>
      </w:r>
    </w:p>
    <w:bookmarkEnd w:id="10"/>
    <w:bookmarkEnd w:id="11"/>
    <w:p w14:paraId="36C6C1D7" w14:textId="77777777" w:rsidR="00C361F6" w:rsidRPr="001533EC" w:rsidRDefault="00C361F6" w:rsidP="00C35B7A">
      <w:pPr>
        <w:spacing w:before="120" w:after="120" w:line="480" w:lineRule="auto"/>
        <w:jc w:val="both"/>
        <w:rPr>
          <w:b/>
          <w:bCs/>
          <w:sz w:val="24"/>
          <w:szCs w:val="24"/>
        </w:rPr>
      </w:pPr>
    </w:p>
    <w:p w14:paraId="15C7D5F7" w14:textId="2D79DAAC" w:rsidR="00C35B7A" w:rsidRPr="001533EC" w:rsidRDefault="00C35B7A" w:rsidP="00C35B7A">
      <w:pPr>
        <w:spacing w:before="120" w:after="120" w:line="480" w:lineRule="auto"/>
        <w:jc w:val="both"/>
        <w:rPr>
          <w:b/>
          <w:bCs/>
          <w:sz w:val="24"/>
          <w:szCs w:val="24"/>
        </w:rPr>
      </w:pPr>
      <w:r w:rsidRPr="001533EC">
        <w:rPr>
          <w:b/>
          <w:bCs/>
          <w:sz w:val="24"/>
          <w:szCs w:val="24"/>
        </w:rPr>
        <w:t>Acknowledgments</w:t>
      </w:r>
    </w:p>
    <w:p w14:paraId="2E6820C0" w14:textId="6525EAE4" w:rsidR="00C35B7A" w:rsidRPr="001533EC" w:rsidRDefault="00C35B7A" w:rsidP="00C35B7A">
      <w:pPr>
        <w:spacing w:line="480" w:lineRule="auto"/>
        <w:jc w:val="both"/>
        <w:outlineLvl w:val="2"/>
        <w:rPr>
          <w:sz w:val="24"/>
          <w:szCs w:val="24"/>
        </w:rPr>
      </w:pPr>
      <w:r w:rsidRPr="001533EC">
        <w:rPr>
          <w:sz w:val="24"/>
          <w:szCs w:val="24"/>
        </w:rPr>
        <w:lastRenderedPageBreak/>
        <w:t>The authors thank Eva Arlt from the German Institute for Human Nutrition for their excellent technical a</w:t>
      </w:r>
      <w:r w:rsidR="008878B2" w:rsidRPr="001533EC">
        <w:rPr>
          <w:sz w:val="24"/>
          <w:szCs w:val="24"/>
        </w:rPr>
        <w:t xml:space="preserve">ssistance. Figure 1 </w:t>
      </w:r>
      <w:r w:rsidR="00F273C6">
        <w:rPr>
          <w:sz w:val="24"/>
          <w:szCs w:val="24"/>
        </w:rPr>
        <w:t>and</w:t>
      </w:r>
      <w:r w:rsidRPr="001533EC">
        <w:rPr>
          <w:sz w:val="24"/>
          <w:szCs w:val="24"/>
        </w:rPr>
        <w:t xml:space="preserve"> fig. S1 were created with BioRender.com.</w:t>
      </w:r>
    </w:p>
    <w:p w14:paraId="19206099" w14:textId="77777777" w:rsidR="00E418DE" w:rsidRPr="001533EC" w:rsidRDefault="00E418DE" w:rsidP="00C35B7A">
      <w:pPr>
        <w:spacing w:line="480" w:lineRule="auto"/>
        <w:jc w:val="both"/>
        <w:rPr>
          <w:b/>
          <w:sz w:val="24"/>
          <w:szCs w:val="24"/>
        </w:rPr>
      </w:pPr>
    </w:p>
    <w:p w14:paraId="6BBD2C2E" w14:textId="42F05602" w:rsidR="00C35B7A" w:rsidRPr="001533EC" w:rsidRDefault="00C35B7A" w:rsidP="00C35B7A">
      <w:pPr>
        <w:spacing w:line="480" w:lineRule="auto"/>
        <w:jc w:val="both"/>
        <w:rPr>
          <w:b/>
          <w:sz w:val="24"/>
          <w:szCs w:val="24"/>
        </w:rPr>
      </w:pPr>
      <w:r w:rsidRPr="001533EC">
        <w:rPr>
          <w:b/>
          <w:sz w:val="24"/>
          <w:szCs w:val="24"/>
        </w:rPr>
        <w:t>Funding</w:t>
      </w:r>
    </w:p>
    <w:p w14:paraId="5354D706" w14:textId="6F52068F" w:rsidR="00C35B7A" w:rsidRPr="0009168B" w:rsidRDefault="00C35B7A" w:rsidP="00C35B7A">
      <w:pPr>
        <w:spacing w:line="480" w:lineRule="auto"/>
        <w:jc w:val="both"/>
        <w:outlineLvl w:val="2"/>
        <w:rPr>
          <w:sz w:val="24"/>
          <w:szCs w:val="24"/>
        </w:rPr>
      </w:pPr>
      <w:r w:rsidRPr="001533EC">
        <w:rPr>
          <w:sz w:val="24"/>
          <w:szCs w:val="24"/>
        </w:rPr>
        <w:t xml:space="preserve">The work was supported by the German Ministry of Education and Research (BMBF: DZD grant 82DZD03D03) and the Brandenburg State. MO and SK received a grant from the German Center for Diabetes Research (DZD </w:t>
      </w:r>
      <w:proofErr w:type="spellStart"/>
      <w:r w:rsidRPr="001533EC">
        <w:rPr>
          <w:sz w:val="24"/>
          <w:szCs w:val="24"/>
        </w:rPr>
        <w:t>e.V.</w:t>
      </w:r>
      <w:proofErr w:type="spellEnd"/>
      <w:r w:rsidRPr="001533EC">
        <w:rPr>
          <w:sz w:val="24"/>
          <w:szCs w:val="24"/>
        </w:rPr>
        <w:t xml:space="preserve"> DZD </w:t>
      </w:r>
      <w:r w:rsidR="0009168B">
        <w:rPr>
          <w:sz w:val="24"/>
          <w:szCs w:val="24"/>
        </w:rPr>
        <w:t xml:space="preserve">Twining </w:t>
      </w:r>
      <w:r w:rsidRPr="001533EC">
        <w:rPr>
          <w:sz w:val="24"/>
          <w:szCs w:val="24"/>
        </w:rPr>
        <w:t>Grant 2023). MO was supported by a grant from the German Diabetes Society (DDG) and the German Research Foundation (DFG, project number 525802829).</w:t>
      </w:r>
      <w:r w:rsidR="0009168B">
        <w:rPr>
          <w:sz w:val="24"/>
          <w:szCs w:val="24"/>
        </w:rPr>
        <w:t xml:space="preserve"> </w:t>
      </w:r>
      <w:r w:rsidR="0009168B" w:rsidRPr="0088126A">
        <w:rPr>
          <w:sz w:val="24"/>
          <w:szCs w:val="24"/>
          <w:lang w:val="en-GB"/>
        </w:rPr>
        <w:t>L.S. is supported by the German Research Association as a Clinician Scientist.</w:t>
      </w:r>
    </w:p>
    <w:p w14:paraId="5917628F" w14:textId="77777777" w:rsidR="00E418DE" w:rsidRPr="001533EC" w:rsidRDefault="00E418DE" w:rsidP="00C35B7A">
      <w:pPr>
        <w:spacing w:before="120" w:after="120" w:line="480" w:lineRule="auto"/>
        <w:jc w:val="both"/>
        <w:rPr>
          <w:b/>
          <w:sz w:val="24"/>
          <w:szCs w:val="24"/>
        </w:rPr>
      </w:pPr>
    </w:p>
    <w:p w14:paraId="78C9D3D3" w14:textId="361EDD2A" w:rsidR="00C35B7A" w:rsidRPr="001533EC" w:rsidRDefault="00C35B7A" w:rsidP="00C35B7A">
      <w:pPr>
        <w:spacing w:before="120" w:after="120" w:line="480" w:lineRule="auto"/>
        <w:jc w:val="both"/>
        <w:rPr>
          <w:b/>
          <w:sz w:val="24"/>
          <w:szCs w:val="24"/>
        </w:rPr>
      </w:pPr>
      <w:r w:rsidRPr="001533EC">
        <w:rPr>
          <w:b/>
          <w:sz w:val="24"/>
          <w:szCs w:val="24"/>
        </w:rPr>
        <w:t>Authors' contributions</w:t>
      </w:r>
    </w:p>
    <w:p w14:paraId="7D35AD32" w14:textId="67C04C54" w:rsidR="00C361F6" w:rsidRPr="001533EC" w:rsidRDefault="00C35B7A" w:rsidP="00C361F6">
      <w:pPr>
        <w:spacing w:before="120" w:after="120" w:line="480" w:lineRule="auto"/>
        <w:jc w:val="both"/>
        <w:rPr>
          <w:sz w:val="24"/>
          <w:szCs w:val="24"/>
        </w:rPr>
      </w:pPr>
      <w:r w:rsidRPr="001533EC">
        <w:rPr>
          <w:sz w:val="24"/>
          <w:szCs w:val="24"/>
        </w:rPr>
        <w:t xml:space="preserve">MO, SK and </w:t>
      </w:r>
      <w:proofErr w:type="spellStart"/>
      <w:r w:rsidRPr="001533EC">
        <w:rPr>
          <w:sz w:val="24"/>
          <w:szCs w:val="24"/>
        </w:rPr>
        <w:t>ASc</w:t>
      </w:r>
      <w:proofErr w:type="spellEnd"/>
      <w:r w:rsidRPr="001533EC">
        <w:rPr>
          <w:sz w:val="24"/>
          <w:szCs w:val="24"/>
        </w:rPr>
        <w:t xml:space="preserve"> </w:t>
      </w:r>
      <w:r w:rsidR="00602E2F">
        <w:rPr>
          <w:sz w:val="24"/>
          <w:szCs w:val="24"/>
        </w:rPr>
        <w:t>conceived and designed the study</w:t>
      </w:r>
      <w:r w:rsidRPr="001533EC">
        <w:rPr>
          <w:sz w:val="24"/>
          <w:szCs w:val="24"/>
        </w:rPr>
        <w:t xml:space="preserve">. SK designed and analyzed fMRI data. </w:t>
      </w:r>
      <w:proofErr w:type="spellStart"/>
      <w:r w:rsidRPr="001533EC">
        <w:rPr>
          <w:sz w:val="24"/>
          <w:szCs w:val="24"/>
          <w:lang w:val="en-GB"/>
        </w:rPr>
        <w:t>ASi</w:t>
      </w:r>
      <w:proofErr w:type="spellEnd"/>
      <w:r w:rsidRPr="001533EC">
        <w:rPr>
          <w:sz w:val="24"/>
          <w:szCs w:val="24"/>
          <w:lang w:val="en-GB"/>
        </w:rPr>
        <w:t xml:space="preserve"> performed bioinformatics analysis, machine learning based feature selection</w:t>
      </w:r>
      <w:r w:rsidR="009F143D">
        <w:rPr>
          <w:sz w:val="24"/>
          <w:szCs w:val="24"/>
          <w:lang w:val="en-GB"/>
        </w:rPr>
        <w:t>,</w:t>
      </w:r>
      <w:r w:rsidRPr="001533EC">
        <w:rPr>
          <w:sz w:val="24"/>
          <w:szCs w:val="24"/>
          <w:lang w:val="en-GB"/>
        </w:rPr>
        <w:t xml:space="preserve"> and validation on independent datasets. </w:t>
      </w:r>
      <w:r w:rsidRPr="001533EC">
        <w:rPr>
          <w:sz w:val="24"/>
          <w:szCs w:val="24"/>
        </w:rPr>
        <w:t>RS performed bioinformatic and statistical analyses. MJ and DW critically reviewed the bioinformatic workflow. AP provided clinical data. LS analyzed the clinical data. BW and SM</w:t>
      </w:r>
      <w:r w:rsidRPr="001533EC">
        <w:t xml:space="preserve"> </w:t>
      </w:r>
      <w:r w:rsidRPr="001533EC">
        <w:rPr>
          <w:sz w:val="24"/>
          <w:szCs w:val="24"/>
        </w:rPr>
        <w:t xml:space="preserve">performed neuroimaging experiments </w:t>
      </w:r>
      <w:r w:rsidR="00F941CF">
        <w:rPr>
          <w:sz w:val="24"/>
          <w:szCs w:val="24"/>
        </w:rPr>
        <w:t>on</w:t>
      </w:r>
      <w:r w:rsidR="00F941CF" w:rsidRPr="001533EC">
        <w:rPr>
          <w:sz w:val="24"/>
          <w:szCs w:val="24"/>
        </w:rPr>
        <w:t xml:space="preserve"> </w:t>
      </w:r>
      <w:r w:rsidRPr="001533EC">
        <w:rPr>
          <w:sz w:val="24"/>
          <w:szCs w:val="24"/>
        </w:rPr>
        <w:t>the second replication cohort.</w:t>
      </w:r>
      <w:r w:rsidR="00CF191C" w:rsidRPr="001533EC">
        <w:rPr>
          <w:sz w:val="24"/>
          <w:szCs w:val="24"/>
        </w:rPr>
        <w:t xml:space="preserve"> FE conducted replication analyses in EPIC-Potsdam. MBS is the primary investigator of EPIC-Potsdam and responsible for </w:t>
      </w:r>
      <w:r w:rsidR="00D56227" w:rsidRPr="001533EC">
        <w:rPr>
          <w:sz w:val="24"/>
          <w:szCs w:val="24"/>
        </w:rPr>
        <w:t xml:space="preserve">the </w:t>
      </w:r>
      <w:r w:rsidR="00CF191C" w:rsidRPr="001533EC">
        <w:rPr>
          <w:sz w:val="24"/>
          <w:szCs w:val="24"/>
        </w:rPr>
        <w:t>data curatio</w:t>
      </w:r>
      <w:r w:rsidR="00D56227" w:rsidRPr="001533EC">
        <w:rPr>
          <w:sz w:val="24"/>
          <w:szCs w:val="24"/>
        </w:rPr>
        <w:t>n</w:t>
      </w:r>
      <w:r w:rsidR="00F010E1">
        <w:rPr>
          <w:sz w:val="24"/>
          <w:szCs w:val="24"/>
        </w:rPr>
        <w:t xml:space="preserve"> </w:t>
      </w:r>
      <w:r w:rsidR="00CF191C" w:rsidRPr="001533EC">
        <w:rPr>
          <w:sz w:val="24"/>
          <w:szCs w:val="24"/>
        </w:rPr>
        <w:t xml:space="preserve">and </w:t>
      </w:r>
      <w:r w:rsidR="00D56227" w:rsidRPr="001533EC">
        <w:rPr>
          <w:sz w:val="24"/>
          <w:szCs w:val="24"/>
        </w:rPr>
        <w:t xml:space="preserve">study </w:t>
      </w:r>
      <w:r w:rsidR="00CF191C" w:rsidRPr="001533EC">
        <w:rPr>
          <w:sz w:val="24"/>
          <w:szCs w:val="24"/>
        </w:rPr>
        <w:t>supervision</w:t>
      </w:r>
      <w:r w:rsidR="00D56227" w:rsidRPr="001533EC">
        <w:rPr>
          <w:sz w:val="24"/>
          <w:szCs w:val="24"/>
        </w:rPr>
        <w:t>.</w:t>
      </w:r>
      <w:r w:rsidRPr="001533EC">
        <w:rPr>
          <w:sz w:val="24"/>
          <w:szCs w:val="24"/>
        </w:rPr>
        <w:t xml:space="preserve"> MH, HUH, HP, ALB, LS</w:t>
      </w:r>
      <w:r w:rsidR="00333F02">
        <w:rPr>
          <w:sz w:val="24"/>
          <w:szCs w:val="24"/>
        </w:rPr>
        <w:t>,</w:t>
      </w:r>
      <w:r w:rsidRPr="001533EC">
        <w:rPr>
          <w:sz w:val="24"/>
          <w:szCs w:val="24"/>
        </w:rPr>
        <w:t xml:space="preserve"> and </w:t>
      </w:r>
      <w:proofErr w:type="spellStart"/>
      <w:r w:rsidRPr="001533EC">
        <w:rPr>
          <w:sz w:val="24"/>
          <w:szCs w:val="24"/>
        </w:rPr>
        <w:t>ASc</w:t>
      </w:r>
      <w:proofErr w:type="spellEnd"/>
      <w:r w:rsidRPr="001533EC">
        <w:rPr>
          <w:sz w:val="24"/>
          <w:szCs w:val="24"/>
        </w:rPr>
        <w:t xml:space="preserve"> contributed to the discussion and critically edited and reviewed the results. SK, RS</w:t>
      </w:r>
      <w:r w:rsidR="005B5E46">
        <w:rPr>
          <w:sz w:val="24"/>
          <w:szCs w:val="24"/>
        </w:rPr>
        <w:t>,</w:t>
      </w:r>
      <w:r w:rsidRPr="001533EC">
        <w:rPr>
          <w:sz w:val="24"/>
          <w:szCs w:val="24"/>
        </w:rPr>
        <w:t xml:space="preserve"> and MO wrote the manuscript. MO and SK have primary responsibility for the final content of this manuscript. All authors read, critically and revised the manuscript and approved the final version.</w:t>
      </w:r>
    </w:p>
    <w:p w14:paraId="4786A998" w14:textId="77777777" w:rsidR="00C361F6" w:rsidRPr="001533EC" w:rsidRDefault="00C361F6" w:rsidP="00C35B7A">
      <w:pPr>
        <w:spacing w:line="480" w:lineRule="auto"/>
        <w:jc w:val="both"/>
        <w:rPr>
          <w:b/>
          <w:bCs/>
          <w:sz w:val="24"/>
          <w:szCs w:val="24"/>
        </w:rPr>
      </w:pPr>
    </w:p>
    <w:p w14:paraId="69C1170C" w14:textId="56745250" w:rsidR="00C35B7A" w:rsidRPr="001533EC" w:rsidRDefault="00C35B7A" w:rsidP="00C35B7A">
      <w:pPr>
        <w:spacing w:line="480" w:lineRule="auto"/>
        <w:jc w:val="both"/>
        <w:rPr>
          <w:b/>
          <w:bCs/>
          <w:sz w:val="24"/>
          <w:szCs w:val="24"/>
        </w:rPr>
      </w:pPr>
      <w:r w:rsidRPr="001533EC">
        <w:rPr>
          <w:b/>
          <w:bCs/>
          <w:sz w:val="24"/>
          <w:szCs w:val="24"/>
        </w:rPr>
        <w:t>Conflicts of interest</w:t>
      </w:r>
    </w:p>
    <w:p w14:paraId="2F9E1102" w14:textId="6D8F7462" w:rsidR="00C35B7A" w:rsidRDefault="00C35B7A" w:rsidP="00C35B7A">
      <w:pPr>
        <w:spacing w:line="480" w:lineRule="auto"/>
        <w:jc w:val="both"/>
        <w:rPr>
          <w:sz w:val="24"/>
          <w:szCs w:val="24"/>
          <w:lang w:val="en-GB"/>
        </w:rPr>
      </w:pPr>
      <w:r w:rsidRPr="001533EC">
        <w:rPr>
          <w:sz w:val="24"/>
          <w:szCs w:val="24"/>
          <w:lang w:val="en-GB"/>
        </w:rPr>
        <w:lastRenderedPageBreak/>
        <w:t xml:space="preserve">Outside of the current work, MH reports research grants from Boehringer Ingelheim and Sanofi to the University Hospital of Tübingen, participation in advisory board for Boehringer Ingelheim, Sanofi, and Amryt, and lecture fees from </w:t>
      </w:r>
      <w:proofErr w:type="spellStart"/>
      <w:r w:rsidRPr="001533EC">
        <w:rPr>
          <w:sz w:val="24"/>
          <w:szCs w:val="24"/>
          <w:lang w:val="en-GB"/>
        </w:rPr>
        <w:t>Amryt</w:t>
      </w:r>
      <w:proofErr w:type="spellEnd"/>
      <w:r w:rsidRPr="001533EC">
        <w:rPr>
          <w:sz w:val="24"/>
          <w:szCs w:val="24"/>
          <w:lang w:val="en-GB"/>
        </w:rPr>
        <w:t>, AstraZeneca, Bayer, Boehringer Ingelheim, Eli Lilly, Novartis, Novo Nordisk, and Sanofi.</w:t>
      </w:r>
      <w:r w:rsidR="00C35AC2">
        <w:rPr>
          <w:sz w:val="24"/>
          <w:szCs w:val="24"/>
          <w:lang w:val="en-GB"/>
        </w:rPr>
        <w:t xml:space="preserve"> MH</w:t>
      </w:r>
      <w:r w:rsidR="004B0C4A" w:rsidRPr="004B0C4A">
        <w:rPr>
          <w:sz w:val="24"/>
          <w:szCs w:val="24"/>
          <w:lang w:val="en-GB"/>
        </w:rPr>
        <w:t xml:space="preserve"> is currently board member of the German Diabetes Association (DDG).</w:t>
      </w:r>
    </w:p>
    <w:p w14:paraId="1E2A70C5" w14:textId="3198DEC5" w:rsidR="001A6DB0" w:rsidRPr="001533EC" w:rsidRDefault="00A53F07" w:rsidP="00C35B7A">
      <w:pPr>
        <w:spacing w:line="480" w:lineRule="auto"/>
        <w:jc w:val="both"/>
        <w:rPr>
          <w:sz w:val="24"/>
          <w:szCs w:val="24"/>
          <w:lang w:val="en-GB"/>
        </w:rPr>
      </w:pPr>
      <w:r>
        <w:rPr>
          <w:sz w:val="24"/>
          <w:szCs w:val="24"/>
          <w:lang w:val="en-GB"/>
        </w:rPr>
        <w:t xml:space="preserve">SK, </w:t>
      </w:r>
      <w:proofErr w:type="spellStart"/>
      <w:r>
        <w:rPr>
          <w:sz w:val="24"/>
          <w:szCs w:val="24"/>
          <w:lang w:val="en-GB"/>
        </w:rPr>
        <w:t>ASi</w:t>
      </w:r>
      <w:proofErr w:type="spellEnd"/>
      <w:r>
        <w:rPr>
          <w:sz w:val="24"/>
          <w:szCs w:val="24"/>
          <w:lang w:val="en-GB"/>
        </w:rPr>
        <w:t xml:space="preserve">, </w:t>
      </w:r>
      <w:r w:rsidR="00F338C7">
        <w:rPr>
          <w:sz w:val="24"/>
          <w:szCs w:val="24"/>
          <w:lang w:val="en-GB"/>
        </w:rPr>
        <w:t>RS, FE, LS, BW, MJ, AP, SM, DW, HP,</w:t>
      </w:r>
      <w:r w:rsidR="00C411D9">
        <w:rPr>
          <w:sz w:val="24"/>
          <w:szCs w:val="24"/>
          <w:lang w:val="en-GB"/>
        </w:rPr>
        <w:t xml:space="preserve"> </w:t>
      </w:r>
      <w:r w:rsidR="00F338C7">
        <w:rPr>
          <w:sz w:val="24"/>
          <w:szCs w:val="24"/>
          <w:lang w:val="en-GB"/>
        </w:rPr>
        <w:t>HUH, MBS, MH, ALB</w:t>
      </w:r>
      <w:r w:rsidR="00AC2171">
        <w:rPr>
          <w:sz w:val="24"/>
          <w:szCs w:val="24"/>
          <w:lang w:val="en-GB"/>
        </w:rPr>
        <w:t xml:space="preserve">, </w:t>
      </w:r>
      <w:proofErr w:type="spellStart"/>
      <w:r w:rsidR="00AC2171">
        <w:rPr>
          <w:sz w:val="24"/>
          <w:szCs w:val="24"/>
          <w:lang w:val="en-GB"/>
        </w:rPr>
        <w:t>ASc</w:t>
      </w:r>
      <w:proofErr w:type="spellEnd"/>
      <w:r w:rsidR="00AC2171">
        <w:rPr>
          <w:sz w:val="24"/>
          <w:szCs w:val="24"/>
          <w:lang w:val="en-GB"/>
        </w:rPr>
        <w:t xml:space="preserve"> and MO</w:t>
      </w:r>
      <w:r w:rsidR="001A6DB0">
        <w:rPr>
          <w:sz w:val="24"/>
          <w:szCs w:val="24"/>
          <w:lang w:val="en-GB"/>
        </w:rPr>
        <w:t xml:space="preserve"> declare </w:t>
      </w:r>
      <w:r w:rsidR="00AC2171">
        <w:rPr>
          <w:sz w:val="24"/>
          <w:szCs w:val="24"/>
          <w:lang w:val="en-GB"/>
        </w:rPr>
        <w:t xml:space="preserve">that they have </w:t>
      </w:r>
      <w:r w:rsidR="001A6DB0">
        <w:rPr>
          <w:sz w:val="24"/>
          <w:szCs w:val="24"/>
          <w:lang w:val="en-GB"/>
        </w:rPr>
        <w:t xml:space="preserve">no conflict of </w:t>
      </w:r>
      <w:r>
        <w:rPr>
          <w:sz w:val="24"/>
          <w:szCs w:val="24"/>
          <w:lang w:val="en-GB"/>
        </w:rPr>
        <w:t>interest</w:t>
      </w:r>
      <w:r w:rsidR="00C411D9">
        <w:rPr>
          <w:sz w:val="24"/>
          <w:szCs w:val="24"/>
          <w:lang w:val="en-GB"/>
        </w:rPr>
        <w:t>.</w:t>
      </w:r>
    </w:p>
    <w:p w14:paraId="5DFF57E9" w14:textId="77777777" w:rsidR="00C35B7A" w:rsidRPr="001533EC" w:rsidRDefault="00C35B7A" w:rsidP="00C35B7A">
      <w:pPr>
        <w:rPr>
          <w:b/>
          <w:sz w:val="24"/>
          <w:szCs w:val="24"/>
        </w:rPr>
      </w:pPr>
    </w:p>
    <w:p w14:paraId="0994D3D7" w14:textId="236AA197" w:rsidR="00C361F6" w:rsidRPr="001533EC" w:rsidRDefault="00C35B7A" w:rsidP="00C361F6">
      <w:pPr>
        <w:spacing w:line="480" w:lineRule="auto"/>
        <w:rPr>
          <w:b/>
          <w:sz w:val="24"/>
        </w:rPr>
      </w:pPr>
      <w:r w:rsidRPr="001533EC">
        <w:rPr>
          <w:b/>
          <w:sz w:val="24"/>
        </w:rPr>
        <w:t>Data and materials availability</w:t>
      </w:r>
    </w:p>
    <w:p w14:paraId="4E223461" w14:textId="74FF832B" w:rsidR="00C35B7A" w:rsidRPr="001533EC" w:rsidRDefault="00AF549C" w:rsidP="00C361F6">
      <w:pPr>
        <w:spacing w:line="480" w:lineRule="auto"/>
        <w:jc w:val="both"/>
        <w:rPr>
          <w:sz w:val="24"/>
        </w:rPr>
      </w:pPr>
      <w:r>
        <w:rPr>
          <w:sz w:val="24"/>
        </w:rPr>
        <w:t>All data associated with this paper are present in the paper or supplementary materials. Raw data</w:t>
      </w:r>
      <w:r w:rsidR="00C35B7A" w:rsidRPr="001533EC">
        <w:rPr>
          <w:sz w:val="24"/>
        </w:rPr>
        <w:t xml:space="preserve"> are included in the Supplementary Tables</w:t>
      </w:r>
      <w:r>
        <w:rPr>
          <w:sz w:val="24"/>
        </w:rPr>
        <w:t xml:space="preserve"> in data file S1</w:t>
      </w:r>
      <w:r w:rsidR="00C35B7A" w:rsidRPr="001533EC">
        <w:rPr>
          <w:sz w:val="24"/>
        </w:rPr>
        <w:t>, and</w:t>
      </w:r>
      <w:r w:rsidR="003340B4">
        <w:rPr>
          <w:sz w:val="24"/>
        </w:rPr>
        <w:t xml:space="preserve"> data from main and supplemental figures are in data file S2.</w:t>
      </w:r>
      <w:r w:rsidR="00C35B7A" w:rsidRPr="001533EC">
        <w:rPr>
          <w:sz w:val="24"/>
        </w:rPr>
        <w:t xml:space="preserve"> </w:t>
      </w:r>
      <w:r w:rsidR="003340B4">
        <w:rPr>
          <w:sz w:val="24"/>
        </w:rPr>
        <w:t>R</w:t>
      </w:r>
      <w:r w:rsidR="00C35B7A" w:rsidRPr="001533EC">
        <w:rPr>
          <w:sz w:val="24"/>
        </w:rPr>
        <w:t xml:space="preserve">aw methylation data </w:t>
      </w:r>
      <w:r w:rsidR="00991C64">
        <w:rPr>
          <w:sz w:val="24"/>
        </w:rPr>
        <w:t>is</w:t>
      </w:r>
      <w:r w:rsidR="00C35B7A" w:rsidRPr="001533EC">
        <w:rPr>
          <w:sz w:val="24"/>
        </w:rPr>
        <w:t xml:space="preserve"> available in the GEO repository </w:t>
      </w:r>
      <w:r w:rsidR="00991C64">
        <w:rPr>
          <w:sz w:val="24"/>
        </w:rPr>
        <w:t>under accession XXXXXX</w:t>
      </w:r>
      <w:r w:rsidR="00C35B7A" w:rsidRPr="001533EC">
        <w:rPr>
          <w:sz w:val="24"/>
        </w:rPr>
        <w:t>. Metabolic and an</w:t>
      </w:r>
      <w:r w:rsidR="008878B2" w:rsidRPr="001533EC">
        <w:rPr>
          <w:sz w:val="24"/>
        </w:rPr>
        <w:t>throp</w:t>
      </w:r>
      <w:r w:rsidR="00C35B7A" w:rsidRPr="001533EC">
        <w:rPr>
          <w:sz w:val="24"/>
        </w:rPr>
        <w:t xml:space="preserve">ometric data </w:t>
      </w:r>
      <w:r w:rsidR="00714B6A">
        <w:rPr>
          <w:sz w:val="24"/>
        </w:rPr>
        <w:t xml:space="preserve">from the discovery cohort, replication I and II </w:t>
      </w:r>
      <w:r w:rsidR="00C35B7A" w:rsidRPr="001533EC">
        <w:rPr>
          <w:sz w:val="24"/>
        </w:rPr>
        <w:t>are available</w:t>
      </w:r>
      <w:r w:rsidR="00665A5A">
        <w:rPr>
          <w:sz w:val="24"/>
        </w:rPr>
        <w:t xml:space="preserve"> in Data file 2</w:t>
      </w:r>
      <w:r w:rsidR="00714B6A">
        <w:rPr>
          <w:sz w:val="24"/>
        </w:rPr>
        <w:t>.</w:t>
      </w:r>
      <w:r w:rsidR="00887D52">
        <w:rPr>
          <w:sz w:val="24"/>
        </w:rPr>
        <w:t xml:space="preserve"> </w:t>
      </w:r>
      <w:r w:rsidR="008A1BE3" w:rsidRPr="008A1BE3">
        <w:rPr>
          <w:sz w:val="24"/>
          <w:szCs w:val="24"/>
        </w:rPr>
        <w:t xml:space="preserve">Access to the </w:t>
      </w:r>
      <w:r w:rsidR="008A1BE3">
        <w:rPr>
          <w:sz w:val="24"/>
          <w:szCs w:val="24"/>
        </w:rPr>
        <w:t xml:space="preserve">EPIC-Potsdam </w:t>
      </w:r>
      <w:r w:rsidR="008A1BE3" w:rsidRPr="008A1BE3">
        <w:rPr>
          <w:sz w:val="24"/>
          <w:szCs w:val="24"/>
        </w:rPr>
        <w:t>datasets is available for research and validation purposes, subject to adherence to the institutional data security protocols. According to a standard controlled access procedure, applications to use resources from EPIC-Potsdam will be reviewed by the Scientific Steering Committee to verify that the proposed use maintains the protection of the privacy of the participants and the confidentiality of the data in EPIC-Potsdam (convening monthly</w:t>
      </w:r>
      <w:proofErr w:type="gramStart"/>
      <w:r w:rsidR="008A1BE3" w:rsidRPr="008A1BE3">
        <w:rPr>
          <w:sz w:val="24"/>
          <w:szCs w:val="24"/>
        </w:rPr>
        <w:t>).</w:t>
      </w:r>
      <w:r w:rsidR="00C35B7A" w:rsidRPr="008A1BE3">
        <w:rPr>
          <w:sz w:val="24"/>
          <w:szCs w:val="24"/>
        </w:rPr>
        <w:t>.</w:t>
      </w:r>
      <w:proofErr w:type="gramEnd"/>
      <w:r w:rsidR="00C35B7A" w:rsidRPr="001533EC">
        <w:rPr>
          <w:sz w:val="24"/>
        </w:rPr>
        <w:t xml:space="preserve"> </w:t>
      </w:r>
    </w:p>
    <w:p w14:paraId="2BB9D3CB" w14:textId="77777777" w:rsidR="00E418DE" w:rsidRPr="001533EC" w:rsidRDefault="00E418DE" w:rsidP="00C35B7A">
      <w:pPr>
        <w:rPr>
          <w:b/>
          <w:sz w:val="24"/>
          <w:szCs w:val="24"/>
        </w:rPr>
      </w:pPr>
    </w:p>
    <w:p w14:paraId="11405132" w14:textId="24896229" w:rsidR="00C35B7A" w:rsidRPr="001533EC" w:rsidRDefault="00C35B7A" w:rsidP="00C35B7A">
      <w:pPr>
        <w:rPr>
          <w:b/>
          <w:sz w:val="24"/>
          <w:szCs w:val="24"/>
        </w:rPr>
      </w:pPr>
      <w:r w:rsidRPr="001533EC">
        <w:rPr>
          <w:b/>
          <w:sz w:val="24"/>
          <w:szCs w:val="24"/>
        </w:rPr>
        <w:t>Supplementary Materials</w:t>
      </w:r>
    </w:p>
    <w:p w14:paraId="45E1EA0F" w14:textId="53F97A96" w:rsidR="00B52A57" w:rsidRDefault="00B52A57" w:rsidP="00C35B7A">
      <w:pPr>
        <w:rPr>
          <w:sz w:val="24"/>
          <w:szCs w:val="24"/>
        </w:rPr>
      </w:pPr>
      <w:r>
        <w:rPr>
          <w:sz w:val="24"/>
          <w:szCs w:val="24"/>
        </w:rPr>
        <w:t>Materials and Methods</w:t>
      </w:r>
    </w:p>
    <w:p w14:paraId="6B77AA7A" w14:textId="77702F14" w:rsidR="00C35B7A" w:rsidRPr="001533EC" w:rsidRDefault="00C35B7A" w:rsidP="00C35B7A">
      <w:pPr>
        <w:rPr>
          <w:sz w:val="24"/>
          <w:szCs w:val="24"/>
        </w:rPr>
      </w:pPr>
      <w:r w:rsidRPr="001533EC">
        <w:rPr>
          <w:sz w:val="24"/>
          <w:szCs w:val="24"/>
        </w:rPr>
        <w:t>figs. S1 to S</w:t>
      </w:r>
      <w:r w:rsidR="00B674F4" w:rsidRPr="001533EC">
        <w:rPr>
          <w:sz w:val="24"/>
          <w:szCs w:val="24"/>
        </w:rPr>
        <w:t>8</w:t>
      </w:r>
    </w:p>
    <w:p w14:paraId="613D55C1" w14:textId="6F4AA9AA" w:rsidR="003340B4" w:rsidRDefault="00B52A57" w:rsidP="003340B4">
      <w:pPr>
        <w:rPr>
          <w:sz w:val="24"/>
          <w:szCs w:val="24"/>
          <w:u w:val="double"/>
        </w:rPr>
      </w:pPr>
      <w:r>
        <w:rPr>
          <w:sz w:val="24"/>
          <w:szCs w:val="24"/>
        </w:rPr>
        <w:t>data file</w:t>
      </w:r>
      <w:r w:rsidR="003340B4">
        <w:rPr>
          <w:sz w:val="24"/>
          <w:szCs w:val="24"/>
        </w:rPr>
        <w:t>s</w:t>
      </w:r>
      <w:r>
        <w:rPr>
          <w:sz w:val="24"/>
          <w:szCs w:val="24"/>
        </w:rPr>
        <w:t xml:space="preserve"> S1</w:t>
      </w:r>
      <w:r w:rsidR="003340B4">
        <w:rPr>
          <w:sz w:val="24"/>
          <w:szCs w:val="24"/>
        </w:rPr>
        <w:t>-S2</w:t>
      </w:r>
    </w:p>
    <w:p w14:paraId="494400DF" w14:textId="7C08FC24" w:rsidR="00B52A57" w:rsidRPr="00665A5A" w:rsidRDefault="00B52A57" w:rsidP="00C35B7A">
      <w:pPr>
        <w:rPr>
          <w:sz w:val="24"/>
          <w:szCs w:val="24"/>
        </w:rPr>
      </w:pPr>
      <w:r w:rsidRPr="00665A5A">
        <w:rPr>
          <w:sz w:val="24"/>
          <w:szCs w:val="24"/>
        </w:rPr>
        <w:t>MDAR checklist</w:t>
      </w:r>
    </w:p>
    <w:p w14:paraId="26B08A5E" w14:textId="1E5BD9B8" w:rsidR="00C35B7A" w:rsidRPr="001533EC" w:rsidRDefault="00C35B7A" w:rsidP="00C35B7A">
      <w:pPr>
        <w:rPr>
          <w:sz w:val="24"/>
          <w:szCs w:val="24"/>
        </w:rPr>
      </w:pPr>
    </w:p>
    <w:p w14:paraId="5DB8F4D7" w14:textId="77777777" w:rsidR="00C35B7A" w:rsidRPr="001533EC" w:rsidRDefault="00C35B7A" w:rsidP="00C35B7A">
      <w:pPr>
        <w:rPr>
          <w:sz w:val="24"/>
          <w:szCs w:val="24"/>
        </w:rPr>
      </w:pPr>
    </w:p>
    <w:p w14:paraId="5A2F8E0D" w14:textId="7CB127F1" w:rsidR="00C35B7A" w:rsidRPr="001533EC" w:rsidRDefault="00C35B7A" w:rsidP="00E418DE">
      <w:pPr>
        <w:rPr>
          <w:b/>
          <w:sz w:val="24"/>
          <w:szCs w:val="24"/>
        </w:rPr>
      </w:pPr>
      <w:r w:rsidRPr="001533EC">
        <w:rPr>
          <w:b/>
          <w:sz w:val="24"/>
          <w:szCs w:val="24"/>
        </w:rPr>
        <w:br w:type="page"/>
      </w:r>
      <w:bookmarkEnd w:id="5"/>
    </w:p>
    <w:p w14:paraId="6D695EAA" w14:textId="77777777" w:rsidR="00C35B7A" w:rsidRPr="001533EC" w:rsidRDefault="00C35B7A" w:rsidP="00C35B7A">
      <w:pPr>
        <w:spacing w:line="480" w:lineRule="auto"/>
        <w:jc w:val="both"/>
        <w:rPr>
          <w:b/>
          <w:sz w:val="24"/>
          <w:szCs w:val="24"/>
        </w:rPr>
      </w:pPr>
      <w:r w:rsidRPr="001533EC">
        <w:rPr>
          <w:b/>
          <w:sz w:val="24"/>
          <w:szCs w:val="24"/>
        </w:rPr>
        <w:lastRenderedPageBreak/>
        <w:t>References:</w:t>
      </w:r>
    </w:p>
    <w:p w14:paraId="1F3BAA11" w14:textId="3A74B4C0" w:rsidR="003663F0" w:rsidRPr="003663F0" w:rsidRDefault="00C35B7A" w:rsidP="003663F0">
      <w:pPr>
        <w:widowControl w:val="0"/>
        <w:autoSpaceDE w:val="0"/>
        <w:autoSpaceDN w:val="0"/>
        <w:adjustRightInd w:val="0"/>
        <w:rPr>
          <w:noProof/>
          <w:sz w:val="24"/>
          <w:szCs w:val="24"/>
        </w:rPr>
      </w:pPr>
      <w:r w:rsidRPr="001533EC">
        <w:rPr>
          <w:b/>
          <w:sz w:val="24"/>
          <w:szCs w:val="24"/>
        </w:rPr>
        <w:fldChar w:fldCharType="begin" w:fldLock="1"/>
      </w:r>
      <w:r w:rsidRPr="001533EC">
        <w:rPr>
          <w:b/>
          <w:sz w:val="24"/>
          <w:szCs w:val="24"/>
        </w:rPr>
        <w:instrText xml:space="preserve">ADDIN Mendeley Bibliography CSL_BIBLIOGRAPHY </w:instrText>
      </w:r>
      <w:r w:rsidRPr="001533EC">
        <w:rPr>
          <w:b/>
          <w:sz w:val="24"/>
          <w:szCs w:val="24"/>
        </w:rPr>
        <w:fldChar w:fldCharType="separate"/>
      </w:r>
      <w:r w:rsidR="003663F0" w:rsidRPr="003663F0">
        <w:rPr>
          <w:noProof/>
          <w:sz w:val="24"/>
          <w:szCs w:val="24"/>
        </w:rPr>
        <w:t xml:space="preserve">1. R. Agrawal, C. M. Reno, S. Sharma, C. Christensen, Y. Huang, S. J. Fisher, Insulin action in the brain regulates both central and peripheral functions. </w:t>
      </w:r>
      <w:r w:rsidR="003663F0" w:rsidRPr="003663F0">
        <w:rPr>
          <w:i/>
          <w:iCs/>
          <w:noProof/>
          <w:sz w:val="24"/>
          <w:szCs w:val="24"/>
        </w:rPr>
        <w:t>Am. J. Physiol. Metab.</w:t>
      </w:r>
      <w:r w:rsidR="003663F0" w:rsidRPr="003663F0">
        <w:rPr>
          <w:noProof/>
          <w:sz w:val="24"/>
          <w:szCs w:val="24"/>
        </w:rPr>
        <w:t xml:space="preserve"> </w:t>
      </w:r>
      <w:r w:rsidR="003663F0" w:rsidRPr="003663F0">
        <w:rPr>
          <w:b/>
          <w:bCs/>
          <w:noProof/>
          <w:sz w:val="24"/>
          <w:szCs w:val="24"/>
        </w:rPr>
        <w:t>321</w:t>
      </w:r>
      <w:r w:rsidR="003663F0" w:rsidRPr="003663F0">
        <w:rPr>
          <w:noProof/>
          <w:sz w:val="24"/>
          <w:szCs w:val="24"/>
        </w:rPr>
        <w:t>, E156–E163 (2021).</w:t>
      </w:r>
    </w:p>
    <w:p w14:paraId="4EF81788"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2. E. Blázquez, V. Hurtado-Carneiro, Y. LeBaut-Ayuso, E. Velázquez, L. García-García, F. Gómez-Oliver, J. M. Ruiz-Albusac, J. Ávila, M. Á. Pozo, Significance of Brain Glucose Hypometabolism, Altered Insulin Signal  Transduction, and Insulin Resistance in Several Neurological Diseases. </w:t>
      </w:r>
      <w:r w:rsidRPr="003663F0">
        <w:rPr>
          <w:i/>
          <w:iCs/>
          <w:noProof/>
          <w:sz w:val="24"/>
          <w:szCs w:val="24"/>
        </w:rPr>
        <w:t>Front. Endocrinol. (Lausanne).</w:t>
      </w:r>
      <w:r w:rsidRPr="003663F0">
        <w:rPr>
          <w:noProof/>
          <w:sz w:val="24"/>
          <w:szCs w:val="24"/>
        </w:rPr>
        <w:t xml:space="preserve"> </w:t>
      </w:r>
      <w:r w:rsidRPr="003663F0">
        <w:rPr>
          <w:b/>
          <w:bCs/>
          <w:noProof/>
          <w:sz w:val="24"/>
          <w:szCs w:val="24"/>
        </w:rPr>
        <w:t>13</w:t>
      </w:r>
      <w:r w:rsidRPr="003663F0">
        <w:rPr>
          <w:noProof/>
          <w:sz w:val="24"/>
          <w:szCs w:val="24"/>
        </w:rPr>
        <w:t>, 873301 (2022).</w:t>
      </w:r>
    </w:p>
    <w:p w14:paraId="1EAB8F94"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3. S. Kullmann, M. Heni, M. Hallschmid, A. Fritsche, H. Preissl, H.-U. Häring, Brain Insulin Resistance at the Crossroads of Metabolic and Cognitive Disorders  in Humans. </w:t>
      </w:r>
      <w:r w:rsidRPr="003663F0">
        <w:rPr>
          <w:i/>
          <w:iCs/>
          <w:noProof/>
          <w:sz w:val="24"/>
          <w:szCs w:val="24"/>
        </w:rPr>
        <w:t>Physiol. Rev.</w:t>
      </w:r>
      <w:r w:rsidRPr="003663F0">
        <w:rPr>
          <w:noProof/>
          <w:sz w:val="24"/>
          <w:szCs w:val="24"/>
        </w:rPr>
        <w:t xml:space="preserve"> </w:t>
      </w:r>
      <w:r w:rsidRPr="003663F0">
        <w:rPr>
          <w:b/>
          <w:bCs/>
          <w:noProof/>
          <w:sz w:val="24"/>
          <w:szCs w:val="24"/>
        </w:rPr>
        <w:t>96</w:t>
      </w:r>
      <w:r w:rsidRPr="003663F0">
        <w:rPr>
          <w:noProof/>
          <w:sz w:val="24"/>
          <w:szCs w:val="24"/>
        </w:rPr>
        <w:t>, 1169–1209 (2016).</w:t>
      </w:r>
    </w:p>
    <w:p w14:paraId="36AFEC12"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4. W. Chen, W. Cai, B. Hoover, C. R. Kahn, Insulin action in the brain: cell types, circuits, and diseases. </w:t>
      </w:r>
      <w:r w:rsidRPr="003663F0">
        <w:rPr>
          <w:i/>
          <w:iCs/>
          <w:noProof/>
          <w:sz w:val="24"/>
          <w:szCs w:val="24"/>
        </w:rPr>
        <w:t>Trends Neurosci.</w:t>
      </w:r>
      <w:r w:rsidRPr="003663F0">
        <w:rPr>
          <w:noProof/>
          <w:sz w:val="24"/>
          <w:szCs w:val="24"/>
        </w:rPr>
        <w:t xml:space="preserve"> </w:t>
      </w:r>
      <w:r w:rsidRPr="003663F0">
        <w:rPr>
          <w:b/>
          <w:bCs/>
          <w:noProof/>
          <w:sz w:val="24"/>
          <w:szCs w:val="24"/>
        </w:rPr>
        <w:t>45</w:t>
      </w:r>
      <w:r w:rsidRPr="003663F0">
        <w:rPr>
          <w:noProof/>
          <w:sz w:val="24"/>
          <w:szCs w:val="24"/>
        </w:rPr>
        <w:t>, 384–400 (2022).</w:t>
      </w:r>
    </w:p>
    <w:p w14:paraId="16003713"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5. E. M. Rhea, M. Leclerc, H. N. Yassine, A. W. Capuano, H. Tong, V. A. Petyuk, S. L. Macauley, X. Fioramonti, O. Carmichael, F. Calon, Z. Arvanitakis, State of the Science on Brain Insulin Resistance and Cognitive Decline Due to  Alzheimer’s Disease. </w:t>
      </w:r>
      <w:r w:rsidRPr="003663F0">
        <w:rPr>
          <w:i/>
          <w:iCs/>
          <w:noProof/>
          <w:sz w:val="24"/>
          <w:szCs w:val="24"/>
        </w:rPr>
        <w:t>Aging Dis.</w:t>
      </w:r>
      <w:r w:rsidRPr="003663F0">
        <w:rPr>
          <w:noProof/>
          <w:sz w:val="24"/>
          <w:szCs w:val="24"/>
        </w:rPr>
        <w:t xml:space="preserve"> </w:t>
      </w:r>
      <w:r w:rsidRPr="003663F0">
        <w:rPr>
          <w:b/>
          <w:bCs/>
          <w:noProof/>
          <w:sz w:val="24"/>
          <w:szCs w:val="24"/>
        </w:rPr>
        <w:t>15</w:t>
      </w:r>
      <w:r w:rsidRPr="003663F0">
        <w:rPr>
          <w:noProof/>
          <w:sz w:val="24"/>
          <w:szCs w:val="24"/>
        </w:rPr>
        <w:t>, 1688–1725 (2024).</w:t>
      </w:r>
    </w:p>
    <w:p w14:paraId="214D80C9"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6. S. Kullmann, A. Kleinridders, D. M. Small, A. Fritsche, H.-U. Häring, H. Preissl, M. Heni, Central nervous pathways of insulin action in the control of metabolism and food  intake. </w:t>
      </w:r>
      <w:r w:rsidRPr="003663F0">
        <w:rPr>
          <w:i/>
          <w:iCs/>
          <w:noProof/>
          <w:sz w:val="24"/>
          <w:szCs w:val="24"/>
        </w:rPr>
        <w:t>lancet. Diabetes Endocrinol.</w:t>
      </w:r>
      <w:r w:rsidRPr="003663F0">
        <w:rPr>
          <w:noProof/>
          <w:sz w:val="24"/>
          <w:szCs w:val="24"/>
        </w:rPr>
        <w:t xml:space="preserve"> </w:t>
      </w:r>
      <w:r w:rsidRPr="003663F0">
        <w:rPr>
          <w:b/>
          <w:bCs/>
          <w:noProof/>
          <w:sz w:val="24"/>
          <w:szCs w:val="24"/>
        </w:rPr>
        <w:t>8</w:t>
      </w:r>
      <w:r w:rsidRPr="003663F0">
        <w:rPr>
          <w:noProof/>
          <w:sz w:val="24"/>
          <w:szCs w:val="24"/>
        </w:rPr>
        <w:t>, 524–534 (2020).</w:t>
      </w:r>
    </w:p>
    <w:p w14:paraId="3552714B"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7. E. Rebelos, M. Bucci, T. Karjalainen, V. Oikonen, A. Bertoldo, J. C. Hannukainen, K. A. Virtanen, A. Latva-Rasku, J. Hirvonen, I. Heinonen, R. Parkkola, M. Laakso, E. Ferrannini, P. Iozzo, L. Nummenmaa, P. Nuutila, Insulin Resistance Is Associated With Enhanced Brain Glucose Uptake During  Euglycemic Hyperinsulinemia: A Large-Scale PET Cohort. </w:t>
      </w:r>
      <w:r w:rsidRPr="003663F0">
        <w:rPr>
          <w:i/>
          <w:iCs/>
          <w:noProof/>
          <w:sz w:val="24"/>
          <w:szCs w:val="24"/>
        </w:rPr>
        <w:t>Diabetes Care</w:t>
      </w:r>
      <w:r w:rsidRPr="003663F0">
        <w:rPr>
          <w:noProof/>
          <w:sz w:val="24"/>
          <w:szCs w:val="24"/>
        </w:rPr>
        <w:t xml:space="preserve"> </w:t>
      </w:r>
      <w:r w:rsidRPr="003663F0">
        <w:rPr>
          <w:b/>
          <w:bCs/>
          <w:noProof/>
          <w:sz w:val="24"/>
          <w:szCs w:val="24"/>
        </w:rPr>
        <w:t>44</w:t>
      </w:r>
      <w:r w:rsidRPr="003663F0">
        <w:rPr>
          <w:noProof/>
          <w:sz w:val="24"/>
          <w:szCs w:val="24"/>
        </w:rPr>
        <w:t>, 788–794 (2021).</w:t>
      </w:r>
    </w:p>
    <w:p w14:paraId="36D10EA8"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8. M. Heni, The insulin resistant brain: impact on whole-body metabolism and body fat distribution. </w:t>
      </w:r>
      <w:r w:rsidRPr="003663F0">
        <w:rPr>
          <w:i/>
          <w:iCs/>
          <w:noProof/>
          <w:sz w:val="24"/>
          <w:szCs w:val="24"/>
        </w:rPr>
        <w:t>Diabetologia</w:t>
      </w:r>
      <w:r w:rsidRPr="003663F0">
        <w:rPr>
          <w:noProof/>
          <w:sz w:val="24"/>
          <w:szCs w:val="24"/>
        </w:rPr>
        <w:t xml:space="preserve"> (2024), doi:10.1007/s00125-024-06104-9.</w:t>
      </w:r>
    </w:p>
    <w:p w14:paraId="0D2C16A8"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9. D. Kapogiannis, A. Boxer, J. B. Schwartz, E. L. Abner, A. Biragyn, U. Masharani, L. Frassetto, R. C. Petersen, B. L. Miller, E. J. Goetzl, Dysfunctionally phosphorylated type 1 insulin receptor substrate in neural-derived blood exosomes of preclinical Alzheimer’s disease. </w:t>
      </w:r>
      <w:r w:rsidRPr="003663F0">
        <w:rPr>
          <w:i/>
          <w:iCs/>
          <w:noProof/>
          <w:sz w:val="24"/>
          <w:szCs w:val="24"/>
        </w:rPr>
        <w:t>FASEB J.</w:t>
      </w:r>
      <w:r w:rsidRPr="003663F0">
        <w:rPr>
          <w:noProof/>
          <w:sz w:val="24"/>
          <w:szCs w:val="24"/>
        </w:rPr>
        <w:t xml:space="preserve"> </w:t>
      </w:r>
      <w:r w:rsidRPr="003663F0">
        <w:rPr>
          <w:b/>
          <w:bCs/>
          <w:noProof/>
          <w:sz w:val="24"/>
          <w:szCs w:val="24"/>
        </w:rPr>
        <w:t>29</w:t>
      </w:r>
      <w:r w:rsidRPr="003663F0">
        <w:rPr>
          <w:noProof/>
          <w:sz w:val="24"/>
          <w:szCs w:val="24"/>
        </w:rPr>
        <w:t>, 589–596 (2015).</w:t>
      </w:r>
    </w:p>
    <w:p w14:paraId="6F6DD36A"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10. S. A. Hari Dass, K. McCracken, I. Pokhvisneva, L. M. Chen, E. Garg, T. T. T. Nguyen, Z. Wang, B. Barth, M. Yaqubi, L. M. McEwen, J. L. MacIsaac, J. Diorio, M. S. Kobor, K. J. O’Donnell, M. J. Meaney, P. P. Silveira, A biologically-informed polygenic score identifies endophenotypes and clinical  conditions associated with the insulin receptor function on specific brain regions. </w:t>
      </w:r>
      <w:r w:rsidRPr="003663F0">
        <w:rPr>
          <w:i/>
          <w:iCs/>
          <w:noProof/>
          <w:sz w:val="24"/>
          <w:szCs w:val="24"/>
        </w:rPr>
        <w:t>EBioMedicine</w:t>
      </w:r>
      <w:r w:rsidRPr="003663F0">
        <w:rPr>
          <w:noProof/>
          <w:sz w:val="24"/>
          <w:szCs w:val="24"/>
        </w:rPr>
        <w:t xml:space="preserve"> </w:t>
      </w:r>
      <w:r w:rsidRPr="003663F0">
        <w:rPr>
          <w:b/>
          <w:bCs/>
          <w:noProof/>
          <w:sz w:val="24"/>
          <w:szCs w:val="24"/>
        </w:rPr>
        <w:t>42</w:t>
      </w:r>
      <w:r w:rsidRPr="003663F0">
        <w:rPr>
          <w:noProof/>
          <w:sz w:val="24"/>
          <w:szCs w:val="24"/>
        </w:rPr>
        <w:t>, 188–202 (2019).</w:t>
      </w:r>
    </w:p>
    <w:p w14:paraId="63548609"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11. R. J. Mullins, M. Mustapic, E. J. Goetzl, D. Kapogiannis, Exosomal biomarkers of brain insulin resistance associated with regional atrophy  in Alzheimer’s disease. </w:t>
      </w:r>
      <w:r w:rsidRPr="003663F0">
        <w:rPr>
          <w:i/>
          <w:iCs/>
          <w:noProof/>
          <w:sz w:val="24"/>
          <w:szCs w:val="24"/>
        </w:rPr>
        <w:t>Hum. Brain Mapp.</w:t>
      </w:r>
      <w:r w:rsidRPr="003663F0">
        <w:rPr>
          <w:noProof/>
          <w:sz w:val="24"/>
          <w:szCs w:val="24"/>
        </w:rPr>
        <w:t xml:space="preserve"> </w:t>
      </w:r>
      <w:r w:rsidRPr="003663F0">
        <w:rPr>
          <w:b/>
          <w:bCs/>
          <w:noProof/>
          <w:sz w:val="24"/>
          <w:szCs w:val="24"/>
        </w:rPr>
        <w:t>38</w:t>
      </w:r>
      <w:r w:rsidRPr="003663F0">
        <w:rPr>
          <w:noProof/>
          <w:sz w:val="24"/>
          <w:szCs w:val="24"/>
        </w:rPr>
        <w:t>, 1933–1940 (2017).</w:t>
      </w:r>
    </w:p>
    <w:p w14:paraId="3CA70347"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12. C. Sarnowski, T. Huan, Y. Ma, R. Joehanes, A. Beiser, C. S. DeCarli, N. L. Heard-Costa, D. Levy, H. Lin, C.-T. Liu, C. Liu, J. B. Meigs, C. L. Satizabal, J. C. Florez, M.-F. Hivert, J. Dupuis, P. L. De Jager, D. A. Bennett, S. Seshadri, A. C. Morrison, Multi-tissue epigenetic analysis identifies distinct associations underlying  insulin resistance and Alzheimer’s disease at CPT1A locus. </w:t>
      </w:r>
      <w:r w:rsidRPr="003663F0">
        <w:rPr>
          <w:i/>
          <w:iCs/>
          <w:noProof/>
          <w:sz w:val="24"/>
          <w:szCs w:val="24"/>
        </w:rPr>
        <w:t>Clin. Epigenetics</w:t>
      </w:r>
      <w:r w:rsidRPr="003663F0">
        <w:rPr>
          <w:noProof/>
          <w:sz w:val="24"/>
          <w:szCs w:val="24"/>
        </w:rPr>
        <w:t xml:space="preserve"> </w:t>
      </w:r>
      <w:r w:rsidRPr="003663F0">
        <w:rPr>
          <w:b/>
          <w:bCs/>
          <w:noProof/>
          <w:sz w:val="24"/>
          <w:szCs w:val="24"/>
        </w:rPr>
        <w:t>15</w:t>
      </w:r>
      <w:r w:rsidRPr="003663F0">
        <w:rPr>
          <w:noProof/>
          <w:sz w:val="24"/>
          <w:szCs w:val="24"/>
        </w:rPr>
        <w:t>, 173 (2023).</w:t>
      </w:r>
    </w:p>
    <w:p w14:paraId="6E3585DE"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13. Z. Zhou, Y. Zhu, Y. Liu, Y. Yin, Comprehensive transcriptomic analysis indicates brain regional specific  alterations in type 2 diabetes. </w:t>
      </w:r>
      <w:r w:rsidRPr="003663F0">
        <w:rPr>
          <w:i/>
          <w:iCs/>
          <w:noProof/>
          <w:sz w:val="24"/>
          <w:szCs w:val="24"/>
        </w:rPr>
        <w:t>Aging (Albany. NY).</w:t>
      </w:r>
      <w:r w:rsidRPr="003663F0">
        <w:rPr>
          <w:noProof/>
          <w:sz w:val="24"/>
          <w:szCs w:val="24"/>
        </w:rPr>
        <w:t xml:space="preserve"> </w:t>
      </w:r>
      <w:r w:rsidRPr="003663F0">
        <w:rPr>
          <w:b/>
          <w:bCs/>
          <w:noProof/>
          <w:sz w:val="24"/>
          <w:szCs w:val="24"/>
        </w:rPr>
        <w:t>11</w:t>
      </w:r>
      <w:r w:rsidRPr="003663F0">
        <w:rPr>
          <w:noProof/>
          <w:sz w:val="24"/>
          <w:szCs w:val="24"/>
        </w:rPr>
        <w:t>, 6398–6421 (2019).</w:t>
      </w:r>
    </w:p>
    <w:p w14:paraId="165D9601"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14. S. Kullmann, V. Valenta, R. Wagner, O. Tschritter, J. Machann, H. U. Häring, H. Preissl, A. Fritsche, M. Heni, Brain insulin sensitivity is linked to adiposity and body fat distribution. </w:t>
      </w:r>
      <w:r w:rsidRPr="003663F0">
        <w:rPr>
          <w:i/>
          <w:iCs/>
          <w:noProof/>
          <w:sz w:val="24"/>
          <w:szCs w:val="24"/>
        </w:rPr>
        <w:t>Nat. Commun.</w:t>
      </w:r>
      <w:r w:rsidRPr="003663F0">
        <w:rPr>
          <w:noProof/>
          <w:sz w:val="24"/>
          <w:szCs w:val="24"/>
        </w:rPr>
        <w:t xml:space="preserve"> </w:t>
      </w:r>
      <w:r w:rsidRPr="003663F0">
        <w:rPr>
          <w:b/>
          <w:bCs/>
          <w:noProof/>
          <w:sz w:val="24"/>
          <w:szCs w:val="24"/>
        </w:rPr>
        <w:t>11</w:t>
      </w:r>
      <w:r w:rsidRPr="003663F0">
        <w:rPr>
          <w:noProof/>
          <w:sz w:val="24"/>
          <w:szCs w:val="24"/>
        </w:rPr>
        <w:t xml:space="preserve"> (2020), doi:10.1038/s41467-020-15686-y.</w:t>
      </w:r>
    </w:p>
    <w:p w14:paraId="1F505DB0"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15. S. Kullmann, J. Hummel, R. Wagner, C. Dannecker, A. Vosseler, L. Fritsche, R. Veit, K. </w:t>
      </w:r>
      <w:r w:rsidRPr="003663F0">
        <w:rPr>
          <w:noProof/>
          <w:sz w:val="24"/>
          <w:szCs w:val="24"/>
        </w:rPr>
        <w:lastRenderedPageBreak/>
        <w:t xml:space="preserve">Kantartzis, J. Machann, A. L. Birkenfeld, N. Stefan, H.-U. Häring, A. Peter, H. Preissl, A. Fritsche, M. Heni, Empagliflozin Improves Insulin Sensitivity of the Hypothalamus in Humans With  Prediabetes: A Randomized, Double-Blind, Placebo-Controlled, Phase 2 Trial. </w:t>
      </w:r>
      <w:r w:rsidRPr="003663F0">
        <w:rPr>
          <w:i/>
          <w:iCs/>
          <w:noProof/>
          <w:sz w:val="24"/>
          <w:szCs w:val="24"/>
        </w:rPr>
        <w:t>Diabetes Care</w:t>
      </w:r>
      <w:r w:rsidRPr="003663F0">
        <w:rPr>
          <w:noProof/>
          <w:sz w:val="24"/>
          <w:szCs w:val="24"/>
        </w:rPr>
        <w:t xml:space="preserve"> </w:t>
      </w:r>
      <w:r w:rsidRPr="003663F0">
        <w:rPr>
          <w:b/>
          <w:bCs/>
          <w:noProof/>
          <w:sz w:val="24"/>
          <w:szCs w:val="24"/>
        </w:rPr>
        <w:t>45</w:t>
      </w:r>
      <w:r w:rsidRPr="003663F0">
        <w:rPr>
          <w:noProof/>
          <w:sz w:val="24"/>
          <w:szCs w:val="24"/>
        </w:rPr>
        <w:t>, 398–406 (2022).</w:t>
      </w:r>
    </w:p>
    <w:p w14:paraId="6926DAB0"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16. C. Ling, T. Rönn, Epigenetics in Human Obesity and Type 2 Diabetes. </w:t>
      </w:r>
      <w:r w:rsidRPr="003663F0">
        <w:rPr>
          <w:i/>
          <w:iCs/>
          <w:noProof/>
          <w:sz w:val="24"/>
          <w:szCs w:val="24"/>
        </w:rPr>
        <w:t>Cell Metab.</w:t>
      </w:r>
      <w:r w:rsidRPr="003663F0">
        <w:rPr>
          <w:noProof/>
          <w:sz w:val="24"/>
          <w:szCs w:val="24"/>
        </w:rPr>
        <w:t xml:space="preserve"> </w:t>
      </w:r>
      <w:r w:rsidRPr="003663F0">
        <w:rPr>
          <w:b/>
          <w:bCs/>
          <w:noProof/>
          <w:sz w:val="24"/>
          <w:szCs w:val="24"/>
        </w:rPr>
        <w:t>29</w:t>
      </w:r>
      <w:r w:rsidRPr="003663F0">
        <w:rPr>
          <w:noProof/>
          <w:sz w:val="24"/>
          <w:szCs w:val="24"/>
        </w:rPr>
        <w:t>, 1028–1044 (2019).</w:t>
      </w:r>
    </w:p>
    <w:p w14:paraId="12A08328"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17. H. Dong, Y. Sun, L. Nie, A. Cui, P. Zhao, W. K. Leung, Q. Wang, Metabolic memory: mechanisms and diseases. </w:t>
      </w:r>
      <w:r w:rsidRPr="003663F0">
        <w:rPr>
          <w:i/>
          <w:iCs/>
          <w:noProof/>
          <w:sz w:val="24"/>
          <w:szCs w:val="24"/>
        </w:rPr>
        <w:t>Signal Transduct. Target. Ther.</w:t>
      </w:r>
      <w:r w:rsidRPr="003663F0">
        <w:rPr>
          <w:noProof/>
          <w:sz w:val="24"/>
          <w:szCs w:val="24"/>
        </w:rPr>
        <w:t xml:space="preserve"> </w:t>
      </w:r>
      <w:r w:rsidRPr="003663F0">
        <w:rPr>
          <w:b/>
          <w:bCs/>
          <w:noProof/>
          <w:sz w:val="24"/>
          <w:szCs w:val="24"/>
        </w:rPr>
        <w:t>9</w:t>
      </w:r>
      <w:r w:rsidRPr="003663F0">
        <w:rPr>
          <w:noProof/>
          <w:sz w:val="24"/>
          <w:szCs w:val="24"/>
        </w:rPr>
        <w:t>, 38 (2024).</w:t>
      </w:r>
    </w:p>
    <w:p w14:paraId="32D45A9E"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18. K. Smith, J. Fan, G. A. Marriner, J. Gerdes, R. Kessler, K. R. Zinn, Distribution of insulin in primate brain following nose-to-brain transport. </w:t>
      </w:r>
      <w:r w:rsidRPr="003663F0">
        <w:rPr>
          <w:i/>
          <w:iCs/>
          <w:noProof/>
          <w:sz w:val="24"/>
          <w:szCs w:val="24"/>
        </w:rPr>
        <w:t>Alzheimer’s Dement. (New York, N. Y.)</w:t>
      </w:r>
      <w:r w:rsidRPr="003663F0">
        <w:rPr>
          <w:noProof/>
          <w:sz w:val="24"/>
          <w:szCs w:val="24"/>
        </w:rPr>
        <w:t xml:space="preserve"> </w:t>
      </w:r>
      <w:r w:rsidRPr="003663F0">
        <w:rPr>
          <w:b/>
          <w:bCs/>
          <w:noProof/>
          <w:sz w:val="24"/>
          <w:szCs w:val="24"/>
        </w:rPr>
        <w:t>10</w:t>
      </w:r>
      <w:r w:rsidRPr="003663F0">
        <w:rPr>
          <w:noProof/>
          <w:sz w:val="24"/>
          <w:szCs w:val="24"/>
        </w:rPr>
        <w:t>, e12459 (2024).</w:t>
      </w:r>
    </w:p>
    <w:p w14:paraId="17A52502"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19. S. Kullmann, R. Veit, A. Peter, R. Pohmann, K. Scheffler, H.-U. Häring, A. Fritsche, H. Preissl, M. Heni, Dose-Dependent Effects of Intranasal Insulin on Resting-State Brain Activity. </w:t>
      </w:r>
      <w:r w:rsidRPr="003663F0">
        <w:rPr>
          <w:i/>
          <w:iCs/>
          <w:noProof/>
          <w:sz w:val="24"/>
          <w:szCs w:val="24"/>
        </w:rPr>
        <w:t>J. Clin. Endocrinol. Metab.</w:t>
      </w:r>
      <w:r w:rsidRPr="003663F0">
        <w:rPr>
          <w:noProof/>
          <w:sz w:val="24"/>
          <w:szCs w:val="24"/>
        </w:rPr>
        <w:t xml:space="preserve"> </w:t>
      </w:r>
      <w:r w:rsidRPr="003663F0">
        <w:rPr>
          <w:b/>
          <w:bCs/>
          <w:noProof/>
          <w:sz w:val="24"/>
          <w:szCs w:val="24"/>
        </w:rPr>
        <w:t>103</w:t>
      </w:r>
      <w:r w:rsidRPr="003663F0">
        <w:rPr>
          <w:noProof/>
          <w:sz w:val="24"/>
          <w:szCs w:val="24"/>
        </w:rPr>
        <w:t>, 253–262 (2018).</w:t>
      </w:r>
    </w:p>
    <w:p w14:paraId="35898DC0"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20. H. Martin, S. Bullich, M. Martinat, M. Chataigner, M. Di Miceli, V. Simon, S. Clark, J. Butler, M. Schell, S. Chopra, F. Chaouloff, A. Kleinridders, D. Cota, P. De Deurwaerdere, L. Pénicaud, S. Layé, B. P. Guiard, X. Fioramonti, Insulin modulates emotional behavior through a serotonin-dependent mechanism. </w:t>
      </w:r>
      <w:r w:rsidRPr="003663F0">
        <w:rPr>
          <w:i/>
          <w:iCs/>
          <w:noProof/>
          <w:sz w:val="24"/>
          <w:szCs w:val="24"/>
        </w:rPr>
        <w:t>Mol. Psychiatry</w:t>
      </w:r>
      <w:r w:rsidRPr="003663F0">
        <w:rPr>
          <w:noProof/>
          <w:sz w:val="24"/>
          <w:szCs w:val="24"/>
        </w:rPr>
        <w:t xml:space="preserve"> </w:t>
      </w:r>
      <w:r w:rsidRPr="003663F0">
        <w:rPr>
          <w:b/>
          <w:bCs/>
          <w:noProof/>
          <w:sz w:val="24"/>
          <w:szCs w:val="24"/>
        </w:rPr>
        <w:t>29</w:t>
      </w:r>
      <w:r w:rsidRPr="003663F0">
        <w:rPr>
          <w:noProof/>
          <w:sz w:val="24"/>
          <w:szCs w:val="24"/>
        </w:rPr>
        <w:t>, 1610–1619 (2024).</w:t>
      </w:r>
    </w:p>
    <w:p w14:paraId="790FD849"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21. L. Wagner, R. Veit, L. Fritsche, H.-U. Häring, A. Fritsche, A. L. Birkenfeld, M. Heni, H. Preissl, S. Kullmann, Sex differences in central insulin action: Effect of intranasal insulin on neural  food cue reactivity in adults with normal weight and overweight. </w:t>
      </w:r>
      <w:r w:rsidRPr="003663F0">
        <w:rPr>
          <w:i/>
          <w:iCs/>
          <w:noProof/>
          <w:sz w:val="24"/>
          <w:szCs w:val="24"/>
        </w:rPr>
        <w:t>Int. J. Obes. (Lond).</w:t>
      </w:r>
      <w:r w:rsidRPr="003663F0">
        <w:rPr>
          <w:noProof/>
          <w:sz w:val="24"/>
          <w:szCs w:val="24"/>
        </w:rPr>
        <w:t xml:space="preserve"> </w:t>
      </w:r>
      <w:r w:rsidRPr="003663F0">
        <w:rPr>
          <w:b/>
          <w:bCs/>
          <w:noProof/>
          <w:sz w:val="24"/>
          <w:szCs w:val="24"/>
        </w:rPr>
        <w:t>46</w:t>
      </w:r>
      <w:r w:rsidRPr="003663F0">
        <w:rPr>
          <w:noProof/>
          <w:sz w:val="24"/>
          <w:szCs w:val="24"/>
        </w:rPr>
        <w:t>, 1662–1670 (2022).</w:t>
      </w:r>
    </w:p>
    <w:p w14:paraId="6FE96B0B"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22. S. Parvandeh, H.-W. Yeh, M. P. Paulus, B. A. McKinney, Consensus features nested cross-validation. </w:t>
      </w:r>
      <w:r w:rsidRPr="003663F0">
        <w:rPr>
          <w:i/>
          <w:iCs/>
          <w:noProof/>
          <w:sz w:val="24"/>
          <w:szCs w:val="24"/>
        </w:rPr>
        <w:t>Bioinformatics</w:t>
      </w:r>
      <w:r w:rsidRPr="003663F0">
        <w:rPr>
          <w:noProof/>
          <w:sz w:val="24"/>
          <w:szCs w:val="24"/>
        </w:rPr>
        <w:t xml:space="preserve"> </w:t>
      </w:r>
      <w:r w:rsidRPr="003663F0">
        <w:rPr>
          <w:b/>
          <w:bCs/>
          <w:noProof/>
          <w:sz w:val="24"/>
          <w:szCs w:val="24"/>
        </w:rPr>
        <w:t>36</w:t>
      </w:r>
      <w:r w:rsidRPr="003663F0">
        <w:rPr>
          <w:noProof/>
          <w:sz w:val="24"/>
          <w:szCs w:val="24"/>
        </w:rPr>
        <w:t>, 3093–3098 (2020).</w:t>
      </w:r>
    </w:p>
    <w:p w14:paraId="68BC6F04"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23. D. Chicco, G. Jurman, The advantages of the Matthews correlation coefficient (MCC) over F1 score and  accuracy in binary classification evaluation. </w:t>
      </w:r>
      <w:r w:rsidRPr="003663F0">
        <w:rPr>
          <w:i/>
          <w:iCs/>
          <w:noProof/>
          <w:sz w:val="24"/>
          <w:szCs w:val="24"/>
        </w:rPr>
        <w:t>BMC Genomics</w:t>
      </w:r>
      <w:r w:rsidRPr="003663F0">
        <w:rPr>
          <w:noProof/>
          <w:sz w:val="24"/>
          <w:szCs w:val="24"/>
        </w:rPr>
        <w:t xml:space="preserve"> </w:t>
      </w:r>
      <w:r w:rsidRPr="003663F0">
        <w:rPr>
          <w:b/>
          <w:bCs/>
          <w:noProof/>
          <w:sz w:val="24"/>
          <w:szCs w:val="24"/>
        </w:rPr>
        <w:t>21</w:t>
      </w:r>
      <w:r w:rsidRPr="003663F0">
        <w:rPr>
          <w:noProof/>
          <w:sz w:val="24"/>
          <w:szCs w:val="24"/>
        </w:rPr>
        <w:t>, 6 (2020).</w:t>
      </w:r>
    </w:p>
    <w:p w14:paraId="1FFBED8F"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24. M. A. Varela, T. C. Roberts, M. J. A. Wood, Epigenetics and ncRNAs in Brain Function and Disease: Mechanisms and Prospects for Therapy. </w:t>
      </w:r>
      <w:r w:rsidRPr="003663F0">
        <w:rPr>
          <w:i/>
          <w:iCs/>
          <w:noProof/>
          <w:sz w:val="24"/>
          <w:szCs w:val="24"/>
        </w:rPr>
        <w:t>Neurotherapeutics</w:t>
      </w:r>
      <w:r w:rsidRPr="003663F0">
        <w:rPr>
          <w:noProof/>
          <w:sz w:val="24"/>
          <w:szCs w:val="24"/>
        </w:rPr>
        <w:t xml:space="preserve"> </w:t>
      </w:r>
      <w:r w:rsidRPr="003663F0">
        <w:rPr>
          <w:b/>
          <w:bCs/>
          <w:noProof/>
          <w:sz w:val="24"/>
          <w:szCs w:val="24"/>
        </w:rPr>
        <w:t>10</w:t>
      </w:r>
      <w:r w:rsidRPr="003663F0">
        <w:rPr>
          <w:noProof/>
          <w:sz w:val="24"/>
          <w:szCs w:val="24"/>
        </w:rPr>
        <w:t>, 621–631 (2013).</w:t>
      </w:r>
    </w:p>
    <w:p w14:paraId="1ED53927"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25. H. Boeing, A. Korfmann, M. M. Bergmann, Recruitment procedures of EPIC-Germany. European Investigation into Cancer and  Nutrition. </w:t>
      </w:r>
      <w:r w:rsidRPr="003663F0">
        <w:rPr>
          <w:i/>
          <w:iCs/>
          <w:noProof/>
          <w:sz w:val="24"/>
          <w:szCs w:val="24"/>
        </w:rPr>
        <w:t>Ann. Nutr. Metab.</w:t>
      </w:r>
      <w:r w:rsidRPr="003663F0">
        <w:rPr>
          <w:noProof/>
          <w:sz w:val="24"/>
          <w:szCs w:val="24"/>
        </w:rPr>
        <w:t xml:space="preserve"> </w:t>
      </w:r>
      <w:r w:rsidRPr="003663F0">
        <w:rPr>
          <w:b/>
          <w:bCs/>
          <w:noProof/>
          <w:sz w:val="24"/>
          <w:szCs w:val="24"/>
        </w:rPr>
        <w:t>43</w:t>
      </w:r>
      <w:r w:rsidRPr="003663F0">
        <w:rPr>
          <w:noProof/>
          <w:sz w:val="24"/>
          <w:szCs w:val="24"/>
        </w:rPr>
        <w:t>, 205–215 (1999).</w:t>
      </w:r>
    </w:p>
    <w:p w14:paraId="74FE5B77"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26. W. Zhang, J. I. Young, L. Gomez, M. A. Schmidt, D. Lukacsovich, A. Varma, X. S. Chen, B. Kunkle, E. R. Martin, L. Wang, Critical evaluation of the reliability of DNA methylation probes on the Illumina  MethylationEPIC v1.0 BeadChip microarrays. </w:t>
      </w:r>
      <w:r w:rsidRPr="003663F0">
        <w:rPr>
          <w:i/>
          <w:iCs/>
          <w:noProof/>
          <w:sz w:val="24"/>
          <w:szCs w:val="24"/>
        </w:rPr>
        <w:t>Epigenetics</w:t>
      </w:r>
      <w:r w:rsidRPr="003663F0">
        <w:rPr>
          <w:noProof/>
          <w:sz w:val="24"/>
          <w:szCs w:val="24"/>
        </w:rPr>
        <w:t xml:space="preserve"> </w:t>
      </w:r>
      <w:r w:rsidRPr="003663F0">
        <w:rPr>
          <w:b/>
          <w:bCs/>
          <w:noProof/>
          <w:sz w:val="24"/>
          <w:szCs w:val="24"/>
        </w:rPr>
        <w:t>19</w:t>
      </w:r>
      <w:r w:rsidRPr="003663F0">
        <w:rPr>
          <w:noProof/>
          <w:sz w:val="24"/>
          <w:szCs w:val="24"/>
        </w:rPr>
        <w:t>, 2333660 (2024).</w:t>
      </w:r>
    </w:p>
    <w:p w14:paraId="5D07DD50"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27. M. Hallschmid, Intranasal insulin. </w:t>
      </w:r>
      <w:r w:rsidRPr="003663F0">
        <w:rPr>
          <w:i/>
          <w:iCs/>
          <w:noProof/>
          <w:sz w:val="24"/>
          <w:szCs w:val="24"/>
        </w:rPr>
        <w:t>J. Neuroendocrinol.</w:t>
      </w:r>
      <w:r w:rsidRPr="003663F0">
        <w:rPr>
          <w:noProof/>
          <w:sz w:val="24"/>
          <w:szCs w:val="24"/>
        </w:rPr>
        <w:t xml:space="preserve"> </w:t>
      </w:r>
      <w:r w:rsidRPr="003663F0">
        <w:rPr>
          <w:b/>
          <w:bCs/>
          <w:noProof/>
          <w:sz w:val="24"/>
          <w:szCs w:val="24"/>
        </w:rPr>
        <w:t>33</w:t>
      </w:r>
      <w:r w:rsidRPr="003663F0">
        <w:rPr>
          <w:noProof/>
          <w:sz w:val="24"/>
          <w:szCs w:val="24"/>
        </w:rPr>
        <w:t>, e12934 (2021).</w:t>
      </w:r>
    </w:p>
    <w:p w14:paraId="11C23449"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28. J. Ruud, S. M. Steculorum, J. C. Brüning, Neuronal control of peripheral insulin sensitivity and glucose metabolism. </w:t>
      </w:r>
      <w:r w:rsidRPr="003663F0">
        <w:rPr>
          <w:i/>
          <w:iCs/>
          <w:noProof/>
          <w:sz w:val="24"/>
          <w:szCs w:val="24"/>
        </w:rPr>
        <w:t>Nat. Commun.</w:t>
      </w:r>
      <w:r w:rsidRPr="003663F0">
        <w:rPr>
          <w:noProof/>
          <w:sz w:val="24"/>
          <w:szCs w:val="24"/>
        </w:rPr>
        <w:t xml:space="preserve"> </w:t>
      </w:r>
      <w:r w:rsidRPr="003663F0">
        <w:rPr>
          <w:b/>
          <w:bCs/>
          <w:noProof/>
          <w:sz w:val="24"/>
          <w:szCs w:val="24"/>
        </w:rPr>
        <w:t>8</w:t>
      </w:r>
      <w:r w:rsidRPr="003663F0">
        <w:rPr>
          <w:noProof/>
          <w:sz w:val="24"/>
          <w:szCs w:val="24"/>
        </w:rPr>
        <w:t>, 15259 (2017).</w:t>
      </w:r>
    </w:p>
    <w:p w14:paraId="625C8F69"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29. J. Hummel, C. Benkendorff, L. Fritsche, K. Prystupa, A. Vosseler, S. Gancheva, S. Trenkamp, A. L. Birkenfeld, H. Preissl, M. Roden, H.-U. Häring, A. Fritsche, A. Peter, R. Wagner, S. Kullmann, M. Heni, Brain insulin action on peripheral insulin sensitivity in women depends on  menstrual cycle phase. </w:t>
      </w:r>
      <w:r w:rsidRPr="003663F0">
        <w:rPr>
          <w:i/>
          <w:iCs/>
          <w:noProof/>
          <w:sz w:val="24"/>
          <w:szCs w:val="24"/>
        </w:rPr>
        <w:t>Nat. Metab.</w:t>
      </w:r>
      <w:r w:rsidRPr="003663F0">
        <w:rPr>
          <w:noProof/>
          <w:sz w:val="24"/>
          <w:szCs w:val="24"/>
        </w:rPr>
        <w:t xml:space="preserve"> </w:t>
      </w:r>
      <w:r w:rsidRPr="003663F0">
        <w:rPr>
          <w:b/>
          <w:bCs/>
          <w:noProof/>
          <w:sz w:val="24"/>
          <w:szCs w:val="24"/>
        </w:rPr>
        <w:t>5</w:t>
      </w:r>
      <w:r w:rsidRPr="003663F0">
        <w:rPr>
          <w:noProof/>
          <w:sz w:val="24"/>
          <w:szCs w:val="24"/>
        </w:rPr>
        <w:t>, 1475–1482 (2023).</w:t>
      </w:r>
    </w:p>
    <w:p w14:paraId="13F6A682"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30. M. Heni, R. Wagner, S. Kullmann, R. Veit, H. Mat Husin, K. Linder, C. Benkendorff, A. Peter, N. Stefan, H.-U. Häring, H. Preissl, A. Fritsche, Central insulin administration improves whole-body insulin sensitivity via  hypothalamus and parasympathetic outputs in men. </w:t>
      </w:r>
      <w:r w:rsidRPr="003663F0">
        <w:rPr>
          <w:i/>
          <w:iCs/>
          <w:noProof/>
          <w:sz w:val="24"/>
          <w:szCs w:val="24"/>
        </w:rPr>
        <w:t>Diabetes</w:t>
      </w:r>
      <w:r w:rsidRPr="003663F0">
        <w:rPr>
          <w:noProof/>
          <w:sz w:val="24"/>
          <w:szCs w:val="24"/>
        </w:rPr>
        <w:t xml:space="preserve"> </w:t>
      </w:r>
      <w:r w:rsidRPr="003663F0">
        <w:rPr>
          <w:b/>
          <w:bCs/>
          <w:noProof/>
          <w:sz w:val="24"/>
          <w:szCs w:val="24"/>
        </w:rPr>
        <w:t>63</w:t>
      </w:r>
      <w:r w:rsidRPr="003663F0">
        <w:rPr>
          <w:noProof/>
          <w:sz w:val="24"/>
          <w:szCs w:val="24"/>
        </w:rPr>
        <w:t>, 4083–4088 (2014).</w:t>
      </w:r>
    </w:p>
    <w:p w14:paraId="785E8A43"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31. M. Heni, R. Wagner, S. Kullmann, S. Gancheva, M. Roden, A. Peter, N. Stefan, H. Preissl, H.-U. Häring, A. Fritsche, Hypothalamic and Striatal Insulin Action Suppresses Endogenous Glucose Production  and May Stimulate Glucose Uptake During Hyperinsulinemia in Lean but Not in Overweight Men. </w:t>
      </w:r>
      <w:r w:rsidRPr="003663F0">
        <w:rPr>
          <w:i/>
          <w:iCs/>
          <w:noProof/>
          <w:sz w:val="24"/>
          <w:szCs w:val="24"/>
        </w:rPr>
        <w:t>Diabetes</w:t>
      </w:r>
      <w:r w:rsidRPr="003663F0">
        <w:rPr>
          <w:noProof/>
          <w:sz w:val="24"/>
          <w:szCs w:val="24"/>
        </w:rPr>
        <w:t xml:space="preserve"> </w:t>
      </w:r>
      <w:r w:rsidRPr="003663F0">
        <w:rPr>
          <w:b/>
          <w:bCs/>
          <w:noProof/>
          <w:sz w:val="24"/>
          <w:szCs w:val="24"/>
        </w:rPr>
        <w:t>66</w:t>
      </w:r>
      <w:r w:rsidRPr="003663F0">
        <w:rPr>
          <w:noProof/>
          <w:sz w:val="24"/>
          <w:szCs w:val="24"/>
        </w:rPr>
        <w:t>, 1797–1806 (2017).</w:t>
      </w:r>
    </w:p>
    <w:p w14:paraId="5DEB1FA7"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32. M. Heni, R. Wagner, C. Willmann, B. A. Jaghutriz, A. Vosseler, C. Kübler, V. Hund, K. Scheffler, A. Peter, H.-U. Häring, H. Preissl, S. Kullmann, A. Fritsche, Insulin Action in the </w:t>
      </w:r>
      <w:r w:rsidRPr="003663F0">
        <w:rPr>
          <w:noProof/>
          <w:sz w:val="24"/>
          <w:szCs w:val="24"/>
        </w:rPr>
        <w:lastRenderedPageBreak/>
        <w:t xml:space="preserve">Hypothalamus Increases Second-Phase Insulin Secretion in  Humans. </w:t>
      </w:r>
      <w:r w:rsidRPr="003663F0">
        <w:rPr>
          <w:i/>
          <w:iCs/>
          <w:noProof/>
          <w:sz w:val="24"/>
          <w:szCs w:val="24"/>
        </w:rPr>
        <w:t>Neuroendocrinology</w:t>
      </w:r>
      <w:r w:rsidRPr="003663F0">
        <w:rPr>
          <w:noProof/>
          <w:sz w:val="24"/>
          <w:szCs w:val="24"/>
        </w:rPr>
        <w:t xml:space="preserve"> </w:t>
      </w:r>
      <w:r w:rsidRPr="003663F0">
        <w:rPr>
          <w:b/>
          <w:bCs/>
          <w:noProof/>
          <w:sz w:val="24"/>
          <w:szCs w:val="24"/>
        </w:rPr>
        <w:t>110</w:t>
      </w:r>
      <w:r w:rsidRPr="003663F0">
        <w:rPr>
          <w:noProof/>
          <w:sz w:val="24"/>
          <w:szCs w:val="24"/>
        </w:rPr>
        <w:t>, 929–937 (2020).</w:t>
      </w:r>
    </w:p>
    <w:p w14:paraId="202A387D"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33. S. Kullmann, M. Heni, R. Veit, K. Scheffler, J. Machann, H.-U. Häring, A. Fritsche, H. Preissl, Selective insulin resistance in homeostatic and cognitive control brain areas in  overweight and obese adults. </w:t>
      </w:r>
      <w:r w:rsidRPr="003663F0">
        <w:rPr>
          <w:i/>
          <w:iCs/>
          <w:noProof/>
          <w:sz w:val="24"/>
          <w:szCs w:val="24"/>
        </w:rPr>
        <w:t>Diabetes Care</w:t>
      </w:r>
      <w:r w:rsidRPr="003663F0">
        <w:rPr>
          <w:noProof/>
          <w:sz w:val="24"/>
          <w:szCs w:val="24"/>
        </w:rPr>
        <w:t xml:space="preserve"> </w:t>
      </w:r>
      <w:r w:rsidRPr="003663F0">
        <w:rPr>
          <w:b/>
          <w:bCs/>
          <w:noProof/>
          <w:sz w:val="24"/>
          <w:szCs w:val="24"/>
        </w:rPr>
        <w:t>38</w:t>
      </w:r>
      <w:r w:rsidRPr="003663F0">
        <w:rPr>
          <w:noProof/>
          <w:sz w:val="24"/>
          <w:szCs w:val="24"/>
        </w:rPr>
        <w:t xml:space="preserve">, </w:t>
      </w:r>
      <w:r w:rsidRPr="00D3480C">
        <w:rPr>
          <w:noProof/>
          <w:sz w:val="24"/>
          <w:szCs w:val="24"/>
        </w:rPr>
        <w:t>1044</w:t>
      </w:r>
      <w:r w:rsidRPr="003663F0">
        <w:rPr>
          <w:noProof/>
          <w:sz w:val="24"/>
          <w:szCs w:val="24"/>
        </w:rPr>
        <w:t>–1050 (2015).</w:t>
      </w:r>
    </w:p>
    <w:p w14:paraId="0EC5DFB1"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34. L. Wagner, R. Veit, C. Kübler, A. Fritsche, H.-U. Häring, A. L. Birkenfeld, M. Heni, H. Preissl, S. Kullmann, Brain insulin responsiveness is linked to age and peripheral insulin sensitivity. </w:t>
      </w:r>
      <w:r w:rsidRPr="003663F0">
        <w:rPr>
          <w:i/>
          <w:iCs/>
          <w:noProof/>
          <w:sz w:val="24"/>
          <w:szCs w:val="24"/>
        </w:rPr>
        <w:t>Diabetes. Obes. Metab.</w:t>
      </w:r>
      <w:r w:rsidRPr="003663F0">
        <w:rPr>
          <w:noProof/>
          <w:sz w:val="24"/>
          <w:szCs w:val="24"/>
        </w:rPr>
        <w:t xml:space="preserve"> </w:t>
      </w:r>
      <w:r w:rsidRPr="003663F0">
        <w:rPr>
          <w:b/>
          <w:bCs/>
          <w:noProof/>
          <w:sz w:val="24"/>
          <w:szCs w:val="24"/>
        </w:rPr>
        <w:t>25</w:t>
      </w:r>
      <w:r w:rsidRPr="003663F0">
        <w:rPr>
          <w:noProof/>
          <w:sz w:val="24"/>
          <w:szCs w:val="24"/>
        </w:rPr>
        <w:t>, 2171–2180 (2023).</w:t>
      </w:r>
    </w:p>
    <w:p w14:paraId="58233954"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35. S. Gancheva, M. Ouni, T. Jelenik, C. Koliaki, J. Szendroedi, F. G. S. Toledo, D. F. Markgraf, D. H. Pesta, L. Mastrototaro, E. De Filippo, C. Herder, M. Jähnert, J. Weiss, K. Strassburger, M. Schlensak, A. Schürmann, M. Roden, Dynamic changes of muscle insulin sensitivity after metabolic surgery. </w:t>
      </w:r>
      <w:r w:rsidRPr="003663F0">
        <w:rPr>
          <w:i/>
          <w:iCs/>
          <w:noProof/>
          <w:sz w:val="24"/>
          <w:szCs w:val="24"/>
        </w:rPr>
        <w:t>Nat. Commun.</w:t>
      </w:r>
      <w:r w:rsidRPr="003663F0">
        <w:rPr>
          <w:noProof/>
          <w:sz w:val="24"/>
          <w:szCs w:val="24"/>
        </w:rPr>
        <w:t xml:space="preserve"> </w:t>
      </w:r>
      <w:r w:rsidRPr="003663F0">
        <w:rPr>
          <w:b/>
          <w:bCs/>
          <w:noProof/>
          <w:sz w:val="24"/>
          <w:szCs w:val="24"/>
        </w:rPr>
        <w:t>10</w:t>
      </w:r>
      <w:r w:rsidRPr="003663F0">
        <w:rPr>
          <w:noProof/>
          <w:sz w:val="24"/>
          <w:szCs w:val="24"/>
        </w:rPr>
        <w:t>, 4179 (2019).</w:t>
      </w:r>
    </w:p>
    <w:p w14:paraId="5A5B35EA" w14:textId="77777777" w:rsidR="003663F0" w:rsidRPr="00356ABE" w:rsidRDefault="003663F0" w:rsidP="003663F0">
      <w:pPr>
        <w:widowControl w:val="0"/>
        <w:autoSpaceDE w:val="0"/>
        <w:autoSpaceDN w:val="0"/>
        <w:adjustRightInd w:val="0"/>
        <w:rPr>
          <w:noProof/>
          <w:sz w:val="24"/>
          <w:szCs w:val="24"/>
          <w:lang w:val="de-DE"/>
        </w:rPr>
      </w:pPr>
      <w:r w:rsidRPr="003663F0">
        <w:rPr>
          <w:noProof/>
          <w:sz w:val="24"/>
          <w:szCs w:val="24"/>
        </w:rPr>
        <w:t xml:space="preserve">36. M. Ouni, F. Eichelmann, M. Jähnert, C. Krause, S. Saussenthaler, C. Ott, P. Gottmann, T. Speckmann, P. Huypens, S. Wolter, O. Mann, M. H. De Angelis, J. Beckers, H. Kirchner, M. B. Schulze, A. Schürmann, Differences in DNA methylation of HAMP in blood cells predicts the development of  type 2 diabetes. </w:t>
      </w:r>
      <w:r w:rsidRPr="00356ABE">
        <w:rPr>
          <w:i/>
          <w:iCs/>
          <w:noProof/>
          <w:sz w:val="24"/>
          <w:szCs w:val="24"/>
          <w:lang w:val="de-DE"/>
        </w:rPr>
        <w:t>Mol. Metab.</w:t>
      </w:r>
      <w:r w:rsidRPr="00356ABE">
        <w:rPr>
          <w:noProof/>
          <w:sz w:val="24"/>
          <w:szCs w:val="24"/>
          <w:lang w:val="de-DE"/>
        </w:rPr>
        <w:t xml:space="preserve"> </w:t>
      </w:r>
      <w:r w:rsidRPr="00356ABE">
        <w:rPr>
          <w:b/>
          <w:bCs/>
          <w:noProof/>
          <w:sz w:val="24"/>
          <w:szCs w:val="24"/>
          <w:lang w:val="de-DE"/>
        </w:rPr>
        <w:t>75</w:t>
      </w:r>
      <w:r w:rsidRPr="00356ABE">
        <w:rPr>
          <w:noProof/>
          <w:sz w:val="24"/>
          <w:szCs w:val="24"/>
          <w:lang w:val="de-DE"/>
        </w:rPr>
        <w:t>, 101774 (2023).</w:t>
      </w:r>
    </w:p>
    <w:p w14:paraId="78302925" w14:textId="77777777" w:rsidR="003663F0" w:rsidRPr="003663F0" w:rsidRDefault="003663F0" w:rsidP="003663F0">
      <w:pPr>
        <w:widowControl w:val="0"/>
        <w:autoSpaceDE w:val="0"/>
        <w:autoSpaceDN w:val="0"/>
        <w:adjustRightInd w:val="0"/>
        <w:rPr>
          <w:noProof/>
          <w:sz w:val="24"/>
          <w:szCs w:val="24"/>
        </w:rPr>
      </w:pPr>
      <w:r w:rsidRPr="00356ABE">
        <w:rPr>
          <w:noProof/>
          <w:sz w:val="24"/>
          <w:szCs w:val="24"/>
          <w:lang w:val="de-DE"/>
        </w:rPr>
        <w:t xml:space="preserve">37. M. Ouni, S. Saussenthaler, F. Eichelmann, M. Jähnert, M. Stadion, C. Wittenbecher, T. Rönn, L. Zellner, P. Gottmann, C. Ling, M. B. Schulze, A. Schürmann, Epigenetic Changes in Islets of Langerhans Preceding the Onset of Diabetes. </w:t>
      </w:r>
      <w:r w:rsidRPr="003663F0">
        <w:rPr>
          <w:i/>
          <w:iCs/>
          <w:noProof/>
          <w:sz w:val="24"/>
          <w:szCs w:val="24"/>
        </w:rPr>
        <w:t>Diabetes</w:t>
      </w:r>
      <w:r w:rsidRPr="003663F0">
        <w:rPr>
          <w:noProof/>
          <w:sz w:val="24"/>
          <w:szCs w:val="24"/>
        </w:rPr>
        <w:t xml:space="preserve"> </w:t>
      </w:r>
      <w:r w:rsidRPr="003663F0">
        <w:rPr>
          <w:b/>
          <w:bCs/>
          <w:noProof/>
          <w:sz w:val="24"/>
          <w:szCs w:val="24"/>
        </w:rPr>
        <w:t>69</w:t>
      </w:r>
      <w:r w:rsidRPr="003663F0">
        <w:rPr>
          <w:noProof/>
          <w:sz w:val="24"/>
          <w:szCs w:val="24"/>
        </w:rPr>
        <w:t>, 2503–2517 (2020).</w:t>
      </w:r>
    </w:p>
    <w:p w14:paraId="6AA77A28"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38. V. Mendonça, S. C. Soares-Lima, M. A. M. Moreira, Exploring cross-tissue DNA methylation patterns: blood–brain CpGs as potential neurodegenerative disease biomarkers. </w:t>
      </w:r>
      <w:r w:rsidRPr="003663F0">
        <w:rPr>
          <w:i/>
          <w:iCs/>
          <w:noProof/>
          <w:sz w:val="24"/>
          <w:szCs w:val="24"/>
        </w:rPr>
        <w:t>Commun. Biol.</w:t>
      </w:r>
      <w:r w:rsidRPr="003663F0">
        <w:rPr>
          <w:noProof/>
          <w:sz w:val="24"/>
          <w:szCs w:val="24"/>
        </w:rPr>
        <w:t xml:space="preserve"> </w:t>
      </w:r>
      <w:r w:rsidRPr="003663F0">
        <w:rPr>
          <w:b/>
          <w:bCs/>
          <w:noProof/>
          <w:sz w:val="24"/>
          <w:szCs w:val="24"/>
        </w:rPr>
        <w:t>7</w:t>
      </w:r>
      <w:r w:rsidRPr="003663F0">
        <w:rPr>
          <w:noProof/>
          <w:sz w:val="24"/>
          <w:szCs w:val="24"/>
        </w:rPr>
        <w:t>, 904 (2024).</w:t>
      </w:r>
    </w:p>
    <w:p w14:paraId="36064B57"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39. E. Walton, J. Hass, J. Liu, J. L. Roffman, F. Bernardoni, V. Roessner, M. Kirsch, G. Schackert, V. Calhoun, S. Ehrlich, Correspondence of DNA Methylation Between Blood and Brain Tissue and Its Application to Schizophrenia Research. </w:t>
      </w:r>
      <w:r w:rsidRPr="003663F0">
        <w:rPr>
          <w:i/>
          <w:iCs/>
          <w:noProof/>
          <w:sz w:val="24"/>
          <w:szCs w:val="24"/>
        </w:rPr>
        <w:t>Schizophr. Bull.</w:t>
      </w:r>
      <w:r w:rsidRPr="003663F0">
        <w:rPr>
          <w:noProof/>
          <w:sz w:val="24"/>
          <w:szCs w:val="24"/>
        </w:rPr>
        <w:t xml:space="preserve"> </w:t>
      </w:r>
      <w:r w:rsidRPr="003663F0">
        <w:rPr>
          <w:b/>
          <w:bCs/>
          <w:noProof/>
          <w:sz w:val="24"/>
          <w:szCs w:val="24"/>
        </w:rPr>
        <w:t>42</w:t>
      </w:r>
      <w:r w:rsidRPr="003663F0">
        <w:rPr>
          <w:noProof/>
          <w:sz w:val="24"/>
          <w:szCs w:val="24"/>
        </w:rPr>
        <w:t>, 406–414 (2016).</w:t>
      </w:r>
    </w:p>
    <w:p w14:paraId="2A851748"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40. P. R. Braun, S. Han, B. Hing, Y. Nagahama, L. N. Gaul, J. T. Heinzman, A. J. Grossbach, L. Close, B. J. Dlouhy, M. A. Howard, H. Kawasaki, J. B. Potash, G. Shinozaki, Genome-wide DNA methylation comparison between live human brain and peripheral tissues within individuals. </w:t>
      </w:r>
      <w:r w:rsidRPr="003663F0">
        <w:rPr>
          <w:i/>
          <w:iCs/>
          <w:noProof/>
          <w:sz w:val="24"/>
          <w:szCs w:val="24"/>
        </w:rPr>
        <w:t>Transl. Psychiatry</w:t>
      </w:r>
      <w:r w:rsidRPr="003663F0">
        <w:rPr>
          <w:noProof/>
          <w:sz w:val="24"/>
          <w:szCs w:val="24"/>
        </w:rPr>
        <w:t xml:space="preserve"> </w:t>
      </w:r>
      <w:r w:rsidRPr="003663F0">
        <w:rPr>
          <w:b/>
          <w:bCs/>
          <w:noProof/>
          <w:sz w:val="24"/>
          <w:szCs w:val="24"/>
        </w:rPr>
        <w:t>9</w:t>
      </w:r>
      <w:r w:rsidRPr="003663F0">
        <w:rPr>
          <w:noProof/>
          <w:sz w:val="24"/>
          <w:szCs w:val="24"/>
        </w:rPr>
        <w:t>, 47 (2019).</w:t>
      </w:r>
    </w:p>
    <w:p w14:paraId="4EDAF45B"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41. M. Ouni, Y. Gunes, M.-P. Belot, A.-L. Castell, D. Fradin, P. Bougnères, The IGF1 P2 promoter is an epigenetic QTL for circulating IGF1 and human growth. </w:t>
      </w:r>
      <w:r w:rsidRPr="003663F0">
        <w:rPr>
          <w:i/>
          <w:iCs/>
          <w:noProof/>
          <w:sz w:val="24"/>
          <w:szCs w:val="24"/>
        </w:rPr>
        <w:t>Clin. Epigenetics</w:t>
      </w:r>
      <w:r w:rsidRPr="003663F0">
        <w:rPr>
          <w:noProof/>
          <w:sz w:val="24"/>
          <w:szCs w:val="24"/>
        </w:rPr>
        <w:t xml:space="preserve"> </w:t>
      </w:r>
      <w:r w:rsidRPr="003663F0">
        <w:rPr>
          <w:b/>
          <w:bCs/>
          <w:noProof/>
          <w:sz w:val="24"/>
          <w:szCs w:val="24"/>
        </w:rPr>
        <w:t>7</w:t>
      </w:r>
      <w:r w:rsidRPr="003663F0">
        <w:rPr>
          <w:noProof/>
          <w:sz w:val="24"/>
          <w:szCs w:val="24"/>
        </w:rPr>
        <w:t>, 22 (2015).</w:t>
      </w:r>
    </w:p>
    <w:p w14:paraId="40DD20AC"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42. C. Wittenbecher, M. Ouni, O. Kuxhaus, M. Jähnert, P. Gottmann, A. Teichmann, K. Meidtner, J. Kriebel, H. Grallert, T. Pischon, H. Boeing, M. B. Schulze, A. Schürmann, Insulin-Like Growth Factor Binding Protein 2 (IGFBP-2) and the Risk of Developing  Type 2 Diabetes. </w:t>
      </w:r>
      <w:r w:rsidRPr="003663F0">
        <w:rPr>
          <w:i/>
          <w:iCs/>
          <w:noProof/>
          <w:sz w:val="24"/>
          <w:szCs w:val="24"/>
        </w:rPr>
        <w:t>Diabetes</w:t>
      </w:r>
      <w:r w:rsidRPr="003663F0">
        <w:rPr>
          <w:noProof/>
          <w:sz w:val="24"/>
          <w:szCs w:val="24"/>
        </w:rPr>
        <w:t xml:space="preserve"> </w:t>
      </w:r>
      <w:r w:rsidRPr="003663F0">
        <w:rPr>
          <w:b/>
          <w:bCs/>
          <w:noProof/>
          <w:sz w:val="24"/>
          <w:szCs w:val="24"/>
        </w:rPr>
        <w:t>68</w:t>
      </w:r>
      <w:r w:rsidRPr="003663F0">
        <w:rPr>
          <w:noProof/>
          <w:sz w:val="24"/>
          <w:szCs w:val="24"/>
        </w:rPr>
        <w:t>, 188–197 (2019).</w:t>
      </w:r>
    </w:p>
    <w:p w14:paraId="7E3B499C"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43. M. Ouni, A.-L. Castell, A. Linglart, P. Bougnères, Genetic and Epigenetic Modulation of Growth Hormone Sensitivity Studied With the  IGF-1 Generation Test. </w:t>
      </w:r>
      <w:r w:rsidRPr="003663F0">
        <w:rPr>
          <w:i/>
          <w:iCs/>
          <w:noProof/>
          <w:sz w:val="24"/>
          <w:szCs w:val="24"/>
        </w:rPr>
        <w:t>J. Clin. Endocrinol. Metab.</w:t>
      </w:r>
      <w:r w:rsidRPr="003663F0">
        <w:rPr>
          <w:noProof/>
          <w:sz w:val="24"/>
          <w:szCs w:val="24"/>
        </w:rPr>
        <w:t xml:space="preserve"> </w:t>
      </w:r>
      <w:r w:rsidRPr="003663F0">
        <w:rPr>
          <w:b/>
          <w:bCs/>
          <w:noProof/>
          <w:sz w:val="24"/>
          <w:szCs w:val="24"/>
        </w:rPr>
        <w:t>100</w:t>
      </w:r>
      <w:r w:rsidRPr="003663F0">
        <w:rPr>
          <w:noProof/>
          <w:sz w:val="24"/>
          <w:szCs w:val="24"/>
        </w:rPr>
        <w:t>, E919-25 (2015).</w:t>
      </w:r>
    </w:p>
    <w:p w14:paraId="4383F1CA"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44. M. Derakhshan, N. J. Kessler, G. Hellenthal, M. J. Silver, Metastable epialleles in humans. </w:t>
      </w:r>
      <w:r w:rsidRPr="003663F0">
        <w:rPr>
          <w:i/>
          <w:iCs/>
          <w:noProof/>
          <w:sz w:val="24"/>
          <w:szCs w:val="24"/>
        </w:rPr>
        <w:t>Trends Genet.</w:t>
      </w:r>
      <w:r w:rsidRPr="003663F0">
        <w:rPr>
          <w:noProof/>
          <w:sz w:val="24"/>
          <w:szCs w:val="24"/>
        </w:rPr>
        <w:t xml:space="preserve"> </w:t>
      </w:r>
      <w:r w:rsidRPr="003663F0">
        <w:rPr>
          <w:b/>
          <w:bCs/>
          <w:noProof/>
          <w:sz w:val="24"/>
          <w:szCs w:val="24"/>
        </w:rPr>
        <w:t>40</w:t>
      </w:r>
      <w:r w:rsidRPr="003663F0">
        <w:rPr>
          <w:noProof/>
          <w:sz w:val="24"/>
          <w:szCs w:val="24"/>
        </w:rPr>
        <w:t>, 52–68 (2024).</w:t>
      </w:r>
    </w:p>
    <w:p w14:paraId="37DF9FA2"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45. H. Zhu, G. Ding, X. Liu, H. Huang, Developmental origins of diabetes mellitus: Environmental epigenomics and  emerging patterns. </w:t>
      </w:r>
      <w:r w:rsidRPr="003663F0">
        <w:rPr>
          <w:i/>
          <w:iCs/>
          <w:noProof/>
          <w:sz w:val="24"/>
          <w:szCs w:val="24"/>
        </w:rPr>
        <w:t>J. Diabetes</w:t>
      </w:r>
      <w:r w:rsidRPr="003663F0">
        <w:rPr>
          <w:noProof/>
          <w:sz w:val="24"/>
          <w:szCs w:val="24"/>
        </w:rPr>
        <w:t xml:space="preserve"> </w:t>
      </w:r>
      <w:r w:rsidRPr="003663F0">
        <w:rPr>
          <w:b/>
          <w:bCs/>
          <w:noProof/>
          <w:sz w:val="24"/>
          <w:szCs w:val="24"/>
        </w:rPr>
        <w:t>15</w:t>
      </w:r>
      <w:r w:rsidRPr="003663F0">
        <w:rPr>
          <w:noProof/>
          <w:sz w:val="24"/>
          <w:szCs w:val="24"/>
        </w:rPr>
        <w:t>, 569–582 (2023).</w:t>
      </w:r>
    </w:p>
    <w:p w14:paraId="18FBEE1C" w14:textId="77777777" w:rsidR="003663F0" w:rsidRPr="00356ABE" w:rsidRDefault="003663F0" w:rsidP="003663F0">
      <w:pPr>
        <w:widowControl w:val="0"/>
        <w:autoSpaceDE w:val="0"/>
        <w:autoSpaceDN w:val="0"/>
        <w:adjustRightInd w:val="0"/>
        <w:rPr>
          <w:noProof/>
          <w:sz w:val="24"/>
          <w:szCs w:val="24"/>
          <w:lang w:val="de-DE"/>
        </w:rPr>
      </w:pPr>
      <w:r w:rsidRPr="003663F0">
        <w:rPr>
          <w:noProof/>
          <w:sz w:val="24"/>
          <w:szCs w:val="24"/>
        </w:rPr>
        <w:t xml:space="preserve">46. A. Kazachenka, T. M. Bertozzi, M. K. Sjoberg-Herrera, N. Walker, J. Gardner, R. Gunning, E. Pahita, S. Adams, D. Adams, A. C. Ferguson-Smith, Identification, Characterization, and Heritability of Murine Metastable  Epialleles: Implications for Non-genetic Inheritance. </w:t>
      </w:r>
      <w:r w:rsidRPr="00356ABE">
        <w:rPr>
          <w:i/>
          <w:iCs/>
          <w:noProof/>
          <w:sz w:val="24"/>
          <w:szCs w:val="24"/>
          <w:lang w:val="de-DE"/>
        </w:rPr>
        <w:t>Cell</w:t>
      </w:r>
      <w:r w:rsidRPr="00356ABE">
        <w:rPr>
          <w:noProof/>
          <w:sz w:val="24"/>
          <w:szCs w:val="24"/>
          <w:lang w:val="de-DE"/>
        </w:rPr>
        <w:t xml:space="preserve"> </w:t>
      </w:r>
      <w:r w:rsidRPr="00356ABE">
        <w:rPr>
          <w:b/>
          <w:bCs/>
          <w:noProof/>
          <w:sz w:val="24"/>
          <w:szCs w:val="24"/>
          <w:lang w:val="de-DE"/>
        </w:rPr>
        <w:t>175</w:t>
      </w:r>
      <w:r w:rsidRPr="00356ABE">
        <w:rPr>
          <w:noProof/>
          <w:sz w:val="24"/>
          <w:szCs w:val="24"/>
          <w:lang w:val="de-DE"/>
        </w:rPr>
        <w:t>, 1259-1271.e13 (2018).</w:t>
      </w:r>
    </w:p>
    <w:p w14:paraId="13EA5D00" w14:textId="77777777" w:rsidR="003663F0" w:rsidRPr="003663F0" w:rsidRDefault="003663F0" w:rsidP="003663F0">
      <w:pPr>
        <w:widowControl w:val="0"/>
        <w:autoSpaceDE w:val="0"/>
        <w:autoSpaceDN w:val="0"/>
        <w:adjustRightInd w:val="0"/>
        <w:rPr>
          <w:noProof/>
          <w:sz w:val="24"/>
          <w:szCs w:val="24"/>
        </w:rPr>
      </w:pPr>
      <w:r w:rsidRPr="00356ABE">
        <w:rPr>
          <w:noProof/>
          <w:sz w:val="24"/>
          <w:szCs w:val="24"/>
          <w:lang w:val="de-DE"/>
        </w:rPr>
        <w:t xml:space="preserve">47. K. Linder, F. Schleger, I. Kiefer-Schmidt, L. Fritsche, S. Kümmel, M. Böcker, M. Heni, M. Weiss, H.-U. Häring, H. Preissl, A. Fritsche, Gestational Diabetes Impairs Human Fetal Postprandial Brain Activity. </w:t>
      </w:r>
      <w:r w:rsidRPr="003663F0">
        <w:rPr>
          <w:i/>
          <w:iCs/>
          <w:noProof/>
          <w:sz w:val="24"/>
          <w:szCs w:val="24"/>
        </w:rPr>
        <w:t>J. Clin. Endocrinol. Metab.</w:t>
      </w:r>
      <w:r w:rsidRPr="003663F0">
        <w:rPr>
          <w:noProof/>
          <w:sz w:val="24"/>
          <w:szCs w:val="24"/>
        </w:rPr>
        <w:t xml:space="preserve"> </w:t>
      </w:r>
      <w:r w:rsidRPr="003663F0">
        <w:rPr>
          <w:b/>
          <w:bCs/>
          <w:noProof/>
          <w:sz w:val="24"/>
          <w:szCs w:val="24"/>
        </w:rPr>
        <w:t>100</w:t>
      </w:r>
      <w:r w:rsidRPr="003663F0">
        <w:rPr>
          <w:noProof/>
          <w:sz w:val="24"/>
          <w:szCs w:val="24"/>
        </w:rPr>
        <w:t>, 4029–4036 (2015).</w:t>
      </w:r>
    </w:p>
    <w:p w14:paraId="20FE7EA7"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lastRenderedPageBreak/>
        <w:t xml:space="preserve">48. K. A. Page, S. Luo, X. Wang, T. Chow, J. Alves, T. A. Buchanan, A. H. Xiang, Children Exposed to Maternal Obesity or Gestational Diabetes Mellitus During  Early Fetal Development Have Hypothalamic Alterations That Predict Future Weight Gain. </w:t>
      </w:r>
      <w:r w:rsidRPr="003663F0">
        <w:rPr>
          <w:i/>
          <w:iCs/>
          <w:noProof/>
          <w:sz w:val="24"/>
          <w:szCs w:val="24"/>
        </w:rPr>
        <w:t>Diabetes Care</w:t>
      </w:r>
      <w:r w:rsidRPr="003663F0">
        <w:rPr>
          <w:noProof/>
          <w:sz w:val="24"/>
          <w:szCs w:val="24"/>
        </w:rPr>
        <w:t xml:space="preserve"> </w:t>
      </w:r>
      <w:r w:rsidRPr="003663F0">
        <w:rPr>
          <w:b/>
          <w:bCs/>
          <w:noProof/>
          <w:sz w:val="24"/>
          <w:szCs w:val="24"/>
        </w:rPr>
        <w:t>42</w:t>
      </w:r>
      <w:r w:rsidRPr="003663F0">
        <w:rPr>
          <w:noProof/>
          <w:sz w:val="24"/>
          <w:szCs w:val="24"/>
        </w:rPr>
        <w:t>, 1473–1480 (2019).</w:t>
      </w:r>
    </w:p>
    <w:p w14:paraId="5E4D823D"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49. K. Talbot, H.-Y. Wang, H. Kazi, L.-Y. Han, K. P. Bakshi, A. Stucky, R. L. Fuino, K. R. Kawaguchi, A. J. Samoyedny, R. S. Wilson, Z. Arvanitakis, J. A. Schneider, B. A. Wolf, D. A. Bennett, J. Q. Trojanowski, S. E. Arnold, Demonstrated brain insulin resistance in Alzheimer’s disease patients is  associated with IGF-1 resistance, IRS-1 dysregulation, and cognitive decline. </w:t>
      </w:r>
      <w:r w:rsidRPr="003663F0">
        <w:rPr>
          <w:i/>
          <w:iCs/>
          <w:noProof/>
          <w:sz w:val="24"/>
          <w:szCs w:val="24"/>
        </w:rPr>
        <w:t>J. Clin. Invest.</w:t>
      </w:r>
      <w:r w:rsidRPr="003663F0">
        <w:rPr>
          <w:noProof/>
          <w:sz w:val="24"/>
          <w:szCs w:val="24"/>
        </w:rPr>
        <w:t xml:space="preserve"> </w:t>
      </w:r>
      <w:r w:rsidRPr="003663F0">
        <w:rPr>
          <w:b/>
          <w:bCs/>
          <w:noProof/>
          <w:sz w:val="24"/>
          <w:szCs w:val="24"/>
        </w:rPr>
        <w:t>122</w:t>
      </w:r>
      <w:r w:rsidRPr="003663F0">
        <w:rPr>
          <w:noProof/>
          <w:sz w:val="24"/>
          <w:szCs w:val="24"/>
        </w:rPr>
        <w:t>, 1316–1338 (2012).</w:t>
      </w:r>
    </w:p>
    <w:p w14:paraId="5E8A597E"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50. A. M. Moloney, R. J. Griffin, S. Timmons, R. O’Connor, R. Ravid, C. O’Neill, Defects in IGF-1 receptor, insulin receptor and IRS-1/2 in Alzheimer’s disease indicate possible resistance to IGF-1 and insulin signalling. </w:t>
      </w:r>
      <w:r w:rsidRPr="003663F0">
        <w:rPr>
          <w:i/>
          <w:iCs/>
          <w:noProof/>
          <w:sz w:val="24"/>
          <w:szCs w:val="24"/>
        </w:rPr>
        <w:t>Neurobiol. Aging</w:t>
      </w:r>
      <w:r w:rsidRPr="003663F0">
        <w:rPr>
          <w:noProof/>
          <w:sz w:val="24"/>
          <w:szCs w:val="24"/>
        </w:rPr>
        <w:t xml:space="preserve"> </w:t>
      </w:r>
      <w:r w:rsidRPr="003663F0">
        <w:rPr>
          <w:b/>
          <w:bCs/>
          <w:noProof/>
          <w:sz w:val="24"/>
          <w:szCs w:val="24"/>
        </w:rPr>
        <w:t>31</w:t>
      </w:r>
      <w:r w:rsidRPr="003663F0">
        <w:rPr>
          <w:noProof/>
          <w:sz w:val="24"/>
          <w:szCs w:val="24"/>
        </w:rPr>
        <w:t>, 224–243 (2010).</w:t>
      </w:r>
    </w:p>
    <w:p w14:paraId="7C980FDC"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51. K. A. Alam, P. Svalastoga, A. Martinez, J. C. Glennon, J. Haavik, Potassium channels in behavioral brain disorders. Molecular mechanisms and therapeutic potential: A narrative review. </w:t>
      </w:r>
      <w:r w:rsidRPr="003663F0">
        <w:rPr>
          <w:i/>
          <w:iCs/>
          <w:noProof/>
          <w:sz w:val="24"/>
          <w:szCs w:val="24"/>
        </w:rPr>
        <w:t>Neurosci. Biobehav. Rev.</w:t>
      </w:r>
      <w:r w:rsidRPr="003663F0">
        <w:rPr>
          <w:noProof/>
          <w:sz w:val="24"/>
          <w:szCs w:val="24"/>
        </w:rPr>
        <w:t xml:space="preserve"> </w:t>
      </w:r>
      <w:r w:rsidRPr="003663F0">
        <w:rPr>
          <w:b/>
          <w:bCs/>
          <w:noProof/>
          <w:sz w:val="24"/>
          <w:szCs w:val="24"/>
        </w:rPr>
        <w:t>152</w:t>
      </w:r>
      <w:r w:rsidRPr="003663F0">
        <w:rPr>
          <w:noProof/>
          <w:sz w:val="24"/>
          <w:szCs w:val="24"/>
        </w:rPr>
        <w:t>, 105301 (2023).</w:t>
      </w:r>
    </w:p>
    <w:p w14:paraId="70A569FF"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52. L. S. Abasi, N. Elathram, M. Movva, A. Deep, K. D. Corbett, G. T. Debelouchina, Phosphorylation regulates tau’s phase separation behavior and interactions with  chromatin. </w:t>
      </w:r>
      <w:r w:rsidRPr="003663F0">
        <w:rPr>
          <w:i/>
          <w:iCs/>
          <w:noProof/>
          <w:sz w:val="24"/>
          <w:szCs w:val="24"/>
        </w:rPr>
        <w:t>Commun. Biol.</w:t>
      </w:r>
      <w:r w:rsidRPr="003663F0">
        <w:rPr>
          <w:noProof/>
          <w:sz w:val="24"/>
          <w:szCs w:val="24"/>
        </w:rPr>
        <w:t xml:space="preserve"> </w:t>
      </w:r>
      <w:r w:rsidRPr="003663F0">
        <w:rPr>
          <w:b/>
          <w:bCs/>
          <w:noProof/>
          <w:sz w:val="24"/>
          <w:szCs w:val="24"/>
        </w:rPr>
        <w:t>7</w:t>
      </w:r>
      <w:r w:rsidRPr="003663F0">
        <w:rPr>
          <w:noProof/>
          <w:sz w:val="24"/>
          <w:szCs w:val="24"/>
        </w:rPr>
        <w:t>, 251 (2024).</w:t>
      </w:r>
    </w:p>
    <w:p w14:paraId="14E05E3D"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53. E. Drummond, G. Pires, C. MacMurray, M. Askenazi, S. Nayak, M. Bourdon, J. Safar, B. Ueberheide, T. Wisniewski, Phosphorylated tau interactome in the human Alzheimer’s disease brain. </w:t>
      </w:r>
      <w:r w:rsidRPr="003663F0">
        <w:rPr>
          <w:i/>
          <w:iCs/>
          <w:noProof/>
          <w:sz w:val="24"/>
          <w:szCs w:val="24"/>
        </w:rPr>
        <w:t>Brain</w:t>
      </w:r>
      <w:r w:rsidRPr="003663F0">
        <w:rPr>
          <w:noProof/>
          <w:sz w:val="24"/>
          <w:szCs w:val="24"/>
        </w:rPr>
        <w:t xml:space="preserve"> </w:t>
      </w:r>
      <w:r w:rsidRPr="003663F0">
        <w:rPr>
          <w:b/>
          <w:bCs/>
          <w:noProof/>
          <w:sz w:val="24"/>
          <w:szCs w:val="24"/>
        </w:rPr>
        <w:t>143</w:t>
      </w:r>
      <w:r w:rsidRPr="003663F0">
        <w:rPr>
          <w:noProof/>
          <w:sz w:val="24"/>
          <w:szCs w:val="24"/>
        </w:rPr>
        <w:t>, 2803–2817 (2020).</w:t>
      </w:r>
    </w:p>
    <w:p w14:paraId="7E8C14B6"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54. R. Xu, K. Wang, Z. Yao, Y. Zhang, L. Jin, J. Pang, Y. Zhou, K. Wang, D. Liu, Y. Zhang, P. Sun, F. Wang, X. Chang, T. Liu, S. Wang, Y. Zhang, S. Lin, C. Hu, Y. Zhu, X. Han, BRSK2 in pancreatic β cells promotes hyperinsulinemia-coupled insulin resistance  and its genetic variants are associated with human type 2 diabetes. </w:t>
      </w:r>
      <w:r w:rsidRPr="003663F0">
        <w:rPr>
          <w:i/>
          <w:iCs/>
          <w:noProof/>
          <w:sz w:val="24"/>
          <w:szCs w:val="24"/>
        </w:rPr>
        <w:t>J. Mol. Cell Biol.</w:t>
      </w:r>
      <w:r w:rsidRPr="003663F0">
        <w:rPr>
          <w:noProof/>
          <w:sz w:val="24"/>
          <w:szCs w:val="24"/>
        </w:rPr>
        <w:t xml:space="preserve"> </w:t>
      </w:r>
      <w:r w:rsidRPr="003663F0">
        <w:rPr>
          <w:b/>
          <w:bCs/>
          <w:noProof/>
          <w:sz w:val="24"/>
          <w:szCs w:val="24"/>
        </w:rPr>
        <w:t>15</w:t>
      </w:r>
      <w:r w:rsidRPr="003663F0">
        <w:rPr>
          <w:noProof/>
          <w:sz w:val="24"/>
          <w:szCs w:val="24"/>
        </w:rPr>
        <w:t xml:space="preserve"> (2023), doi:10.1093/jmcb/mjad033.</w:t>
      </w:r>
    </w:p>
    <w:p w14:paraId="5F03800E"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55. L. Xing, J. M. Newbern, W. D. Snider, Neuronal Development: SAD Kinases Make Happy Axons. </w:t>
      </w:r>
      <w:r w:rsidRPr="003663F0">
        <w:rPr>
          <w:i/>
          <w:iCs/>
          <w:noProof/>
          <w:sz w:val="24"/>
          <w:szCs w:val="24"/>
        </w:rPr>
        <w:t>Curr. Biol.</w:t>
      </w:r>
      <w:r w:rsidRPr="003663F0">
        <w:rPr>
          <w:noProof/>
          <w:sz w:val="24"/>
          <w:szCs w:val="24"/>
        </w:rPr>
        <w:t xml:space="preserve"> </w:t>
      </w:r>
      <w:r w:rsidRPr="003663F0">
        <w:rPr>
          <w:b/>
          <w:bCs/>
          <w:noProof/>
          <w:sz w:val="24"/>
          <w:szCs w:val="24"/>
        </w:rPr>
        <w:t>23</w:t>
      </w:r>
      <w:r w:rsidRPr="003663F0">
        <w:rPr>
          <w:noProof/>
          <w:sz w:val="24"/>
          <w:szCs w:val="24"/>
        </w:rPr>
        <w:t>, R720–R723 (2013).</w:t>
      </w:r>
    </w:p>
    <w:p w14:paraId="24546F55"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56. B. N. Lilley, A. Krishnaswamy, Z. Wang, M. Kishi, E. Frank, J. R. Sanes, SAD kinases control the maturation of nerve terminals in the mammalian peripheral  and central nervous systems. </w:t>
      </w:r>
      <w:r w:rsidRPr="003663F0">
        <w:rPr>
          <w:i/>
          <w:iCs/>
          <w:noProof/>
          <w:sz w:val="24"/>
          <w:szCs w:val="24"/>
        </w:rPr>
        <w:t>Proc. Natl. Acad. Sci. U. S. A.</w:t>
      </w:r>
      <w:r w:rsidRPr="003663F0">
        <w:rPr>
          <w:noProof/>
          <w:sz w:val="24"/>
          <w:szCs w:val="24"/>
        </w:rPr>
        <w:t xml:space="preserve"> </w:t>
      </w:r>
      <w:r w:rsidRPr="003663F0">
        <w:rPr>
          <w:b/>
          <w:bCs/>
          <w:noProof/>
          <w:sz w:val="24"/>
          <w:szCs w:val="24"/>
        </w:rPr>
        <w:t>111</w:t>
      </w:r>
      <w:r w:rsidRPr="003663F0">
        <w:rPr>
          <w:noProof/>
          <w:sz w:val="24"/>
          <w:szCs w:val="24"/>
        </w:rPr>
        <w:t>, 1138–1143 (2014).</w:t>
      </w:r>
    </w:p>
    <w:p w14:paraId="563FC5FA"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57. Y. Wang, B. Wan, D. Li, J. Zhou, R. Li, M. Bai, F. Chen, L. Yu, BRSK2 is regulated by ER stress in protein level and involved in ER stress-induced apoptosis. </w:t>
      </w:r>
      <w:r w:rsidRPr="003663F0">
        <w:rPr>
          <w:i/>
          <w:iCs/>
          <w:noProof/>
          <w:sz w:val="24"/>
          <w:szCs w:val="24"/>
        </w:rPr>
        <w:t>Biochem. Biophys. Res. Commun.</w:t>
      </w:r>
      <w:r w:rsidRPr="003663F0">
        <w:rPr>
          <w:noProof/>
          <w:sz w:val="24"/>
          <w:szCs w:val="24"/>
        </w:rPr>
        <w:t xml:space="preserve"> </w:t>
      </w:r>
      <w:r w:rsidRPr="003663F0">
        <w:rPr>
          <w:b/>
          <w:bCs/>
          <w:noProof/>
          <w:sz w:val="24"/>
          <w:szCs w:val="24"/>
        </w:rPr>
        <w:t>423</w:t>
      </w:r>
      <w:r w:rsidRPr="003663F0">
        <w:rPr>
          <w:noProof/>
          <w:sz w:val="24"/>
          <w:szCs w:val="24"/>
        </w:rPr>
        <w:t>, 813–818 (2012).</w:t>
      </w:r>
    </w:p>
    <w:p w14:paraId="679AE734"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58. S. Kullmann, T. Goj, R. Veit, L. Fritsche, L. Wagner, P. Schneeweiss, M. Hoene, C. Hoffmann, J. Machann, A. Niess, H. Preissl, A. L. Birkenfeld, A. Peter, H.-U. Häring, A. Fritsche, A. Moller, C. Weigert, M. Heni, Exercise restores brain insulin sensitivity in sedentary adults who are  overweight and obese. </w:t>
      </w:r>
      <w:r w:rsidRPr="003663F0">
        <w:rPr>
          <w:i/>
          <w:iCs/>
          <w:noProof/>
          <w:sz w:val="24"/>
          <w:szCs w:val="24"/>
        </w:rPr>
        <w:t>JCI insight</w:t>
      </w:r>
      <w:r w:rsidRPr="003663F0">
        <w:rPr>
          <w:noProof/>
          <w:sz w:val="24"/>
          <w:szCs w:val="24"/>
        </w:rPr>
        <w:t xml:space="preserve"> </w:t>
      </w:r>
      <w:r w:rsidRPr="003663F0">
        <w:rPr>
          <w:b/>
          <w:bCs/>
          <w:noProof/>
          <w:sz w:val="24"/>
          <w:szCs w:val="24"/>
        </w:rPr>
        <w:t>7</w:t>
      </w:r>
      <w:r w:rsidRPr="003663F0">
        <w:rPr>
          <w:noProof/>
          <w:sz w:val="24"/>
          <w:szCs w:val="24"/>
        </w:rPr>
        <w:t xml:space="preserve"> (2022), doi:10.1172/jci.insight.161498.</w:t>
      </w:r>
    </w:p>
    <w:p w14:paraId="3CA4987F"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59. L. Wagner, R. Veit, C. Kübler, A. Fritsche, H.-U. U. Häring, A. L. Birkenfeld, M. Heni, H. Preissl, S. Kullmann, Brain insulin responsiveness is linked to age and peripheral insulin sensitivity. </w:t>
      </w:r>
      <w:r w:rsidRPr="003663F0">
        <w:rPr>
          <w:i/>
          <w:iCs/>
          <w:noProof/>
          <w:sz w:val="24"/>
          <w:szCs w:val="24"/>
        </w:rPr>
        <w:t>Diabetes. Obes. Metab.</w:t>
      </w:r>
      <w:r w:rsidRPr="003663F0">
        <w:rPr>
          <w:noProof/>
          <w:sz w:val="24"/>
          <w:szCs w:val="24"/>
        </w:rPr>
        <w:t xml:space="preserve"> </w:t>
      </w:r>
      <w:r w:rsidRPr="003663F0">
        <w:rPr>
          <w:b/>
          <w:bCs/>
          <w:noProof/>
          <w:sz w:val="24"/>
          <w:szCs w:val="24"/>
        </w:rPr>
        <w:t>25</w:t>
      </w:r>
      <w:r w:rsidRPr="003663F0">
        <w:rPr>
          <w:noProof/>
          <w:sz w:val="24"/>
          <w:szCs w:val="24"/>
        </w:rPr>
        <w:t>, 2171–2180 (2023).</w:t>
      </w:r>
    </w:p>
    <w:p w14:paraId="117B1B7A"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60. R. Wagner, J. Buettner, M. Heni, L. Fritsche, S. Kullmann, M. Wagmüller, A. Peter, H. Preissl, J. Machann, R. Jumpertz von Schwartzenberg, A. L. Birkenfeld, U. F. Pape, G. van Hall, P. Plomgaard, H. U. Häring, A. Fritsche, K. N. Thompson, R. Klein, N. Stefan, Carrageenan and insulin resistance in humans: a randomised double-blind cross-over trial. </w:t>
      </w:r>
      <w:r w:rsidRPr="003663F0">
        <w:rPr>
          <w:i/>
          <w:iCs/>
          <w:noProof/>
          <w:sz w:val="24"/>
          <w:szCs w:val="24"/>
        </w:rPr>
        <w:t>BMC Med.</w:t>
      </w:r>
      <w:r w:rsidRPr="003663F0">
        <w:rPr>
          <w:noProof/>
          <w:sz w:val="24"/>
          <w:szCs w:val="24"/>
        </w:rPr>
        <w:t xml:space="preserve"> </w:t>
      </w:r>
      <w:r w:rsidRPr="003663F0">
        <w:rPr>
          <w:b/>
          <w:bCs/>
          <w:noProof/>
          <w:sz w:val="24"/>
          <w:szCs w:val="24"/>
        </w:rPr>
        <w:t>22</w:t>
      </w:r>
      <w:r w:rsidRPr="003663F0">
        <w:rPr>
          <w:noProof/>
          <w:sz w:val="24"/>
          <w:szCs w:val="24"/>
        </w:rPr>
        <w:t xml:space="preserve"> (2024), doi:10.1186/S12916-024-03771-8,.</w:t>
      </w:r>
    </w:p>
    <w:p w14:paraId="3AD9DAE8"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61. S. Kullmann, L. Wagner, R. Hauffe, A. Kühnel, L. Sandforth, R. Veit, C. Dannecker, J. Machann, A. Fritsche, N. Stefan, H. Preissl, N. B. Kroemer, M. Heni, A. Kleinridders, A. L. Birkenfeld, A short-term, high-caloric diet has prolonged effects on brain insulin action in men. </w:t>
      </w:r>
      <w:r w:rsidRPr="003663F0">
        <w:rPr>
          <w:i/>
          <w:iCs/>
          <w:noProof/>
          <w:sz w:val="24"/>
          <w:szCs w:val="24"/>
        </w:rPr>
        <w:t>Nat. Metab.</w:t>
      </w:r>
      <w:r w:rsidRPr="003663F0">
        <w:rPr>
          <w:noProof/>
          <w:sz w:val="24"/>
          <w:szCs w:val="24"/>
        </w:rPr>
        <w:t xml:space="preserve"> </w:t>
      </w:r>
      <w:r w:rsidRPr="003663F0">
        <w:rPr>
          <w:b/>
          <w:bCs/>
          <w:noProof/>
          <w:sz w:val="24"/>
          <w:szCs w:val="24"/>
        </w:rPr>
        <w:t>7</w:t>
      </w:r>
      <w:r w:rsidRPr="003663F0">
        <w:rPr>
          <w:noProof/>
          <w:sz w:val="24"/>
          <w:szCs w:val="24"/>
        </w:rPr>
        <w:t>, 469 (2025).</w:t>
      </w:r>
    </w:p>
    <w:p w14:paraId="52AFC9FA"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lastRenderedPageBreak/>
        <w:t xml:space="preserve">62. J. Hummel, S. Kullmann, R. Wagner, M. Heni, Glycaemic fluctuations across the menstrual cycle: possible effect of the brain. </w:t>
      </w:r>
      <w:r w:rsidRPr="003663F0">
        <w:rPr>
          <w:i/>
          <w:iCs/>
          <w:noProof/>
          <w:sz w:val="24"/>
          <w:szCs w:val="24"/>
        </w:rPr>
        <w:t>Lancet Diabetes Endocrinol.</w:t>
      </w:r>
      <w:r w:rsidRPr="003663F0">
        <w:rPr>
          <w:noProof/>
          <w:sz w:val="24"/>
          <w:szCs w:val="24"/>
        </w:rPr>
        <w:t xml:space="preserve"> </w:t>
      </w:r>
      <w:r w:rsidRPr="003663F0">
        <w:rPr>
          <w:b/>
          <w:bCs/>
          <w:noProof/>
          <w:sz w:val="24"/>
          <w:szCs w:val="24"/>
        </w:rPr>
        <w:t>11</w:t>
      </w:r>
      <w:r w:rsidRPr="003663F0">
        <w:rPr>
          <w:noProof/>
          <w:sz w:val="24"/>
          <w:szCs w:val="24"/>
        </w:rPr>
        <w:t>, 883–884 (2023).</w:t>
      </w:r>
    </w:p>
    <w:p w14:paraId="3CE4518A"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63. R. Vaisvila, V. K. C. Ponnaluri, Z. Sun, B. W. Langhorst, L. Saleh, S. Guan, N. Dai, M. A. Campbell, B. S. Sexton, K. Marks, M. Samaranayake, J. C. Samuelson, H. E. Church, E. Tamanaha, I. R. J. Corrêa, S. Pradhan, E. T. Dimalanta, T. C. J. Evans, L. Williams, T. B. Davis, Enzymatic methyl sequencing detects DNA methylation at single-base resolution  from picograms of DNA. </w:t>
      </w:r>
      <w:r w:rsidRPr="003663F0">
        <w:rPr>
          <w:i/>
          <w:iCs/>
          <w:noProof/>
          <w:sz w:val="24"/>
          <w:szCs w:val="24"/>
        </w:rPr>
        <w:t>Genome Res.</w:t>
      </w:r>
      <w:r w:rsidRPr="003663F0">
        <w:rPr>
          <w:noProof/>
          <w:sz w:val="24"/>
          <w:szCs w:val="24"/>
        </w:rPr>
        <w:t xml:space="preserve"> </w:t>
      </w:r>
      <w:r w:rsidRPr="003663F0">
        <w:rPr>
          <w:b/>
          <w:bCs/>
          <w:noProof/>
          <w:sz w:val="24"/>
          <w:szCs w:val="24"/>
        </w:rPr>
        <w:t>31</w:t>
      </w:r>
      <w:r w:rsidRPr="003663F0">
        <w:rPr>
          <w:noProof/>
          <w:sz w:val="24"/>
          <w:szCs w:val="24"/>
        </w:rPr>
        <w:t>, 1280–1289 (2021).</w:t>
      </w:r>
    </w:p>
    <w:p w14:paraId="1E18ED2F" w14:textId="77777777" w:rsidR="003663F0" w:rsidRPr="003663F0" w:rsidRDefault="003663F0" w:rsidP="003663F0">
      <w:pPr>
        <w:widowControl w:val="0"/>
        <w:autoSpaceDE w:val="0"/>
        <w:autoSpaceDN w:val="0"/>
        <w:adjustRightInd w:val="0"/>
        <w:rPr>
          <w:noProof/>
          <w:sz w:val="24"/>
          <w:szCs w:val="24"/>
        </w:rPr>
      </w:pPr>
      <w:r w:rsidRPr="003663F0">
        <w:rPr>
          <w:noProof/>
          <w:sz w:val="24"/>
          <w:szCs w:val="24"/>
        </w:rPr>
        <w:t xml:space="preserve">64. S. Engebretsen, J. Bohlin, Statistical predictions with glmnet. </w:t>
      </w:r>
      <w:r w:rsidRPr="003663F0">
        <w:rPr>
          <w:i/>
          <w:iCs/>
          <w:noProof/>
          <w:sz w:val="24"/>
          <w:szCs w:val="24"/>
        </w:rPr>
        <w:t>Clin. Epigenetics</w:t>
      </w:r>
      <w:r w:rsidRPr="003663F0">
        <w:rPr>
          <w:noProof/>
          <w:sz w:val="24"/>
          <w:szCs w:val="24"/>
        </w:rPr>
        <w:t xml:space="preserve"> </w:t>
      </w:r>
      <w:r w:rsidRPr="003663F0">
        <w:rPr>
          <w:b/>
          <w:bCs/>
          <w:noProof/>
          <w:sz w:val="24"/>
          <w:szCs w:val="24"/>
        </w:rPr>
        <w:t>11</w:t>
      </w:r>
      <w:r w:rsidRPr="003663F0">
        <w:rPr>
          <w:noProof/>
          <w:sz w:val="24"/>
          <w:szCs w:val="24"/>
        </w:rPr>
        <w:t>, 123 (2019).</w:t>
      </w:r>
    </w:p>
    <w:p w14:paraId="3D4FD394" w14:textId="77777777" w:rsidR="003663F0" w:rsidRPr="003663F0" w:rsidRDefault="003663F0" w:rsidP="003663F0">
      <w:pPr>
        <w:widowControl w:val="0"/>
        <w:autoSpaceDE w:val="0"/>
        <w:autoSpaceDN w:val="0"/>
        <w:adjustRightInd w:val="0"/>
        <w:rPr>
          <w:noProof/>
          <w:sz w:val="24"/>
        </w:rPr>
      </w:pPr>
      <w:r w:rsidRPr="003663F0">
        <w:rPr>
          <w:noProof/>
          <w:sz w:val="24"/>
          <w:szCs w:val="24"/>
        </w:rPr>
        <w:t xml:space="preserve">65. N. Meinshausen, P. Bühlmann, Stability selection. </w:t>
      </w:r>
      <w:r w:rsidRPr="003663F0">
        <w:rPr>
          <w:i/>
          <w:iCs/>
          <w:noProof/>
          <w:sz w:val="24"/>
          <w:szCs w:val="24"/>
        </w:rPr>
        <w:t>J. R. Stat. Soc. Ser. B (Statistical Methodol.</w:t>
      </w:r>
      <w:r w:rsidRPr="003663F0">
        <w:rPr>
          <w:noProof/>
          <w:sz w:val="24"/>
          <w:szCs w:val="24"/>
        </w:rPr>
        <w:t xml:space="preserve"> </w:t>
      </w:r>
      <w:r w:rsidRPr="003663F0">
        <w:rPr>
          <w:b/>
          <w:bCs/>
          <w:noProof/>
          <w:sz w:val="24"/>
          <w:szCs w:val="24"/>
        </w:rPr>
        <w:t>72</w:t>
      </w:r>
      <w:r w:rsidRPr="003663F0">
        <w:rPr>
          <w:noProof/>
          <w:sz w:val="24"/>
          <w:szCs w:val="24"/>
        </w:rPr>
        <w:t>, 417–473 (2010).</w:t>
      </w:r>
    </w:p>
    <w:p w14:paraId="5A17EEA7" w14:textId="6A970963" w:rsidR="00C35B7A" w:rsidRPr="001533EC" w:rsidRDefault="00C35B7A" w:rsidP="00C35B7A">
      <w:pPr>
        <w:spacing w:line="480" w:lineRule="auto"/>
        <w:jc w:val="both"/>
        <w:rPr>
          <w:b/>
          <w:sz w:val="24"/>
          <w:szCs w:val="24"/>
        </w:rPr>
        <w:sectPr w:rsidR="00C35B7A" w:rsidRPr="001533EC" w:rsidSect="000048EC">
          <w:footerReference w:type="default" r:id="rId13"/>
          <w:pgSz w:w="11906" w:h="16838"/>
          <w:pgMar w:top="1417" w:right="1417" w:bottom="1134" w:left="1417" w:header="720" w:footer="720" w:gutter="0"/>
          <w:lnNumType w:countBy="1" w:restart="continuous"/>
          <w:cols w:space="720"/>
          <w:docGrid w:linePitch="360"/>
        </w:sectPr>
      </w:pPr>
      <w:r w:rsidRPr="001533EC">
        <w:rPr>
          <w:b/>
          <w:sz w:val="24"/>
          <w:szCs w:val="24"/>
        </w:rPr>
        <w:fldChar w:fldCharType="end"/>
      </w:r>
    </w:p>
    <w:p w14:paraId="5C2E73D0" w14:textId="55B6AAB4" w:rsidR="00691A32" w:rsidRPr="001533EC" w:rsidRDefault="00691A32" w:rsidP="00691A32">
      <w:pPr>
        <w:rPr>
          <w:b/>
          <w:sz w:val="24"/>
          <w:szCs w:val="24"/>
        </w:rPr>
      </w:pPr>
      <w:r w:rsidRPr="001533EC">
        <w:rPr>
          <w:b/>
          <w:sz w:val="24"/>
          <w:szCs w:val="24"/>
        </w:rPr>
        <w:lastRenderedPageBreak/>
        <w:t>Figure legends</w:t>
      </w:r>
    </w:p>
    <w:p w14:paraId="5BBFA111" w14:textId="77777777" w:rsidR="004E3131" w:rsidRPr="001533EC" w:rsidRDefault="004E3131" w:rsidP="00691A32">
      <w:pPr>
        <w:rPr>
          <w:b/>
          <w:sz w:val="24"/>
          <w:szCs w:val="24"/>
        </w:rPr>
      </w:pPr>
    </w:p>
    <w:p w14:paraId="7D1DDF6E" w14:textId="0F851B93" w:rsidR="00691A32" w:rsidRPr="001533EC" w:rsidRDefault="00691A32" w:rsidP="00691A32">
      <w:pPr>
        <w:spacing w:line="480" w:lineRule="auto"/>
        <w:jc w:val="both"/>
        <w:rPr>
          <w:sz w:val="24"/>
          <w:szCs w:val="24"/>
          <w:lang w:eastAsia="de-DE"/>
        </w:rPr>
      </w:pPr>
      <w:bookmarkStart w:id="12" w:name="_Hlk187160705"/>
      <w:r w:rsidRPr="001533EC">
        <w:rPr>
          <w:b/>
          <w:sz w:val="24"/>
          <w:szCs w:val="24"/>
        </w:rPr>
        <w:t xml:space="preserve">Figure 1. </w:t>
      </w:r>
      <w:r w:rsidRPr="001533EC">
        <w:rPr>
          <w:b/>
          <w:sz w:val="24"/>
          <w:szCs w:val="24"/>
          <w:lang w:eastAsia="de-DE"/>
        </w:rPr>
        <w:t xml:space="preserve">Schematic representation the current study </w:t>
      </w:r>
      <w:r w:rsidR="005C727C">
        <w:rPr>
          <w:b/>
          <w:sz w:val="24"/>
          <w:szCs w:val="24"/>
          <w:lang w:eastAsia="de-DE"/>
        </w:rPr>
        <w:t xml:space="preserve">steps </w:t>
      </w:r>
      <w:r w:rsidRPr="001533EC">
        <w:rPr>
          <w:b/>
          <w:sz w:val="24"/>
          <w:szCs w:val="24"/>
          <w:lang w:eastAsia="de-DE"/>
        </w:rPr>
        <w:t>and cohorts.</w:t>
      </w:r>
      <w:r w:rsidRPr="001533EC">
        <w:rPr>
          <w:sz w:val="24"/>
          <w:szCs w:val="24"/>
          <w:lang w:eastAsia="de-DE"/>
        </w:rPr>
        <w:t xml:space="preserve"> Three independent groups of participants </w:t>
      </w:r>
      <w:r w:rsidR="001D0ACF">
        <w:rPr>
          <w:sz w:val="24"/>
          <w:szCs w:val="24"/>
          <w:lang w:eastAsia="de-DE"/>
        </w:rPr>
        <w:t>were</w:t>
      </w:r>
      <w:r w:rsidR="001D0ACF" w:rsidRPr="001533EC">
        <w:rPr>
          <w:sz w:val="24"/>
          <w:szCs w:val="24"/>
          <w:lang w:eastAsia="de-DE"/>
        </w:rPr>
        <w:t xml:space="preserve"> </w:t>
      </w:r>
      <w:r w:rsidRPr="001533EC">
        <w:rPr>
          <w:sz w:val="24"/>
          <w:szCs w:val="24"/>
          <w:lang w:eastAsia="de-DE"/>
        </w:rPr>
        <w:t>included</w:t>
      </w:r>
      <w:r w:rsidR="00E5619B">
        <w:rPr>
          <w:sz w:val="24"/>
          <w:szCs w:val="24"/>
          <w:lang w:eastAsia="de-DE"/>
        </w:rPr>
        <w:t xml:space="preserve"> among the</w:t>
      </w:r>
      <w:r w:rsidRPr="001533EC">
        <w:rPr>
          <w:sz w:val="24"/>
          <w:szCs w:val="24"/>
          <w:lang w:eastAsia="de-DE"/>
        </w:rPr>
        <w:t xml:space="preserve"> discovery and replication cohorts. In both cohorts, participants underwent functional Magnetic Resonance Imaging (fMRI) after intranasal insulin application. Based on the dynamic of cerebral blood flow in response to intranasal insulin, participants were classified either as brain insulin resistant (BIR) or sensitive (BIS). First, a machine learning pipeline was applied to all CpG sites measured by the EPICv1 array to identify CpG sites </w:t>
      </w:r>
      <w:r w:rsidR="00DD5115">
        <w:rPr>
          <w:sz w:val="24"/>
          <w:szCs w:val="24"/>
          <w:lang w:eastAsia="de-DE"/>
        </w:rPr>
        <w:t>that associate with</w:t>
      </w:r>
      <w:r w:rsidRPr="001533EC">
        <w:rPr>
          <w:sz w:val="24"/>
          <w:szCs w:val="24"/>
          <w:lang w:eastAsia="de-DE"/>
        </w:rPr>
        <w:t xml:space="preserve"> brain insulin resistance (depicted in the blue frame). Results of the machine learning analyses identified in the discovery cohort were validated in a replication cohort (</w:t>
      </w:r>
      <w:r w:rsidR="0001007E">
        <w:rPr>
          <w:sz w:val="24"/>
          <w:szCs w:val="24"/>
          <w:lang w:eastAsia="de-DE"/>
        </w:rPr>
        <w:t>see</w:t>
      </w:r>
      <w:r w:rsidRPr="001533EC">
        <w:rPr>
          <w:sz w:val="24"/>
          <w:szCs w:val="24"/>
          <w:lang w:eastAsia="de-DE"/>
        </w:rPr>
        <w:t xml:space="preserve"> methods and fig. S1). Second, epigenetic signatures associated with brain insulin resistance were </w:t>
      </w:r>
      <w:r w:rsidR="00AE3BCF">
        <w:rPr>
          <w:sz w:val="24"/>
          <w:szCs w:val="24"/>
          <w:lang w:eastAsia="de-DE"/>
        </w:rPr>
        <w:t>detected</w:t>
      </w:r>
      <w:r w:rsidR="00AE3BCF" w:rsidRPr="001533EC">
        <w:rPr>
          <w:sz w:val="24"/>
          <w:szCs w:val="24"/>
          <w:lang w:eastAsia="de-DE"/>
        </w:rPr>
        <w:t xml:space="preserve"> </w:t>
      </w:r>
      <w:r w:rsidRPr="001533EC">
        <w:rPr>
          <w:sz w:val="24"/>
          <w:szCs w:val="24"/>
          <w:lang w:eastAsia="de-DE"/>
        </w:rPr>
        <w:t xml:space="preserve">when comparing the DNA methylation profiles in blood cells of 81 BIS and 86 BIR individuals. </w:t>
      </w:r>
      <w:r w:rsidR="00DD6F03">
        <w:rPr>
          <w:sz w:val="24"/>
          <w:szCs w:val="24"/>
          <w:lang w:eastAsia="de-DE"/>
        </w:rPr>
        <w:t>D</w:t>
      </w:r>
      <w:r w:rsidRPr="001533EC">
        <w:rPr>
          <w:sz w:val="24"/>
          <w:szCs w:val="24"/>
          <w:lang w:eastAsia="de-DE"/>
        </w:rPr>
        <w:t>ifferential DNA methylation analysis was followed by pathway enrichment analysis.</w:t>
      </w:r>
    </w:p>
    <w:p w14:paraId="7E117C3D" w14:textId="4187883B" w:rsidR="00691A32" w:rsidRPr="001533EC" w:rsidRDefault="00691A32" w:rsidP="00691A32">
      <w:pPr>
        <w:spacing w:line="480" w:lineRule="auto"/>
        <w:jc w:val="both"/>
        <w:rPr>
          <w:sz w:val="24"/>
          <w:szCs w:val="24"/>
        </w:rPr>
      </w:pPr>
      <w:bookmarkStart w:id="13" w:name="_Hlk187160765"/>
      <w:bookmarkEnd w:id="12"/>
      <w:r w:rsidRPr="001533EC">
        <w:rPr>
          <w:b/>
          <w:sz w:val="24"/>
          <w:szCs w:val="24"/>
          <w:lang w:eastAsia="de-DE"/>
        </w:rPr>
        <w:t>Figure 2.</w:t>
      </w:r>
      <w:r w:rsidRPr="001533EC">
        <w:rPr>
          <w:b/>
          <w:sz w:val="24"/>
          <w:szCs w:val="24"/>
        </w:rPr>
        <w:t xml:space="preserve"> Machine learning identifie</w:t>
      </w:r>
      <w:r w:rsidR="004105AC">
        <w:rPr>
          <w:b/>
          <w:sz w:val="24"/>
          <w:szCs w:val="24"/>
        </w:rPr>
        <w:t>s</w:t>
      </w:r>
      <w:r w:rsidRPr="001533EC">
        <w:rPr>
          <w:b/>
          <w:sz w:val="24"/>
          <w:szCs w:val="24"/>
        </w:rPr>
        <w:t xml:space="preserve"> epigenetic </w:t>
      </w:r>
      <w:r w:rsidR="002E6D60">
        <w:rPr>
          <w:b/>
          <w:sz w:val="24"/>
          <w:szCs w:val="24"/>
        </w:rPr>
        <w:t>classifiers</w:t>
      </w:r>
      <w:r w:rsidR="002E6D60" w:rsidRPr="001533EC">
        <w:rPr>
          <w:b/>
          <w:sz w:val="24"/>
          <w:szCs w:val="24"/>
        </w:rPr>
        <w:t xml:space="preserve"> </w:t>
      </w:r>
      <w:r w:rsidR="00FE1AB1">
        <w:rPr>
          <w:b/>
          <w:sz w:val="24"/>
          <w:szCs w:val="24"/>
        </w:rPr>
        <w:t>of</w:t>
      </w:r>
      <w:r w:rsidR="00FE1AB1" w:rsidRPr="001533EC">
        <w:rPr>
          <w:b/>
          <w:sz w:val="24"/>
          <w:szCs w:val="24"/>
        </w:rPr>
        <w:t xml:space="preserve"> </w:t>
      </w:r>
      <w:r w:rsidRPr="001533EC">
        <w:rPr>
          <w:b/>
          <w:sz w:val="24"/>
          <w:szCs w:val="24"/>
        </w:rPr>
        <w:t>brain insulin resistance.</w:t>
      </w:r>
      <w:r w:rsidRPr="001533EC">
        <w:rPr>
          <w:sz w:val="24"/>
          <w:szCs w:val="24"/>
        </w:rPr>
        <w:t xml:space="preserve"> (A) Heatmap depicting scaled methylation of 540 CpG sites identified </w:t>
      </w:r>
      <w:r w:rsidR="00795AD6">
        <w:rPr>
          <w:sz w:val="24"/>
          <w:szCs w:val="24"/>
        </w:rPr>
        <w:t>by</w:t>
      </w:r>
      <w:r w:rsidR="00795AD6" w:rsidRPr="001533EC">
        <w:rPr>
          <w:sz w:val="24"/>
          <w:szCs w:val="24"/>
        </w:rPr>
        <w:t xml:space="preserve"> </w:t>
      </w:r>
      <w:r w:rsidRPr="001533EC">
        <w:rPr>
          <w:sz w:val="24"/>
          <w:szCs w:val="24"/>
        </w:rPr>
        <w:t>machine learning in the discovery cohort (red: high DNA methylation; blue: low DNA methylation).</w:t>
      </w:r>
      <w:r w:rsidR="00262AA1">
        <w:rPr>
          <w:sz w:val="24"/>
          <w:szCs w:val="24"/>
        </w:rPr>
        <w:t xml:space="preserve"> CpG sites and methylation are detailed in data file S2.</w:t>
      </w:r>
      <w:r w:rsidRPr="001533EC">
        <w:rPr>
          <w:sz w:val="24"/>
          <w:szCs w:val="24"/>
        </w:rPr>
        <w:t xml:space="preserve"> (B) Sensitivity to 1-Specificity plots are shown for the replication cohort I (n = 33) using Random Forest and Support Vector Machine. Tables correspond to confusion matri</w:t>
      </w:r>
      <w:r w:rsidR="005F59B5">
        <w:rPr>
          <w:sz w:val="24"/>
          <w:szCs w:val="24"/>
        </w:rPr>
        <w:t>ces</w:t>
      </w:r>
      <w:r w:rsidRPr="001533EC">
        <w:rPr>
          <w:sz w:val="24"/>
          <w:szCs w:val="24"/>
        </w:rPr>
        <w:t xml:space="preserve"> and the accuracy of the two models (Random Forest and Support Vector Machine) in the replication cohort I (lower panels)</w:t>
      </w:r>
      <w:r w:rsidR="00CB1014">
        <w:rPr>
          <w:sz w:val="24"/>
          <w:szCs w:val="24"/>
        </w:rPr>
        <w:t xml:space="preserve"> at predicting brain insulin resistance</w:t>
      </w:r>
      <w:r w:rsidRPr="001533EC">
        <w:rPr>
          <w:sz w:val="24"/>
          <w:szCs w:val="24"/>
        </w:rPr>
        <w:t xml:space="preserve">. Precision recall plots are </w:t>
      </w:r>
      <w:proofErr w:type="spellStart"/>
      <w:r w:rsidR="00887D52">
        <w:rPr>
          <w:sz w:val="24"/>
          <w:szCs w:val="24"/>
        </w:rPr>
        <w:t>embeded</w:t>
      </w:r>
      <w:proofErr w:type="spellEnd"/>
      <w:r w:rsidR="00887D52">
        <w:rPr>
          <w:sz w:val="24"/>
          <w:szCs w:val="24"/>
        </w:rPr>
        <w:t xml:space="preserve"> in the ROC-AUC plots</w:t>
      </w:r>
      <w:r w:rsidR="00FE3395">
        <w:rPr>
          <w:sz w:val="24"/>
          <w:szCs w:val="24"/>
        </w:rPr>
        <w:t xml:space="preserve">, with the left panel showing results for RF and in the right for SVM </w:t>
      </w:r>
      <w:r w:rsidRPr="001533EC">
        <w:rPr>
          <w:sz w:val="24"/>
          <w:szCs w:val="24"/>
        </w:rPr>
        <w:t>(</w:t>
      </w:r>
      <w:r w:rsidR="00FE3395">
        <w:rPr>
          <w:sz w:val="24"/>
          <w:szCs w:val="24"/>
        </w:rPr>
        <w:t>C</w:t>
      </w:r>
      <w:r w:rsidRPr="001533EC">
        <w:rPr>
          <w:sz w:val="24"/>
          <w:szCs w:val="24"/>
        </w:rPr>
        <w:t xml:space="preserve">) Gene ontology enrichment analysis of the 445 genes corresponding to the 540 identified CpG sites performed with </w:t>
      </w:r>
      <w:proofErr w:type="spellStart"/>
      <w:r w:rsidRPr="001533EC">
        <w:rPr>
          <w:sz w:val="24"/>
          <w:szCs w:val="24"/>
        </w:rPr>
        <w:t>cytoscape</w:t>
      </w:r>
      <w:proofErr w:type="spellEnd"/>
      <w:r w:rsidRPr="001533EC">
        <w:rPr>
          <w:sz w:val="24"/>
          <w:szCs w:val="24"/>
        </w:rPr>
        <w:t>. The color bar depicts the p-value of the GO enrichment, similar terms were grouped together (black circles), blue lines connect GO terms according to hierarchy and shared genes. TP: true positive; TN: true negative; FP: false positive; FN: false negative; AUC: area under curve.</w:t>
      </w:r>
    </w:p>
    <w:p w14:paraId="7FD824F8" w14:textId="44D75B46" w:rsidR="00691A32" w:rsidRPr="001533EC" w:rsidRDefault="00691A32" w:rsidP="00691A32">
      <w:pPr>
        <w:spacing w:line="480" w:lineRule="auto"/>
        <w:jc w:val="both"/>
        <w:rPr>
          <w:sz w:val="24"/>
          <w:szCs w:val="24"/>
        </w:rPr>
      </w:pPr>
      <w:bookmarkStart w:id="14" w:name="_Hlk187160503"/>
      <w:bookmarkEnd w:id="13"/>
      <w:r w:rsidRPr="001533EC">
        <w:rPr>
          <w:b/>
          <w:sz w:val="24"/>
          <w:szCs w:val="24"/>
          <w:lang w:eastAsia="de-DE"/>
        </w:rPr>
        <w:lastRenderedPageBreak/>
        <w:t>Figure 3.</w:t>
      </w:r>
      <w:r w:rsidRPr="001533EC">
        <w:rPr>
          <w:sz w:val="24"/>
          <w:szCs w:val="24"/>
          <w:lang w:eastAsia="de-DE"/>
        </w:rPr>
        <w:t xml:space="preserve"> </w:t>
      </w:r>
      <w:r w:rsidRPr="001533EC">
        <w:rPr>
          <w:b/>
          <w:sz w:val="24"/>
          <w:szCs w:val="24"/>
          <w:lang w:eastAsia="de-DE"/>
        </w:rPr>
        <w:t>Epigenetic signatures associated with brain insulin resistance.</w:t>
      </w:r>
      <w:r w:rsidRPr="001533EC">
        <w:rPr>
          <w:sz w:val="24"/>
          <w:szCs w:val="24"/>
          <w:lang w:eastAsia="de-DE"/>
        </w:rPr>
        <w:t xml:space="preserve"> </w:t>
      </w:r>
      <w:r w:rsidR="002B2ACD">
        <w:rPr>
          <w:sz w:val="24"/>
          <w:szCs w:val="24"/>
          <w:lang w:eastAsia="de-DE"/>
        </w:rPr>
        <w:t>(A) N</w:t>
      </w:r>
      <w:r w:rsidRPr="001533EC">
        <w:rPr>
          <w:sz w:val="24"/>
          <w:szCs w:val="24"/>
          <w:lang w:eastAsia="de-DE"/>
        </w:rPr>
        <w:t>umber of differentially methylated CpG sites</w:t>
      </w:r>
      <w:r w:rsidR="00C178D8">
        <w:rPr>
          <w:sz w:val="24"/>
          <w:szCs w:val="24"/>
          <w:lang w:eastAsia="de-DE"/>
        </w:rPr>
        <w:t xml:space="preserve"> in the discovery cohort</w:t>
      </w:r>
      <w:r w:rsidR="002B2ACD">
        <w:rPr>
          <w:sz w:val="24"/>
          <w:szCs w:val="24"/>
          <w:lang w:eastAsia="de-DE"/>
        </w:rPr>
        <w:t>.</w:t>
      </w:r>
      <w:r w:rsidR="005A763B">
        <w:rPr>
          <w:sz w:val="24"/>
          <w:szCs w:val="24"/>
          <w:lang w:val="en-GB"/>
        </w:rPr>
        <w:t xml:space="preserve">(B) </w:t>
      </w:r>
      <w:r w:rsidRPr="001533EC">
        <w:rPr>
          <w:sz w:val="24"/>
          <w:szCs w:val="24"/>
          <w:lang w:val="en-GB"/>
        </w:rPr>
        <w:t xml:space="preserve"> </w:t>
      </w:r>
      <w:r w:rsidR="005A763B">
        <w:rPr>
          <w:sz w:val="24"/>
          <w:szCs w:val="24"/>
          <w:lang w:val="en-GB"/>
        </w:rPr>
        <w:t>D</w:t>
      </w:r>
      <w:r w:rsidRPr="001533EC">
        <w:rPr>
          <w:sz w:val="24"/>
          <w:szCs w:val="24"/>
          <w:lang w:val="en-GB"/>
        </w:rPr>
        <w:t>istribution of hyper- and hypomethylated CpG sites in blood cells of BIR when compared to</w:t>
      </w:r>
      <w:r w:rsidRPr="001533EC">
        <w:rPr>
          <w:b/>
          <w:sz w:val="24"/>
          <w:szCs w:val="24"/>
          <w:lang w:val="en-GB"/>
        </w:rPr>
        <w:t xml:space="preserve"> </w:t>
      </w:r>
      <w:r w:rsidRPr="001533EC">
        <w:rPr>
          <w:sz w:val="24"/>
          <w:szCs w:val="24"/>
          <w:lang w:val="en-GB"/>
        </w:rPr>
        <w:t>BIS participants</w:t>
      </w:r>
      <w:r w:rsidR="00C178D8">
        <w:rPr>
          <w:sz w:val="24"/>
          <w:szCs w:val="24"/>
          <w:lang w:val="en-GB"/>
        </w:rPr>
        <w:t xml:space="preserve"> of the discovery cohort</w:t>
      </w:r>
      <w:r w:rsidRPr="001533EC">
        <w:rPr>
          <w:sz w:val="24"/>
          <w:szCs w:val="24"/>
          <w:lang w:val="en-GB"/>
        </w:rPr>
        <w:t xml:space="preserve"> is depicted by a volcano plot</w:t>
      </w:r>
      <w:r w:rsidR="00E651DF">
        <w:rPr>
          <w:sz w:val="24"/>
          <w:szCs w:val="24"/>
          <w:lang w:val="en-GB"/>
        </w:rPr>
        <w:t xml:space="preserve"> </w:t>
      </w:r>
      <w:r w:rsidR="00E614CC">
        <w:rPr>
          <w:sz w:val="24"/>
          <w:szCs w:val="24"/>
          <w:lang w:val="en-GB"/>
        </w:rPr>
        <w:t xml:space="preserve"> (details are in Data file 2)</w:t>
      </w:r>
      <w:r w:rsidRPr="001533EC">
        <w:rPr>
          <w:sz w:val="24"/>
          <w:szCs w:val="24"/>
          <w:lang w:val="en-GB"/>
        </w:rPr>
        <w:t xml:space="preserve">Magenta and teal dots represent the 181 hyper- and 317 hypomethylated CpG sites (also </w:t>
      </w:r>
      <w:proofErr w:type="spellStart"/>
      <w:r w:rsidRPr="001533EC">
        <w:rPr>
          <w:sz w:val="24"/>
          <w:szCs w:val="24"/>
          <w:lang w:val="en-GB"/>
        </w:rPr>
        <w:t>refered</w:t>
      </w:r>
      <w:proofErr w:type="spellEnd"/>
      <w:r w:rsidRPr="001533EC">
        <w:rPr>
          <w:sz w:val="24"/>
          <w:szCs w:val="24"/>
          <w:lang w:val="en-GB"/>
        </w:rPr>
        <w:t xml:space="preserve"> as DMPs, differentially methylated pos</w:t>
      </w:r>
      <w:r w:rsidR="00523E8E">
        <w:rPr>
          <w:sz w:val="24"/>
          <w:szCs w:val="24"/>
          <w:lang w:val="en-GB"/>
        </w:rPr>
        <w:t>i</w:t>
      </w:r>
      <w:r w:rsidRPr="001533EC">
        <w:rPr>
          <w:sz w:val="24"/>
          <w:szCs w:val="24"/>
          <w:lang w:val="en-GB"/>
        </w:rPr>
        <w:t>tions) with absolute methylation differences higher than 2.5% (</w:t>
      </w:r>
      <w:r w:rsidRPr="001533EC">
        <w:rPr>
          <w:sz w:val="24"/>
          <w:szCs w:val="24"/>
        </w:rPr>
        <w:t>|Δβ| = |β</w:t>
      </w:r>
      <w:r w:rsidRPr="001533EC">
        <w:rPr>
          <w:sz w:val="24"/>
          <w:szCs w:val="24"/>
          <w:vertAlign w:val="subscript"/>
        </w:rPr>
        <w:t>BIS</w:t>
      </w:r>
      <w:r w:rsidRPr="001533EC">
        <w:rPr>
          <w:sz w:val="24"/>
          <w:szCs w:val="24"/>
        </w:rPr>
        <w:t xml:space="preserve"> - β</w:t>
      </w:r>
      <w:r w:rsidRPr="001533EC">
        <w:rPr>
          <w:sz w:val="24"/>
          <w:szCs w:val="24"/>
          <w:vertAlign w:val="subscript"/>
        </w:rPr>
        <w:t>BIR</w:t>
      </w:r>
      <w:r w:rsidRPr="001533EC">
        <w:rPr>
          <w:sz w:val="24"/>
          <w:szCs w:val="24"/>
        </w:rPr>
        <w:t>| ≥ 2.5%: AdjP &lt; 0.05</w:t>
      </w:r>
      <w:r w:rsidRPr="001533EC">
        <w:rPr>
          <w:sz w:val="24"/>
          <w:szCs w:val="24"/>
          <w:lang w:val="en-GB"/>
        </w:rPr>
        <w:t>), respectively. Gray dots refer to the remaining significantly different CpG sites (</w:t>
      </w:r>
      <w:r w:rsidR="00C178D8">
        <w:rPr>
          <w:sz w:val="24"/>
          <w:szCs w:val="24"/>
          <w:lang w:val="en-GB"/>
        </w:rPr>
        <w:t>n</w:t>
      </w:r>
      <w:r w:rsidR="00B92941">
        <w:rPr>
          <w:sz w:val="24"/>
          <w:szCs w:val="24"/>
          <w:lang w:val="en-GB"/>
        </w:rPr>
        <w:t xml:space="preserve"> </w:t>
      </w:r>
      <w:r w:rsidR="00C178D8">
        <w:rPr>
          <w:sz w:val="24"/>
          <w:szCs w:val="24"/>
          <w:lang w:val="en-GB"/>
        </w:rPr>
        <w:t>=</w:t>
      </w:r>
      <w:r w:rsidR="00B92941">
        <w:rPr>
          <w:sz w:val="24"/>
          <w:szCs w:val="24"/>
          <w:lang w:val="en-GB"/>
        </w:rPr>
        <w:t xml:space="preserve"> </w:t>
      </w:r>
      <w:r w:rsidR="00C178D8">
        <w:rPr>
          <w:sz w:val="24"/>
          <w:szCs w:val="24"/>
          <w:lang w:val="en-GB"/>
        </w:rPr>
        <w:t xml:space="preserve">167, </w:t>
      </w:r>
      <w:r w:rsidRPr="001533EC">
        <w:rPr>
          <w:sz w:val="24"/>
          <w:szCs w:val="24"/>
        </w:rPr>
        <w:t>|Δβ| = β</w:t>
      </w:r>
      <w:r w:rsidRPr="001533EC">
        <w:rPr>
          <w:sz w:val="24"/>
          <w:szCs w:val="24"/>
          <w:vertAlign w:val="subscript"/>
        </w:rPr>
        <w:t>BIS</w:t>
      </w:r>
      <w:r w:rsidRPr="001533EC">
        <w:rPr>
          <w:sz w:val="24"/>
          <w:szCs w:val="24"/>
        </w:rPr>
        <w:t xml:space="preserve"> - β</w:t>
      </w:r>
      <w:r w:rsidRPr="001533EC">
        <w:rPr>
          <w:sz w:val="24"/>
          <w:szCs w:val="24"/>
          <w:vertAlign w:val="subscript"/>
        </w:rPr>
        <w:t>BIR</w:t>
      </w:r>
      <w:r w:rsidRPr="001533EC">
        <w:rPr>
          <w:sz w:val="24"/>
          <w:szCs w:val="24"/>
        </w:rPr>
        <w:t xml:space="preserve"> ≤ 2.5%: AdjP &lt; 0.05</w:t>
      </w:r>
      <w:r w:rsidRPr="001533EC">
        <w:rPr>
          <w:sz w:val="24"/>
          <w:szCs w:val="24"/>
          <w:lang w:val="en-GB"/>
        </w:rPr>
        <w:t xml:space="preserve">). (C) Upper panel shows the number of genes annotated to DMPs. The </w:t>
      </w:r>
      <w:proofErr w:type="spellStart"/>
      <w:r w:rsidRPr="001533EC">
        <w:rPr>
          <w:sz w:val="24"/>
          <w:szCs w:val="24"/>
          <w:lang w:val="en-GB"/>
        </w:rPr>
        <w:t>barplot</w:t>
      </w:r>
      <w:proofErr w:type="spellEnd"/>
      <w:r w:rsidRPr="001533EC">
        <w:rPr>
          <w:sz w:val="24"/>
          <w:szCs w:val="24"/>
          <w:lang w:val="en-GB"/>
        </w:rPr>
        <w:t xml:space="preserve"> below corresponds to pathway enrichment analysis of the 304 differentially methylated genes, identified with DAVID tools</w:t>
      </w:r>
      <w:r w:rsidR="00E614CC">
        <w:rPr>
          <w:sz w:val="24"/>
          <w:szCs w:val="24"/>
          <w:lang w:val="en-GB"/>
        </w:rPr>
        <w:t xml:space="preserve"> (Data file 1, Table S2)</w:t>
      </w:r>
      <w:r w:rsidRPr="001533EC">
        <w:rPr>
          <w:sz w:val="24"/>
          <w:szCs w:val="24"/>
          <w:lang w:val="en-GB"/>
        </w:rPr>
        <w:t xml:space="preserve">. </w:t>
      </w:r>
      <w:r w:rsidRPr="001533EC">
        <w:rPr>
          <w:sz w:val="24"/>
          <w:szCs w:val="24"/>
        </w:rPr>
        <w:t xml:space="preserve">(D) Venn diagram illustrating overlap of </w:t>
      </w:r>
      <w:proofErr w:type="spellStart"/>
      <w:r w:rsidRPr="001533EC">
        <w:rPr>
          <w:sz w:val="24"/>
          <w:szCs w:val="24"/>
        </w:rPr>
        <w:t>CpGs</w:t>
      </w:r>
      <w:proofErr w:type="spellEnd"/>
      <w:r w:rsidRPr="001533EC">
        <w:rPr>
          <w:sz w:val="24"/>
          <w:szCs w:val="24"/>
        </w:rPr>
        <w:t xml:space="preserve"> from Elastic net (gray) and differentially methylated (light green). Red circle depicts the 540 stable CpG </w:t>
      </w:r>
      <w:r w:rsidR="002E6D60">
        <w:rPr>
          <w:sz w:val="24"/>
          <w:szCs w:val="24"/>
        </w:rPr>
        <w:t>classifiers</w:t>
      </w:r>
      <w:r w:rsidRPr="001533EC">
        <w:rPr>
          <w:sz w:val="24"/>
          <w:szCs w:val="24"/>
        </w:rPr>
        <w:t>, blue circle includes the DMPs with highest methylation changes (|Δβ| = |β</w:t>
      </w:r>
      <w:r w:rsidRPr="001533EC">
        <w:rPr>
          <w:sz w:val="24"/>
          <w:szCs w:val="24"/>
          <w:vertAlign w:val="subscript"/>
        </w:rPr>
        <w:t>BIS</w:t>
      </w:r>
      <w:r w:rsidRPr="001533EC">
        <w:rPr>
          <w:sz w:val="24"/>
          <w:szCs w:val="24"/>
        </w:rPr>
        <w:t xml:space="preserve"> - β</w:t>
      </w:r>
      <w:r w:rsidRPr="001533EC">
        <w:rPr>
          <w:sz w:val="24"/>
          <w:szCs w:val="24"/>
          <w:vertAlign w:val="subscript"/>
        </w:rPr>
        <w:t>BIR</w:t>
      </w:r>
      <w:r w:rsidRPr="001533EC">
        <w:rPr>
          <w:sz w:val="24"/>
          <w:szCs w:val="24"/>
        </w:rPr>
        <w:t>| ≥ 2.5%: AdjP&lt;0.05).</w:t>
      </w:r>
    </w:p>
    <w:p w14:paraId="220F4531" w14:textId="40AC639E" w:rsidR="00691A32" w:rsidRPr="001533EC" w:rsidRDefault="00691A32" w:rsidP="00691A32">
      <w:pPr>
        <w:spacing w:line="480" w:lineRule="auto"/>
        <w:jc w:val="both"/>
        <w:rPr>
          <w:sz w:val="24"/>
          <w:szCs w:val="24"/>
        </w:rPr>
      </w:pPr>
      <w:bookmarkStart w:id="15" w:name="_Hlk187160267"/>
      <w:bookmarkEnd w:id="14"/>
      <w:r w:rsidRPr="001533EC">
        <w:rPr>
          <w:b/>
          <w:sz w:val="24"/>
          <w:szCs w:val="24"/>
        </w:rPr>
        <w:t xml:space="preserve">Figure 4. DNA methylation of the CpG </w:t>
      </w:r>
      <w:r w:rsidR="004C375A">
        <w:rPr>
          <w:b/>
          <w:sz w:val="24"/>
          <w:szCs w:val="24"/>
        </w:rPr>
        <w:t>classifiers</w:t>
      </w:r>
      <w:r w:rsidR="004C375A" w:rsidRPr="001533EC">
        <w:rPr>
          <w:b/>
          <w:sz w:val="24"/>
          <w:szCs w:val="24"/>
        </w:rPr>
        <w:t xml:space="preserve"> </w:t>
      </w:r>
      <w:r w:rsidRPr="001533EC">
        <w:rPr>
          <w:b/>
          <w:sz w:val="24"/>
          <w:szCs w:val="24"/>
        </w:rPr>
        <w:t>strongly correlate</w:t>
      </w:r>
      <w:r w:rsidR="00597AE4">
        <w:rPr>
          <w:b/>
          <w:sz w:val="24"/>
          <w:szCs w:val="24"/>
        </w:rPr>
        <w:t>s</w:t>
      </w:r>
      <w:r w:rsidRPr="001533EC">
        <w:rPr>
          <w:b/>
          <w:sz w:val="24"/>
          <w:szCs w:val="24"/>
        </w:rPr>
        <w:t xml:space="preserve"> with brain insulin resistance.</w:t>
      </w:r>
      <w:r w:rsidRPr="001533EC">
        <w:rPr>
          <w:sz w:val="24"/>
          <w:szCs w:val="24"/>
        </w:rPr>
        <w:t xml:space="preserve"> </w:t>
      </w:r>
      <w:r w:rsidR="009A4B05">
        <w:rPr>
          <w:sz w:val="24"/>
          <w:szCs w:val="24"/>
        </w:rPr>
        <w:t>Heatmap</w:t>
      </w:r>
      <w:r w:rsidRPr="001533EC">
        <w:rPr>
          <w:sz w:val="24"/>
          <w:szCs w:val="24"/>
        </w:rPr>
        <w:t xml:space="preserve"> show</w:t>
      </w:r>
      <w:r w:rsidR="009A4B05">
        <w:rPr>
          <w:sz w:val="24"/>
          <w:szCs w:val="24"/>
        </w:rPr>
        <w:t>ing</w:t>
      </w:r>
      <w:r w:rsidRPr="001533EC">
        <w:rPr>
          <w:sz w:val="24"/>
          <w:szCs w:val="24"/>
        </w:rPr>
        <w:t xml:space="preserve"> the Spearman correlation coefficient </w:t>
      </w:r>
      <w:r w:rsidR="000315F2">
        <w:rPr>
          <w:sz w:val="24"/>
          <w:szCs w:val="24"/>
        </w:rPr>
        <w:t>of</w:t>
      </w:r>
      <w:r w:rsidR="000315F2" w:rsidRPr="001533EC">
        <w:rPr>
          <w:sz w:val="24"/>
          <w:szCs w:val="24"/>
        </w:rPr>
        <w:t xml:space="preserve"> </w:t>
      </w:r>
      <w:r w:rsidRPr="001533EC">
        <w:rPr>
          <w:sz w:val="24"/>
          <w:szCs w:val="24"/>
        </w:rPr>
        <w:t xml:space="preserve">the 68 </w:t>
      </w:r>
      <w:proofErr w:type="spellStart"/>
      <w:r w:rsidRPr="001533EC">
        <w:rPr>
          <w:sz w:val="24"/>
          <w:szCs w:val="24"/>
        </w:rPr>
        <w:t>CpGs</w:t>
      </w:r>
      <w:proofErr w:type="spellEnd"/>
      <w:r w:rsidRPr="001533EC">
        <w:rPr>
          <w:sz w:val="24"/>
          <w:szCs w:val="24"/>
        </w:rPr>
        <w:t xml:space="preserve"> (see Figure 3D) with clinical variables from the discovery </w:t>
      </w:r>
      <w:r w:rsidR="009A7449">
        <w:rPr>
          <w:sz w:val="24"/>
          <w:szCs w:val="24"/>
        </w:rPr>
        <w:t>(n</w:t>
      </w:r>
      <w:r w:rsidR="00B92941">
        <w:rPr>
          <w:sz w:val="24"/>
          <w:szCs w:val="24"/>
        </w:rPr>
        <w:t xml:space="preserve"> </w:t>
      </w:r>
      <w:r w:rsidR="009A7449">
        <w:rPr>
          <w:sz w:val="24"/>
          <w:szCs w:val="24"/>
        </w:rPr>
        <w:t>=</w:t>
      </w:r>
      <w:r w:rsidR="00B92941">
        <w:rPr>
          <w:sz w:val="24"/>
          <w:szCs w:val="24"/>
        </w:rPr>
        <w:t xml:space="preserve"> 167</w:t>
      </w:r>
      <w:r w:rsidR="009A7449">
        <w:rPr>
          <w:sz w:val="24"/>
          <w:szCs w:val="24"/>
        </w:rPr>
        <w:t xml:space="preserve">) </w:t>
      </w:r>
      <w:r w:rsidRPr="001533EC">
        <w:rPr>
          <w:sz w:val="24"/>
          <w:szCs w:val="24"/>
        </w:rPr>
        <w:t>and replication</w:t>
      </w:r>
      <w:r w:rsidR="00B92941">
        <w:rPr>
          <w:sz w:val="24"/>
          <w:szCs w:val="24"/>
        </w:rPr>
        <w:t xml:space="preserve"> I</w:t>
      </w:r>
      <w:r w:rsidR="009A7449">
        <w:rPr>
          <w:sz w:val="24"/>
          <w:szCs w:val="24"/>
        </w:rPr>
        <w:t xml:space="preserve"> (n</w:t>
      </w:r>
      <w:r w:rsidR="00B92941">
        <w:rPr>
          <w:sz w:val="24"/>
          <w:szCs w:val="24"/>
        </w:rPr>
        <w:t xml:space="preserve"> </w:t>
      </w:r>
      <w:r w:rsidR="009A7449">
        <w:rPr>
          <w:sz w:val="24"/>
          <w:szCs w:val="24"/>
        </w:rPr>
        <w:t>=</w:t>
      </w:r>
      <w:r w:rsidR="00B92941">
        <w:rPr>
          <w:sz w:val="24"/>
          <w:szCs w:val="24"/>
        </w:rPr>
        <w:t xml:space="preserve"> 33</w:t>
      </w:r>
      <w:r w:rsidR="009A7449">
        <w:rPr>
          <w:sz w:val="24"/>
          <w:szCs w:val="24"/>
        </w:rPr>
        <w:t>)</w:t>
      </w:r>
      <w:r w:rsidRPr="001533EC">
        <w:rPr>
          <w:sz w:val="24"/>
          <w:szCs w:val="24"/>
        </w:rPr>
        <w:t xml:space="preserve"> cohort</w:t>
      </w:r>
      <w:r w:rsidR="008E6414">
        <w:rPr>
          <w:sz w:val="24"/>
          <w:szCs w:val="24"/>
        </w:rPr>
        <w:t>s</w:t>
      </w:r>
      <w:r w:rsidRPr="001533EC">
        <w:rPr>
          <w:sz w:val="24"/>
          <w:szCs w:val="24"/>
        </w:rPr>
        <w:t xml:space="preserve">. </w:t>
      </w:r>
      <w:r w:rsidR="00A651FB">
        <w:rPr>
          <w:sz w:val="24"/>
          <w:szCs w:val="24"/>
        </w:rPr>
        <w:t>P</w:t>
      </w:r>
      <w:r w:rsidRPr="001533EC">
        <w:rPr>
          <w:sz w:val="24"/>
          <w:szCs w:val="24"/>
        </w:rPr>
        <w:t>-value</w:t>
      </w:r>
      <w:r w:rsidR="00A651FB">
        <w:rPr>
          <w:sz w:val="24"/>
          <w:szCs w:val="24"/>
        </w:rPr>
        <w:t>s</w:t>
      </w:r>
      <w:r w:rsidRPr="001533EC">
        <w:rPr>
          <w:sz w:val="24"/>
          <w:szCs w:val="24"/>
        </w:rPr>
        <w:t xml:space="preserve"> w</w:t>
      </w:r>
      <w:r w:rsidR="00A651FB">
        <w:rPr>
          <w:sz w:val="24"/>
          <w:szCs w:val="24"/>
        </w:rPr>
        <w:t>ere</w:t>
      </w:r>
      <w:r w:rsidRPr="001533EC">
        <w:rPr>
          <w:sz w:val="24"/>
          <w:szCs w:val="24"/>
        </w:rPr>
        <w:t xml:space="preserve"> adjusted using the Benjamini-Hochberg method and </w:t>
      </w:r>
      <w:r w:rsidR="00485253">
        <w:rPr>
          <w:sz w:val="24"/>
          <w:szCs w:val="24"/>
        </w:rPr>
        <w:t>those</w:t>
      </w:r>
      <w:r w:rsidRPr="001533EC">
        <w:rPr>
          <w:sz w:val="24"/>
          <w:szCs w:val="24"/>
        </w:rPr>
        <w:t xml:space="preserve"> &lt; 0.05 were considered significant and marked with a star. The y-axis represents the phenotypes</w:t>
      </w:r>
      <w:r w:rsidR="003D6995">
        <w:rPr>
          <w:sz w:val="24"/>
          <w:szCs w:val="24"/>
        </w:rPr>
        <w:t>,</w:t>
      </w:r>
      <w:r w:rsidRPr="001533EC">
        <w:rPr>
          <w:sz w:val="24"/>
          <w:szCs w:val="24"/>
        </w:rPr>
        <w:t xml:space="preserve"> x-axis the </w:t>
      </w:r>
      <w:proofErr w:type="spellStart"/>
      <w:r w:rsidRPr="001533EC">
        <w:rPr>
          <w:sz w:val="24"/>
          <w:szCs w:val="24"/>
        </w:rPr>
        <w:t>CpGs</w:t>
      </w:r>
      <w:proofErr w:type="spellEnd"/>
      <w:r w:rsidRPr="001533EC">
        <w:rPr>
          <w:sz w:val="24"/>
          <w:szCs w:val="24"/>
        </w:rPr>
        <w:t xml:space="preserve">. Details about all 540 </w:t>
      </w:r>
      <w:proofErr w:type="spellStart"/>
      <w:r w:rsidRPr="001533EC">
        <w:rPr>
          <w:sz w:val="24"/>
          <w:szCs w:val="24"/>
        </w:rPr>
        <w:t>CpG</w:t>
      </w:r>
      <w:r w:rsidR="006B1EFA">
        <w:rPr>
          <w:sz w:val="24"/>
          <w:szCs w:val="24"/>
        </w:rPr>
        <w:t>s</w:t>
      </w:r>
      <w:proofErr w:type="spellEnd"/>
      <w:r w:rsidR="006B1EFA" w:rsidRPr="001533EC">
        <w:rPr>
          <w:sz w:val="24"/>
          <w:szCs w:val="24"/>
        </w:rPr>
        <w:t xml:space="preserve"> </w:t>
      </w:r>
      <w:r w:rsidRPr="001533EC">
        <w:rPr>
          <w:sz w:val="24"/>
          <w:szCs w:val="24"/>
        </w:rPr>
        <w:t xml:space="preserve">are available in </w:t>
      </w:r>
      <w:r w:rsidR="00E614CC">
        <w:rPr>
          <w:sz w:val="24"/>
          <w:szCs w:val="24"/>
        </w:rPr>
        <w:t xml:space="preserve">Data file </w:t>
      </w:r>
      <w:proofErr w:type="gramStart"/>
      <w:r w:rsidR="00E614CC">
        <w:rPr>
          <w:sz w:val="24"/>
          <w:szCs w:val="24"/>
        </w:rPr>
        <w:t>2.</w:t>
      </w:r>
      <w:r w:rsidRPr="001533EC">
        <w:rPr>
          <w:sz w:val="24"/>
          <w:szCs w:val="24"/>
        </w:rPr>
        <w:t>.</w:t>
      </w:r>
      <w:proofErr w:type="gramEnd"/>
    </w:p>
    <w:p w14:paraId="3EDE2F75" w14:textId="5647283E" w:rsidR="00691A32" w:rsidRPr="001533EC" w:rsidRDefault="00691A32" w:rsidP="00691A32">
      <w:pPr>
        <w:spacing w:line="480" w:lineRule="auto"/>
        <w:jc w:val="both"/>
        <w:rPr>
          <w:sz w:val="24"/>
          <w:szCs w:val="24"/>
        </w:rPr>
      </w:pPr>
      <w:bookmarkStart w:id="16" w:name="_Hlk187160159"/>
      <w:bookmarkEnd w:id="15"/>
      <w:r w:rsidRPr="001533EC">
        <w:rPr>
          <w:b/>
          <w:sz w:val="24"/>
          <w:szCs w:val="24"/>
        </w:rPr>
        <w:t xml:space="preserve">Figure 5. </w:t>
      </w:r>
      <w:proofErr w:type="spellStart"/>
      <w:r w:rsidRPr="001533EC">
        <w:rPr>
          <w:b/>
          <w:sz w:val="24"/>
          <w:szCs w:val="24"/>
        </w:rPr>
        <w:t>CpG</w:t>
      </w:r>
      <w:r w:rsidR="00AC36DE">
        <w:rPr>
          <w:b/>
          <w:sz w:val="24"/>
          <w:szCs w:val="24"/>
        </w:rPr>
        <w:t>s</w:t>
      </w:r>
      <w:proofErr w:type="spellEnd"/>
      <w:r w:rsidR="00AC36DE">
        <w:rPr>
          <w:b/>
          <w:sz w:val="24"/>
          <w:szCs w:val="24"/>
        </w:rPr>
        <w:t xml:space="preserve"> associated with</w:t>
      </w:r>
      <w:r w:rsidR="00642826" w:rsidRPr="001533EC">
        <w:rPr>
          <w:b/>
          <w:sz w:val="24"/>
          <w:szCs w:val="24"/>
        </w:rPr>
        <w:t xml:space="preserve"> </w:t>
      </w:r>
      <w:r w:rsidRPr="001533EC">
        <w:rPr>
          <w:b/>
          <w:sz w:val="24"/>
          <w:szCs w:val="24"/>
        </w:rPr>
        <w:t xml:space="preserve">brain insulin resistance show a strong blood-brain DNA methylation correlation. (A) </w:t>
      </w:r>
      <w:r w:rsidRPr="001533EC">
        <w:rPr>
          <w:sz w:val="24"/>
          <w:szCs w:val="24"/>
        </w:rPr>
        <w:t xml:space="preserve">Proportion of CpG sites </w:t>
      </w:r>
      <w:r w:rsidR="00C90DA0">
        <w:rPr>
          <w:sz w:val="24"/>
          <w:szCs w:val="24"/>
        </w:rPr>
        <w:t>found</w:t>
      </w:r>
      <w:r w:rsidRPr="001533EC">
        <w:rPr>
          <w:sz w:val="24"/>
          <w:szCs w:val="24"/>
        </w:rPr>
        <w:t xml:space="preserve"> in blood-brain comparison</w:t>
      </w:r>
      <w:r w:rsidR="00165681">
        <w:rPr>
          <w:sz w:val="24"/>
          <w:szCs w:val="24"/>
        </w:rPr>
        <w:t xml:space="preserve"> tool (</w:t>
      </w:r>
      <w:r w:rsidR="00165681" w:rsidRPr="001533EC">
        <w:rPr>
          <w:sz w:val="24"/>
          <w:szCs w:val="24"/>
        </w:rPr>
        <w:t>https://epigenetics.essex.ac.uk/bloodbrain/</w:t>
      </w:r>
      <w:r w:rsidR="00165681">
        <w:rPr>
          <w:sz w:val="24"/>
          <w:szCs w:val="24"/>
        </w:rPr>
        <w:t>)</w:t>
      </w:r>
      <w:r w:rsidRPr="001533EC">
        <w:rPr>
          <w:sz w:val="24"/>
          <w:szCs w:val="24"/>
        </w:rPr>
        <w:t xml:space="preserve">. </w:t>
      </w:r>
      <w:r w:rsidRPr="001533EC">
        <w:rPr>
          <w:b/>
          <w:sz w:val="24"/>
          <w:szCs w:val="24"/>
        </w:rPr>
        <w:t xml:space="preserve">(B) </w:t>
      </w:r>
      <w:r w:rsidRPr="001533EC">
        <w:rPr>
          <w:sz w:val="24"/>
          <w:szCs w:val="24"/>
        </w:rPr>
        <w:t xml:space="preserve">The stacked circular </w:t>
      </w:r>
      <w:proofErr w:type="spellStart"/>
      <w:r w:rsidRPr="001533EC">
        <w:rPr>
          <w:sz w:val="24"/>
          <w:szCs w:val="24"/>
        </w:rPr>
        <w:t>barplot</w:t>
      </w:r>
      <w:proofErr w:type="spellEnd"/>
      <w:r w:rsidRPr="001533EC">
        <w:rPr>
          <w:sz w:val="24"/>
          <w:szCs w:val="24"/>
        </w:rPr>
        <w:t xml:space="preserve"> </w:t>
      </w:r>
      <w:r w:rsidR="00165681">
        <w:rPr>
          <w:sz w:val="24"/>
          <w:szCs w:val="24"/>
        </w:rPr>
        <w:t>depicts all</w:t>
      </w:r>
      <w:r w:rsidRPr="001533EC">
        <w:rPr>
          <w:sz w:val="24"/>
          <w:szCs w:val="24"/>
        </w:rPr>
        <w:t xml:space="preserve"> the 540 </w:t>
      </w:r>
      <w:proofErr w:type="spellStart"/>
      <w:r w:rsidRPr="001533EC">
        <w:rPr>
          <w:sz w:val="24"/>
          <w:szCs w:val="24"/>
        </w:rPr>
        <w:t>CpG</w:t>
      </w:r>
      <w:r w:rsidR="00850946">
        <w:rPr>
          <w:sz w:val="24"/>
          <w:szCs w:val="24"/>
        </w:rPr>
        <w:t>s</w:t>
      </w:r>
      <w:proofErr w:type="spellEnd"/>
      <w:r w:rsidR="00165681">
        <w:rPr>
          <w:sz w:val="24"/>
          <w:szCs w:val="24"/>
        </w:rPr>
        <w:t xml:space="preserve"> </w:t>
      </w:r>
      <w:r w:rsidR="00850946">
        <w:rPr>
          <w:sz w:val="24"/>
          <w:szCs w:val="24"/>
        </w:rPr>
        <w:t xml:space="preserve">of which </w:t>
      </w:r>
      <w:r w:rsidR="000C36D1" w:rsidRPr="001533EC">
        <w:rPr>
          <w:sz w:val="24"/>
          <w:szCs w:val="24"/>
        </w:rPr>
        <w:t xml:space="preserve">98 </w:t>
      </w:r>
      <w:proofErr w:type="spellStart"/>
      <w:r w:rsidR="000C36D1" w:rsidRPr="001533EC">
        <w:rPr>
          <w:sz w:val="24"/>
          <w:szCs w:val="24"/>
        </w:rPr>
        <w:t>CpGs</w:t>
      </w:r>
      <w:proofErr w:type="spellEnd"/>
      <w:r w:rsidR="00850946">
        <w:rPr>
          <w:sz w:val="24"/>
          <w:szCs w:val="24"/>
        </w:rPr>
        <w:t xml:space="preserve"> (marked in blue and green colors) have </w:t>
      </w:r>
      <w:r w:rsidRPr="001533EC">
        <w:rPr>
          <w:sz w:val="24"/>
          <w:szCs w:val="24"/>
        </w:rPr>
        <w:t>significant blood-brain DNA methylation correlation</w:t>
      </w:r>
      <w:r w:rsidR="00ED0D23">
        <w:rPr>
          <w:sz w:val="24"/>
          <w:szCs w:val="24"/>
        </w:rPr>
        <w:t xml:space="preserve"> (P&lt;0.05)</w:t>
      </w:r>
      <w:r w:rsidRPr="001533EC">
        <w:rPr>
          <w:sz w:val="24"/>
          <w:szCs w:val="24"/>
        </w:rPr>
        <w:t xml:space="preserve"> based on the publicly available dataset. Each stack corresponds to one brain region and the color code depicts the direction and strength of the </w:t>
      </w:r>
      <w:r w:rsidRPr="001533EC">
        <w:rPr>
          <w:sz w:val="24"/>
          <w:szCs w:val="24"/>
        </w:rPr>
        <w:lastRenderedPageBreak/>
        <w:t xml:space="preserve">correlation coefficient. The corresponding brain regions are depicted as following from outer to inner </w:t>
      </w:r>
      <w:proofErr w:type="spellStart"/>
      <w:r w:rsidRPr="001533EC">
        <w:rPr>
          <w:sz w:val="24"/>
          <w:szCs w:val="24"/>
        </w:rPr>
        <w:t>cirle</w:t>
      </w:r>
      <w:proofErr w:type="spellEnd"/>
      <w:r w:rsidRPr="001533EC">
        <w:rPr>
          <w:sz w:val="24"/>
          <w:szCs w:val="24"/>
        </w:rPr>
        <w:t>: (</w:t>
      </w:r>
      <w:r w:rsidR="00174FA1">
        <w:rPr>
          <w:sz w:val="24"/>
          <w:szCs w:val="24"/>
        </w:rPr>
        <w:t>PFC</w:t>
      </w:r>
      <w:r w:rsidRPr="001533EC">
        <w:rPr>
          <w:sz w:val="24"/>
          <w:szCs w:val="24"/>
        </w:rPr>
        <w:t>) Prefrontal cortex, (</w:t>
      </w:r>
      <w:r w:rsidR="00174FA1">
        <w:rPr>
          <w:sz w:val="24"/>
          <w:szCs w:val="24"/>
        </w:rPr>
        <w:t>EC</w:t>
      </w:r>
      <w:r w:rsidRPr="001533EC">
        <w:rPr>
          <w:sz w:val="24"/>
          <w:szCs w:val="24"/>
        </w:rPr>
        <w:t>) entorhinal cortex, (</w:t>
      </w:r>
      <w:r w:rsidR="00174FA1">
        <w:rPr>
          <w:sz w:val="24"/>
          <w:szCs w:val="24"/>
        </w:rPr>
        <w:t>STG</w:t>
      </w:r>
      <w:r w:rsidRPr="001533EC">
        <w:rPr>
          <w:sz w:val="24"/>
          <w:szCs w:val="24"/>
        </w:rPr>
        <w:t>) superior temporal gyrus</w:t>
      </w:r>
      <w:r w:rsidR="00D04F0C">
        <w:rPr>
          <w:sz w:val="24"/>
          <w:szCs w:val="24"/>
        </w:rPr>
        <w:t>,</w:t>
      </w:r>
      <w:r w:rsidRPr="001533EC">
        <w:rPr>
          <w:sz w:val="24"/>
          <w:szCs w:val="24"/>
        </w:rPr>
        <w:t xml:space="preserve"> and (</w:t>
      </w:r>
      <w:proofErr w:type="spellStart"/>
      <w:r w:rsidR="00174FA1">
        <w:rPr>
          <w:sz w:val="24"/>
          <w:szCs w:val="24"/>
        </w:rPr>
        <w:t>C</w:t>
      </w:r>
      <w:r w:rsidR="00F02D43">
        <w:rPr>
          <w:sz w:val="24"/>
          <w:szCs w:val="24"/>
        </w:rPr>
        <w:t>b</w:t>
      </w:r>
      <w:proofErr w:type="spellEnd"/>
      <w:r w:rsidRPr="001533EC">
        <w:rPr>
          <w:sz w:val="24"/>
          <w:szCs w:val="24"/>
        </w:rPr>
        <w:t>) cerebrum inner track.</w:t>
      </w:r>
    </w:p>
    <w:p w14:paraId="6CCF805B" w14:textId="31800558" w:rsidR="00691A32" w:rsidRPr="001533EC" w:rsidRDefault="00691A32" w:rsidP="00691A32">
      <w:pPr>
        <w:spacing w:line="480" w:lineRule="auto"/>
        <w:jc w:val="both"/>
        <w:rPr>
          <w:b/>
          <w:sz w:val="24"/>
          <w:szCs w:val="24"/>
        </w:rPr>
      </w:pPr>
      <w:bookmarkStart w:id="17" w:name="_Hlk187160116"/>
      <w:bookmarkEnd w:id="16"/>
      <w:r w:rsidRPr="001533EC">
        <w:rPr>
          <w:b/>
          <w:sz w:val="24"/>
          <w:szCs w:val="24"/>
        </w:rPr>
        <w:t xml:space="preserve">Figure 6. Validation of the </w:t>
      </w:r>
      <w:r w:rsidR="007F7F32">
        <w:rPr>
          <w:b/>
          <w:sz w:val="24"/>
          <w:szCs w:val="24"/>
        </w:rPr>
        <w:t>classification</w:t>
      </w:r>
      <w:r w:rsidR="007F7F32" w:rsidRPr="001533EC">
        <w:rPr>
          <w:b/>
          <w:sz w:val="24"/>
          <w:szCs w:val="24"/>
        </w:rPr>
        <w:t xml:space="preserve"> </w:t>
      </w:r>
      <w:r w:rsidRPr="001533EC">
        <w:rPr>
          <w:b/>
          <w:sz w:val="24"/>
          <w:szCs w:val="24"/>
        </w:rPr>
        <w:t>capacity of 504 CpG sites in two independent replication cohorts.</w:t>
      </w:r>
    </w:p>
    <w:p w14:paraId="6F7C0FA1" w14:textId="77777777" w:rsidR="00691A32" w:rsidRPr="001533EC" w:rsidRDefault="00691A32" w:rsidP="00691A32">
      <w:pPr>
        <w:spacing w:line="480" w:lineRule="auto"/>
        <w:jc w:val="both"/>
        <w:rPr>
          <w:sz w:val="24"/>
          <w:szCs w:val="24"/>
        </w:rPr>
      </w:pPr>
      <w:r w:rsidRPr="001533EC">
        <w:rPr>
          <w:sz w:val="24"/>
          <w:szCs w:val="24"/>
        </w:rPr>
        <w:t xml:space="preserve"> (A) Sensitivity to 1-Specificity plots are shown for the two replication cohorts (replication I, n = 33 </w:t>
      </w:r>
      <w:r w:rsidRPr="001533EC">
        <w:rPr>
          <w:rFonts w:ascii="Arial" w:hAnsi="Arial" w:cs="Arial"/>
          <w:sz w:val="24"/>
          <w:szCs w:val="24"/>
        </w:rPr>
        <w:t>&amp;</w:t>
      </w:r>
      <w:r w:rsidRPr="001533EC">
        <w:rPr>
          <w:sz w:val="24"/>
          <w:szCs w:val="24"/>
        </w:rPr>
        <w:t xml:space="preserve"> replication II, n = 24) using Random Forest and Support Vector Machine. Tables corresponds to confusion matrix and the accuracy of the two models (Random Forest and Support Vector Machine) in the two replication cohorts (lower panels). (B) Precision recall plots are shown in the for Random Forest in the left panel and for Support Vector Machine in the right panel. </w:t>
      </w:r>
    </w:p>
    <w:bookmarkEnd w:id="17"/>
    <w:p w14:paraId="057074F9" w14:textId="77777777" w:rsidR="00691A32" w:rsidRPr="001533EC" w:rsidRDefault="00691A32" w:rsidP="00691A32">
      <w:pPr>
        <w:spacing w:line="480" w:lineRule="auto"/>
        <w:jc w:val="both"/>
        <w:rPr>
          <w:sz w:val="24"/>
          <w:szCs w:val="24"/>
        </w:rPr>
      </w:pPr>
    </w:p>
    <w:p w14:paraId="46443412" w14:textId="77777777" w:rsidR="00691A32" w:rsidRPr="001533EC" w:rsidRDefault="00691A32" w:rsidP="00691A32">
      <w:pPr>
        <w:rPr>
          <w:b/>
          <w:sz w:val="24"/>
          <w:szCs w:val="24"/>
        </w:rPr>
      </w:pPr>
      <w:r w:rsidRPr="001533EC">
        <w:rPr>
          <w:b/>
          <w:sz w:val="24"/>
          <w:szCs w:val="24"/>
        </w:rPr>
        <w:br w:type="page"/>
      </w:r>
    </w:p>
    <w:p w14:paraId="6D28B48A" w14:textId="07C4D29B" w:rsidR="00F665AD" w:rsidRPr="001533EC" w:rsidRDefault="00F665AD" w:rsidP="00155E4C">
      <w:pPr>
        <w:jc w:val="both"/>
        <w:rPr>
          <w:sz w:val="24"/>
          <w:szCs w:val="24"/>
        </w:rPr>
      </w:pPr>
      <w:r w:rsidRPr="001533EC">
        <w:rPr>
          <w:b/>
          <w:bCs/>
          <w:sz w:val="24"/>
          <w:szCs w:val="24"/>
          <w:lang w:val="en-GB"/>
        </w:rPr>
        <w:lastRenderedPageBreak/>
        <w:t xml:space="preserve">Table 1. </w:t>
      </w:r>
      <w:r w:rsidRPr="001533EC">
        <w:rPr>
          <w:sz w:val="24"/>
          <w:szCs w:val="24"/>
          <w:lang w:val="en-GB"/>
        </w:rPr>
        <w:t>Clinical characteristics of study participants from the discovery and replication cohort grouped based on brain responsiveness to intranasally administered insulin</w:t>
      </w:r>
      <w:r w:rsidR="00155E4C">
        <w:rPr>
          <w:sz w:val="24"/>
          <w:szCs w:val="24"/>
          <w:lang w:val="en-GB"/>
        </w:rPr>
        <w:t xml:space="preserve"> (Data file 2)</w:t>
      </w:r>
      <w:r w:rsidRPr="001533EC">
        <w:rPr>
          <w:sz w:val="24"/>
          <w:szCs w:val="24"/>
          <w:lang w:val="en-GB"/>
        </w:rPr>
        <w:t>.</w:t>
      </w:r>
    </w:p>
    <w:tbl>
      <w:tblPr>
        <w:tblW w:w="5070" w:type="pct"/>
        <w:tblCellMar>
          <w:left w:w="0" w:type="dxa"/>
          <w:right w:w="0" w:type="dxa"/>
        </w:tblCellMar>
        <w:tblLook w:val="04A0" w:firstRow="1" w:lastRow="0" w:firstColumn="1" w:lastColumn="0" w:noHBand="0" w:noVBand="1"/>
      </w:tblPr>
      <w:tblGrid>
        <w:gridCol w:w="1433"/>
        <w:gridCol w:w="892"/>
        <w:gridCol w:w="895"/>
        <w:gridCol w:w="803"/>
        <w:gridCol w:w="186"/>
        <w:gridCol w:w="893"/>
        <w:gridCol w:w="803"/>
        <w:gridCol w:w="715"/>
        <w:gridCol w:w="186"/>
        <w:gridCol w:w="805"/>
        <w:gridCol w:w="803"/>
        <w:gridCol w:w="783"/>
      </w:tblGrid>
      <w:tr w:rsidR="00F665AD" w:rsidRPr="001533EC" w14:paraId="37F4ABC3" w14:textId="77777777" w:rsidTr="00652F66">
        <w:tc>
          <w:tcPr>
            <w:tcW w:w="783" w:type="pct"/>
            <w:vMerge w:val="restart"/>
            <w:tcBorders>
              <w:top w:val="single" w:sz="8" w:space="0" w:color="000000"/>
              <w:left w:val="nil"/>
              <w:bottom w:val="single" w:sz="8" w:space="0" w:color="000000"/>
              <w:right w:val="nil"/>
            </w:tcBorders>
            <w:tcMar>
              <w:top w:w="15" w:type="dxa"/>
              <w:left w:w="90" w:type="dxa"/>
              <w:bottom w:w="0" w:type="dxa"/>
              <w:right w:w="90" w:type="dxa"/>
            </w:tcMar>
            <w:hideMark/>
          </w:tcPr>
          <w:p w14:paraId="4DA2FA22" w14:textId="77777777" w:rsidR="00F665AD" w:rsidRPr="001533EC" w:rsidRDefault="00F665AD" w:rsidP="00652F66">
            <w:pPr>
              <w:rPr>
                <w:szCs w:val="24"/>
              </w:rPr>
            </w:pPr>
            <w:r w:rsidRPr="001533EC">
              <w:rPr>
                <w:b/>
                <w:bCs/>
                <w:szCs w:val="24"/>
              </w:rPr>
              <w:t> </w:t>
            </w:r>
          </w:p>
        </w:tc>
        <w:tc>
          <w:tcPr>
            <w:tcW w:w="1419" w:type="pct"/>
            <w:gridSpan w:val="3"/>
            <w:tcBorders>
              <w:top w:val="single" w:sz="8" w:space="0" w:color="000000"/>
              <w:left w:val="nil"/>
              <w:bottom w:val="single" w:sz="8" w:space="0" w:color="000000"/>
              <w:right w:val="nil"/>
            </w:tcBorders>
            <w:tcMar>
              <w:top w:w="15" w:type="dxa"/>
              <w:left w:w="90" w:type="dxa"/>
              <w:bottom w:w="0" w:type="dxa"/>
              <w:right w:w="90" w:type="dxa"/>
            </w:tcMar>
            <w:hideMark/>
          </w:tcPr>
          <w:p w14:paraId="0062C8B1" w14:textId="77777777" w:rsidR="00F665AD" w:rsidRPr="001533EC" w:rsidRDefault="00F665AD" w:rsidP="00652F66">
            <w:pPr>
              <w:rPr>
                <w:szCs w:val="24"/>
              </w:rPr>
            </w:pPr>
            <w:r w:rsidRPr="001533EC">
              <w:rPr>
                <w:b/>
                <w:bCs/>
                <w:szCs w:val="24"/>
              </w:rPr>
              <w:t>Discovery cohort</w:t>
            </w:r>
          </w:p>
        </w:tc>
        <w:tc>
          <w:tcPr>
            <w:tcW w:w="98" w:type="pct"/>
            <w:tcBorders>
              <w:top w:val="single" w:sz="8" w:space="0" w:color="000000"/>
              <w:left w:val="nil"/>
              <w:bottom w:val="single" w:sz="8" w:space="0" w:color="FFFFFF"/>
              <w:right w:val="nil"/>
            </w:tcBorders>
            <w:tcMar>
              <w:top w:w="15" w:type="dxa"/>
              <w:left w:w="90" w:type="dxa"/>
              <w:bottom w:w="0" w:type="dxa"/>
              <w:right w:w="90" w:type="dxa"/>
            </w:tcMar>
            <w:hideMark/>
          </w:tcPr>
          <w:p w14:paraId="68B9D5B6" w14:textId="77777777" w:rsidR="00F665AD" w:rsidRPr="001533EC" w:rsidRDefault="00F665AD" w:rsidP="00652F66">
            <w:pPr>
              <w:rPr>
                <w:szCs w:val="24"/>
              </w:rPr>
            </w:pPr>
          </w:p>
        </w:tc>
        <w:tc>
          <w:tcPr>
            <w:tcW w:w="1321" w:type="pct"/>
            <w:gridSpan w:val="3"/>
            <w:tcBorders>
              <w:top w:val="single" w:sz="8" w:space="0" w:color="000000"/>
              <w:left w:val="nil"/>
              <w:bottom w:val="single" w:sz="8" w:space="0" w:color="000000"/>
              <w:right w:val="nil"/>
            </w:tcBorders>
            <w:tcMar>
              <w:top w:w="15" w:type="dxa"/>
              <w:left w:w="90" w:type="dxa"/>
              <w:bottom w:w="0" w:type="dxa"/>
              <w:right w:w="90" w:type="dxa"/>
            </w:tcMar>
            <w:hideMark/>
          </w:tcPr>
          <w:p w14:paraId="3C4895CA" w14:textId="39B5BA14" w:rsidR="00F665AD" w:rsidRPr="001533EC" w:rsidRDefault="00F665AD" w:rsidP="00652F66">
            <w:pPr>
              <w:rPr>
                <w:szCs w:val="24"/>
              </w:rPr>
            </w:pPr>
            <w:r w:rsidRPr="001533EC">
              <w:rPr>
                <w:b/>
                <w:bCs/>
                <w:szCs w:val="24"/>
              </w:rPr>
              <w:t xml:space="preserve">Replication cohort </w:t>
            </w:r>
            <w:r w:rsidR="00772D20">
              <w:rPr>
                <w:b/>
                <w:bCs/>
                <w:szCs w:val="24"/>
              </w:rPr>
              <w:t>I</w:t>
            </w:r>
          </w:p>
        </w:tc>
        <w:tc>
          <w:tcPr>
            <w:tcW w:w="69" w:type="pct"/>
            <w:tcBorders>
              <w:top w:val="single" w:sz="8" w:space="0" w:color="000000"/>
              <w:left w:val="nil"/>
              <w:bottom w:val="nil"/>
              <w:right w:val="nil"/>
            </w:tcBorders>
            <w:tcMar>
              <w:top w:w="15" w:type="dxa"/>
              <w:left w:w="90" w:type="dxa"/>
              <w:bottom w:w="0" w:type="dxa"/>
              <w:right w:w="90" w:type="dxa"/>
            </w:tcMar>
            <w:hideMark/>
          </w:tcPr>
          <w:p w14:paraId="47A7331C" w14:textId="77777777" w:rsidR="00F665AD" w:rsidRPr="001533EC" w:rsidRDefault="00F665AD" w:rsidP="00652F66">
            <w:pPr>
              <w:rPr>
                <w:szCs w:val="24"/>
              </w:rPr>
            </w:pPr>
          </w:p>
        </w:tc>
        <w:tc>
          <w:tcPr>
            <w:tcW w:w="1310" w:type="pct"/>
            <w:gridSpan w:val="3"/>
            <w:tcBorders>
              <w:top w:val="single" w:sz="8" w:space="0" w:color="000000"/>
              <w:left w:val="nil"/>
              <w:bottom w:val="single" w:sz="8" w:space="0" w:color="000000"/>
              <w:right w:val="nil"/>
            </w:tcBorders>
            <w:tcMar>
              <w:top w:w="15" w:type="dxa"/>
              <w:left w:w="90" w:type="dxa"/>
              <w:bottom w:w="0" w:type="dxa"/>
              <w:right w:w="90" w:type="dxa"/>
            </w:tcMar>
            <w:hideMark/>
          </w:tcPr>
          <w:p w14:paraId="74609302" w14:textId="0BB06291" w:rsidR="00F665AD" w:rsidRPr="001533EC" w:rsidRDefault="00F665AD" w:rsidP="00652F66">
            <w:pPr>
              <w:rPr>
                <w:szCs w:val="24"/>
              </w:rPr>
            </w:pPr>
            <w:r w:rsidRPr="001533EC">
              <w:rPr>
                <w:b/>
                <w:bCs/>
                <w:szCs w:val="24"/>
              </w:rPr>
              <w:t xml:space="preserve">Replication cohort </w:t>
            </w:r>
            <w:r w:rsidR="00772D20">
              <w:rPr>
                <w:b/>
                <w:bCs/>
                <w:szCs w:val="24"/>
              </w:rPr>
              <w:t>II</w:t>
            </w:r>
          </w:p>
        </w:tc>
      </w:tr>
      <w:tr w:rsidR="00F665AD" w:rsidRPr="001533EC" w14:paraId="04FB9B15" w14:textId="77777777" w:rsidTr="00652F66">
        <w:tc>
          <w:tcPr>
            <w:tcW w:w="783" w:type="pct"/>
            <w:vMerge/>
            <w:tcBorders>
              <w:top w:val="single" w:sz="8" w:space="0" w:color="000000"/>
              <w:left w:val="nil"/>
              <w:bottom w:val="single" w:sz="8" w:space="0" w:color="000000"/>
              <w:right w:val="nil"/>
            </w:tcBorders>
            <w:vAlign w:val="center"/>
            <w:hideMark/>
          </w:tcPr>
          <w:p w14:paraId="406E3161" w14:textId="77777777" w:rsidR="00F665AD" w:rsidRPr="001533EC" w:rsidRDefault="00F665AD" w:rsidP="00652F66">
            <w:pPr>
              <w:rPr>
                <w:szCs w:val="24"/>
              </w:rPr>
            </w:pPr>
          </w:p>
        </w:tc>
        <w:tc>
          <w:tcPr>
            <w:tcW w:w="489" w:type="pct"/>
            <w:tcBorders>
              <w:top w:val="single" w:sz="8" w:space="0" w:color="000000"/>
              <w:left w:val="nil"/>
              <w:bottom w:val="single" w:sz="8" w:space="0" w:color="000000"/>
              <w:right w:val="nil"/>
            </w:tcBorders>
            <w:tcMar>
              <w:top w:w="15" w:type="dxa"/>
              <w:left w:w="90" w:type="dxa"/>
              <w:bottom w:w="0" w:type="dxa"/>
              <w:right w:w="90" w:type="dxa"/>
            </w:tcMar>
            <w:hideMark/>
          </w:tcPr>
          <w:p w14:paraId="5E693266" w14:textId="77777777" w:rsidR="00F665AD" w:rsidRPr="001533EC" w:rsidRDefault="00F665AD" w:rsidP="00652F66">
            <w:pPr>
              <w:rPr>
                <w:szCs w:val="24"/>
              </w:rPr>
            </w:pPr>
            <w:r w:rsidRPr="001533EC">
              <w:rPr>
                <w:b/>
                <w:bCs/>
                <w:szCs w:val="24"/>
              </w:rPr>
              <w:t>BIS</w:t>
            </w:r>
          </w:p>
        </w:tc>
        <w:tc>
          <w:tcPr>
            <w:tcW w:w="490" w:type="pct"/>
            <w:tcBorders>
              <w:top w:val="single" w:sz="8" w:space="0" w:color="000000"/>
              <w:left w:val="nil"/>
              <w:bottom w:val="single" w:sz="8" w:space="0" w:color="000000"/>
              <w:right w:val="nil"/>
            </w:tcBorders>
            <w:tcMar>
              <w:top w:w="15" w:type="dxa"/>
              <w:left w:w="90" w:type="dxa"/>
              <w:bottom w:w="0" w:type="dxa"/>
              <w:right w:w="90" w:type="dxa"/>
            </w:tcMar>
            <w:hideMark/>
          </w:tcPr>
          <w:p w14:paraId="04BF5CEF" w14:textId="77777777" w:rsidR="00F665AD" w:rsidRPr="001533EC" w:rsidRDefault="00F665AD" w:rsidP="00652F66">
            <w:pPr>
              <w:rPr>
                <w:szCs w:val="24"/>
              </w:rPr>
            </w:pPr>
            <w:r w:rsidRPr="001533EC">
              <w:rPr>
                <w:b/>
                <w:bCs/>
                <w:szCs w:val="24"/>
              </w:rPr>
              <w:t>BIR</w:t>
            </w:r>
          </w:p>
        </w:tc>
        <w:tc>
          <w:tcPr>
            <w:tcW w:w="440" w:type="pct"/>
            <w:tcBorders>
              <w:top w:val="single" w:sz="8" w:space="0" w:color="000000"/>
              <w:left w:val="nil"/>
              <w:bottom w:val="single" w:sz="8" w:space="0" w:color="000000"/>
              <w:right w:val="nil"/>
            </w:tcBorders>
            <w:tcMar>
              <w:top w:w="15" w:type="dxa"/>
              <w:left w:w="90" w:type="dxa"/>
              <w:bottom w:w="0" w:type="dxa"/>
              <w:right w:w="90" w:type="dxa"/>
            </w:tcMar>
            <w:hideMark/>
          </w:tcPr>
          <w:p w14:paraId="3C5CE330" w14:textId="08C20B3A" w:rsidR="00F665AD" w:rsidRPr="001533EC" w:rsidRDefault="002D524F" w:rsidP="00652F66">
            <w:pPr>
              <w:rPr>
                <w:szCs w:val="24"/>
              </w:rPr>
            </w:pPr>
            <w:r>
              <w:rPr>
                <w:b/>
                <w:bCs/>
                <w:szCs w:val="24"/>
              </w:rPr>
              <w:t>P</w:t>
            </w:r>
          </w:p>
        </w:tc>
        <w:tc>
          <w:tcPr>
            <w:tcW w:w="98" w:type="pct"/>
            <w:tcBorders>
              <w:top w:val="single" w:sz="8" w:space="0" w:color="FFFFFF"/>
              <w:left w:val="nil"/>
              <w:bottom w:val="single" w:sz="8" w:space="0" w:color="FFFFFF"/>
              <w:right w:val="nil"/>
            </w:tcBorders>
            <w:tcMar>
              <w:top w:w="15" w:type="dxa"/>
              <w:left w:w="90" w:type="dxa"/>
              <w:bottom w:w="0" w:type="dxa"/>
              <w:right w:w="90" w:type="dxa"/>
            </w:tcMar>
            <w:hideMark/>
          </w:tcPr>
          <w:p w14:paraId="52848247" w14:textId="77777777" w:rsidR="00F665AD" w:rsidRPr="001533EC" w:rsidRDefault="00F665AD" w:rsidP="00652F66">
            <w:pPr>
              <w:rPr>
                <w:szCs w:val="24"/>
              </w:rPr>
            </w:pPr>
          </w:p>
        </w:tc>
        <w:tc>
          <w:tcPr>
            <w:tcW w:w="489" w:type="pct"/>
            <w:tcBorders>
              <w:top w:val="single" w:sz="8" w:space="0" w:color="000000"/>
              <w:left w:val="nil"/>
              <w:bottom w:val="single" w:sz="8" w:space="0" w:color="000000"/>
              <w:right w:val="nil"/>
            </w:tcBorders>
            <w:tcMar>
              <w:top w:w="15" w:type="dxa"/>
              <w:left w:w="90" w:type="dxa"/>
              <w:bottom w:w="0" w:type="dxa"/>
              <w:right w:w="90" w:type="dxa"/>
            </w:tcMar>
            <w:hideMark/>
          </w:tcPr>
          <w:p w14:paraId="4086AF77" w14:textId="77777777" w:rsidR="00F665AD" w:rsidRPr="001533EC" w:rsidRDefault="00F665AD" w:rsidP="00652F66">
            <w:pPr>
              <w:rPr>
                <w:szCs w:val="24"/>
              </w:rPr>
            </w:pPr>
            <w:r w:rsidRPr="001533EC">
              <w:rPr>
                <w:b/>
                <w:bCs/>
                <w:szCs w:val="24"/>
              </w:rPr>
              <w:t>BIS</w:t>
            </w:r>
          </w:p>
        </w:tc>
        <w:tc>
          <w:tcPr>
            <w:tcW w:w="440" w:type="pct"/>
            <w:tcBorders>
              <w:top w:val="single" w:sz="8" w:space="0" w:color="000000"/>
              <w:left w:val="nil"/>
              <w:bottom w:val="single" w:sz="8" w:space="0" w:color="000000"/>
              <w:right w:val="nil"/>
            </w:tcBorders>
            <w:tcMar>
              <w:top w:w="15" w:type="dxa"/>
              <w:left w:w="90" w:type="dxa"/>
              <w:bottom w:w="0" w:type="dxa"/>
              <w:right w:w="90" w:type="dxa"/>
            </w:tcMar>
            <w:hideMark/>
          </w:tcPr>
          <w:p w14:paraId="0A0641A0" w14:textId="77777777" w:rsidR="00F665AD" w:rsidRPr="001533EC" w:rsidRDefault="00F665AD" w:rsidP="00652F66">
            <w:pPr>
              <w:rPr>
                <w:szCs w:val="24"/>
              </w:rPr>
            </w:pPr>
            <w:r w:rsidRPr="001533EC">
              <w:rPr>
                <w:b/>
                <w:bCs/>
                <w:szCs w:val="24"/>
              </w:rPr>
              <w:t>BIR</w:t>
            </w:r>
          </w:p>
        </w:tc>
        <w:tc>
          <w:tcPr>
            <w:tcW w:w="392" w:type="pct"/>
            <w:tcBorders>
              <w:top w:val="single" w:sz="8" w:space="0" w:color="000000"/>
              <w:left w:val="nil"/>
              <w:bottom w:val="single" w:sz="8" w:space="0" w:color="000000"/>
              <w:right w:val="nil"/>
            </w:tcBorders>
            <w:tcMar>
              <w:top w:w="15" w:type="dxa"/>
              <w:left w:w="90" w:type="dxa"/>
              <w:bottom w:w="0" w:type="dxa"/>
              <w:right w:w="90" w:type="dxa"/>
            </w:tcMar>
            <w:hideMark/>
          </w:tcPr>
          <w:p w14:paraId="2D103EFD" w14:textId="17356C8A" w:rsidR="00F665AD" w:rsidRPr="001533EC" w:rsidRDefault="002D524F" w:rsidP="00652F66">
            <w:pPr>
              <w:rPr>
                <w:szCs w:val="24"/>
              </w:rPr>
            </w:pPr>
            <w:r>
              <w:rPr>
                <w:b/>
                <w:bCs/>
                <w:szCs w:val="24"/>
              </w:rPr>
              <w:t>P</w:t>
            </w:r>
          </w:p>
        </w:tc>
        <w:tc>
          <w:tcPr>
            <w:tcW w:w="69" w:type="pct"/>
            <w:tcBorders>
              <w:top w:val="nil"/>
              <w:left w:val="nil"/>
              <w:bottom w:val="nil"/>
              <w:right w:val="nil"/>
            </w:tcBorders>
            <w:tcMar>
              <w:top w:w="15" w:type="dxa"/>
              <w:left w:w="90" w:type="dxa"/>
              <w:bottom w:w="0" w:type="dxa"/>
              <w:right w:w="90" w:type="dxa"/>
            </w:tcMar>
            <w:hideMark/>
          </w:tcPr>
          <w:p w14:paraId="634D3BA9" w14:textId="77777777" w:rsidR="00F665AD" w:rsidRPr="001533EC" w:rsidRDefault="00F665AD" w:rsidP="00652F66">
            <w:pPr>
              <w:rPr>
                <w:szCs w:val="24"/>
              </w:rPr>
            </w:pPr>
          </w:p>
        </w:tc>
        <w:tc>
          <w:tcPr>
            <w:tcW w:w="441" w:type="pct"/>
            <w:tcBorders>
              <w:top w:val="single" w:sz="8" w:space="0" w:color="000000"/>
              <w:left w:val="nil"/>
              <w:bottom w:val="single" w:sz="8" w:space="0" w:color="000000"/>
              <w:right w:val="nil"/>
            </w:tcBorders>
            <w:tcMar>
              <w:top w:w="15" w:type="dxa"/>
              <w:left w:w="90" w:type="dxa"/>
              <w:bottom w:w="0" w:type="dxa"/>
              <w:right w:w="90" w:type="dxa"/>
            </w:tcMar>
            <w:hideMark/>
          </w:tcPr>
          <w:p w14:paraId="24F6B4BD" w14:textId="77777777" w:rsidR="00F665AD" w:rsidRPr="001533EC" w:rsidRDefault="00F665AD" w:rsidP="00652F66">
            <w:pPr>
              <w:rPr>
                <w:szCs w:val="24"/>
              </w:rPr>
            </w:pPr>
            <w:r w:rsidRPr="001533EC">
              <w:rPr>
                <w:b/>
                <w:bCs/>
                <w:szCs w:val="24"/>
              </w:rPr>
              <w:t>BIS</w:t>
            </w:r>
          </w:p>
        </w:tc>
        <w:tc>
          <w:tcPr>
            <w:tcW w:w="440" w:type="pct"/>
            <w:tcBorders>
              <w:top w:val="single" w:sz="8" w:space="0" w:color="000000"/>
              <w:left w:val="nil"/>
              <w:bottom w:val="single" w:sz="8" w:space="0" w:color="000000"/>
              <w:right w:val="nil"/>
            </w:tcBorders>
            <w:tcMar>
              <w:top w:w="15" w:type="dxa"/>
              <w:left w:w="90" w:type="dxa"/>
              <w:bottom w:w="0" w:type="dxa"/>
              <w:right w:w="90" w:type="dxa"/>
            </w:tcMar>
            <w:hideMark/>
          </w:tcPr>
          <w:p w14:paraId="2780712E" w14:textId="77777777" w:rsidR="00F665AD" w:rsidRPr="001533EC" w:rsidRDefault="00F665AD" w:rsidP="00652F66">
            <w:pPr>
              <w:rPr>
                <w:szCs w:val="24"/>
              </w:rPr>
            </w:pPr>
            <w:r w:rsidRPr="001533EC">
              <w:rPr>
                <w:b/>
                <w:bCs/>
                <w:szCs w:val="24"/>
              </w:rPr>
              <w:t>BIR</w:t>
            </w:r>
          </w:p>
        </w:tc>
        <w:tc>
          <w:tcPr>
            <w:tcW w:w="429" w:type="pct"/>
            <w:tcBorders>
              <w:top w:val="single" w:sz="8" w:space="0" w:color="000000"/>
              <w:left w:val="nil"/>
              <w:bottom w:val="single" w:sz="8" w:space="0" w:color="000000"/>
              <w:right w:val="nil"/>
            </w:tcBorders>
            <w:tcMar>
              <w:top w:w="15" w:type="dxa"/>
              <w:left w:w="90" w:type="dxa"/>
              <w:bottom w:w="0" w:type="dxa"/>
              <w:right w:w="90" w:type="dxa"/>
            </w:tcMar>
            <w:hideMark/>
          </w:tcPr>
          <w:p w14:paraId="0582C63C" w14:textId="7791B402" w:rsidR="00F665AD" w:rsidRPr="001533EC" w:rsidRDefault="002D524F" w:rsidP="00652F66">
            <w:pPr>
              <w:rPr>
                <w:szCs w:val="24"/>
              </w:rPr>
            </w:pPr>
            <w:r>
              <w:rPr>
                <w:b/>
                <w:bCs/>
                <w:szCs w:val="24"/>
              </w:rPr>
              <w:t>P</w:t>
            </w:r>
          </w:p>
        </w:tc>
      </w:tr>
      <w:tr w:rsidR="00F665AD" w:rsidRPr="001533EC" w14:paraId="51EC6AD7" w14:textId="77777777" w:rsidTr="00652F66">
        <w:tc>
          <w:tcPr>
            <w:tcW w:w="783" w:type="pct"/>
            <w:tcBorders>
              <w:top w:val="single" w:sz="8" w:space="0" w:color="000000"/>
              <w:left w:val="nil"/>
              <w:bottom w:val="nil"/>
              <w:right w:val="nil"/>
            </w:tcBorders>
            <w:tcMar>
              <w:top w:w="15" w:type="dxa"/>
              <w:left w:w="90" w:type="dxa"/>
              <w:bottom w:w="0" w:type="dxa"/>
              <w:right w:w="90" w:type="dxa"/>
            </w:tcMar>
            <w:hideMark/>
          </w:tcPr>
          <w:p w14:paraId="43791958" w14:textId="347BFC0D" w:rsidR="00F665AD" w:rsidRPr="001533EC" w:rsidRDefault="00F665AD" w:rsidP="00652F66">
            <w:pPr>
              <w:rPr>
                <w:szCs w:val="24"/>
              </w:rPr>
            </w:pPr>
            <w:r w:rsidRPr="001533EC">
              <w:rPr>
                <w:szCs w:val="24"/>
              </w:rPr>
              <w:t xml:space="preserve">Total </w:t>
            </w:r>
            <w:r w:rsidRPr="00810F71">
              <w:rPr>
                <w:i/>
                <w:iCs/>
                <w:szCs w:val="24"/>
              </w:rPr>
              <w:t>n</w:t>
            </w:r>
            <w:r w:rsidRPr="001533EC">
              <w:rPr>
                <w:szCs w:val="24"/>
              </w:rPr>
              <w:t xml:space="preserve"> (men/women)</w:t>
            </w:r>
          </w:p>
        </w:tc>
        <w:tc>
          <w:tcPr>
            <w:tcW w:w="489" w:type="pct"/>
            <w:tcBorders>
              <w:top w:val="single" w:sz="8" w:space="0" w:color="000000"/>
              <w:left w:val="nil"/>
              <w:bottom w:val="nil"/>
              <w:right w:val="nil"/>
            </w:tcBorders>
            <w:tcMar>
              <w:top w:w="15" w:type="dxa"/>
              <w:left w:w="90" w:type="dxa"/>
              <w:bottom w:w="0" w:type="dxa"/>
              <w:right w:w="90" w:type="dxa"/>
            </w:tcMar>
            <w:hideMark/>
          </w:tcPr>
          <w:p w14:paraId="17CE1EF6" w14:textId="77777777" w:rsidR="00F665AD" w:rsidRPr="001533EC" w:rsidRDefault="00F665AD" w:rsidP="00652F66">
            <w:r w:rsidRPr="001533EC">
              <w:t>81 (42/39)</w:t>
            </w:r>
          </w:p>
        </w:tc>
        <w:tc>
          <w:tcPr>
            <w:tcW w:w="490" w:type="pct"/>
            <w:tcBorders>
              <w:top w:val="single" w:sz="8" w:space="0" w:color="000000"/>
              <w:left w:val="nil"/>
              <w:bottom w:val="nil"/>
              <w:right w:val="nil"/>
            </w:tcBorders>
            <w:tcMar>
              <w:top w:w="15" w:type="dxa"/>
              <w:left w:w="90" w:type="dxa"/>
              <w:bottom w:w="0" w:type="dxa"/>
              <w:right w:w="90" w:type="dxa"/>
            </w:tcMar>
            <w:hideMark/>
          </w:tcPr>
          <w:p w14:paraId="59867C9C" w14:textId="77777777" w:rsidR="00F665AD" w:rsidRPr="001533EC" w:rsidRDefault="00F665AD" w:rsidP="00652F66">
            <w:r w:rsidRPr="001533EC">
              <w:t>86 (48/38)</w:t>
            </w:r>
          </w:p>
        </w:tc>
        <w:tc>
          <w:tcPr>
            <w:tcW w:w="440" w:type="pct"/>
            <w:tcBorders>
              <w:top w:val="single" w:sz="8" w:space="0" w:color="000000"/>
              <w:left w:val="nil"/>
              <w:bottom w:val="nil"/>
              <w:right w:val="nil"/>
            </w:tcBorders>
            <w:tcMar>
              <w:top w:w="15" w:type="dxa"/>
              <w:left w:w="90" w:type="dxa"/>
              <w:bottom w:w="0" w:type="dxa"/>
              <w:right w:w="90" w:type="dxa"/>
            </w:tcMar>
            <w:hideMark/>
          </w:tcPr>
          <w:p w14:paraId="1767642F" w14:textId="77777777" w:rsidR="00F665AD" w:rsidRPr="001533EC" w:rsidRDefault="00F665AD" w:rsidP="00652F66">
            <w:r w:rsidRPr="001533EC">
              <w:t>0.608</w:t>
            </w:r>
          </w:p>
        </w:tc>
        <w:tc>
          <w:tcPr>
            <w:tcW w:w="98" w:type="pct"/>
            <w:tcBorders>
              <w:top w:val="single" w:sz="8" w:space="0" w:color="FFFFFF"/>
              <w:left w:val="nil"/>
              <w:bottom w:val="nil"/>
              <w:right w:val="nil"/>
            </w:tcBorders>
            <w:tcMar>
              <w:top w:w="15" w:type="dxa"/>
              <w:left w:w="90" w:type="dxa"/>
              <w:bottom w:w="0" w:type="dxa"/>
              <w:right w:w="90" w:type="dxa"/>
            </w:tcMar>
            <w:hideMark/>
          </w:tcPr>
          <w:p w14:paraId="747B2E0C" w14:textId="77777777" w:rsidR="00F665AD" w:rsidRPr="001533EC" w:rsidRDefault="00F665AD" w:rsidP="00652F66"/>
        </w:tc>
        <w:tc>
          <w:tcPr>
            <w:tcW w:w="489" w:type="pct"/>
            <w:tcBorders>
              <w:top w:val="single" w:sz="8" w:space="0" w:color="000000"/>
              <w:left w:val="nil"/>
              <w:bottom w:val="nil"/>
              <w:right w:val="nil"/>
            </w:tcBorders>
            <w:tcMar>
              <w:top w:w="15" w:type="dxa"/>
              <w:left w:w="90" w:type="dxa"/>
              <w:bottom w:w="0" w:type="dxa"/>
              <w:right w:w="90" w:type="dxa"/>
            </w:tcMar>
            <w:hideMark/>
          </w:tcPr>
          <w:p w14:paraId="34A26D6F" w14:textId="77777777" w:rsidR="00F665AD" w:rsidRPr="001533EC" w:rsidRDefault="00F665AD" w:rsidP="00652F66">
            <w:r w:rsidRPr="001533EC">
              <w:t>10 (5/5)</w:t>
            </w:r>
          </w:p>
        </w:tc>
        <w:tc>
          <w:tcPr>
            <w:tcW w:w="440" w:type="pct"/>
            <w:tcBorders>
              <w:top w:val="single" w:sz="8" w:space="0" w:color="000000"/>
              <w:left w:val="nil"/>
              <w:bottom w:val="nil"/>
              <w:right w:val="nil"/>
            </w:tcBorders>
            <w:tcMar>
              <w:top w:w="15" w:type="dxa"/>
              <w:left w:w="90" w:type="dxa"/>
              <w:bottom w:w="0" w:type="dxa"/>
              <w:right w:w="90" w:type="dxa"/>
            </w:tcMar>
            <w:hideMark/>
          </w:tcPr>
          <w:p w14:paraId="564D0487" w14:textId="77777777" w:rsidR="00F665AD" w:rsidRPr="001533EC" w:rsidRDefault="00F665AD" w:rsidP="00652F66">
            <w:r w:rsidRPr="001533EC">
              <w:t>23 (8/15)</w:t>
            </w:r>
          </w:p>
        </w:tc>
        <w:tc>
          <w:tcPr>
            <w:tcW w:w="392" w:type="pct"/>
            <w:tcBorders>
              <w:top w:val="single" w:sz="8" w:space="0" w:color="000000"/>
              <w:left w:val="nil"/>
              <w:bottom w:val="nil"/>
              <w:right w:val="nil"/>
            </w:tcBorders>
            <w:tcMar>
              <w:top w:w="15" w:type="dxa"/>
              <w:left w:w="90" w:type="dxa"/>
              <w:bottom w:w="0" w:type="dxa"/>
              <w:right w:w="90" w:type="dxa"/>
            </w:tcMar>
            <w:hideMark/>
          </w:tcPr>
          <w:p w14:paraId="63B39AA3" w14:textId="77777777" w:rsidR="00F665AD" w:rsidRPr="001533EC" w:rsidRDefault="00F665AD" w:rsidP="00652F66">
            <w:r w:rsidRPr="001533EC">
              <w:t>0.411</w:t>
            </w:r>
          </w:p>
        </w:tc>
        <w:tc>
          <w:tcPr>
            <w:tcW w:w="69" w:type="pct"/>
            <w:tcBorders>
              <w:top w:val="nil"/>
              <w:left w:val="nil"/>
              <w:bottom w:val="nil"/>
              <w:right w:val="nil"/>
            </w:tcBorders>
            <w:tcMar>
              <w:top w:w="15" w:type="dxa"/>
              <w:left w:w="90" w:type="dxa"/>
              <w:bottom w:w="0" w:type="dxa"/>
              <w:right w:w="90" w:type="dxa"/>
            </w:tcMar>
            <w:hideMark/>
          </w:tcPr>
          <w:p w14:paraId="7C40591F" w14:textId="77777777" w:rsidR="00F665AD" w:rsidRPr="001533EC" w:rsidRDefault="00F665AD" w:rsidP="00652F66"/>
        </w:tc>
        <w:tc>
          <w:tcPr>
            <w:tcW w:w="441" w:type="pct"/>
            <w:tcBorders>
              <w:top w:val="single" w:sz="8" w:space="0" w:color="000000"/>
              <w:left w:val="nil"/>
              <w:bottom w:val="nil"/>
              <w:right w:val="nil"/>
            </w:tcBorders>
            <w:tcMar>
              <w:top w:w="15" w:type="dxa"/>
              <w:left w:w="90" w:type="dxa"/>
              <w:bottom w:w="0" w:type="dxa"/>
              <w:right w:w="90" w:type="dxa"/>
            </w:tcMar>
            <w:hideMark/>
          </w:tcPr>
          <w:p w14:paraId="4BA7E868" w14:textId="77777777" w:rsidR="00F665AD" w:rsidRPr="001533EC" w:rsidRDefault="00F665AD" w:rsidP="00652F66">
            <w:r w:rsidRPr="001533EC">
              <w:t>15 (5/10)</w:t>
            </w:r>
          </w:p>
        </w:tc>
        <w:tc>
          <w:tcPr>
            <w:tcW w:w="440" w:type="pct"/>
            <w:tcBorders>
              <w:top w:val="single" w:sz="8" w:space="0" w:color="000000"/>
              <w:left w:val="nil"/>
              <w:bottom w:val="nil"/>
              <w:right w:val="nil"/>
            </w:tcBorders>
            <w:tcMar>
              <w:top w:w="15" w:type="dxa"/>
              <w:left w:w="90" w:type="dxa"/>
              <w:bottom w:w="0" w:type="dxa"/>
              <w:right w:w="90" w:type="dxa"/>
            </w:tcMar>
            <w:hideMark/>
          </w:tcPr>
          <w:p w14:paraId="038BB839" w14:textId="77777777" w:rsidR="00F665AD" w:rsidRPr="001533EC" w:rsidRDefault="00F665AD" w:rsidP="00652F66">
            <w:r w:rsidRPr="001533EC">
              <w:t>9 (6/3)</w:t>
            </w:r>
          </w:p>
        </w:tc>
        <w:tc>
          <w:tcPr>
            <w:tcW w:w="429" w:type="pct"/>
            <w:tcBorders>
              <w:top w:val="single" w:sz="8" w:space="0" w:color="000000"/>
              <w:left w:val="nil"/>
              <w:bottom w:val="nil"/>
              <w:right w:val="nil"/>
            </w:tcBorders>
            <w:tcMar>
              <w:top w:w="15" w:type="dxa"/>
              <w:left w:w="90" w:type="dxa"/>
              <w:bottom w:w="0" w:type="dxa"/>
              <w:right w:w="90" w:type="dxa"/>
            </w:tcMar>
            <w:hideMark/>
          </w:tcPr>
          <w:p w14:paraId="22271F67" w14:textId="77777777" w:rsidR="00F665AD" w:rsidRPr="001533EC" w:rsidRDefault="00F665AD" w:rsidP="00652F66"/>
        </w:tc>
      </w:tr>
      <w:tr w:rsidR="00F665AD" w:rsidRPr="001533EC" w14:paraId="6FCEFDEF" w14:textId="77777777" w:rsidTr="00652F66">
        <w:tc>
          <w:tcPr>
            <w:tcW w:w="783" w:type="pct"/>
            <w:tcBorders>
              <w:top w:val="nil"/>
              <w:left w:val="nil"/>
              <w:bottom w:val="nil"/>
              <w:right w:val="nil"/>
            </w:tcBorders>
            <w:tcMar>
              <w:top w:w="15" w:type="dxa"/>
              <w:left w:w="90" w:type="dxa"/>
              <w:bottom w:w="0" w:type="dxa"/>
              <w:right w:w="90" w:type="dxa"/>
            </w:tcMar>
            <w:hideMark/>
          </w:tcPr>
          <w:p w14:paraId="75CB8B53" w14:textId="77777777" w:rsidR="00F665AD" w:rsidRPr="001533EC" w:rsidRDefault="00F665AD" w:rsidP="00652F66">
            <w:pPr>
              <w:rPr>
                <w:szCs w:val="24"/>
              </w:rPr>
            </w:pPr>
            <w:r w:rsidRPr="001533EC">
              <w:rPr>
                <w:szCs w:val="24"/>
              </w:rPr>
              <w:t>Age (years)</w:t>
            </w:r>
          </w:p>
        </w:tc>
        <w:tc>
          <w:tcPr>
            <w:tcW w:w="489" w:type="pct"/>
            <w:tcBorders>
              <w:top w:val="nil"/>
              <w:left w:val="nil"/>
              <w:bottom w:val="nil"/>
              <w:right w:val="nil"/>
            </w:tcBorders>
            <w:tcMar>
              <w:top w:w="15" w:type="dxa"/>
              <w:left w:w="90" w:type="dxa"/>
              <w:bottom w:w="0" w:type="dxa"/>
              <w:right w:w="90" w:type="dxa"/>
            </w:tcMar>
            <w:hideMark/>
          </w:tcPr>
          <w:p w14:paraId="1CACEB76" w14:textId="77777777" w:rsidR="00F665AD" w:rsidRPr="001533EC" w:rsidRDefault="00F665AD" w:rsidP="00652F66">
            <w:r w:rsidRPr="001533EC">
              <w:t>35 ± 13</w:t>
            </w:r>
          </w:p>
        </w:tc>
        <w:tc>
          <w:tcPr>
            <w:tcW w:w="490" w:type="pct"/>
            <w:tcBorders>
              <w:top w:val="nil"/>
              <w:left w:val="nil"/>
              <w:bottom w:val="nil"/>
              <w:right w:val="nil"/>
            </w:tcBorders>
            <w:tcMar>
              <w:top w:w="15" w:type="dxa"/>
              <w:left w:w="90" w:type="dxa"/>
              <w:bottom w:w="0" w:type="dxa"/>
              <w:right w:w="90" w:type="dxa"/>
            </w:tcMar>
            <w:hideMark/>
          </w:tcPr>
          <w:p w14:paraId="30D1CE88" w14:textId="77777777" w:rsidR="00F665AD" w:rsidRPr="001533EC" w:rsidRDefault="00F665AD" w:rsidP="00652F66">
            <w:r w:rsidRPr="001533EC">
              <w:t>38 ± 16</w:t>
            </w:r>
          </w:p>
        </w:tc>
        <w:tc>
          <w:tcPr>
            <w:tcW w:w="440" w:type="pct"/>
            <w:tcBorders>
              <w:top w:val="nil"/>
              <w:left w:val="nil"/>
              <w:bottom w:val="nil"/>
              <w:right w:val="nil"/>
            </w:tcBorders>
            <w:tcMar>
              <w:top w:w="15" w:type="dxa"/>
              <w:left w:w="90" w:type="dxa"/>
              <w:bottom w:w="0" w:type="dxa"/>
              <w:right w:w="90" w:type="dxa"/>
            </w:tcMar>
            <w:hideMark/>
          </w:tcPr>
          <w:p w14:paraId="7BED07E0" w14:textId="77777777" w:rsidR="00F665AD" w:rsidRPr="001533EC" w:rsidRDefault="00F665AD" w:rsidP="00652F66">
            <w:r w:rsidRPr="001533EC">
              <w:t>0.423</w:t>
            </w:r>
          </w:p>
        </w:tc>
        <w:tc>
          <w:tcPr>
            <w:tcW w:w="98" w:type="pct"/>
            <w:tcBorders>
              <w:top w:val="nil"/>
              <w:left w:val="nil"/>
              <w:bottom w:val="nil"/>
              <w:right w:val="nil"/>
            </w:tcBorders>
            <w:tcMar>
              <w:top w:w="15" w:type="dxa"/>
              <w:left w:w="90" w:type="dxa"/>
              <w:bottom w:w="0" w:type="dxa"/>
              <w:right w:w="90" w:type="dxa"/>
            </w:tcMar>
            <w:hideMark/>
          </w:tcPr>
          <w:p w14:paraId="4F541FB9" w14:textId="77777777" w:rsidR="00F665AD" w:rsidRPr="001533EC" w:rsidRDefault="00F665AD" w:rsidP="00652F66"/>
        </w:tc>
        <w:tc>
          <w:tcPr>
            <w:tcW w:w="489" w:type="pct"/>
            <w:tcBorders>
              <w:top w:val="nil"/>
              <w:left w:val="nil"/>
              <w:bottom w:val="nil"/>
              <w:right w:val="nil"/>
            </w:tcBorders>
            <w:tcMar>
              <w:top w:w="15" w:type="dxa"/>
              <w:left w:w="90" w:type="dxa"/>
              <w:bottom w:w="0" w:type="dxa"/>
              <w:right w:w="90" w:type="dxa"/>
            </w:tcMar>
            <w:hideMark/>
          </w:tcPr>
          <w:p w14:paraId="6951E614" w14:textId="77777777" w:rsidR="00F665AD" w:rsidRPr="001533EC" w:rsidRDefault="00F665AD" w:rsidP="00652F66">
            <w:r w:rsidRPr="001533EC">
              <w:t>43 ± 15</w:t>
            </w:r>
          </w:p>
        </w:tc>
        <w:tc>
          <w:tcPr>
            <w:tcW w:w="440" w:type="pct"/>
            <w:tcBorders>
              <w:top w:val="nil"/>
              <w:left w:val="nil"/>
              <w:bottom w:val="nil"/>
              <w:right w:val="nil"/>
            </w:tcBorders>
            <w:tcMar>
              <w:top w:w="15" w:type="dxa"/>
              <w:left w:w="90" w:type="dxa"/>
              <w:bottom w:w="0" w:type="dxa"/>
              <w:right w:w="90" w:type="dxa"/>
            </w:tcMar>
            <w:hideMark/>
          </w:tcPr>
          <w:p w14:paraId="05F4805C" w14:textId="77777777" w:rsidR="00F665AD" w:rsidRPr="001533EC" w:rsidRDefault="00F665AD" w:rsidP="00652F66">
            <w:r w:rsidRPr="001533EC">
              <w:t>59 ± 9</w:t>
            </w:r>
          </w:p>
        </w:tc>
        <w:tc>
          <w:tcPr>
            <w:tcW w:w="392" w:type="pct"/>
            <w:tcBorders>
              <w:top w:val="nil"/>
              <w:left w:val="nil"/>
              <w:bottom w:val="nil"/>
              <w:right w:val="nil"/>
            </w:tcBorders>
            <w:tcMar>
              <w:top w:w="15" w:type="dxa"/>
              <w:left w:w="90" w:type="dxa"/>
              <w:bottom w:w="0" w:type="dxa"/>
              <w:right w:w="90" w:type="dxa"/>
            </w:tcMar>
            <w:hideMark/>
          </w:tcPr>
          <w:p w14:paraId="0FECFCE7" w14:textId="77777777" w:rsidR="00F665AD" w:rsidRPr="001533EC" w:rsidRDefault="00F665AD" w:rsidP="00652F66">
            <w:r w:rsidRPr="001533EC">
              <w:rPr>
                <w:b/>
                <w:bCs/>
              </w:rPr>
              <w:t>4.12 x 10</w:t>
            </w:r>
            <w:r w:rsidRPr="001533EC">
              <w:rPr>
                <w:b/>
                <w:bCs/>
                <w:vertAlign w:val="superscript"/>
              </w:rPr>
              <w:t>-4</w:t>
            </w:r>
          </w:p>
        </w:tc>
        <w:tc>
          <w:tcPr>
            <w:tcW w:w="69" w:type="pct"/>
            <w:tcBorders>
              <w:top w:val="nil"/>
              <w:left w:val="nil"/>
              <w:bottom w:val="nil"/>
              <w:right w:val="nil"/>
            </w:tcBorders>
            <w:tcMar>
              <w:top w:w="15" w:type="dxa"/>
              <w:left w:w="90" w:type="dxa"/>
              <w:bottom w:w="0" w:type="dxa"/>
              <w:right w:w="90" w:type="dxa"/>
            </w:tcMar>
            <w:hideMark/>
          </w:tcPr>
          <w:p w14:paraId="11AED53B" w14:textId="77777777" w:rsidR="00F665AD" w:rsidRPr="001533EC" w:rsidRDefault="00F665AD" w:rsidP="00652F66"/>
        </w:tc>
        <w:tc>
          <w:tcPr>
            <w:tcW w:w="441" w:type="pct"/>
            <w:tcBorders>
              <w:top w:val="nil"/>
              <w:left w:val="nil"/>
              <w:bottom w:val="nil"/>
              <w:right w:val="nil"/>
            </w:tcBorders>
            <w:tcMar>
              <w:top w:w="15" w:type="dxa"/>
              <w:left w:w="90" w:type="dxa"/>
              <w:bottom w:w="0" w:type="dxa"/>
              <w:right w:w="90" w:type="dxa"/>
            </w:tcMar>
            <w:hideMark/>
          </w:tcPr>
          <w:p w14:paraId="7B36EB75" w14:textId="77777777" w:rsidR="00F665AD" w:rsidRPr="001533EC" w:rsidRDefault="00F665AD" w:rsidP="00652F66">
            <w:r w:rsidRPr="001533EC">
              <w:t>48 ± 13</w:t>
            </w:r>
          </w:p>
        </w:tc>
        <w:tc>
          <w:tcPr>
            <w:tcW w:w="440" w:type="pct"/>
            <w:tcBorders>
              <w:top w:val="nil"/>
              <w:left w:val="nil"/>
              <w:bottom w:val="nil"/>
              <w:right w:val="nil"/>
            </w:tcBorders>
            <w:tcMar>
              <w:top w:w="15" w:type="dxa"/>
              <w:left w:w="90" w:type="dxa"/>
              <w:bottom w:w="0" w:type="dxa"/>
              <w:right w:w="90" w:type="dxa"/>
            </w:tcMar>
            <w:hideMark/>
          </w:tcPr>
          <w:p w14:paraId="04F3DC19" w14:textId="77777777" w:rsidR="00F665AD" w:rsidRPr="001533EC" w:rsidRDefault="00F665AD" w:rsidP="00652F66">
            <w:r w:rsidRPr="001533EC">
              <w:t>52 ± 12</w:t>
            </w:r>
          </w:p>
        </w:tc>
        <w:tc>
          <w:tcPr>
            <w:tcW w:w="429" w:type="pct"/>
            <w:tcBorders>
              <w:top w:val="nil"/>
              <w:left w:val="nil"/>
              <w:bottom w:val="nil"/>
              <w:right w:val="nil"/>
            </w:tcBorders>
            <w:tcMar>
              <w:top w:w="15" w:type="dxa"/>
              <w:left w:w="90" w:type="dxa"/>
              <w:bottom w:w="0" w:type="dxa"/>
              <w:right w:w="90" w:type="dxa"/>
            </w:tcMar>
            <w:hideMark/>
          </w:tcPr>
          <w:p w14:paraId="1A4F5079" w14:textId="77777777" w:rsidR="00F665AD" w:rsidRPr="001533EC" w:rsidRDefault="00F665AD" w:rsidP="00652F66">
            <w:r w:rsidRPr="001533EC">
              <w:t>0.493</w:t>
            </w:r>
          </w:p>
        </w:tc>
      </w:tr>
      <w:tr w:rsidR="00F665AD" w:rsidRPr="001533EC" w14:paraId="3424451E" w14:textId="77777777" w:rsidTr="00652F66">
        <w:tc>
          <w:tcPr>
            <w:tcW w:w="783" w:type="pct"/>
            <w:tcBorders>
              <w:top w:val="nil"/>
              <w:left w:val="nil"/>
              <w:bottom w:val="nil"/>
              <w:right w:val="nil"/>
            </w:tcBorders>
            <w:tcMar>
              <w:top w:w="15" w:type="dxa"/>
              <w:left w:w="90" w:type="dxa"/>
              <w:bottom w:w="0" w:type="dxa"/>
              <w:right w:w="90" w:type="dxa"/>
            </w:tcMar>
            <w:hideMark/>
          </w:tcPr>
          <w:p w14:paraId="72F09AB4" w14:textId="77777777" w:rsidR="00F665AD" w:rsidRPr="001533EC" w:rsidRDefault="00F665AD" w:rsidP="00652F66">
            <w:pPr>
              <w:rPr>
                <w:szCs w:val="24"/>
              </w:rPr>
            </w:pPr>
            <w:r w:rsidRPr="001533EC">
              <w:rPr>
                <w:szCs w:val="24"/>
              </w:rPr>
              <w:t>BMI (kg/m</w:t>
            </w:r>
            <w:r w:rsidRPr="001533EC">
              <w:rPr>
                <w:szCs w:val="24"/>
                <w:vertAlign w:val="superscript"/>
              </w:rPr>
              <w:t>2</w:t>
            </w:r>
            <w:r w:rsidRPr="001533EC">
              <w:rPr>
                <w:szCs w:val="24"/>
              </w:rPr>
              <w:t>)</w:t>
            </w:r>
          </w:p>
        </w:tc>
        <w:tc>
          <w:tcPr>
            <w:tcW w:w="489" w:type="pct"/>
            <w:tcBorders>
              <w:top w:val="nil"/>
              <w:left w:val="nil"/>
              <w:bottom w:val="nil"/>
              <w:right w:val="nil"/>
            </w:tcBorders>
            <w:tcMar>
              <w:top w:w="15" w:type="dxa"/>
              <w:left w:w="90" w:type="dxa"/>
              <w:bottom w:w="0" w:type="dxa"/>
              <w:right w:w="90" w:type="dxa"/>
            </w:tcMar>
            <w:hideMark/>
          </w:tcPr>
          <w:p w14:paraId="136BE65A" w14:textId="77777777" w:rsidR="00F665AD" w:rsidRPr="001533EC" w:rsidRDefault="00F665AD" w:rsidP="00652F66">
            <w:r w:rsidRPr="001533EC">
              <w:t>27.3 ± 6.7</w:t>
            </w:r>
          </w:p>
        </w:tc>
        <w:tc>
          <w:tcPr>
            <w:tcW w:w="490" w:type="pct"/>
            <w:tcBorders>
              <w:top w:val="nil"/>
              <w:left w:val="nil"/>
              <w:bottom w:val="nil"/>
              <w:right w:val="nil"/>
            </w:tcBorders>
            <w:tcMar>
              <w:top w:w="15" w:type="dxa"/>
              <w:left w:w="90" w:type="dxa"/>
              <w:bottom w:w="0" w:type="dxa"/>
              <w:right w:w="90" w:type="dxa"/>
            </w:tcMar>
            <w:hideMark/>
          </w:tcPr>
          <w:p w14:paraId="2D70C105" w14:textId="77777777" w:rsidR="00F665AD" w:rsidRPr="001533EC" w:rsidRDefault="00F665AD" w:rsidP="00652F66">
            <w:r w:rsidRPr="001533EC">
              <w:t>28.0 ± 6.2</w:t>
            </w:r>
          </w:p>
        </w:tc>
        <w:tc>
          <w:tcPr>
            <w:tcW w:w="440" w:type="pct"/>
            <w:tcBorders>
              <w:top w:val="nil"/>
              <w:left w:val="nil"/>
              <w:bottom w:val="nil"/>
              <w:right w:val="nil"/>
            </w:tcBorders>
            <w:tcMar>
              <w:top w:w="15" w:type="dxa"/>
              <w:left w:w="90" w:type="dxa"/>
              <w:bottom w:w="0" w:type="dxa"/>
              <w:right w:w="90" w:type="dxa"/>
            </w:tcMar>
            <w:hideMark/>
          </w:tcPr>
          <w:p w14:paraId="59A9AABE" w14:textId="77777777" w:rsidR="00F665AD" w:rsidRPr="001533EC" w:rsidRDefault="00F665AD" w:rsidP="00652F66">
            <w:r w:rsidRPr="001533EC">
              <w:t>0.200</w:t>
            </w:r>
          </w:p>
        </w:tc>
        <w:tc>
          <w:tcPr>
            <w:tcW w:w="98" w:type="pct"/>
            <w:tcBorders>
              <w:top w:val="nil"/>
              <w:left w:val="nil"/>
              <w:bottom w:val="nil"/>
              <w:right w:val="nil"/>
            </w:tcBorders>
            <w:tcMar>
              <w:top w:w="15" w:type="dxa"/>
              <w:left w:w="90" w:type="dxa"/>
              <w:bottom w:w="0" w:type="dxa"/>
              <w:right w:w="90" w:type="dxa"/>
            </w:tcMar>
            <w:hideMark/>
          </w:tcPr>
          <w:p w14:paraId="5D081144" w14:textId="77777777" w:rsidR="00F665AD" w:rsidRPr="001533EC" w:rsidRDefault="00F665AD" w:rsidP="00652F66"/>
        </w:tc>
        <w:tc>
          <w:tcPr>
            <w:tcW w:w="489" w:type="pct"/>
            <w:tcBorders>
              <w:top w:val="nil"/>
              <w:left w:val="nil"/>
              <w:bottom w:val="nil"/>
              <w:right w:val="nil"/>
            </w:tcBorders>
            <w:tcMar>
              <w:top w:w="15" w:type="dxa"/>
              <w:left w:w="90" w:type="dxa"/>
              <w:bottom w:w="0" w:type="dxa"/>
              <w:right w:w="90" w:type="dxa"/>
            </w:tcMar>
            <w:hideMark/>
          </w:tcPr>
          <w:p w14:paraId="198B3A2B" w14:textId="77777777" w:rsidR="00F665AD" w:rsidRPr="001533EC" w:rsidRDefault="00F665AD" w:rsidP="00652F66">
            <w:r w:rsidRPr="001533EC">
              <w:t>28.4 ± 4.9</w:t>
            </w:r>
          </w:p>
        </w:tc>
        <w:tc>
          <w:tcPr>
            <w:tcW w:w="440" w:type="pct"/>
            <w:tcBorders>
              <w:top w:val="nil"/>
              <w:left w:val="nil"/>
              <w:bottom w:val="nil"/>
              <w:right w:val="nil"/>
            </w:tcBorders>
            <w:tcMar>
              <w:top w:w="15" w:type="dxa"/>
              <w:left w:w="90" w:type="dxa"/>
              <w:bottom w:w="0" w:type="dxa"/>
              <w:right w:w="90" w:type="dxa"/>
            </w:tcMar>
            <w:hideMark/>
          </w:tcPr>
          <w:p w14:paraId="0D433CA5" w14:textId="77777777" w:rsidR="00F665AD" w:rsidRPr="001533EC" w:rsidRDefault="00F665AD" w:rsidP="00652F66">
            <w:r w:rsidRPr="001533EC">
              <w:t>32.6 ± 3.6</w:t>
            </w:r>
          </w:p>
        </w:tc>
        <w:tc>
          <w:tcPr>
            <w:tcW w:w="392" w:type="pct"/>
            <w:tcBorders>
              <w:top w:val="nil"/>
              <w:left w:val="nil"/>
              <w:bottom w:val="nil"/>
              <w:right w:val="nil"/>
            </w:tcBorders>
            <w:tcMar>
              <w:top w:w="15" w:type="dxa"/>
              <w:left w:w="90" w:type="dxa"/>
              <w:bottom w:w="0" w:type="dxa"/>
              <w:right w:w="90" w:type="dxa"/>
            </w:tcMar>
            <w:hideMark/>
          </w:tcPr>
          <w:p w14:paraId="677A422F" w14:textId="77777777" w:rsidR="00F665AD" w:rsidRPr="001533EC" w:rsidRDefault="00F665AD" w:rsidP="00652F66">
            <w:r w:rsidRPr="001533EC">
              <w:rPr>
                <w:b/>
                <w:bCs/>
              </w:rPr>
              <w:t>9.6 x 10</w:t>
            </w:r>
            <w:r w:rsidRPr="001533EC">
              <w:rPr>
                <w:b/>
                <w:bCs/>
                <w:vertAlign w:val="superscript"/>
              </w:rPr>
              <w:t>-3</w:t>
            </w:r>
          </w:p>
        </w:tc>
        <w:tc>
          <w:tcPr>
            <w:tcW w:w="69" w:type="pct"/>
            <w:tcBorders>
              <w:top w:val="nil"/>
              <w:left w:val="nil"/>
              <w:bottom w:val="nil"/>
              <w:right w:val="nil"/>
            </w:tcBorders>
            <w:tcMar>
              <w:top w:w="15" w:type="dxa"/>
              <w:left w:w="90" w:type="dxa"/>
              <w:bottom w:w="0" w:type="dxa"/>
              <w:right w:w="90" w:type="dxa"/>
            </w:tcMar>
            <w:hideMark/>
          </w:tcPr>
          <w:p w14:paraId="5849E069" w14:textId="77777777" w:rsidR="00F665AD" w:rsidRPr="001533EC" w:rsidRDefault="00F665AD" w:rsidP="00652F66"/>
        </w:tc>
        <w:tc>
          <w:tcPr>
            <w:tcW w:w="441" w:type="pct"/>
            <w:tcBorders>
              <w:top w:val="nil"/>
              <w:left w:val="nil"/>
              <w:bottom w:val="nil"/>
              <w:right w:val="nil"/>
            </w:tcBorders>
            <w:tcMar>
              <w:top w:w="15" w:type="dxa"/>
              <w:left w:w="90" w:type="dxa"/>
              <w:bottom w:w="0" w:type="dxa"/>
              <w:right w:w="90" w:type="dxa"/>
            </w:tcMar>
            <w:hideMark/>
          </w:tcPr>
          <w:p w14:paraId="25330618" w14:textId="77777777" w:rsidR="00F665AD" w:rsidRPr="001533EC" w:rsidRDefault="00F665AD" w:rsidP="00652F66">
            <w:r w:rsidRPr="001533EC">
              <w:t>35.2 ± 4</w:t>
            </w:r>
          </w:p>
        </w:tc>
        <w:tc>
          <w:tcPr>
            <w:tcW w:w="440" w:type="pct"/>
            <w:tcBorders>
              <w:top w:val="nil"/>
              <w:left w:val="nil"/>
              <w:bottom w:val="nil"/>
              <w:right w:val="nil"/>
            </w:tcBorders>
            <w:tcMar>
              <w:top w:w="15" w:type="dxa"/>
              <w:left w:w="90" w:type="dxa"/>
              <w:bottom w:w="0" w:type="dxa"/>
              <w:right w:w="90" w:type="dxa"/>
            </w:tcMar>
            <w:hideMark/>
          </w:tcPr>
          <w:p w14:paraId="317D9A6A" w14:textId="77777777" w:rsidR="00F665AD" w:rsidRPr="001533EC" w:rsidRDefault="00F665AD" w:rsidP="00652F66">
            <w:r w:rsidRPr="001533EC">
              <w:t>35.7 ± 3.2</w:t>
            </w:r>
          </w:p>
        </w:tc>
        <w:tc>
          <w:tcPr>
            <w:tcW w:w="429" w:type="pct"/>
            <w:tcBorders>
              <w:top w:val="nil"/>
              <w:left w:val="nil"/>
              <w:bottom w:val="nil"/>
              <w:right w:val="nil"/>
            </w:tcBorders>
            <w:tcMar>
              <w:top w:w="15" w:type="dxa"/>
              <w:left w:w="90" w:type="dxa"/>
              <w:bottom w:w="0" w:type="dxa"/>
              <w:right w:w="90" w:type="dxa"/>
            </w:tcMar>
            <w:hideMark/>
          </w:tcPr>
          <w:p w14:paraId="3A99AA3A" w14:textId="77777777" w:rsidR="00F665AD" w:rsidRPr="001533EC" w:rsidRDefault="00F665AD" w:rsidP="00652F66">
            <w:r w:rsidRPr="001533EC">
              <w:t>0.754</w:t>
            </w:r>
          </w:p>
        </w:tc>
      </w:tr>
      <w:tr w:rsidR="00F665AD" w:rsidRPr="001533EC" w14:paraId="207180BF" w14:textId="77777777" w:rsidTr="00652F66">
        <w:tc>
          <w:tcPr>
            <w:tcW w:w="783" w:type="pct"/>
            <w:tcBorders>
              <w:top w:val="nil"/>
              <w:left w:val="nil"/>
              <w:bottom w:val="nil"/>
              <w:right w:val="nil"/>
            </w:tcBorders>
            <w:tcMar>
              <w:top w:w="15" w:type="dxa"/>
              <w:left w:w="90" w:type="dxa"/>
              <w:bottom w:w="0" w:type="dxa"/>
              <w:right w:w="90" w:type="dxa"/>
            </w:tcMar>
            <w:hideMark/>
          </w:tcPr>
          <w:p w14:paraId="6E7C65C4" w14:textId="77777777" w:rsidR="00F665AD" w:rsidRPr="001533EC" w:rsidRDefault="00F665AD" w:rsidP="00652F66">
            <w:pPr>
              <w:rPr>
                <w:szCs w:val="24"/>
              </w:rPr>
            </w:pPr>
            <w:r w:rsidRPr="001533EC">
              <w:rPr>
                <w:szCs w:val="24"/>
              </w:rPr>
              <w:t>Waist-to-hip ratio</w:t>
            </w:r>
          </w:p>
        </w:tc>
        <w:tc>
          <w:tcPr>
            <w:tcW w:w="489" w:type="pct"/>
            <w:tcBorders>
              <w:top w:val="nil"/>
              <w:left w:val="nil"/>
              <w:bottom w:val="nil"/>
              <w:right w:val="nil"/>
            </w:tcBorders>
            <w:tcMar>
              <w:top w:w="15" w:type="dxa"/>
              <w:left w:w="90" w:type="dxa"/>
              <w:bottom w:w="0" w:type="dxa"/>
              <w:right w:w="90" w:type="dxa"/>
            </w:tcMar>
            <w:hideMark/>
          </w:tcPr>
          <w:p w14:paraId="3558F030" w14:textId="77777777" w:rsidR="00F665AD" w:rsidRPr="001533EC" w:rsidRDefault="00F665AD" w:rsidP="00652F66">
            <w:r w:rsidRPr="001533EC">
              <w:t>0.87 ± 0.08</w:t>
            </w:r>
          </w:p>
        </w:tc>
        <w:tc>
          <w:tcPr>
            <w:tcW w:w="490" w:type="pct"/>
            <w:tcBorders>
              <w:top w:val="nil"/>
              <w:left w:val="nil"/>
              <w:bottom w:val="nil"/>
              <w:right w:val="nil"/>
            </w:tcBorders>
            <w:tcMar>
              <w:top w:w="15" w:type="dxa"/>
              <w:left w:w="90" w:type="dxa"/>
              <w:bottom w:w="0" w:type="dxa"/>
              <w:right w:w="90" w:type="dxa"/>
            </w:tcMar>
            <w:hideMark/>
          </w:tcPr>
          <w:p w14:paraId="30032F24" w14:textId="77777777" w:rsidR="00F665AD" w:rsidRPr="001533EC" w:rsidRDefault="00F665AD" w:rsidP="00652F66">
            <w:r w:rsidRPr="001533EC">
              <w:t>0.89 ± 0.09</w:t>
            </w:r>
          </w:p>
        </w:tc>
        <w:tc>
          <w:tcPr>
            <w:tcW w:w="440" w:type="pct"/>
            <w:tcBorders>
              <w:top w:val="nil"/>
              <w:left w:val="nil"/>
              <w:bottom w:val="nil"/>
              <w:right w:val="nil"/>
            </w:tcBorders>
            <w:tcMar>
              <w:top w:w="15" w:type="dxa"/>
              <w:left w:w="90" w:type="dxa"/>
              <w:bottom w:w="0" w:type="dxa"/>
              <w:right w:w="90" w:type="dxa"/>
            </w:tcMar>
            <w:hideMark/>
          </w:tcPr>
          <w:p w14:paraId="0534396B" w14:textId="77777777" w:rsidR="00F665AD" w:rsidRPr="001533EC" w:rsidRDefault="00F665AD" w:rsidP="00652F66">
            <w:r w:rsidRPr="001533EC">
              <w:t>0.232</w:t>
            </w:r>
          </w:p>
        </w:tc>
        <w:tc>
          <w:tcPr>
            <w:tcW w:w="98" w:type="pct"/>
            <w:tcBorders>
              <w:top w:val="nil"/>
              <w:left w:val="nil"/>
              <w:bottom w:val="nil"/>
              <w:right w:val="nil"/>
            </w:tcBorders>
            <w:tcMar>
              <w:top w:w="15" w:type="dxa"/>
              <w:left w:w="90" w:type="dxa"/>
              <w:bottom w:w="0" w:type="dxa"/>
              <w:right w:w="90" w:type="dxa"/>
            </w:tcMar>
            <w:hideMark/>
          </w:tcPr>
          <w:p w14:paraId="3F8B8055" w14:textId="77777777" w:rsidR="00F665AD" w:rsidRPr="001533EC" w:rsidRDefault="00F665AD" w:rsidP="00652F66"/>
        </w:tc>
        <w:tc>
          <w:tcPr>
            <w:tcW w:w="489" w:type="pct"/>
            <w:tcBorders>
              <w:top w:val="nil"/>
              <w:left w:val="nil"/>
              <w:bottom w:val="nil"/>
              <w:right w:val="nil"/>
            </w:tcBorders>
            <w:tcMar>
              <w:top w:w="15" w:type="dxa"/>
              <w:left w:w="90" w:type="dxa"/>
              <w:bottom w:w="0" w:type="dxa"/>
              <w:right w:w="90" w:type="dxa"/>
            </w:tcMar>
            <w:hideMark/>
          </w:tcPr>
          <w:p w14:paraId="65C71B23" w14:textId="77777777" w:rsidR="00F665AD" w:rsidRPr="001533EC" w:rsidRDefault="00F665AD" w:rsidP="00652F66">
            <w:r w:rsidRPr="001533EC">
              <w:t>0.89 ± 0.08</w:t>
            </w:r>
          </w:p>
        </w:tc>
        <w:tc>
          <w:tcPr>
            <w:tcW w:w="440" w:type="pct"/>
            <w:tcBorders>
              <w:top w:val="nil"/>
              <w:left w:val="nil"/>
              <w:bottom w:val="nil"/>
              <w:right w:val="nil"/>
            </w:tcBorders>
            <w:tcMar>
              <w:top w:w="15" w:type="dxa"/>
              <w:left w:w="90" w:type="dxa"/>
              <w:bottom w:w="0" w:type="dxa"/>
              <w:right w:w="90" w:type="dxa"/>
            </w:tcMar>
            <w:hideMark/>
          </w:tcPr>
          <w:p w14:paraId="2268FAE3" w14:textId="77777777" w:rsidR="00F665AD" w:rsidRPr="001533EC" w:rsidRDefault="00F665AD" w:rsidP="00652F66">
            <w:r w:rsidRPr="001533EC">
              <w:t>0.94 ± 0.60</w:t>
            </w:r>
          </w:p>
        </w:tc>
        <w:tc>
          <w:tcPr>
            <w:tcW w:w="392" w:type="pct"/>
            <w:tcBorders>
              <w:top w:val="nil"/>
              <w:left w:val="nil"/>
              <w:bottom w:val="nil"/>
              <w:right w:val="nil"/>
            </w:tcBorders>
            <w:tcMar>
              <w:top w:w="15" w:type="dxa"/>
              <w:left w:w="90" w:type="dxa"/>
              <w:bottom w:w="0" w:type="dxa"/>
              <w:right w:w="90" w:type="dxa"/>
            </w:tcMar>
            <w:hideMark/>
          </w:tcPr>
          <w:p w14:paraId="306DA2E5" w14:textId="77777777" w:rsidR="00F665AD" w:rsidRPr="001533EC" w:rsidRDefault="00F665AD" w:rsidP="00652F66">
            <w:r w:rsidRPr="001533EC">
              <w:t>0.062</w:t>
            </w:r>
          </w:p>
        </w:tc>
        <w:tc>
          <w:tcPr>
            <w:tcW w:w="69" w:type="pct"/>
            <w:tcBorders>
              <w:top w:val="nil"/>
              <w:left w:val="nil"/>
              <w:bottom w:val="nil"/>
              <w:right w:val="nil"/>
            </w:tcBorders>
            <w:tcMar>
              <w:top w:w="15" w:type="dxa"/>
              <w:left w:w="90" w:type="dxa"/>
              <w:bottom w:w="0" w:type="dxa"/>
              <w:right w:w="90" w:type="dxa"/>
            </w:tcMar>
            <w:hideMark/>
          </w:tcPr>
          <w:p w14:paraId="790EE927" w14:textId="77777777" w:rsidR="00F665AD" w:rsidRPr="001533EC" w:rsidRDefault="00F665AD" w:rsidP="00652F66"/>
        </w:tc>
        <w:tc>
          <w:tcPr>
            <w:tcW w:w="441" w:type="pct"/>
            <w:tcBorders>
              <w:top w:val="nil"/>
              <w:left w:val="nil"/>
              <w:bottom w:val="nil"/>
              <w:right w:val="nil"/>
            </w:tcBorders>
            <w:tcMar>
              <w:top w:w="15" w:type="dxa"/>
              <w:left w:w="90" w:type="dxa"/>
              <w:bottom w:w="0" w:type="dxa"/>
              <w:right w:w="90" w:type="dxa"/>
            </w:tcMar>
            <w:hideMark/>
          </w:tcPr>
          <w:p w14:paraId="4C1385B0" w14:textId="77777777" w:rsidR="00F665AD" w:rsidRPr="001533EC" w:rsidRDefault="00F665AD" w:rsidP="00652F66">
            <w:r w:rsidRPr="001533EC">
              <w:t>0.92 ± 0.07</w:t>
            </w:r>
          </w:p>
        </w:tc>
        <w:tc>
          <w:tcPr>
            <w:tcW w:w="440" w:type="pct"/>
            <w:tcBorders>
              <w:top w:val="nil"/>
              <w:left w:val="nil"/>
              <w:bottom w:val="nil"/>
              <w:right w:val="nil"/>
            </w:tcBorders>
            <w:tcMar>
              <w:top w:w="15" w:type="dxa"/>
              <w:left w:w="90" w:type="dxa"/>
              <w:bottom w:w="0" w:type="dxa"/>
              <w:right w:w="90" w:type="dxa"/>
            </w:tcMar>
            <w:hideMark/>
          </w:tcPr>
          <w:p w14:paraId="23FC88FB" w14:textId="77777777" w:rsidR="00F665AD" w:rsidRPr="001533EC" w:rsidRDefault="00F665AD" w:rsidP="00652F66">
            <w:r w:rsidRPr="001533EC">
              <w:t>0.99 ± 0.65</w:t>
            </w:r>
          </w:p>
        </w:tc>
        <w:tc>
          <w:tcPr>
            <w:tcW w:w="429" w:type="pct"/>
            <w:tcBorders>
              <w:top w:val="nil"/>
              <w:left w:val="nil"/>
              <w:bottom w:val="nil"/>
              <w:right w:val="nil"/>
            </w:tcBorders>
            <w:tcMar>
              <w:top w:w="15" w:type="dxa"/>
              <w:left w:w="90" w:type="dxa"/>
              <w:bottom w:w="0" w:type="dxa"/>
              <w:right w:w="90" w:type="dxa"/>
            </w:tcMar>
            <w:hideMark/>
          </w:tcPr>
          <w:p w14:paraId="2A1FC912" w14:textId="77777777" w:rsidR="00F665AD" w:rsidRPr="001533EC" w:rsidRDefault="00F665AD" w:rsidP="00652F66">
            <w:r w:rsidRPr="001533EC">
              <w:rPr>
                <w:b/>
                <w:bCs/>
              </w:rPr>
              <w:t>0.025</w:t>
            </w:r>
          </w:p>
        </w:tc>
      </w:tr>
      <w:tr w:rsidR="00F665AD" w:rsidRPr="001533EC" w14:paraId="27166E1D" w14:textId="77777777" w:rsidTr="00652F66">
        <w:tc>
          <w:tcPr>
            <w:tcW w:w="783" w:type="pct"/>
            <w:tcBorders>
              <w:top w:val="nil"/>
              <w:left w:val="nil"/>
              <w:bottom w:val="nil"/>
              <w:right w:val="nil"/>
            </w:tcBorders>
            <w:tcMar>
              <w:top w:w="15" w:type="dxa"/>
              <w:left w:w="90" w:type="dxa"/>
              <w:bottom w:w="0" w:type="dxa"/>
              <w:right w:w="90" w:type="dxa"/>
            </w:tcMar>
            <w:hideMark/>
          </w:tcPr>
          <w:p w14:paraId="3D64E49F" w14:textId="77777777" w:rsidR="00F665AD" w:rsidRPr="001533EC" w:rsidRDefault="00F665AD" w:rsidP="00652F66">
            <w:pPr>
              <w:rPr>
                <w:szCs w:val="24"/>
              </w:rPr>
            </w:pPr>
            <w:r w:rsidRPr="001533EC">
              <w:rPr>
                <w:szCs w:val="24"/>
              </w:rPr>
              <w:t>HDL cholesterol (mg/dL)</w:t>
            </w:r>
          </w:p>
        </w:tc>
        <w:tc>
          <w:tcPr>
            <w:tcW w:w="489" w:type="pct"/>
            <w:tcBorders>
              <w:top w:val="nil"/>
              <w:left w:val="nil"/>
              <w:bottom w:val="nil"/>
              <w:right w:val="nil"/>
            </w:tcBorders>
            <w:tcMar>
              <w:top w:w="15" w:type="dxa"/>
              <w:left w:w="90" w:type="dxa"/>
              <w:bottom w:w="0" w:type="dxa"/>
              <w:right w:w="90" w:type="dxa"/>
            </w:tcMar>
            <w:hideMark/>
          </w:tcPr>
          <w:p w14:paraId="62A37B4E" w14:textId="77777777" w:rsidR="00F665AD" w:rsidRPr="001533EC" w:rsidRDefault="00F665AD" w:rsidP="00652F66">
            <w:r w:rsidRPr="001533EC">
              <w:t>53.8 ± 13.2</w:t>
            </w:r>
          </w:p>
        </w:tc>
        <w:tc>
          <w:tcPr>
            <w:tcW w:w="490" w:type="pct"/>
            <w:tcBorders>
              <w:top w:val="nil"/>
              <w:left w:val="nil"/>
              <w:bottom w:val="nil"/>
              <w:right w:val="nil"/>
            </w:tcBorders>
            <w:tcMar>
              <w:top w:w="15" w:type="dxa"/>
              <w:left w:w="90" w:type="dxa"/>
              <w:bottom w:w="0" w:type="dxa"/>
              <w:right w:w="90" w:type="dxa"/>
            </w:tcMar>
            <w:hideMark/>
          </w:tcPr>
          <w:p w14:paraId="34BE4D7B" w14:textId="77777777" w:rsidR="00F665AD" w:rsidRPr="001533EC" w:rsidRDefault="00F665AD" w:rsidP="00652F66">
            <w:r w:rsidRPr="001533EC">
              <w:t>52.87 ± 16.1</w:t>
            </w:r>
          </w:p>
        </w:tc>
        <w:tc>
          <w:tcPr>
            <w:tcW w:w="440" w:type="pct"/>
            <w:tcBorders>
              <w:top w:val="nil"/>
              <w:left w:val="nil"/>
              <w:bottom w:val="nil"/>
              <w:right w:val="nil"/>
            </w:tcBorders>
            <w:tcMar>
              <w:top w:w="15" w:type="dxa"/>
              <w:left w:w="90" w:type="dxa"/>
              <w:bottom w:w="0" w:type="dxa"/>
              <w:right w:w="90" w:type="dxa"/>
            </w:tcMar>
            <w:hideMark/>
          </w:tcPr>
          <w:p w14:paraId="03AF41FA" w14:textId="77777777" w:rsidR="00F665AD" w:rsidRPr="001533EC" w:rsidRDefault="00F665AD" w:rsidP="00652F66">
            <w:r w:rsidRPr="001533EC">
              <w:t>0.428</w:t>
            </w:r>
          </w:p>
        </w:tc>
        <w:tc>
          <w:tcPr>
            <w:tcW w:w="98" w:type="pct"/>
            <w:tcBorders>
              <w:top w:val="nil"/>
              <w:left w:val="nil"/>
              <w:bottom w:val="nil"/>
              <w:right w:val="nil"/>
            </w:tcBorders>
            <w:tcMar>
              <w:top w:w="15" w:type="dxa"/>
              <w:left w:w="90" w:type="dxa"/>
              <w:bottom w:w="0" w:type="dxa"/>
              <w:right w:w="90" w:type="dxa"/>
            </w:tcMar>
            <w:hideMark/>
          </w:tcPr>
          <w:p w14:paraId="7582C293" w14:textId="77777777" w:rsidR="00F665AD" w:rsidRPr="001533EC" w:rsidRDefault="00F665AD" w:rsidP="00652F66"/>
        </w:tc>
        <w:tc>
          <w:tcPr>
            <w:tcW w:w="489" w:type="pct"/>
            <w:tcBorders>
              <w:top w:val="nil"/>
              <w:left w:val="nil"/>
              <w:bottom w:val="nil"/>
              <w:right w:val="nil"/>
            </w:tcBorders>
            <w:tcMar>
              <w:top w:w="15" w:type="dxa"/>
              <w:left w:w="90" w:type="dxa"/>
              <w:bottom w:w="0" w:type="dxa"/>
              <w:right w:w="90" w:type="dxa"/>
            </w:tcMar>
            <w:hideMark/>
          </w:tcPr>
          <w:p w14:paraId="346F686E" w14:textId="77777777" w:rsidR="00F665AD" w:rsidRPr="001533EC" w:rsidRDefault="00F665AD" w:rsidP="00652F66">
            <w:r w:rsidRPr="001533EC">
              <w:t>55.3 ± 16.5</w:t>
            </w:r>
          </w:p>
        </w:tc>
        <w:tc>
          <w:tcPr>
            <w:tcW w:w="440" w:type="pct"/>
            <w:tcBorders>
              <w:top w:val="nil"/>
              <w:left w:val="nil"/>
              <w:bottom w:val="nil"/>
              <w:right w:val="nil"/>
            </w:tcBorders>
            <w:tcMar>
              <w:top w:w="15" w:type="dxa"/>
              <w:left w:w="90" w:type="dxa"/>
              <w:bottom w:w="0" w:type="dxa"/>
              <w:right w:w="90" w:type="dxa"/>
            </w:tcMar>
            <w:hideMark/>
          </w:tcPr>
          <w:p w14:paraId="31061483" w14:textId="77777777" w:rsidR="00F665AD" w:rsidRPr="001533EC" w:rsidRDefault="00F665AD" w:rsidP="00652F66">
            <w:r w:rsidRPr="001533EC">
              <w:t>49 ± 10.3</w:t>
            </w:r>
          </w:p>
        </w:tc>
        <w:tc>
          <w:tcPr>
            <w:tcW w:w="392" w:type="pct"/>
            <w:tcBorders>
              <w:top w:val="nil"/>
              <w:left w:val="nil"/>
              <w:bottom w:val="nil"/>
              <w:right w:val="nil"/>
            </w:tcBorders>
            <w:tcMar>
              <w:top w:w="15" w:type="dxa"/>
              <w:left w:w="90" w:type="dxa"/>
              <w:bottom w:w="0" w:type="dxa"/>
              <w:right w:w="90" w:type="dxa"/>
            </w:tcMar>
            <w:hideMark/>
          </w:tcPr>
          <w:p w14:paraId="514DA32E" w14:textId="77777777" w:rsidR="00F665AD" w:rsidRPr="001533EC" w:rsidRDefault="00F665AD" w:rsidP="00652F66">
            <w:r w:rsidRPr="001533EC">
              <w:t>0.198</w:t>
            </w:r>
          </w:p>
        </w:tc>
        <w:tc>
          <w:tcPr>
            <w:tcW w:w="69" w:type="pct"/>
            <w:tcBorders>
              <w:top w:val="nil"/>
              <w:left w:val="nil"/>
              <w:bottom w:val="nil"/>
              <w:right w:val="nil"/>
            </w:tcBorders>
            <w:tcMar>
              <w:top w:w="15" w:type="dxa"/>
              <w:left w:w="90" w:type="dxa"/>
              <w:bottom w:w="0" w:type="dxa"/>
              <w:right w:w="90" w:type="dxa"/>
            </w:tcMar>
            <w:hideMark/>
          </w:tcPr>
          <w:p w14:paraId="2A7A0164" w14:textId="77777777" w:rsidR="00F665AD" w:rsidRPr="001533EC" w:rsidRDefault="00F665AD" w:rsidP="00652F66"/>
        </w:tc>
        <w:tc>
          <w:tcPr>
            <w:tcW w:w="441" w:type="pct"/>
            <w:tcBorders>
              <w:top w:val="nil"/>
              <w:left w:val="nil"/>
              <w:bottom w:val="nil"/>
              <w:right w:val="nil"/>
            </w:tcBorders>
            <w:tcMar>
              <w:top w:w="15" w:type="dxa"/>
              <w:left w:w="90" w:type="dxa"/>
              <w:bottom w:w="0" w:type="dxa"/>
              <w:right w:w="90" w:type="dxa"/>
            </w:tcMar>
            <w:hideMark/>
          </w:tcPr>
          <w:p w14:paraId="25941F77" w14:textId="77777777" w:rsidR="00F665AD" w:rsidRPr="001533EC" w:rsidRDefault="00F665AD" w:rsidP="00652F66">
            <w:r w:rsidRPr="001533EC">
              <w:t>46.4 ± 7.4</w:t>
            </w:r>
          </w:p>
        </w:tc>
        <w:tc>
          <w:tcPr>
            <w:tcW w:w="440" w:type="pct"/>
            <w:tcBorders>
              <w:top w:val="nil"/>
              <w:left w:val="nil"/>
              <w:bottom w:val="nil"/>
              <w:right w:val="nil"/>
            </w:tcBorders>
            <w:tcMar>
              <w:top w:w="15" w:type="dxa"/>
              <w:left w:w="90" w:type="dxa"/>
              <w:bottom w:w="0" w:type="dxa"/>
              <w:right w:w="90" w:type="dxa"/>
            </w:tcMar>
            <w:hideMark/>
          </w:tcPr>
          <w:p w14:paraId="3E87CC4E" w14:textId="77777777" w:rsidR="00F665AD" w:rsidRPr="001533EC" w:rsidRDefault="00F665AD" w:rsidP="00652F66">
            <w:r w:rsidRPr="001533EC">
              <w:t>51.9 ± 7.49</w:t>
            </w:r>
          </w:p>
        </w:tc>
        <w:tc>
          <w:tcPr>
            <w:tcW w:w="429" w:type="pct"/>
            <w:tcBorders>
              <w:top w:val="nil"/>
              <w:left w:val="nil"/>
              <w:bottom w:val="nil"/>
              <w:right w:val="nil"/>
            </w:tcBorders>
            <w:tcMar>
              <w:top w:w="15" w:type="dxa"/>
              <w:left w:w="90" w:type="dxa"/>
              <w:bottom w:w="0" w:type="dxa"/>
              <w:right w:w="90" w:type="dxa"/>
            </w:tcMar>
            <w:hideMark/>
          </w:tcPr>
          <w:p w14:paraId="7AB5AF63" w14:textId="77777777" w:rsidR="00F665AD" w:rsidRPr="001533EC" w:rsidRDefault="00F665AD" w:rsidP="00652F66">
            <w:r w:rsidRPr="001533EC">
              <w:t>0.097</w:t>
            </w:r>
          </w:p>
        </w:tc>
      </w:tr>
      <w:tr w:rsidR="00F665AD" w:rsidRPr="001533EC" w14:paraId="2AB5F174" w14:textId="77777777" w:rsidTr="00652F66">
        <w:tc>
          <w:tcPr>
            <w:tcW w:w="783" w:type="pct"/>
            <w:tcBorders>
              <w:top w:val="nil"/>
              <w:left w:val="nil"/>
              <w:bottom w:val="nil"/>
              <w:right w:val="nil"/>
            </w:tcBorders>
            <w:tcMar>
              <w:top w:w="15" w:type="dxa"/>
              <w:left w:w="90" w:type="dxa"/>
              <w:bottom w:w="0" w:type="dxa"/>
              <w:right w:w="90" w:type="dxa"/>
            </w:tcMar>
            <w:hideMark/>
          </w:tcPr>
          <w:p w14:paraId="228B1FD6" w14:textId="77777777" w:rsidR="00F665AD" w:rsidRPr="001533EC" w:rsidRDefault="00F665AD" w:rsidP="00652F66">
            <w:pPr>
              <w:rPr>
                <w:szCs w:val="24"/>
              </w:rPr>
            </w:pPr>
            <w:r w:rsidRPr="001533EC">
              <w:rPr>
                <w:szCs w:val="24"/>
              </w:rPr>
              <w:t>LDL cholesterol (mg/dL)</w:t>
            </w:r>
          </w:p>
        </w:tc>
        <w:tc>
          <w:tcPr>
            <w:tcW w:w="489" w:type="pct"/>
            <w:tcBorders>
              <w:top w:val="nil"/>
              <w:left w:val="nil"/>
              <w:bottom w:val="nil"/>
              <w:right w:val="nil"/>
            </w:tcBorders>
            <w:tcMar>
              <w:top w:w="15" w:type="dxa"/>
              <w:left w:w="90" w:type="dxa"/>
              <w:bottom w:w="0" w:type="dxa"/>
              <w:right w:w="90" w:type="dxa"/>
            </w:tcMar>
            <w:hideMark/>
          </w:tcPr>
          <w:p w14:paraId="4E510B4A" w14:textId="77777777" w:rsidR="00F665AD" w:rsidRPr="001533EC" w:rsidRDefault="00F665AD" w:rsidP="00652F66">
            <w:r w:rsidRPr="001533EC">
              <w:t>111.6 ± 28.0</w:t>
            </w:r>
          </w:p>
        </w:tc>
        <w:tc>
          <w:tcPr>
            <w:tcW w:w="490" w:type="pct"/>
            <w:tcBorders>
              <w:top w:val="nil"/>
              <w:left w:val="nil"/>
              <w:bottom w:val="nil"/>
              <w:right w:val="nil"/>
            </w:tcBorders>
            <w:tcMar>
              <w:top w:w="15" w:type="dxa"/>
              <w:left w:w="90" w:type="dxa"/>
              <w:bottom w:w="0" w:type="dxa"/>
              <w:right w:w="90" w:type="dxa"/>
            </w:tcMar>
            <w:hideMark/>
          </w:tcPr>
          <w:p w14:paraId="162AF8B7" w14:textId="77777777" w:rsidR="00F665AD" w:rsidRPr="001533EC" w:rsidRDefault="00F665AD" w:rsidP="00652F66">
            <w:r w:rsidRPr="001533EC">
              <w:t>118 ± 38.4</w:t>
            </w:r>
          </w:p>
        </w:tc>
        <w:tc>
          <w:tcPr>
            <w:tcW w:w="440" w:type="pct"/>
            <w:tcBorders>
              <w:top w:val="nil"/>
              <w:left w:val="nil"/>
              <w:bottom w:val="nil"/>
              <w:right w:val="nil"/>
            </w:tcBorders>
            <w:tcMar>
              <w:top w:w="15" w:type="dxa"/>
              <w:left w:w="90" w:type="dxa"/>
              <w:bottom w:w="0" w:type="dxa"/>
              <w:right w:w="90" w:type="dxa"/>
            </w:tcMar>
            <w:hideMark/>
          </w:tcPr>
          <w:p w14:paraId="09944E5D" w14:textId="77777777" w:rsidR="00F665AD" w:rsidRPr="001533EC" w:rsidRDefault="00F665AD" w:rsidP="00652F66">
            <w:r w:rsidRPr="001533EC">
              <w:t>0.376</w:t>
            </w:r>
          </w:p>
        </w:tc>
        <w:tc>
          <w:tcPr>
            <w:tcW w:w="98" w:type="pct"/>
            <w:tcBorders>
              <w:top w:val="nil"/>
              <w:left w:val="nil"/>
              <w:bottom w:val="nil"/>
              <w:right w:val="nil"/>
            </w:tcBorders>
            <w:tcMar>
              <w:top w:w="15" w:type="dxa"/>
              <w:left w:w="90" w:type="dxa"/>
              <w:bottom w:w="0" w:type="dxa"/>
              <w:right w:w="90" w:type="dxa"/>
            </w:tcMar>
            <w:hideMark/>
          </w:tcPr>
          <w:p w14:paraId="198EFD03" w14:textId="77777777" w:rsidR="00F665AD" w:rsidRPr="001533EC" w:rsidRDefault="00F665AD" w:rsidP="00652F66"/>
        </w:tc>
        <w:tc>
          <w:tcPr>
            <w:tcW w:w="489" w:type="pct"/>
            <w:tcBorders>
              <w:top w:val="nil"/>
              <w:left w:val="nil"/>
              <w:bottom w:val="nil"/>
              <w:right w:val="nil"/>
            </w:tcBorders>
            <w:tcMar>
              <w:top w:w="15" w:type="dxa"/>
              <w:left w:w="90" w:type="dxa"/>
              <w:bottom w:w="0" w:type="dxa"/>
              <w:right w:w="90" w:type="dxa"/>
            </w:tcMar>
            <w:hideMark/>
          </w:tcPr>
          <w:p w14:paraId="1D8D0A8C" w14:textId="77777777" w:rsidR="00F665AD" w:rsidRPr="001533EC" w:rsidRDefault="00F665AD" w:rsidP="00652F66">
            <w:r w:rsidRPr="001533EC">
              <w:t>118 ± 37.8</w:t>
            </w:r>
          </w:p>
        </w:tc>
        <w:tc>
          <w:tcPr>
            <w:tcW w:w="440" w:type="pct"/>
            <w:tcBorders>
              <w:top w:val="nil"/>
              <w:left w:val="nil"/>
              <w:bottom w:val="nil"/>
              <w:right w:val="nil"/>
            </w:tcBorders>
            <w:tcMar>
              <w:top w:w="15" w:type="dxa"/>
              <w:left w:w="90" w:type="dxa"/>
              <w:bottom w:w="0" w:type="dxa"/>
              <w:right w:w="90" w:type="dxa"/>
            </w:tcMar>
            <w:hideMark/>
          </w:tcPr>
          <w:p w14:paraId="46DA6803" w14:textId="77777777" w:rsidR="00F665AD" w:rsidRPr="001533EC" w:rsidRDefault="00F665AD" w:rsidP="00652F66">
            <w:r w:rsidRPr="001533EC">
              <w:t>142 ± 41.5</w:t>
            </w:r>
          </w:p>
        </w:tc>
        <w:tc>
          <w:tcPr>
            <w:tcW w:w="392" w:type="pct"/>
            <w:tcBorders>
              <w:top w:val="nil"/>
              <w:left w:val="nil"/>
              <w:bottom w:val="nil"/>
              <w:right w:val="nil"/>
            </w:tcBorders>
            <w:tcMar>
              <w:top w:w="15" w:type="dxa"/>
              <w:left w:w="90" w:type="dxa"/>
              <w:bottom w:w="0" w:type="dxa"/>
              <w:right w:w="90" w:type="dxa"/>
            </w:tcMar>
            <w:hideMark/>
          </w:tcPr>
          <w:p w14:paraId="43D51C0C" w14:textId="77777777" w:rsidR="00F665AD" w:rsidRPr="001533EC" w:rsidRDefault="00F665AD" w:rsidP="00652F66">
            <w:r w:rsidRPr="001533EC">
              <w:t>0.144</w:t>
            </w:r>
          </w:p>
        </w:tc>
        <w:tc>
          <w:tcPr>
            <w:tcW w:w="69" w:type="pct"/>
            <w:tcBorders>
              <w:top w:val="nil"/>
              <w:left w:val="nil"/>
              <w:bottom w:val="nil"/>
              <w:right w:val="nil"/>
            </w:tcBorders>
            <w:tcMar>
              <w:top w:w="15" w:type="dxa"/>
              <w:left w:w="90" w:type="dxa"/>
              <w:bottom w:w="0" w:type="dxa"/>
              <w:right w:w="90" w:type="dxa"/>
            </w:tcMar>
            <w:hideMark/>
          </w:tcPr>
          <w:p w14:paraId="61A1D3D8" w14:textId="77777777" w:rsidR="00F665AD" w:rsidRPr="001533EC" w:rsidRDefault="00F665AD" w:rsidP="00652F66"/>
        </w:tc>
        <w:tc>
          <w:tcPr>
            <w:tcW w:w="441" w:type="pct"/>
            <w:tcBorders>
              <w:top w:val="nil"/>
              <w:left w:val="nil"/>
              <w:bottom w:val="nil"/>
              <w:right w:val="nil"/>
            </w:tcBorders>
            <w:tcMar>
              <w:top w:w="15" w:type="dxa"/>
              <w:left w:w="90" w:type="dxa"/>
              <w:bottom w:w="0" w:type="dxa"/>
              <w:right w:w="90" w:type="dxa"/>
            </w:tcMar>
            <w:hideMark/>
          </w:tcPr>
          <w:p w14:paraId="1848FD5B" w14:textId="77777777" w:rsidR="00F665AD" w:rsidRPr="001533EC" w:rsidRDefault="00F665AD" w:rsidP="00652F66">
            <w:r w:rsidRPr="001533EC">
              <w:t>134 ± 21.1</w:t>
            </w:r>
          </w:p>
        </w:tc>
        <w:tc>
          <w:tcPr>
            <w:tcW w:w="440" w:type="pct"/>
            <w:tcBorders>
              <w:top w:val="nil"/>
              <w:left w:val="nil"/>
              <w:bottom w:val="nil"/>
              <w:right w:val="nil"/>
            </w:tcBorders>
            <w:tcMar>
              <w:top w:w="15" w:type="dxa"/>
              <w:left w:w="90" w:type="dxa"/>
              <w:bottom w:w="0" w:type="dxa"/>
              <w:right w:w="90" w:type="dxa"/>
            </w:tcMar>
            <w:hideMark/>
          </w:tcPr>
          <w:p w14:paraId="432C5783" w14:textId="77777777" w:rsidR="00F665AD" w:rsidRPr="001533EC" w:rsidRDefault="00F665AD" w:rsidP="00652F66">
            <w:r w:rsidRPr="001533EC">
              <w:t>86 ± 54.9</w:t>
            </w:r>
          </w:p>
        </w:tc>
        <w:tc>
          <w:tcPr>
            <w:tcW w:w="429" w:type="pct"/>
            <w:tcBorders>
              <w:top w:val="nil"/>
              <w:left w:val="nil"/>
              <w:bottom w:val="nil"/>
              <w:right w:val="nil"/>
            </w:tcBorders>
            <w:tcMar>
              <w:top w:w="15" w:type="dxa"/>
              <w:left w:w="90" w:type="dxa"/>
              <w:bottom w:w="0" w:type="dxa"/>
              <w:right w:w="90" w:type="dxa"/>
            </w:tcMar>
            <w:hideMark/>
          </w:tcPr>
          <w:p w14:paraId="1726130F" w14:textId="77777777" w:rsidR="00F665AD" w:rsidRPr="001533EC" w:rsidRDefault="00F665AD" w:rsidP="00652F66">
            <w:r w:rsidRPr="001533EC">
              <w:rPr>
                <w:b/>
                <w:bCs/>
              </w:rPr>
              <w:t>0.032</w:t>
            </w:r>
          </w:p>
        </w:tc>
      </w:tr>
      <w:tr w:rsidR="00F665AD" w:rsidRPr="001533EC" w14:paraId="58233FC5" w14:textId="77777777" w:rsidTr="00652F66">
        <w:tc>
          <w:tcPr>
            <w:tcW w:w="783" w:type="pct"/>
            <w:tcBorders>
              <w:top w:val="nil"/>
              <w:left w:val="nil"/>
              <w:bottom w:val="nil"/>
              <w:right w:val="nil"/>
            </w:tcBorders>
            <w:tcMar>
              <w:top w:w="15" w:type="dxa"/>
              <w:left w:w="90" w:type="dxa"/>
              <w:bottom w:w="0" w:type="dxa"/>
              <w:right w:w="90" w:type="dxa"/>
            </w:tcMar>
            <w:hideMark/>
          </w:tcPr>
          <w:p w14:paraId="20FCC22A" w14:textId="77777777" w:rsidR="00F665AD" w:rsidRPr="001533EC" w:rsidRDefault="00F665AD" w:rsidP="00652F66">
            <w:pPr>
              <w:rPr>
                <w:szCs w:val="24"/>
              </w:rPr>
            </w:pPr>
            <w:r w:rsidRPr="001533EC">
              <w:rPr>
                <w:szCs w:val="24"/>
              </w:rPr>
              <w:t>Triglycerides (mg/dL)</w:t>
            </w:r>
          </w:p>
        </w:tc>
        <w:tc>
          <w:tcPr>
            <w:tcW w:w="489" w:type="pct"/>
            <w:tcBorders>
              <w:top w:val="nil"/>
              <w:left w:val="nil"/>
              <w:bottom w:val="nil"/>
              <w:right w:val="nil"/>
            </w:tcBorders>
            <w:tcMar>
              <w:top w:w="15" w:type="dxa"/>
              <w:left w:w="90" w:type="dxa"/>
              <w:bottom w:w="0" w:type="dxa"/>
              <w:right w:w="90" w:type="dxa"/>
            </w:tcMar>
            <w:hideMark/>
          </w:tcPr>
          <w:p w14:paraId="1BB182A0" w14:textId="77777777" w:rsidR="00F665AD" w:rsidRPr="001533EC" w:rsidRDefault="00F665AD" w:rsidP="00652F66">
            <w:r w:rsidRPr="001533EC">
              <w:t>101.3 ± 58.3</w:t>
            </w:r>
          </w:p>
        </w:tc>
        <w:tc>
          <w:tcPr>
            <w:tcW w:w="490" w:type="pct"/>
            <w:tcBorders>
              <w:top w:val="nil"/>
              <w:left w:val="nil"/>
              <w:bottom w:val="nil"/>
              <w:right w:val="nil"/>
            </w:tcBorders>
            <w:tcMar>
              <w:top w:w="15" w:type="dxa"/>
              <w:left w:w="90" w:type="dxa"/>
              <w:bottom w:w="0" w:type="dxa"/>
              <w:right w:w="90" w:type="dxa"/>
            </w:tcMar>
            <w:hideMark/>
          </w:tcPr>
          <w:p w14:paraId="03ED04E7" w14:textId="77777777" w:rsidR="00F665AD" w:rsidRPr="001533EC" w:rsidRDefault="00F665AD" w:rsidP="00652F66">
            <w:r w:rsidRPr="001533EC">
              <w:t>124.3 ± 110.3</w:t>
            </w:r>
          </w:p>
        </w:tc>
        <w:tc>
          <w:tcPr>
            <w:tcW w:w="440" w:type="pct"/>
            <w:tcBorders>
              <w:top w:val="nil"/>
              <w:left w:val="nil"/>
              <w:bottom w:val="nil"/>
              <w:right w:val="nil"/>
            </w:tcBorders>
            <w:tcMar>
              <w:top w:w="15" w:type="dxa"/>
              <w:left w:w="90" w:type="dxa"/>
              <w:bottom w:w="0" w:type="dxa"/>
              <w:right w:w="90" w:type="dxa"/>
            </w:tcMar>
            <w:hideMark/>
          </w:tcPr>
          <w:p w14:paraId="36E1BE0D" w14:textId="77777777" w:rsidR="00F665AD" w:rsidRPr="001533EC" w:rsidRDefault="00F665AD" w:rsidP="00652F66">
            <w:r w:rsidRPr="001533EC">
              <w:t>0.402</w:t>
            </w:r>
          </w:p>
        </w:tc>
        <w:tc>
          <w:tcPr>
            <w:tcW w:w="98" w:type="pct"/>
            <w:tcBorders>
              <w:top w:val="nil"/>
              <w:left w:val="nil"/>
              <w:bottom w:val="nil"/>
              <w:right w:val="nil"/>
            </w:tcBorders>
            <w:tcMar>
              <w:top w:w="15" w:type="dxa"/>
              <w:left w:w="90" w:type="dxa"/>
              <w:bottom w:w="0" w:type="dxa"/>
              <w:right w:w="90" w:type="dxa"/>
            </w:tcMar>
            <w:hideMark/>
          </w:tcPr>
          <w:p w14:paraId="0D44D20A" w14:textId="77777777" w:rsidR="00F665AD" w:rsidRPr="001533EC" w:rsidRDefault="00F665AD" w:rsidP="00652F66"/>
        </w:tc>
        <w:tc>
          <w:tcPr>
            <w:tcW w:w="489" w:type="pct"/>
            <w:tcBorders>
              <w:top w:val="nil"/>
              <w:left w:val="nil"/>
              <w:bottom w:val="nil"/>
              <w:right w:val="nil"/>
            </w:tcBorders>
            <w:tcMar>
              <w:top w:w="15" w:type="dxa"/>
              <w:left w:w="90" w:type="dxa"/>
              <w:bottom w:w="0" w:type="dxa"/>
              <w:right w:w="90" w:type="dxa"/>
            </w:tcMar>
            <w:hideMark/>
          </w:tcPr>
          <w:p w14:paraId="243A90E4" w14:textId="77777777" w:rsidR="00F665AD" w:rsidRPr="001533EC" w:rsidRDefault="00F665AD" w:rsidP="00652F66">
            <w:r w:rsidRPr="001533EC">
              <w:t>80.7 ± 28.5</w:t>
            </w:r>
          </w:p>
        </w:tc>
        <w:tc>
          <w:tcPr>
            <w:tcW w:w="440" w:type="pct"/>
            <w:tcBorders>
              <w:top w:val="nil"/>
              <w:left w:val="nil"/>
              <w:bottom w:val="nil"/>
              <w:right w:val="nil"/>
            </w:tcBorders>
            <w:tcMar>
              <w:top w:w="15" w:type="dxa"/>
              <w:left w:w="90" w:type="dxa"/>
              <w:bottom w:w="0" w:type="dxa"/>
              <w:right w:w="90" w:type="dxa"/>
            </w:tcMar>
            <w:hideMark/>
          </w:tcPr>
          <w:p w14:paraId="75D54AB3" w14:textId="77777777" w:rsidR="00F665AD" w:rsidRPr="001533EC" w:rsidRDefault="00F665AD" w:rsidP="00652F66">
            <w:r w:rsidRPr="001533EC">
              <w:t>149 ± 68.1</w:t>
            </w:r>
          </w:p>
        </w:tc>
        <w:tc>
          <w:tcPr>
            <w:tcW w:w="392" w:type="pct"/>
            <w:tcBorders>
              <w:top w:val="nil"/>
              <w:left w:val="nil"/>
              <w:bottom w:val="nil"/>
              <w:right w:val="nil"/>
            </w:tcBorders>
            <w:tcMar>
              <w:top w:w="15" w:type="dxa"/>
              <w:left w:w="90" w:type="dxa"/>
              <w:bottom w:w="0" w:type="dxa"/>
              <w:right w:w="90" w:type="dxa"/>
            </w:tcMar>
            <w:hideMark/>
          </w:tcPr>
          <w:p w14:paraId="129FA6FF" w14:textId="77777777" w:rsidR="00F665AD" w:rsidRPr="001533EC" w:rsidRDefault="00F665AD" w:rsidP="00652F66">
            <w:r w:rsidRPr="001533EC">
              <w:rPr>
                <w:b/>
                <w:bCs/>
              </w:rPr>
              <w:t>3.64 x 10</w:t>
            </w:r>
            <w:r w:rsidRPr="001533EC">
              <w:rPr>
                <w:b/>
                <w:bCs/>
                <w:vertAlign w:val="superscript"/>
              </w:rPr>
              <w:t>-4</w:t>
            </w:r>
            <w:r w:rsidRPr="001533EC">
              <w:rPr>
                <w:vertAlign w:val="superscript"/>
              </w:rPr>
              <w:t xml:space="preserve"> </w:t>
            </w:r>
          </w:p>
        </w:tc>
        <w:tc>
          <w:tcPr>
            <w:tcW w:w="69" w:type="pct"/>
            <w:tcBorders>
              <w:top w:val="nil"/>
              <w:left w:val="nil"/>
              <w:bottom w:val="nil"/>
              <w:right w:val="nil"/>
            </w:tcBorders>
            <w:tcMar>
              <w:top w:w="15" w:type="dxa"/>
              <w:left w:w="90" w:type="dxa"/>
              <w:bottom w:w="0" w:type="dxa"/>
              <w:right w:w="90" w:type="dxa"/>
            </w:tcMar>
            <w:hideMark/>
          </w:tcPr>
          <w:p w14:paraId="11D642C1" w14:textId="77777777" w:rsidR="00F665AD" w:rsidRPr="001533EC" w:rsidRDefault="00F665AD" w:rsidP="00652F66"/>
        </w:tc>
        <w:tc>
          <w:tcPr>
            <w:tcW w:w="441" w:type="pct"/>
            <w:tcBorders>
              <w:top w:val="nil"/>
              <w:left w:val="nil"/>
              <w:bottom w:val="nil"/>
              <w:right w:val="nil"/>
            </w:tcBorders>
            <w:tcMar>
              <w:top w:w="15" w:type="dxa"/>
              <w:left w:w="90" w:type="dxa"/>
              <w:bottom w:w="0" w:type="dxa"/>
              <w:right w:w="90" w:type="dxa"/>
            </w:tcMar>
            <w:hideMark/>
          </w:tcPr>
          <w:p w14:paraId="63CBAFD7" w14:textId="77777777" w:rsidR="00F665AD" w:rsidRPr="001533EC" w:rsidRDefault="00F665AD" w:rsidP="00652F66">
            <w:r w:rsidRPr="001533EC">
              <w:t>137 ± 70.7</w:t>
            </w:r>
          </w:p>
        </w:tc>
        <w:tc>
          <w:tcPr>
            <w:tcW w:w="440" w:type="pct"/>
            <w:tcBorders>
              <w:top w:val="nil"/>
              <w:left w:val="nil"/>
              <w:bottom w:val="nil"/>
              <w:right w:val="nil"/>
            </w:tcBorders>
            <w:tcMar>
              <w:top w:w="15" w:type="dxa"/>
              <w:left w:w="90" w:type="dxa"/>
              <w:bottom w:w="0" w:type="dxa"/>
              <w:right w:w="90" w:type="dxa"/>
            </w:tcMar>
            <w:hideMark/>
          </w:tcPr>
          <w:p w14:paraId="1825C11F" w14:textId="77777777" w:rsidR="00F665AD" w:rsidRPr="001533EC" w:rsidRDefault="00F665AD" w:rsidP="00652F66">
            <w:r w:rsidRPr="001533EC">
              <w:t>104 ± 25.6</w:t>
            </w:r>
          </w:p>
        </w:tc>
        <w:tc>
          <w:tcPr>
            <w:tcW w:w="429" w:type="pct"/>
            <w:tcBorders>
              <w:top w:val="nil"/>
              <w:left w:val="nil"/>
              <w:bottom w:val="nil"/>
              <w:right w:val="nil"/>
            </w:tcBorders>
            <w:tcMar>
              <w:top w:w="15" w:type="dxa"/>
              <w:left w:w="90" w:type="dxa"/>
              <w:bottom w:w="0" w:type="dxa"/>
              <w:right w:w="90" w:type="dxa"/>
            </w:tcMar>
            <w:hideMark/>
          </w:tcPr>
          <w:p w14:paraId="7B6E78F5" w14:textId="77777777" w:rsidR="00F665AD" w:rsidRPr="001533EC" w:rsidRDefault="00F665AD" w:rsidP="00652F66">
            <w:r w:rsidRPr="001533EC">
              <w:t>0.257</w:t>
            </w:r>
          </w:p>
        </w:tc>
      </w:tr>
      <w:tr w:rsidR="00F665AD" w:rsidRPr="001533EC" w14:paraId="4E02F4D5" w14:textId="77777777" w:rsidTr="00652F66">
        <w:tc>
          <w:tcPr>
            <w:tcW w:w="783" w:type="pct"/>
            <w:tcBorders>
              <w:top w:val="nil"/>
              <w:left w:val="nil"/>
              <w:bottom w:val="nil"/>
              <w:right w:val="nil"/>
            </w:tcBorders>
            <w:tcMar>
              <w:top w:w="15" w:type="dxa"/>
              <w:left w:w="90" w:type="dxa"/>
              <w:bottom w:w="0" w:type="dxa"/>
              <w:right w:w="90" w:type="dxa"/>
            </w:tcMar>
            <w:hideMark/>
          </w:tcPr>
          <w:p w14:paraId="5B5250A4" w14:textId="77777777" w:rsidR="00F665AD" w:rsidRPr="001533EC" w:rsidRDefault="00F665AD" w:rsidP="00652F66">
            <w:pPr>
              <w:rPr>
                <w:szCs w:val="24"/>
              </w:rPr>
            </w:pPr>
            <w:r w:rsidRPr="001533EC">
              <w:rPr>
                <w:szCs w:val="24"/>
              </w:rPr>
              <w:t>CRP (mg/dL)</w:t>
            </w:r>
          </w:p>
        </w:tc>
        <w:tc>
          <w:tcPr>
            <w:tcW w:w="489" w:type="pct"/>
            <w:tcBorders>
              <w:top w:val="nil"/>
              <w:left w:val="nil"/>
              <w:bottom w:val="nil"/>
              <w:right w:val="nil"/>
            </w:tcBorders>
            <w:tcMar>
              <w:top w:w="15" w:type="dxa"/>
              <w:left w:w="90" w:type="dxa"/>
              <w:bottom w:w="0" w:type="dxa"/>
              <w:right w:w="90" w:type="dxa"/>
            </w:tcMar>
            <w:hideMark/>
          </w:tcPr>
          <w:p w14:paraId="7FEC88E1" w14:textId="77777777" w:rsidR="00F665AD" w:rsidRPr="001533EC" w:rsidRDefault="00F665AD" w:rsidP="00652F66">
            <w:r w:rsidRPr="001533EC">
              <w:t>0.21 ± 0.33</w:t>
            </w:r>
          </w:p>
        </w:tc>
        <w:tc>
          <w:tcPr>
            <w:tcW w:w="490" w:type="pct"/>
            <w:tcBorders>
              <w:top w:val="nil"/>
              <w:left w:val="nil"/>
              <w:bottom w:val="nil"/>
              <w:right w:val="nil"/>
            </w:tcBorders>
            <w:tcMar>
              <w:top w:w="15" w:type="dxa"/>
              <w:left w:w="90" w:type="dxa"/>
              <w:bottom w:w="0" w:type="dxa"/>
              <w:right w:w="90" w:type="dxa"/>
            </w:tcMar>
            <w:hideMark/>
          </w:tcPr>
          <w:p w14:paraId="304C0FC2" w14:textId="77777777" w:rsidR="00F665AD" w:rsidRPr="001533EC" w:rsidRDefault="00F665AD" w:rsidP="00652F66">
            <w:r w:rsidRPr="001533EC">
              <w:t>0.31 ± 0.56</w:t>
            </w:r>
          </w:p>
        </w:tc>
        <w:tc>
          <w:tcPr>
            <w:tcW w:w="440" w:type="pct"/>
            <w:tcBorders>
              <w:top w:val="nil"/>
              <w:left w:val="nil"/>
              <w:bottom w:val="nil"/>
              <w:right w:val="nil"/>
            </w:tcBorders>
            <w:tcMar>
              <w:top w:w="15" w:type="dxa"/>
              <w:left w:w="90" w:type="dxa"/>
              <w:bottom w:w="0" w:type="dxa"/>
              <w:right w:w="90" w:type="dxa"/>
            </w:tcMar>
            <w:hideMark/>
          </w:tcPr>
          <w:p w14:paraId="71054E3B" w14:textId="77777777" w:rsidR="00F665AD" w:rsidRPr="001533EC" w:rsidRDefault="00F665AD" w:rsidP="00652F66">
            <w:r w:rsidRPr="001533EC">
              <w:t>0.520</w:t>
            </w:r>
          </w:p>
        </w:tc>
        <w:tc>
          <w:tcPr>
            <w:tcW w:w="98" w:type="pct"/>
            <w:tcBorders>
              <w:top w:val="nil"/>
              <w:left w:val="nil"/>
              <w:bottom w:val="nil"/>
              <w:right w:val="nil"/>
            </w:tcBorders>
            <w:tcMar>
              <w:top w:w="15" w:type="dxa"/>
              <w:left w:w="90" w:type="dxa"/>
              <w:bottom w:w="0" w:type="dxa"/>
              <w:right w:w="90" w:type="dxa"/>
            </w:tcMar>
            <w:hideMark/>
          </w:tcPr>
          <w:p w14:paraId="73971595" w14:textId="77777777" w:rsidR="00F665AD" w:rsidRPr="001533EC" w:rsidRDefault="00F665AD" w:rsidP="00652F66"/>
        </w:tc>
        <w:tc>
          <w:tcPr>
            <w:tcW w:w="489" w:type="pct"/>
            <w:tcBorders>
              <w:top w:val="nil"/>
              <w:left w:val="nil"/>
              <w:bottom w:val="nil"/>
              <w:right w:val="nil"/>
            </w:tcBorders>
            <w:tcMar>
              <w:top w:w="15" w:type="dxa"/>
              <w:left w:w="90" w:type="dxa"/>
              <w:bottom w:w="0" w:type="dxa"/>
              <w:right w:w="90" w:type="dxa"/>
            </w:tcMar>
            <w:hideMark/>
          </w:tcPr>
          <w:p w14:paraId="0623E18E" w14:textId="77777777" w:rsidR="00F665AD" w:rsidRPr="001533EC" w:rsidRDefault="00F665AD" w:rsidP="00652F66">
            <w:r w:rsidRPr="001533EC">
              <w:t>0.32 ± 0.34</w:t>
            </w:r>
          </w:p>
        </w:tc>
        <w:tc>
          <w:tcPr>
            <w:tcW w:w="440" w:type="pct"/>
            <w:tcBorders>
              <w:top w:val="nil"/>
              <w:left w:val="nil"/>
              <w:bottom w:val="nil"/>
              <w:right w:val="nil"/>
            </w:tcBorders>
            <w:tcMar>
              <w:top w:w="15" w:type="dxa"/>
              <w:left w:w="90" w:type="dxa"/>
              <w:bottom w:w="0" w:type="dxa"/>
              <w:right w:w="90" w:type="dxa"/>
            </w:tcMar>
            <w:hideMark/>
          </w:tcPr>
          <w:p w14:paraId="2990B1C5" w14:textId="77777777" w:rsidR="00F665AD" w:rsidRPr="001533EC" w:rsidRDefault="00F665AD" w:rsidP="00652F66">
            <w:r w:rsidRPr="001533EC">
              <w:t>0.46 ± 0.48</w:t>
            </w:r>
          </w:p>
        </w:tc>
        <w:tc>
          <w:tcPr>
            <w:tcW w:w="392" w:type="pct"/>
            <w:tcBorders>
              <w:top w:val="nil"/>
              <w:left w:val="nil"/>
              <w:bottom w:val="nil"/>
              <w:right w:val="nil"/>
            </w:tcBorders>
            <w:tcMar>
              <w:top w:w="15" w:type="dxa"/>
              <w:left w:w="90" w:type="dxa"/>
              <w:bottom w:w="0" w:type="dxa"/>
              <w:right w:w="90" w:type="dxa"/>
            </w:tcMar>
            <w:hideMark/>
          </w:tcPr>
          <w:p w14:paraId="2F009A59" w14:textId="77777777" w:rsidR="00F665AD" w:rsidRPr="001533EC" w:rsidRDefault="00F665AD" w:rsidP="00652F66">
            <w:r w:rsidRPr="001533EC">
              <w:t>0.304</w:t>
            </w:r>
          </w:p>
        </w:tc>
        <w:tc>
          <w:tcPr>
            <w:tcW w:w="69" w:type="pct"/>
            <w:tcBorders>
              <w:top w:val="nil"/>
              <w:left w:val="nil"/>
              <w:bottom w:val="nil"/>
              <w:right w:val="nil"/>
            </w:tcBorders>
            <w:tcMar>
              <w:top w:w="15" w:type="dxa"/>
              <w:left w:w="90" w:type="dxa"/>
              <w:bottom w:w="0" w:type="dxa"/>
              <w:right w:w="90" w:type="dxa"/>
            </w:tcMar>
            <w:hideMark/>
          </w:tcPr>
          <w:p w14:paraId="452E229F" w14:textId="77777777" w:rsidR="00F665AD" w:rsidRPr="001533EC" w:rsidRDefault="00F665AD" w:rsidP="00652F66"/>
        </w:tc>
        <w:tc>
          <w:tcPr>
            <w:tcW w:w="441" w:type="pct"/>
            <w:tcBorders>
              <w:top w:val="nil"/>
              <w:left w:val="nil"/>
              <w:bottom w:val="nil"/>
              <w:right w:val="nil"/>
            </w:tcBorders>
            <w:tcMar>
              <w:top w:w="15" w:type="dxa"/>
              <w:left w:w="90" w:type="dxa"/>
              <w:bottom w:w="0" w:type="dxa"/>
              <w:right w:w="90" w:type="dxa"/>
            </w:tcMar>
            <w:hideMark/>
          </w:tcPr>
          <w:p w14:paraId="15F302E2" w14:textId="77777777" w:rsidR="00F665AD" w:rsidRPr="001533EC" w:rsidRDefault="00F665AD" w:rsidP="00652F66">
            <w:r w:rsidRPr="001533EC">
              <w:t>0.57 ± 0.56</w:t>
            </w:r>
          </w:p>
        </w:tc>
        <w:tc>
          <w:tcPr>
            <w:tcW w:w="440" w:type="pct"/>
            <w:tcBorders>
              <w:top w:val="nil"/>
              <w:left w:val="nil"/>
              <w:bottom w:val="nil"/>
              <w:right w:val="nil"/>
            </w:tcBorders>
            <w:tcMar>
              <w:top w:w="15" w:type="dxa"/>
              <w:left w:w="90" w:type="dxa"/>
              <w:bottom w:w="0" w:type="dxa"/>
              <w:right w:w="90" w:type="dxa"/>
            </w:tcMar>
            <w:hideMark/>
          </w:tcPr>
          <w:p w14:paraId="26C258C4" w14:textId="77777777" w:rsidR="00F665AD" w:rsidRPr="001533EC" w:rsidRDefault="00F665AD" w:rsidP="00652F66">
            <w:r w:rsidRPr="001533EC">
              <w:t>0.15 ± 0.13</w:t>
            </w:r>
          </w:p>
        </w:tc>
        <w:tc>
          <w:tcPr>
            <w:tcW w:w="429" w:type="pct"/>
            <w:tcBorders>
              <w:top w:val="nil"/>
              <w:left w:val="nil"/>
              <w:bottom w:val="nil"/>
              <w:right w:val="nil"/>
            </w:tcBorders>
            <w:tcMar>
              <w:top w:w="15" w:type="dxa"/>
              <w:left w:w="90" w:type="dxa"/>
              <w:bottom w:w="0" w:type="dxa"/>
              <w:right w:w="90" w:type="dxa"/>
            </w:tcMar>
            <w:hideMark/>
          </w:tcPr>
          <w:p w14:paraId="08D427AE" w14:textId="77777777" w:rsidR="00F665AD" w:rsidRPr="001533EC" w:rsidRDefault="00F665AD" w:rsidP="00652F66">
            <w:r w:rsidRPr="001533EC">
              <w:rPr>
                <w:b/>
                <w:bCs/>
              </w:rPr>
              <w:t>0.014</w:t>
            </w:r>
          </w:p>
        </w:tc>
      </w:tr>
      <w:tr w:rsidR="00F665AD" w:rsidRPr="001533EC" w14:paraId="34913BBA" w14:textId="77777777" w:rsidTr="00652F66">
        <w:tc>
          <w:tcPr>
            <w:tcW w:w="783" w:type="pct"/>
            <w:tcBorders>
              <w:top w:val="nil"/>
              <w:left w:val="nil"/>
              <w:bottom w:val="nil"/>
              <w:right w:val="nil"/>
            </w:tcBorders>
            <w:tcMar>
              <w:top w:w="15" w:type="dxa"/>
              <w:left w:w="90" w:type="dxa"/>
              <w:bottom w:w="0" w:type="dxa"/>
              <w:right w:w="90" w:type="dxa"/>
            </w:tcMar>
            <w:hideMark/>
          </w:tcPr>
          <w:p w14:paraId="6277792D" w14:textId="77777777" w:rsidR="00F665AD" w:rsidRPr="001533EC" w:rsidRDefault="00F665AD" w:rsidP="00652F66">
            <w:pPr>
              <w:rPr>
                <w:szCs w:val="24"/>
              </w:rPr>
            </w:pPr>
            <w:r w:rsidRPr="001533EC">
              <w:rPr>
                <w:szCs w:val="24"/>
              </w:rPr>
              <w:t>Fasting glucose (mg/dL)</w:t>
            </w:r>
          </w:p>
        </w:tc>
        <w:tc>
          <w:tcPr>
            <w:tcW w:w="489" w:type="pct"/>
            <w:tcBorders>
              <w:top w:val="nil"/>
              <w:left w:val="nil"/>
              <w:bottom w:val="nil"/>
              <w:right w:val="nil"/>
            </w:tcBorders>
            <w:tcMar>
              <w:top w:w="15" w:type="dxa"/>
              <w:left w:w="90" w:type="dxa"/>
              <w:bottom w:w="0" w:type="dxa"/>
              <w:right w:w="90" w:type="dxa"/>
            </w:tcMar>
            <w:hideMark/>
          </w:tcPr>
          <w:p w14:paraId="1C709F79" w14:textId="77777777" w:rsidR="00F665AD" w:rsidRPr="001533EC" w:rsidRDefault="00F665AD" w:rsidP="00652F66">
            <w:r w:rsidRPr="001533EC">
              <w:t>91.6 ± 8.5</w:t>
            </w:r>
          </w:p>
        </w:tc>
        <w:tc>
          <w:tcPr>
            <w:tcW w:w="490" w:type="pct"/>
            <w:tcBorders>
              <w:top w:val="nil"/>
              <w:left w:val="nil"/>
              <w:bottom w:val="nil"/>
              <w:right w:val="nil"/>
            </w:tcBorders>
            <w:tcMar>
              <w:top w:w="15" w:type="dxa"/>
              <w:left w:w="90" w:type="dxa"/>
              <w:bottom w:w="0" w:type="dxa"/>
              <w:right w:w="90" w:type="dxa"/>
            </w:tcMar>
            <w:hideMark/>
          </w:tcPr>
          <w:p w14:paraId="27A29C8E" w14:textId="77777777" w:rsidR="00F665AD" w:rsidRPr="001533EC" w:rsidRDefault="00F665AD" w:rsidP="00652F66">
            <w:r w:rsidRPr="001533EC">
              <w:t>89.6 ± 7.9</w:t>
            </w:r>
          </w:p>
        </w:tc>
        <w:tc>
          <w:tcPr>
            <w:tcW w:w="440" w:type="pct"/>
            <w:tcBorders>
              <w:top w:val="nil"/>
              <w:left w:val="nil"/>
              <w:bottom w:val="nil"/>
              <w:right w:val="nil"/>
            </w:tcBorders>
            <w:tcMar>
              <w:top w:w="15" w:type="dxa"/>
              <w:left w:w="90" w:type="dxa"/>
              <w:bottom w:w="0" w:type="dxa"/>
              <w:right w:w="90" w:type="dxa"/>
            </w:tcMar>
            <w:hideMark/>
          </w:tcPr>
          <w:p w14:paraId="245CC4E3" w14:textId="77777777" w:rsidR="00F665AD" w:rsidRPr="001533EC" w:rsidRDefault="00F665AD" w:rsidP="00652F66">
            <w:r w:rsidRPr="001533EC">
              <w:t>0.122</w:t>
            </w:r>
          </w:p>
        </w:tc>
        <w:tc>
          <w:tcPr>
            <w:tcW w:w="98" w:type="pct"/>
            <w:tcBorders>
              <w:top w:val="nil"/>
              <w:left w:val="nil"/>
              <w:bottom w:val="nil"/>
              <w:right w:val="nil"/>
            </w:tcBorders>
            <w:tcMar>
              <w:top w:w="15" w:type="dxa"/>
              <w:left w:w="90" w:type="dxa"/>
              <w:bottom w:w="0" w:type="dxa"/>
              <w:right w:w="90" w:type="dxa"/>
            </w:tcMar>
            <w:hideMark/>
          </w:tcPr>
          <w:p w14:paraId="15F9EF04" w14:textId="77777777" w:rsidR="00F665AD" w:rsidRPr="001533EC" w:rsidRDefault="00F665AD" w:rsidP="00652F66"/>
        </w:tc>
        <w:tc>
          <w:tcPr>
            <w:tcW w:w="489" w:type="pct"/>
            <w:tcBorders>
              <w:top w:val="nil"/>
              <w:left w:val="nil"/>
              <w:bottom w:val="nil"/>
              <w:right w:val="nil"/>
            </w:tcBorders>
            <w:tcMar>
              <w:top w:w="15" w:type="dxa"/>
              <w:left w:w="90" w:type="dxa"/>
              <w:bottom w:w="0" w:type="dxa"/>
              <w:right w:w="90" w:type="dxa"/>
            </w:tcMar>
            <w:hideMark/>
          </w:tcPr>
          <w:p w14:paraId="305328EC" w14:textId="77777777" w:rsidR="00F665AD" w:rsidRPr="001533EC" w:rsidRDefault="00F665AD" w:rsidP="00652F66">
            <w:r w:rsidRPr="001533EC">
              <w:t>95.5 ± 10</w:t>
            </w:r>
          </w:p>
        </w:tc>
        <w:tc>
          <w:tcPr>
            <w:tcW w:w="440" w:type="pct"/>
            <w:tcBorders>
              <w:top w:val="nil"/>
              <w:left w:val="nil"/>
              <w:bottom w:val="nil"/>
              <w:right w:val="nil"/>
            </w:tcBorders>
            <w:tcMar>
              <w:top w:w="15" w:type="dxa"/>
              <w:left w:w="90" w:type="dxa"/>
              <w:bottom w:w="0" w:type="dxa"/>
              <w:right w:w="90" w:type="dxa"/>
            </w:tcMar>
            <w:hideMark/>
          </w:tcPr>
          <w:p w14:paraId="0155AF9E" w14:textId="77777777" w:rsidR="00F665AD" w:rsidRPr="001533EC" w:rsidRDefault="00F665AD" w:rsidP="00652F66">
            <w:r w:rsidRPr="001533EC">
              <w:t>111 ± 10.9</w:t>
            </w:r>
          </w:p>
        </w:tc>
        <w:tc>
          <w:tcPr>
            <w:tcW w:w="392" w:type="pct"/>
            <w:tcBorders>
              <w:top w:val="nil"/>
              <w:left w:val="nil"/>
              <w:bottom w:val="nil"/>
              <w:right w:val="nil"/>
            </w:tcBorders>
            <w:tcMar>
              <w:top w:w="15" w:type="dxa"/>
              <w:left w:w="90" w:type="dxa"/>
              <w:bottom w:w="0" w:type="dxa"/>
              <w:right w:w="90" w:type="dxa"/>
            </w:tcMar>
            <w:hideMark/>
          </w:tcPr>
          <w:p w14:paraId="4F3EF79F" w14:textId="77777777" w:rsidR="00F665AD" w:rsidRPr="001533EC" w:rsidRDefault="00F665AD" w:rsidP="00652F66">
            <w:r w:rsidRPr="001533EC">
              <w:rPr>
                <w:b/>
                <w:bCs/>
              </w:rPr>
              <w:t>6.45 x 10</w:t>
            </w:r>
            <w:r w:rsidRPr="001533EC">
              <w:rPr>
                <w:b/>
                <w:bCs/>
                <w:vertAlign w:val="superscript"/>
              </w:rPr>
              <w:t>-4</w:t>
            </w:r>
          </w:p>
        </w:tc>
        <w:tc>
          <w:tcPr>
            <w:tcW w:w="69" w:type="pct"/>
            <w:tcBorders>
              <w:top w:val="nil"/>
              <w:left w:val="nil"/>
              <w:bottom w:val="nil"/>
              <w:right w:val="nil"/>
            </w:tcBorders>
            <w:tcMar>
              <w:top w:w="15" w:type="dxa"/>
              <w:left w:w="90" w:type="dxa"/>
              <w:bottom w:w="0" w:type="dxa"/>
              <w:right w:w="90" w:type="dxa"/>
            </w:tcMar>
            <w:hideMark/>
          </w:tcPr>
          <w:p w14:paraId="3DAE6395" w14:textId="77777777" w:rsidR="00F665AD" w:rsidRPr="001533EC" w:rsidRDefault="00F665AD" w:rsidP="00652F66"/>
        </w:tc>
        <w:tc>
          <w:tcPr>
            <w:tcW w:w="441" w:type="pct"/>
            <w:tcBorders>
              <w:top w:val="nil"/>
              <w:left w:val="nil"/>
              <w:bottom w:val="nil"/>
              <w:right w:val="nil"/>
            </w:tcBorders>
            <w:tcMar>
              <w:top w:w="15" w:type="dxa"/>
              <w:left w:w="90" w:type="dxa"/>
              <w:bottom w:w="0" w:type="dxa"/>
              <w:right w:w="90" w:type="dxa"/>
            </w:tcMar>
            <w:hideMark/>
          </w:tcPr>
          <w:p w14:paraId="662F21BE" w14:textId="77777777" w:rsidR="00F665AD" w:rsidRPr="001533EC" w:rsidRDefault="00F665AD" w:rsidP="00652F66">
            <w:r w:rsidRPr="001533EC">
              <w:t>98.1 ± 10.9</w:t>
            </w:r>
          </w:p>
        </w:tc>
        <w:tc>
          <w:tcPr>
            <w:tcW w:w="440" w:type="pct"/>
            <w:tcBorders>
              <w:top w:val="nil"/>
              <w:left w:val="nil"/>
              <w:bottom w:val="nil"/>
              <w:right w:val="nil"/>
            </w:tcBorders>
            <w:tcMar>
              <w:top w:w="15" w:type="dxa"/>
              <w:left w:w="90" w:type="dxa"/>
              <w:bottom w:w="0" w:type="dxa"/>
              <w:right w:w="90" w:type="dxa"/>
            </w:tcMar>
            <w:hideMark/>
          </w:tcPr>
          <w:p w14:paraId="392E7554" w14:textId="77777777" w:rsidR="00F665AD" w:rsidRPr="001533EC" w:rsidRDefault="00F665AD" w:rsidP="00652F66">
            <w:r w:rsidRPr="001533EC">
              <w:t>99.3 ± 6.5</w:t>
            </w:r>
          </w:p>
        </w:tc>
        <w:tc>
          <w:tcPr>
            <w:tcW w:w="429" w:type="pct"/>
            <w:tcBorders>
              <w:top w:val="nil"/>
              <w:left w:val="nil"/>
              <w:bottom w:val="nil"/>
              <w:right w:val="nil"/>
            </w:tcBorders>
            <w:tcMar>
              <w:top w:w="15" w:type="dxa"/>
              <w:left w:w="90" w:type="dxa"/>
              <w:bottom w:w="0" w:type="dxa"/>
              <w:right w:w="90" w:type="dxa"/>
            </w:tcMar>
            <w:hideMark/>
          </w:tcPr>
          <w:p w14:paraId="4657E24B" w14:textId="77777777" w:rsidR="00F665AD" w:rsidRPr="001533EC" w:rsidRDefault="00F665AD" w:rsidP="00652F66">
            <w:r w:rsidRPr="001533EC">
              <w:t>0.756</w:t>
            </w:r>
          </w:p>
        </w:tc>
      </w:tr>
      <w:tr w:rsidR="00F665AD" w:rsidRPr="001533EC" w14:paraId="4BAF1544" w14:textId="77777777" w:rsidTr="00652F66">
        <w:tc>
          <w:tcPr>
            <w:tcW w:w="783" w:type="pct"/>
            <w:tcBorders>
              <w:top w:val="nil"/>
              <w:left w:val="nil"/>
              <w:bottom w:val="nil"/>
              <w:right w:val="nil"/>
            </w:tcBorders>
            <w:tcMar>
              <w:top w:w="15" w:type="dxa"/>
              <w:left w:w="90" w:type="dxa"/>
              <w:bottom w:w="0" w:type="dxa"/>
              <w:right w:w="90" w:type="dxa"/>
            </w:tcMar>
            <w:hideMark/>
          </w:tcPr>
          <w:p w14:paraId="42AD184D" w14:textId="77777777" w:rsidR="00F665AD" w:rsidRPr="001533EC" w:rsidRDefault="00F665AD" w:rsidP="00652F66">
            <w:pPr>
              <w:rPr>
                <w:szCs w:val="24"/>
              </w:rPr>
            </w:pPr>
            <w:r w:rsidRPr="001533EC">
              <w:rPr>
                <w:szCs w:val="24"/>
              </w:rPr>
              <w:t>ISI-Matsuda index</w:t>
            </w:r>
          </w:p>
        </w:tc>
        <w:tc>
          <w:tcPr>
            <w:tcW w:w="489" w:type="pct"/>
            <w:tcBorders>
              <w:top w:val="nil"/>
              <w:left w:val="nil"/>
              <w:bottom w:val="nil"/>
              <w:right w:val="nil"/>
            </w:tcBorders>
            <w:tcMar>
              <w:top w:w="15" w:type="dxa"/>
              <w:left w:w="90" w:type="dxa"/>
              <w:bottom w:w="0" w:type="dxa"/>
              <w:right w:w="90" w:type="dxa"/>
            </w:tcMar>
            <w:hideMark/>
          </w:tcPr>
          <w:p w14:paraId="058A11A0" w14:textId="77777777" w:rsidR="00F665AD" w:rsidRPr="001533EC" w:rsidRDefault="00F665AD" w:rsidP="00652F66">
            <w:r w:rsidRPr="001533EC">
              <w:t>14.7 ± 8.8</w:t>
            </w:r>
          </w:p>
        </w:tc>
        <w:tc>
          <w:tcPr>
            <w:tcW w:w="490" w:type="pct"/>
            <w:tcBorders>
              <w:top w:val="nil"/>
              <w:left w:val="nil"/>
              <w:bottom w:val="nil"/>
              <w:right w:val="nil"/>
            </w:tcBorders>
            <w:tcMar>
              <w:top w:w="15" w:type="dxa"/>
              <w:left w:w="90" w:type="dxa"/>
              <w:bottom w:w="0" w:type="dxa"/>
              <w:right w:w="90" w:type="dxa"/>
            </w:tcMar>
            <w:hideMark/>
          </w:tcPr>
          <w:p w14:paraId="1CD2DDD3" w14:textId="77777777" w:rsidR="00F665AD" w:rsidRPr="001533EC" w:rsidRDefault="00F665AD" w:rsidP="00652F66">
            <w:r w:rsidRPr="001533EC">
              <w:t>14.0 ± 9.1</w:t>
            </w:r>
          </w:p>
        </w:tc>
        <w:tc>
          <w:tcPr>
            <w:tcW w:w="440" w:type="pct"/>
            <w:tcBorders>
              <w:top w:val="nil"/>
              <w:left w:val="nil"/>
              <w:bottom w:val="nil"/>
              <w:right w:val="nil"/>
            </w:tcBorders>
            <w:tcMar>
              <w:top w:w="15" w:type="dxa"/>
              <w:left w:w="90" w:type="dxa"/>
              <w:bottom w:w="0" w:type="dxa"/>
              <w:right w:w="90" w:type="dxa"/>
            </w:tcMar>
            <w:hideMark/>
          </w:tcPr>
          <w:p w14:paraId="6094B20E" w14:textId="77777777" w:rsidR="00F665AD" w:rsidRPr="001533EC" w:rsidRDefault="00F665AD" w:rsidP="00652F66">
            <w:r w:rsidRPr="001533EC">
              <w:t>0.480</w:t>
            </w:r>
          </w:p>
        </w:tc>
        <w:tc>
          <w:tcPr>
            <w:tcW w:w="98" w:type="pct"/>
            <w:tcBorders>
              <w:top w:val="nil"/>
              <w:left w:val="nil"/>
              <w:bottom w:val="nil"/>
              <w:right w:val="nil"/>
            </w:tcBorders>
            <w:tcMar>
              <w:top w:w="15" w:type="dxa"/>
              <w:left w:w="90" w:type="dxa"/>
              <w:bottom w:w="0" w:type="dxa"/>
              <w:right w:w="90" w:type="dxa"/>
            </w:tcMar>
            <w:hideMark/>
          </w:tcPr>
          <w:p w14:paraId="437FAB16" w14:textId="77777777" w:rsidR="00F665AD" w:rsidRPr="001533EC" w:rsidRDefault="00F665AD" w:rsidP="00652F66"/>
        </w:tc>
        <w:tc>
          <w:tcPr>
            <w:tcW w:w="489" w:type="pct"/>
            <w:tcBorders>
              <w:top w:val="nil"/>
              <w:left w:val="nil"/>
              <w:bottom w:val="nil"/>
              <w:right w:val="nil"/>
            </w:tcBorders>
            <w:tcMar>
              <w:top w:w="15" w:type="dxa"/>
              <w:left w:w="90" w:type="dxa"/>
              <w:bottom w:w="0" w:type="dxa"/>
              <w:right w:w="90" w:type="dxa"/>
            </w:tcMar>
            <w:hideMark/>
          </w:tcPr>
          <w:p w14:paraId="13D34954" w14:textId="77777777" w:rsidR="00F665AD" w:rsidRPr="001533EC" w:rsidRDefault="00F665AD" w:rsidP="00652F66">
            <w:r w:rsidRPr="001533EC">
              <w:t>11.8 ± 11.1</w:t>
            </w:r>
          </w:p>
        </w:tc>
        <w:tc>
          <w:tcPr>
            <w:tcW w:w="440" w:type="pct"/>
            <w:tcBorders>
              <w:top w:val="nil"/>
              <w:left w:val="nil"/>
              <w:bottom w:val="nil"/>
              <w:right w:val="nil"/>
            </w:tcBorders>
            <w:tcMar>
              <w:top w:w="15" w:type="dxa"/>
              <w:left w:w="90" w:type="dxa"/>
              <w:bottom w:w="0" w:type="dxa"/>
              <w:right w:w="90" w:type="dxa"/>
            </w:tcMar>
            <w:hideMark/>
          </w:tcPr>
          <w:p w14:paraId="2BB0E94B" w14:textId="77777777" w:rsidR="00F665AD" w:rsidRPr="001533EC" w:rsidRDefault="00F665AD" w:rsidP="00652F66">
            <w:r w:rsidRPr="001533EC">
              <w:t>6.05 ± 2.97</w:t>
            </w:r>
          </w:p>
        </w:tc>
        <w:tc>
          <w:tcPr>
            <w:tcW w:w="392" w:type="pct"/>
            <w:tcBorders>
              <w:top w:val="nil"/>
              <w:left w:val="nil"/>
              <w:bottom w:val="nil"/>
              <w:right w:val="nil"/>
            </w:tcBorders>
            <w:tcMar>
              <w:top w:w="15" w:type="dxa"/>
              <w:left w:w="90" w:type="dxa"/>
              <w:bottom w:w="0" w:type="dxa"/>
              <w:right w:w="90" w:type="dxa"/>
            </w:tcMar>
            <w:hideMark/>
          </w:tcPr>
          <w:p w14:paraId="3CF2AA8D" w14:textId="77777777" w:rsidR="00F665AD" w:rsidRPr="001533EC" w:rsidRDefault="00F665AD" w:rsidP="00652F66">
            <w:r w:rsidRPr="001533EC">
              <w:t xml:space="preserve">0.078 </w:t>
            </w:r>
          </w:p>
        </w:tc>
        <w:tc>
          <w:tcPr>
            <w:tcW w:w="69" w:type="pct"/>
            <w:tcBorders>
              <w:top w:val="nil"/>
              <w:left w:val="nil"/>
              <w:bottom w:val="nil"/>
              <w:right w:val="nil"/>
            </w:tcBorders>
            <w:tcMar>
              <w:top w:w="15" w:type="dxa"/>
              <w:left w:w="90" w:type="dxa"/>
              <w:bottom w:w="0" w:type="dxa"/>
              <w:right w:w="90" w:type="dxa"/>
            </w:tcMar>
            <w:hideMark/>
          </w:tcPr>
          <w:p w14:paraId="4485C7ED" w14:textId="77777777" w:rsidR="00F665AD" w:rsidRPr="001533EC" w:rsidRDefault="00F665AD" w:rsidP="00652F66"/>
        </w:tc>
        <w:tc>
          <w:tcPr>
            <w:tcW w:w="441" w:type="pct"/>
            <w:tcBorders>
              <w:top w:val="nil"/>
              <w:left w:val="nil"/>
              <w:bottom w:val="nil"/>
              <w:right w:val="nil"/>
            </w:tcBorders>
            <w:tcMar>
              <w:top w:w="15" w:type="dxa"/>
              <w:left w:w="90" w:type="dxa"/>
              <w:bottom w:w="0" w:type="dxa"/>
              <w:right w:w="90" w:type="dxa"/>
            </w:tcMar>
            <w:hideMark/>
          </w:tcPr>
          <w:p w14:paraId="5B53ADBB" w14:textId="77777777" w:rsidR="00F665AD" w:rsidRPr="001533EC" w:rsidRDefault="00F665AD" w:rsidP="00652F66">
            <w:r w:rsidRPr="001533EC">
              <w:t>6.51 ± 4.1</w:t>
            </w:r>
          </w:p>
        </w:tc>
        <w:tc>
          <w:tcPr>
            <w:tcW w:w="440" w:type="pct"/>
            <w:tcBorders>
              <w:top w:val="nil"/>
              <w:left w:val="nil"/>
              <w:bottom w:val="nil"/>
              <w:right w:val="nil"/>
            </w:tcBorders>
            <w:tcMar>
              <w:top w:w="15" w:type="dxa"/>
              <w:left w:w="90" w:type="dxa"/>
              <w:bottom w:w="0" w:type="dxa"/>
              <w:right w:w="90" w:type="dxa"/>
            </w:tcMar>
            <w:hideMark/>
          </w:tcPr>
          <w:p w14:paraId="343CC895" w14:textId="77777777" w:rsidR="00F665AD" w:rsidRPr="001533EC" w:rsidRDefault="00F665AD" w:rsidP="00652F66">
            <w:r w:rsidRPr="001533EC">
              <w:t>8.25 ± 3.34</w:t>
            </w:r>
          </w:p>
        </w:tc>
        <w:tc>
          <w:tcPr>
            <w:tcW w:w="429" w:type="pct"/>
            <w:tcBorders>
              <w:top w:val="nil"/>
              <w:left w:val="nil"/>
              <w:bottom w:val="nil"/>
              <w:right w:val="nil"/>
            </w:tcBorders>
            <w:tcMar>
              <w:top w:w="15" w:type="dxa"/>
              <w:left w:w="90" w:type="dxa"/>
              <w:bottom w:w="0" w:type="dxa"/>
              <w:right w:w="90" w:type="dxa"/>
            </w:tcMar>
            <w:hideMark/>
          </w:tcPr>
          <w:p w14:paraId="1AE7DA51" w14:textId="77777777" w:rsidR="00F665AD" w:rsidRPr="001533EC" w:rsidRDefault="00F665AD" w:rsidP="00652F66">
            <w:r w:rsidRPr="001533EC">
              <w:t>0.190</w:t>
            </w:r>
          </w:p>
        </w:tc>
      </w:tr>
      <w:tr w:rsidR="00F665AD" w:rsidRPr="001533EC" w14:paraId="6F58E4B5" w14:textId="77777777" w:rsidTr="00652F66">
        <w:trPr>
          <w:trHeight w:val="105"/>
        </w:trPr>
        <w:tc>
          <w:tcPr>
            <w:tcW w:w="783" w:type="pct"/>
            <w:tcBorders>
              <w:top w:val="nil"/>
              <w:left w:val="nil"/>
              <w:bottom w:val="single" w:sz="4" w:space="0" w:color="auto"/>
              <w:right w:val="nil"/>
            </w:tcBorders>
            <w:tcMar>
              <w:top w:w="15" w:type="dxa"/>
              <w:left w:w="90" w:type="dxa"/>
              <w:bottom w:w="0" w:type="dxa"/>
              <w:right w:w="90" w:type="dxa"/>
            </w:tcMar>
            <w:hideMark/>
          </w:tcPr>
          <w:p w14:paraId="16CFA241" w14:textId="77777777" w:rsidR="00F665AD" w:rsidRPr="001533EC" w:rsidRDefault="00F665AD" w:rsidP="00652F66">
            <w:pPr>
              <w:rPr>
                <w:szCs w:val="24"/>
              </w:rPr>
            </w:pPr>
            <w:proofErr w:type="spellStart"/>
            <w:r w:rsidRPr="001533EC">
              <w:rPr>
                <w:szCs w:val="24"/>
              </w:rPr>
              <w:t>ΔCBF</w:t>
            </w:r>
            <w:r w:rsidRPr="001533EC">
              <w:rPr>
                <w:szCs w:val="24"/>
                <w:vertAlign w:val="subscript"/>
              </w:rPr>
              <w:t>n</w:t>
            </w:r>
            <w:proofErr w:type="spellEnd"/>
            <w:r w:rsidRPr="001533EC">
              <w:rPr>
                <w:szCs w:val="24"/>
              </w:rPr>
              <w:t>-Hypothalamus</w:t>
            </w:r>
          </w:p>
        </w:tc>
        <w:tc>
          <w:tcPr>
            <w:tcW w:w="489" w:type="pct"/>
            <w:tcBorders>
              <w:top w:val="nil"/>
              <w:left w:val="nil"/>
              <w:bottom w:val="single" w:sz="4" w:space="0" w:color="auto"/>
              <w:right w:val="nil"/>
            </w:tcBorders>
            <w:tcMar>
              <w:top w:w="15" w:type="dxa"/>
              <w:left w:w="90" w:type="dxa"/>
              <w:bottom w:w="0" w:type="dxa"/>
              <w:right w:w="90" w:type="dxa"/>
            </w:tcMar>
            <w:hideMark/>
          </w:tcPr>
          <w:p w14:paraId="36905535" w14:textId="77777777" w:rsidR="00F665AD" w:rsidRPr="001533EC" w:rsidRDefault="00F665AD" w:rsidP="00652F66">
            <w:r w:rsidRPr="001533EC">
              <w:t>-0.15 ± 0.12</w:t>
            </w:r>
          </w:p>
        </w:tc>
        <w:tc>
          <w:tcPr>
            <w:tcW w:w="490" w:type="pct"/>
            <w:tcBorders>
              <w:top w:val="nil"/>
              <w:left w:val="nil"/>
              <w:bottom w:val="single" w:sz="4" w:space="0" w:color="auto"/>
              <w:right w:val="nil"/>
            </w:tcBorders>
            <w:tcMar>
              <w:top w:w="15" w:type="dxa"/>
              <w:left w:w="90" w:type="dxa"/>
              <w:bottom w:w="0" w:type="dxa"/>
              <w:right w:w="90" w:type="dxa"/>
            </w:tcMar>
            <w:hideMark/>
          </w:tcPr>
          <w:p w14:paraId="5A219191" w14:textId="77777777" w:rsidR="00F665AD" w:rsidRPr="001533EC" w:rsidRDefault="00F665AD" w:rsidP="00652F66">
            <w:r w:rsidRPr="001533EC">
              <w:t>0.12 ± 0.09</w:t>
            </w:r>
          </w:p>
        </w:tc>
        <w:tc>
          <w:tcPr>
            <w:tcW w:w="440" w:type="pct"/>
            <w:tcBorders>
              <w:top w:val="nil"/>
              <w:left w:val="nil"/>
              <w:bottom w:val="single" w:sz="4" w:space="0" w:color="auto"/>
              <w:right w:val="nil"/>
            </w:tcBorders>
            <w:tcMar>
              <w:top w:w="15" w:type="dxa"/>
              <w:left w:w="90" w:type="dxa"/>
              <w:bottom w:w="0" w:type="dxa"/>
              <w:right w:w="90" w:type="dxa"/>
            </w:tcMar>
            <w:hideMark/>
          </w:tcPr>
          <w:p w14:paraId="54DA542C" w14:textId="77777777" w:rsidR="00F665AD" w:rsidRPr="001533EC" w:rsidRDefault="00F665AD" w:rsidP="00652F66">
            <w:r w:rsidRPr="001533EC">
              <w:rPr>
                <w:b/>
                <w:bCs/>
              </w:rPr>
              <w:t>7.04 x 10</w:t>
            </w:r>
            <w:r w:rsidRPr="001533EC">
              <w:rPr>
                <w:b/>
                <w:bCs/>
                <w:vertAlign w:val="superscript"/>
              </w:rPr>
              <w:t>-29</w:t>
            </w:r>
          </w:p>
        </w:tc>
        <w:tc>
          <w:tcPr>
            <w:tcW w:w="98" w:type="pct"/>
            <w:tcBorders>
              <w:top w:val="nil"/>
              <w:left w:val="nil"/>
              <w:bottom w:val="single" w:sz="4" w:space="0" w:color="auto"/>
              <w:right w:val="nil"/>
            </w:tcBorders>
            <w:tcMar>
              <w:top w:w="15" w:type="dxa"/>
              <w:left w:w="90" w:type="dxa"/>
              <w:bottom w:w="0" w:type="dxa"/>
              <w:right w:w="90" w:type="dxa"/>
            </w:tcMar>
            <w:hideMark/>
          </w:tcPr>
          <w:p w14:paraId="56DBF66C" w14:textId="77777777" w:rsidR="00F665AD" w:rsidRPr="001533EC" w:rsidRDefault="00F665AD" w:rsidP="00652F66"/>
        </w:tc>
        <w:tc>
          <w:tcPr>
            <w:tcW w:w="489" w:type="pct"/>
            <w:tcBorders>
              <w:top w:val="nil"/>
              <w:left w:val="nil"/>
              <w:bottom w:val="single" w:sz="4" w:space="0" w:color="auto"/>
              <w:right w:val="nil"/>
            </w:tcBorders>
            <w:tcMar>
              <w:top w:w="15" w:type="dxa"/>
              <w:left w:w="90" w:type="dxa"/>
              <w:bottom w:w="0" w:type="dxa"/>
              <w:right w:w="90" w:type="dxa"/>
            </w:tcMar>
            <w:hideMark/>
          </w:tcPr>
          <w:p w14:paraId="4F89704A" w14:textId="77777777" w:rsidR="00F665AD" w:rsidRPr="001533EC" w:rsidRDefault="00F665AD" w:rsidP="00652F66">
            <w:r w:rsidRPr="001533EC">
              <w:t>-0.17 ± 0.13</w:t>
            </w:r>
          </w:p>
        </w:tc>
        <w:tc>
          <w:tcPr>
            <w:tcW w:w="440" w:type="pct"/>
            <w:tcBorders>
              <w:top w:val="nil"/>
              <w:left w:val="nil"/>
              <w:bottom w:val="single" w:sz="4" w:space="0" w:color="auto"/>
              <w:right w:val="nil"/>
            </w:tcBorders>
            <w:tcMar>
              <w:top w:w="15" w:type="dxa"/>
              <w:left w:w="90" w:type="dxa"/>
              <w:bottom w:w="0" w:type="dxa"/>
              <w:right w:w="90" w:type="dxa"/>
            </w:tcMar>
            <w:hideMark/>
          </w:tcPr>
          <w:p w14:paraId="66A5A5AA" w14:textId="77777777" w:rsidR="00F665AD" w:rsidRPr="001533EC" w:rsidRDefault="00F665AD" w:rsidP="00652F66">
            <w:r w:rsidRPr="001533EC">
              <w:t>0.15 ± 0.15</w:t>
            </w:r>
          </w:p>
        </w:tc>
        <w:tc>
          <w:tcPr>
            <w:tcW w:w="392" w:type="pct"/>
            <w:tcBorders>
              <w:top w:val="nil"/>
              <w:left w:val="nil"/>
              <w:bottom w:val="single" w:sz="4" w:space="0" w:color="auto"/>
              <w:right w:val="nil"/>
            </w:tcBorders>
            <w:tcMar>
              <w:top w:w="15" w:type="dxa"/>
              <w:left w:w="90" w:type="dxa"/>
              <w:bottom w:w="0" w:type="dxa"/>
              <w:right w:w="90" w:type="dxa"/>
            </w:tcMar>
            <w:hideMark/>
          </w:tcPr>
          <w:p w14:paraId="7BD16257" w14:textId="77777777" w:rsidR="00F665AD" w:rsidRPr="001533EC" w:rsidRDefault="00F665AD" w:rsidP="00652F66">
            <w:r w:rsidRPr="001533EC">
              <w:rPr>
                <w:b/>
                <w:bCs/>
              </w:rPr>
              <w:t>7.28 x 10</w:t>
            </w:r>
            <w:r w:rsidRPr="001533EC">
              <w:rPr>
                <w:b/>
                <w:bCs/>
                <w:vertAlign w:val="superscript"/>
              </w:rPr>
              <w:t>-6</w:t>
            </w:r>
          </w:p>
        </w:tc>
        <w:tc>
          <w:tcPr>
            <w:tcW w:w="69" w:type="pct"/>
            <w:tcBorders>
              <w:top w:val="nil"/>
              <w:left w:val="nil"/>
              <w:bottom w:val="single" w:sz="4" w:space="0" w:color="auto"/>
              <w:right w:val="nil"/>
            </w:tcBorders>
            <w:tcMar>
              <w:top w:w="15" w:type="dxa"/>
              <w:left w:w="90" w:type="dxa"/>
              <w:bottom w:w="0" w:type="dxa"/>
              <w:right w:w="90" w:type="dxa"/>
            </w:tcMar>
            <w:hideMark/>
          </w:tcPr>
          <w:p w14:paraId="2AB69FEA" w14:textId="77777777" w:rsidR="00F665AD" w:rsidRPr="001533EC" w:rsidRDefault="00F665AD" w:rsidP="00652F66"/>
        </w:tc>
        <w:tc>
          <w:tcPr>
            <w:tcW w:w="441" w:type="pct"/>
            <w:tcBorders>
              <w:top w:val="nil"/>
              <w:left w:val="nil"/>
              <w:bottom w:val="single" w:sz="4" w:space="0" w:color="auto"/>
              <w:right w:val="nil"/>
            </w:tcBorders>
            <w:tcMar>
              <w:top w:w="15" w:type="dxa"/>
              <w:left w:w="90" w:type="dxa"/>
              <w:bottom w:w="0" w:type="dxa"/>
              <w:right w:w="90" w:type="dxa"/>
            </w:tcMar>
            <w:hideMark/>
          </w:tcPr>
          <w:p w14:paraId="3B2194AC" w14:textId="77777777" w:rsidR="00F665AD" w:rsidRPr="001533EC" w:rsidRDefault="00F665AD" w:rsidP="00652F66">
            <w:r w:rsidRPr="001533EC">
              <w:t>-0.13 ± 0.10</w:t>
            </w:r>
          </w:p>
        </w:tc>
        <w:tc>
          <w:tcPr>
            <w:tcW w:w="440" w:type="pct"/>
            <w:tcBorders>
              <w:top w:val="nil"/>
              <w:left w:val="nil"/>
              <w:bottom w:val="single" w:sz="4" w:space="0" w:color="auto"/>
              <w:right w:val="nil"/>
            </w:tcBorders>
            <w:tcMar>
              <w:top w:w="15" w:type="dxa"/>
              <w:left w:w="90" w:type="dxa"/>
              <w:bottom w:w="0" w:type="dxa"/>
              <w:right w:w="90" w:type="dxa"/>
            </w:tcMar>
            <w:hideMark/>
          </w:tcPr>
          <w:p w14:paraId="12515AF6" w14:textId="77777777" w:rsidR="00F665AD" w:rsidRPr="001533EC" w:rsidRDefault="00F665AD" w:rsidP="00652F66">
            <w:r w:rsidRPr="001533EC">
              <w:t>0.14 ± 0.15</w:t>
            </w:r>
          </w:p>
        </w:tc>
        <w:tc>
          <w:tcPr>
            <w:tcW w:w="429" w:type="pct"/>
            <w:tcBorders>
              <w:top w:val="nil"/>
              <w:left w:val="nil"/>
              <w:bottom w:val="single" w:sz="4" w:space="0" w:color="auto"/>
              <w:right w:val="nil"/>
            </w:tcBorders>
            <w:tcMar>
              <w:top w:w="15" w:type="dxa"/>
              <w:left w:w="90" w:type="dxa"/>
              <w:bottom w:w="0" w:type="dxa"/>
              <w:right w:w="90" w:type="dxa"/>
            </w:tcMar>
            <w:hideMark/>
          </w:tcPr>
          <w:p w14:paraId="561B45FD" w14:textId="77777777" w:rsidR="00F665AD" w:rsidRPr="001533EC" w:rsidRDefault="00F665AD" w:rsidP="00652F66">
            <w:r w:rsidRPr="001533EC">
              <w:rPr>
                <w:b/>
                <w:bCs/>
              </w:rPr>
              <w:t>6.47 x 10</w:t>
            </w:r>
            <w:r w:rsidRPr="001533EC">
              <w:rPr>
                <w:b/>
                <w:bCs/>
                <w:vertAlign w:val="superscript"/>
              </w:rPr>
              <w:t>-5</w:t>
            </w:r>
          </w:p>
        </w:tc>
      </w:tr>
    </w:tbl>
    <w:p w14:paraId="404ADFE0" w14:textId="00DFBC26" w:rsidR="00F665AD" w:rsidRPr="001533EC" w:rsidRDefault="00F665AD" w:rsidP="00F665AD">
      <w:pPr>
        <w:jc w:val="both"/>
        <w:rPr>
          <w:szCs w:val="24"/>
        </w:rPr>
        <w:sectPr w:rsidR="00F665AD" w:rsidRPr="001533EC" w:rsidSect="00810F71">
          <w:pgSz w:w="11906" w:h="16838"/>
          <w:pgMar w:top="1418" w:right="1418" w:bottom="1134" w:left="1418" w:header="720" w:footer="720" w:gutter="0"/>
          <w:lnNumType w:countBy="1" w:restart="continuous"/>
          <w:cols w:space="720"/>
          <w:docGrid w:linePitch="360"/>
        </w:sectPr>
      </w:pPr>
      <w:r w:rsidRPr="001533EC">
        <w:rPr>
          <w:szCs w:val="24"/>
        </w:rPr>
        <w:t xml:space="preserve">Data is shown as mean ± SD. The two-sample Wilcoxon rank test or Unpaired t-test was used based on the data normality tested by Shapiro Wilk normality test and variance with F test. For the categorical data Chi-square test was used and for the analyses, </w:t>
      </w:r>
      <w:r w:rsidR="002D524F">
        <w:rPr>
          <w:szCs w:val="24"/>
        </w:rPr>
        <w:t>P</w:t>
      </w:r>
      <w:r w:rsidR="002D524F" w:rsidRPr="001533EC">
        <w:rPr>
          <w:szCs w:val="24"/>
        </w:rPr>
        <w:t xml:space="preserve"> </w:t>
      </w:r>
      <w:r w:rsidRPr="001533EC">
        <w:rPr>
          <w:szCs w:val="24"/>
        </w:rPr>
        <w:t xml:space="preserve">&lt; 0.05 was considered significant and all significant values are highlighted in bold. The n in the column with the </w:t>
      </w:r>
      <w:r w:rsidR="002D524F">
        <w:rPr>
          <w:szCs w:val="24"/>
        </w:rPr>
        <w:t>P</w:t>
      </w:r>
      <w:r w:rsidR="002D524F" w:rsidRPr="001533EC">
        <w:rPr>
          <w:szCs w:val="24"/>
        </w:rPr>
        <w:t xml:space="preserve"> </w:t>
      </w:r>
      <w:r w:rsidRPr="001533EC">
        <w:rPr>
          <w:szCs w:val="24"/>
        </w:rPr>
        <w:t xml:space="preserve">(p-value) represents the total number of individuals included for the comparison. Abbreviations: BIS: brain insulin sensitive; BIR: brain insulin resistant; N/n: number of individuals; </w:t>
      </w:r>
      <w:r w:rsidR="002D524F">
        <w:rPr>
          <w:szCs w:val="24"/>
        </w:rPr>
        <w:t>P</w:t>
      </w:r>
      <w:r w:rsidRPr="001533EC">
        <w:rPr>
          <w:szCs w:val="24"/>
        </w:rPr>
        <w:t>: p-value; BMI: body mass index; HDL: high-density lipoprotein; LDL: low-density lipoprotein; CRP: C-reactive peptide; ISI: insulin sensitivity index; CBF: cerebral blood flow.</w:t>
      </w:r>
    </w:p>
    <w:tbl>
      <w:tblPr>
        <w:tblpPr w:leftFromText="141" w:rightFromText="141" w:vertAnchor="page" w:horzAnchor="page" w:tblpX="730" w:tblpY="2028"/>
        <w:tblW w:w="8958" w:type="dxa"/>
        <w:tblCellMar>
          <w:left w:w="0" w:type="dxa"/>
          <w:right w:w="0" w:type="dxa"/>
        </w:tblCellMar>
        <w:tblLook w:val="04A0" w:firstRow="1" w:lastRow="0" w:firstColumn="1" w:lastColumn="0" w:noHBand="0" w:noVBand="1"/>
      </w:tblPr>
      <w:tblGrid>
        <w:gridCol w:w="1493"/>
        <w:gridCol w:w="1493"/>
        <w:gridCol w:w="1493"/>
        <w:gridCol w:w="1493"/>
        <w:gridCol w:w="1493"/>
        <w:gridCol w:w="1493"/>
      </w:tblGrid>
      <w:tr w:rsidR="00F665AD" w:rsidRPr="001533EC" w14:paraId="1DFB80B4" w14:textId="77777777" w:rsidTr="00652F66">
        <w:trPr>
          <w:trHeight w:val="300"/>
        </w:trPr>
        <w:tc>
          <w:tcPr>
            <w:tcW w:w="1493" w:type="dxa"/>
            <w:tcBorders>
              <w:top w:val="single" w:sz="8" w:space="0" w:color="000000"/>
              <w:left w:val="nil"/>
              <w:bottom w:val="single" w:sz="8" w:space="0" w:color="000000"/>
              <w:right w:val="nil"/>
            </w:tcBorders>
            <w:tcMar>
              <w:top w:w="15" w:type="dxa"/>
              <w:left w:w="91" w:type="dxa"/>
              <w:bottom w:w="0" w:type="dxa"/>
              <w:right w:w="91" w:type="dxa"/>
            </w:tcMar>
            <w:vAlign w:val="center"/>
            <w:hideMark/>
          </w:tcPr>
          <w:p w14:paraId="137B726A" w14:textId="77777777" w:rsidR="00F665AD" w:rsidRPr="001533EC" w:rsidRDefault="00F665AD" w:rsidP="00652F66">
            <w:pPr>
              <w:spacing w:line="360" w:lineRule="auto"/>
              <w:jc w:val="center"/>
              <w:rPr>
                <w:rFonts w:ascii="Arial" w:eastAsia="Times New Roman" w:hAnsi="Arial" w:cs="Arial"/>
                <w:sz w:val="36"/>
                <w:szCs w:val="36"/>
                <w:lang w:eastAsia="de-DE"/>
              </w:rPr>
            </w:pPr>
            <w:r w:rsidRPr="001533EC">
              <w:rPr>
                <w:rFonts w:eastAsia="Times New Roman"/>
                <w:b/>
                <w:bCs/>
                <w:kern w:val="24"/>
                <w:lang w:eastAsia="de-DE"/>
              </w:rPr>
              <w:lastRenderedPageBreak/>
              <w:t>CpG ID</w:t>
            </w:r>
          </w:p>
        </w:tc>
        <w:tc>
          <w:tcPr>
            <w:tcW w:w="1493" w:type="dxa"/>
            <w:tcBorders>
              <w:top w:val="single" w:sz="8" w:space="0" w:color="000000"/>
              <w:left w:val="nil"/>
              <w:bottom w:val="single" w:sz="8" w:space="0" w:color="000000"/>
              <w:right w:val="nil"/>
            </w:tcBorders>
            <w:tcMar>
              <w:top w:w="15" w:type="dxa"/>
              <w:left w:w="91" w:type="dxa"/>
              <w:bottom w:w="0" w:type="dxa"/>
              <w:right w:w="91" w:type="dxa"/>
            </w:tcMar>
            <w:vAlign w:val="center"/>
            <w:hideMark/>
          </w:tcPr>
          <w:p w14:paraId="01E0FE6A" w14:textId="77777777" w:rsidR="00F665AD" w:rsidRPr="001533EC" w:rsidRDefault="00F665AD" w:rsidP="00652F66">
            <w:pPr>
              <w:spacing w:line="360" w:lineRule="auto"/>
              <w:jc w:val="center"/>
              <w:rPr>
                <w:rFonts w:ascii="Arial" w:eastAsia="Times New Roman" w:hAnsi="Arial" w:cs="Arial"/>
                <w:sz w:val="36"/>
                <w:szCs w:val="36"/>
                <w:lang w:eastAsia="de-DE"/>
              </w:rPr>
            </w:pPr>
            <w:r w:rsidRPr="001533EC">
              <w:rPr>
                <w:rFonts w:eastAsia="Times New Roman"/>
                <w:b/>
                <w:bCs/>
                <w:kern w:val="24"/>
                <w:lang w:eastAsia="de-DE"/>
              </w:rPr>
              <w:t>p</w:t>
            </w:r>
          </w:p>
        </w:tc>
        <w:tc>
          <w:tcPr>
            <w:tcW w:w="1493" w:type="dxa"/>
            <w:tcBorders>
              <w:top w:val="single" w:sz="8" w:space="0" w:color="000000"/>
              <w:left w:val="nil"/>
              <w:bottom w:val="single" w:sz="8" w:space="0" w:color="000000"/>
              <w:right w:val="nil"/>
            </w:tcBorders>
            <w:tcMar>
              <w:top w:w="15" w:type="dxa"/>
              <w:left w:w="91" w:type="dxa"/>
              <w:bottom w:w="0" w:type="dxa"/>
              <w:right w:w="91" w:type="dxa"/>
            </w:tcMar>
            <w:vAlign w:val="center"/>
            <w:hideMark/>
          </w:tcPr>
          <w:p w14:paraId="2F8CDAF0" w14:textId="2241B448" w:rsidR="00F665AD" w:rsidRPr="001533EC" w:rsidRDefault="00435B11" w:rsidP="00652F66">
            <w:pPr>
              <w:spacing w:line="360" w:lineRule="auto"/>
              <w:jc w:val="center"/>
              <w:rPr>
                <w:rFonts w:ascii="Arial" w:eastAsia="Times New Roman" w:hAnsi="Arial" w:cs="Arial"/>
                <w:sz w:val="36"/>
                <w:szCs w:val="36"/>
                <w:lang w:eastAsia="de-DE"/>
              </w:rPr>
            </w:pPr>
            <w:r w:rsidRPr="001533EC">
              <w:rPr>
                <w:sz w:val="24"/>
                <w:szCs w:val="24"/>
              </w:rPr>
              <w:t>AdjP&lt;0.05</w:t>
            </w:r>
            <w:r w:rsidR="00F665AD" w:rsidRPr="001533EC">
              <w:rPr>
                <w:b/>
                <w:bCs/>
                <w:kern w:val="24"/>
                <w:lang w:eastAsia="de-DE"/>
              </w:rPr>
              <w:t>_p</w:t>
            </w:r>
          </w:p>
        </w:tc>
        <w:tc>
          <w:tcPr>
            <w:tcW w:w="1493" w:type="dxa"/>
            <w:tcBorders>
              <w:top w:val="single" w:sz="8" w:space="0" w:color="000000"/>
              <w:left w:val="nil"/>
              <w:bottom w:val="single" w:sz="8" w:space="0" w:color="000000"/>
              <w:right w:val="nil"/>
            </w:tcBorders>
            <w:tcMar>
              <w:top w:w="15" w:type="dxa"/>
              <w:left w:w="91" w:type="dxa"/>
              <w:bottom w:w="0" w:type="dxa"/>
              <w:right w:w="91" w:type="dxa"/>
            </w:tcMar>
            <w:vAlign w:val="center"/>
            <w:hideMark/>
          </w:tcPr>
          <w:p w14:paraId="49B7E608" w14:textId="77777777" w:rsidR="00F665AD" w:rsidRPr="001533EC" w:rsidRDefault="00F665AD" w:rsidP="00652F66">
            <w:pPr>
              <w:spacing w:line="360" w:lineRule="auto"/>
              <w:jc w:val="center"/>
              <w:rPr>
                <w:rFonts w:ascii="Arial" w:eastAsia="Times New Roman" w:hAnsi="Arial" w:cs="Arial"/>
                <w:sz w:val="36"/>
                <w:szCs w:val="36"/>
                <w:lang w:eastAsia="de-DE"/>
              </w:rPr>
            </w:pPr>
            <w:proofErr w:type="spellStart"/>
            <w:r w:rsidRPr="001533EC">
              <w:rPr>
                <w:rFonts w:eastAsia="Times New Roman"/>
                <w:b/>
                <w:bCs/>
                <w:kern w:val="24"/>
                <w:lang w:eastAsia="de-DE"/>
              </w:rPr>
              <w:t>Δbeta</w:t>
            </w:r>
            <w:proofErr w:type="spellEnd"/>
          </w:p>
        </w:tc>
        <w:tc>
          <w:tcPr>
            <w:tcW w:w="1493" w:type="dxa"/>
            <w:tcBorders>
              <w:top w:val="single" w:sz="8" w:space="0" w:color="000000"/>
              <w:left w:val="nil"/>
              <w:bottom w:val="single" w:sz="8" w:space="0" w:color="000000"/>
              <w:right w:val="nil"/>
            </w:tcBorders>
            <w:tcMar>
              <w:top w:w="15" w:type="dxa"/>
              <w:left w:w="91" w:type="dxa"/>
              <w:bottom w:w="0" w:type="dxa"/>
              <w:right w:w="91" w:type="dxa"/>
            </w:tcMar>
            <w:vAlign w:val="center"/>
            <w:hideMark/>
          </w:tcPr>
          <w:p w14:paraId="2F009E45" w14:textId="77777777" w:rsidR="00F665AD" w:rsidRPr="001533EC" w:rsidRDefault="00F665AD" w:rsidP="00652F66">
            <w:pPr>
              <w:spacing w:line="360" w:lineRule="auto"/>
              <w:jc w:val="center"/>
              <w:rPr>
                <w:rFonts w:ascii="Arial" w:eastAsia="Times New Roman" w:hAnsi="Arial" w:cs="Arial"/>
                <w:sz w:val="36"/>
                <w:szCs w:val="36"/>
                <w:lang w:eastAsia="de-DE"/>
              </w:rPr>
            </w:pPr>
            <w:r w:rsidRPr="001533EC">
              <w:rPr>
                <w:rFonts w:eastAsia="Times New Roman"/>
                <w:b/>
                <w:bCs/>
                <w:kern w:val="24"/>
                <w:lang w:eastAsia="de-DE"/>
              </w:rPr>
              <w:t>Region-location</w:t>
            </w:r>
          </w:p>
        </w:tc>
        <w:tc>
          <w:tcPr>
            <w:tcW w:w="1493" w:type="dxa"/>
            <w:tcBorders>
              <w:top w:val="single" w:sz="8" w:space="0" w:color="000000"/>
              <w:left w:val="nil"/>
              <w:bottom w:val="single" w:sz="8" w:space="0" w:color="000000"/>
              <w:right w:val="nil"/>
            </w:tcBorders>
            <w:tcMar>
              <w:top w:w="15" w:type="dxa"/>
              <w:left w:w="91" w:type="dxa"/>
              <w:bottom w:w="0" w:type="dxa"/>
              <w:right w:w="91" w:type="dxa"/>
            </w:tcMar>
            <w:vAlign w:val="center"/>
            <w:hideMark/>
          </w:tcPr>
          <w:p w14:paraId="45C47CFB" w14:textId="77777777" w:rsidR="00F665AD" w:rsidRPr="001533EC" w:rsidRDefault="00F665AD" w:rsidP="00652F66">
            <w:pPr>
              <w:spacing w:line="360" w:lineRule="auto"/>
              <w:jc w:val="center"/>
              <w:rPr>
                <w:rFonts w:ascii="Arial" w:eastAsia="Times New Roman" w:hAnsi="Arial" w:cs="Arial"/>
                <w:sz w:val="36"/>
                <w:szCs w:val="36"/>
                <w:lang w:eastAsia="de-DE"/>
              </w:rPr>
            </w:pPr>
            <w:r w:rsidRPr="001533EC">
              <w:rPr>
                <w:rFonts w:eastAsia="Times New Roman"/>
                <w:b/>
                <w:bCs/>
                <w:kern w:val="24"/>
                <w:lang w:eastAsia="de-DE"/>
              </w:rPr>
              <w:t>Annotated gene</w:t>
            </w:r>
          </w:p>
        </w:tc>
      </w:tr>
      <w:tr w:rsidR="00F665AD" w:rsidRPr="001533EC" w14:paraId="4F1DB627" w14:textId="77777777" w:rsidTr="00652F66">
        <w:trPr>
          <w:trHeight w:val="289"/>
        </w:trPr>
        <w:tc>
          <w:tcPr>
            <w:tcW w:w="1493" w:type="dxa"/>
            <w:tcBorders>
              <w:top w:val="single" w:sz="8" w:space="0" w:color="000000"/>
              <w:left w:val="nil"/>
              <w:bottom w:val="nil"/>
              <w:right w:val="nil"/>
            </w:tcBorders>
            <w:tcMar>
              <w:top w:w="15" w:type="dxa"/>
              <w:left w:w="15" w:type="dxa"/>
              <w:bottom w:w="0" w:type="dxa"/>
              <w:right w:w="15" w:type="dxa"/>
            </w:tcMar>
            <w:vAlign w:val="center"/>
            <w:hideMark/>
          </w:tcPr>
          <w:p w14:paraId="548532DC"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cg15465743</w:t>
            </w:r>
          </w:p>
        </w:tc>
        <w:tc>
          <w:tcPr>
            <w:tcW w:w="1493" w:type="dxa"/>
            <w:tcBorders>
              <w:top w:val="single" w:sz="8" w:space="0" w:color="000000"/>
              <w:left w:val="nil"/>
              <w:bottom w:val="nil"/>
              <w:right w:val="nil"/>
            </w:tcBorders>
            <w:tcMar>
              <w:top w:w="15" w:type="dxa"/>
              <w:left w:w="15" w:type="dxa"/>
              <w:bottom w:w="0" w:type="dxa"/>
              <w:right w:w="15" w:type="dxa"/>
            </w:tcMar>
            <w:vAlign w:val="center"/>
            <w:hideMark/>
          </w:tcPr>
          <w:p w14:paraId="14FD07FA"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1.50 x 10</w:t>
            </w:r>
            <w:r w:rsidRPr="001533EC">
              <w:rPr>
                <w:rFonts w:eastAsia="Times New Roman"/>
                <w:kern w:val="24"/>
                <w:position w:val="6"/>
                <w:vertAlign w:val="superscript"/>
                <w:lang w:eastAsia="de-DE"/>
              </w:rPr>
              <w:t>-6</w:t>
            </w:r>
          </w:p>
        </w:tc>
        <w:tc>
          <w:tcPr>
            <w:tcW w:w="1493" w:type="dxa"/>
            <w:tcBorders>
              <w:top w:val="single" w:sz="8" w:space="0" w:color="000000"/>
              <w:left w:val="nil"/>
              <w:bottom w:val="nil"/>
              <w:right w:val="nil"/>
            </w:tcBorders>
            <w:tcMar>
              <w:top w:w="15" w:type="dxa"/>
              <w:left w:w="15" w:type="dxa"/>
              <w:bottom w:w="0" w:type="dxa"/>
              <w:right w:w="15" w:type="dxa"/>
            </w:tcMar>
            <w:vAlign w:val="center"/>
            <w:hideMark/>
          </w:tcPr>
          <w:p w14:paraId="4A27C46E"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0.005</w:t>
            </w:r>
          </w:p>
        </w:tc>
        <w:tc>
          <w:tcPr>
            <w:tcW w:w="1493" w:type="dxa"/>
            <w:tcBorders>
              <w:top w:val="single" w:sz="8" w:space="0" w:color="000000"/>
              <w:left w:val="nil"/>
              <w:bottom w:val="nil"/>
              <w:right w:val="nil"/>
            </w:tcBorders>
            <w:tcMar>
              <w:top w:w="15" w:type="dxa"/>
              <w:left w:w="15" w:type="dxa"/>
              <w:bottom w:w="0" w:type="dxa"/>
              <w:right w:w="15" w:type="dxa"/>
            </w:tcMar>
            <w:vAlign w:val="center"/>
            <w:hideMark/>
          </w:tcPr>
          <w:p w14:paraId="72A79C28"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0.129</w:t>
            </w:r>
          </w:p>
        </w:tc>
        <w:tc>
          <w:tcPr>
            <w:tcW w:w="1493" w:type="dxa"/>
            <w:tcBorders>
              <w:top w:val="single" w:sz="8" w:space="0" w:color="000000"/>
              <w:left w:val="nil"/>
              <w:bottom w:val="nil"/>
              <w:right w:val="nil"/>
            </w:tcBorders>
            <w:tcMar>
              <w:top w:w="15" w:type="dxa"/>
              <w:left w:w="15" w:type="dxa"/>
              <w:bottom w:w="0" w:type="dxa"/>
              <w:right w:w="15" w:type="dxa"/>
            </w:tcMar>
            <w:vAlign w:val="center"/>
            <w:hideMark/>
          </w:tcPr>
          <w:p w14:paraId="231E8F76"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Body-shore</w:t>
            </w:r>
          </w:p>
        </w:tc>
        <w:tc>
          <w:tcPr>
            <w:tcW w:w="1493" w:type="dxa"/>
            <w:tcBorders>
              <w:top w:val="single" w:sz="8" w:space="0" w:color="000000"/>
              <w:left w:val="nil"/>
              <w:bottom w:val="nil"/>
              <w:right w:val="nil"/>
            </w:tcBorders>
            <w:tcMar>
              <w:top w:w="15" w:type="dxa"/>
              <w:left w:w="15" w:type="dxa"/>
              <w:bottom w:w="0" w:type="dxa"/>
              <w:right w:w="15" w:type="dxa"/>
            </w:tcMar>
            <w:vAlign w:val="center"/>
            <w:hideMark/>
          </w:tcPr>
          <w:p w14:paraId="66726F1E"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i/>
                <w:iCs/>
                <w:kern w:val="24"/>
                <w:lang w:eastAsia="de-DE"/>
              </w:rPr>
              <w:t>BRSK2</w:t>
            </w:r>
          </w:p>
        </w:tc>
      </w:tr>
      <w:tr w:rsidR="00F665AD" w:rsidRPr="001533EC" w14:paraId="64617B38" w14:textId="77777777" w:rsidTr="00652F66">
        <w:trPr>
          <w:trHeight w:val="289"/>
        </w:trPr>
        <w:tc>
          <w:tcPr>
            <w:tcW w:w="1493" w:type="dxa"/>
            <w:tcBorders>
              <w:top w:val="nil"/>
              <w:left w:val="nil"/>
              <w:bottom w:val="nil"/>
              <w:right w:val="nil"/>
            </w:tcBorders>
            <w:tcMar>
              <w:top w:w="15" w:type="dxa"/>
              <w:left w:w="15" w:type="dxa"/>
              <w:bottom w:w="0" w:type="dxa"/>
              <w:right w:w="15" w:type="dxa"/>
            </w:tcMar>
            <w:vAlign w:val="center"/>
            <w:hideMark/>
          </w:tcPr>
          <w:p w14:paraId="41E1D15B"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cg17658113</w:t>
            </w:r>
          </w:p>
        </w:tc>
        <w:tc>
          <w:tcPr>
            <w:tcW w:w="1493" w:type="dxa"/>
            <w:tcBorders>
              <w:top w:val="nil"/>
              <w:left w:val="nil"/>
              <w:bottom w:val="nil"/>
              <w:right w:val="nil"/>
            </w:tcBorders>
            <w:tcMar>
              <w:top w:w="15" w:type="dxa"/>
              <w:left w:w="15" w:type="dxa"/>
              <w:bottom w:w="0" w:type="dxa"/>
              <w:right w:w="15" w:type="dxa"/>
            </w:tcMar>
            <w:vAlign w:val="center"/>
            <w:hideMark/>
          </w:tcPr>
          <w:p w14:paraId="0F296C13"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1.73 x 10</w:t>
            </w:r>
            <w:r w:rsidRPr="001533EC">
              <w:rPr>
                <w:rFonts w:eastAsia="Times New Roman"/>
                <w:kern w:val="24"/>
                <w:position w:val="6"/>
                <w:vertAlign w:val="superscript"/>
                <w:lang w:eastAsia="de-DE"/>
              </w:rPr>
              <w:t>-6</w:t>
            </w:r>
          </w:p>
        </w:tc>
        <w:tc>
          <w:tcPr>
            <w:tcW w:w="1493" w:type="dxa"/>
            <w:tcBorders>
              <w:top w:val="nil"/>
              <w:left w:val="nil"/>
              <w:bottom w:val="nil"/>
              <w:right w:val="nil"/>
            </w:tcBorders>
            <w:tcMar>
              <w:top w:w="15" w:type="dxa"/>
              <w:left w:w="15" w:type="dxa"/>
              <w:bottom w:w="0" w:type="dxa"/>
              <w:right w:w="15" w:type="dxa"/>
            </w:tcMar>
            <w:vAlign w:val="center"/>
            <w:hideMark/>
          </w:tcPr>
          <w:p w14:paraId="4323CA7A"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0.006</w:t>
            </w:r>
          </w:p>
        </w:tc>
        <w:tc>
          <w:tcPr>
            <w:tcW w:w="1493" w:type="dxa"/>
            <w:tcBorders>
              <w:top w:val="nil"/>
              <w:left w:val="nil"/>
              <w:bottom w:val="nil"/>
              <w:right w:val="nil"/>
            </w:tcBorders>
            <w:tcMar>
              <w:top w:w="15" w:type="dxa"/>
              <w:left w:w="15" w:type="dxa"/>
              <w:bottom w:w="0" w:type="dxa"/>
              <w:right w:w="15" w:type="dxa"/>
            </w:tcMar>
            <w:vAlign w:val="center"/>
            <w:hideMark/>
          </w:tcPr>
          <w:p w14:paraId="4F1B7F4A"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0.109</w:t>
            </w:r>
          </w:p>
        </w:tc>
        <w:tc>
          <w:tcPr>
            <w:tcW w:w="1493" w:type="dxa"/>
            <w:tcBorders>
              <w:top w:val="nil"/>
              <w:left w:val="nil"/>
              <w:bottom w:val="nil"/>
              <w:right w:val="nil"/>
            </w:tcBorders>
            <w:tcMar>
              <w:top w:w="15" w:type="dxa"/>
              <w:left w:w="15" w:type="dxa"/>
              <w:bottom w:w="0" w:type="dxa"/>
              <w:right w:w="15" w:type="dxa"/>
            </w:tcMar>
            <w:vAlign w:val="center"/>
            <w:hideMark/>
          </w:tcPr>
          <w:p w14:paraId="6CEF12F8"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Body-shore</w:t>
            </w:r>
          </w:p>
        </w:tc>
        <w:tc>
          <w:tcPr>
            <w:tcW w:w="1493" w:type="dxa"/>
            <w:tcBorders>
              <w:top w:val="nil"/>
              <w:left w:val="nil"/>
              <w:bottom w:val="nil"/>
              <w:right w:val="nil"/>
            </w:tcBorders>
            <w:tcMar>
              <w:top w:w="15" w:type="dxa"/>
              <w:left w:w="15" w:type="dxa"/>
              <w:bottom w:w="0" w:type="dxa"/>
              <w:right w:w="15" w:type="dxa"/>
            </w:tcMar>
            <w:vAlign w:val="center"/>
            <w:hideMark/>
          </w:tcPr>
          <w:p w14:paraId="2AB7B32C"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i/>
                <w:iCs/>
                <w:kern w:val="24"/>
                <w:lang w:eastAsia="de-DE"/>
              </w:rPr>
              <w:t>BRSK2</w:t>
            </w:r>
          </w:p>
        </w:tc>
      </w:tr>
      <w:tr w:rsidR="00F665AD" w:rsidRPr="001533EC" w14:paraId="40B390FF" w14:textId="77777777" w:rsidTr="00652F66">
        <w:trPr>
          <w:trHeight w:val="289"/>
        </w:trPr>
        <w:tc>
          <w:tcPr>
            <w:tcW w:w="1493" w:type="dxa"/>
            <w:tcBorders>
              <w:top w:val="nil"/>
              <w:left w:val="nil"/>
              <w:bottom w:val="nil"/>
              <w:right w:val="nil"/>
            </w:tcBorders>
            <w:tcMar>
              <w:top w:w="15" w:type="dxa"/>
              <w:left w:w="15" w:type="dxa"/>
              <w:bottom w:w="0" w:type="dxa"/>
              <w:right w:w="15" w:type="dxa"/>
            </w:tcMar>
            <w:vAlign w:val="center"/>
            <w:hideMark/>
          </w:tcPr>
          <w:p w14:paraId="0AC10430"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cg04481923</w:t>
            </w:r>
          </w:p>
        </w:tc>
        <w:tc>
          <w:tcPr>
            <w:tcW w:w="1493" w:type="dxa"/>
            <w:tcBorders>
              <w:top w:val="nil"/>
              <w:left w:val="nil"/>
              <w:bottom w:val="nil"/>
              <w:right w:val="nil"/>
            </w:tcBorders>
            <w:tcMar>
              <w:top w:w="15" w:type="dxa"/>
              <w:left w:w="15" w:type="dxa"/>
              <w:bottom w:w="0" w:type="dxa"/>
              <w:right w:w="15" w:type="dxa"/>
            </w:tcMar>
            <w:vAlign w:val="center"/>
            <w:hideMark/>
          </w:tcPr>
          <w:p w14:paraId="29CA6E0B"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3.29 x 10</w:t>
            </w:r>
            <w:r w:rsidRPr="001533EC">
              <w:rPr>
                <w:rFonts w:eastAsia="Times New Roman"/>
                <w:kern w:val="24"/>
                <w:position w:val="6"/>
                <w:vertAlign w:val="superscript"/>
                <w:lang w:eastAsia="de-DE"/>
              </w:rPr>
              <w:t>-4</w:t>
            </w:r>
          </w:p>
        </w:tc>
        <w:tc>
          <w:tcPr>
            <w:tcW w:w="1493" w:type="dxa"/>
            <w:tcBorders>
              <w:top w:val="nil"/>
              <w:left w:val="nil"/>
              <w:bottom w:val="nil"/>
              <w:right w:val="nil"/>
            </w:tcBorders>
            <w:tcMar>
              <w:top w:w="15" w:type="dxa"/>
              <w:left w:w="15" w:type="dxa"/>
              <w:bottom w:w="0" w:type="dxa"/>
              <w:right w:w="15" w:type="dxa"/>
            </w:tcMar>
            <w:vAlign w:val="center"/>
            <w:hideMark/>
          </w:tcPr>
          <w:p w14:paraId="55EC7635"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0.048</w:t>
            </w:r>
          </w:p>
        </w:tc>
        <w:tc>
          <w:tcPr>
            <w:tcW w:w="1493" w:type="dxa"/>
            <w:tcBorders>
              <w:top w:val="nil"/>
              <w:left w:val="nil"/>
              <w:bottom w:val="nil"/>
              <w:right w:val="nil"/>
            </w:tcBorders>
            <w:tcMar>
              <w:top w:w="15" w:type="dxa"/>
              <w:left w:w="15" w:type="dxa"/>
              <w:bottom w:w="0" w:type="dxa"/>
              <w:right w:w="15" w:type="dxa"/>
            </w:tcMar>
            <w:vAlign w:val="center"/>
            <w:hideMark/>
          </w:tcPr>
          <w:p w14:paraId="6B7FC3C4"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0.096</w:t>
            </w:r>
          </w:p>
        </w:tc>
        <w:tc>
          <w:tcPr>
            <w:tcW w:w="1493" w:type="dxa"/>
            <w:tcBorders>
              <w:top w:val="nil"/>
              <w:left w:val="nil"/>
              <w:bottom w:val="nil"/>
              <w:right w:val="nil"/>
            </w:tcBorders>
            <w:tcMar>
              <w:top w:w="15" w:type="dxa"/>
              <w:left w:w="15" w:type="dxa"/>
              <w:bottom w:w="0" w:type="dxa"/>
              <w:right w:w="15" w:type="dxa"/>
            </w:tcMar>
            <w:vAlign w:val="center"/>
            <w:hideMark/>
          </w:tcPr>
          <w:p w14:paraId="1F86215A"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Body-island</w:t>
            </w:r>
          </w:p>
        </w:tc>
        <w:tc>
          <w:tcPr>
            <w:tcW w:w="1493" w:type="dxa"/>
            <w:tcBorders>
              <w:top w:val="nil"/>
              <w:left w:val="nil"/>
              <w:bottom w:val="nil"/>
              <w:right w:val="nil"/>
            </w:tcBorders>
            <w:tcMar>
              <w:top w:w="15" w:type="dxa"/>
              <w:left w:w="15" w:type="dxa"/>
              <w:bottom w:w="0" w:type="dxa"/>
              <w:right w:w="15" w:type="dxa"/>
            </w:tcMar>
            <w:vAlign w:val="center"/>
            <w:hideMark/>
          </w:tcPr>
          <w:p w14:paraId="77BA49F1"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i/>
                <w:iCs/>
                <w:kern w:val="24"/>
                <w:lang w:eastAsia="de-DE"/>
              </w:rPr>
              <w:t>MIR886</w:t>
            </w:r>
          </w:p>
        </w:tc>
      </w:tr>
      <w:tr w:rsidR="00F665AD" w:rsidRPr="001533EC" w14:paraId="5A0F5FA4" w14:textId="77777777" w:rsidTr="00652F66">
        <w:trPr>
          <w:trHeight w:val="289"/>
        </w:trPr>
        <w:tc>
          <w:tcPr>
            <w:tcW w:w="1493" w:type="dxa"/>
            <w:tcBorders>
              <w:top w:val="nil"/>
              <w:left w:val="nil"/>
              <w:bottom w:val="nil"/>
              <w:right w:val="nil"/>
            </w:tcBorders>
            <w:tcMar>
              <w:top w:w="15" w:type="dxa"/>
              <w:left w:w="15" w:type="dxa"/>
              <w:bottom w:w="0" w:type="dxa"/>
              <w:right w:w="15" w:type="dxa"/>
            </w:tcMar>
            <w:vAlign w:val="center"/>
            <w:hideMark/>
          </w:tcPr>
          <w:p w14:paraId="43CE5696"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cg25340688</w:t>
            </w:r>
          </w:p>
        </w:tc>
        <w:tc>
          <w:tcPr>
            <w:tcW w:w="1493" w:type="dxa"/>
            <w:tcBorders>
              <w:top w:val="nil"/>
              <w:left w:val="nil"/>
              <w:bottom w:val="nil"/>
              <w:right w:val="nil"/>
            </w:tcBorders>
            <w:tcMar>
              <w:top w:w="15" w:type="dxa"/>
              <w:left w:w="15" w:type="dxa"/>
              <w:bottom w:w="0" w:type="dxa"/>
              <w:right w:w="15" w:type="dxa"/>
            </w:tcMar>
            <w:vAlign w:val="center"/>
            <w:hideMark/>
          </w:tcPr>
          <w:p w14:paraId="5DDC8B10"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2.49 x 10</w:t>
            </w:r>
            <w:r w:rsidRPr="001533EC">
              <w:rPr>
                <w:rFonts w:eastAsia="Times New Roman"/>
                <w:kern w:val="24"/>
                <w:position w:val="6"/>
                <w:vertAlign w:val="superscript"/>
                <w:lang w:eastAsia="de-DE"/>
              </w:rPr>
              <w:t>-4</w:t>
            </w:r>
          </w:p>
        </w:tc>
        <w:tc>
          <w:tcPr>
            <w:tcW w:w="1493" w:type="dxa"/>
            <w:tcBorders>
              <w:top w:val="nil"/>
              <w:left w:val="nil"/>
              <w:bottom w:val="nil"/>
              <w:right w:val="nil"/>
            </w:tcBorders>
            <w:tcMar>
              <w:top w:w="15" w:type="dxa"/>
              <w:left w:w="15" w:type="dxa"/>
              <w:bottom w:w="0" w:type="dxa"/>
              <w:right w:w="15" w:type="dxa"/>
            </w:tcMar>
            <w:vAlign w:val="center"/>
            <w:hideMark/>
          </w:tcPr>
          <w:p w14:paraId="70CFC518"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0.042</w:t>
            </w:r>
          </w:p>
        </w:tc>
        <w:tc>
          <w:tcPr>
            <w:tcW w:w="1493" w:type="dxa"/>
            <w:tcBorders>
              <w:top w:val="nil"/>
              <w:left w:val="nil"/>
              <w:bottom w:val="nil"/>
              <w:right w:val="nil"/>
            </w:tcBorders>
            <w:tcMar>
              <w:top w:w="15" w:type="dxa"/>
              <w:left w:w="15" w:type="dxa"/>
              <w:bottom w:w="0" w:type="dxa"/>
              <w:right w:w="15" w:type="dxa"/>
            </w:tcMar>
            <w:vAlign w:val="center"/>
            <w:hideMark/>
          </w:tcPr>
          <w:p w14:paraId="6DC91337"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0.094</w:t>
            </w:r>
          </w:p>
        </w:tc>
        <w:tc>
          <w:tcPr>
            <w:tcW w:w="1493" w:type="dxa"/>
            <w:tcBorders>
              <w:top w:val="nil"/>
              <w:left w:val="nil"/>
              <w:bottom w:val="nil"/>
              <w:right w:val="nil"/>
            </w:tcBorders>
            <w:tcMar>
              <w:top w:w="15" w:type="dxa"/>
              <w:left w:w="15" w:type="dxa"/>
              <w:bottom w:w="0" w:type="dxa"/>
              <w:right w:w="15" w:type="dxa"/>
            </w:tcMar>
            <w:vAlign w:val="center"/>
            <w:hideMark/>
          </w:tcPr>
          <w:p w14:paraId="55F31B97"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TSS200-island</w:t>
            </w:r>
          </w:p>
        </w:tc>
        <w:tc>
          <w:tcPr>
            <w:tcW w:w="1493" w:type="dxa"/>
            <w:tcBorders>
              <w:top w:val="nil"/>
              <w:left w:val="nil"/>
              <w:bottom w:val="nil"/>
              <w:right w:val="nil"/>
            </w:tcBorders>
            <w:tcMar>
              <w:top w:w="15" w:type="dxa"/>
              <w:left w:w="15" w:type="dxa"/>
              <w:bottom w:w="0" w:type="dxa"/>
              <w:right w:w="15" w:type="dxa"/>
            </w:tcMar>
            <w:vAlign w:val="center"/>
            <w:hideMark/>
          </w:tcPr>
          <w:p w14:paraId="6A765E5F"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i/>
                <w:iCs/>
                <w:kern w:val="24"/>
                <w:lang w:eastAsia="de-DE"/>
              </w:rPr>
              <w:t>MIR886</w:t>
            </w:r>
          </w:p>
        </w:tc>
      </w:tr>
      <w:tr w:rsidR="00F665AD" w:rsidRPr="001533EC" w14:paraId="24F35DC7" w14:textId="77777777" w:rsidTr="00652F66">
        <w:trPr>
          <w:trHeight w:val="289"/>
        </w:trPr>
        <w:tc>
          <w:tcPr>
            <w:tcW w:w="1493" w:type="dxa"/>
            <w:tcBorders>
              <w:top w:val="nil"/>
              <w:left w:val="nil"/>
              <w:bottom w:val="nil"/>
              <w:right w:val="nil"/>
            </w:tcBorders>
            <w:tcMar>
              <w:top w:w="15" w:type="dxa"/>
              <w:left w:w="15" w:type="dxa"/>
              <w:bottom w:w="0" w:type="dxa"/>
              <w:right w:w="15" w:type="dxa"/>
            </w:tcMar>
            <w:vAlign w:val="center"/>
            <w:hideMark/>
          </w:tcPr>
          <w:p w14:paraId="1AD4FD75"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cg18797653</w:t>
            </w:r>
          </w:p>
        </w:tc>
        <w:tc>
          <w:tcPr>
            <w:tcW w:w="1493" w:type="dxa"/>
            <w:tcBorders>
              <w:top w:val="nil"/>
              <w:left w:val="nil"/>
              <w:bottom w:val="nil"/>
              <w:right w:val="nil"/>
            </w:tcBorders>
            <w:tcMar>
              <w:top w:w="15" w:type="dxa"/>
              <w:left w:w="15" w:type="dxa"/>
              <w:bottom w:w="0" w:type="dxa"/>
              <w:right w:w="15" w:type="dxa"/>
            </w:tcMar>
            <w:vAlign w:val="center"/>
            <w:hideMark/>
          </w:tcPr>
          <w:p w14:paraId="780C340A"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1.91 x 10</w:t>
            </w:r>
            <w:r w:rsidRPr="001533EC">
              <w:rPr>
                <w:rFonts w:eastAsia="Times New Roman"/>
                <w:kern w:val="24"/>
                <w:position w:val="6"/>
                <w:vertAlign w:val="superscript"/>
                <w:lang w:eastAsia="de-DE"/>
              </w:rPr>
              <w:t>-4</w:t>
            </w:r>
          </w:p>
        </w:tc>
        <w:tc>
          <w:tcPr>
            <w:tcW w:w="1493" w:type="dxa"/>
            <w:tcBorders>
              <w:top w:val="nil"/>
              <w:left w:val="nil"/>
              <w:bottom w:val="nil"/>
              <w:right w:val="nil"/>
            </w:tcBorders>
            <w:tcMar>
              <w:top w:w="15" w:type="dxa"/>
              <w:left w:w="15" w:type="dxa"/>
              <w:bottom w:w="0" w:type="dxa"/>
              <w:right w:w="15" w:type="dxa"/>
            </w:tcMar>
            <w:vAlign w:val="center"/>
            <w:hideMark/>
          </w:tcPr>
          <w:p w14:paraId="073548DD"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0.038</w:t>
            </w:r>
          </w:p>
        </w:tc>
        <w:tc>
          <w:tcPr>
            <w:tcW w:w="1493" w:type="dxa"/>
            <w:tcBorders>
              <w:top w:val="nil"/>
              <w:left w:val="nil"/>
              <w:bottom w:val="nil"/>
              <w:right w:val="nil"/>
            </w:tcBorders>
            <w:tcMar>
              <w:top w:w="15" w:type="dxa"/>
              <w:left w:w="15" w:type="dxa"/>
              <w:bottom w:w="0" w:type="dxa"/>
              <w:right w:w="15" w:type="dxa"/>
            </w:tcMar>
            <w:vAlign w:val="center"/>
            <w:hideMark/>
          </w:tcPr>
          <w:p w14:paraId="2239090C"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0.090</w:t>
            </w:r>
          </w:p>
        </w:tc>
        <w:tc>
          <w:tcPr>
            <w:tcW w:w="1493" w:type="dxa"/>
            <w:tcBorders>
              <w:top w:val="nil"/>
              <w:left w:val="nil"/>
              <w:bottom w:val="nil"/>
              <w:right w:val="nil"/>
            </w:tcBorders>
            <w:tcMar>
              <w:top w:w="15" w:type="dxa"/>
              <w:left w:w="15" w:type="dxa"/>
              <w:bottom w:w="0" w:type="dxa"/>
              <w:right w:w="15" w:type="dxa"/>
            </w:tcMar>
            <w:vAlign w:val="center"/>
            <w:hideMark/>
          </w:tcPr>
          <w:p w14:paraId="011CE522"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TSS1500-shore</w:t>
            </w:r>
          </w:p>
        </w:tc>
        <w:tc>
          <w:tcPr>
            <w:tcW w:w="1493" w:type="dxa"/>
            <w:tcBorders>
              <w:top w:val="nil"/>
              <w:left w:val="nil"/>
              <w:bottom w:val="nil"/>
              <w:right w:val="nil"/>
            </w:tcBorders>
            <w:tcMar>
              <w:top w:w="15" w:type="dxa"/>
              <w:left w:w="15" w:type="dxa"/>
              <w:bottom w:w="0" w:type="dxa"/>
              <w:right w:w="15" w:type="dxa"/>
            </w:tcMar>
            <w:vAlign w:val="center"/>
            <w:hideMark/>
          </w:tcPr>
          <w:p w14:paraId="4C8EFFAD"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i/>
                <w:iCs/>
                <w:kern w:val="24"/>
                <w:lang w:eastAsia="de-DE"/>
              </w:rPr>
              <w:t>MIR886</w:t>
            </w:r>
          </w:p>
        </w:tc>
      </w:tr>
      <w:tr w:rsidR="00F665AD" w:rsidRPr="001533EC" w14:paraId="66760397" w14:textId="77777777" w:rsidTr="00652F66">
        <w:trPr>
          <w:trHeight w:val="289"/>
        </w:trPr>
        <w:tc>
          <w:tcPr>
            <w:tcW w:w="1493" w:type="dxa"/>
            <w:tcBorders>
              <w:top w:val="nil"/>
              <w:left w:val="nil"/>
              <w:bottom w:val="nil"/>
              <w:right w:val="nil"/>
            </w:tcBorders>
            <w:tcMar>
              <w:top w:w="15" w:type="dxa"/>
              <w:left w:w="15" w:type="dxa"/>
              <w:bottom w:w="0" w:type="dxa"/>
              <w:right w:w="15" w:type="dxa"/>
            </w:tcMar>
            <w:vAlign w:val="center"/>
            <w:hideMark/>
          </w:tcPr>
          <w:p w14:paraId="276156A3"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cg18678645</w:t>
            </w:r>
          </w:p>
        </w:tc>
        <w:tc>
          <w:tcPr>
            <w:tcW w:w="1493" w:type="dxa"/>
            <w:tcBorders>
              <w:top w:val="nil"/>
              <w:left w:val="nil"/>
              <w:bottom w:val="nil"/>
              <w:right w:val="nil"/>
            </w:tcBorders>
            <w:tcMar>
              <w:top w:w="15" w:type="dxa"/>
              <w:left w:w="15" w:type="dxa"/>
              <w:bottom w:w="0" w:type="dxa"/>
              <w:right w:w="15" w:type="dxa"/>
            </w:tcMar>
            <w:vAlign w:val="center"/>
            <w:hideMark/>
          </w:tcPr>
          <w:p w14:paraId="5C457FA8"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3.44 x 10</w:t>
            </w:r>
            <w:r w:rsidRPr="001533EC">
              <w:rPr>
                <w:rFonts w:eastAsia="Times New Roman"/>
                <w:kern w:val="24"/>
                <w:position w:val="6"/>
                <w:vertAlign w:val="superscript"/>
                <w:lang w:eastAsia="de-DE"/>
              </w:rPr>
              <w:t>-4</w:t>
            </w:r>
          </w:p>
        </w:tc>
        <w:tc>
          <w:tcPr>
            <w:tcW w:w="1493" w:type="dxa"/>
            <w:tcBorders>
              <w:top w:val="nil"/>
              <w:left w:val="nil"/>
              <w:bottom w:val="nil"/>
              <w:right w:val="nil"/>
            </w:tcBorders>
            <w:tcMar>
              <w:top w:w="15" w:type="dxa"/>
              <w:left w:w="15" w:type="dxa"/>
              <w:bottom w:w="0" w:type="dxa"/>
              <w:right w:w="15" w:type="dxa"/>
            </w:tcMar>
            <w:vAlign w:val="center"/>
            <w:hideMark/>
          </w:tcPr>
          <w:p w14:paraId="713F4511"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0.048</w:t>
            </w:r>
          </w:p>
        </w:tc>
        <w:tc>
          <w:tcPr>
            <w:tcW w:w="1493" w:type="dxa"/>
            <w:tcBorders>
              <w:top w:val="nil"/>
              <w:left w:val="nil"/>
              <w:bottom w:val="nil"/>
              <w:right w:val="nil"/>
            </w:tcBorders>
            <w:tcMar>
              <w:top w:w="15" w:type="dxa"/>
              <w:left w:w="15" w:type="dxa"/>
              <w:bottom w:w="0" w:type="dxa"/>
              <w:right w:w="15" w:type="dxa"/>
            </w:tcMar>
            <w:vAlign w:val="center"/>
            <w:hideMark/>
          </w:tcPr>
          <w:p w14:paraId="234992BE"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0.087</w:t>
            </w:r>
          </w:p>
        </w:tc>
        <w:tc>
          <w:tcPr>
            <w:tcW w:w="1493" w:type="dxa"/>
            <w:tcBorders>
              <w:top w:val="nil"/>
              <w:left w:val="nil"/>
              <w:bottom w:val="nil"/>
              <w:right w:val="nil"/>
            </w:tcBorders>
            <w:tcMar>
              <w:top w:w="15" w:type="dxa"/>
              <w:left w:w="15" w:type="dxa"/>
              <w:bottom w:w="0" w:type="dxa"/>
              <w:right w:w="15" w:type="dxa"/>
            </w:tcMar>
            <w:vAlign w:val="center"/>
            <w:hideMark/>
          </w:tcPr>
          <w:p w14:paraId="588F3659"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TSS200-island</w:t>
            </w:r>
          </w:p>
        </w:tc>
        <w:tc>
          <w:tcPr>
            <w:tcW w:w="1493" w:type="dxa"/>
            <w:tcBorders>
              <w:top w:val="nil"/>
              <w:left w:val="nil"/>
              <w:bottom w:val="nil"/>
              <w:right w:val="nil"/>
            </w:tcBorders>
            <w:tcMar>
              <w:top w:w="15" w:type="dxa"/>
              <w:left w:w="15" w:type="dxa"/>
              <w:bottom w:w="0" w:type="dxa"/>
              <w:right w:w="15" w:type="dxa"/>
            </w:tcMar>
            <w:vAlign w:val="center"/>
            <w:hideMark/>
          </w:tcPr>
          <w:p w14:paraId="0924DE6F"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i/>
                <w:iCs/>
                <w:kern w:val="24"/>
                <w:lang w:eastAsia="de-DE"/>
              </w:rPr>
              <w:t>MIR886</w:t>
            </w:r>
          </w:p>
        </w:tc>
      </w:tr>
      <w:tr w:rsidR="00F665AD" w:rsidRPr="001533EC" w14:paraId="6657E375" w14:textId="77777777" w:rsidTr="00652F66">
        <w:trPr>
          <w:trHeight w:val="289"/>
        </w:trPr>
        <w:tc>
          <w:tcPr>
            <w:tcW w:w="1493" w:type="dxa"/>
            <w:tcBorders>
              <w:top w:val="nil"/>
              <w:left w:val="nil"/>
              <w:bottom w:val="nil"/>
              <w:right w:val="nil"/>
            </w:tcBorders>
            <w:tcMar>
              <w:top w:w="15" w:type="dxa"/>
              <w:left w:w="15" w:type="dxa"/>
              <w:bottom w:w="0" w:type="dxa"/>
              <w:right w:w="15" w:type="dxa"/>
            </w:tcMar>
            <w:vAlign w:val="center"/>
            <w:hideMark/>
          </w:tcPr>
          <w:p w14:paraId="5874ABB2"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cg26896946</w:t>
            </w:r>
          </w:p>
        </w:tc>
        <w:tc>
          <w:tcPr>
            <w:tcW w:w="1493" w:type="dxa"/>
            <w:tcBorders>
              <w:top w:val="nil"/>
              <w:left w:val="nil"/>
              <w:bottom w:val="nil"/>
              <w:right w:val="nil"/>
            </w:tcBorders>
            <w:tcMar>
              <w:top w:w="15" w:type="dxa"/>
              <w:left w:w="15" w:type="dxa"/>
              <w:bottom w:w="0" w:type="dxa"/>
              <w:right w:w="15" w:type="dxa"/>
            </w:tcMar>
            <w:vAlign w:val="center"/>
            <w:hideMark/>
          </w:tcPr>
          <w:p w14:paraId="0EEB9E77"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2.41 x 10</w:t>
            </w:r>
            <w:r w:rsidRPr="001533EC">
              <w:rPr>
                <w:rFonts w:eastAsia="Times New Roman"/>
                <w:kern w:val="24"/>
                <w:position w:val="6"/>
                <w:vertAlign w:val="superscript"/>
                <w:lang w:eastAsia="de-DE"/>
              </w:rPr>
              <w:t>-4</w:t>
            </w:r>
          </w:p>
        </w:tc>
        <w:tc>
          <w:tcPr>
            <w:tcW w:w="1493" w:type="dxa"/>
            <w:tcBorders>
              <w:top w:val="nil"/>
              <w:left w:val="nil"/>
              <w:bottom w:val="nil"/>
              <w:right w:val="nil"/>
            </w:tcBorders>
            <w:tcMar>
              <w:top w:w="15" w:type="dxa"/>
              <w:left w:w="15" w:type="dxa"/>
              <w:bottom w:w="0" w:type="dxa"/>
              <w:right w:w="15" w:type="dxa"/>
            </w:tcMar>
            <w:vAlign w:val="center"/>
            <w:hideMark/>
          </w:tcPr>
          <w:p w14:paraId="002AE3B2"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0.042</w:t>
            </w:r>
          </w:p>
        </w:tc>
        <w:tc>
          <w:tcPr>
            <w:tcW w:w="1493" w:type="dxa"/>
            <w:tcBorders>
              <w:top w:val="nil"/>
              <w:left w:val="nil"/>
              <w:bottom w:val="nil"/>
              <w:right w:val="nil"/>
            </w:tcBorders>
            <w:tcMar>
              <w:top w:w="15" w:type="dxa"/>
              <w:left w:w="15" w:type="dxa"/>
              <w:bottom w:w="0" w:type="dxa"/>
              <w:right w:w="15" w:type="dxa"/>
            </w:tcMar>
            <w:vAlign w:val="center"/>
            <w:hideMark/>
          </w:tcPr>
          <w:p w14:paraId="086DDA71"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0.087</w:t>
            </w:r>
          </w:p>
        </w:tc>
        <w:tc>
          <w:tcPr>
            <w:tcW w:w="1493" w:type="dxa"/>
            <w:tcBorders>
              <w:top w:val="nil"/>
              <w:left w:val="nil"/>
              <w:bottom w:val="nil"/>
              <w:right w:val="nil"/>
            </w:tcBorders>
            <w:tcMar>
              <w:top w:w="15" w:type="dxa"/>
              <w:left w:w="15" w:type="dxa"/>
              <w:bottom w:w="0" w:type="dxa"/>
              <w:right w:w="15" w:type="dxa"/>
            </w:tcMar>
            <w:vAlign w:val="center"/>
            <w:hideMark/>
          </w:tcPr>
          <w:p w14:paraId="7961CC0F"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TSS200-island</w:t>
            </w:r>
          </w:p>
        </w:tc>
        <w:tc>
          <w:tcPr>
            <w:tcW w:w="1493" w:type="dxa"/>
            <w:tcBorders>
              <w:top w:val="nil"/>
              <w:left w:val="nil"/>
              <w:bottom w:val="nil"/>
              <w:right w:val="nil"/>
            </w:tcBorders>
            <w:tcMar>
              <w:top w:w="15" w:type="dxa"/>
              <w:left w:w="15" w:type="dxa"/>
              <w:bottom w:w="0" w:type="dxa"/>
              <w:right w:w="15" w:type="dxa"/>
            </w:tcMar>
            <w:vAlign w:val="center"/>
            <w:hideMark/>
          </w:tcPr>
          <w:p w14:paraId="37DE4DB5"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i/>
                <w:iCs/>
                <w:kern w:val="24"/>
                <w:lang w:eastAsia="de-DE"/>
              </w:rPr>
              <w:t>MIR886</w:t>
            </w:r>
          </w:p>
        </w:tc>
      </w:tr>
      <w:tr w:rsidR="00F665AD" w:rsidRPr="001533EC" w14:paraId="4CA58968" w14:textId="77777777" w:rsidTr="00652F66">
        <w:trPr>
          <w:trHeight w:val="289"/>
        </w:trPr>
        <w:tc>
          <w:tcPr>
            <w:tcW w:w="1493" w:type="dxa"/>
            <w:tcBorders>
              <w:top w:val="nil"/>
              <w:left w:val="nil"/>
              <w:bottom w:val="nil"/>
              <w:right w:val="nil"/>
            </w:tcBorders>
            <w:tcMar>
              <w:top w:w="15" w:type="dxa"/>
              <w:left w:w="15" w:type="dxa"/>
              <w:bottom w:w="0" w:type="dxa"/>
              <w:right w:w="15" w:type="dxa"/>
            </w:tcMar>
            <w:vAlign w:val="center"/>
            <w:hideMark/>
          </w:tcPr>
          <w:p w14:paraId="54BDDD03"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cg05871802</w:t>
            </w:r>
          </w:p>
        </w:tc>
        <w:tc>
          <w:tcPr>
            <w:tcW w:w="1493" w:type="dxa"/>
            <w:tcBorders>
              <w:top w:val="nil"/>
              <w:left w:val="nil"/>
              <w:bottom w:val="nil"/>
              <w:right w:val="nil"/>
            </w:tcBorders>
            <w:tcMar>
              <w:top w:w="15" w:type="dxa"/>
              <w:left w:w="15" w:type="dxa"/>
              <w:bottom w:w="0" w:type="dxa"/>
              <w:right w:w="15" w:type="dxa"/>
            </w:tcMar>
            <w:vAlign w:val="center"/>
            <w:hideMark/>
          </w:tcPr>
          <w:p w14:paraId="12D4B04F"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1.63 x 10</w:t>
            </w:r>
            <w:r w:rsidRPr="001533EC">
              <w:rPr>
                <w:rFonts w:eastAsia="Times New Roman"/>
                <w:kern w:val="24"/>
                <w:position w:val="6"/>
                <w:vertAlign w:val="superscript"/>
                <w:lang w:eastAsia="de-DE"/>
              </w:rPr>
              <w:t>-4</w:t>
            </w:r>
          </w:p>
        </w:tc>
        <w:tc>
          <w:tcPr>
            <w:tcW w:w="1493" w:type="dxa"/>
            <w:tcBorders>
              <w:top w:val="nil"/>
              <w:left w:val="nil"/>
              <w:bottom w:val="nil"/>
              <w:right w:val="nil"/>
            </w:tcBorders>
            <w:tcMar>
              <w:top w:w="15" w:type="dxa"/>
              <w:left w:w="15" w:type="dxa"/>
              <w:bottom w:w="0" w:type="dxa"/>
              <w:right w:w="15" w:type="dxa"/>
            </w:tcMar>
            <w:vAlign w:val="center"/>
            <w:hideMark/>
          </w:tcPr>
          <w:p w14:paraId="047C6F9D"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0.036</w:t>
            </w:r>
          </w:p>
        </w:tc>
        <w:tc>
          <w:tcPr>
            <w:tcW w:w="1493" w:type="dxa"/>
            <w:tcBorders>
              <w:top w:val="nil"/>
              <w:left w:val="nil"/>
              <w:bottom w:val="nil"/>
              <w:right w:val="nil"/>
            </w:tcBorders>
            <w:tcMar>
              <w:top w:w="15" w:type="dxa"/>
              <w:left w:w="15" w:type="dxa"/>
              <w:bottom w:w="0" w:type="dxa"/>
              <w:right w:w="15" w:type="dxa"/>
            </w:tcMar>
            <w:vAlign w:val="center"/>
            <w:hideMark/>
          </w:tcPr>
          <w:p w14:paraId="34D29441"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0.085</w:t>
            </w:r>
          </w:p>
        </w:tc>
        <w:tc>
          <w:tcPr>
            <w:tcW w:w="1493" w:type="dxa"/>
            <w:tcBorders>
              <w:top w:val="nil"/>
              <w:left w:val="nil"/>
              <w:bottom w:val="nil"/>
              <w:right w:val="nil"/>
            </w:tcBorders>
            <w:tcMar>
              <w:top w:w="15" w:type="dxa"/>
              <w:left w:w="15" w:type="dxa"/>
              <w:bottom w:w="0" w:type="dxa"/>
              <w:right w:w="15" w:type="dxa"/>
            </w:tcMar>
            <w:vAlign w:val="center"/>
            <w:hideMark/>
          </w:tcPr>
          <w:p w14:paraId="0D8E60A0"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Body-</w:t>
            </w:r>
            <w:proofErr w:type="spellStart"/>
            <w:r w:rsidRPr="001533EC">
              <w:rPr>
                <w:rFonts w:eastAsia="Times New Roman"/>
                <w:kern w:val="24"/>
                <w:lang w:eastAsia="de-DE"/>
              </w:rPr>
              <w:t>opensea</w:t>
            </w:r>
            <w:proofErr w:type="spellEnd"/>
          </w:p>
        </w:tc>
        <w:tc>
          <w:tcPr>
            <w:tcW w:w="1493" w:type="dxa"/>
            <w:tcBorders>
              <w:top w:val="nil"/>
              <w:left w:val="nil"/>
              <w:bottom w:val="nil"/>
              <w:right w:val="nil"/>
            </w:tcBorders>
            <w:tcMar>
              <w:top w:w="15" w:type="dxa"/>
              <w:left w:w="15" w:type="dxa"/>
              <w:bottom w:w="0" w:type="dxa"/>
              <w:right w:w="15" w:type="dxa"/>
            </w:tcMar>
            <w:vAlign w:val="center"/>
            <w:hideMark/>
          </w:tcPr>
          <w:p w14:paraId="2A1D99E4"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i/>
                <w:iCs/>
                <w:kern w:val="24"/>
                <w:lang w:eastAsia="de-DE"/>
              </w:rPr>
              <w:t>KCNC1</w:t>
            </w:r>
          </w:p>
        </w:tc>
      </w:tr>
      <w:tr w:rsidR="00F665AD" w:rsidRPr="001533EC" w14:paraId="5627F91E" w14:textId="77777777" w:rsidTr="00652F66">
        <w:trPr>
          <w:trHeight w:val="289"/>
        </w:trPr>
        <w:tc>
          <w:tcPr>
            <w:tcW w:w="1493" w:type="dxa"/>
            <w:tcBorders>
              <w:top w:val="nil"/>
              <w:left w:val="nil"/>
              <w:bottom w:val="nil"/>
              <w:right w:val="nil"/>
            </w:tcBorders>
            <w:tcMar>
              <w:top w:w="15" w:type="dxa"/>
              <w:left w:w="15" w:type="dxa"/>
              <w:bottom w:w="0" w:type="dxa"/>
              <w:right w:w="15" w:type="dxa"/>
            </w:tcMar>
            <w:vAlign w:val="center"/>
            <w:hideMark/>
          </w:tcPr>
          <w:p w14:paraId="059542DC"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cg00124993</w:t>
            </w:r>
          </w:p>
        </w:tc>
        <w:tc>
          <w:tcPr>
            <w:tcW w:w="1493" w:type="dxa"/>
            <w:tcBorders>
              <w:top w:val="nil"/>
              <w:left w:val="nil"/>
              <w:bottom w:val="nil"/>
              <w:right w:val="nil"/>
            </w:tcBorders>
            <w:tcMar>
              <w:top w:w="15" w:type="dxa"/>
              <w:left w:w="15" w:type="dxa"/>
              <w:bottom w:w="0" w:type="dxa"/>
              <w:right w:w="15" w:type="dxa"/>
            </w:tcMar>
            <w:vAlign w:val="center"/>
            <w:hideMark/>
          </w:tcPr>
          <w:p w14:paraId="4A32B0DD"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2.90 x 10</w:t>
            </w:r>
            <w:r w:rsidRPr="001533EC">
              <w:rPr>
                <w:rFonts w:eastAsia="Times New Roman"/>
                <w:kern w:val="24"/>
                <w:position w:val="6"/>
                <w:vertAlign w:val="superscript"/>
                <w:lang w:eastAsia="de-DE"/>
              </w:rPr>
              <w:t>-4</w:t>
            </w:r>
          </w:p>
        </w:tc>
        <w:tc>
          <w:tcPr>
            <w:tcW w:w="1493" w:type="dxa"/>
            <w:tcBorders>
              <w:top w:val="nil"/>
              <w:left w:val="nil"/>
              <w:bottom w:val="nil"/>
              <w:right w:val="nil"/>
            </w:tcBorders>
            <w:tcMar>
              <w:top w:w="15" w:type="dxa"/>
              <w:left w:w="15" w:type="dxa"/>
              <w:bottom w:w="0" w:type="dxa"/>
              <w:right w:w="15" w:type="dxa"/>
            </w:tcMar>
            <w:vAlign w:val="center"/>
            <w:hideMark/>
          </w:tcPr>
          <w:p w14:paraId="15B7D7F1"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0.045</w:t>
            </w:r>
          </w:p>
        </w:tc>
        <w:tc>
          <w:tcPr>
            <w:tcW w:w="1493" w:type="dxa"/>
            <w:tcBorders>
              <w:top w:val="nil"/>
              <w:left w:val="nil"/>
              <w:bottom w:val="nil"/>
              <w:right w:val="nil"/>
            </w:tcBorders>
            <w:tcMar>
              <w:top w:w="15" w:type="dxa"/>
              <w:left w:w="15" w:type="dxa"/>
              <w:bottom w:w="0" w:type="dxa"/>
              <w:right w:w="15" w:type="dxa"/>
            </w:tcMar>
            <w:vAlign w:val="center"/>
            <w:hideMark/>
          </w:tcPr>
          <w:p w14:paraId="48E4013B"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0.082</w:t>
            </w:r>
          </w:p>
        </w:tc>
        <w:tc>
          <w:tcPr>
            <w:tcW w:w="1493" w:type="dxa"/>
            <w:tcBorders>
              <w:top w:val="nil"/>
              <w:left w:val="nil"/>
              <w:bottom w:val="nil"/>
              <w:right w:val="nil"/>
            </w:tcBorders>
            <w:tcMar>
              <w:top w:w="15" w:type="dxa"/>
              <w:left w:w="15" w:type="dxa"/>
              <w:bottom w:w="0" w:type="dxa"/>
              <w:right w:w="15" w:type="dxa"/>
            </w:tcMar>
            <w:vAlign w:val="center"/>
            <w:hideMark/>
          </w:tcPr>
          <w:p w14:paraId="6E10159D"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TSS200-island</w:t>
            </w:r>
          </w:p>
        </w:tc>
        <w:tc>
          <w:tcPr>
            <w:tcW w:w="1493" w:type="dxa"/>
            <w:tcBorders>
              <w:top w:val="nil"/>
              <w:left w:val="nil"/>
              <w:bottom w:val="nil"/>
              <w:right w:val="nil"/>
            </w:tcBorders>
            <w:tcMar>
              <w:top w:w="15" w:type="dxa"/>
              <w:left w:w="15" w:type="dxa"/>
              <w:bottom w:w="0" w:type="dxa"/>
              <w:right w:w="15" w:type="dxa"/>
            </w:tcMar>
            <w:vAlign w:val="center"/>
            <w:hideMark/>
          </w:tcPr>
          <w:p w14:paraId="7A1A186D"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i/>
                <w:iCs/>
                <w:kern w:val="24"/>
                <w:lang w:eastAsia="de-DE"/>
              </w:rPr>
              <w:t>MIR886</w:t>
            </w:r>
          </w:p>
        </w:tc>
      </w:tr>
      <w:tr w:rsidR="00F665AD" w:rsidRPr="001533EC" w14:paraId="147633E1" w14:textId="77777777" w:rsidTr="00652F66">
        <w:trPr>
          <w:trHeight w:val="289"/>
        </w:trPr>
        <w:tc>
          <w:tcPr>
            <w:tcW w:w="1493" w:type="dxa"/>
            <w:tcBorders>
              <w:top w:val="nil"/>
              <w:left w:val="nil"/>
              <w:bottom w:val="nil"/>
              <w:right w:val="nil"/>
            </w:tcBorders>
            <w:tcMar>
              <w:top w:w="15" w:type="dxa"/>
              <w:left w:w="15" w:type="dxa"/>
              <w:bottom w:w="0" w:type="dxa"/>
              <w:right w:w="15" w:type="dxa"/>
            </w:tcMar>
            <w:vAlign w:val="center"/>
            <w:hideMark/>
          </w:tcPr>
          <w:p w14:paraId="568CE6EA"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cg06575387</w:t>
            </w:r>
          </w:p>
        </w:tc>
        <w:tc>
          <w:tcPr>
            <w:tcW w:w="1493" w:type="dxa"/>
            <w:tcBorders>
              <w:top w:val="nil"/>
              <w:left w:val="nil"/>
              <w:bottom w:val="nil"/>
              <w:right w:val="nil"/>
            </w:tcBorders>
            <w:tcMar>
              <w:top w:w="15" w:type="dxa"/>
              <w:left w:w="15" w:type="dxa"/>
              <w:bottom w:w="0" w:type="dxa"/>
              <w:right w:w="15" w:type="dxa"/>
            </w:tcMar>
            <w:vAlign w:val="center"/>
            <w:hideMark/>
          </w:tcPr>
          <w:p w14:paraId="768371E0"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1.49 x 10</w:t>
            </w:r>
            <w:r w:rsidRPr="001533EC">
              <w:rPr>
                <w:rFonts w:eastAsia="Times New Roman"/>
                <w:kern w:val="24"/>
                <w:position w:val="6"/>
                <w:vertAlign w:val="superscript"/>
                <w:lang w:eastAsia="de-DE"/>
              </w:rPr>
              <w:t>-5</w:t>
            </w:r>
          </w:p>
        </w:tc>
        <w:tc>
          <w:tcPr>
            <w:tcW w:w="1493" w:type="dxa"/>
            <w:tcBorders>
              <w:top w:val="nil"/>
              <w:left w:val="nil"/>
              <w:bottom w:val="nil"/>
              <w:right w:val="nil"/>
            </w:tcBorders>
            <w:tcMar>
              <w:top w:w="15" w:type="dxa"/>
              <w:left w:w="15" w:type="dxa"/>
              <w:bottom w:w="0" w:type="dxa"/>
              <w:right w:w="15" w:type="dxa"/>
            </w:tcMar>
            <w:vAlign w:val="center"/>
            <w:hideMark/>
          </w:tcPr>
          <w:p w14:paraId="2BB49A88"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0.013</w:t>
            </w:r>
          </w:p>
        </w:tc>
        <w:tc>
          <w:tcPr>
            <w:tcW w:w="1493" w:type="dxa"/>
            <w:tcBorders>
              <w:top w:val="nil"/>
              <w:left w:val="nil"/>
              <w:bottom w:val="nil"/>
              <w:right w:val="nil"/>
            </w:tcBorders>
            <w:tcMar>
              <w:top w:w="15" w:type="dxa"/>
              <w:left w:w="15" w:type="dxa"/>
              <w:bottom w:w="0" w:type="dxa"/>
              <w:right w:w="15" w:type="dxa"/>
            </w:tcMar>
            <w:vAlign w:val="center"/>
            <w:hideMark/>
          </w:tcPr>
          <w:p w14:paraId="4A992C7F"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0.078</w:t>
            </w:r>
          </w:p>
        </w:tc>
        <w:tc>
          <w:tcPr>
            <w:tcW w:w="1493" w:type="dxa"/>
            <w:tcBorders>
              <w:top w:val="nil"/>
              <w:left w:val="nil"/>
              <w:bottom w:val="nil"/>
              <w:right w:val="nil"/>
            </w:tcBorders>
            <w:tcMar>
              <w:top w:w="15" w:type="dxa"/>
              <w:left w:w="15" w:type="dxa"/>
              <w:bottom w:w="0" w:type="dxa"/>
              <w:right w:w="15" w:type="dxa"/>
            </w:tcMar>
            <w:vAlign w:val="center"/>
            <w:hideMark/>
          </w:tcPr>
          <w:p w14:paraId="714CDCD9"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5'UTR-opensea</w:t>
            </w:r>
          </w:p>
        </w:tc>
        <w:tc>
          <w:tcPr>
            <w:tcW w:w="1493" w:type="dxa"/>
            <w:tcBorders>
              <w:top w:val="nil"/>
              <w:left w:val="nil"/>
              <w:bottom w:val="nil"/>
              <w:right w:val="nil"/>
            </w:tcBorders>
            <w:tcMar>
              <w:top w:w="15" w:type="dxa"/>
              <w:left w:w="15" w:type="dxa"/>
              <w:bottom w:w="0" w:type="dxa"/>
              <w:right w:w="15" w:type="dxa"/>
            </w:tcMar>
            <w:vAlign w:val="center"/>
            <w:hideMark/>
          </w:tcPr>
          <w:p w14:paraId="2CC1736F"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i/>
                <w:iCs/>
                <w:kern w:val="24"/>
                <w:lang w:eastAsia="de-DE"/>
              </w:rPr>
              <w:t>CTDP1</w:t>
            </w:r>
          </w:p>
        </w:tc>
      </w:tr>
      <w:tr w:rsidR="00F665AD" w:rsidRPr="001533EC" w14:paraId="04DFD98B" w14:textId="77777777" w:rsidTr="00652F66">
        <w:trPr>
          <w:trHeight w:val="289"/>
        </w:trPr>
        <w:tc>
          <w:tcPr>
            <w:tcW w:w="1493" w:type="dxa"/>
            <w:tcBorders>
              <w:top w:val="nil"/>
              <w:left w:val="nil"/>
              <w:bottom w:val="nil"/>
              <w:right w:val="nil"/>
            </w:tcBorders>
            <w:tcMar>
              <w:top w:w="15" w:type="dxa"/>
              <w:left w:w="15" w:type="dxa"/>
              <w:bottom w:w="0" w:type="dxa"/>
              <w:right w:w="15" w:type="dxa"/>
            </w:tcMar>
            <w:vAlign w:val="bottom"/>
            <w:hideMark/>
          </w:tcPr>
          <w:p w14:paraId="15B10E51"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cg20785120</w:t>
            </w:r>
          </w:p>
        </w:tc>
        <w:tc>
          <w:tcPr>
            <w:tcW w:w="1493" w:type="dxa"/>
            <w:tcBorders>
              <w:top w:val="nil"/>
              <w:left w:val="nil"/>
              <w:bottom w:val="nil"/>
              <w:right w:val="nil"/>
            </w:tcBorders>
            <w:tcMar>
              <w:top w:w="15" w:type="dxa"/>
              <w:left w:w="15" w:type="dxa"/>
              <w:bottom w:w="0" w:type="dxa"/>
              <w:right w:w="15" w:type="dxa"/>
            </w:tcMar>
            <w:vAlign w:val="bottom"/>
            <w:hideMark/>
          </w:tcPr>
          <w:p w14:paraId="447EE928"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2.10 x 10</w:t>
            </w:r>
            <w:r w:rsidRPr="001533EC">
              <w:rPr>
                <w:rFonts w:eastAsia="Times New Roman"/>
                <w:kern w:val="24"/>
                <w:position w:val="6"/>
                <w:vertAlign w:val="superscript"/>
                <w:lang w:eastAsia="de-DE"/>
              </w:rPr>
              <w:t>-5</w:t>
            </w:r>
          </w:p>
        </w:tc>
        <w:tc>
          <w:tcPr>
            <w:tcW w:w="1493" w:type="dxa"/>
            <w:tcBorders>
              <w:top w:val="nil"/>
              <w:left w:val="nil"/>
              <w:bottom w:val="nil"/>
              <w:right w:val="nil"/>
            </w:tcBorders>
            <w:tcMar>
              <w:top w:w="15" w:type="dxa"/>
              <w:left w:w="15" w:type="dxa"/>
              <w:bottom w:w="0" w:type="dxa"/>
              <w:right w:w="15" w:type="dxa"/>
            </w:tcMar>
            <w:vAlign w:val="bottom"/>
            <w:hideMark/>
          </w:tcPr>
          <w:p w14:paraId="53C3720E"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0.015</w:t>
            </w:r>
          </w:p>
        </w:tc>
        <w:tc>
          <w:tcPr>
            <w:tcW w:w="1493" w:type="dxa"/>
            <w:tcBorders>
              <w:top w:val="nil"/>
              <w:left w:val="nil"/>
              <w:bottom w:val="nil"/>
              <w:right w:val="nil"/>
            </w:tcBorders>
            <w:tcMar>
              <w:top w:w="15" w:type="dxa"/>
              <w:left w:w="15" w:type="dxa"/>
              <w:bottom w:w="0" w:type="dxa"/>
              <w:right w:w="15" w:type="dxa"/>
            </w:tcMar>
            <w:vAlign w:val="bottom"/>
            <w:hideMark/>
          </w:tcPr>
          <w:p w14:paraId="0BFB6AB7"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0.075</w:t>
            </w:r>
          </w:p>
        </w:tc>
        <w:tc>
          <w:tcPr>
            <w:tcW w:w="1493" w:type="dxa"/>
            <w:tcBorders>
              <w:top w:val="nil"/>
              <w:left w:val="nil"/>
              <w:bottom w:val="nil"/>
              <w:right w:val="nil"/>
            </w:tcBorders>
            <w:tcMar>
              <w:top w:w="15" w:type="dxa"/>
              <w:left w:w="15" w:type="dxa"/>
              <w:bottom w:w="0" w:type="dxa"/>
              <w:right w:w="15" w:type="dxa"/>
            </w:tcMar>
            <w:vAlign w:val="bottom"/>
            <w:hideMark/>
          </w:tcPr>
          <w:p w14:paraId="4739A9F9"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Body-</w:t>
            </w:r>
            <w:proofErr w:type="spellStart"/>
            <w:r w:rsidRPr="001533EC">
              <w:rPr>
                <w:rFonts w:eastAsia="Times New Roman"/>
                <w:kern w:val="24"/>
                <w:lang w:eastAsia="de-DE"/>
              </w:rPr>
              <w:t>opensea</w:t>
            </w:r>
            <w:proofErr w:type="spellEnd"/>
          </w:p>
        </w:tc>
        <w:tc>
          <w:tcPr>
            <w:tcW w:w="1493" w:type="dxa"/>
            <w:tcBorders>
              <w:top w:val="nil"/>
              <w:left w:val="nil"/>
              <w:bottom w:val="nil"/>
              <w:right w:val="nil"/>
            </w:tcBorders>
            <w:tcMar>
              <w:top w:w="15" w:type="dxa"/>
              <w:left w:w="15" w:type="dxa"/>
              <w:bottom w:w="0" w:type="dxa"/>
              <w:right w:w="15" w:type="dxa"/>
            </w:tcMar>
            <w:vAlign w:val="bottom"/>
            <w:hideMark/>
          </w:tcPr>
          <w:p w14:paraId="0A3A97D7"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i/>
                <w:iCs/>
                <w:kern w:val="24"/>
                <w:lang w:eastAsia="de-DE"/>
              </w:rPr>
              <w:t>BCAS4</w:t>
            </w:r>
          </w:p>
        </w:tc>
      </w:tr>
      <w:tr w:rsidR="00F665AD" w:rsidRPr="001533EC" w14:paraId="27DDA861" w14:textId="77777777" w:rsidTr="00652F66">
        <w:trPr>
          <w:trHeight w:val="289"/>
        </w:trPr>
        <w:tc>
          <w:tcPr>
            <w:tcW w:w="1493" w:type="dxa"/>
            <w:tcBorders>
              <w:top w:val="nil"/>
              <w:left w:val="nil"/>
              <w:bottom w:val="nil"/>
              <w:right w:val="nil"/>
            </w:tcBorders>
            <w:tcMar>
              <w:top w:w="15" w:type="dxa"/>
              <w:left w:w="15" w:type="dxa"/>
              <w:bottom w:w="0" w:type="dxa"/>
              <w:right w:w="15" w:type="dxa"/>
            </w:tcMar>
            <w:vAlign w:val="bottom"/>
            <w:hideMark/>
          </w:tcPr>
          <w:p w14:paraId="1AA95315"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cg11608150</w:t>
            </w:r>
          </w:p>
        </w:tc>
        <w:tc>
          <w:tcPr>
            <w:tcW w:w="1493" w:type="dxa"/>
            <w:tcBorders>
              <w:top w:val="nil"/>
              <w:left w:val="nil"/>
              <w:bottom w:val="nil"/>
              <w:right w:val="nil"/>
            </w:tcBorders>
            <w:tcMar>
              <w:top w:w="15" w:type="dxa"/>
              <w:left w:w="15" w:type="dxa"/>
              <w:bottom w:w="0" w:type="dxa"/>
              <w:right w:w="15" w:type="dxa"/>
            </w:tcMar>
            <w:vAlign w:val="bottom"/>
            <w:hideMark/>
          </w:tcPr>
          <w:p w14:paraId="6CE51F33"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1.86 x 10</w:t>
            </w:r>
            <w:r w:rsidRPr="001533EC">
              <w:rPr>
                <w:rFonts w:eastAsia="Times New Roman"/>
                <w:kern w:val="24"/>
                <w:position w:val="6"/>
                <w:vertAlign w:val="superscript"/>
                <w:lang w:eastAsia="de-DE"/>
              </w:rPr>
              <w:t>-4</w:t>
            </w:r>
          </w:p>
        </w:tc>
        <w:tc>
          <w:tcPr>
            <w:tcW w:w="1493" w:type="dxa"/>
            <w:tcBorders>
              <w:top w:val="nil"/>
              <w:left w:val="nil"/>
              <w:bottom w:val="nil"/>
              <w:right w:val="nil"/>
            </w:tcBorders>
            <w:tcMar>
              <w:top w:w="15" w:type="dxa"/>
              <w:left w:w="15" w:type="dxa"/>
              <w:bottom w:w="0" w:type="dxa"/>
              <w:right w:w="15" w:type="dxa"/>
            </w:tcMar>
            <w:vAlign w:val="bottom"/>
            <w:hideMark/>
          </w:tcPr>
          <w:p w14:paraId="2CEAC7D0"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0.038</w:t>
            </w:r>
          </w:p>
        </w:tc>
        <w:tc>
          <w:tcPr>
            <w:tcW w:w="1493" w:type="dxa"/>
            <w:tcBorders>
              <w:top w:val="nil"/>
              <w:left w:val="nil"/>
              <w:bottom w:val="nil"/>
              <w:right w:val="nil"/>
            </w:tcBorders>
            <w:tcMar>
              <w:top w:w="15" w:type="dxa"/>
              <w:left w:w="15" w:type="dxa"/>
              <w:bottom w:w="0" w:type="dxa"/>
              <w:right w:w="15" w:type="dxa"/>
            </w:tcMar>
            <w:vAlign w:val="bottom"/>
            <w:hideMark/>
          </w:tcPr>
          <w:p w14:paraId="460039C6"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0.075</w:t>
            </w:r>
          </w:p>
        </w:tc>
        <w:tc>
          <w:tcPr>
            <w:tcW w:w="1493" w:type="dxa"/>
            <w:tcBorders>
              <w:top w:val="nil"/>
              <w:left w:val="nil"/>
              <w:bottom w:val="nil"/>
              <w:right w:val="nil"/>
            </w:tcBorders>
            <w:tcMar>
              <w:top w:w="15" w:type="dxa"/>
              <w:left w:w="15" w:type="dxa"/>
              <w:bottom w:w="0" w:type="dxa"/>
              <w:right w:w="15" w:type="dxa"/>
            </w:tcMar>
            <w:vAlign w:val="bottom"/>
            <w:hideMark/>
          </w:tcPr>
          <w:p w14:paraId="11B53826"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IGR-shore</w:t>
            </w:r>
          </w:p>
        </w:tc>
        <w:tc>
          <w:tcPr>
            <w:tcW w:w="1493" w:type="dxa"/>
            <w:tcBorders>
              <w:top w:val="nil"/>
              <w:left w:val="nil"/>
              <w:bottom w:val="nil"/>
              <w:right w:val="nil"/>
            </w:tcBorders>
            <w:tcMar>
              <w:top w:w="15" w:type="dxa"/>
              <w:left w:w="15" w:type="dxa"/>
              <w:bottom w:w="0" w:type="dxa"/>
              <w:right w:w="15" w:type="dxa"/>
            </w:tcMar>
            <w:vAlign w:val="bottom"/>
            <w:hideMark/>
          </w:tcPr>
          <w:p w14:paraId="7037CDC3"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i/>
                <w:iCs/>
                <w:kern w:val="24"/>
                <w:lang w:eastAsia="de-DE"/>
              </w:rPr>
              <w:t>-</w:t>
            </w:r>
          </w:p>
        </w:tc>
      </w:tr>
      <w:tr w:rsidR="00F665AD" w:rsidRPr="001533EC" w14:paraId="02163947" w14:textId="77777777" w:rsidTr="00652F66">
        <w:trPr>
          <w:trHeight w:val="289"/>
        </w:trPr>
        <w:tc>
          <w:tcPr>
            <w:tcW w:w="1493" w:type="dxa"/>
            <w:tcBorders>
              <w:top w:val="nil"/>
              <w:left w:val="nil"/>
              <w:bottom w:val="nil"/>
              <w:right w:val="nil"/>
            </w:tcBorders>
            <w:tcMar>
              <w:top w:w="15" w:type="dxa"/>
              <w:left w:w="15" w:type="dxa"/>
              <w:bottom w:w="0" w:type="dxa"/>
              <w:right w:w="15" w:type="dxa"/>
            </w:tcMar>
            <w:vAlign w:val="bottom"/>
            <w:hideMark/>
          </w:tcPr>
          <w:p w14:paraId="7D91527F"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cg04140807</w:t>
            </w:r>
          </w:p>
        </w:tc>
        <w:tc>
          <w:tcPr>
            <w:tcW w:w="1493" w:type="dxa"/>
            <w:tcBorders>
              <w:top w:val="nil"/>
              <w:left w:val="nil"/>
              <w:bottom w:val="nil"/>
              <w:right w:val="nil"/>
            </w:tcBorders>
            <w:tcMar>
              <w:top w:w="15" w:type="dxa"/>
              <w:left w:w="15" w:type="dxa"/>
              <w:bottom w:w="0" w:type="dxa"/>
              <w:right w:w="15" w:type="dxa"/>
            </w:tcMar>
            <w:vAlign w:val="bottom"/>
            <w:hideMark/>
          </w:tcPr>
          <w:p w14:paraId="4B16DA5B"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7.02 x 10</w:t>
            </w:r>
            <w:r w:rsidRPr="001533EC">
              <w:rPr>
                <w:rFonts w:eastAsia="Times New Roman"/>
                <w:kern w:val="24"/>
                <w:position w:val="6"/>
                <w:vertAlign w:val="superscript"/>
                <w:lang w:eastAsia="de-DE"/>
              </w:rPr>
              <w:t>-7</w:t>
            </w:r>
          </w:p>
        </w:tc>
        <w:tc>
          <w:tcPr>
            <w:tcW w:w="1493" w:type="dxa"/>
            <w:tcBorders>
              <w:top w:val="nil"/>
              <w:left w:val="nil"/>
              <w:bottom w:val="nil"/>
              <w:right w:val="nil"/>
            </w:tcBorders>
            <w:tcMar>
              <w:top w:w="15" w:type="dxa"/>
              <w:left w:w="15" w:type="dxa"/>
              <w:bottom w:w="0" w:type="dxa"/>
              <w:right w:w="15" w:type="dxa"/>
            </w:tcMar>
            <w:vAlign w:val="bottom"/>
            <w:hideMark/>
          </w:tcPr>
          <w:p w14:paraId="46C3B797"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0.0037</w:t>
            </w:r>
          </w:p>
        </w:tc>
        <w:tc>
          <w:tcPr>
            <w:tcW w:w="1493" w:type="dxa"/>
            <w:tcBorders>
              <w:top w:val="nil"/>
              <w:left w:val="nil"/>
              <w:bottom w:val="nil"/>
              <w:right w:val="nil"/>
            </w:tcBorders>
            <w:tcMar>
              <w:top w:w="15" w:type="dxa"/>
              <w:left w:w="15" w:type="dxa"/>
              <w:bottom w:w="0" w:type="dxa"/>
              <w:right w:w="15" w:type="dxa"/>
            </w:tcMar>
            <w:vAlign w:val="bottom"/>
            <w:hideMark/>
          </w:tcPr>
          <w:p w14:paraId="5D66F039"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0.072</w:t>
            </w:r>
          </w:p>
        </w:tc>
        <w:tc>
          <w:tcPr>
            <w:tcW w:w="1493" w:type="dxa"/>
            <w:tcBorders>
              <w:top w:val="nil"/>
              <w:left w:val="nil"/>
              <w:bottom w:val="nil"/>
              <w:right w:val="nil"/>
            </w:tcBorders>
            <w:tcMar>
              <w:top w:w="15" w:type="dxa"/>
              <w:left w:w="15" w:type="dxa"/>
              <w:bottom w:w="0" w:type="dxa"/>
              <w:right w:w="15" w:type="dxa"/>
            </w:tcMar>
            <w:vAlign w:val="bottom"/>
            <w:hideMark/>
          </w:tcPr>
          <w:p w14:paraId="511AA8C7"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Body-</w:t>
            </w:r>
            <w:proofErr w:type="spellStart"/>
            <w:r w:rsidRPr="001533EC">
              <w:rPr>
                <w:rFonts w:eastAsia="Times New Roman"/>
                <w:kern w:val="24"/>
                <w:lang w:eastAsia="de-DE"/>
              </w:rPr>
              <w:t>opensea</w:t>
            </w:r>
            <w:proofErr w:type="spellEnd"/>
          </w:p>
        </w:tc>
        <w:tc>
          <w:tcPr>
            <w:tcW w:w="1493" w:type="dxa"/>
            <w:tcBorders>
              <w:top w:val="nil"/>
              <w:left w:val="nil"/>
              <w:bottom w:val="nil"/>
              <w:right w:val="nil"/>
            </w:tcBorders>
            <w:tcMar>
              <w:top w:w="15" w:type="dxa"/>
              <w:left w:w="15" w:type="dxa"/>
              <w:bottom w:w="0" w:type="dxa"/>
              <w:right w:w="15" w:type="dxa"/>
            </w:tcMar>
            <w:vAlign w:val="bottom"/>
            <w:hideMark/>
          </w:tcPr>
          <w:p w14:paraId="06C9AD9E"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i/>
                <w:iCs/>
                <w:kern w:val="24"/>
                <w:lang w:eastAsia="de-DE"/>
              </w:rPr>
              <w:t>IGF1R</w:t>
            </w:r>
          </w:p>
        </w:tc>
      </w:tr>
      <w:tr w:rsidR="00F665AD" w:rsidRPr="001533EC" w14:paraId="4F503BE1" w14:textId="77777777" w:rsidTr="00652F66">
        <w:trPr>
          <w:trHeight w:val="289"/>
        </w:trPr>
        <w:tc>
          <w:tcPr>
            <w:tcW w:w="1493" w:type="dxa"/>
            <w:tcBorders>
              <w:top w:val="nil"/>
              <w:left w:val="nil"/>
              <w:bottom w:val="nil"/>
              <w:right w:val="nil"/>
            </w:tcBorders>
            <w:tcMar>
              <w:top w:w="15" w:type="dxa"/>
              <w:left w:w="15" w:type="dxa"/>
              <w:bottom w:w="0" w:type="dxa"/>
              <w:right w:w="15" w:type="dxa"/>
            </w:tcMar>
            <w:vAlign w:val="bottom"/>
            <w:hideMark/>
          </w:tcPr>
          <w:p w14:paraId="29A01915"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cg11766580</w:t>
            </w:r>
          </w:p>
        </w:tc>
        <w:tc>
          <w:tcPr>
            <w:tcW w:w="1493" w:type="dxa"/>
            <w:tcBorders>
              <w:top w:val="nil"/>
              <w:left w:val="nil"/>
              <w:bottom w:val="nil"/>
              <w:right w:val="nil"/>
            </w:tcBorders>
            <w:tcMar>
              <w:top w:w="15" w:type="dxa"/>
              <w:left w:w="15" w:type="dxa"/>
              <w:bottom w:w="0" w:type="dxa"/>
              <w:right w:w="15" w:type="dxa"/>
            </w:tcMar>
            <w:vAlign w:val="bottom"/>
            <w:hideMark/>
          </w:tcPr>
          <w:p w14:paraId="7DEF0E9F"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1.04 x 10</w:t>
            </w:r>
            <w:r w:rsidRPr="001533EC">
              <w:rPr>
                <w:rFonts w:eastAsia="Times New Roman"/>
                <w:kern w:val="24"/>
                <w:position w:val="6"/>
                <w:vertAlign w:val="superscript"/>
                <w:lang w:eastAsia="de-DE"/>
              </w:rPr>
              <w:t>-7</w:t>
            </w:r>
          </w:p>
        </w:tc>
        <w:tc>
          <w:tcPr>
            <w:tcW w:w="1493" w:type="dxa"/>
            <w:tcBorders>
              <w:top w:val="nil"/>
              <w:left w:val="nil"/>
              <w:bottom w:val="nil"/>
              <w:right w:val="nil"/>
            </w:tcBorders>
            <w:tcMar>
              <w:top w:w="15" w:type="dxa"/>
              <w:left w:w="15" w:type="dxa"/>
              <w:bottom w:w="0" w:type="dxa"/>
              <w:right w:w="15" w:type="dxa"/>
            </w:tcMar>
            <w:vAlign w:val="bottom"/>
            <w:hideMark/>
          </w:tcPr>
          <w:p w14:paraId="5710F25B"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0.0017</w:t>
            </w:r>
          </w:p>
        </w:tc>
        <w:tc>
          <w:tcPr>
            <w:tcW w:w="1493" w:type="dxa"/>
            <w:tcBorders>
              <w:top w:val="nil"/>
              <w:left w:val="nil"/>
              <w:bottom w:val="nil"/>
              <w:right w:val="nil"/>
            </w:tcBorders>
            <w:tcMar>
              <w:top w:w="15" w:type="dxa"/>
              <w:left w:w="15" w:type="dxa"/>
              <w:bottom w:w="0" w:type="dxa"/>
              <w:right w:w="15" w:type="dxa"/>
            </w:tcMar>
            <w:vAlign w:val="bottom"/>
            <w:hideMark/>
          </w:tcPr>
          <w:p w14:paraId="402E6BFE"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0.066</w:t>
            </w:r>
          </w:p>
        </w:tc>
        <w:tc>
          <w:tcPr>
            <w:tcW w:w="1493" w:type="dxa"/>
            <w:tcBorders>
              <w:top w:val="nil"/>
              <w:left w:val="nil"/>
              <w:bottom w:val="nil"/>
              <w:right w:val="nil"/>
            </w:tcBorders>
            <w:tcMar>
              <w:top w:w="15" w:type="dxa"/>
              <w:left w:w="15" w:type="dxa"/>
              <w:bottom w:w="0" w:type="dxa"/>
              <w:right w:w="15" w:type="dxa"/>
            </w:tcMar>
            <w:vAlign w:val="bottom"/>
            <w:hideMark/>
          </w:tcPr>
          <w:p w14:paraId="4FF1CE6F"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5'UTR-opensea</w:t>
            </w:r>
          </w:p>
        </w:tc>
        <w:tc>
          <w:tcPr>
            <w:tcW w:w="1493" w:type="dxa"/>
            <w:tcBorders>
              <w:top w:val="nil"/>
              <w:left w:val="nil"/>
              <w:bottom w:val="nil"/>
              <w:right w:val="nil"/>
            </w:tcBorders>
            <w:tcMar>
              <w:top w:w="15" w:type="dxa"/>
              <w:left w:w="15" w:type="dxa"/>
              <w:bottom w:w="0" w:type="dxa"/>
              <w:right w:w="15" w:type="dxa"/>
            </w:tcMar>
            <w:vAlign w:val="bottom"/>
            <w:hideMark/>
          </w:tcPr>
          <w:p w14:paraId="0A894607"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i/>
                <w:iCs/>
                <w:kern w:val="24"/>
                <w:lang w:eastAsia="de-DE"/>
              </w:rPr>
              <w:t>AFAP1</w:t>
            </w:r>
          </w:p>
        </w:tc>
      </w:tr>
      <w:tr w:rsidR="00F665AD" w:rsidRPr="001533EC" w14:paraId="2AD7C5CB" w14:textId="77777777" w:rsidTr="00652F66">
        <w:trPr>
          <w:trHeight w:val="289"/>
        </w:trPr>
        <w:tc>
          <w:tcPr>
            <w:tcW w:w="1493" w:type="dxa"/>
            <w:tcBorders>
              <w:top w:val="nil"/>
              <w:left w:val="nil"/>
              <w:bottom w:val="single" w:sz="8" w:space="0" w:color="000000"/>
              <w:right w:val="nil"/>
            </w:tcBorders>
            <w:tcMar>
              <w:top w:w="15" w:type="dxa"/>
              <w:left w:w="15" w:type="dxa"/>
              <w:bottom w:w="0" w:type="dxa"/>
              <w:right w:w="15" w:type="dxa"/>
            </w:tcMar>
            <w:vAlign w:val="bottom"/>
            <w:hideMark/>
          </w:tcPr>
          <w:p w14:paraId="54160F90"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cg17586533</w:t>
            </w:r>
          </w:p>
        </w:tc>
        <w:tc>
          <w:tcPr>
            <w:tcW w:w="1493" w:type="dxa"/>
            <w:tcBorders>
              <w:top w:val="nil"/>
              <w:left w:val="nil"/>
              <w:bottom w:val="single" w:sz="8" w:space="0" w:color="000000"/>
              <w:right w:val="nil"/>
            </w:tcBorders>
            <w:tcMar>
              <w:top w:w="15" w:type="dxa"/>
              <w:left w:w="15" w:type="dxa"/>
              <w:bottom w:w="0" w:type="dxa"/>
              <w:right w:w="15" w:type="dxa"/>
            </w:tcMar>
            <w:vAlign w:val="bottom"/>
            <w:hideMark/>
          </w:tcPr>
          <w:p w14:paraId="6D5FE592"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1.49 x 10</w:t>
            </w:r>
            <w:r w:rsidRPr="001533EC">
              <w:rPr>
                <w:rFonts w:eastAsia="Times New Roman"/>
                <w:kern w:val="24"/>
                <w:position w:val="6"/>
                <w:vertAlign w:val="superscript"/>
                <w:lang w:eastAsia="de-DE"/>
              </w:rPr>
              <w:t>-4</w:t>
            </w:r>
          </w:p>
        </w:tc>
        <w:tc>
          <w:tcPr>
            <w:tcW w:w="1493" w:type="dxa"/>
            <w:tcBorders>
              <w:top w:val="nil"/>
              <w:left w:val="nil"/>
              <w:bottom w:val="single" w:sz="8" w:space="0" w:color="000000"/>
              <w:right w:val="nil"/>
            </w:tcBorders>
            <w:tcMar>
              <w:top w:w="15" w:type="dxa"/>
              <w:left w:w="15" w:type="dxa"/>
              <w:bottom w:w="0" w:type="dxa"/>
              <w:right w:w="15" w:type="dxa"/>
            </w:tcMar>
            <w:vAlign w:val="bottom"/>
            <w:hideMark/>
          </w:tcPr>
          <w:p w14:paraId="12F6FF36"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0.0349</w:t>
            </w:r>
          </w:p>
        </w:tc>
        <w:tc>
          <w:tcPr>
            <w:tcW w:w="1493" w:type="dxa"/>
            <w:tcBorders>
              <w:top w:val="nil"/>
              <w:left w:val="nil"/>
              <w:bottom w:val="single" w:sz="8" w:space="0" w:color="000000"/>
              <w:right w:val="nil"/>
            </w:tcBorders>
            <w:tcMar>
              <w:top w:w="15" w:type="dxa"/>
              <w:left w:w="15" w:type="dxa"/>
              <w:bottom w:w="0" w:type="dxa"/>
              <w:right w:w="15" w:type="dxa"/>
            </w:tcMar>
            <w:vAlign w:val="bottom"/>
            <w:hideMark/>
          </w:tcPr>
          <w:p w14:paraId="28A9871F"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0.065</w:t>
            </w:r>
          </w:p>
        </w:tc>
        <w:tc>
          <w:tcPr>
            <w:tcW w:w="1493" w:type="dxa"/>
            <w:tcBorders>
              <w:top w:val="nil"/>
              <w:left w:val="nil"/>
              <w:bottom w:val="single" w:sz="8" w:space="0" w:color="000000"/>
              <w:right w:val="nil"/>
            </w:tcBorders>
            <w:tcMar>
              <w:top w:w="15" w:type="dxa"/>
              <w:left w:w="15" w:type="dxa"/>
              <w:bottom w:w="0" w:type="dxa"/>
              <w:right w:w="15" w:type="dxa"/>
            </w:tcMar>
            <w:vAlign w:val="bottom"/>
            <w:hideMark/>
          </w:tcPr>
          <w:p w14:paraId="0AB17533"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TSS1500-shore</w:t>
            </w:r>
          </w:p>
        </w:tc>
        <w:tc>
          <w:tcPr>
            <w:tcW w:w="1493" w:type="dxa"/>
            <w:tcBorders>
              <w:top w:val="nil"/>
              <w:left w:val="nil"/>
              <w:bottom w:val="single" w:sz="8" w:space="0" w:color="000000"/>
              <w:right w:val="nil"/>
            </w:tcBorders>
            <w:tcMar>
              <w:top w:w="15" w:type="dxa"/>
              <w:left w:w="15" w:type="dxa"/>
              <w:bottom w:w="0" w:type="dxa"/>
              <w:right w:w="15" w:type="dxa"/>
            </w:tcMar>
            <w:vAlign w:val="bottom"/>
            <w:hideMark/>
          </w:tcPr>
          <w:p w14:paraId="54E9DD33"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i/>
                <w:iCs/>
                <w:kern w:val="24"/>
                <w:lang w:eastAsia="de-DE"/>
              </w:rPr>
              <w:t>TMEM70</w:t>
            </w:r>
          </w:p>
        </w:tc>
      </w:tr>
      <w:tr w:rsidR="00F665AD" w:rsidRPr="001533EC" w14:paraId="08E05ABC" w14:textId="77777777" w:rsidTr="00652F66">
        <w:trPr>
          <w:trHeight w:val="289"/>
        </w:trPr>
        <w:tc>
          <w:tcPr>
            <w:tcW w:w="1493" w:type="dxa"/>
            <w:tcBorders>
              <w:top w:val="single" w:sz="8" w:space="0" w:color="000000"/>
              <w:left w:val="nil"/>
              <w:bottom w:val="nil"/>
              <w:right w:val="nil"/>
            </w:tcBorders>
            <w:tcMar>
              <w:top w:w="15" w:type="dxa"/>
              <w:left w:w="15" w:type="dxa"/>
              <w:bottom w:w="0" w:type="dxa"/>
              <w:right w:w="15" w:type="dxa"/>
            </w:tcMar>
            <w:vAlign w:val="center"/>
            <w:hideMark/>
          </w:tcPr>
          <w:p w14:paraId="32CBD58A"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cg12534199</w:t>
            </w:r>
          </w:p>
        </w:tc>
        <w:tc>
          <w:tcPr>
            <w:tcW w:w="1493" w:type="dxa"/>
            <w:tcBorders>
              <w:top w:val="single" w:sz="8" w:space="0" w:color="000000"/>
              <w:left w:val="nil"/>
              <w:bottom w:val="nil"/>
              <w:right w:val="nil"/>
            </w:tcBorders>
            <w:tcMar>
              <w:top w:w="15" w:type="dxa"/>
              <w:left w:w="15" w:type="dxa"/>
              <w:bottom w:w="0" w:type="dxa"/>
              <w:right w:w="15" w:type="dxa"/>
            </w:tcMar>
            <w:vAlign w:val="center"/>
            <w:hideMark/>
          </w:tcPr>
          <w:p w14:paraId="50CBCBF9"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1.47 x 10</w:t>
            </w:r>
            <w:r w:rsidRPr="001533EC">
              <w:rPr>
                <w:rFonts w:eastAsia="Times New Roman"/>
                <w:kern w:val="24"/>
                <w:position w:val="6"/>
                <w:vertAlign w:val="superscript"/>
                <w:lang w:eastAsia="de-DE"/>
              </w:rPr>
              <w:t>-4</w:t>
            </w:r>
          </w:p>
        </w:tc>
        <w:tc>
          <w:tcPr>
            <w:tcW w:w="1493" w:type="dxa"/>
            <w:tcBorders>
              <w:top w:val="single" w:sz="8" w:space="0" w:color="000000"/>
              <w:left w:val="nil"/>
              <w:bottom w:val="nil"/>
              <w:right w:val="nil"/>
            </w:tcBorders>
            <w:tcMar>
              <w:top w:w="15" w:type="dxa"/>
              <w:left w:w="15" w:type="dxa"/>
              <w:bottom w:w="0" w:type="dxa"/>
              <w:right w:w="15" w:type="dxa"/>
            </w:tcMar>
            <w:vAlign w:val="center"/>
            <w:hideMark/>
          </w:tcPr>
          <w:p w14:paraId="355CFC2E"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0.035</w:t>
            </w:r>
          </w:p>
        </w:tc>
        <w:tc>
          <w:tcPr>
            <w:tcW w:w="1493" w:type="dxa"/>
            <w:tcBorders>
              <w:top w:val="single" w:sz="8" w:space="0" w:color="000000"/>
              <w:left w:val="nil"/>
              <w:bottom w:val="nil"/>
              <w:right w:val="nil"/>
            </w:tcBorders>
            <w:tcMar>
              <w:top w:w="15" w:type="dxa"/>
              <w:left w:w="15" w:type="dxa"/>
              <w:bottom w:w="0" w:type="dxa"/>
              <w:right w:w="15" w:type="dxa"/>
            </w:tcMar>
            <w:vAlign w:val="center"/>
            <w:hideMark/>
          </w:tcPr>
          <w:p w14:paraId="4B4339B1"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-0.109</w:t>
            </w:r>
          </w:p>
        </w:tc>
        <w:tc>
          <w:tcPr>
            <w:tcW w:w="1493" w:type="dxa"/>
            <w:tcBorders>
              <w:top w:val="single" w:sz="8" w:space="0" w:color="000000"/>
              <w:left w:val="nil"/>
              <w:bottom w:val="nil"/>
              <w:right w:val="nil"/>
            </w:tcBorders>
            <w:tcMar>
              <w:top w:w="15" w:type="dxa"/>
              <w:left w:w="15" w:type="dxa"/>
              <w:bottom w:w="0" w:type="dxa"/>
              <w:right w:w="15" w:type="dxa"/>
            </w:tcMar>
            <w:vAlign w:val="center"/>
            <w:hideMark/>
          </w:tcPr>
          <w:p w14:paraId="6D0911FE"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IGR-</w:t>
            </w:r>
            <w:proofErr w:type="spellStart"/>
            <w:r w:rsidRPr="001533EC">
              <w:rPr>
                <w:rFonts w:eastAsia="Times New Roman"/>
                <w:kern w:val="24"/>
                <w:lang w:eastAsia="de-DE"/>
              </w:rPr>
              <w:t>opensea</w:t>
            </w:r>
            <w:proofErr w:type="spellEnd"/>
          </w:p>
        </w:tc>
        <w:tc>
          <w:tcPr>
            <w:tcW w:w="1493" w:type="dxa"/>
            <w:tcBorders>
              <w:top w:val="single" w:sz="8" w:space="0" w:color="000000"/>
              <w:left w:val="nil"/>
              <w:bottom w:val="nil"/>
              <w:right w:val="nil"/>
            </w:tcBorders>
            <w:tcMar>
              <w:top w:w="15" w:type="dxa"/>
              <w:left w:w="15" w:type="dxa"/>
              <w:bottom w:w="0" w:type="dxa"/>
              <w:right w:w="15" w:type="dxa"/>
            </w:tcMar>
            <w:vAlign w:val="center"/>
            <w:hideMark/>
          </w:tcPr>
          <w:p w14:paraId="10041D2F"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i/>
                <w:iCs/>
                <w:kern w:val="24"/>
                <w:lang w:eastAsia="de-DE"/>
              </w:rPr>
              <w:t>-</w:t>
            </w:r>
          </w:p>
        </w:tc>
      </w:tr>
      <w:tr w:rsidR="00F665AD" w:rsidRPr="001533EC" w14:paraId="35977B4A" w14:textId="77777777" w:rsidTr="00652F66">
        <w:trPr>
          <w:trHeight w:val="289"/>
        </w:trPr>
        <w:tc>
          <w:tcPr>
            <w:tcW w:w="1493" w:type="dxa"/>
            <w:tcBorders>
              <w:top w:val="nil"/>
              <w:left w:val="nil"/>
              <w:bottom w:val="nil"/>
              <w:right w:val="nil"/>
            </w:tcBorders>
            <w:tcMar>
              <w:top w:w="15" w:type="dxa"/>
              <w:left w:w="15" w:type="dxa"/>
              <w:bottom w:w="0" w:type="dxa"/>
              <w:right w:w="15" w:type="dxa"/>
            </w:tcMar>
            <w:vAlign w:val="center"/>
            <w:hideMark/>
          </w:tcPr>
          <w:p w14:paraId="22059CCA"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cg10590925</w:t>
            </w:r>
          </w:p>
        </w:tc>
        <w:tc>
          <w:tcPr>
            <w:tcW w:w="1493" w:type="dxa"/>
            <w:tcBorders>
              <w:top w:val="nil"/>
              <w:left w:val="nil"/>
              <w:bottom w:val="nil"/>
              <w:right w:val="nil"/>
            </w:tcBorders>
            <w:tcMar>
              <w:top w:w="15" w:type="dxa"/>
              <w:left w:w="15" w:type="dxa"/>
              <w:bottom w:w="0" w:type="dxa"/>
              <w:right w:w="15" w:type="dxa"/>
            </w:tcMar>
            <w:vAlign w:val="center"/>
            <w:hideMark/>
          </w:tcPr>
          <w:p w14:paraId="4C5CB797"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2.83 x 10</w:t>
            </w:r>
            <w:r w:rsidRPr="001533EC">
              <w:rPr>
                <w:rFonts w:eastAsia="Times New Roman"/>
                <w:kern w:val="24"/>
                <w:position w:val="6"/>
                <w:vertAlign w:val="superscript"/>
                <w:lang w:eastAsia="de-DE"/>
              </w:rPr>
              <w:t>-6</w:t>
            </w:r>
          </w:p>
        </w:tc>
        <w:tc>
          <w:tcPr>
            <w:tcW w:w="1493" w:type="dxa"/>
            <w:tcBorders>
              <w:top w:val="nil"/>
              <w:left w:val="nil"/>
              <w:bottom w:val="nil"/>
              <w:right w:val="nil"/>
            </w:tcBorders>
            <w:tcMar>
              <w:top w:w="15" w:type="dxa"/>
              <w:left w:w="15" w:type="dxa"/>
              <w:bottom w:w="0" w:type="dxa"/>
              <w:right w:w="15" w:type="dxa"/>
            </w:tcMar>
            <w:vAlign w:val="center"/>
            <w:hideMark/>
          </w:tcPr>
          <w:p w14:paraId="1BFBFD44"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0.007</w:t>
            </w:r>
          </w:p>
        </w:tc>
        <w:tc>
          <w:tcPr>
            <w:tcW w:w="1493" w:type="dxa"/>
            <w:tcBorders>
              <w:top w:val="nil"/>
              <w:left w:val="nil"/>
              <w:bottom w:val="nil"/>
              <w:right w:val="nil"/>
            </w:tcBorders>
            <w:tcMar>
              <w:top w:w="15" w:type="dxa"/>
              <w:left w:w="15" w:type="dxa"/>
              <w:bottom w:w="0" w:type="dxa"/>
              <w:right w:w="15" w:type="dxa"/>
            </w:tcMar>
            <w:vAlign w:val="center"/>
            <w:hideMark/>
          </w:tcPr>
          <w:p w14:paraId="2D2FD247"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-0.100</w:t>
            </w:r>
          </w:p>
        </w:tc>
        <w:tc>
          <w:tcPr>
            <w:tcW w:w="1493" w:type="dxa"/>
            <w:tcBorders>
              <w:top w:val="nil"/>
              <w:left w:val="nil"/>
              <w:bottom w:val="nil"/>
              <w:right w:val="nil"/>
            </w:tcBorders>
            <w:tcMar>
              <w:top w:w="15" w:type="dxa"/>
              <w:left w:w="15" w:type="dxa"/>
              <w:bottom w:w="0" w:type="dxa"/>
              <w:right w:w="15" w:type="dxa"/>
            </w:tcMar>
            <w:vAlign w:val="center"/>
            <w:hideMark/>
          </w:tcPr>
          <w:p w14:paraId="1EA2A697"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Body-shore</w:t>
            </w:r>
          </w:p>
        </w:tc>
        <w:tc>
          <w:tcPr>
            <w:tcW w:w="1493" w:type="dxa"/>
            <w:tcBorders>
              <w:top w:val="nil"/>
              <w:left w:val="nil"/>
              <w:bottom w:val="nil"/>
              <w:right w:val="nil"/>
            </w:tcBorders>
            <w:tcMar>
              <w:top w:w="15" w:type="dxa"/>
              <w:left w:w="15" w:type="dxa"/>
              <w:bottom w:w="0" w:type="dxa"/>
              <w:right w:w="15" w:type="dxa"/>
            </w:tcMar>
            <w:vAlign w:val="center"/>
            <w:hideMark/>
          </w:tcPr>
          <w:p w14:paraId="60DDBC8E"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i/>
                <w:iCs/>
                <w:kern w:val="24"/>
                <w:lang w:eastAsia="de-DE"/>
              </w:rPr>
              <w:t>BRSK2</w:t>
            </w:r>
          </w:p>
        </w:tc>
      </w:tr>
      <w:tr w:rsidR="00F665AD" w:rsidRPr="001533EC" w14:paraId="63F4C11F" w14:textId="77777777" w:rsidTr="00652F66">
        <w:trPr>
          <w:trHeight w:val="289"/>
        </w:trPr>
        <w:tc>
          <w:tcPr>
            <w:tcW w:w="1493" w:type="dxa"/>
            <w:tcBorders>
              <w:top w:val="nil"/>
              <w:left w:val="nil"/>
              <w:bottom w:val="nil"/>
              <w:right w:val="nil"/>
            </w:tcBorders>
            <w:tcMar>
              <w:top w:w="15" w:type="dxa"/>
              <w:left w:w="15" w:type="dxa"/>
              <w:bottom w:w="0" w:type="dxa"/>
              <w:right w:w="15" w:type="dxa"/>
            </w:tcMar>
            <w:vAlign w:val="center"/>
            <w:hideMark/>
          </w:tcPr>
          <w:p w14:paraId="0F618859"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cg18661872</w:t>
            </w:r>
          </w:p>
        </w:tc>
        <w:tc>
          <w:tcPr>
            <w:tcW w:w="1493" w:type="dxa"/>
            <w:tcBorders>
              <w:top w:val="nil"/>
              <w:left w:val="nil"/>
              <w:bottom w:val="nil"/>
              <w:right w:val="nil"/>
            </w:tcBorders>
            <w:tcMar>
              <w:top w:w="15" w:type="dxa"/>
              <w:left w:w="15" w:type="dxa"/>
              <w:bottom w:w="0" w:type="dxa"/>
              <w:right w:w="15" w:type="dxa"/>
            </w:tcMar>
            <w:vAlign w:val="center"/>
            <w:hideMark/>
          </w:tcPr>
          <w:p w14:paraId="2BB8763B"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2.90 x 10</w:t>
            </w:r>
            <w:r w:rsidRPr="001533EC">
              <w:rPr>
                <w:rFonts w:eastAsia="Times New Roman"/>
                <w:kern w:val="24"/>
                <w:position w:val="6"/>
                <w:vertAlign w:val="superscript"/>
                <w:lang w:eastAsia="de-DE"/>
              </w:rPr>
              <w:t>-4</w:t>
            </w:r>
          </w:p>
        </w:tc>
        <w:tc>
          <w:tcPr>
            <w:tcW w:w="1493" w:type="dxa"/>
            <w:tcBorders>
              <w:top w:val="nil"/>
              <w:left w:val="nil"/>
              <w:bottom w:val="nil"/>
              <w:right w:val="nil"/>
            </w:tcBorders>
            <w:tcMar>
              <w:top w:w="15" w:type="dxa"/>
              <w:left w:w="15" w:type="dxa"/>
              <w:bottom w:w="0" w:type="dxa"/>
              <w:right w:w="15" w:type="dxa"/>
            </w:tcMar>
            <w:vAlign w:val="center"/>
            <w:hideMark/>
          </w:tcPr>
          <w:p w14:paraId="5E9C7C3D"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0.045</w:t>
            </w:r>
          </w:p>
        </w:tc>
        <w:tc>
          <w:tcPr>
            <w:tcW w:w="1493" w:type="dxa"/>
            <w:tcBorders>
              <w:top w:val="nil"/>
              <w:left w:val="nil"/>
              <w:bottom w:val="nil"/>
              <w:right w:val="nil"/>
            </w:tcBorders>
            <w:tcMar>
              <w:top w:w="15" w:type="dxa"/>
              <w:left w:w="15" w:type="dxa"/>
              <w:bottom w:w="0" w:type="dxa"/>
              <w:right w:w="15" w:type="dxa"/>
            </w:tcMar>
            <w:vAlign w:val="center"/>
            <w:hideMark/>
          </w:tcPr>
          <w:p w14:paraId="345722F4"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-0.096</w:t>
            </w:r>
          </w:p>
        </w:tc>
        <w:tc>
          <w:tcPr>
            <w:tcW w:w="1493" w:type="dxa"/>
            <w:tcBorders>
              <w:top w:val="nil"/>
              <w:left w:val="nil"/>
              <w:bottom w:val="nil"/>
              <w:right w:val="nil"/>
            </w:tcBorders>
            <w:tcMar>
              <w:top w:w="15" w:type="dxa"/>
              <w:left w:w="15" w:type="dxa"/>
              <w:bottom w:w="0" w:type="dxa"/>
              <w:right w:w="15" w:type="dxa"/>
            </w:tcMar>
            <w:vAlign w:val="center"/>
            <w:hideMark/>
          </w:tcPr>
          <w:p w14:paraId="0DE4A89C"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IGR-</w:t>
            </w:r>
            <w:proofErr w:type="spellStart"/>
            <w:r w:rsidRPr="001533EC">
              <w:rPr>
                <w:rFonts w:eastAsia="Times New Roman"/>
                <w:kern w:val="24"/>
                <w:lang w:eastAsia="de-DE"/>
              </w:rPr>
              <w:t>opensea</w:t>
            </w:r>
            <w:proofErr w:type="spellEnd"/>
          </w:p>
        </w:tc>
        <w:tc>
          <w:tcPr>
            <w:tcW w:w="1493" w:type="dxa"/>
            <w:tcBorders>
              <w:top w:val="nil"/>
              <w:left w:val="nil"/>
              <w:bottom w:val="nil"/>
              <w:right w:val="nil"/>
            </w:tcBorders>
            <w:tcMar>
              <w:top w:w="15" w:type="dxa"/>
              <w:left w:w="15" w:type="dxa"/>
              <w:bottom w:w="0" w:type="dxa"/>
              <w:right w:w="15" w:type="dxa"/>
            </w:tcMar>
            <w:vAlign w:val="center"/>
            <w:hideMark/>
          </w:tcPr>
          <w:p w14:paraId="18252478"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i/>
                <w:iCs/>
                <w:kern w:val="24"/>
                <w:lang w:eastAsia="de-DE"/>
              </w:rPr>
              <w:t>-</w:t>
            </w:r>
          </w:p>
        </w:tc>
      </w:tr>
      <w:tr w:rsidR="00F665AD" w:rsidRPr="001533EC" w14:paraId="609F2BF4" w14:textId="77777777" w:rsidTr="00652F66">
        <w:trPr>
          <w:trHeight w:val="289"/>
        </w:trPr>
        <w:tc>
          <w:tcPr>
            <w:tcW w:w="1493" w:type="dxa"/>
            <w:tcBorders>
              <w:top w:val="nil"/>
              <w:left w:val="nil"/>
              <w:bottom w:val="nil"/>
              <w:right w:val="nil"/>
            </w:tcBorders>
            <w:tcMar>
              <w:top w:w="15" w:type="dxa"/>
              <w:left w:w="15" w:type="dxa"/>
              <w:bottom w:w="0" w:type="dxa"/>
              <w:right w:w="15" w:type="dxa"/>
            </w:tcMar>
            <w:vAlign w:val="center"/>
            <w:hideMark/>
          </w:tcPr>
          <w:p w14:paraId="3FA19E93"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cg17416644</w:t>
            </w:r>
          </w:p>
        </w:tc>
        <w:tc>
          <w:tcPr>
            <w:tcW w:w="1493" w:type="dxa"/>
            <w:tcBorders>
              <w:top w:val="nil"/>
              <w:left w:val="nil"/>
              <w:bottom w:val="nil"/>
              <w:right w:val="nil"/>
            </w:tcBorders>
            <w:tcMar>
              <w:top w:w="15" w:type="dxa"/>
              <w:left w:w="15" w:type="dxa"/>
              <w:bottom w:w="0" w:type="dxa"/>
              <w:right w:w="15" w:type="dxa"/>
            </w:tcMar>
            <w:vAlign w:val="center"/>
            <w:hideMark/>
          </w:tcPr>
          <w:p w14:paraId="364D3EDA"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6.29 x 10</w:t>
            </w:r>
            <w:r w:rsidRPr="001533EC">
              <w:rPr>
                <w:rFonts w:eastAsia="Times New Roman"/>
                <w:kern w:val="24"/>
                <w:position w:val="6"/>
                <w:vertAlign w:val="superscript"/>
                <w:lang w:eastAsia="de-DE"/>
              </w:rPr>
              <w:t>-6</w:t>
            </w:r>
          </w:p>
        </w:tc>
        <w:tc>
          <w:tcPr>
            <w:tcW w:w="1493" w:type="dxa"/>
            <w:tcBorders>
              <w:top w:val="nil"/>
              <w:left w:val="nil"/>
              <w:bottom w:val="nil"/>
              <w:right w:val="nil"/>
            </w:tcBorders>
            <w:tcMar>
              <w:top w:w="15" w:type="dxa"/>
              <w:left w:w="15" w:type="dxa"/>
              <w:bottom w:w="0" w:type="dxa"/>
              <w:right w:w="15" w:type="dxa"/>
            </w:tcMar>
            <w:vAlign w:val="center"/>
            <w:hideMark/>
          </w:tcPr>
          <w:p w14:paraId="4C70F5AE"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0.009</w:t>
            </w:r>
          </w:p>
        </w:tc>
        <w:tc>
          <w:tcPr>
            <w:tcW w:w="1493" w:type="dxa"/>
            <w:tcBorders>
              <w:top w:val="nil"/>
              <w:left w:val="nil"/>
              <w:bottom w:val="nil"/>
              <w:right w:val="nil"/>
            </w:tcBorders>
            <w:tcMar>
              <w:top w:w="15" w:type="dxa"/>
              <w:left w:w="15" w:type="dxa"/>
              <w:bottom w:w="0" w:type="dxa"/>
              <w:right w:w="15" w:type="dxa"/>
            </w:tcMar>
            <w:vAlign w:val="center"/>
            <w:hideMark/>
          </w:tcPr>
          <w:p w14:paraId="248DEECD"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-0.088</w:t>
            </w:r>
          </w:p>
        </w:tc>
        <w:tc>
          <w:tcPr>
            <w:tcW w:w="1493" w:type="dxa"/>
            <w:tcBorders>
              <w:top w:val="nil"/>
              <w:left w:val="nil"/>
              <w:bottom w:val="nil"/>
              <w:right w:val="nil"/>
            </w:tcBorders>
            <w:tcMar>
              <w:top w:w="15" w:type="dxa"/>
              <w:left w:w="15" w:type="dxa"/>
              <w:bottom w:w="0" w:type="dxa"/>
              <w:right w:w="15" w:type="dxa"/>
            </w:tcMar>
            <w:vAlign w:val="center"/>
            <w:hideMark/>
          </w:tcPr>
          <w:p w14:paraId="740EF919"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Body-shelf</w:t>
            </w:r>
          </w:p>
        </w:tc>
        <w:tc>
          <w:tcPr>
            <w:tcW w:w="1493" w:type="dxa"/>
            <w:tcBorders>
              <w:top w:val="nil"/>
              <w:left w:val="nil"/>
              <w:bottom w:val="nil"/>
              <w:right w:val="nil"/>
            </w:tcBorders>
            <w:tcMar>
              <w:top w:w="15" w:type="dxa"/>
              <w:left w:w="15" w:type="dxa"/>
              <w:bottom w:w="0" w:type="dxa"/>
              <w:right w:w="15" w:type="dxa"/>
            </w:tcMar>
            <w:vAlign w:val="center"/>
            <w:hideMark/>
          </w:tcPr>
          <w:p w14:paraId="7D7730FC"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i/>
                <w:iCs/>
                <w:kern w:val="24"/>
                <w:lang w:eastAsia="de-DE"/>
              </w:rPr>
              <w:t>BRSK2</w:t>
            </w:r>
          </w:p>
        </w:tc>
      </w:tr>
      <w:tr w:rsidR="00F665AD" w:rsidRPr="001533EC" w14:paraId="04AE2C50" w14:textId="77777777" w:rsidTr="00652F66">
        <w:trPr>
          <w:trHeight w:val="289"/>
        </w:trPr>
        <w:tc>
          <w:tcPr>
            <w:tcW w:w="1493" w:type="dxa"/>
            <w:tcBorders>
              <w:top w:val="nil"/>
              <w:left w:val="nil"/>
              <w:bottom w:val="nil"/>
              <w:right w:val="nil"/>
            </w:tcBorders>
            <w:tcMar>
              <w:top w:w="15" w:type="dxa"/>
              <w:left w:w="15" w:type="dxa"/>
              <w:bottom w:w="0" w:type="dxa"/>
              <w:right w:w="15" w:type="dxa"/>
            </w:tcMar>
            <w:vAlign w:val="center"/>
            <w:hideMark/>
          </w:tcPr>
          <w:p w14:paraId="55662BF2"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cg17429870</w:t>
            </w:r>
          </w:p>
        </w:tc>
        <w:tc>
          <w:tcPr>
            <w:tcW w:w="1493" w:type="dxa"/>
            <w:tcBorders>
              <w:top w:val="nil"/>
              <w:left w:val="nil"/>
              <w:bottom w:val="nil"/>
              <w:right w:val="nil"/>
            </w:tcBorders>
            <w:tcMar>
              <w:top w:w="15" w:type="dxa"/>
              <w:left w:w="15" w:type="dxa"/>
              <w:bottom w:w="0" w:type="dxa"/>
              <w:right w:w="15" w:type="dxa"/>
            </w:tcMar>
            <w:vAlign w:val="center"/>
            <w:hideMark/>
          </w:tcPr>
          <w:p w14:paraId="4BB0C9DD"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1.01 x 10</w:t>
            </w:r>
            <w:r w:rsidRPr="001533EC">
              <w:rPr>
                <w:rFonts w:eastAsia="Times New Roman"/>
                <w:kern w:val="24"/>
                <w:position w:val="6"/>
                <w:vertAlign w:val="superscript"/>
                <w:lang w:eastAsia="de-DE"/>
              </w:rPr>
              <w:t>-5</w:t>
            </w:r>
          </w:p>
        </w:tc>
        <w:tc>
          <w:tcPr>
            <w:tcW w:w="1493" w:type="dxa"/>
            <w:tcBorders>
              <w:top w:val="nil"/>
              <w:left w:val="nil"/>
              <w:bottom w:val="nil"/>
              <w:right w:val="nil"/>
            </w:tcBorders>
            <w:tcMar>
              <w:top w:w="15" w:type="dxa"/>
              <w:left w:w="15" w:type="dxa"/>
              <w:bottom w:w="0" w:type="dxa"/>
              <w:right w:w="15" w:type="dxa"/>
            </w:tcMar>
            <w:vAlign w:val="center"/>
            <w:hideMark/>
          </w:tcPr>
          <w:p w14:paraId="583D1327"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0.011</w:t>
            </w:r>
          </w:p>
        </w:tc>
        <w:tc>
          <w:tcPr>
            <w:tcW w:w="1493" w:type="dxa"/>
            <w:tcBorders>
              <w:top w:val="nil"/>
              <w:left w:val="nil"/>
              <w:bottom w:val="nil"/>
              <w:right w:val="nil"/>
            </w:tcBorders>
            <w:tcMar>
              <w:top w:w="15" w:type="dxa"/>
              <w:left w:w="15" w:type="dxa"/>
              <w:bottom w:w="0" w:type="dxa"/>
              <w:right w:w="15" w:type="dxa"/>
            </w:tcMar>
            <w:vAlign w:val="center"/>
            <w:hideMark/>
          </w:tcPr>
          <w:p w14:paraId="3A14A047"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-0.087</w:t>
            </w:r>
          </w:p>
        </w:tc>
        <w:tc>
          <w:tcPr>
            <w:tcW w:w="1493" w:type="dxa"/>
            <w:tcBorders>
              <w:top w:val="nil"/>
              <w:left w:val="nil"/>
              <w:bottom w:val="nil"/>
              <w:right w:val="nil"/>
            </w:tcBorders>
            <w:tcMar>
              <w:top w:w="15" w:type="dxa"/>
              <w:left w:w="15" w:type="dxa"/>
              <w:bottom w:w="0" w:type="dxa"/>
              <w:right w:w="15" w:type="dxa"/>
            </w:tcMar>
            <w:vAlign w:val="center"/>
            <w:hideMark/>
          </w:tcPr>
          <w:p w14:paraId="445586DB"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Body-shore</w:t>
            </w:r>
          </w:p>
        </w:tc>
        <w:tc>
          <w:tcPr>
            <w:tcW w:w="1493" w:type="dxa"/>
            <w:tcBorders>
              <w:top w:val="nil"/>
              <w:left w:val="nil"/>
              <w:bottom w:val="nil"/>
              <w:right w:val="nil"/>
            </w:tcBorders>
            <w:tcMar>
              <w:top w:w="15" w:type="dxa"/>
              <w:left w:w="15" w:type="dxa"/>
              <w:bottom w:w="0" w:type="dxa"/>
              <w:right w:w="15" w:type="dxa"/>
            </w:tcMar>
            <w:vAlign w:val="center"/>
            <w:hideMark/>
          </w:tcPr>
          <w:p w14:paraId="202348D7"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i/>
                <w:iCs/>
                <w:kern w:val="24"/>
                <w:lang w:eastAsia="de-DE"/>
              </w:rPr>
              <w:t>BRSK2</w:t>
            </w:r>
          </w:p>
        </w:tc>
      </w:tr>
      <w:tr w:rsidR="00F665AD" w:rsidRPr="001533EC" w14:paraId="5DF7AC41" w14:textId="77777777" w:rsidTr="00652F66">
        <w:trPr>
          <w:trHeight w:val="289"/>
        </w:trPr>
        <w:tc>
          <w:tcPr>
            <w:tcW w:w="1493" w:type="dxa"/>
            <w:tcBorders>
              <w:top w:val="nil"/>
              <w:left w:val="nil"/>
              <w:bottom w:val="nil"/>
              <w:right w:val="nil"/>
            </w:tcBorders>
            <w:tcMar>
              <w:top w:w="15" w:type="dxa"/>
              <w:left w:w="15" w:type="dxa"/>
              <w:bottom w:w="0" w:type="dxa"/>
              <w:right w:w="15" w:type="dxa"/>
            </w:tcMar>
            <w:vAlign w:val="center"/>
            <w:hideMark/>
          </w:tcPr>
          <w:p w14:paraId="28E6A220"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cg06231783</w:t>
            </w:r>
          </w:p>
        </w:tc>
        <w:tc>
          <w:tcPr>
            <w:tcW w:w="1493" w:type="dxa"/>
            <w:tcBorders>
              <w:top w:val="nil"/>
              <w:left w:val="nil"/>
              <w:bottom w:val="nil"/>
              <w:right w:val="nil"/>
            </w:tcBorders>
            <w:tcMar>
              <w:top w:w="15" w:type="dxa"/>
              <w:left w:w="15" w:type="dxa"/>
              <w:bottom w:w="0" w:type="dxa"/>
              <w:right w:w="15" w:type="dxa"/>
            </w:tcMar>
            <w:vAlign w:val="center"/>
            <w:hideMark/>
          </w:tcPr>
          <w:p w14:paraId="32E66DC8"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2.13 x 10</w:t>
            </w:r>
            <w:r w:rsidRPr="001533EC">
              <w:rPr>
                <w:rFonts w:eastAsia="Times New Roman"/>
                <w:kern w:val="24"/>
                <w:position w:val="6"/>
                <w:vertAlign w:val="superscript"/>
                <w:lang w:eastAsia="de-DE"/>
              </w:rPr>
              <w:t>-5</w:t>
            </w:r>
          </w:p>
        </w:tc>
        <w:tc>
          <w:tcPr>
            <w:tcW w:w="1493" w:type="dxa"/>
            <w:tcBorders>
              <w:top w:val="nil"/>
              <w:left w:val="nil"/>
              <w:bottom w:val="nil"/>
              <w:right w:val="nil"/>
            </w:tcBorders>
            <w:tcMar>
              <w:top w:w="15" w:type="dxa"/>
              <w:left w:w="15" w:type="dxa"/>
              <w:bottom w:w="0" w:type="dxa"/>
              <w:right w:w="15" w:type="dxa"/>
            </w:tcMar>
            <w:vAlign w:val="center"/>
            <w:hideMark/>
          </w:tcPr>
          <w:p w14:paraId="4D0E686C"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0.015</w:t>
            </w:r>
          </w:p>
        </w:tc>
        <w:tc>
          <w:tcPr>
            <w:tcW w:w="1493" w:type="dxa"/>
            <w:tcBorders>
              <w:top w:val="nil"/>
              <w:left w:val="nil"/>
              <w:bottom w:val="nil"/>
              <w:right w:val="nil"/>
            </w:tcBorders>
            <w:tcMar>
              <w:top w:w="15" w:type="dxa"/>
              <w:left w:w="15" w:type="dxa"/>
              <w:bottom w:w="0" w:type="dxa"/>
              <w:right w:w="15" w:type="dxa"/>
            </w:tcMar>
            <w:vAlign w:val="center"/>
            <w:hideMark/>
          </w:tcPr>
          <w:p w14:paraId="3CC8DE1D"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-0.074</w:t>
            </w:r>
          </w:p>
        </w:tc>
        <w:tc>
          <w:tcPr>
            <w:tcW w:w="1493" w:type="dxa"/>
            <w:tcBorders>
              <w:top w:val="nil"/>
              <w:left w:val="nil"/>
              <w:bottom w:val="nil"/>
              <w:right w:val="nil"/>
            </w:tcBorders>
            <w:tcMar>
              <w:top w:w="15" w:type="dxa"/>
              <w:left w:w="15" w:type="dxa"/>
              <w:bottom w:w="0" w:type="dxa"/>
              <w:right w:w="15" w:type="dxa"/>
            </w:tcMar>
            <w:vAlign w:val="center"/>
            <w:hideMark/>
          </w:tcPr>
          <w:p w14:paraId="00FDC113"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Body-shelf</w:t>
            </w:r>
          </w:p>
        </w:tc>
        <w:tc>
          <w:tcPr>
            <w:tcW w:w="1493" w:type="dxa"/>
            <w:tcBorders>
              <w:top w:val="nil"/>
              <w:left w:val="nil"/>
              <w:bottom w:val="nil"/>
              <w:right w:val="nil"/>
            </w:tcBorders>
            <w:tcMar>
              <w:top w:w="15" w:type="dxa"/>
              <w:left w:w="15" w:type="dxa"/>
              <w:bottom w:w="0" w:type="dxa"/>
              <w:right w:w="15" w:type="dxa"/>
            </w:tcMar>
            <w:vAlign w:val="center"/>
            <w:hideMark/>
          </w:tcPr>
          <w:p w14:paraId="21E4B4C5"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i/>
                <w:iCs/>
                <w:kern w:val="24"/>
                <w:lang w:eastAsia="de-DE"/>
              </w:rPr>
              <w:t>BRSK2</w:t>
            </w:r>
          </w:p>
        </w:tc>
      </w:tr>
      <w:tr w:rsidR="00F665AD" w:rsidRPr="001533EC" w14:paraId="3064DBE3" w14:textId="77777777" w:rsidTr="00652F66">
        <w:trPr>
          <w:trHeight w:val="289"/>
        </w:trPr>
        <w:tc>
          <w:tcPr>
            <w:tcW w:w="1493" w:type="dxa"/>
            <w:tcBorders>
              <w:top w:val="nil"/>
              <w:left w:val="nil"/>
              <w:bottom w:val="nil"/>
              <w:right w:val="nil"/>
            </w:tcBorders>
            <w:tcMar>
              <w:top w:w="15" w:type="dxa"/>
              <w:left w:w="15" w:type="dxa"/>
              <w:bottom w:w="0" w:type="dxa"/>
              <w:right w:w="15" w:type="dxa"/>
            </w:tcMar>
            <w:vAlign w:val="center"/>
            <w:hideMark/>
          </w:tcPr>
          <w:p w14:paraId="019811EC"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cg05820861</w:t>
            </w:r>
          </w:p>
        </w:tc>
        <w:tc>
          <w:tcPr>
            <w:tcW w:w="1493" w:type="dxa"/>
            <w:tcBorders>
              <w:top w:val="nil"/>
              <w:left w:val="nil"/>
              <w:bottom w:val="nil"/>
              <w:right w:val="nil"/>
            </w:tcBorders>
            <w:tcMar>
              <w:top w:w="15" w:type="dxa"/>
              <w:left w:w="15" w:type="dxa"/>
              <w:bottom w:w="0" w:type="dxa"/>
              <w:right w:w="15" w:type="dxa"/>
            </w:tcMar>
            <w:vAlign w:val="center"/>
            <w:hideMark/>
          </w:tcPr>
          <w:p w14:paraId="41F42D80"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4.63 x 10</w:t>
            </w:r>
            <w:r w:rsidRPr="001533EC">
              <w:rPr>
                <w:rFonts w:eastAsia="Times New Roman"/>
                <w:kern w:val="24"/>
                <w:position w:val="6"/>
                <w:vertAlign w:val="superscript"/>
                <w:lang w:eastAsia="de-DE"/>
              </w:rPr>
              <w:t>-5</w:t>
            </w:r>
          </w:p>
        </w:tc>
        <w:tc>
          <w:tcPr>
            <w:tcW w:w="1493" w:type="dxa"/>
            <w:tcBorders>
              <w:top w:val="nil"/>
              <w:left w:val="nil"/>
              <w:bottom w:val="nil"/>
              <w:right w:val="nil"/>
            </w:tcBorders>
            <w:tcMar>
              <w:top w:w="15" w:type="dxa"/>
              <w:left w:w="15" w:type="dxa"/>
              <w:bottom w:w="0" w:type="dxa"/>
              <w:right w:w="15" w:type="dxa"/>
            </w:tcMar>
            <w:vAlign w:val="center"/>
            <w:hideMark/>
          </w:tcPr>
          <w:p w14:paraId="4F826C21"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0.021</w:t>
            </w:r>
          </w:p>
        </w:tc>
        <w:tc>
          <w:tcPr>
            <w:tcW w:w="1493" w:type="dxa"/>
            <w:tcBorders>
              <w:top w:val="nil"/>
              <w:left w:val="nil"/>
              <w:bottom w:val="nil"/>
              <w:right w:val="nil"/>
            </w:tcBorders>
            <w:tcMar>
              <w:top w:w="15" w:type="dxa"/>
              <w:left w:w="15" w:type="dxa"/>
              <w:bottom w:w="0" w:type="dxa"/>
              <w:right w:w="15" w:type="dxa"/>
            </w:tcMar>
            <w:vAlign w:val="center"/>
            <w:hideMark/>
          </w:tcPr>
          <w:p w14:paraId="597B111E"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-0.071</w:t>
            </w:r>
          </w:p>
        </w:tc>
        <w:tc>
          <w:tcPr>
            <w:tcW w:w="1493" w:type="dxa"/>
            <w:tcBorders>
              <w:top w:val="nil"/>
              <w:left w:val="nil"/>
              <w:bottom w:val="nil"/>
              <w:right w:val="nil"/>
            </w:tcBorders>
            <w:tcMar>
              <w:top w:w="15" w:type="dxa"/>
              <w:left w:w="15" w:type="dxa"/>
              <w:bottom w:w="0" w:type="dxa"/>
              <w:right w:w="15" w:type="dxa"/>
            </w:tcMar>
            <w:vAlign w:val="center"/>
            <w:hideMark/>
          </w:tcPr>
          <w:p w14:paraId="614C91A6"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TSS1500-island</w:t>
            </w:r>
          </w:p>
        </w:tc>
        <w:tc>
          <w:tcPr>
            <w:tcW w:w="1493" w:type="dxa"/>
            <w:tcBorders>
              <w:top w:val="nil"/>
              <w:left w:val="nil"/>
              <w:bottom w:val="nil"/>
              <w:right w:val="nil"/>
            </w:tcBorders>
            <w:tcMar>
              <w:top w:w="15" w:type="dxa"/>
              <w:left w:w="15" w:type="dxa"/>
              <w:bottom w:w="0" w:type="dxa"/>
              <w:right w:w="15" w:type="dxa"/>
            </w:tcMar>
            <w:vAlign w:val="center"/>
            <w:hideMark/>
          </w:tcPr>
          <w:p w14:paraId="517C80C5"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i/>
                <w:iCs/>
                <w:kern w:val="24"/>
                <w:lang w:eastAsia="de-DE"/>
              </w:rPr>
              <w:t>C1QTNF9</w:t>
            </w:r>
          </w:p>
        </w:tc>
      </w:tr>
      <w:tr w:rsidR="00F665AD" w:rsidRPr="001533EC" w14:paraId="0746D98E" w14:textId="77777777" w:rsidTr="00652F66">
        <w:trPr>
          <w:trHeight w:val="289"/>
        </w:trPr>
        <w:tc>
          <w:tcPr>
            <w:tcW w:w="1493" w:type="dxa"/>
            <w:tcBorders>
              <w:top w:val="nil"/>
              <w:left w:val="nil"/>
              <w:bottom w:val="nil"/>
              <w:right w:val="nil"/>
            </w:tcBorders>
            <w:tcMar>
              <w:top w:w="15" w:type="dxa"/>
              <w:left w:w="15" w:type="dxa"/>
              <w:bottom w:w="0" w:type="dxa"/>
              <w:right w:w="15" w:type="dxa"/>
            </w:tcMar>
            <w:vAlign w:val="center"/>
            <w:hideMark/>
          </w:tcPr>
          <w:p w14:paraId="28545088"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cg09062922</w:t>
            </w:r>
          </w:p>
        </w:tc>
        <w:tc>
          <w:tcPr>
            <w:tcW w:w="1493" w:type="dxa"/>
            <w:tcBorders>
              <w:top w:val="nil"/>
              <w:left w:val="nil"/>
              <w:bottom w:val="nil"/>
              <w:right w:val="nil"/>
            </w:tcBorders>
            <w:tcMar>
              <w:top w:w="15" w:type="dxa"/>
              <w:left w:w="15" w:type="dxa"/>
              <w:bottom w:w="0" w:type="dxa"/>
              <w:right w:w="15" w:type="dxa"/>
            </w:tcMar>
            <w:vAlign w:val="center"/>
            <w:hideMark/>
          </w:tcPr>
          <w:p w14:paraId="45A24CAB"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1.59 x 10</w:t>
            </w:r>
            <w:r w:rsidRPr="001533EC">
              <w:rPr>
                <w:rFonts w:eastAsia="Times New Roman"/>
                <w:kern w:val="24"/>
                <w:position w:val="6"/>
                <w:vertAlign w:val="superscript"/>
                <w:lang w:eastAsia="de-DE"/>
              </w:rPr>
              <w:t>-4</w:t>
            </w:r>
          </w:p>
        </w:tc>
        <w:tc>
          <w:tcPr>
            <w:tcW w:w="1493" w:type="dxa"/>
            <w:tcBorders>
              <w:top w:val="nil"/>
              <w:left w:val="nil"/>
              <w:bottom w:val="nil"/>
              <w:right w:val="nil"/>
            </w:tcBorders>
            <w:tcMar>
              <w:top w:w="15" w:type="dxa"/>
              <w:left w:w="15" w:type="dxa"/>
              <w:bottom w:w="0" w:type="dxa"/>
              <w:right w:w="15" w:type="dxa"/>
            </w:tcMar>
            <w:vAlign w:val="center"/>
            <w:hideMark/>
          </w:tcPr>
          <w:p w14:paraId="7E641F19"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0.036</w:t>
            </w:r>
          </w:p>
        </w:tc>
        <w:tc>
          <w:tcPr>
            <w:tcW w:w="1493" w:type="dxa"/>
            <w:tcBorders>
              <w:top w:val="nil"/>
              <w:left w:val="nil"/>
              <w:bottom w:val="nil"/>
              <w:right w:val="nil"/>
            </w:tcBorders>
            <w:tcMar>
              <w:top w:w="15" w:type="dxa"/>
              <w:left w:w="15" w:type="dxa"/>
              <w:bottom w:w="0" w:type="dxa"/>
              <w:right w:w="15" w:type="dxa"/>
            </w:tcMar>
            <w:vAlign w:val="center"/>
            <w:hideMark/>
          </w:tcPr>
          <w:p w14:paraId="620A0042"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-0.071</w:t>
            </w:r>
          </w:p>
        </w:tc>
        <w:tc>
          <w:tcPr>
            <w:tcW w:w="1493" w:type="dxa"/>
            <w:tcBorders>
              <w:top w:val="nil"/>
              <w:left w:val="nil"/>
              <w:bottom w:val="nil"/>
              <w:right w:val="nil"/>
            </w:tcBorders>
            <w:tcMar>
              <w:top w:w="15" w:type="dxa"/>
              <w:left w:w="15" w:type="dxa"/>
              <w:bottom w:w="0" w:type="dxa"/>
              <w:right w:w="15" w:type="dxa"/>
            </w:tcMar>
            <w:vAlign w:val="center"/>
            <w:hideMark/>
          </w:tcPr>
          <w:p w14:paraId="34B8DFAF"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IGR-</w:t>
            </w:r>
            <w:proofErr w:type="spellStart"/>
            <w:r w:rsidRPr="001533EC">
              <w:rPr>
                <w:rFonts w:eastAsia="Times New Roman"/>
                <w:kern w:val="24"/>
                <w:lang w:eastAsia="de-DE"/>
              </w:rPr>
              <w:t>opensea</w:t>
            </w:r>
            <w:proofErr w:type="spellEnd"/>
          </w:p>
        </w:tc>
        <w:tc>
          <w:tcPr>
            <w:tcW w:w="1493" w:type="dxa"/>
            <w:tcBorders>
              <w:top w:val="nil"/>
              <w:left w:val="nil"/>
              <w:bottom w:val="nil"/>
              <w:right w:val="nil"/>
            </w:tcBorders>
            <w:tcMar>
              <w:top w:w="15" w:type="dxa"/>
              <w:left w:w="15" w:type="dxa"/>
              <w:bottom w:w="0" w:type="dxa"/>
              <w:right w:w="15" w:type="dxa"/>
            </w:tcMar>
            <w:vAlign w:val="center"/>
            <w:hideMark/>
          </w:tcPr>
          <w:p w14:paraId="336A1225"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i/>
                <w:iCs/>
                <w:kern w:val="24"/>
                <w:lang w:eastAsia="de-DE"/>
              </w:rPr>
              <w:t>-</w:t>
            </w:r>
          </w:p>
        </w:tc>
      </w:tr>
      <w:tr w:rsidR="00F665AD" w:rsidRPr="001533EC" w14:paraId="016FC306" w14:textId="77777777" w:rsidTr="00652F66">
        <w:trPr>
          <w:trHeight w:val="289"/>
        </w:trPr>
        <w:tc>
          <w:tcPr>
            <w:tcW w:w="1493" w:type="dxa"/>
            <w:tcBorders>
              <w:top w:val="nil"/>
              <w:left w:val="nil"/>
              <w:bottom w:val="nil"/>
              <w:right w:val="nil"/>
            </w:tcBorders>
            <w:tcMar>
              <w:top w:w="15" w:type="dxa"/>
              <w:left w:w="15" w:type="dxa"/>
              <w:bottom w:w="0" w:type="dxa"/>
              <w:right w:w="15" w:type="dxa"/>
            </w:tcMar>
            <w:vAlign w:val="center"/>
            <w:hideMark/>
          </w:tcPr>
          <w:p w14:paraId="4414D455"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cg14064268</w:t>
            </w:r>
          </w:p>
        </w:tc>
        <w:tc>
          <w:tcPr>
            <w:tcW w:w="1493" w:type="dxa"/>
            <w:tcBorders>
              <w:top w:val="nil"/>
              <w:left w:val="nil"/>
              <w:bottom w:val="nil"/>
              <w:right w:val="nil"/>
            </w:tcBorders>
            <w:tcMar>
              <w:top w:w="15" w:type="dxa"/>
              <w:left w:w="15" w:type="dxa"/>
              <w:bottom w:w="0" w:type="dxa"/>
              <w:right w:w="15" w:type="dxa"/>
            </w:tcMar>
            <w:vAlign w:val="center"/>
            <w:hideMark/>
          </w:tcPr>
          <w:p w14:paraId="6E22A01C"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2.16 x 10</w:t>
            </w:r>
            <w:r w:rsidRPr="001533EC">
              <w:rPr>
                <w:rFonts w:eastAsia="Times New Roman"/>
                <w:kern w:val="24"/>
                <w:position w:val="6"/>
                <w:vertAlign w:val="superscript"/>
                <w:lang w:eastAsia="de-DE"/>
              </w:rPr>
              <w:t>-4</w:t>
            </w:r>
          </w:p>
        </w:tc>
        <w:tc>
          <w:tcPr>
            <w:tcW w:w="1493" w:type="dxa"/>
            <w:tcBorders>
              <w:top w:val="nil"/>
              <w:left w:val="nil"/>
              <w:bottom w:val="nil"/>
              <w:right w:val="nil"/>
            </w:tcBorders>
            <w:tcMar>
              <w:top w:w="15" w:type="dxa"/>
              <w:left w:w="15" w:type="dxa"/>
              <w:bottom w:w="0" w:type="dxa"/>
              <w:right w:w="15" w:type="dxa"/>
            </w:tcMar>
            <w:vAlign w:val="center"/>
            <w:hideMark/>
          </w:tcPr>
          <w:p w14:paraId="41654D34"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0.040</w:t>
            </w:r>
          </w:p>
        </w:tc>
        <w:tc>
          <w:tcPr>
            <w:tcW w:w="1493" w:type="dxa"/>
            <w:tcBorders>
              <w:top w:val="nil"/>
              <w:left w:val="nil"/>
              <w:bottom w:val="nil"/>
              <w:right w:val="nil"/>
            </w:tcBorders>
            <w:tcMar>
              <w:top w:w="15" w:type="dxa"/>
              <w:left w:w="15" w:type="dxa"/>
              <w:bottom w:w="0" w:type="dxa"/>
              <w:right w:w="15" w:type="dxa"/>
            </w:tcMar>
            <w:vAlign w:val="center"/>
            <w:hideMark/>
          </w:tcPr>
          <w:p w14:paraId="664FA79E"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-0.068</w:t>
            </w:r>
          </w:p>
        </w:tc>
        <w:tc>
          <w:tcPr>
            <w:tcW w:w="1493" w:type="dxa"/>
            <w:tcBorders>
              <w:top w:val="nil"/>
              <w:left w:val="nil"/>
              <w:bottom w:val="nil"/>
              <w:right w:val="nil"/>
            </w:tcBorders>
            <w:tcMar>
              <w:top w:w="15" w:type="dxa"/>
              <w:left w:w="15" w:type="dxa"/>
              <w:bottom w:w="0" w:type="dxa"/>
              <w:right w:w="15" w:type="dxa"/>
            </w:tcMar>
            <w:vAlign w:val="center"/>
            <w:hideMark/>
          </w:tcPr>
          <w:p w14:paraId="18DE4F8A"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Body-shore</w:t>
            </w:r>
          </w:p>
        </w:tc>
        <w:tc>
          <w:tcPr>
            <w:tcW w:w="1493" w:type="dxa"/>
            <w:tcBorders>
              <w:top w:val="nil"/>
              <w:left w:val="nil"/>
              <w:bottom w:val="nil"/>
              <w:right w:val="nil"/>
            </w:tcBorders>
            <w:tcMar>
              <w:top w:w="15" w:type="dxa"/>
              <w:left w:w="15" w:type="dxa"/>
              <w:bottom w:w="0" w:type="dxa"/>
              <w:right w:w="15" w:type="dxa"/>
            </w:tcMar>
            <w:vAlign w:val="center"/>
            <w:hideMark/>
          </w:tcPr>
          <w:p w14:paraId="239E0D45"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i/>
                <w:iCs/>
                <w:kern w:val="24"/>
                <w:lang w:eastAsia="de-DE"/>
              </w:rPr>
              <w:t>BRSK2</w:t>
            </w:r>
          </w:p>
        </w:tc>
      </w:tr>
      <w:tr w:rsidR="00F665AD" w:rsidRPr="001533EC" w14:paraId="66A619CD" w14:textId="77777777" w:rsidTr="00652F66">
        <w:trPr>
          <w:trHeight w:val="289"/>
        </w:trPr>
        <w:tc>
          <w:tcPr>
            <w:tcW w:w="1493" w:type="dxa"/>
            <w:tcBorders>
              <w:top w:val="nil"/>
              <w:left w:val="nil"/>
              <w:bottom w:val="nil"/>
              <w:right w:val="nil"/>
            </w:tcBorders>
            <w:tcMar>
              <w:top w:w="15" w:type="dxa"/>
              <w:left w:w="15" w:type="dxa"/>
              <w:bottom w:w="0" w:type="dxa"/>
              <w:right w:w="15" w:type="dxa"/>
            </w:tcMar>
            <w:vAlign w:val="center"/>
            <w:hideMark/>
          </w:tcPr>
          <w:p w14:paraId="37995E13"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cg01283332</w:t>
            </w:r>
          </w:p>
        </w:tc>
        <w:tc>
          <w:tcPr>
            <w:tcW w:w="1493" w:type="dxa"/>
            <w:tcBorders>
              <w:top w:val="nil"/>
              <w:left w:val="nil"/>
              <w:bottom w:val="nil"/>
              <w:right w:val="nil"/>
            </w:tcBorders>
            <w:tcMar>
              <w:top w:w="15" w:type="dxa"/>
              <w:left w:w="15" w:type="dxa"/>
              <w:bottom w:w="0" w:type="dxa"/>
              <w:right w:w="15" w:type="dxa"/>
            </w:tcMar>
            <w:vAlign w:val="center"/>
            <w:hideMark/>
          </w:tcPr>
          <w:p w14:paraId="11BACEC8"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2.40 x 10</w:t>
            </w:r>
            <w:r w:rsidRPr="001533EC">
              <w:rPr>
                <w:rFonts w:eastAsia="Times New Roman"/>
                <w:kern w:val="24"/>
                <w:position w:val="6"/>
                <w:vertAlign w:val="superscript"/>
                <w:lang w:eastAsia="de-DE"/>
              </w:rPr>
              <w:t>-4</w:t>
            </w:r>
          </w:p>
        </w:tc>
        <w:tc>
          <w:tcPr>
            <w:tcW w:w="1493" w:type="dxa"/>
            <w:tcBorders>
              <w:top w:val="nil"/>
              <w:left w:val="nil"/>
              <w:bottom w:val="nil"/>
              <w:right w:val="nil"/>
            </w:tcBorders>
            <w:tcMar>
              <w:top w:w="15" w:type="dxa"/>
              <w:left w:w="15" w:type="dxa"/>
              <w:bottom w:w="0" w:type="dxa"/>
              <w:right w:w="15" w:type="dxa"/>
            </w:tcMar>
            <w:vAlign w:val="center"/>
            <w:hideMark/>
          </w:tcPr>
          <w:p w14:paraId="469B7F5C"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0.042</w:t>
            </w:r>
          </w:p>
        </w:tc>
        <w:tc>
          <w:tcPr>
            <w:tcW w:w="1493" w:type="dxa"/>
            <w:tcBorders>
              <w:top w:val="nil"/>
              <w:left w:val="nil"/>
              <w:bottom w:val="nil"/>
              <w:right w:val="nil"/>
            </w:tcBorders>
            <w:tcMar>
              <w:top w:w="15" w:type="dxa"/>
              <w:left w:w="15" w:type="dxa"/>
              <w:bottom w:w="0" w:type="dxa"/>
              <w:right w:w="15" w:type="dxa"/>
            </w:tcMar>
            <w:vAlign w:val="center"/>
            <w:hideMark/>
          </w:tcPr>
          <w:p w14:paraId="5671C8CF"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-0.068</w:t>
            </w:r>
          </w:p>
        </w:tc>
        <w:tc>
          <w:tcPr>
            <w:tcW w:w="1493" w:type="dxa"/>
            <w:tcBorders>
              <w:top w:val="nil"/>
              <w:left w:val="nil"/>
              <w:bottom w:val="nil"/>
              <w:right w:val="nil"/>
            </w:tcBorders>
            <w:tcMar>
              <w:top w:w="15" w:type="dxa"/>
              <w:left w:w="15" w:type="dxa"/>
              <w:bottom w:w="0" w:type="dxa"/>
              <w:right w:w="15" w:type="dxa"/>
            </w:tcMar>
            <w:vAlign w:val="center"/>
            <w:hideMark/>
          </w:tcPr>
          <w:p w14:paraId="6631859D"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IGR-island</w:t>
            </w:r>
          </w:p>
        </w:tc>
        <w:tc>
          <w:tcPr>
            <w:tcW w:w="1493" w:type="dxa"/>
            <w:tcBorders>
              <w:top w:val="nil"/>
              <w:left w:val="nil"/>
              <w:bottom w:val="nil"/>
              <w:right w:val="nil"/>
            </w:tcBorders>
            <w:tcMar>
              <w:top w:w="15" w:type="dxa"/>
              <w:left w:w="15" w:type="dxa"/>
              <w:bottom w:w="0" w:type="dxa"/>
              <w:right w:w="15" w:type="dxa"/>
            </w:tcMar>
            <w:vAlign w:val="center"/>
            <w:hideMark/>
          </w:tcPr>
          <w:p w14:paraId="14DFBEC4" w14:textId="77777777" w:rsidR="00F665AD" w:rsidRPr="001533EC" w:rsidRDefault="00F665AD" w:rsidP="00652F66">
            <w:pPr>
              <w:spacing w:line="360" w:lineRule="auto"/>
              <w:jc w:val="center"/>
              <w:textAlignment w:val="bottom"/>
              <w:rPr>
                <w:rFonts w:ascii="Arial" w:eastAsia="Times New Roman" w:hAnsi="Arial" w:cs="Arial"/>
                <w:sz w:val="36"/>
                <w:szCs w:val="36"/>
                <w:lang w:eastAsia="de-DE"/>
              </w:rPr>
            </w:pPr>
            <w:r w:rsidRPr="001533EC">
              <w:rPr>
                <w:rFonts w:eastAsia="Times New Roman"/>
                <w:i/>
                <w:iCs/>
                <w:kern w:val="24"/>
                <w:lang w:eastAsia="de-DE"/>
              </w:rPr>
              <w:t>-</w:t>
            </w:r>
          </w:p>
        </w:tc>
      </w:tr>
      <w:tr w:rsidR="00F665AD" w:rsidRPr="001533EC" w14:paraId="22190787" w14:textId="77777777" w:rsidTr="00652F66">
        <w:trPr>
          <w:trHeight w:val="289"/>
        </w:trPr>
        <w:tc>
          <w:tcPr>
            <w:tcW w:w="1493" w:type="dxa"/>
            <w:tcBorders>
              <w:top w:val="nil"/>
              <w:left w:val="nil"/>
              <w:bottom w:val="nil"/>
              <w:right w:val="nil"/>
            </w:tcBorders>
            <w:tcMar>
              <w:top w:w="15" w:type="dxa"/>
              <w:left w:w="15" w:type="dxa"/>
              <w:bottom w:w="0" w:type="dxa"/>
              <w:right w:w="15" w:type="dxa"/>
            </w:tcMar>
            <w:vAlign w:val="bottom"/>
            <w:hideMark/>
          </w:tcPr>
          <w:p w14:paraId="0D38BAF2"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cg20790798</w:t>
            </w:r>
          </w:p>
        </w:tc>
        <w:tc>
          <w:tcPr>
            <w:tcW w:w="1493" w:type="dxa"/>
            <w:tcBorders>
              <w:top w:val="nil"/>
              <w:left w:val="nil"/>
              <w:bottom w:val="nil"/>
              <w:right w:val="nil"/>
            </w:tcBorders>
            <w:tcMar>
              <w:top w:w="15" w:type="dxa"/>
              <w:left w:w="15" w:type="dxa"/>
              <w:bottom w:w="0" w:type="dxa"/>
              <w:right w:w="15" w:type="dxa"/>
            </w:tcMar>
            <w:vAlign w:val="bottom"/>
            <w:hideMark/>
          </w:tcPr>
          <w:p w14:paraId="546897DA"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3.16 x 10</w:t>
            </w:r>
            <w:r w:rsidRPr="001533EC">
              <w:rPr>
                <w:rFonts w:eastAsia="Times New Roman"/>
                <w:kern w:val="24"/>
                <w:position w:val="6"/>
                <w:vertAlign w:val="superscript"/>
                <w:lang w:eastAsia="de-DE"/>
              </w:rPr>
              <w:t>-5</w:t>
            </w:r>
          </w:p>
        </w:tc>
        <w:tc>
          <w:tcPr>
            <w:tcW w:w="1493" w:type="dxa"/>
            <w:tcBorders>
              <w:top w:val="nil"/>
              <w:left w:val="nil"/>
              <w:bottom w:val="nil"/>
              <w:right w:val="nil"/>
            </w:tcBorders>
            <w:tcMar>
              <w:top w:w="15" w:type="dxa"/>
              <w:left w:w="15" w:type="dxa"/>
              <w:bottom w:w="0" w:type="dxa"/>
              <w:right w:w="15" w:type="dxa"/>
            </w:tcMar>
            <w:vAlign w:val="bottom"/>
            <w:hideMark/>
          </w:tcPr>
          <w:p w14:paraId="4B965A0A"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0.018</w:t>
            </w:r>
          </w:p>
        </w:tc>
        <w:tc>
          <w:tcPr>
            <w:tcW w:w="1493" w:type="dxa"/>
            <w:tcBorders>
              <w:top w:val="nil"/>
              <w:left w:val="nil"/>
              <w:bottom w:val="nil"/>
              <w:right w:val="nil"/>
            </w:tcBorders>
            <w:tcMar>
              <w:top w:w="15" w:type="dxa"/>
              <w:left w:w="15" w:type="dxa"/>
              <w:bottom w:w="0" w:type="dxa"/>
              <w:right w:w="15" w:type="dxa"/>
            </w:tcMar>
            <w:vAlign w:val="bottom"/>
            <w:hideMark/>
          </w:tcPr>
          <w:p w14:paraId="62091549"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-0.063</w:t>
            </w:r>
          </w:p>
        </w:tc>
        <w:tc>
          <w:tcPr>
            <w:tcW w:w="1493" w:type="dxa"/>
            <w:tcBorders>
              <w:top w:val="nil"/>
              <w:left w:val="nil"/>
              <w:bottom w:val="nil"/>
              <w:right w:val="nil"/>
            </w:tcBorders>
            <w:tcMar>
              <w:top w:w="15" w:type="dxa"/>
              <w:left w:w="15" w:type="dxa"/>
              <w:bottom w:w="0" w:type="dxa"/>
              <w:right w:w="15" w:type="dxa"/>
            </w:tcMar>
            <w:vAlign w:val="bottom"/>
            <w:hideMark/>
          </w:tcPr>
          <w:p w14:paraId="118281B1"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IGR-island</w:t>
            </w:r>
          </w:p>
        </w:tc>
        <w:tc>
          <w:tcPr>
            <w:tcW w:w="1493" w:type="dxa"/>
            <w:tcBorders>
              <w:top w:val="nil"/>
              <w:left w:val="nil"/>
              <w:bottom w:val="nil"/>
              <w:right w:val="nil"/>
            </w:tcBorders>
            <w:tcMar>
              <w:top w:w="15" w:type="dxa"/>
              <w:left w:w="15" w:type="dxa"/>
              <w:bottom w:w="0" w:type="dxa"/>
              <w:right w:w="15" w:type="dxa"/>
            </w:tcMar>
            <w:vAlign w:val="bottom"/>
            <w:hideMark/>
          </w:tcPr>
          <w:p w14:paraId="56B6138E"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i/>
                <w:iCs/>
                <w:kern w:val="24"/>
                <w:lang w:eastAsia="de-DE"/>
              </w:rPr>
              <w:t>-</w:t>
            </w:r>
          </w:p>
        </w:tc>
      </w:tr>
      <w:tr w:rsidR="00F665AD" w:rsidRPr="001533EC" w14:paraId="74A1D028" w14:textId="77777777" w:rsidTr="00652F66">
        <w:trPr>
          <w:trHeight w:val="289"/>
        </w:trPr>
        <w:tc>
          <w:tcPr>
            <w:tcW w:w="1493" w:type="dxa"/>
            <w:tcBorders>
              <w:top w:val="nil"/>
              <w:left w:val="nil"/>
              <w:bottom w:val="nil"/>
              <w:right w:val="nil"/>
            </w:tcBorders>
            <w:tcMar>
              <w:top w:w="15" w:type="dxa"/>
              <w:left w:w="15" w:type="dxa"/>
              <w:bottom w:w="0" w:type="dxa"/>
              <w:right w:w="15" w:type="dxa"/>
            </w:tcMar>
            <w:vAlign w:val="bottom"/>
            <w:hideMark/>
          </w:tcPr>
          <w:p w14:paraId="354290D3"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cg12186219</w:t>
            </w:r>
          </w:p>
        </w:tc>
        <w:tc>
          <w:tcPr>
            <w:tcW w:w="1493" w:type="dxa"/>
            <w:tcBorders>
              <w:top w:val="nil"/>
              <w:left w:val="nil"/>
              <w:bottom w:val="nil"/>
              <w:right w:val="nil"/>
            </w:tcBorders>
            <w:tcMar>
              <w:top w:w="15" w:type="dxa"/>
              <w:left w:w="15" w:type="dxa"/>
              <w:bottom w:w="0" w:type="dxa"/>
              <w:right w:w="15" w:type="dxa"/>
            </w:tcMar>
            <w:vAlign w:val="bottom"/>
            <w:hideMark/>
          </w:tcPr>
          <w:p w14:paraId="55BAACC4"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8.95 x 10</w:t>
            </w:r>
            <w:r w:rsidRPr="001533EC">
              <w:rPr>
                <w:rFonts w:eastAsia="Times New Roman"/>
                <w:kern w:val="24"/>
                <w:position w:val="6"/>
                <w:vertAlign w:val="superscript"/>
                <w:lang w:eastAsia="de-DE"/>
              </w:rPr>
              <w:t>-7</w:t>
            </w:r>
          </w:p>
        </w:tc>
        <w:tc>
          <w:tcPr>
            <w:tcW w:w="1493" w:type="dxa"/>
            <w:tcBorders>
              <w:top w:val="nil"/>
              <w:left w:val="nil"/>
              <w:bottom w:val="nil"/>
              <w:right w:val="nil"/>
            </w:tcBorders>
            <w:tcMar>
              <w:top w:w="15" w:type="dxa"/>
              <w:left w:w="15" w:type="dxa"/>
              <w:bottom w:w="0" w:type="dxa"/>
              <w:right w:w="15" w:type="dxa"/>
            </w:tcMar>
            <w:vAlign w:val="bottom"/>
            <w:hideMark/>
          </w:tcPr>
          <w:p w14:paraId="7582CB4B"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0.004</w:t>
            </w:r>
          </w:p>
        </w:tc>
        <w:tc>
          <w:tcPr>
            <w:tcW w:w="1493" w:type="dxa"/>
            <w:tcBorders>
              <w:top w:val="nil"/>
              <w:left w:val="nil"/>
              <w:bottom w:val="nil"/>
              <w:right w:val="nil"/>
            </w:tcBorders>
            <w:tcMar>
              <w:top w:w="15" w:type="dxa"/>
              <w:left w:w="15" w:type="dxa"/>
              <w:bottom w:w="0" w:type="dxa"/>
              <w:right w:w="15" w:type="dxa"/>
            </w:tcMar>
            <w:vAlign w:val="bottom"/>
            <w:hideMark/>
          </w:tcPr>
          <w:p w14:paraId="35BDF242"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-0.062</w:t>
            </w:r>
          </w:p>
        </w:tc>
        <w:tc>
          <w:tcPr>
            <w:tcW w:w="1493" w:type="dxa"/>
            <w:tcBorders>
              <w:top w:val="nil"/>
              <w:left w:val="nil"/>
              <w:bottom w:val="nil"/>
              <w:right w:val="nil"/>
            </w:tcBorders>
            <w:tcMar>
              <w:top w:w="15" w:type="dxa"/>
              <w:left w:w="15" w:type="dxa"/>
              <w:bottom w:w="0" w:type="dxa"/>
              <w:right w:w="15" w:type="dxa"/>
            </w:tcMar>
            <w:vAlign w:val="bottom"/>
            <w:hideMark/>
          </w:tcPr>
          <w:p w14:paraId="5303AB1D"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Body-shore</w:t>
            </w:r>
          </w:p>
        </w:tc>
        <w:tc>
          <w:tcPr>
            <w:tcW w:w="1493" w:type="dxa"/>
            <w:tcBorders>
              <w:top w:val="nil"/>
              <w:left w:val="nil"/>
              <w:bottom w:val="nil"/>
              <w:right w:val="nil"/>
            </w:tcBorders>
            <w:tcMar>
              <w:top w:w="15" w:type="dxa"/>
              <w:left w:w="15" w:type="dxa"/>
              <w:bottom w:w="0" w:type="dxa"/>
              <w:right w:w="15" w:type="dxa"/>
            </w:tcMar>
            <w:vAlign w:val="bottom"/>
            <w:hideMark/>
          </w:tcPr>
          <w:p w14:paraId="4EC848E8"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i/>
                <w:iCs/>
                <w:kern w:val="24"/>
                <w:lang w:eastAsia="de-DE"/>
              </w:rPr>
              <w:t>BRSK2</w:t>
            </w:r>
          </w:p>
        </w:tc>
      </w:tr>
      <w:tr w:rsidR="00F665AD" w:rsidRPr="001533EC" w14:paraId="2041141C" w14:textId="77777777" w:rsidTr="00652F66">
        <w:trPr>
          <w:trHeight w:val="289"/>
        </w:trPr>
        <w:tc>
          <w:tcPr>
            <w:tcW w:w="1493" w:type="dxa"/>
            <w:tcBorders>
              <w:top w:val="nil"/>
              <w:left w:val="nil"/>
              <w:bottom w:val="nil"/>
              <w:right w:val="nil"/>
            </w:tcBorders>
            <w:tcMar>
              <w:top w:w="15" w:type="dxa"/>
              <w:left w:w="15" w:type="dxa"/>
              <w:bottom w:w="0" w:type="dxa"/>
              <w:right w:w="15" w:type="dxa"/>
            </w:tcMar>
            <w:vAlign w:val="bottom"/>
            <w:hideMark/>
          </w:tcPr>
          <w:p w14:paraId="7EBB939A"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cg25271479</w:t>
            </w:r>
          </w:p>
        </w:tc>
        <w:tc>
          <w:tcPr>
            <w:tcW w:w="1493" w:type="dxa"/>
            <w:tcBorders>
              <w:top w:val="nil"/>
              <w:left w:val="nil"/>
              <w:bottom w:val="nil"/>
              <w:right w:val="nil"/>
            </w:tcBorders>
            <w:tcMar>
              <w:top w:w="15" w:type="dxa"/>
              <w:left w:w="15" w:type="dxa"/>
              <w:bottom w:w="0" w:type="dxa"/>
              <w:right w:w="15" w:type="dxa"/>
            </w:tcMar>
            <w:vAlign w:val="bottom"/>
            <w:hideMark/>
          </w:tcPr>
          <w:p w14:paraId="7D1A6B8F"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3.67 x 10</w:t>
            </w:r>
            <w:r w:rsidRPr="001533EC">
              <w:rPr>
                <w:rFonts w:eastAsia="Times New Roman"/>
                <w:kern w:val="24"/>
                <w:position w:val="6"/>
                <w:vertAlign w:val="superscript"/>
                <w:lang w:eastAsia="de-DE"/>
              </w:rPr>
              <w:t>-5</w:t>
            </w:r>
          </w:p>
        </w:tc>
        <w:tc>
          <w:tcPr>
            <w:tcW w:w="1493" w:type="dxa"/>
            <w:tcBorders>
              <w:top w:val="nil"/>
              <w:left w:val="nil"/>
              <w:bottom w:val="nil"/>
              <w:right w:val="nil"/>
            </w:tcBorders>
            <w:tcMar>
              <w:top w:w="15" w:type="dxa"/>
              <w:left w:w="15" w:type="dxa"/>
              <w:bottom w:w="0" w:type="dxa"/>
              <w:right w:w="15" w:type="dxa"/>
            </w:tcMar>
            <w:vAlign w:val="bottom"/>
            <w:hideMark/>
          </w:tcPr>
          <w:p w14:paraId="799D4D73"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0.019</w:t>
            </w:r>
          </w:p>
        </w:tc>
        <w:tc>
          <w:tcPr>
            <w:tcW w:w="1493" w:type="dxa"/>
            <w:tcBorders>
              <w:top w:val="nil"/>
              <w:left w:val="nil"/>
              <w:bottom w:val="nil"/>
              <w:right w:val="nil"/>
            </w:tcBorders>
            <w:tcMar>
              <w:top w:w="15" w:type="dxa"/>
              <w:left w:w="15" w:type="dxa"/>
              <w:bottom w:w="0" w:type="dxa"/>
              <w:right w:w="15" w:type="dxa"/>
            </w:tcMar>
            <w:vAlign w:val="bottom"/>
            <w:hideMark/>
          </w:tcPr>
          <w:p w14:paraId="22B12266"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-0.061</w:t>
            </w:r>
          </w:p>
        </w:tc>
        <w:tc>
          <w:tcPr>
            <w:tcW w:w="1493" w:type="dxa"/>
            <w:tcBorders>
              <w:top w:val="nil"/>
              <w:left w:val="nil"/>
              <w:bottom w:val="nil"/>
              <w:right w:val="nil"/>
            </w:tcBorders>
            <w:tcMar>
              <w:top w:w="15" w:type="dxa"/>
              <w:left w:w="15" w:type="dxa"/>
              <w:bottom w:w="0" w:type="dxa"/>
              <w:right w:w="15" w:type="dxa"/>
            </w:tcMar>
            <w:vAlign w:val="bottom"/>
            <w:hideMark/>
          </w:tcPr>
          <w:p w14:paraId="00817302"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Body-</w:t>
            </w:r>
            <w:proofErr w:type="spellStart"/>
            <w:r w:rsidRPr="001533EC">
              <w:rPr>
                <w:rFonts w:eastAsia="Times New Roman"/>
                <w:kern w:val="24"/>
                <w:lang w:eastAsia="de-DE"/>
              </w:rPr>
              <w:t>opensea</w:t>
            </w:r>
            <w:proofErr w:type="spellEnd"/>
          </w:p>
        </w:tc>
        <w:tc>
          <w:tcPr>
            <w:tcW w:w="1493" w:type="dxa"/>
            <w:tcBorders>
              <w:top w:val="nil"/>
              <w:left w:val="nil"/>
              <w:bottom w:val="nil"/>
              <w:right w:val="nil"/>
            </w:tcBorders>
            <w:tcMar>
              <w:top w:w="15" w:type="dxa"/>
              <w:left w:w="15" w:type="dxa"/>
              <w:bottom w:w="0" w:type="dxa"/>
              <w:right w:w="15" w:type="dxa"/>
            </w:tcMar>
            <w:vAlign w:val="bottom"/>
            <w:hideMark/>
          </w:tcPr>
          <w:p w14:paraId="0125BFF0"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i/>
                <w:iCs/>
                <w:kern w:val="24"/>
                <w:lang w:eastAsia="de-DE"/>
              </w:rPr>
              <w:t>BRSK2</w:t>
            </w:r>
          </w:p>
        </w:tc>
      </w:tr>
      <w:tr w:rsidR="00F665AD" w:rsidRPr="001533EC" w14:paraId="566140DB" w14:textId="77777777" w:rsidTr="00652F66">
        <w:trPr>
          <w:trHeight w:val="289"/>
        </w:trPr>
        <w:tc>
          <w:tcPr>
            <w:tcW w:w="1493" w:type="dxa"/>
            <w:tcBorders>
              <w:top w:val="nil"/>
              <w:left w:val="nil"/>
              <w:bottom w:val="nil"/>
              <w:right w:val="nil"/>
            </w:tcBorders>
            <w:tcMar>
              <w:top w:w="15" w:type="dxa"/>
              <w:left w:w="15" w:type="dxa"/>
              <w:bottom w:w="0" w:type="dxa"/>
              <w:right w:w="15" w:type="dxa"/>
            </w:tcMar>
            <w:vAlign w:val="bottom"/>
            <w:hideMark/>
          </w:tcPr>
          <w:p w14:paraId="7BAD44CE"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cg02527881</w:t>
            </w:r>
          </w:p>
        </w:tc>
        <w:tc>
          <w:tcPr>
            <w:tcW w:w="1493" w:type="dxa"/>
            <w:tcBorders>
              <w:top w:val="nil"/>
              <w:left w:val="nil"/>
              <w:bottom w:val="nil"/>
              <w:right w:val="nil"/>
            </w:tcBorders>
            <w:tcMar>
              <w:top w:w="15" w:type="dxa"/>
              <w:left w:w="15" w:type="dxa"/>
              <w:bottom w:w="0" w:type="dxa"/>
              <w:right w:w="15" w:type="dxa"/>
            </w:tcMar>
            <w:vAlign w:val="bottom"/>
            <w:hideMark/>
          </w:tcPr>
          <w:p w14:paraId="41358118"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1.36 x 10</w:t>
            </w:r>
            <w:r w:rsidRPr="001533EC">
              <w:rPr>
                <w:rFonts w:eastAsia="Times New Roman"/>
                <w:kern w:val="24"/>
                <w:position w:val="6"/>
                <w:vertAlign w:val="superscript"/>
                <w:lang w:eastAsia="de-DE"/>
              </w:rPr>
              <w:t>-4</w:t>
            </w:r>
          </w:p>
        </w:tc>
        <w:tc>
          <w:tcPr>
            <w:tcW w:w="1493" w:type="dxa"/>
            <w:tcBorders>
              <w:top w:val="nil"/>
              <w:left w:val="nil"/>
              <w:bottom w:val="nil"/>
              <w:right w:val="nil"/>
            </w:tcBorders>
            <w:tcMar>
              <w:top w:w="15" w:type="dxa"/>
              <w:left w:w="15" w:type="dxa"/>
              <w:bottom w:w="0" w:type="dxa"/>
              <w:right w:w="15" w:type="dxa"/>
            </w:tcMar>
            <w:vAlign w:val="bottom"/>
            <w:hideMark/>
          </w:tcPr>
          <w:p w14:paraId="3CA64751"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0.034</w:t>
            </w:r>
          </w:p>
        </w:tc>
        <w:tc>
          <w:tcPr>
            <w:tcW w:w="1493" w:type="dxa"/>
            <w:tcBorders>
              <w:top w:val="nil"/>
              <w:left w:val="nil"/>
              <w:bottom w:val="nil"/>
              <w:right w:val="nil"/>
            </w:tcBorders>
            <w:tcMar>
              <w:top w:w="15" w:type="dxa"/>
              <w:left w:w="15" w:type="dxa"/>
              <w:bottom w:w="0" w:type="dxa"/>
              <w:right w:w="15" w:type="dxa"/>
            </w:tcMar>
            <w:vAlign w:val="bottom"/>
            <w:hideMark/>
          </w:tcPr>
          <w:p w14:paraId="520AC0D9"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-0.061</w:t>
            </w:r>
          </w:p>
        </w:tc>
        <w:tc>
          <w:tcPr>
            <w:tcW w:w="1493" w:type="dxa"/>
            <w:tcBorders>
              <w:top w:val="nil"/>
              <w:left w:val="nil"/>
              <w:bottom w:val="nil"/>
              <w:right w:val="nil"/>
            </w:tcBorders>
            <w:tcMar>
              <w:top w:w="15" w:type="dxa"/>
              <w:left w:w="15" w:type="dxa"/>
              <w:bottom w:w="0" w:type="dxa"/>
              <w:right w:w="15" w:type="dxa"/>
            </w:tcMar>
            <w:vAlign w:val="bottom"/>
            <w:hideMark/>
          </w:tcPr>
          <w:p w14:paraId="0195172F"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Body-shelf</w:t>
            </w:r>
          </w:p>
        </w:tc>
        <w:tc>
          <w:tcPr>
            <w:tcW w:w="1493" w:type="dxa"/>
            <w:tcBorders>
              <w:top w:val="nil"/>
              <w:left w:val="nil"/>
              <w:bottom w:val="nil"/>
              <w:right w:val="nil"/>
            </w:tcBorders>
            <w:tcMar>
              <w:top w:w="15" w:type="dxa"/>
              <w:left w:w="15" w:type="dxa"/>
              <w:bottom w:w="0" w:type="dxa"/>
              <w:right w:w="15" w:type="dxa"/>
            </w:tcMar>
            <w:vAlign w:val="bottom"/>
            <w:hideMark/>
          </w:tcPr>
          <w:p w14:paraId="4FA70B17"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i/>
                <w:iCs/>
                <w:kern w:val="24"/>
                <w:lang w:eastAsia="de-DE"/>
              </w:rPr>
              <w:t>PTH1R</w:t>
            </w:r>
          </w:p>
        </w:tc>
      </w:tr>
      <w:tr w:rsidR="00F665AD" w:rsidRPr="001533EC" w14:paraId="06A03A89" w14:textId="77777777" w:rsidTr="00652F66">
        <w:trPr>
          <w:trHeight w:val="289"/>
        </w:trPr>
        <w:tc>
          <w:tcPr>
            <w:tcW w:w="1493" w:type="dxa"/>
            <w:tcBorders>
              <w:top w:val="nil"/>
              <w:left w:val="nil"/>
              <w:bottom w:val="single" w:sz="8" w:space="0" w:color="000000"/>
              <w:right w:val="nil"/>
            </w:tcBorders>
            <w:tcMar>
              <w:top w:w="15" w:type="dxa"/>
              <w:left w:w="15" w:type="dxa"/>
              <w:bottom w:w="0" w:type="dxa"/>
              <w:right w:w="15" w:type="dxa"/>
            </w:tcMar>
            <w:vAlign w:val="bottom"/>
            <w:hideMark/>
          </w:tcPr>
          <w:p w14:paraId="6C01EC25"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cg18070959</w:t>
            </w:r>
          </w:p>
        </w:tc>
        <w:tc>
          <w:tcPr>
            <w:tcW w:w="1493" w:type="dxa"/>
            <w:tcBorders>
              <w:top w:val="nil"/>
              <w:left w:val="nil"/>
              <w:bottom w:val="single" w:sz="8" w:space="0" w:color="000000"/>
              <w:right w:val="nil"/>
            </w:tcBorders>
            <w:tcMar>
              <w:top w:w="15" w:type="dxa"/>
              <w:left w:w="15" w:type="dxa"/>
              <w:bottom w:w="0" w:type="dxa"/>
              <w:right w:w="15" w:type="dxa"/>
            </w:tcMar>
            <w:vAlign w:val="bottom"/>
            <w:hideMark/>
          </w:tcPr>
          <w:p w14:paraId="20CD386F"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2.17 x 10</w:t>
            </w:r>
            <w:r w:rsidRPr="001533EC">
              <w:rPr>
                <w:rFonts w:eastAsia="Times New Roman"/>
                <w:kern w:val="24"/>
                <w:position w:val="6"/>
                <w:vertAlign w:val="superscript"/>
                <w:lang w:eastAsia="de-DE"/>
              </w:rPr>
              <w:t>-4</w:t>
            </w:r>
          </w:p>
        </w:tc>
        <w:tc>
          <w:tcPr>
            <w:tcW w:w="1493" w:type="dxa"/>
            <w:tcBorders>
              <w:top w:val="nil"/>
              <w:left w:val="nil"/>
              <w:bottom w:val="single" w:sz="8" w:space="0" w:color="000000"/>
              <w:right w:val="nil"/>
            </w:tcBorders>
            <w:tcMar>
              <w:top w:w="15" w:type="dxa"/>
              <w:left w:w="15" w:type="dxa"/>
              <w:bottom w:w="0" w:type="dxa"/>
              <w:right w:w="15" w:type="dxa"/>
            </w:tcMar>
            <w:vAlign w:val="bottom"/>
            <w:hideMark/>
          </w:tcPr>
          <w:p w14:paraId="7BFAD0DD"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0.040</w:t>
            </w:r>
          </w:p>
        </w:tc>
        <w:tc>
          <w:tcPr>
            <w:tcW w:w="1493" w:type="dxa"/>
            <w:tcBorders>
              <w:top w:val="nil"/>
              <w:left w:val="nil"/>
              <w:bottom w:val="single" w:sz="8" w:space="0" w:color="000000"/>
              <w:right w:val="nil"/>
            </w:tcBorders>
            <w:tcMar>
              <w:top w:w="15" w:type="dxa"/>
              <w:left w:w="15" w:type="dxa"/>
              <w:bottom w:w="0" w:type="dxa"/>
              <w:right w:w="15" w:type="dxa"/>
            </w:tcMar>
            <w:vAlign w:val="bottom"/>
            <w:hideMark/>
          </w:tcPr>
          <w:p w14:paraId="602BA69E"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-0.060</w:t>
            </w:r>
          </w:p>
        </w:tc>
        <w:tc>
          <w:tcPr>
            <w:tcW w:w="1493" w:type="dxa"/>
            <w:tcBorders>
              <w:top w:val="nil"/>
              <w:left w:val="nil"/>
              <w:bottom w:val="single" w:sz="8" w:space="0" w:color="000000"/>
              <w:right w:val="nil"/>
            </w:tcBorders>
            <w:tcMar>
              <w:top w:w="15" w:type="dxa"/>
              <w:left w:w="15" w:type="dxa"/>
              <w:bottom w:w="0" w:type="dxa"/>
              <w:right w:w="15" w:type="dxa"/>
            </w:tcMar>
            <w:vAlign w:val="bottom"/>
            <w:hideMark/>
          </w:tcPr>
          <w:p w14:paraId="05A3F0D1"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kern w:val="24"/>
                <w:lang w:eastAsia="de-DE"/>
              </w:rPr>
              <w:t>TSS200-shore</w:t>
            </w:r>
          </w:p>
        </w:tc>
        <w:tc>
          <w:tcPr>
            <w:tcW w:w="1493" w:type="dxa"/>
            <w:tcBorders>
              <w:top w:val="nil"/>
              <w:left w:val="nil"/>
              <w:bottom w:val="single" w:sz="8" w:space="0" w:color="000000"/>
              <w:right w:val="nil"/>
            </w:tcBorders>
            <w:tcMar>
              <w:top w:w="15" w:type="dxa"/>
              <w:left w:w="15" w:type="dxa"/>
              <w:bottom w:w="0" w:type="dxa"/>
              <w:right w:w="15" w:type="dxa"/>
            </w:tcMar>
            <w:vAlign w:val="bottom"/>
            <w:hideMark/>
          </w:tcPr>
          <w:p w14:paraId="7D5A273D" w14:textId="77777777"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i/>
                <w:iCs/>
                <w:kern w:val="24"/>
                <w:lang w:eastAsia="de-DE"/>
              </w:rPr>
              <w:t>LOC101929034</w:t>
            </w:r>
          </w:p>
        </w:tc>
      </w:tr>
    </w:tbl>
    <w:p w14:paraId="4BF2587C" w14:textId="77777777" w:rsidR="00F665AD" w:rsidRPr="001533EC" w:rsidRDefault="00F665AD" w:rsidP="00F665AD">
      <w:pPr>
        <w:pStyle w:val="StandardWeb"/>
        <w:kinsoku w:val="0"/>
        <w:overflowPunct w:val="0"/>
        <w:spacing w:before="0" w:beforeAutospacing="0" w:after="0" w:afterAutospacing="0"/>
        <w:textAlignment w:val="baseline"/>
        <w:rPr>
          <w:rFonts w:eastAsia="Calibri"/>
          <w:kern w:val="24"/>
        </w:rPr>
      </w:pPr>
      <w:r w:rsidRPr="001533EC">
        <w:rPr>
          <w:rFonts w:eastAsia="Calibri"/>
          <w:b/>
          <w:bCs/>
          <w:kern w:val="24"/>
        </w:rPr>
        <w:t xml:space="preserve">Table 2: </w:t>
      </w:r>
      <w:r w:rsidRPr="001533EC">
        <w:rPr>
          <w:rFonts w:eastAsia="Calibri"/>
          <w:kern w:val="24"/>
        </w:rPr>
        <w:t>Top 15 hypomethylated and hypermethylated CpG sites and their location in the indicated genes</w:t>
      </w:r>
    </w:p>
    <w:p w14:paraId="2B396829" w14:textId="77777777" w:rsidR="00F665AD" w:rsidRPr="001533EC" w:rsidRDefault="00F665AD" w:rsidP="00F665AD">
      <w:pPr>
        <w:pStyle w:val="StandardWeb"/>
        <w:kinsoku w:val="0"/>
        <w:overflowPunct w:val="0"/>
        <w:spacing w:before="0" w:beforeAutospacing="0" w:after="0" w:afterAutospacing="0"/>
        <w:textAlignment w:val="baseline"/>
        <w:rPr>
          <w:rFonts w:eastAsia="Calibri"/>
          <w:kern w:val="24"/>
        </w:rPr>
      </w:pPr>
    </w:p>
    <w:p w14:paraId="545DC1F0" w14:textId="77777777" w:rsidR="00F665AD" w:rsidRPr="001533EC" w:rsidRDefault="00F665AD" w:rsidP="00F665AD">
      <w:pPr>
        <w:rPr>
          <w:lang w:val="en-GB" w:eastAsia="en-GB"/>
        </w:rPr>
      </w:pPr>
    </w:p>
    <w:p w14:paraId="2BE5F43F" w14:textId="77777777" w:rsidR="00F665AD" w:rsidRPr="001533EC" w:rsidRDefault="00F665AD" w:rsidP="00F665AD">
      <w:pPr>
        <w:tabs>
          <w:tab w:val="left" w:pos="1778"/>
        </w:tabs>
        <w:rPr>
          <w:lang w:val="en-GB" w:eastAsia="en-GB"/>
        </w:rPr>
      </w:pPr>
      <w:r w:rsidRPr="001533EC">
        <w:rPr>
          <w:lang w:val="en-GB" w:eastAsia="en-GB"/>
        </w:rPr>
        <w:tab/>
      </w:r>
    </w:p>
    <w:p w14:paraId="2FD7E97B" w14:textId="77777777" w:rsidR="00F665AD" w:rsidRPr="001533EC" w:rsidRDefault="00F665AD" w:rsidP="00F665AD">
      <w:pPr>
        <w:pStyle w:val="StandardWeb"/>
        <w:kinsoku w:val="0"/>
        <w:overflowPunct w:val="0"/>
        <w:spacing w:before="0" w:beforeAutospacing="0" w:after="0" w:afterAutospacing="0"/>
        <w:textAlignment w:val="baseline"/>
      </w:pPr>
    </w:p>
    <w:p w14:paraId="0924F04C" w14:textId="77777777" w:rsidR="00F665AD" w:rsidRPr="001533EC" w:rsidRDefault="00F665AD" w:rsidP="00F665AD">
      <w:pPr>
        <w:rPr>
          <w:lang w:val="en-GB"/>
        </w:rPr>
      </w:pPr>
    </w:p>
    <w:p w14:paraId="69235A90" w14:textId="7A545115" w:rsidR="00F665AD" w:rsidRPr="001533EC" w:rsidRDefault="00F665AD" w:rsidP="00F665AD">
      <w:pPr>
        <w:rPr>
          <w:lang w:val="en-GB"/>
        </w:rPr>
      </w:pPr>
      <w:r w:rsidRPr="001533EC">
        <w:rPr>
          <w:lang w:val="en-GB"/>
        </w:rPr>
        <w:br w:type="page"/>
      </w:r>
      <w:r w:rsidRPr="001533EC">
        <w:rPr>
          <w:b/>
          <w:bCs/>
          <w:kern w:val="24"/>
          <w:sz w:val="24"/>
          <w:szCs w:val="24"/>
          <w:lang w:val="en-GB" w:eastAsia="de-DE"/>
        </w:rPr>
        <w:lastRenderedPageBreak/>
        <w:t xml:space="preserve">Table 3. </w:t>
      </w:r>
      <w:r w:rsidR="00275766">
        <w:rPr>
          <w:kern w:val="24"/>
          <w:sz w:val="24"/>
          <w:szCs w:val="24"/>
          <w:lang w:val="en-GB" w:eastAsia="de-DE"/>
        </w:rPr>
        <w:t xml:space="preserve">Number of </w:t>
      </w:r>
      <w:r w:rsidR="00261EBD">
        <w:rPr>
          <w:kern w:val="24"/>
          <w:sz w:val="24"/>
          <w:szCs w:val="24"/>
          <w:lang w:val="en-GB" w:eastAsia="de-DE"/>
        </w:rPr>
        <w:t xml:space="preserve">BIR </w:t>
      </w:r>
      <w:proofErr w:type="gramStart"/>
      <w:r w:rsidR="00261EBD">
        <w:rPr>
          <w:kern w:val="24"/>
          <w:sz w:val="24"/>
          <w:szCs w:val="24"/>
          <w:lang w:val="en-GB" w:eastAsia="de-DE"/>
        </w:rPr>
        <w:t xml:space="preserve">classifiers </w:t>
      </w:r>
      <w:r w:rsidR="00C06374">
        <w:rPr>
          <w:kern w:val="24"/>
          <w:sz w:val="24"/>
          <w:szCs w:val="24"/>
          <w:lang w:val="en-GB" w:eastAsia="de-DE"/>
        </w:rPr>
        <w:t xml:space="preserve"> correlating</w:t>
      </w:r>
      <w:proofErr w:type="gramEnd"/>
      <w:r w:rsidR="00C06374">
        <w:rPr>
          <w:kern w:val="24"/>
          <w:sz w:val="24"/>
          <w:szCs w:val="24"/>
          <w:lang w:val="en-GB" w:eastAsia="de-DE"/>
        </w:rPr>
        <w:t xml:space="preserve"> with </w:t>
      </w:r>
      <w:r w:rsidRPr="001533EC">
        <w:rPr>
          <w:kern w:val="24"/>
          <w:sz w:val="24"/>
          <w:szCs w:val="24"/>
          <w:lang w:val="en-GB" w:eastAsia="de-DE"/>
        </w:rPr>
        <w:t xml:space="preserve">the clinical characteristics of study participants from the discovery </w:t>
      </w:r>
      <w:r w:rsidR="00094E15">
        <w:rPr>
          <w:kern w:val="24"/>
          <w:sz w:val="24"/>
          <w:szCs w:val="24"/>
          <w:lang w:val="en-GB" w:eastAsia="de-DE"/>
        </w:rPr>
        <w:t>and</w:t>
      </w:r>
      <w:r w:rsidR="00366192" w:rsidRPr="001533EC">
        <w:rPr>
          <w:kern w:val="24"/>
          <w:sz w:val="24"/>
          <w:szCs w:val="24"/>
          <w:lang w:val="en-GB" w:eastAsia="de-DE"/>
        </w:rPr>
        <w:t xml:space="preserve"> </w:t>
      </w:r>
      <w:r w:rsidRPr="001533EC">
        <w:rPr>
          <w:kern w:val="24"/>
          <w:sz w:val="24"/>
          <w:szCs w:val="24"/>
          <w:lang w:val="en-GB" w:eastAsia="de-DE"/>
        </w:rPr>
        <w:t>replication cohorts</w:t>
      </w:r>
      <w:r w:rsidR="00155E4C">
        <w:rPr>
          <w:kern w:val="24"/>
          <w:sz w:val="24"/>
          <w:szCs w:val="24"/>
          <w:lang w:val="en-GB" w:eastAsia="de-DE"/>
        </w:rPr>
        <w:t xml:space="preserve"> (details in Data file 2)</w:t>
      </w:r>
      <w:r w:rsidRPr="001533EC">
        <w:rPr>
          <w:kern w:val="24"/>
          <w:sz w:val="24"/>
          <w:szCs w:val="24"/>
          <w:lang w:val="en-GB" w:eastAsia="de-DE"/>
        </w:rPr>
        <w:t>.</w:t>
      </w:r>
    </w:p>
    <w:p w14:paraId="0C56470B" w14:textId="77777777" w:rsidR="00F665AD" w:rsidRPr="001533EC" w:rsidRDefault="00F665AD" w:rsidP="00F665AD">
      <w:pPr>
        <w:rPr>
          <w:lang w:val="en-GB"/>
        </w:rPr>
      </w:pPr>
    </w:p>
    <w:tbl>
      <w:tblPr>
        <w:tblW w:w="10140" w:type="dxa"/>
        <w:tblInd w:w="-529" w:type="dxa"/>
        <w:tblCellMar>
          <w:left w:w="0" w:type="dxa"/>
          <w:right w:w="0" w:type="dxa"/>
        </w:tblCellMar>
        <w:tblLook w:val="0600" w:firstRow="0" w:lastRow="0" w:firstColumn="0" w:lastColumn="0" w:noHBand="1" w:noVBand="1"/>
      </w:tblPr>
      <w:tblGrid>
        <w:gridCol w:w="2820"/>
        <w:gridCol w:w="420"/>
        <w:gridCol w:w="3040"/>
        <w:gridCol w:w="660"/>
        <w:gridCol w:w="3200"/>
      </w:tblGrid>
      <w:tr w:rsidR="00F665AD" w:rsidRPr="001533EC" w14:paraId="17F6D61C" w14:textId="77777777" w:rsidTr="00652F66">
        <w:trPr>
          <w:trHeight w:val="426"/>
        </w:trPr>
        <w:tc>
          <w:tcPr>
            <w:tcW w:w="2820" w:type="dxa"/>
            <w:tcBorders>
              <w:top w:val="single" w:sz="8" w:space="0" w:color="000000"/>
              <w:left w:val="nil"/>
              <w:bottom w:val="single" w:sz="8" w:space="0" w:color="000000"/>
              <w:right w:val="nil"/>
            </w:tcBorders>
            <w:tcMar>
              <w:top w:w="15" w:type="dxa"/>
              <w:left w:w="15" w:type="dxa"/>
              <w:bottom w:w="0" w:type="dxa"/>
              <w:right w:w="15" w:type="dxa"/>
            </w:tcMar>
            <w:vAlign w:val="bottom"/>
            <w:hideMark/>
          </w:tcPr>
          <w:p w14:paraId="64F026B8" w14:textId="77777777" w:rsidR="00F665AD" w:rsidRPr="001533EC" w:rsidRDefault="00F665AD" w:rsidP="00652F66">
            <w:pPr>
              <w:rPr>
                <w:rFonts w:eastAsia="Times New Roman"/>
                <w:sz w:val="24"/>
                <w:szCs w:val="24"/>
                <w:lang w:val="en-GB" w:eastAsia="de-DE"/>
              </w:rPr>
            </w:pPr>
          </w:p>
        </w:tc>
        <w:tc>
          <w:tcPr>
            <w:tcW w:w="420" w:type="dxa"/>
            <w:tcBorders>
              <w:top w:val="single" w:sz="8" w:space="0" w:color="000000"/>
              <w:left w:val="nil"/>
              <w:bottom w:val="single" w:sz="8" w:space="0" w:color="000000"/>
              <w:right w:val="nil"/>
            </w:tcBorders>
            <w:tcMar>
              <w:top w:w="15" w:type="dxa"/>
              <w:left w:w="15" w:type="dxa"/>
              <w:bottom w:w="0" w:type="dxa"/>
              <w:right w:w="15" w:type="dxa"/>
            </w:tcMar>
            <w:vAlign w:val="bottom"/>
            <w:hideMark/>
          </w:tcPr>
          <w:p w14:paraId="6C0A43BF" w14:textId="77777777" w:rsidR="00F665AD" w:rsidRPr="001533EC" w:rsidRDefault="00F665AD" w:rsidP="00652F66">
            <w:pPr>
              <w:rPr>
                <w:rFonts w:eastAsia="Times New Roman"/>
                <w:lang w:val="en-GB" w:eastAsia="de-DE"/>
              </w:rPr>
            </w:pPr>
          </w:p>
        </w:tc>
        <w:tc>
          <w:tcPr>
            <w:tcW w:w="3040"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60D5ED99" w14:textId="23037D89"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b/>
                <w:bCs/>
                <w:kern w:val="24"/>
                <w:lang w:eastAsia="de-DE"/>
              </w:rPr>
              <w:t>Discovery cohort (</w:t>
            </w:r>
            <w:r w:rsidR="00435B11" w:rsidRPr="001533EC">
              <w:rPr>
                <w:sz w:val="24"/>
                <w:szCs w:val="24"/>
              </w:rPr>
              <w:t>AdjP&lt;0.05</w:t>
            </w:r>
            <w:r w:rsidRPr="001533EC">
              <w:rPr>
                <w:rFonts w:eastAsia="Times New Roman"/>
                <w:b/>
                <w:bCs/>
                <w:kern w:val="24"/>
                <w:lang w:eastAsia="de-DE"/>
              </w:rPr>
              <w:t xml:space="preserve"> &lt; 0.05)</w:t>
            </w:r>
          </w:p>
        </w:tc>
        <w:tc>
          <w:tcPr>
            <w:tcW w:w="660" w:type="dxa"/>
            <w:tcBorders>
              <w:top w:val="single" w:sz="8" w:space="0" w:color="000000"/>
              <w:left w:val="nil"/>
              <w:bottom w:val="single" w:sz="8" w:space="0" w:color="000000"/>
              <w:right w:val="nil"/>
            </w:tcBorders>
            <w:tcMar>
              <w:top w:w="15" w:type="dxa"/>
              <w:left w:w="15" w:type="dxa"/>
              <w:bottom w:w="0" w:type="dxa"/>
              <w:right w:w="15" w:type="dxa"/>
            </w:tcMar>
            <w:vAlign w:val="bottom"/>
            <w:hideMark/>
          </w:tcPr>
          <w:p w14:paraId="0A08E020" w14:textId="77777777" w:rsidR="00F665AD" w:rsidRPr="001533EC" w:rsidRDefault="00F665AD" w:rsidP="00652F66">
            <w:pPr>
              <w:rPr>
                <w:rFonts w:ascii="Arial" w:eastAsia="Times New Roman" w:hAnsi="Arial" w:cs="Arial"/>
                <w:sz w:val="36"/>
                <w:szCs w:val="36"/>
                <w:lang w:eastAsia="de-DE"/>
              </w:rPr>
            </w:pPr>
          </w:p>
        </w:tc>
        <w:tc>
          <w:tcPr>
            <w:tcW w:w="3200"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118AE16D" w14:textId="57F3B64D" w:rsidR="00F665AD" w:rsidRPr="001533EC" w:rsidRDefault="00F665AD" w:rsidP="00652F66">
            <w:pPr>
              <w:jc w:val="center"/>
              <w:textAlignment w:val="bottom"/>
              <w:rPr>
                <w:rFonts w:ascii="Arial" w:eastAsia="Times New Roman" w:hAnsi="Arial" w:cs="Arial"/>
                <w:sz w:val="36"/>
                <w:szCs w:val="36"/>
                <w:lang w:eastAsia="de-DE"/>
              </w:rPr>
            </w:pPr>
            <w:r w:rsidRPr="001533EC">
              <w:rPr>
                <w:rFonts w:eastAsia="Times New Roman"/>
                <w:b/>
                <w:bCs/>
                <w:kern w:val="24"/>
                <w:lang w:eastAsia="de-DE"/>
              </w:rPr>
              <w:t>Replication cohort (</w:t>
            </w:r>
            <w:r w:rsidR="00435B11" w:rsidRPr="001533EC">
              <w:rPr>
                <w:sz w:val="24"/>
                <w:szCs w:val="24"/>
              </w:rPr>
              <w:t>AdjP&lt;0.05</w:t>
            </w:r>
            <w:r w:rsidRPr="001533EC">
              <w:rPr>
                <w:rFonts w:eastAsia="Times New Roman"/>
                <w:b/>
                <w:bCs/>
                <w:kern w:val="24"/>
                <w:lang w:eastAsia="de-DE"/>
              </w:rPr>
              <w:t>&lt; 0.05)</w:t>
            </w:r>
          </w:p>
        </w:tc>
      </w:tr>
      <w:tr w:rsidR="00F665AD" w:rsidRPr="001533EC" w14:paraId="765FCFB9" w14:textId="77777777" w:rsidTr="00652F66">
        <w:trPr>
          <w:trHeight w:val="300"/>
        </w:trPr>
        <w:tc>
          <w:tcPr>
            <w:tcW w:w="2820" w:type="dxa"/>
            <w:tcBorders>
              <w:top w:val="single" w:sz="8" w:space="0" w:color="000000"/>
              <w:left w:val="nil"/>
              <w:bottom w:val="nil"/>
              <w:right w:val="nil"/>
            </w:tcBorders>
            <w:tcMar>
              <w:top w:w="15" w:type="dxa"/>
              <w:left w:w="90" w:type="dxa"/>
              <w:bottom w:w="0" w:type="dxa"/>
              <w:right w:w="90" w:type="dxa"/>
            </w:tcMar>
            <w:hideMark/>
          </w:tcPr>
          <w:p w14:paraId="7380BCE5" w14:textId="77777777" w:rsidR="00F665AD" w:rsidRPr="001533EC" w:rsidRDefault="00F665AD" w:rsidP="00652F66">
            <w:pPr>
              <w:spacing w:line="480" w:lineRule="auto"/>
              <w:jc w:val="right"/>
              <w:rPr>
                <w:rFonts w:ascii="Arial" w:eastAsia="Times New Roman" w:hAnsi="Arial" w:cs="Arial"/>
                <w:sz w:val="36"/>
                <w:szCs w:val="36"/>
                <w:lang w:eastAsia="de-DE"/>
              </w:rPr>
            </w:pPr>
            <w:r w:rsidRPr="001533EC">
              <w:rPr>
                <w:rFonts w:eastAsia="Times New Roman"/>
                <w:kern w:val="24"/>
                <w:lang w:eastAsia="de-DE"/>
              </w:rPr>
              <w:t>Age (years)</w:t>
            </w:r>
          </w:p>
        </w:tc>
        <w:tc>
          <w:tcPr>
            <w:tcW w:w="420" w:type="dxa"/>
            <w:tcBorders>
              <w:top w:val="single" w:sz="8" w:space="0" w:color="000000"/>
              <w:left w:val="nil"/>
              <w:bottom w:val="nil"/>
              <w:right w:val="nil"/>
            </w:tcBorders>
            <w:tcMar>
              <w:top w:w="15" w:type="dxa"/>
              <w:left w:w="15" w:type="dxa"/>
              <w:bottom w:w="0" w:type="dxa"/>
              <w:right w:w="15" w:type="dxa"/>
            </w:tcMar>
            <w:vAlign w:val="bottom"/>
            <w:hideMark/>
          </w:tcPr>
          <w:p w14:paraId="2CDB9D65" w14:textId="77777777" w:rsidR="00F665AD" w:rsidRPr="001533EC" w:rsidRDefault="00F665AD" w:rsidP="00652F66">
            <w:pPr>
              <w:rPr>
                <w:rFonts w:ascii="Arial" w:eastAsia="Times New Roman" w:hAnsi="Arial" w:cs="Arial"/>
                <w:sz w:val="36"/>
                <w:szCs w:val="36"/>
                <w:lang w:eastAsia="de-DE"/>
              </w:rPr>
            </w:pPr>
          </w:p>
        </w:tc>
        <w:tc>
          <w:tcPr>
            <w:tcW w:w="3040" w:type="dxa"/>
            <w:tcBorders>
              <w:top w:val="single" w:sz="8" w:space="0" w:color="000000"/>
              <w:left w:val="nil"/>
              <w:bottom w:val="nil"/>
              <w:right w:val="nil"/>
            </w:tcBorders>
            <w:tcMar>
              <w:top w:w="15" w:type="dxa"/>
              <w:left w:w="15" w:type="dxa"/>
              <w:bottom w:w="0" w:type="dxa"/>
              <w:right w:w="15" w:type="dxa"/>
            </w:tcMar>
            <w:vAlign w:val="bottom"/>
            <w:hideMark/>
          </w:tcPr>
          <w:p w14:paraId="0031FD71" w14:textId="77777777" w:rsidR="00F665AD" w:rsidRPr="001533EC" w:rsidRDefault="00F665AD" w:rsidP="00652F66">
            <w:pPr>
              <w:spacing w:line="48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19</w:t>
            </w:r>
          </w:p>
        </w:tc>
        <w:tc>
          <w:tcPr>
            <w:tcW w:w="660" w:type="dxa"/>
            <w:tcBorders>
              <w:top w:val="single" w:sz="8" w:space="0" w:color="000000"/>
              <w:left w:val="nil"/>
              <w:bottom w:val="nil"/>
              <w:right w:val="nil"/>
            </w:tcBorders>
            <w:tcMar>
              <w:top w:w="15" w:type="dxa"/>
              <w:left w:w="15" w:type="dxa"/>
              <w:bottom w:w="0" w:type="dxa"/>
              <w:right w:w="15" w:type="dxa"/>
            </w:tcMar>
            <w:vAlign w:val="bottom"/>
            <w:hideMark/>
          </w:tcPr>
          <w:p w14:paraId="18D4920C" w14:textId="77777777" w:rsidR="00F665AD" w:rsidRPr="001533EC" w:rsidRDefault="00F665AD" w:rsidP="00652F66">
            <w:pPr>
              <w:rPr>
                <w:rFonts w:ascii="Arial" w:eastAsia="Times New Roman" w:hAnsi="Arial" w:cs="Arial"/>
                <w:sz w:val="36"/>
                <w:szCs w:val="36"/>
                <w:lang w:eastAsia="de-DE"/>
              </w:rPr>
            </w:pPr>
          </w:p>
        </w:tc>
        <w:tc>
          <w:tcPr>
            <w:tcW w:w="3200" w:type="dxa"/>
            <w:tcBorders>
              <w:top w:val="single" w:sz="8" w:space="0" w:color="000000"/>
              <w:left w:val="nil"/>
              <w:bottom w:val="nil"/>
              <w:right w:val="nil"/>
            </w:tcBorders>
            <w:tcMar>
              <w:top w:w="15" w:type="dxa"/>
              <w:left w:w="15" w:type="dxa"/>
              <w:bottom w:w="0" w:type="dxa"/>
              <w:right w:w="15" w:type="dxa"/>
            </w:tcMar>
            <w:vAlign w:val="bottom"/>
            <w:hideMark/>
          </w:tcPr>
          <w:p w14:paraId="2DF3A077" w14:textId="3BA59764" w:rsidR="00F665AD" w:rsidRPr="001533EC" w:rsidRDefault="00F665AD" w:rsidP="00652F66">
            <w:pPr>
              <w:spacing w:line="48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2</w:t>
            </w:r>
            <w:r w:rsidR="002D03C6">
              <w:rPr>
                <w:rFonts w:eastAsia="Times New Roman"/>
                <w:kern w:val="24"/>
                <w:lang w:eastAsia="de-DE"/>
              </w:rPr>
              <w:t>2</w:t>
            </w:r>
          </w:p>
        </w:tc>
      </w:tr>
      <w:tr w:rsidR="00F665AD" w:rsidRPr="001533EC" w14:paraId="06D60316" w14:textId="77777777" w:rsidTr="00652F66">
        <w:trPr>
          <w:trHeight w:val="300"/>
        </w:trPr>
        <w:tc>
          <w:tcPr>
            <w:tcW w:w="2820" w:type="dxa"/>
            <w:tcBorders>
              <w:top w:val="nil"/>
              <w:left w:val="nil"/>
              <w:bottom w:val="nil"/>
              <w:right w:val="nil"/>
            </w:tcBorders>
            <w:tcMar>
              <w:top w:w="15" w:type="dxa"/>
              <w:left w:w="90" w:type="dxa"/>
              <w:bottom w:w="0" w:type="dxa"/>
              <w:right w:w="90" w:type="dxa"/>
            </w:tcMar>
            <w:hideMark/>
          </w:tcPr>
          <w:p w14:paraId="54B0DE19" w14:textId="77777777" w:rsidR="00F665AD" w:rsidRPr="001533EC" w:rsidRDefault="00F665AD" w:rsidP="00652F66">
            <w:pPr>
              <w:spacing w:line="480" w:lineRule="auto"/>
              <w:jc w:val="right"/>
              <w:rPr>
                <w:rFonts w:ascii="Arial" w:eastAsia="Times New Roman" w:hAnsi="Arial" w:cs="Arial"/>
                <w:sz w:val="36"/>
                <w:szCs w:val="36"/>
                <w:lang w:eastAsia="de-DE"/>
              </w:rPr>
            </w:pPr>
            <w:r w:rsidRPr="001533EC">
              <w:rPr>
                <w:rFonts w:eastAsia="Times New Roman"/>
                <w:kern w:val="24"/>
                <w:lang w:eastAsia="de-DE"/>
              </w:rPr>
              <w:t>BMI (kg/m</w:t>
            </w:r>
            <w:r w:rsidRPr="001533EC">
              <w:rPr>
                <w:kern w:val="24"/>
                <w:position w:val="6"/>
                <w:vertAlign w:val="superscript"/>
                <w:lang w:eastAsia="de-DE"/>
              </w:rPr>
              <w:t>2</w:t>
            </w:r>
            <w:r w:rsidRPr="001533EC">
              <w:rPr>
                <w:rFonts w:eastAsia="Times New Roman"/>
                <w:kern w:val="24"/>
                <w:lang w:eastAsia="de-DE"/>
              </w:rPr>
              <w:t>)</w:t>
            </w:r>
          </w:p>
        </w:tc>
        <w:tc>
          <w:tcPr>
            <w:tcW w:w="420" w:type="dxa"/>
            <w:tcBorders>
              <w:top w:val="nil"/>
              <w:left w:val="nil"/>
              <w:bottom w:val="nil"/>
              <w:right w:val="nil"/>
            </w:tcBorders>
            <w:tcMar>
              <w:top w:w="15" w:type="dxa"/>
              <w:left w:w="15" w:type="dxa"/>
              <w:bottom w:w="0" w:type="dxa"/>
              <w:right w:w="15" w:type="dxa"/>
            </w:tcMar>
            <w:vAlign w:val="bottom"/>
            <w:hideMark/>
          </w:tcPr>
          <w:p w14:paraId="20454285" w14:textId="77777777" w:rsidR="00F665AD" w:rsidRPr="001533EC" w:rsidRDefault="00F665AD" w:rsidP="00652F66">
            <w:pPr>
              <w:rPr>
                <w:rFonts w:ascii="Arial" w:eastAsia="Times New Roman" w:hAnsi="Arial" w:cs="Arial"/>
                <w:sz w:val="36"/>
                <w:szCs w:val="36"/>
                <w:lang w:eastAsia="de-DE"/>
              </w:rPr>
            </w:pPr>
          </w:p>
        </w:tc>
        <w:tc>
          <w:tcPr>
            <w:tcW w:w="3040" w:type="dxa"/>
            <w:tcBorders>
              <w:top w:val="nil"/>
              <w:left w:val="nil"/>
              <w:bottom w:val="nil"/>
              <w:right w:val="nil"/>
            </w:tcBorders>
            <w:tcMar>
              <w:top w:w="15" w:type="dxa"/>
              <w:left w:w="15" w:type="dxa"/>
              <w:bottom w:w="0" w:type="dxa"/>
              <w:right w:w="15" w:type="dxa"/>
            </w:tcMar>
            <w:vAlign w:val="bottom"/>
            <w:hideMark/>
          </w:tcPr>
          <w:p w14:paraId="1C15AF33" w14:textId="77777777" w:rsidR="00F665AD" w:rsidRPr="001533EC" w:rsidRDefault="00F665AD" w:rsidP="00652F66">
            <w:pPr>
              <w:spacing w:line="48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4</w:t>
            </w:r>
          </w:p>
        </w:tc>
        <w:tc>
          <w:tcPr>
            <w:tcW w:w="660" w:type="dxa"/>
            <w:tcBorders>
              <w:top w:val="nil"/>
              <w:left w:val="nil"/>
              <w:bottom w:val="nil"/>
              <w:right w:val="nil"/>
            </w:tcBorders>
            <w:tcMar>
              <w:top w:w="15" w:type="dxa"/>
              <w:left w:w="15" w:type="dxa"/>
              <w:bottom w:w="0" w:type="dxa"/>
              <w:right w:w="15" w:type="dxa"/>
            </w:tcMar>
            <w:vAlign w:val="bottom"/>
            <w:hideMark/>
          </w:tcPr>
          <w:p w14:paraId="06EF0AED" w14:textId="77777777" w:rsidR="00F665AD" w:rsidRPr="001533EC" w:rsidRDefault="00F665AD" w:rsidP="00652F66">
            <w:pPr>
              <w:rPr>
                <w:rFonts w:ascii="Arial" w:eastAsia="Times New Roman" w:hAnsi="Arial" w:cs="Arial"/>
                <w:sz w:val="36"/>
                <w:szCs w:val="36"/>
                <w:lang w:eastAsia="de-DE"/>
              </w:rPr>
            </w:pPr>
          </w:p>
        </w:tc>
        <w:tc>
          <w:tcPr>
            <w:tcW w:w="3200" w:type="dxa"/>
            <w:tcBorders>
              <w:top w:val="nil"/>
              <w:left w:val="nil"/>
              <w:bottom w:val="nil"/>
              <w:right w:val="nil"/>
            </w:tcBorders>
            <w:tcMar>
              <w:top w:w="15" w:type="dxa"/>
              <w:left w:w="15" w:type="dxa"/>
              <w:bottom w:w="0" w:type="dxa"/>
              <w:right w:w="15" w:type="dxa"/>
            </w:tcMar>
            <w:vAlign w:val="bottom"/>
            <w:hideMark/>
          </w:tcPr>
          <w:p w14:paraId="1B82DFF2" w14:textId="5AADB4FD" w:rsidR="00F665AD" w:rsidRPr="001533EC" w:rsidRDefault="00F665AD" w:rsidP="00652F66">
            <w:pPr>
              <w:spacing w:line="48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1</w:t>
            </w:r>
            <w:r w:rsidR="002D03C6">
              <w:rPr>
                <w:rFonts w:eastAsia="Times New Roman"/>
                <w:kern w:val="24"/>
                <w:lang w:eastAsia="de-DE"/>
              </w:rPr>
              <w:t>2</w:t>
            </w:r>
          </w:p>
        </w:tc>
      </w:tr>
      <w:tr w:rsidR="00F665AD" w:rsidRPr="001533EC" w14:paraId="3D84CDEE" w14:textId="77777777" w:rsidTr="00652F66">
        <w:trPr>
          <w:trHeight w:val="300"/>
        </w:trPr>
        <w:tc>
          <w:tcPr>
            <w:tcW w:w="2820" w:type="dxa"/>
            <w:tcBorders>
              <w:top w:val="nil"/>
              <w:left w:val="nil"/>
              <w:bottom w:val="nil"/>
              <w:right w:val="nil"/>
            </w:tcBorders>
            <w:tcMar>
              <w:top w:w="15" w:type="dxa"/>
              <w:left w:w="90" w:type="dxa"/>
              <w:bottom w:w="0" w:type="dxa"/>
              <w:right w:w="90" w:type="dxa"/>
            </w:tcMar>
            <w:hideMark/>
          </w:tcPr>
          <w:p w14:paraId="5B4110FF" w14:textId="77777777" w:rsidR="00F665AD" w:rsidRPr="001533EC" w:rsidRDefault="00F665AD" w:rsidP="00652F66">
            <w:pPr>
              <w:spacing w:line="480" w:lineRule="auto"/>
              <w:jc w:val="right"/>
              <w:rPr>
                <w:rFonts w:ascii="Arial" w:eastAsia="Times New Roman" w:hAnsi="Arial" w:cs="Arial"/>
                <w:sz w:val="36"/>
                <w:szCs w:val="36"/>
                <w:lang w:eastAsia="de-DE"/>
              </w:rPr>
            </w:pPr>
            <w:r w:rsidRPr="001533EC">
              <w:rPr>
                <w:rFonts w:eastAsia="Times New Roman"/>
                <w:kern w:val="24"/>
                <w:lang w:eastAsia="de-DE"/>
              </w:rPr>
              <w:t>Waist-to-hip ratio</w:t>
            </w:r>
          </w:p>
        </w:tc>
        <w:tc>
          <w:tcPr>
            <w:tcW w:w="420" w:type="dxa"/>
            <w:tcBorders>
              <w:top w:val="nil"/>
              <w:left w:val="nil"/>
              <w:bottom w:val="nil"/>
              <w:right w:val="nil"/>
            </w:tcBorders>
            <w:tcMar>
              <w:top w:w="15" w:type="dxa"/>
              <w:left w:w="15" w:type="dxa"/>
              <w:bottom w:w="0" w:type="dxa"/>
              <w:right w:w="15" w:type="dxa"/>
            </w:tcMar>
            <w:vAlign w:val="bottom"/>
            <w:hideMark/>
          </w:tcPr>
          <w:p w14:paraId="6A35F4B4" w14:textId="77777777" w:rsidR="00F665AD" w:rsidRPr="001533EC" w:rsidRDefault="00F665AD" w:rsidP="00652F66">
            <w:pPr>
              <w:rPr>
                <w:rFonts w:ascii="Arial" w:eastAsia="Times New Roman" w:hAnsi="Arial" w:cs="Arial"/>
                <w:sz w:val="36"/>
                <w:szCs w:val="36"/>
                <w:lang w:eastAsia="de-DE"/>
              </w:rPr>
            </w:pPr>
          </w:p>
        </w:tc>
        <w:tc>
          <w:tcPr>
            <w:tcW w:w="3040" w:type="dxa"/>
            <w:tcBorders>
              <w:top w:val="nil"/>
              <w:left w:val="nil"/>
              <w:bottom w:val="nil"/>
              <w:right w:val="nil"/>
            </w:tcBorders>
            <w:tcMar>
              <w:top w:w="15" w:type="dxa"/>
              <w:left w:w="15" w:type="dxa"/>
              <w:bottom w:w="0" w:type="dxa"/>
              <w:right w:w="15" w:type="dxa"/>
            </w:tcMar>
            <w:vAlign w:val="bottom"/>
            <w:hideMark/>
          </w:tcPr>
          <w:p w14:paraId="32F99713" w14:textId="77777777" w:rsidR="00F665AD" w:rsidRPr="001533EC" w:rsidRDefault="00F665AD" w:rsidP="00652F66">
            <w:pPr>
              <w:spacing w:line="48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2</w:t>
            </w:r>
          </w:p>
        </w:tc>
        <w:tc>
          <w:tcPr>
            <w:tcW w:w="660" w:type="dxa"/>
            <w:tcBorders>
              <w:top w:val="nil"/>
              <w:left w:val="nil"/>
              <w:bottom w:val="nil"/>
              <w:right w:val="nil"/>
            </w:tcBorders>
            <w:tcMar>
              <w:top w:w="15" w:type="dxa"/>
              <w:left w:w="15" w:type="dxa"/>
              <w:bottom w:w="0" w:type="dxa"/>
              <w:right w:w="15" w:type="dxa"/>
            </w:tcMar>
            <w:vAlign w:val="bottom"/>
            <w:hideMark/>
          </w:tcPr>
          <w:p w14:paraId="2C258D25" w14:textId="77777777" w:rsidR="00F665AD" w:rsidRPr="001533EC" w:rsidRDefault="00F665AD" w:rsidP="00652F66">
            <w:pPr>
              <w:rPr>
                <w:rFonts w:ascii="Arial" w:eastAsia="Times New Roman" w:hAnsi="Arial" w:cs="Arial"/>
                <w:sz w:val="36"/>
                <w:szCs w:val="36"/>
                <w:lang w:eastAsia="de-DE"/>
              </w:rPr>
            </w:pPr>
          </w:p>
        </w:tc>
        <w:tc>
          <w:tcPr>
            <w:tcW w:w="3200" w:type="dxa"/>
            <w:tcBorders>
              <w:top w:val="nil"/>
              <w:left w:val="nil"/>
              <w:bottom w:val="nil"/>
              <w:right w:val="nil"/>
            </w:tcBorders>
            <w:tcMar>
              <w:top w:w="15" w:type="dxa"/>
              <w:left w:w="15" w:type="dxa"/>
              <w:bottom w:w="0" w:type="dxa"/>
              <w:right w:w="15" w:type="dxa"/>
            </w:tcMar>
            <w:vAlign w:val="bottom"/>
            <w:hideMark/>
          </w:tcPr>
          <w:p w14:paraId="37A484BB" w14:textId="77777777" w:rsidR="00F665AD" w:rsidRPr="001533EC" w:rsidRDefault="00F665AD" w:rsidP="00652F66">
            <w:pPr>
              <w:spacing w:line="48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6</w:t>
            </w:r>
          </w:p>
        </w:tc>
      </w:tr>
      <w:tr w:rsidR="00F665AD" w:rsidRPr="001533EC" w14:paraId="43F4DE51" w14:textId="77777777" w:rsidTr="00652F66">
        <w:trPr>
          <w:trHeight w:val="300"/>
        </w:trPr>
        <w:tc>
          <w:tcPr>
            <w:tcW w:w="2820" w:type="dxa"/>
            <w:tcBorders>
              <w:top w:val="nil"/>
              <w:left w:val="nil"/>
              <w:bottom w:val="nil"/>
              <w:right w:val="nil"/>
            </w:tcBorders>
            <w:tcMar>
              <w:top w:w="15" w:type="dxa"/>
              <w:left w:w="15" w:type="dxa"/>
              <w:bottom w:w="0" w:type="dxa"/>
              <w:right w:w="15" w:type="dxa"/>
            </w:tcMar>
            <w:vAlign w:val="bottom"/>
            <w:hideMark/>
          </w:tcPr>
          <w:p w14:paraId="2ADCEEB1" w14:textId="77777777" w:rsidR="00F665AD" w:rsidRPr="001533EC" w:rsidRDefault="00F665AD" w:rsidP="00652F66">
            <w:pPr>
              <w:spacing w:line="480" w:lineRule="auto"/>
              <w:jc w:val="right"/>
              <w:textAlignment w:val="bottom"/>
              <w:rPr>
                <w:rFonts w:ascii="Arial" w:eastAsia="Times New Roman" w:hAnsi="Arial" w:cs="Arial"/>
                <w:sz w:val="36"/>
                <w:szCs w:val="36"/>
                <w:lang w:eastAsia="de-DE"/>
              </w:rPr>
            </w:pPr>
            <w:r w:rsidRPr="001533EC">
              <w:rPr>
                <w:rFonts w:eastAsia="Times New Roman"/>
                <w:kern w:val="24"/>
                <w:lang w:eastAsia="de-DE"/>
              </w:rPr>
              <w:t>ΔCBF</w:t>
            </w:r>
            <w:r w:rsidRPr="001533EC">
              <w:rPr>
                <w:rFonts w:eastAsia="Times New Roman"/>
                <w:kern w:val="24"/>
                <w:position w:val="-5"/>
                <w:vertAlign w:val="subscript"/>
                <w:lang w:eastAsia="de-DE"/>
              </w:rPr>
              <w:t>n</w:t>
            </w:r>
            <w:r w:rsidRPr="001533EC">
              <w:rPr>
                <w:rFonts w:eastAsia="Times New Roman"/>
                <w:kern w:val="24"/>
                <w:lang w:eastAsia="de-DE"/>
              </w:rPr>
              <w:t>-Hypothalamus</w:t>
            </w:r>
          </w:p>
        </w:tc>
        <w:tc>
          <w:tcPr>
            <w:tcW w:w="420" w:type="dxa"/>
            <w:tcBorders>
              <w:top w:val="nil"/>
              <w:left w:val="nil"/>
              <w:bottom w:val="nil"/>
              <w:right w:val="nil"/>
            </w:tcBorders>
            <w:tcMar>
              <w:top w:w="15" w:type="dxa"/>
              <w:left w:w="15" w:type="dxa"/>
              <w:bottom w:w="0" w:type="dxa"/>
              <w:right w:w="15" w:type="dxa"/>
            </w:tcMar>
            <w:vAlign w:val="bottom"/>
            <w:hideMark/>
          </w:tcPr>
          <w:p w14:paraId="78BDBDDC" w14:textId="77777777" w:rsidR="00F665AD" w:rsidRPr="001533EC" w:rsidRDefault="00F665AD" w:rsidP="00652F66">
            <w:pPr>
              <w:rPr>
                <w:rFonts w:ascii="Arial" w:eastAsia="Times New Roman" w:hAnsi="Arial" w:cs="Arial"/>
                <w:sz w:val="36"/>
                <w:szCs w:val="36"/>
                <w:lang w:eastAsia="de-DE"/>
              </w:rPr>
            </w:pPr>
          </w:p>
        </w:tc>
        <w:tc>
          <w:tcPr>
            <w:tcW w:w="3040" w:type="dxa"/>
            <w:tcBorders>
              <w:top w:val="nil"/>
              <w:left w:val="nil"/>
              <w:bottom w:val="nil"/>
              <w:right w:val="nil"/>
            </w:tcBorders>
            <w:tcMar>
              <w:top w:w="15" w:type="dxa"/>
              <w:left w:w="15" w:type="dxa"/>
              <w:bottom w:w="0" w:type="dxa"/>
              <w:right w:w="15" w:type="dxa"/>
            </w:tcMar>
            <w:vAlign w:val="bottom"/>
            <w:hideMark/>
          </w:tcPr>
          <w:p w14:paraId="22299EA7" w14:textId="77777777" w:rsidR="00F665AD" w:rsidRPr="001533EC" w:rsidRDefault="00F665AD" w:rsidP="00652F66">
            <w:pPr>
              <w:spacing w:line="48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528</w:t>
            </w:r>
          </w:p>
        </w:tc>
        <w:tc>
          <w:tcPr>
            <w:tcW w:w="660" w:type="dxa"/>
            <w:tcBorders>
              <w:top w:val="nil"/>
              <w:left w:val="nil"/>
              <w:bottom w:val="nil"/>
              <w:right w:val="nil"/>
            </w:tcBorders>
            <w:tcMar>
              <w:top w:w="15" w:type="dxa"/>
              <w:left w:w="15" w:type="dxa"/>
              <w:bottom w:w="0" w:type="dxa"/>
              <w:right w:w="15" w:type="dxa"/>
            </w:tcMar>
            <w:vAlign w:val="bottom"/>
            <w:hideMark/>
          </w:tcPr>
          <w:p w14:paraId="31B83EB7" w14:textId="77777777" w:rsidR="00F665AD" w:rsidRPr="001533EC" w:rsidRDefault="00F665AD" w:rsidP="00652F66">
            <w:pPr>
              <w:rPr>
                <w:rFonts w:ascii="Arial" w:eastAsia="Times New Roman" w:hAnsi="Arial" w:cs="Arial"/>
                <w:sz w:val="36"/>
                <w:szCs w:val="36"/>
                <w:lang w:eastAsia="de-DE"/>
              </w:rPr>
            </w:pPr>
          </w:p>
        </w:tc>
        <w:tc>
          <w:tcPr>
            <w:tcW w:w="3200" w:type="dxa"/>
            <w:tcBorders>
              <w:top w:val="nil"/>
              <w:left w:val="nil"/>
              <w:bottom w:val="nil"/>
              <w:right w:val="nil"/>
            </w:tcBorders>
            <w:tcMar>
              <w:top w:w="15" w:type="dxa"/>
              <w:left w:w="15" w:type="dxa"/>
              <w:bottom w:w="0" w:type="dxa"/>
              <w:right w:w="15" w:type="dxa"/>
            </w:tcMar>
            <w:vAlign w:val="bottom"/>
            <w:hideMark/>
          </w:tcPr>
          <w:p w14:paraId="044AC85A" w14:textId="550529B2" w:rsidR="00F665AD" w:rsidRPr="001533EC" w:rsidRDefault="00F665AD" w:rsidP="00652F66">
            <w:pPr>
              <w:spacing w:line="48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2</w:t>
            </w:r>
            <w:r w:rsidR="008A21E6">
              <w:rPr>
                <w:rFonts w:eastAsia="Times New Roman"/>
                <w:kern w:val="24"/>
                <w:lang w:eastAsia="de-DE"/>
              </w:rPr>
              <w:t>48</w:t>
            </w:r>
          </w:p>
        </w:tc>
      </w:tr>
      <w:tr w:rsidR="00F665AD" w:rsidRPr="001533EC" w14:paraId="666E4523" w14:textId="77777777" w:rsidTr="00652F66">
        <w:trPr>
          <w:trHeight w:val="300"/>
        </w:trPr>
        <w:tc>
          <w:tcPr>
            <w:tcW w:w="2820" w:type="dxa"/>
            <w:tcBorders>
              <w:top w:val="nil"/>
              <w:left w:val="nil"/>
              <w:bottom w:val="nil"/>
              <w:right w:val="nil"/>
            </w:tcBorders>
            <w:tcMar>
              <w:top w:w="15" w:type="dxa"/>
              <w:left w:w="15" w:type="dxa"/>
              <w:bottom w:w="0" w:type="dxa"/>
              <w:right w:w="15" w:type="dxa"/>
            </w:tcMar>
            <w:vAlign w:val="bottom"/>
            <w:hideMark/>
          </w:tcPr>
          <w:p w14:paraId="2401970E" w14:textId="77777777" w:rsidR="00F665AD" w:rsidRPr="001533EC" w:rsidRDefault="00F665AD" w:rsidP="00652F66">
            <w:pPr>
              <w:spacing w:line="480" w:lineRule="auto"/>
              <w:jc w:val="right"/>
              <w:textAlignment w:val="bottom"/>
              <w:rPr>
                <w:rFonts w:ascii="Arial" w:eastAsia="Times New Roman" w:hAnsi="Arial" w:cs="Arial"/>
                <w:sz w:val="36"/>
                <w:szCs w:val="36"/>
                <w:lang w:eastAsia="de-DE"/>
              </w:rPr>
            </w:pPr>
            <w:r w:rsidRPr="001533EC">
              <w:rPr>
                <w:rFonts w:eastAsia="Times New Roman"/>
                <w:kern w:val="24"/>
                <w:lang w:eastAsia="de-DE"/>
              </w:rPr>
              <w:t>Fasting glucose (mg/dL)</w:t>
            </w:r>
          </w:p>
        </w:tc>
        <w:tc>
          <w:tcPr>
            <w:tcW w:w="420" w:type="dxa"/>
            <w:tcBorders>
              <w:top w:val="nil"/>
              <w:left w:val="nil"/>
              <w:bottom w:val="nil"/>
              <w:right w:val="nil"/>
            </w:tcBorders>
            <w:tcMar>
              <w:top w:w="15" w:type="dxa"/>
              <w:left w:w="15" w:type="dxa"/>
              <w:bottom w:w="0" w:type="dxa"/>
              <w:right w:w="15" w:type="dxa"/>
            </w:tcMar>
            <w:vAlign w:val="bottom"/>
            <w:hideMark/>
          </w:tcPr>
          <w:p w14:paraId="6C0CAE74" w14:textId="77777777" w:rsidR="00F665AD" w:rsidRPr="001533EC" w:rsidRDefault="00F665AD" w:rsidP="00652F66">
            <w:pPr>
              <w:rPr>
                <w:rFonts w:ascii="Arial" w:eastAsia="Times New Roman" w:hAnsi="Arial" w:cs="Arial"/>
                <w:sz w:val="36"/>
                <w:szCs w:val="36"/>
                <w:lang w:eastAsia="de-DE"/>
              </w:rPr>
            </w:pPr>
          </w:p>
        </w:tc>
        <w:tc>
          <w:tcPr>
            <w:tcW w:w="3040" w:type="dxa"/>
            <w:tcBorders>
              <w:top w:val="nil"/>
              <w:left w:val="nil"/>
              <w:bottom w:val="nil"/>
              <w:right w:val="nil"/>
            </w:tcBorders>
            <w:tcMar>
              <w:top w:w="15" w:type="dxa"/>
              <w:left w:w="15" w:type="dxa"/>
              <w:bottom w:w="0" w:type="dxa"/>
              <w:right w:w="15" w:type="dxa"/>
            </w:tcMar>
            <w:vAlign w:val="bottom"/>
            <w:hideMark/>
          </w:tcPr>
          <w:p w14:paraId="3D8D8516" w14:textId="77777777" w:rsidR="00F665AD" w:rsidRPr="001533EC" w:rsidRDefault="00F665AD" w:rsidP="00652F66">
            <w:pPr>
              <w:spacing w:line="48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5</w:t>
            </w:r>
          </w:p>
        </w:tc>
        <w:tc>
          <w:tcPr>
            <w:tcW w:w="660" w:type="dxa"/>
            <w:tcBorders>
              <w:top w:val="nil"/>
              <w:left w:val="nil"/>
              <w:bottom w:val="nil"/>
              <w:right w:val="nil"/>
            </w:tcBorders>
            <w:tcMar>
              <w:top w:w="15" w:type="dxa"/>
              <w:left w:w="15" w:type="dxa"/>
              <w:bottom w:w="0" w:type="dxa"/>
              <w:right w:w="15" w:type="dxa"/>
            </w:tcMar>
            <w:vAlign w:val="bottom"/>
            <w:hideMark/>
          </w:tcPr>
          <w:p w14:paraId="79377B06" w14:textId="77777777" w:rsidR="00F665AD" w:rsidRPr="001533EC" w:rsidRDefault="00F665AD" w:rsidP="00652F66">
            <w:pPr>
              <w:rPr>
                <w:rFonts w:ascii="Arial" w:eastAsia="Times New Roman" w:hAnsi="Arial" w:cs="Arial"/>
                <w:sz w:val="36"/>
                <w:szCs w:val="36"/>
                <w:lang w:eastAsia="de-DE"/>
              </w:rPr>
            </w:pPr>
          </w:p>
        </w:tc>
        <w:tc>
          <w:tcPr>
            <w:tcW w:w="3200" w:type="dxa"/>
            <w:tcBorders>
              <w:top w:val="nil"/>
              <w:left w:val="nil"/>
              <w:bottom w:val="nil"/>
              <w:right w:val="nil"/>
            </w:tcBorders>
            <w:tcMar>
              <w:top w:w="15" w:type="dxa"/>
              <w:left w:w="15" w:type="dxa"/>
              <w:bottom w:w="0" w:type="dxa"/>
              <w:right w:w="15" w:type="dxa"/>
            </w:tcMar>
            <w:vAlign w:val="bottom"/>
            <w:hideMark/>
          </w:tcPr>
          <w:p w14:paraId="607793CF" w14:textId="421D7F0F" w:rsidR="00F665AD" w:rsidRPr="001533EC" w:rsidRDefault="008A21E6" w:rsidP="00652F66">
            <w:pPr>
              <w:spacing w:line="480" w:lineRule="auto"/>
              <w:jc w:val="center"/>
              <w:textAlignment w:val="bottom"/>
              <w:rPr>
                <w:rFonts w:ascii="Arial" w:eastAsia="Times New Roman" w:hAnsi="Arial" w:cs="Arial"/>
                <w:sz w:val="36"/>
                <w:szCs w:val="36"/>
                <w:lang w:eastAsia="de-DE"/>
              </w:rPr>
            </w:pPr>
            <w:r>
              <w:rPr>
                <w:rFonts w:eastAsia="Times New Roman"/>
                <w:kern w:val="24"/>
                <w:lang w:eastAsia="de-DE"/>
              </w:rPr>
              <w:t>48</w:t>
            </w:r>
          </w:p>
        </w:tc>
      </w:tr>
      <w:tr w:rsidR="00F665AD" w:rsidRPr="001533EC" w14:paraId="5BB8FD5E" w14:textId="77777777" w:rsidTr="00652F66">
        <w:trPr>
          <w:trHeight w:val="300"/>
        </w:trPr>
        <w:tc>
          <w:tcPr>
            <w:tcW w:w="2820" w:type="dxa"/>
            <w:tcBorders>
              <w:top w:val="nil"/>
              <w:left w:val="nil"/>
              <w:bottom w:val="nil"/>
              <w:right w:val="nil"/>
            </w:tcBorders>
            <w:tcMar>
              <w:top w:w="15" w:type="dxa"/>
              <w:left w:w="15" w:type="dxa"/>
              <w:bottom w:w="0" w:type="dxa"/>
              <w:right w:w="15" w:type="dxa"/>
            </w:tcMar>
            <w:vAlign w:val="bottom"/>
            <w:hideMark/>
          </w:tcPr>
          <w:p w14:paraId="2F5F40DC" w14:textId="77777777" w:rsidR="00F665AD" w:rsidRPr="001533EC" w:rsidRDefault="00F665AD" w:rsidP="00652F66">
            <w:pPr>
              <w:spacing w:line="480" w:lineRule="auto"/>
              <w:jc w:val="right"/>
              <w:textAlignment w:val="bottom"/>
              <w:rPr>
                <w:rFonts w:ascii="Arial" w:eastAsia="Times New Roman" w:hAnsi="Arial" w:cs="Arial"/>
                <w:sz w:val="36"/>
                <w:szCs w:val="36"/>
                <w:lang w:eastAsia="de-DE"/>
              </w:rPr>
            </w:pPr>
            <w:r w:rsidRPr="001533EC">
              <w:rPr>
                <w:rFonts w:eastAsia="Times New Roman"/>
                <w:kern w:val="24"/>
                <w:lang w:eastAsia="de-DE"/>
              </w:rPr>
              <w:t xml:space="preserve"> 2-h glucose (mg/dL)</w:t>
            </w:r>
          </w:p>
        </w:tc>
        <w:tc>
          <w:tcPr>
            <w:tcW w:w="420" w:type="dxa"/>
            <w:tcBorders>
              <w:top w:val="nil"/>
              <w:left w:val="nil"/>
              <w:bottom w:val="nil"/>
              <w:right w:val="nil"/>
            </w:tcBorders>
            <w:tcMar>
              <w:top w:w="15" w:type="dxa"/>
              <w:left w:w="15" w:type="dxa"/>
              <w:bottom w:w="0" w:type="dxa"/>
              <w:right w:w="15" w:type="dxa"/>
            </w:tcMar>
            <w:vAlign w:val="bottom"/>
            <w:hideMark/>
          </w:tcPr>
          <w:p w14:paraId="7447F609" w14:textId="77777777" w:rsidR="00F665AD" w:rsidRPr="001533EC" w:rsidRDefault="00F665AD" w:rsidP="00652F66">
            <w:pPr>
              <w:rPr>
                <w:rFonts w:ascii="Arial" w:eastAsia="Times New Roman" w:hAnsi="Arial" w:cs="Arial"/>
                <w:sz w:val="36"/>
                <w:szCs w:val="36"/>
                <w:lang w:eastAsia="de-DE"/>
              </w:rPr>
            </w:pPr>
          </w:p>
        </w:tc>
        <w:tc>
          <w:tcPr>
            <w:tcW w:w="3040" w:type="dxa"/>
            <w:tcBorders>
              <w:top w:val="nil"/>
              <w:left w:val="nil"/>
              <w:bottom w:val="nil"/>
              <w:right w:val="nil"/>
            </w:tcBorders>
            <w:tcMar>
              <w:top w:w="15" w:type="dxa"/>
              <w:left w:w="15" w:type="dxa"/>
              <w:bottom w:w="0" w:type="dxa"/>
              <w:right w:w="15" w:type="dxa"/>
            </w:tcMar>
            <w:vAlign w:val="bottom"/>
            <w:hideMark/>
          </w:tcPr>
          <w:p w14:paraId="07B6A75E" w14:textId="77777777" w:rsidR="00F665AD" w:rsidRPr="001533EC" w:rsidRDefault="00F665AD" w:rsidP="00652F66">
            <w:pPr>
              <w:spacing w:line="48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5</w:t>
            </w:r>
          </w:p>
        </w:tc>
        <w:tc>
          <w:tcPr>
            <w:tcW w:w="660" w:type="dxa"/>
            <w:tcBorders>
              <w:top w:val="nil"/>
              <w:left w:val="nil"/>
              <w:bottom w:val="nil"/>
              <w:right w:val="nil"/>
            </w:tcBorders>
            <w:tcMar>
              <w:top w:w="15" w:type="dxa"/>
              <w:left w:w="15" w:type="dxa"/>
              <w:bottom w:w="0" w:type="dxa"/>
              <w:right w:w="15" w:type="dxa"/>
            </w:tcMar>
            <w:vAlign w:val="bottom"/>
            <w:hideMark/>
          </w:tcPr>
          <w:p w14:paraId="053F6A70" w14:textId="77777777" w:rsidR="00F665AD" w:rsidRPr="001533EC" w:rsidRDefault="00F665AD" w:rsidP="00652F66">
            <w:pPr>
              <w:rPr>
                <w:rFonts w:ascii="Arial" w:eastAsia="Times New Roman" w:hAnsi="Arial" w:cs="Arial"/>
                <w:sz w:val="36"/>
                <w:szCs w:val="36"/>
                <w:lang w:eastAsia="de-DE"/>
              </w:rPr>
            </w:pPr>
          </w:p>
        </w:tc>
        <w:tc>
          <w:tcPr>
            <w:tcW w:w="3200" w:type="dxa"/>
            <w:tcBorders>
              <w:top w:val="nil"/>
              <w:left w:val="nil"/>
              <w:bottom w:val="nil"/>
              <w:right w:val="nil"/>
            </w:tcBorders>
            <w:tcMar>
              <w:top w:w="15" w:type="dxa"/>
              <w:left w:w="15" w:type="dxa"/>
              <w:bottom w:w="0" w:type="dxa"/>
              <w:right w:w="15" w:type="dxa"/>
            </w:tcMar>
            <w:vAlign w:val="bottom"/>
            <w:hideMark/>
          </w:tcPr>
          <w:p w14:paraId="6CE30162" w14:textId="77777777" w:rsidR="00F665AD" w:rsidRPr="001533EC" w:rsidRDefault="00F665AD" w:rsidP="00652F66">
            <w:pPr>
              <w:spacing w:line="48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w:t>
            </w:r>
          </w:p>
        </w:tc>
      </w:tr>
      <w:tr w:rsidR="00F665AD" w:rsidRPr="001533EC" w14:paraId="08064B88" w14:textId="77777777" w:rsidTr="00652F66">
        <w:trPr>
          <w:trHeight w:val="300"/>
        </w:trPr>
        <w:tc>
          <w:tcPr>
            <w:tcW w:w="2820" w:type="dxa"/>
            <w:tcBorders>
              <w:top w:val="nil"/>
              <w:left w:val="nil"/>
              <w:bottom w:val="nil"/>
              <w:right w:val="nil"/>
            </w:tcBorders>
            <w:tcMar>
              <w:top w:w="15" w:type="dxa"/>
              <w:left w:w="15" w:type="dxa"/>
              <w:bottom w:w="0" w:type="dxa"/>
              <w:right w:w="15" w:type="dxa"/>
            </w:tcMar>
            <w:vAlign w:val="bottom"/>
            <w:hideMark/>
          </w:tcPr>
          <w:p w14:paraId="62DCE739" w14:textId="77777777" w:rsidR="00F665AD" w:rsidRPr="001533EC" w:rsidRDefault="00F665AD" w:rsidP="00652F66">
            <w:pPr>
              <w:spacing w:line="480" w:lineRule="auto"/>
              <w:jc w:val="right"/>
              <w:textAlignment w:val="bottom"/>
              <w:rPr>
                <w:rFonts w:ascii="Arial" w:eastAsia="Times New Roman" w:hAnsi="Arial" w:cs="Arial"/>
                <w:sz w:val="36"/>
                <w:szCs w:val="36"/>
                <w:lang w:eastAsia="de-DE"/>
              </w:rPr>
            </w:pPr>
            <w:r w:rsidRPr="001533EC">
              <w:rPr>
                <w:rFonts w:eastAsia="Times New Roman"/>
                <w:kern w:val="24"/>
                <w:lang w:eastAsia="de-DE"/>
              </w:rPr>
              <w:t>ISI-Matsuda index</w:t>
            </w:r>
          </w:p>
        </w:tc>
        <w:tc>
          <w:tcPr>
            <w:tcW w:w="420" w:type="dxa"/>
            <w:tcBorders>
              <w:top w:val="nil"/>
              <w:left w:val="nil"/>
              <w:bottom w:val="nil"/>
              <w:right w:val="nil"/>
            </w:tcBorders>
            <w:tcMar>
              <w:top w:w="15" w:type="dxa"/>
              <w:left w:w="15" w:type="dxa"/>
              <w:bottom w:w="0" w:type="dxa"/>
              <w:right w:w="15" w:type="dxa"/>
            </w:tcMar>
            <w:vAlign w:val="bottom"/>
            <w:hideMark/>
          </w:tcPr>
          <w:p w14:paraId="4F9F5B02" w14:textId="77777777" w:rsidR="00F665AD" w:rsidRPr="001533EC" w:rsidRDefault="00F665AD" w:rsidP="00652F66">
            <w:pPr>
              <w:rPr>
                <w:rFonts w:ascii="Arial" w:eastAsia="Times New Roman" w:hAnsi="Arial" w:cs="Arial"/>
                <w:sz w:val="36"/>
                <w:szCs w:val="36"/>
                <w:lang w:eastAsia="de-DE"/>
              </w:rPr>
            </w:pPr>
          </w:p>
        </w:tc>
        <w:tc>
          <w:tcPr>
            <w:tcW w:w="3040" w:type="dxa"/>
            <w:tcBorders>
              <w:top w:val="nil"/>
              <w:left w:val="nil"/>
              <w:bottom w:val="nil"/>
              <w:right w:val="nil"/>
            </w:tcBorders>
            <w:tcMar>
              <w:top w:w="15" w:type="dxa"/>
              <w:left w:w="15" w:type="dxa"/>
              <w:bottom w:w="0" w:type="dxa"/>
              <w:right w:w="15" w:type="dxa"/>
            </w:tcMar>
            <w:vAlign w:val="bottom"/>
            <w:hideMark/>
          </w:tcPr>
          <w:p w14:paraId="2F734BBF" w14:textId="77777777" w:rsidR="00F665AD" w:rsidRPr="001533EC" w:rsidRDefault="00F665AD" w:rsidP="00652F66">
            <w:pPr>
              <w:spacing w:line="48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1</w:t>
            </w:r>
          </w:p>
        </w:tc>
        <w:tc>
          <w:tcPr>
            <w:tcW w:w="660" w:type="dxa"/>
            <w:tcBorders>
              <w:top w:val="nil"/>
              <w:left w:val="nil"/>
              <w:bottom w:val="nil"/>
              <w:right w:val="nil"/>
            </w:tcBorders>
            <w:tcMar>
              <w:top w:w="15" w:type="dxa"/>
              <w:left w:w="15" w:type="dxa"/>
              <w:bottom w:w="0" w:type="dxa"/>
              <w:right w:w="15" w:type="dxa"/>
            </w:tcMar>
            <w:vAlign w:val="bottom"/>
            <w:hideMark/>
          </w:tcPr>
          <w:p w14:paraId="752DA710" w14:textId="77777777" w:rsidR="00F665AD" w:rsidRPr="001533EC" w:rsidRDefault="00F665AD" w:rsidP="00652F66">
            <w:pPr>
              <w:rPr>
                <w:rFonts w:ascii="Arial" w:eastAsia="Times New Roman" w:hAnsi="Arial" w:cs="Arial"/>
                <w:sz w:val="36"/>
                <w:szCs w:val="36"/>
                <w:lang w:eastAsia="de-DE"/>
              </w:rPr>
            </w:pPr>
          </w:p>
        </w:tc>
        <w:tc>
          <w:tcPr>
            <w:tcW w:w="3200" w:type="dxa"/>
            <w:tcBorders>
              <w:top w:val="nil"/>
              <w:left w:val="nil"/>
              <w:bottom w:val="nil"/>
              <w:right w:val="nil"/>
            </w:tcBorders>
            <w:tcMar>
              <w:top w:w="15" w:type="dxa"/>
              <w:left w:w="15" w:type="dxa"/>
              <w:bottom w:w="0" w:type="dxa"/>
              <w:right w:w="15" w:type="dxa"/>
            </w:tcMar>
            <w:vAlign w:val="bottom"/>
            <w:hideMark/>
          </w:tcPr>
          <w:p w14:paraId="736F185B" w14:textId="00A043C9" w:rsidR="00F665AD" w:rsidRPr="001533EC" w:rsidRDefault="00F665AD" w:rsidP="00652F66">
            <w:pPr>
              <w:spacing w:line="48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1</w:t>
            </w:r>
            <w:r w:rsidR="008A21E6">
              <w:rPr>
                <w:rFonts w:eastAsia="Times New Roman"/>
                <w:kern w:val="24"/>
                <w:lang w:eastAsia="de-DE"/>
              </w:rPr>
              <w:t>6</w:t>
            </w:r>
          </w:p>
        </w:tc>
      </w:tr>
      <w:tr w:rsidR="00F665AD" w:rsidRPr="001533EC" w14:paraId="3DC80442" w14:textId="77777777" w:rsidTr="00652F66">
        <w:trPr>
          <w:trHeight w:val="300"/>
        </w:trPr>
        <w:tc>
          <w:tcPr>
            <w:tcW w:w="2820" w:type="dxa"/>
            <w:tcBorders>
              <w:top w:val="nil"/>
              <w:left w:val="nil"/>
              <w:bottom w:val="nil"/>
              <w:right w:val="nil"/>
            </w:tcBorders>
            <w:tcMar>
              <w:top w:w="15" w:type="dxa"/>
              <w:left w:w="15" w:type="dxa"/>
              <w:bottom w:w="0" w:type="dxa"/>
              <w:right w:w="15" w:type="dxa"/>
            </w:tcMar>
            <w:vAlign w:val="bottom"/>
            <w:hideMark/>
          </w:tcPr>
          <w:p w14:paraId="748C463E" w14:textId="77777777" w:rsidR="00F665AD" w:rsidRPr="001533EC" w:rsidRDefault="00F665AD" w:rsidP="00652F66">
            <w:pPr>
              <w:spacing w:line="480" w:lineRule="auto"/>
              <w:jc w:val="right"/>
              <w:textAlignment w:val="bottom"/>
              <w:rPr>
                <w:rFonts w:ascii="Arial" w:eastAsia="Times New Roman" w:hAnsi="Arial" w:cs="Arial"/>
                <w:sz w:val="36"/>
                <w:szCs w:val="36"/>
                <w:lang w:eastAsia="de-DE"/>
              </w:rPr>
            </w:pPr>
            <w:r w:rsidRPr="001533EC">
              <w:rPr>
                <w:rFonts w:eastAsia="Times New Roman"/>
                <w:kern w:val="24"/>
                <w:lang w:eastAsia="de-DE"/>
              </w:rPr>
              <w:t>CRP (mg/dL)</w:t>
            </w:r>
          </w:p>
        </w:tc>
        <w:tc>
          <w:tcPr>
            <w:tcW w:w="420" w:type="dxa"/>
            <w:tcBorders>
              <w:top w:val="nil"/>
              <w:left w:val="nil"/>
              <w:bottom w:val="nil"/>
              <w:right w:val="nil"/>
            </w:tcBorders>
            <w:tcMar>
              <w:top w:w="15" w:type="dxa"/>
              <w:left w:w="15" w:type="dxa"/>
              <w:bottom w:w="0" w:type="dxa"/>
              <w:right w:w="15" w:type="dxa"/>
            </w:tcMar>
            <w:vAlign w:val="bottom"/>
            <w:hideMark/>
          </w:tcPr>
          <w:p w14:paraId="446FAE50" w14:textId="77777777" w:rsidR="00F665AD" w:rsidRPr="001533EC" w:rsidRDefault="00F665AD" w:rsidP="00652F66">
            <w:pPr>
              <w:rPr>
                <w:rFonts w:ascii="Arial" w:eastAsia="Times New Roman" w:hAnsi="Arial" w:cs="Arial"/>
                <w:sz w:val="36"/>
                <w:szCs w:val="36"/>
                <w:lang w:eastAsia="de-DE"/>
              </w:rPr>
            </w:pPr>
          </w:p>
        </w:tc>
        <w:tc>
          <w:tcPr>
            <w:tcW w:w="3040" w:type="dxa"/>
            <w:tcBorders>
              <w:top w:val="nil"/>
              <w:left w:val="nil"/>
              <w:bottom w:val="nil"/>
              <w:right w:val="nil"/>
            </w:tcBorders>
            <w:tcMar>
              <w:top w:w="15" w:type="dxa"/>
              <w:left w:w="15" w:type="dxa"/>
              <w:bottom w:w="0" w:type="dxa"/>
              <w:right w:w="15" w:type="dxa"/>
            </w:tcMar>
            <w:vAlign w:val="bottom"/>
            <w:hideMark/>
          </w:tcPr>
          <w:p w14:paraId="0B7EFB39" w14:textId="77777777" w:rsidR="00F665AD" w:rsidRPr="001533EC" w:rsidRDefault="00F665AD" w:rsidP="00652F66">
            <w:pPr>
              <w:spacing w:line="48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5</w:t>
            </w:r>
          </w:p>
        </w:tc>
        <w:tc>
          <w:tcPr>
            <w:tcW w:w="660" w:type="dxa"/>
            <w:tcBorders>
              <w:top w:val="nil"/>
              <w:left w:val="nil"/>
              <w:bottom w:val="nil"/>
              <w:right w:val="nil"/>
            </w:tcBorders>
            <w:tcMar>
              <w:top w:w="15" w:type="dxa"/>
              <w:left w:w="15" w:type="dxa"/>
              <w:bottom w:w="0" w:type="dxa"/>
              <w:right w:w="15" w:type="dxa"/>
            </w:tcMar>
            <w:vAlign w:val="bottom"/>
            <w:hideMark/>
          </w:tcPr>
          <w:p w14:paraId="21786A1D" w14:textId="77777777" w:rsidR="00F665AD" w:rsidRPr="001533EC" w:rsidRDefault="00F665AD" w:rsidP="00652F66">
            <w:pPr>
              <w:rPr>
                <w:rFonts w:ascii="Arial" w:eastAsia="Times New Roman" w:hAnsi="Arial" w:cs="Arial"/>
                <w:sz w:val="36"/>
                <w:szCs w:val="36"/>
                <w:lang w:eastAsia="de-DE"/>
              </w:rPr>
            </w:pPr>
          </w:p>
        </w:tc>
        <w:tc>
          <w:tcPr>
            <w:tcW w:w="3200" w:type="dxa"/>
            <w:tcBorders>
              <w:top w:val="nil"/>
              <w:left w:val="nil"/>
              <w:bottom w:val="nil"/>
              <w:right w:val="nil"/>
            </w:tcBorders>
            <w:tcMar>
              <w:top w:w="15" w:type="dxa"/>
              <w:left w:w="15" w:type="dxa"/>
              <w:bottom w:w="0" w:type="dxa"/>
              <w:right w:w="15" w:type="dxa"/>
            </w:tcMar>
            <w:vAlign w:val="bottom"/>
            <w:hideMark/>
          </w:tcPr>
          <w:p w14:paraId="238B9B0D" w14:textId="77777777" w:rsidR="00F665AD" w:rsidRPr="001533EC" w:rsidRDefault="00F665AD" w:rsidP="00652F66">
            <w:pPr>
              <w:spacing w:line="48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w:t>
            </w:r>
          </w:p>
        </w:tc>
      </w:tr>
      <w:tr w:rsidR="00F665AD" w:rsidRPr="001533EC" w14:paraId="44A3B32A" w14:textId="77777777" w:rsidTr="00652F66">
        <w:trPr>
          <w:trHeight w:val="300"/>
        </w:trPr>
        <w:tc>
          <w:tcPr>
            <w:tcW w:w="2820" w:type="dxa"/>
            <w:tcBorders>
              <w:top w:val="nil"/>
              <w:left w:val="nil"/>
              <w:bottom w:val="nil"/>
              <w:right w:val="nil"/>
            </w:tcBorders>
            <w:tcMar>
              <w:top w:w="15" w:type="dxa"/>
              <w:left w:w="15" w:type="dxa"/>
              <w:bottom w:w="0" w:type="dxa"/>
              <w:right w:w="15" w:type="dxa"/>
            </w:tcMar>
            <w:vAlign w:val="bottom"/>
            <w:hideMark/>
          </w:tcPr>
          <w:p w14:paraId="3D583D35" w14:textId="77777777" w:rsidR="00F665AD" w:rsidRPr="001533EC" w:rsidRDefault="00F665AD" w:rsidP="00652F66">
            <w:pPr>
              <w:spacing w:line="480" w:lineRule="auto"/>
              <w:jc w:val="right"/>
              <w:textAlignment w:val="bottom"/>
              <w:rPr>
                <w:rFonts w:ascii="Arial" w:eastAsia="Times New Roman" w:hAnsi="Arial" w:cs="Arial"/>
                <w:sz w:val="36"/>
                <w:szCs w:val="36"/>
                <w:lang w:eastAsia="de-DE"/>
              </w:rPr>
            </w:pPr>
            <w:r w:rsidRPr="001533EC">
              <w:rPr>
                <w:rFonts w:eastAsia="Times New Roman"/>
                <w:kern w:val="24"/>
                <w:lang w:eastAsia="de-DE"/>
              </w:rPr>
              <w:t>HbA1c (mmol/mol)</w:t>
            </w:r>
          </w:p>
        </w:tc>
        <w:tc>
          <w:tcPr>
            <w:tcW w:w="420" w:type="dxa"/>
            <w:tcBorders>
              <w:top w:val="nil"/>
              <w:left w:val="nil"/>
              <w:bottom w:val="nil"/>
              <w:right w:val="nil"/>
            </w:tcBorders>
            <w:tcMar>
              <w:top w:w="15" w:type="dxa"/>
              <w:left w:w="15" w:type="dxa"/>
              <w:bottom w:w="0" w:type="dxa"/>
              <w:right w:w="15" w:type="dxa"/>
            </w:tcMar>
            <w:vAlign w:val="bottom"/>
            <w:hideMark/>
          </w:tcPr>
          <w:p w14:paraId="7D30DCF0" w14:textId="77777777" w:rsidR="00F665AD" w:rsidRPr="001533EC" w:rsidRDefault="00F665AD" w:rsidP="00652F66">
            <w:pPr>
              <w:rPr>
                <w:rFonts w:ascii="Arial" w:eastAsia="Times New Roman" w:hAnsi="Arial" w:cs="Arial"/>
                <w:sz w:val="36"/>
                <w:szCs w:val="36"/>
                <w:lang w:eastAsia="de-DE"/>
              </w:rPr>
            </w:pPr>
          </w:p>
        </w:tc>
        <w:tc>
          <w:tcPr>
            <w:tcW w:w="3040" w:type="dxa"/>
            <w:tcBorders>
              <w:top w:val="nil"/>
              <w:left w:val="nil"/>
              <w:bottom w:val="nil"/>
              <w:right w:val="nil"/>
            </w:tcBorders>
            <w:tcMar>
              <w:top w:w="15" w:type="dxa"/>
              <w:left w:w="15" w:type="dxa"/>
              <w:bottom w:w="0" w:type="dxa"/>
              <w:right w:w="15" w:type="dxa"/>
            </w:tcMar>
            <w:vAlign w:val="bottom"/>
            <w:hideMark/>
          </w:tcPr>
          <w:p w14:paraId="5698D65A" w14:textId="77777777" w:rsidR="00F665AD" w:rsidRPr="001533EC" w:rsidRDefault="00F665AD" w:rsidP="00652F66">
            <w:pPr>
              <w:spacing w:line="48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2</w:t>
            </w:r>
          </w:p>
        </w:tc>
        <w:tc>
          <w:tcPr>
            <w:tcW w:w="660" w:type="dxa"/>
            <w:tcBorders>
              <w:top w:val="nil"/>
              <w:left w:val="nil"/>
              <w:bottom w:val="nil"/>
              <w:right w:val="nil"/>
            </w:tcBorders>
            <w:tcMar>
              <w:top w:w="15" w:type="dxa"/>
              <w:left w:w="15" w:type="dxa"/>
              <w:bottom w:w="0" w:type="dxa"/>
              <w:right w:w="15" w:type="dxa"/>
            </w:tcMar>
            <w:vAlign w:val="bottom"/>
            <w:hideMark/>
          </w:tcPr>
          <w:p w14:paraId="40641B94" w14:textId="77777777" w:rsidR="00F665AD" w:rsidRPr="001533EC" w:rsidRDefault="00F665AD" w:rsidP="00652F66">
            <w:pPr>
              <w:rPr>
                <w:rFonts w:ascii="Arial" w:eastAsia="Times New Roman" w:hAnsi="Arial" w:cs="Arial"/>
                <w:sz w:val="36"/>
                <w:szCs w:val="36"/>
                <w:lang w:eastAsia="de-DE"/>
              </w:rPr>
            </w:pPr>
          </w:p>
        </w:tc>
        <w:tc>
          <w:tcPr>
            <w:tcW w:w="3200" w:type="dxa"/>
            <w:tcBorders>
              <w:top w:val="nil"/>
              <w:left w:val="nil"/>
              <w:bottom w:val="nil"/>
              <w:right w:val="nil"/>
            </w:tcBorders>
            <w:tcMar>
              <w:top w:w="15" w:type="dxa"/>
              <w:left w:w="15" w:type="dxa"/>
              <w:bottom w:w="0" w:type="dxa"/>
              <w:right w:w="15" w:type="dxa"/>
            </w:tcMar>
            <w:vAlign w:val="bottom"/>
            <w:hideMark/>
          </w:tcPr>
          <w:p w14:paraId="5B82D149" w14:textId="1F5527A0" w:rsidR="00F665AD" w:rsidRPr="001533EC" w:rsidRDefault="00F665AD" w:rsidP="00652F66">
            <w:pPr>
              <w:spacing w:line="48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4</w:t>
            </w:r>
            <w:r w:rsidR="008A21E6">
              <w:rPr>
                <w:rFonts w:eastAsia="Times New Roman"/>
                <w:kern w:val="24"/>
                <w:lang w:eastAsia="de-DE"/>
              </w:rPr>
              <w:t>8</w:t>
            </w:r>
          </w:p>
        </w:tc>
      </w:tr>
      <w:tr w:rsidR="00F665AD" w:rsidRPr="001533EC" w14:paraId="0B0CA795" w14:textId="77777777" w:rsidTr="00652F66">
        <w:trPr>
          <w:trHeight w:val="300"/>
        </w:trPr>
        <w:tc>
          <w:tcPr>
            <w:tcW w:w="2820" w:type="dxa"/>
            <w:tcBorders>
              <w:top w:val="nil"/>
              <w:left w:val="nil"/>
              <w:bottom w:val="nil"/>
              <w:right w:val="nil"/>
            </w:tcBorders>
            <w:tcMar>
              <w:top w:w="15" w:type="dxa"/>
              <w:left w:w="90" w:type="dxa"/>
              <w:bottom w:w="0" w:type="dxa"/>
              <w:right w:w="90" w:type="dxa"/>
            </w:tcMar>
            <w:hideMark/>
          </w:tcPr>
          <w:p w14:paraId="571D1D56" w14:textId="77777777" w:rsidR="00F665AD" w:rsidRPr="001533EC" w:rsidRDefault="00F665AD" w:rsidP="00652F66">
            <w:pPr>
              <w:spacing w:line="480" w:lineRule="auto"/>
              <w:jc w:val="right"/>
              <w:rPr>
                <w:rFonts w:ascii="Arial" w:eastAsia="Times New Roman" w:hAnsi="Arial" w:cs="Arial"/>
                <w:sz w:val="36"/>
                <w:szCs w:val="36"/>
                <w:lang w:eastAsia="de-DE"/>
              </w:rPr>
            </w:pPr>
            <w:r w:rsidRPr="001533EC">
              <w:rPr>
                <w:rFonts w:eastAsia="Times New Roman"/>
                <w:kern w:val="24"/>
                <w:lang w:eastAsia="de-DE"/>
              </w:rPr>
              <w:t>HDL cholesterol (mg/dL)</w:t>
            </w:r>
          </w:p>
        </w:tc>
        <w:tc>
          <w:tcPr>
            <w:tcW w:w="420" w:type="dxa"/>
            <w:tcBorders>
              <w:top w:val="nil"/>
              <w:left w:val="nil"/>
              <w:bottom w:val="nil"/>
              <w:right w:val="nil"/>
            </w:tcBorders>
            <w:tcMar>
              <w:top w:w="15" w:type="dxa"/>
              <w:left w:w="15" w:type="dxa"/>
              <w:bottom w:w="0" w:type="dxa"/>
              <w:right w:w="15" w:type="dxa"/>
            </w:tcMar>
            <w:vAlign w:val="bottom"/>
            <w:hideMark/>
          </w:tcPr>
          <w:p w14:paraId="12FB463C" w14:textId="77777777" w:rsidR="00F665AD" w:rsidRPr="001533EC" w:rsidRDefault="00F665AD" w:rsidP="00652F66">
            <w:pPr>
              <w:rPr>
                <w:rFonts w:ascii="Arial" w:eastAsia="Times New Roman" w:hAnsi="Arial" w:cs="Arial"/>
                <w:sz w:val="36"/>
                <w:szCs w:val="36"/>
                <w:lang w:eastAsia="de-DE"/>
              </w:rPr>
            </w:pPr>
          </w:p>
        </w:tc>
        <w:tc>
          <w:tcPr>
            <w:tcW w:w="3040" w:type="dxa"/>
            <w:tcBorders>
              <w:top w:val="nil"/>
              <w:left w:val="nil"/>
              <w:bottom w:val="nil"/>
              <w:right w:val="nil"/>
            </w:tcBorders>
            <w:tcMar>
              <w:top w:w="15" w:type="dxa"/>
              <w:left w:w="15" w:type="dxa"/>
              <w:bottom w:w="0" w:type="dxa"/>
              <w:right w:w="15" w:type="dxa"/>
            </w:tcMar>
            <w:vAlign w:val="bottom"/>
            <w:hideMark/>
          </w:tcPr>
          <w:p w14:paraId="4CC2250B" w14:textId="77777777" w:rsidR="00F665AD" w:rsidRPr="001533EC" w:rsidRDefault="00F665AD" w:rsidP="00652F66">
            <w:pPr>
              <w:spacing w:line="48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2</w:t>
            </w:r>
          </w:p>
        </w:tc>
        <w:tc>
          <w:tcPr>
            <w:tcW w:w="660" w:type="dxa"/>
            <w:tcBorders>
              <w:top w:val="nil"/>
              <w:left w:val="nil"/>
              <w:bottom w:val="nil"/>
              <w:right w:val="nil"/>
            </w:tcBorders>
            <w:tcMar>
              <w:top w:w="15" w:type="dxa"/>
              <w:left w:w="15" w:type="dxa"/>
              <w:bottom w:w="0" w:type="dxa"/>
              <w:right w:w="15" w:type="dxa"/>
            </w:tcMar>
            <w:vAlign w:val="bottom"/>
            <w:hideMark/>
          </w:tcPr>
          <w:p w14:paraId="4F13E825" w14:textId="77777777" w:rsidR="00F665AD" w:rsidRPr="001533EC" w:rsidRDefault="00F665AD" w:rsidP="00652F66">
            <w:pPr>
              <w:rPr>
                <w:rFonts w:ascii="Arial" w:eastAsia="Times New Roman" w:hAnsi="Arial" w:cs="Arial"/>
                <w:sz w:val="36"/>
                <w:szCs w:val="36"/>
                <w:lang w:eastAsia="de-DE"/>
              </w:rPr>
            </w:pPr>
          </w:p>
        </w:tc>
        <w:tc>
          <w:tcPr>
            <w:tcW w:w="3200" w:type="dxa"/>
            <w:tcBorders>
              <w:top w:val="nil"/>
              <w:left w:val="nil"/>
              <w:bottom w:val="nil"/>
              <w:right w:val="nil"/>
            </w:tcBorders>
            <w:tcMar>
              <w:top w:w="15" w:type="dxa"/>
              <w:left w:w="15" w:type="dxa"/>
              <w:bottom w:w="0" w:type="dxa"/>
              <w:right w:w="15" w:type="dxa"/>
            </w:tcMar>
            <w:vAlign w:val="bottom"/>
            <w:hideMark/>
          </w:tcPr>
          <w:p w14:paraId="49BDA26A" w14:textId="77777777" w:rsidR="00F665AD" w:rsidRPr="001533EC" w:rsidRDefault="00F665AD" w:rsidP="00652F66">
            <w:pPr>
              <w:spacing w:line="48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1</w:t>
            </w:r>
          </w:p>
        </w:tc>
      </w:tr>
      <w:tr w:rsidR="00F665AD" w:rsidRPr="001533EC" w14:paraId="1A69BA7C" w14:textId="77777777" w:rsidTr="00652F66">
        <w:trPr>
          <w:trHeight w:val="300"/>
        </w:trPr>
        <w:tc>
          <w:tcPr>
            <w:tcW w:w="2820" w:type="dxa"/>
            <w:tcBorders>
              <w:top w:val="nil"/>
              <w:left w:val="nil"/>
              <w:bottom w:val="nil"/>
              <w:right w:val="nil"/>
            </w:tcBorders>
            <w:tcMar>
              <w:top w:w="15" w:type="dxa"/>
              <w:left w:w="90" w:type="dxa"/>
              <w:bottom w:w="0" w:type="dxa"/>
              <w:right w:w="90" w:type="dxa"/>
            </w:tcMar>
            <w:hideMark/>
          </w:tcPr>
          <w:p w14:paraId="7F85C841" w14:textId="77777777" w:rsidR="00F665AD" w:rsidRPr="001533EC" w:rsidRDefault="00F665AD" w:rsidP="00652F66">
            <w:pPr>
              <w:spacing w:line="480" w:lineRule="auto"/>
              <w:jc w:val="right"/>
              <w:rPr>
                <w:rFonts w:ascii="Arial" w:eastAsia="Times New Roman" w:hAnsi="Arial" w:cs="Arial"/>
                <w:sz w:val="36"/>
                <w:szCs w:val="36"/>
                <w:lang w:eastAsia="de-DE"/>
              </w:rPr>
            </w:pPr>
            <w:r w:rsidRPr="001533EC">
              <w:rPr>
                <w:rFonts w:eastAsia="Times New Roman"/>
                <w:kern w:val="24"/>
                <w:lang w:eastAsia="de-DE"/>
              </w:rPr>
              <w:t>Triglycerides (mg/dL)</w:t>
            </w:r>
          </w:p>
        </w:tc>
        <w:tc>
          <w:tcPr>
            <w:tcW w:w="420" w:type="dxa"/>
            <w:tcBorders>
              <w:top w:val="nil"/>
              <w:left w:val="nil"/>
              <w:bottom w:val="nil"/>
              <w:right w:val="nil"/>
            </w:tcBorders>
            <w:tcMar>
              <w:top w:w="15" w:type="dxa"/>
              <w:left w:w="15" w:type="dxa"/>
              <w:bottom w:w="0" w:type="dxa"/>
              <w:right w:w="15" w:type="dxa"/>
            </w:tcMar>
            <w:vAlign w:val="bottom"/>
            <w:hideMark/>
          </w:tcPr>
          <w:p w14:paraId="4A60709B" w14:textId="77777777" w:rsidR="00F665AD" w:rsidRPr="001533EC" w:rsidRDefault="00F665AD" w:rsidP="00652F66">
            <w:pPr>
              <w:rPr>
                <w:rFonts w:ascii="Arial" w:eastAsia="Times New Roman" w:hAnsi="Arial" w:cs="Arial"/>
                <w:sz w:val="36"/>
                <w:szCs w:val="36"/>
                <w:lang w:eastAsia="de-DE"/>
              </w:rPr>
            </w:pPr>
          </w:p>
        </w:tc>
        <w:tc>
          <w:tcPr>
            <w:tcW w:w="3040" w:type="dxa"/>
            <w:tcBorders>
              <w:top w:val="nil"/>
              <w:left w:val="nil"/>
              <w:bottom w:val="nil"/>
              <w:right w:val="nil"/>
            </w:tcBorders>
            <w:tcMar>
              <w:top w:w="15" w:type="dxa"/>
              <w:left w:w="15" w:type="dxa"/>
              <w:bottom w:w="0" w:type="dxa"/>
              <w:right w:w="15" w:type="dxa"/>
            </w:tcMar>
            <w:vAlign w:val="bottom"/>
            <w:hideMark/>
          </w:tcPr>
          <w:p w14:paraId="70CCC20C" w14:textId="77777777" w:rsidR="00F665AD" w:rsidRPr="001533EC" w:rsidRDefault="00F665AD" w:rsidP="00652F66">
            <w:pPr>
              <w:spacing w:line="48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6</w:t>
            </w:r>
          </w:p>
        </w:tc>
        <w:tc>
          <w:tcPr>
            <w:tcW w:w="660" w:type="dxa"/>
            <w:tcBorders>
              <w:top w:val="nil"/>
              <w:left w:val="nil"/>
              <w:bottom w:val="nil"/>
              <w:right w:val="nil"/>
            </w:tcBorders>
            <w:tcMar>
              <w:top w:w="15" w:type="dxa"/>
              <w:left w:w="15" w:type="dxa"/>
              <w:bottom w:w="0" w:type="dxa"/>
              <w:right w:w="15" w:type="dxa"/>
            </w:tcMar>
            <w:vAlign w:val="bottom"/>
            <w:hideMark/>
          </w:tcPr>
          <w:p w14:paraId="7A3D3B18" w14:textId="77777777" w:rsidR="00F665AD" w:rsidRPr="001533EC" w:rsidRDefault="00F665AD" w:rsidP="00652F66">
            <w:pPr>
              <w:rPr>
                <w:rFonts w:ascii="Arial" w:eastAsia="Times New Roman" w:hAnsi="Arial" w:cs="Arial"/>
                <w:sz w:val="36"/>
                <w:szCs w:val="36"/>
                <w:lang w:eastAsia="de-DE"/>
              </w:rPr>
            </w:pPr>
          </w:p>
        </w:tc>
        <w:tc>
          <w:tcPr>
            <w:tcW w:w="3200" w:type="dxa"/>
            <w:tcBorders>
              <w:top w:val="nil"/>
              <w:left w:val="nil"/>
              <w:bottom w:val="nil"/>
              <w:right w:val="nil"/>
            </w:tcBorders>
            <w:tcMar>
              <w:top w:w="15" w:type="dxa"/>
              <w:left w:w="15" w:type="dxa"/>
              <w:bottom w:w="0" w:type="dxa"/>
              <w:right w:w="15" w:type="dxa"/>
            </w:tcMar>
            <w:vAlign w:val="bottom"/>
            <w:hideMark/>
          </w:tcPr>
          <w:p w14:paraId="1A1107EC" w14:textId="20DDE20C" w:rsidR="00F665AD" w:rsidRPr="001533EC" w:rsidRDefault="00F665AD" w:rsidP="00652F66">
            <w:pPr>
              <w:spacing w:line="48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8</w:t>
            </w:r>
            <w:r w:rsidR="008A21E6">
              <w:rPr>
                <w:rFonts w:eastAsia="Times New Roman"/>
                <w:kern w:val="24"/>
                <w:lang w:eastAsia="de-DE"/>
              </w:rPr>
              <w:t>3</w:t>
            </w:r>
          </w:p>
        </w:tc>
      </w:tr>
      <w:tr w:rsidR="00F665AD" w:rsidRPr="001533EC" w14:paraId="7BDC67EB" w14:textId="77777777" w:rsidTr="00652F66">
        <w:trPr>
          <w:trHeight w:val="300"/>
        </w:trPr>
        <w:tc>
          <w:tcPr>
            <w:tcW w:w="2820" w:type="dxa"/>
            <w:tcBorders>
              <w:top w:val="nil"/>
              <w:left w:val="nil"/>
              <w:bottom w:val="nil"/>
              <w:right w:val="nil"/>
            </w:tcBorders>
            <w:tcMar>
              <w:top w:w="15" w:type="dxa"/>
              <w:left w:w="90" w:type="dxa"/>
              <w:bottom w:w="0" w:type="dxa"/>
              <w:right w:w="90" w:type="dxa"/>
            </w:tcMar>
            <w:hideMark/>
          </w:tcPr>
          <w:p w14:paraId="6523E10A" w14:textId="77777777" w:rsidR="00F665AD" w:rsidRPr="001533EC" w:rsidRDefault="00F665AD" w:rsidP="00652F66">
            <w:pPr>
              <w:spacing w:line="480" w:lineRule="auto"/>
              <w:jc w:val="right"/>
              <w:rPr>
                <w:rFonts w:ascii="Arial" w:eastAsia="Times New Roman" w:hAnsi="Arial" w:cs="Arial"/>
                <w:sz w:val="36"/>
                <w:szCs w:val="36"/>
                <w:lang w:eastAsia="de-DE"/>
              </w:rPr>
            </w:pPr>
            <w:r w:rsidRPr="001533EC">
              <w:rPr>
                <w:rFonts w:eastAsia="Times New Roman"/>
                <w:kern w:val="24"/>
                <w:lang w:eastAsia="de-DE"/>
              </w:rPr>
              <w:t>LDL cholesterol (mg/dL)</w:t>
            </w:r>
          </w:p>
        </w:tc>
        <w:tc>
          <w:tcPr>
            <w:tcW w:w="420" w:type="dxa"/>
            <w:tcBorders>
              <w:top w:val="nil"/>
              <w:left w:val="nil"/>
              <w:bottom w:val="nil"/>
              <w:right w:val="nil"/>
            </w:tcBorders>
            <w:tcMar>
              <w:top w:w="15" w:type="dxa"/>
              <w:left w:w="15" w:type="dxa"/>
              <w:bottom w:w="0" w:type="dxa"/>
              <w:right w:w="15" w:type="dxa"/>
            </w:tcMar>
            <w:vAlign w:val="bottom"/>
            <w:hideMark/>
          </w:tcPr>
          <w:p w14:paraId="2C7D2D1A" w14:textId="77777777" w:rsidR="00F665AD" w:rsidRPr="001533EC" w:rsidRDefault="00F665AD" w:rsidP="00652F66">
            <w:pPr>
              <w:rPr>
                <w:rFonts w:ascii="Arial" w:eastAsia="Times New Roman" w:hAnsi="Arial" w:cs="Arial"/>
                <w:sz w:val="36"/>
                <w:szCs w:val="36"/>
                <w:lang w:eastAsia="de-DE"/>
              </w:rPr>
            </w:pPr>
          </w:p>
        </w:tc>
        <w:tc>
          <w:tcPr>
            <w:tcW w:w="3040" w:type="dxa"/>
            <w:tcBorders>
              <w:top w:val="nil"/>
              <w:left w:val="nil"/>
              <w:bottom w:val="nil"/>
              <w:right w:val="nil"/>
            </w:tcBorders>
            <w:tcMar>
              <w:top w:w="15" w:type="dxa"/>
              <w:left w:w="15" w:type="dxa"/>
              <w:bottom w:w="0" w:type="dxa"/>
              <w:right w:w="15" w:type="dxa"/>
            </w:tcMar>
            <w:vAlign w:val="bottom"/>
            <w:hideMark/>
          </w:tcPr>
          <w:p w14:paraId="59380A92" w14:textId="77777777" w:rsidR="00F665AD" w:rsidRPr="001533EC" w:rsidRDefault="00F665AD" w:rsidP="00652F66">
            <w:pPr>
              <w:spacing w:line="48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4</w:t>
            </w:r>
          </w:p>
        </w:tc>
        <w:tc>
          <w:tcPr>
            <w:tcW w:w="660" w:type="dxa"/>
            <w:tcBorders>
              <w:top w:val="nil"/>
              <w:left w:val="nil"/>
              <w:bottom w:val="nil"/>
              <w:right w:val="nil"/>
            </w:tcBorders>
            <w:tcMar>
              <w:top w:w="15" w:type="dxa"/>
              <w:left w:w="15" w:type="dxa"/>
              <w:bottom w:w="0" w:type="dxa"/>
              <w:right w:w="15" w:type="dxa"/>
            </w:tcMar>
            <w:vAlign w:val="bottom"/>
            <w:hideMark/>
          </w:tcPr>
          <w:p w14:paraId="55FA71DB" w14:textId="77777777" w:rsidR="00F665AD" w:rsidRPr="001533EC" w:rsidRDefault="00F665AD" w:rsidP="00652F66">
            <w:pPr>
              <w:rPr>
                <w:rFonts w:ascii="Arial" w:eastAsia="Times New Roman" w:hAnsi="Arial" w:cs="Arial"/>
                <w:sz w:val="36"/>
                <w:szCs w:val="36"/>
                <w:lang w:eastAsia="de-DE"/>
              </w:rPr>
            </w:pPr>
          </w:p>
        </w:tc>
        <w:tc>
          <w:tcPr>
            <w:tcW w:w="3200" w:type="dxa"/>
            <w:tcBorders>
              <w:top w:val="nil"/>
              <w:left w:val="nil"/>
              <w:bottom w:val="nil"/>
              <w:right w:val="nil"/>
            </w:tcBorders>
            <w:tcMar>
              <w:top w:w="15" w:type="dxa"/>
              <w:left w:w="15" w:type="dxa"/>
              <w:bottom w:w="0" w:type="dxa"/>
              <w:right w:w="15" w:type="dxa"/>
            </w:tcMar>
            <w:vAlign w:val="bottom"/>
            <w:hideMark/>
          </w:tcPr>
          <w:p w14:paraId="03EED134" w14:textId="7B3598D2" w:rsidR="00F665AD" w:rsidRPr="001533EC" w:rsidRDefault="008A21E6" w:rsidP="00652F66">
            <w:pPr>
              <w:spacing w:line="480" w:lineRule="auto"/>
              <w:jc w:val="center"/>
              <w:textAlignment w:val="bottom"/>
              <w:rPr>
                <w:rFonts w:ascii="Arial" w:eastAsia="Times New Roman" w:hAnsi="Arial" w:cs="Arial"/>
                <w:sz w:val="36"/>
                <w:szCs w:val="36"/>
                <w:lang w:eastAsia="de-DE"/>
              </w:rPr>
            </w:pPr>
            <w:r>
              <w:rPr>
                <w:rFonts w:eastAsia="Times New Roman"/>
                <w:kern w:val="24"/>
                <w:lang w:eastAsia="de-DE"/>
              </w:rPr>
              <w:t>0</w:t>
            </w:r>
          </w:p>
        </w:tc>
      </w:tr>
      <w:tr w:rsidR="00F665AD" w:rsidRPr="001533EC" w14:paraId="4A3E311A" w14:textId="77777777" w:rsidTr="00652F66">
        <w:trPr>
          <w:trHeight w:val="300"/>
        </w:trPr>
        <w:tc>
          <w:tcPr>
            <w:tcW w:w="2820" w:type="dxa"/>
            <w:tcBorders>
              <w:top w:val="nil"/>
              <w:left w:val="nil"/>
              <w:bottom w:val="nil"/>
              <w:right w:val="nil"/>
            </w:tcBorders>
            <w:tcMar>
              <w:top w:w="15" w:type="dxa"/>
              <w:left w:w="15" w:type="dxa"/>
              <w:bottom w:w="0" w:type="dxa"/>
              <w:right w:w="15" w:type="dxa"/>
            </w:tcMar>
            <w:vAlign w:val="bottom"/>
            <w:hideMark/>
          </w:tcPr>
          <w:p w14:paraId="518B8CC5" w14:textId="5234AA29" w:rsidR="00F665AD" w:rsidRPr="001533EC" w:rsidRDefault="00F665AD" w:rsidP="00652F66">
            <w:pPr>
              <w:spacing w:line="480" w:lineRule="auto"/>
              <w:jc w:val="right"/>
              <w:textAlignment w:val="bottom"/>
              <w:rPr>
                <w:rFonts w:ascii="Arial" w:eastAsia="Times New Roman" w:hAnsi="Arial" w:cs="Arial"/>
                <w:sz w:val="36"/>
                <w:szCs w:val="36"/>
                <w:lang w:eastAsia="de-DE"/>
              </w:rPr>
            </w:pPr>
            <w:r w:rsidRPr="001533EC">
              <w:rPr>
                <w:rFonts w:eastAsia="Times New Roman"/>
                <w:kern w:val="24"/>
                <w:lang w:eastAsia="de-DE"/>
              </w:rPr>
              <w:t>Fasting insulin (</w:t>
            </w:r>
            <w:proofErr w:type="spellStart"/>
            <w:r w:rsidR="0051587F">
              <w:rPr>
                <w:rFonts w:eastAsia="Times New Roman"/>
                <w:kern w:val="24"/>
                <w:lang w:eastAsia="de-DE"/>
              </w:rPr>
              <w:t>pmol</w:t>
            </w:r>
            <w:proofErr w:type="spellEnd"/>
            <w:r w:rsidRPr="001533EC">
              <w:rPr>
                <w:rFonts w:eastAsia="Times New Roman"/>
                <w:kern w:val="24"/>
                <w:lang w:eastAsia="de-DE"/>
              </w:rPr>
              <w:t>/L)</w:t>
            </w:r>
          </w:p>
        </w:tc>
        <w:tc>
          <w:tcPr>
            <w:tcW w:w="420" w:type="dxa"/>
            <w:tcBorders>
              <w:top w:val="nil"/>
              <w:left w:val="nil"/>
              <w:bottom w:val="nil"/>
              <w:right w:val="nil"/>
            </w:tcBorders>
            <w:tcMar>
              <w:top w:w="15" w:type="dxa"/>
              <w:left w:w="15" w:type="dxa"/>
              <w:bottom w:w="0" w:type="dxa"/>
              <w:right w:w="15" w:type="dxa"/>
            </w:tcMar>
            <w:vAlign w:val="bottom"/>
            <w:hideMark/>
          </w:tcPr>
          <w:p w14:paraId="71A438B5" w14:textId="77777777" w:rsidR="00F665AD" w:rsidRPr="001533EC" w:rsidRDefault="00F665AD" w:rsidP="00652F66">
            <w:pPr>
              <w:rPr>
                <w:rFonts w:ascii="Arial" w:eastAsia="Times New Roman" w:hAnsi="Arial" w:cs="Arial"/>
                <w:sz w:val="36"/>
                <w:szCs w:val="36"/>
                <w:lang w:eastAsia="de-DE"/>
              </w:rPr>
            </w:pPr>
          </w:p>
        </w:tc>
        <w:tc>
          <w:tcPr>
            <w:tcW w:w="3040" w:type="dxa"/>
            <w:tcBorders>
              <w:top w:val="nil"/>
              <w:left w:val="nil"/>
              <w:bottom w:val="nil"/>
              <w:right w:val="nil"/>
            </w:tcBorders>
            <w:tcMar>
              <w:top w:w="15" w:type="dxa"/>
              <w:left w:w="15" w:type="dxa"/>
              <w:bottom w:w="0" w:type="dxa"/>
              <w:right w:w="15" w:type="dxa"/>
            </w:tcMar>
            <w:vAlign w:val="bottom"/>
            <w:hideMark/>
          </w:tcPr>
          <w:p w14:paraId="44205B1C" w14:textId="77777777" w:rsidR="00F665AD" w:rsidRPr="001533EC" w:rsidRDefault="00F665AD" w:rsidP="00652F66">
            <w:pPr>
              <w:spacing w:line="48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1</w:t>
            </w:r>
          </w:p>
        </w:tc>
        <w:tc>
          <w:tcPr>
            <w:tcW w:w="660" w:type="dxa"/>
            <w:tcBorders>
              <w:top w:val="nil"/>
              <w:left w:val="nil"/>
              <w:bottom w:val="nil"/>
              <w:right w:val="nil"/>
            </w:tcBorders>
            <w:tcMar>
              <w:top w:w="15" w:type="dxa"/>
              <w:left w:w="15" w:type="dxa"/>
              <w:bottom w:w="0" w:type="dxa"/>
              <w:right w:w="15" w:type="dxa"/>
            </w:tcMar>
            <w:vAlign w:val="bottom"/>
            <w:hideMark/>
          </w:tcPr>
          <w:p w14:paraId="2854159E" w14:textId="77777777" w:rsidR="00F665AD" w:rsidRPr="001533EC" w:rsidRDefault="00F665AD" w:rsidP="00652F66">
            <w:pPr>
              <w:rPr>
                <w:rFonts w:ascii="Arial" w:eastAsia="Times New Roman" w:hAnsi="Arial" w:cs="Arial"/>
                <w:sz w:val="36"/>
                <w:szCs w:val="36"/>
                <w:lang w:eastAsia="de-DE"/>
              </w:rPr>
            </w:pPr>
          </w:p>
        </w:tc>
        <w:tc>
          <w:tcPr>
            <w:tcW w:w="3200" w:type="dxa"/>
            <w:tcBorders>
              <w:top w:val="nil"/>
              <w:left w:val="nil"/>
              <w:bottom w:val="nil"/>
              <w:right w:val="nil"/>
            </w:tcBorders>
            <w:tcMar>
              <w:top w:w="15" w:type="dxa"/>
              <w:left w:w="15" w:type="dxa"/>
              <w:bottom w:w="0" w:type="dxa"/>
              <w:right w:w="15" w:type="dxa"/>
            </w:tcMar>
            <w:vAlign w:val="bottom"/>
            <w:hideMark/>
          </w:tcPr>
          <w:p w14:paraId="3CCE1D13" w14:textId="4970BE7C" w:rsidR="00F665AD" w:rsidRPr="001533EC" w:rsidRDefault="008A21E6" w:rsidP="00652F66">
            <w:pPr>
              <w:spacing w:line="480" w:lineRule="auto"/>
              <w:jc w:val="center"/>
              <w:textAlignment w:val="bottom"/>
              <w:rPr>
                <w:rFonts w:ascii="Arial" w:eastAsia="Times New Roman" w:hAnsi="Arial" w:cs="Arial"/>
                <w:sz w:val="36"/>
                <w:szCs w:val="36"/>
                <w:lang w:eastAsia="de-DE"/>
              </w:rPr>
            </w:pPr>
            <w:r>
              <w:rPr>
                <w:rFonts w:eastAsia="Times New Roman"/>
                <w:kern w:val="24"/>
                <w:lang w:eastAsia="de-DE"/>
              </w:rPr>
              <w:t>23</w:t>
            </w:r>
          </w:p>
        </w:tc>
      </w:tr>
      <w:tr w:rsidR="00F665AD" w:rsidRPr="001533EC" w14:paraId="28A4A7DE" w14:textId="77777777" w:rsidTr="00652F66">
        <w:trPr>
          <w:trHeight w:val="300"/>
        </w:trPr>
        <w:tc>
          <w:tcPr>
            <w:tcW w:w="2820" w:type="dxa"/>
            <w:tcBorders>
              <w:top w:val="nil"/>
              <w:left w:val="nil"/>
              <w:bottom w:val="nil"/>
              <w:right w:val="nil"/>
            </w:tcBorders>
            <w:tcMar>
              <w:top w:w="15" w:type="dxa"/>
              <w:left w:w="15" w:type="dxa"/>
              <w:bottom w:w="0" w:type="dxa"/>
              <w:right w:w="15" w:type="dxa"/>
            </w:tcMar>
            <w:vAlign w:val="bottom"/>
            <w:hideMark/>
          </w:tcPr>
          <w:p w14:paraId="4EEE8C0F" w14:textId="77777777" w:rsidR="00F665AD" w:rsidRPr="001533EC" w:rsidRDefault="00F665AD" w:rsidP="00652F66">
            <w:pPr>
              <w:spacing w:line="480" w:lineRule="auto"/>
              <w:jc w:val="right"/>
              <w:textAlignment w:val="bottom"/>
              <w:rPr>
                <w:rFonts w:ascii="Arial" w:eastAsia="Times New Roman" w:hAnsi="Arial" w:cs="Arial"/>
                <w:sz w:val="36"/>
                <w:szCs w:val="36"/>
                <w:lang w:eastAsia="de-DE"/>
              </w:rPr>
            </w:pPr>
            <w:r w:rsidRPr="001533EC">
              <w:rPr>
                <w:rFonts w:eastAsia="Times New Roman"/>
                <w:kern w:val="24"/>
                <w:lang w:eastAsia="de-DE"/>
              </w:rPr>
              <w:t>HOMA-IR</w:t>
            </w:r>
          </w:p>
        </w:tc>
        <w:tc>
          <w:tcPr>
            <w:tcW w:w="420" w:type="dxa"/>
            <w:tcBorders>
              <w:top w:val="nil"/>
              <w:left w:val="nil"/>
              <w:bottom w:val="nil"/>
              <w:right w:val="nil"/>
            </w:tcBorders>
            <w:tcMar>
              <w:top w:w="15" w:type="dxa"/>
              <w:left w:w="15" w:type="dxa"/>
              <w:bottom w:w="0" w:type="dxa"/>
              <w:right w:w="15" w:type="dxa"/>
            </w:tcMar>
            <w:vAlign w:val="bottom"/>
            <w:hideMark/>
          </w:tcPr>
          <w:p w14:paraId="307FFE95" w14:textId="77777777" w:rsidR="00F665AD" w:rsidRPr="001533EC" w:rsidRDefault="00F665AD" w:rsidP="00652F66">
            <w:pPr>
              <w:rPr>
                <w:rFonts w:ascii="Arial" w:eastAsia="Times New Roman" w:hAnsi="Arial" w:cs="Arial"/>
                <w:sz w:val="36"/>
                <w:szCs w:val="36"/>
                <w:lang w:eastAsia="de-DE"/>
              </w:rPr>
            </w:pPr>
          </w:p>
        </w:tc>
        <w:tc>
          <w:tcPr>
            <w:tcW w:w="3040" w:type="dxa"/>
            <w:tcBorders>
              <w:top w:val="nil"/>
              <w:left w:val="nil"/>
              <w:bottom w:val="nil"/>
              <w:right w:val="nil"/>
            </w:tcBorders>
            <w:tcMar>
              <w:top w:w="15" w:type="dxa"/>
              <w:left w:w="15" w:type="dxa"/>
              <w:bottom w:w="0" w:type="dxa"/>
              <w:right w:w="15" w:type="dxa"/>
            </w:tcMar>
            <w:vAlign w:val="bottom"/>
            <w:hideMark/>
          </w:tcPr>
          <w:p w14:paraId="39565985" w14:textId="77777777" w:rsidR="00F665AD" w:rsidRPr="001533EC" w:rsidRDefault="00F665AD" w:rsidP="00652F66">
            <w:pPr>
              <w:spacing w:line="480" w:lineRule="auto"/>
              <w:jc w:val="center"/>
              <w:textAlignment w:val="bottom"/>
              <w:rPr>
                <w:rFonts w:ascii="Arial" w:eastAsia="Times New Roman" w:hAnsi="Arial" w:cs="Arial"/>
                <w:sz w:val="36"/>
                <w:szCs w:val="36"/>
                <w:lang w:eastAsia="de-DE"/>
              </w:rPr>
            </w:pPr>
            <w:r w:rsidRPr="001533EC">
              <w:rPr>
                <w:rFonts w:eastAsia="Times New Roman"/>
                <w:kern w:val="24"/>
                <w:lang w:eastAsia="de-DE"/>
              </w:rPr>
              <w:t>0</w:t>
            </w:r>
          </w:p>
        </w:tc>
        <w:tc>
          <w:tcPr>
            <w:tcW w:w="660" w:type="dxa"/>
            <w:tcBorders>
              <w:top w:val="nil"/>
              <w:left w:val="nil"/>
              <w:bottom w:val="nil"/>
              <w:right w:val="nil"/>
            </w:tcBorders>
            <w:tcMar>
              <w:top w:w="15" w:type="dxa"/>
              <w:left w:w="15" w:type="dxa"/>
              <w:bottom w:w="0" w:type="dxa"/>
              <w:right w:w="15" w:type="dxa"/>
            </w:tcMar>
            <w:vAlign w:val="bottom"/>
            <w:hideMark/>
          </w:tcPr>
          <w:p w14:paraId="40B5106B" w14:textId="77777777" w:rsidR="00F665AD" w:rsidRPr="001533EC" w:rsidRDefault="00F665AD" w:rsidP="00652F66">
            <w:pPr>
              <w:rPr>
                <w:rFonts w:ascii="Arial" w:eastAsia="Times New Roman" w:hAnsi="Arial" w:cs="Arial"/>
                <w:sz w:val="36"/>
                <w:szCs w:val="36"/>
                <w:lang w:eastAsia="de-DE"/>
              </w:rPr>
            </w:pPr>
          </w:p>
        </w:tc>
        <w:tc>
          <w:tcPr>
            <w:tcW w:w="3200" w:type="dxa"/>
            <w:tcBorders>
              <w:top w:val="nil"/>
              <w:left w:val="nil"/>
              <w:bottom w:val="nil"/>
              <w:right w:val="nil"/>
            </w:tcBorders>
            <w:tcMar>
              <w:top w:w="15" w:type="dxa"/>
              <w:left w:w="15" w:type="dxa"/>
              <w:bottom w:w="0" w:type="dxa"/>
              <w:right w:w="15" w:type="dxa"/>
            </w:tcMar>
            <w:vAlign w:val="bottom"/>
            <w:hideMark/>
          </w:tcPr>
          <w:p w14:paraId="7D43AF2F" w14:textId="054881DA" w:rsidR="00F665AD" w:rsidRPr="001533EC" w:rsidRDefault="008A21E6" w:rsidP="00652F66">
            <w:pPr>
              <w:spacing w:line="480" w:lineRule="auto"/>
              <w:jc w:val="center"/>
              <w:textAlignment w:val="bottom"/>
              <w:rPr>
                <w:rFonts w:ascii="Arial" w:eastAsia="Times New Roman" w:hAnsi="Arial" w:cs="Arial"/>
                <w:sz w:val="36"/>
                <w:szCs w:val="36"/>
                <w:lang w:eastAsia="de-DE"/>
              </w:rPr>
            </w:pPr>
            <w:r>
              <w:rPr>
                <w:rFonts w:eastAsia="Times New Roman"/>
                <w:kern w:val="24"/>
                <w:lang w:eastAsia="de-DE"/>
              </w:rPr>
              <w:t xml:space="preserve">45 </w:t>
            </w:r>
          </w:p>
        </w:tc>
      </w:tr>
      <w:tr w:rsidR="00F665AD" w:rsidRPr="001533EC" w14:paraId="062983EF" w14:textId="77777777" w:rsidTr="00652F66">
        <w:trPr>
          <w:trHeight w:val="57"/>
        </w:trPr>
        <w:tc>
          <w:tcPr>
            <w:tcW w:w="2820" w:type="dxa"/>
            <w:tcBorders>
              <w:top w:val="nil"/>
              <w:left w:val="nil"/>
              <w:bottom w:val="single" w:sz="8" w:space="0" w:color="000000"/>
              <w:right w:val="nil"/>
            </w:tcBorders>
            <w:tcMar>
              <w:top w:w="15" w:type="dxa"/>
              <w:left w:w="15" w:type="dxa"/>
              <w:bottom w:w="0" w:type="dxa"/>
              <w:right w:w="15" w:type="dxa"/>
            </w:tcMar>
            <w:vAlign w:val="bottom"/>
            <w:hideMark/>
          </w:tcPr>
          <w:p w14:paraId="4FC8CAFC" w14:textId="77777777" w:rsidR="00F665AD" w:rsidRPr="001533EC" w:rsidRDefault="00F665AD" w:rsidP="00652F66">
            <w:pPr>
              <w:rPr>
                <w:rFonts w:ascii="Arial" w:eastAsia="Times New Roman" w:hAnsi="Arial" w:cs="Arial"/>
                <w:sz w:val="36"/>
                <w:szCs w:val="36"/>
                <w:lang w:eastAsia="de-DE"/>
              </w:rPr>
            </w:pPr>
          </w:p>
        </w:tc>
        <w:tc>
          <w:tcPr>
            <w:tcW w:w="420" w:type="dxa"/>
            <w:tcBorders>
              <w:top w:val="nil"/>
              <w:left w:val="nil"/>
              <w:bottom w:val="single" w:sz="8" w:space="0" w:color="000000"/>
              <w:right w:val="nil"/>
            </w:tcBorders>
            <w:tcMar>
              <w:top w:w="15" w:type="dxa"/>
              <w:left w:w="15" w:type="dxa"/>
              <w:bottom w:w="0" w:type="dxa"/>
              <w:right w:w="15" w:type="dxa"/>
            </w:tcMar>
            <w:vAlign w:val="bottom"/>
            <w:hideMark/>
          </w:tcPr>
          <w:p w14:paraId="65200F7E" w14:textId="77777777" w:rsidR="00F665AD" w:rsidRPr="001533EC" w:rsidRDefault="00F665AD" w:rsidP="00652F66">
            <w:pPr>
              <w:rPr>
                <w:rFonts w:eastAsia="Times New Roman"/>
                <w:lang w:eastAsia="de-DE"/>
              </w:rPr>
            </w:pPr>
          </w:p>
        </w:tc>
        <w:tc>
          <w:tcPr>
            <w:tcW w:w="3040" w:type="dxa"/>
            <w:tcBorders>
              <w:top w:val="nil"/>
              <w:left w:val="nil"/>
              <w:bottom w:val="single" w:sz="8" w:space="0" w:color="000000"/>
              <w:right w:val="nil"/>
            </w:tcBorders>
            <w:tcMar>
              <w:top w:w="15" w:type="dxa"/>
              <w:left w:w="15" w:type="dxa"/>
              <w:bottom w:w="0" w:type="dxa"/>
              <w:right w:w="15" w:type="dxa"/>
            </w:tcMar>
            <w:vAlign w:val="bottom"/>
            <w:hideMark/>
          </w:tcPr>
          <w:p w14:paraId="19FF4ED6" w14:textId="77777777" w:rsidR="00F665AD" w:rsidRPr="001533EC" w:rsidRDefault="00F665AD" w:rsidP="00652F66">
            <w:pPr>
              <w:rPr>
                <w:rFonts w:eastAsia="Times New Roman"/>
                <w:lang w:eastAsia="de-DE"/>
              </w:rPr>
            </w:pPr>
          </w:p>
        </w:tc>
        <w:tc>
          <w:tcPr>
            <w:tcW w:w="660" w:type="dxa"/>
            <w:tcBorders>
              <w:top w:val="nil"/>
              <w:left w:val="nil"/>
              <w:bottom w:val="single" w:sz="8" w:space="0" w:color="000000"/>
              <w:right w:val="nil"/>
            </w:tcBorders>
            <w:tcMar>
              <w:top w:w="15" w:type="dxa"/>
              <w:left w:w="15" w:type="dxa"/>
              <w:bottom w:w="0" w:type="dxa"/>
              <w:right w:w="15" w:type="dxa"/>
            </w:tcMar>
            <w:vAlign w:val="bottom"/>
            <w:hideMark/>
          </w:tcPr>
          <w:p w14:paraId="72801718" w14:textId="77777777" w:rsidR="00F665AD" w:rsidRPr="001533EC" w:rsidRDefault="00F665AD" w:rsidP="00652F66">
            <w:pPr>
              <w:rPr>
                <w:rFonts w:eastAsia="Times New Roman"/>
                <w:lang w:eastAsia="de-DE"/>
              </w:rPr>
            </w:pPr>
          </w:p>
        </w:tc>
        <w:tc>
          <w:tcPr>
            <w:tcW w:w="3200" w:type="dxa"/>
            <w:tcBorders>
              <w:top w:val="nil"/>
              <w:left w:val="nil"/>
              <w:bottom w:val="single" w:sz="8" w:space="0" w:color="000000"/>
              <w:right w:val="nil"/>
            </w:tcBorders>
            <w:tcMar>
              <w:top w:w="15" w:type="dxa"/>
              <w:left w:w="15" w:type="dxa"/>
              <w:bottom w:w="0" w:type="dxa"/>
              <w:right w:w="15" w:type="dxa"/>
            </w:tcMar>
            <w:vAlign w:val="bottom"/>
            <w:hideMark/>
          </w:tcPr>
          <w:p w14:paraId="3702EC21" w14:textId="77777777" w:rsidR="00F665AD" w:rsidRPr="001533EC" w:rsidRDefault="00F665AD" w:rsidP="00652F66">
            <w:pPr>
              <w:rPr>
                <w:rFonts w:eastAsia="Times New Roman"/>
                <w:lang w:eastAsia="de-DE"/>
              </w:rPr>
            </w:pPr>
          </w:p>
        </w:tc>
      </w:tr>
    </w:tbl>
    <w:p w14:paraId="01B7286B" w14:textId="49AA43C3" w:rsidR="00F665AD" w:rsidRPr="001533EC" w:rsidRDefault="00F665AD" w:rsidP="00F665AD">
      <w:pPr>
        <w:tabs>
          <w:tab w:val="left" w:pos="1870"/>
        </w:tabs>
        <w:kinsoku w:val="0"/>
        <w:overflowPunct w:val="0"/>
        <w:jc w:val="both"/>
        <w:textAlignment w:val="baseline"/>
        <w:rPr>
          <w:rFonts w:eastAsia="Times New Roman"/>
          <w:sz w:val="24"/>
          <w:szCs w:val="24"/>
          <w:lang w:val="en-GB" w:eastAsia="de-DE"/>
        </w:rPr>
      </w:pPr>
      <w:r w:rsidRPr="001533EC">
        <w:rPr>
          <w:rFonts w:eastAsia="+mn-ea"/>
          <w:kern w:val="24"/>
          <w:lang w:val="en-GB" w:eastAsia="de-DE"/>
        </w:rPr>
        <w:t xml:space="preserve">Each number corresponds to the number of significantly correlated CpG sites with the corresponding clinical characteristics/variables. The Spearman correlation test was performed for this subset of </w:t>
      </w:r>
      <w:proofErr w:type="spellStart"/>
      <w:r w:rsidRPr="001533EC">
        <w:rPr>
          <w:rFonts w:eastAsia="+mn-ea"/>
          <w:kern w:val="24"/>
          <w:lang w:val="en-GB" w:eastAsia="de-DE"/>
        </w:rPr>
        <w:t>CpGs</w:t>
      </w:r>
      <w:proofErr w:type="spellEnd"/>
      <w:r w:rsidRPr="001533EC">
        <w:rPr>
          <w:rFonts w:eastAsia="+mn-ea"/>
          <w:kern w:val="24"/>
          <w:lang w:val="en-GB" w:eastAsia="de-DE"/>
        </w:rPr>
        <w:t xml:space="preserve"> and beta values were used for the correlation analysis. The p-value was adjusted using </w:t>
      </w:r>
      <w:proofErr w:type="spellStart"/>
      <w:r w:rsidRPr="001533EC">
        <w:rPr>
          <w:rFonts w:eastAsia="+mn-ea"/>
          <w:kern w:val="24"/>
          <w:lang w:val="en-GB" w:eastAsia="de-DE"/>
        </w:rPr>
        <w:t>Benjamini.Hochberg</w:t>
      </w:r>
      <w:proofErr w:type="spellEnd"/>
      <w:r w:rsidRPr="001533EC">
        <w:rPr>
          <w:rFonts w:eastAsia="+mn-ea"/>
          <w:kern w:val="24"/>
          <w:lang w:val="en-GB" w:eastAsia="de-DE"/>
        </w:rPr>
        <w:t xml:space="preserve"> method and </w:t>
      </w:r>
      <w:r w:rsidR="00435B11" w:rsidRPr="00435B11">
        <w:rPr>
          <w:rFonts w:eastAsia="+mn-ea"/>
          <w:kern w:val="24"/>
          <w:lang w:val="en-GB" w:eastAsia="de-DE"/>
        </w:rPr>
        <w:t>AdjP&lt;0.05</w:t>
      </w:r>
      <w:r w:rsidRPr="001533EC">
        <w:rPr>
          <w:rFonts w:eastAsia="+mn-ea"/>
          <w:kern w:val="24"/>
          <w:lang w:val="en-GB" w:eastAsia="de-DE"/>
        </w:rPr>
        <w:t>&lt; 0.05 was considered statistically significant.</w:t>
      </w:r>
    </w:p>
    <w:p w14:paraId="6A963403" w14:textId="77777777" w:rsidR="00F665AD" w:rsidRPr="001533EC" w:rsidRDefault="00F665AD" w:rsidP="00F665AD">
      <w:pPr>
        <w:rPr>
          <w:lang w:val="en-GB"/>
        </w:rPr>
      </w:pPr>
    </w:p>
    <w:p w14:paraId="371C89AE" w14:textId="23F67931" w:rsidR="004A10BE" w:rsidRPr="00810F71" w:rsidRDefault="004A10BE" w:rsidP="00356ABE">
      <w:pPr>
        <w:spacing w:line="480" w:lineRule="auto"/>
        <w:jc w:val="both"/>
        <w:rPr>
          <w:b/>
          <w:sz w:val="24"/>
          <w:szCs w:val="24"/>
        </w:rPr>
      </w:pPr>
    </w:p>
    <w:sectPr w:rsidR="004A10BE" w:rsidRPr="00810F71" w:rsidSect="00691A32">
      <w:headerReference w:type="first" r:id="rId14"/>
      <w:pgSz w:w="12240" w:h="15840"/>
      <w:pgMar w:top="1440" w:right="1440" w:bottom="1440" w:left="1440" w:header="431"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42B96" w14:textId="77777777" w:rsidR="001E4AC1" w:rsidRDefault="001E4AC1" w:rsidP="004A10BE">
      <w:r>
        <w:separator/>
      </w:r>
    </w:p>
  </w:endnote>
  <w:endnote w:type="continuationSeparator" w:id="0">
    <w:p w14:paraId="561D4AB0" w14:textId="77777777" w:rsidR="001E4AC1" w:rsidRDefault="001E4AC1" w:rsidP="004A1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skoola Pota">
    <w:charset w:val="00"/>
    <w:family w:val="swiss"/>
    <w:pitch w:val="variable"/>
    <w:sig w:usb0="00000003" w:usb1="00000000" w:usb2="00000200" w:usb3="00000000" w:csb0="00000001" w:csb1="00000000"/>
  </w:font>
  <w:font w:name="GuardianSansGR-Regular">
    <w:altName w:val="MS Gothic"/>
    <w:panose1 w:val="00000000000000000000"/>
    <w:charset w:val="80"/>
    <w:family w:val="auto"/>
    <w:notTrueType/>
    <w:pitch w:val="default"/>
    <w:sig w:usb0="00000001" w:usb1="08070000" w:usb2="00000010" w:usb3="00000000" w:csb0="00020000"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1197698"/>
      <w:docPartObj>
        <w:docPartGallery w:val="Page Numbers (Bottom of Page)"/>
        <w:docPartUnique/>
      </w:docPartObj>
    </w:sdtPr>
    <w:sdtEndPr/>
    <w:sdtContent>
      <w:p w14:paraId="0870447A" w14:textId="07C17948" w:rsidR="00356ABE" w:rsidRPr="005A5AF0" w:rsidRDefault="00356ABE">
        <w:pPr>
          <w:pStyle w:val="Fuzeile"/>
          <w:jc w:val="center"/>
        </w:pPr>
        <w:r w:rsidRPr="005A5AF0">
          <w:fldChar w:fldCharType="begin"/>
        </w:r>
        <w:r w:rsidRPr="005A5AF0">
          <w:instrText>PAGE   \* MERGEFORMAT</w:instrText>
        </w:r>
        <w:r w:rsidRPr="005A5AF0">
          <w:fldChar w:fldCharType="separate"/>
        </w:r>
        <w:r w:rsidRPr="00EA5CF8">
          <w:rPr>
            <w:noProof/>
            <w:lang w:val="de-DE"/>
          </w:rPr>
          <w:t>21</w:t>
        </w:r>
        <w:r w:rsidRPr="005A5AF0">
          <w:fldChar w:fldCharType="end"/>
        </w:r>
      </w:p>
    </w:sdtContent>
  </w:sdt>
  <w:p w14:paraId="55FFAD53" w14:textId="77777777" w:rsidR="00356ABE" w:rsidRDefault="00356AB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DD6F3" w14:textId="77777777" w:rsidR="001E4AC1" w:rsidRDefault="001E4AC1" w:rsidP="004A10BE">
      <w:r>
        <w:separator/>
      </w:r>
    </w:p>
  </w:footnote>
  <w:footnote w:type="continuationSeparator" w:id="0">
    <w:p w14:paraId="039B4FF3" w14:textId="77777777" w:rsidR="001E4AC1" w:rsidRDefault="001E4AC1" w:rsidP="004A1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E752E" w14:textId="77777777" w:rsidR="00356ABE" w:rsidRDefault="00356ABE" w:rsidP="004A10BE">
    <w:pPr>
      <w:pStyle w:val="Kopfzeile"/>
    </w:pPr>
  </w:p>
  <w:p w14:paraId="2AB23E5A" w14:textId="4E0234D9" w:rsidR="00356ABE" w:rsidRPr="00204015" w:rsidRDefault="00356ABE" w:rsidP="004A10BE">
    <w:pPr>
      <w:pStyle w:val="Kopfzeile"/>
    </w:pPr>
    <w:r>
      <w:tab/>
    </w:r>
    <w:r w:rsidRPr="00204015">
      <w:t>Submitted Manuscript:  Confidential</w:t>
    </w:r>
    <w:r>
      <w:tab/>
      <w:t xml:space="preserve">             </w:t>
    </w:r>
    <w:r w:rsidRPr="005341F3">
      <w:rPr>
        <w:sz w:val="16"/>
        <w:szCs w:val="16"/>
      </w:rPr>
      <w:t xml:space="preserve">template updated: </w:t>
    </w:r>
    <w:r>
      <w:rPr>
        <w:sz w:val="16"/>
        <w:szCs w:val="16"/>
      </w:rPr>
      <w:t>February 2022</w:t>
    </w:r>
  </w:p>
  <w:p w14:paraId="130ED7F7" w14:textId="77777777" w:rsidR="00356ABE" w:rsidRDefault="00356ABE" w:rsidP="004A10B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8306B6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3CA23D5"/>
    <w:multiLevelType w:val="multilevel"/>
    <w:tmpl w:val="9CB2F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C17EFB"/>
    <w:multiLevelType w:val="hybridMultilevel"/>
    <w:tmpl w:val="68726496"/>
    <w:lvl w:ilvl="0" w:tplc="38FA40D6">
      <w:start w:val="109"/>
      <w:numFmt w:val="decimal"/>
      <w:lvlText w:val="%1"/>
      <w:lvlJc w:val="left"/>
      <w:pPr>
        <w:ind w:left="796" w:hanging="692"/>
      </w:pPr>
      <w:rPr>
        <w:rFonts w:hint="default"/>
        <w:spacing w:val="-2"/>
        <w:w w:val="100"/>
        <w:lang w:val="en-US" w:eastAsia="en-US" w:bidi="ar-SA"/>
      </w:rPr>
    </w:lvl>
    <w:lvl w:ilvl="1" w:tplc="DB90E524">
      <w:numFmt w:val="bullet"/>
      <w:lvlText w:val="•"/>
      <w:lvlJc w:val="left"/>
      <w:pPr>
        <w:ind w:left="1718" w:hanging="692"/>
      </w:pPr>
      <w:rPr>
        <w:rFonts w:hint="default"/>
        <w:lang w:val="en-US" w:eastAsia="en-US" w:bidi="ar-SA"/>
      </w:rPr>
    </w:lvl>
    <w:lvl w:ilvl="2" w:tplc="1EF05298">
      <w:numFmt w:val="bullet"/>
      <w:lvlText w:val="•"/>
      <w:lvlJc w:val="left"/>
      <w:pPr>
        <w:ind w:left="2636" w:hanging="692"/>
      </w:pPr>
      <w:rPr>
        <w:rFonts w:hint="default"/>
        <w:lang w:val="en-US" w:eastAsia="en-US" w:bidi="ar-SA"/>
      </w:rPr>
    </w:lvl>
    <w:lvl w:ilvl="3" w:tplc="FE9AE6AA">
      <w:numFmt w:val="bullet"/>
      <w:lvlText w:val="•"/>
      <w:lvlJc w:val="left"/>
      <w:pPr>
        <w:ind w:left="3555" w:hanging="692"/>
      </w:pPr>
      <w:rPr>
        <w:rFonts w:hint="default"/>
        <w:lang w:val="en-US" w:eastAsia="en-US" w:bidi="ar-SA"/>
      </w:rPr>
    </w:lvl>
    <w:lvl w:ilvl="4" w:tplc="BC2A134E">
      <w:numFmt w:val="bullet"/>
      <w:lvlText w:val="•"/>
      <w:lvlJc w:val="left"/>
      <w:pPr>
        <w:ind w:left="4473" w:hanging="692"/>
      </w:pPr>
      <w:rPr>
        <w:rFonts w:hint="default"/>
        <w:lang w:val="en-US" w:eastAsia="en-US" w:bidi="ar-SA"/>
      </w:rPr>
    </w:lvl>
    <w:lvl w:ilvl="5" w:tplc="FD404C08">
      <w:numFmt w:val="bullet"/>
      <w:lvlText w:val="•"/>
      <w:lvlJc w:val="left"/>
      <w:pPr>
        <w:ind w:left="5392" w:hanging="692"/>
      </w:pPr>
      <w:rPr>
        <w:rFonts w:hint="default"/>
        <w:lang w:val="en-US" w:eastAsia="en-US" w:bidi="ar-SA"/>
      </w:rPr>
    </w:lvl>
    <w:lvl w:ilvl="6" w:tplc="53FAF9B0">
      <w:numFmt w:val="bullet"/>
      <w:lvlText w:val="•"/>
      <w:lvlJc w:val="left"/>
      <w:pPr>
        <w:ind w:left="6310" w:hanging="692"/>
      </w:pPr>
      <w:rPr>
        <w:rFonts w:hint="default"/>
        <w:lang w:val="en-US" w:eastAsia="en-US" w:bidi="ar-SA"/>
      </w:rPr>
    </w:lvl>
    <w:lvl w:ilvl="7" w:tplc="9CFE3E90">
      <w:numFmt w:val="bullet"/>
      <w:lvlText w:val="•"/>
      <w:lvlJc w:val="left"/>
      <w:pPr>
        <w:ind w:left="7228" w:hanging="692"/>
      </w:pPr>
      <w:rPr>
        <w:rFonts w:hint="default"/>
        <w:lang w:val="en-US" w:eastAsia="en-US" w:bidi="ar-SA"/>
      </w:rPr>
    </w:lvl>
    <w:lvl w:ilvl="8" w:tplc="A5289C8C">
      <w:numFmt w:val="bullet"/>
      <w:lvlText w:val="•"/>
      <w:lvlJc w:val="left"/>
      <w:pPr>
        <w:ind w:left="8147" w:hanging="692"/>
      </w:pPr>
      <w:rPr>
        <w:rFonts w:hint="default"/>
        <w:lang w:val="en-US" w:eastAsia="en-US" w:bidi="ar-SA"/>
      </w:rPr>
    </w:lvl>
  </w:abstractNum>
  <w:abstractNum w:abstractNumId="13" w15:restartNumberingAfterBreak="0">
    <w:nsid w:val="42EF7EF0"/>
    <w:multiLevelType w:val="multilevel"/>
    <w:tmpl w:val="E52C8C1A"/>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69B6768"/>
    <w:multiLevelType w:val="multilevel"/>
    <w:tmpl w:val="A30A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963130"/>
    <w:multiLevelType w:val="hybridMultilevel"/>
    <w:tmpl w:val="2F8EBF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418291">
    <w:abstractNumId w:val="10"/>
  </w:num>
  <w:num w:numId="2" w16cid:durableId="1374581007">
    <w:abstractNumId w:val="9"/>
  </w:num>
  <w:num w:numId="3" w16cid:durableId="1654136182">
    <w:abstractNumId w:val="7"/>
  </w:num>
  <w:num w:numId="4" w16cid:durableId="1504391477">
    <w:abstractNumId w:val="6"/>
  </w:num>
  <w:num w:numId="5" w16cid:durableId="2147156994">
    <w:abstractNumId w:val="5"/>
  </w:num>
  <w:num w:numId="6" w16cid:durableId="2039743807">
    <w:abstractNumId w:val="4"/>
  </w:num>
  <w:num w:numId="7" w16cid:durableId="1014190437">
    <w:abstractNumId w:val="8"/>
  </w:num>
  <w:num w:numId="8" w16cid:durableId="1813671605">
    <w:abstractNumId w:val="3"/>
  </w:num>
  <w:num w:numId="9" w16cid:durableId="1881475879">
    <w:abstractNumId w:val="2"/>
  </w:num>
  <w:num w:numId="10" w16cid:durableId="17312615">
    <w:abstractNumId w:val="1"/>
  </w:num>
  <w:num w:numId="11" w16cid:durableId="1774200985">
    <w:abstractNumId w:val="0"/>
  </w:num>
  <w:num w:numId="12" w16cid:durableId="1132673136">
    <w:abstractNumId w:val="13"/>
  </w:num>
  <w:num w:numId="13" w16cid:durableId="1045980221">
    <w:abstractNumId w:val="15"/>
  </w:num>
  <w:num w:numId="14" w16cid:durableId="696736643">
    <w:abstractNumId w:val="14"/>
  </w:num>
  <w:num w:numId="15" w16cid:durableId="1885093696">
    <w:abstractNumId w:val="11"/>
  </w:num>
  <w:num w:numId="16" w16cid:durableId="16236855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61D"/>
    <w:rsid w:val="00000C9E"/>
    <w:rsid w:val="00004064"/>
    <w:rsid w:val="000048EC"/>
    <w:rsid w:val="00007557"/>
    <w:rsid w:val="00007A3A"/>
    <w:rsid w:val="0001007E"/>
    <w:rsid w:val="0001531F"/>
    <w:rsid w:val="00017E29"/>
    <w:rsid w:val="00023012"/>
    <w:rsid w:val="00023448"/>
    <w:rsid w:val="00023672"/>
    <w:rsid w:val="000315F2"/>
    <w:rsid w:val="00035AEA"/>
    <w:rsid w:val="00044DCF"/>
    <w:rsid w:val="00046674"/>
    <w:rsid w:val="000466A8"/>
    <w:rsid w:val="00053A0E"/>
    <w:rsid w:val="000577A7"/>
    <w:rsid w:val="000607CC"/>
    <w:rsid w:val="0006099F"/>
    <w:rsid w:val="00062309"/>
    <w:rsid w:val="00064115"/>
    <w:rsid w:val="00067A1E"/>
    <w:rsid w:val="00067A6E"/>
    <w:rsid w:val="000741FB"/>
    <w:rsid w:val="00075987"/>
    <w:rsid w:val="00076606"/>
    <w:rsid w:val="0008650E"/>
    <w:rsid w:val="0009168B"/>
    <w:rsid w:val="00094E15"/>
    <w:rsid w:val="00096A1C"/>
    <w:rsid w:val="0009768D"/>
    <w:rsid w:val="000A3CBA"/>
    <w:rsid w:val="000A65EC"/>
    <w:rsid w:val="000B07CD"/>
    <w:rsid w:val="000C134D"/>
    <w:rsid w:val="000C172A"/>
    <w:rsid w:val="000C1B76"/>
    <w:rsid w:val="000C36D1"/>
    <w:rsid w:val="000C3B82"/>
    <w:rsid w:val="000D03A3"/>
    <w:rsid w:val="000D20AE"/>
    <w:rsid w:val="000D3B3B"/>
    <w:rsid w:val="000D4D8D"/>
    <w:rsid w:val="000D51CC"/>
    <w:rsid w:val="000D5D86"/>
    <w:rsid w:val="000D61C2"/>
    <w:rsid w:val="000E2047"/>
    <w:rsid w:val="000E4E26"/>
    <w:rsid w:val="000E56BE"/>
    <w:rsid w:val="000E7336"/>
    <w:rsid w:val="000F17DA"/>
    <w:rsid w:val="00103CC0"/>
    <w:rsid w:val="0011172B"/>
    <w:rsid w:val="00114583"/>
    <w:rsid w:val="00122188"/>
    <w:rsid w:val="001268C5"/>
    <w:rsid w:val="00132A60"/>
    <w:rsid w:val="00135382"/>
    <w:rsid w:val="00145CE8"/>
    <w:rsid w:val="00146B7D"/>
    <w:rsid w:val="001533EC"/>
    <w:rsid w:val="00155E4C"/>
    <w:rsid w:val="00162913"/>
    <w:rsid w:val="00165475"/>
    <w:rsid w:val="00165681"/>
    <w:rsid w:val="0017286C"/>
    <w:rsid w:val="0017498C"/>
    <w:rsid w:val="00174FA1"/>
    <w:rsid w:val="00175CBB"/>
    <w:rsid w:val="00185220"/>
    <w:rsid w:val="0018590D"/>
    <w:rsid w:val="0019364A"/>
    <w:rsid w:val="00196E4D"/>
    <w:rsid w:val="001A2E8C"/>
    <w:rsid w:val="001A3A0B"/>
    <w:rsid w:val="001A416B"/>
    <w:rsid w:val="001A6DB0"/>
    <w:rsid w:val="001B0B55"/>
    <w:rsid w:val="001B5C02"/>
    <w:rsid w:val="001C1601"/>
    <w:rsid w:val="001C6032"/>
    <w:rsid w:val="001C6CC0"/>
    <w:rsid w:val="001C6EDA"/>
    <w:rsid w:val="001C720C"/>
    <w:rsid w:val="001D0ACF"/>
    <w:rsid w:val="001D0F62"/>
    <w:rsid w:val="001D78F9"/>
    <w:rsid w:val="001E4AC1"/>
    <w:rsid w:val="001F036A"/>
    <w:rsid w:val="001F0A18"/>
    <w:rsid w:val="001F3100"/>
    <w:rsid w:val="001F46DD"/>
    <w:rsid w:val="001F49EC"/>
    <w:rsid w:val="001F663A"/>
    <w:rsid w:val="002037BD"/>
    <w:rsid w:val="00210B28"/>
    <w:rsid w:val="002112E3"/>
    <w:rsid w:val="00212807"/>
    <w:rsid w:val="00213A13"/>
    <w:rsid w:val="00215469"/>
    <w:rsid w:val="00221516"/>
    <w:rsid w:val="00226B40"/>
    <w:rsid w:val="00227B70"/>
    <w:rsid w:val="002330C6"/>
    <w:rsid w:val="00240A26"/>
    <w:rsid w:val="00241C88"/>
    <w:rsid w:val="00241CF3"/>
    <w:rsid w:val="002453E6"/>
    <w:rsid w:val="0024773E"/>
    <w:rsid w:val="00247B00"/>
    <w:rsid w:val="002603CC"/>
    <w:rsid w:val="00261D83"/>
    <w:rsid w:val="00261EBD"/>
    <w:rsid w:val="00262AA1"/>
    <w:rsid w:val="00264706"/>
    <w:rsid w:val="002657B0"/>
    <w:rsid w:val="002670CB"/>
    <w:rsid w:val="00267494"/>
    <w:rsid w:val="002732B4"/>
    <w:rsid w:val="00275766"/>
    <w:rsid w:val="0028009E"/>
    <w:rsid w:val="00283E51"/>
    <w:rsid w:val="002857BE"/>
    <w:rsid w:val="00294202"/>
    <w:rsid w:val="002A2CFB"/>
    <w:rsid w:val="002B0952"/>
    <w:rsid w:val="002B2ACD"/>
    <w:rsid w:val="002B4E3C"/>
    <w:rsid w:val="002B7C32"/>
    <w:rsid w:val="002C050F"/>
    <w:rsid w:val="002C2220"/>
    <w:rsid w:val="002C4BF4"/>
    <w:rsid w:val="002C6089"/>
    <w:rsid w:val="002D03C6"/>
    <w:rsid w:val="002D524F"/>
    <w:rsid w:val="002E2F86"/>
    <w:rsid w:val="002E354B"/>
    <w:rsid w:val="002E404B"/>
    <w:rsid w:val="002E5CD7"/>
    <w:rsid w:val="002E6D60"/>
    <w:rsid w:val="002F178F"/>
    <w:rsid w:val="002F2755"/>
    <w:rsid w:val="002F28B8"/>
    <w:rsid w:val="002F4D23"/>
    <w:rsid w:val="002F576E"/>
    <w:rsid w:val="002F63D6"/>
    <w:rsid w:val="00303846"/>
    <w:rsid w:val="00304CD8"/>
    <w:rsid w:val="003146B0"/>
    <w:rsid w:val="00314B11"/>
    <w:rsid w:val="00317C23"/>
    <w:rsid w:val="003202D7"/>
    <w:rsid w:val="00321A4F"/>
    <w:rsid w:val="00326B38"/>
    <w:rsid w:val="003305C7"/>
    <w:rsid w:val="00333F02"/>
    <w:rsid w:val="0033405B"/>
    <w:rsid w:val="003340B4"/>
    <w:rsid w:val="003416B7"/>
    <w:rsid w:val="0034285C"/>
    <w:rsid w:val="00350693"/>
    <w:rsid w:val="0035254C"/>
    <w:rsid w:val="003529BA"/>
    <w:rsid w:val="00353B12"/>
    <w:rsid w:val="00356ABE"/>
    <w:rsid w:val="003570BC"/>
    <w:rsid w:val="003579F2"/>
    <w:rsid w:val="00361DED"/>
    <w:rsid w:val="00365431"/>
    <w:rsid w:val="00366192"/>
    <w:rsid w:val="003663F0"/>
    <w:rsid w:val="00372760"/>
    <w:rsid w:val="0037391A"/>
    <w:rsid w:val="0037394F"/>
    <w:rsid w:val="00376FB8"/>
    <w:rsid w:val="00381346"/>
    <w:rsid w:val="003814F7"/>
    <w:rsid w:val="00382550"/>
    <w:rsid w:val="00383B56"/>
    <w:rsid w:val="0038477C"/>
    <w:rsid w:val="00386B11"/>
    <w:rsid w:val="00394225"/>
    <w:rsid w:val="003A0A4A"/>
    <w:rsid w:val="003A122C"/>
    <w:rsid w:val="003A18CE"/>
    <w:rsid w:val="003A4305"/>
    <w:rsid w:val="003B0E00"/>
    <w:rsid w:val="003B6AC5"/>
    <w:rsid w:val="003C344F"/>
    <w:rsid w:val="003C69EB"/>
    <w:rsid w:val="003D6995"/>
    <w:rsid w:val="003E4722"/>
    <w:rsid w:val="003F23B0"/>
    <w:rsid w:val="003F4804"/>
    <w:rsid w:val="003F4D5D"/>
    <w:rsid w:val="003F64DC"/>
    <w:rsid w:val="004015EB"/>
    <w:rsid w:val="0040171C"/>
    <w:rsid w:val="00403B64"/>
    <w:rsid w:val="00405694"/>
    <w:rsid w:val="004105AC"/>
    <w:rsid w:val="00410729"/>
    <w:rsid w:val="00411A53"/>
    <w:rsid w:val="00413509"/>
    <w:rsid w:val="00415D2C"/>
    <w:rsid w:val="00421348"/>
    <w:rsid w:val="00423287"/>
    <w:rsid w:val="0042490C"/>
    <w:rsid w:val="00435B11"/>
    <w:rsid w:val="00437C66"/>
    <w:rsid w:val="004458EE"/>
    <w:rsid w:val="00446258"/>
    <w:rsid w:val="00446FE2"/>
    <w:rsid w:val="004549F4"/>
    <w:rsid w:val="00455540"/>
    <w:rsid w:val="0045697D"/>
    <w:rsid w:val="004615A3"/>
    <w:rsid w:val="00461725"/>
    <w:rsid w:val="004728E5"/>
    <w:rsid w:val="0047375A"/>
    <w:rsid w:val="00473A45"/>
    <w:rsid w:val="0047439B"/>
    <w:rsid w:val="00475D72"/>
    <w:rsid w:val="004761DE"/>
    <w:rsid w:val="00477E4E"/>
    <w:rsid w:val="00482ACB"/>
    <w:rsid w:val="00484040"/>
    <w:rsid w:val="00485253"/>
    <w:rsid w:val="00487061"/>
    <w:rsid w:val="00490041"/>
    <w:rsid w:val="00492591"/>
    <w:rsid w:val="004940DD"/>
    <w:rsid w:val="004A0459"/>
    <w:rsid w:val="004A0FA1"/>
    <w:rsid w:val="004A10BE"/>
    <w:rsid w:val="004A1514"/>
    <w:rsid w:val="004A355F"/>
    <w:rsid w:val="004A507A"/>
    <w:rsid w:val="004A72B6"/>
    <w:rsid w:val="004B02ED"/>
    <w:rsid w:val="004B0C4A"/>
    <w:rsid w:val="004B2F9A"/>
    <w:rsid w:val="004B386E"/>
    <w:rsid w:val="004B6AFB"/>
    <w:rsid w:val="004C22A6"/>
    <w:rsid w:val="004C375A"/>
    <w:rsid w:val="004C40DA"/>
    <w:rsid w:val="004C5556"/>
    <w:rsid w:val="004D3DE1"/>
    <w:rsid w:val="004D53D8"/>
    <w:rsid w:val="004D663A"/>
    <w:rsid w:val="004D77D7"/>
    <w:rsid w:val="004E0E29"/>
    <w:rsid w:val="004E2B67"/>
    <w:rsid w:val="004E3131"/>
    <w:rsid w:val="004E51D2"/>
    <w:rsid w:val="004E617F"/>
    <w:rsid w:val="004F059E"/>
    <w:rsid w:val="004F2135"/>
    <w:rsid w:val="004F3DFD"/>
    <w:rsid w:val="004F520B"/>
    <w:rsid w:val="004F5FBF"/>
    <w:rsid w:val="00501656"/>
    <w:rsid w:val="005016C0"/>
    <w:rsid w:val="0050472E"/>
    <w:rsid w:val="00504F2B"/>
    <w:rsid w:val="00506BB6"/>
    <w:rsid w:val="005150EF"/>
    <w:rsid w:val="0051587F"/>
    <w:rsid w:val="005222BE"/>
    <w:rsid w:val="00523E8E"/>
    <w:rsid w:val="00527879"/>
    <w:rsid w:val="005341F3"/>
    <w:rsid w:val="005405A9"/>
    <w:rsid w:val="00540629"/>
    <w:rsid w:val="00540789"/>
    <w:rsid w:val="0054096B"/>
    <w:rsid w:val="005437A5"/>
    <w:rsid w:val="00543933"/>
    <w:rsid w:val="00544102"/>
    <w:rsid w:val="00545107"/>
    <w:rsid w:val="005478D9"/>
    <w:rsid w:val="00552069"/>
    <w:rsid w:val="005539BE"/>
    <w:rsid w:val="0055572A"/>
    <w:rsid w:val="00556F4F"/>
    <w:rsid w:val="00563AC0"/>
    <w:rsid w:val="00565A0C"/>
    <w:rsid w:val="00566017"/>
    <w:rsid w:val="00575293"/>
    <w:rsid w:val="00576B72"/>
    <w:rsid w:val="00580B00"/>
    <w:rsid w:val="00585ACE"/>
    <w:rsid w:val="00590D15"/>
    <w:rsid w:val="00590EFC"/>
    <w:rsid w:val="0059117E"/>
    <w:rsid w:val="00592810"/>
    <w:rsid w:val="00594017"/>
    <w:rsid w:val="00594738"/>
    <w:rsid w:val="00597AE4"/>
    <w:rsid w:val="005A0CAB"/>
    <w:rsid w:val="005A1B38"/>
    <w:rsid w:val="005A763B"/>
    <w:rsid w:val="005B188B"/>
    <w:rsid w:val="005B5E46"/>
    <w:rsid w:val="005C2964"/>
    <w:rsid w:val="005C6EDD"/>
    <w:rsid w:val="005C727C"/>
    <w:rsid w:val="005D01D4"/>
    <w:rsid w:val="005D0B84"/>
    <w:rsid w:val="005D4D0E"/>
    <w:rsid w:val="005D61FD"/>
    <w:rsid w:val="005E39F8"/>
    <w:rsid w:val="005E63C2"/>
    <w:rsid w:val="005E662C"/>
    <w:rsid w:val="005E7169"/>
    <w:rsid w:val="005E7E90"/>
    <w:rsid w:val="005F0A5C"/>
    <w:rsid w:val="005F21DA"/>
    <w:rsid w:val="005F59B5"/>
    <w:rsid w:val="005F724A"/>
    <w:rsid w:val="0060125B"/>
    <w:rsid w:val="00602210"/>
    <w:rsid w:val="00602235"/>
    <w:rsid w:val="00602E2F"/>
    <w:rsid w:val="00605BC1"/>
    <w:rsid w:val="00607440"/>
    <w:rsid w:val="00614C7B"/>
    <w:rsid w:val="00615436"/>
    <w:rsid w:val="00615962"/>
    <w:rsid w:val="00630AB4"/>
    <w:rsid w:val="0063153D"/>
    <w:rsid w:val="00632E52"/>
    <w:rsid w:val="00635A62"/>
    <w:rsid w:val="0064261D"/>
    <w:rsid w:val="00642826"/>
    <w:rsid w:val="00643739"/>
    <w:rsid w:val="00652508"/>
    <w:rsid w:val="00652F66"/>
    <w:rsid w:val="0065325B"/>
    <w:rsid w:val="00655B01"/>
    <w:rsid w:val="00662FA0"/>
    <w:rsid w:val="00663FEE"/>
    <w:rsid w:val="00664164"/>
    <w:rsid w:val="00665A5A"/>
    <w:rsid w:val="006723BF"/>
    <w:rsid w:val="00675809"/>
    <w:rsid w:val="006766DC"/>
    <w:rsid w:val="00681F99"/>
    <w:rsid w:val="006829F0"/>
    <w:rsid w:val="00687464"/>
    <w:rsid w:val="006879D2"/>
    <w:rsid w:val="00691A32"/>
    <w:rsid w:val="00692832"/>
    <w:rsid w:val="00694B8B"/>
    <w:rsid w:val="006953F2"/>
    <w:rsid w:val="006A529A"/>
    <w:rsid w:val="006B0007"/>
    <w:rsid w:val="006B1EFA"/>
    <w:rsid w:val="006D0CA2"/>
    <w:rsid w:val="006D5559"/>
    <w:rsid w:val="006E30D9"/>
    <w:rsid w:val="006E50B8"/>
    <w:rsid w:val="006F3F30"/>
    <w:rsid w:val="00700FA8"/>
    <w:rsid w:val="00707EFA"/>
    <w:rsid w:val="007136F4"/>
    <w:rsid w:val="00714B6A"/>
    <w:rsid w:val="0071714A"/>
    <w:rsid w:val="0072387B"/>
    <w:rsid w:val="00730DCE"/>
    <w:rsid w:val="007327CC"/>
    <w:rsid w:val="00732FA8"/>
    <w:rsid w:val="0073488A"/>
    <w:rsid w:val="0073630D"/>
    <w:rsid w:val="00741F08"/>
    <w:rsid w:val="00745292"/>
    <w:rsid w:val="00745FEE"/>
    <w:rsid w:val="00746A5C"/>
    <w:rsid w:val="00751AB8"/>
    <w:rsid w:val="007656BD"/>
    <w:rsid w:val="007702E3"/>
    <w:rsid w:val="00770706"/>
    <w:rsid w:val="00772D20"/>
    <w:rsid w:val="00773192"/>
    <w:rsid w:val="00776633"/>
    <w:rsid w:val="007770F0"/>
    <w:rsid w:val="00782385"/>
    <w:rsid w:val="0078707B"/>
    <w:rsid w:val="007878C0"/>
    <w:rsid w:val="00792292"/>
    <w:rsid w:val="007957A5"/>
    <w:rsid w:val="00795AD6"/>
    <w:rsid w:val="00796CFE"/>
    <w:rsid w:val="007A7411"/>
    <w:rsid w:val="007B1ACA"/>
    <w:rsid w:val="007B2757"/>
    <w:rsid w:val="007B3D4E"/>
    <w:rsid w:val="007B60C2"/>
    <w:rsid w:val="007B652C"/>
    <w:rsid w:val="007C0408"/>
    <w:rsid w:val="007C3B22"/>
    <w:rsid w:val="007C680A"/>
    <w:rsid w:val="007C7BCD"/>
    <w:rsid w:val="007D5141"/>
    <w:rsid w:val="007D64FA"/>
    <w:rsid w:val="007D725D"/>
    <w:rsid w:val="007E0F24"/>
    <w:rsid w:val="007E0F35"/>
    <w:rsid w:val="007E3672"/>
    <w:rsid w:val="007E4606"/>
    <w:rsid w:val="007E7177"/>
    <w:rsid w:val="007F7F32"/>
    <w:rsid w:val="0080001F"/>
    <w:rsid w:val="008005A4"/>
    <w:rsid w:val="008016D2"/>
    <w:rsid w:val="00803034"/>
    <w:rsid w:val="0080432F"/>
    <w:rsid w:val="00804729"/>
    <w:rsid w:val="008073ED"/>
    <w:rsid w:val="00810F71"/>
    <w:rsid w:val="00813AE9"/>
    <w:rsid w:val="00814175"/>
    <w:rsid w:val="00815DED"/>
    <w:rsid w:val="00820CE9"/>
    <w:rsid w:val="00821E32"/>
    <w:rsid w:val="008345DE"/>
    <w:rsid w:val="00835178"/>
    <w:rsid w:val="00840A38"/>
    <w:rsid w:val="008412C0"/>
    <w:rsid w:val="00842424"/>
    <w:rsid w:val="00842A31"/>
    <w:rsid w:val="00850946"/>
    <w:rsid w:val="00850D27"/>
    <w:rsid w:val="008540B2"/>
    <w:rsid w:val="008573F1"/>
    <w:rsid w:val="00870D64"/>
    <w:rsid w:val="0087186E"/>
    <w:rsid w:val="008730C7"/>
    <w:rsid w:val="0088126A"/>
    <w:rsid w:val="008878B2"/>
    <w:rsid w:val="00887D52"/>
    <w:rsid w:val="00890D43"/>
    <w:rsid w:val="00891C26"/>
    <w:rsid w:val="00896296"/>
    <w:rsid w:val="008A1381"/>
    <w:rsid w:val="008A1BE3"/>
    <w:rsid w:val="008A21E6"/>
    <w:rsid w:val="008B220C"/>
    <w:rsid w:val="008C076C"/>
    <w:rsid w:val="008C6303"/>
    <w:rsid w:val="008D0AE6"/>
    <w:rsid w:val="008D13E6"/>
    <w:rsid w:val="008D42F6"/>
    <w:rsid w:val="008D4CCE"/>
    <w:rsid w:val="008D7795"/>
    <w:rsid w:val="008E065E"/>
    <w:rsid w:val="008E488C"/>
    <w:rsid w:val="008E4DDD"/>
    <w:rsid w:val="008E6414"/>
    <w:rsid w:val="008F0D83"/>
    <w:rsid w:val="008F268D"/>
    <w:rsid w:val="008F3BF8"/>
    <w:rsid w:val="009014E2"/>
    <w:rsid w:val="0090235E"/>
    <w:rsid w:val="00902398"/>
    <w:rsid w:val="00903660"/>
    <w:rsid w:val="009044DE"/>
    <w:rsid w:val="00907624"/>
    <w:rsid w:val="00915703"/>
    <w:rsid w:val="00915B06"/>
    <w:rsid w:val="00923BC6"/>
    <w:rsid w:val="00924C41"/>
    <w:rsid w:val="00925C70"/>
    <w:rsid w:val="00934294"/>
    <w:rsid w:val="00935C67"/>
    <w:rsid w:val="00936104"/>
    <w:rsid w:val="0093733A"/>
    <w:rsid w:val="00940E30"/>
    <w:rsid w:val="009410AE"/>
    <w:rsid w:val="009438BF"/>
    <w:rsid w:val="00943D39"/>
    <w:rsid w:val="00944270"/>
    <w:rsid w:val="009531D0"/>
    <w:rsid w:val="009551BC"/>
    <w:rsid w:val="00955C09"/>
    <w:rsid w:val="00955F38"/>
    <w:rsid w:val="009624CA"/>
    <w:rsid w:val="00965945"/>
    <w:rsid w:val="00966EAB"/>
    <w:rsid w:val="00970C6F"/>
    <w:rsid w:val="0097382E"/>
    <w:rsid w:val="00974A96"/>
    <w:rsid w:val="00976718"/>
    <w:rsid w:val="009859FF"/>
    <w:rsid w:val="009862F5"/>
    <w:rsid w:val="00986A2D"/>
    <w:rsid w:val="009874AE"/>
    <w:rsid w:val="0099013E"/>
    <w:rsid w:val="009915F4"/>
    <w:rsid w:val="00991B3C"/>
    <w:rsid w:val="00991C64"/>
    <w:rsid w:val="00991F4C"/>
    <w:rsid w:val="00992EB9"/>
    <w:rsid w:val="00993700"/>
    <w:rsid w:val="009A06BF"/>
    <w:rsid w:val="009A4702"/>
    <w:rsid w:val="009A4B05"/>
    <w:rsid w:val="009A6520"/>
    <w:rsid w:val="009A7449"/>
    <w:rsid w:val="009A7AAB"/>
    <w:rsid w:val="009B1602"/>
    <w:rsid w:val="009B6E17"/>
    <w:rsid w:val="009C06A4"/>
    <w:rsid w:val="009C5DB8"/>
    <w:rsid w:val="009C65E7"/>
    <w:rsid w:val="009C6891"/>
    <w:rsid w:val="009D356F"/>
    <w:rsid w:val="009D4430"/>
    <w:rsid w:val="009D5179"/>
    <w:rsid w:val="009D5DB7"/>
    <w:rsid w:val="009E0743"/>
    <w:rsid w:val="009E2381"/>
    <w:rsid w:val="009E254D"/>
    <w:rsid w:val="009E2A96"/>
    <w:rsid w:val="009E43E3"/>
    <w:rsid w:val="009F143D"/>
    <w:rsid w:val="00A03A7A"/>
    <w:rsid w:val="00A04336"/>
    <w:rsid w:val="00A066DF"/>
    <w:rsid w:val="00A11C4B"/>
    <w:rsid w:val="00A21CE3"/>
    <w:rsid w:val="00A23A22"/>
    <w:rsid w:val="00A24DF0"/>
    <w:rsid w:val="00A257DF"/>
    <w:rsid w:val="00A30B08"/>
    <w:rsid w:val="00A37B8C"/>
    <w:rsid w:val="00A41B29"/>
    <w:rsid w:val="00A41C10"/>
    <w:rsid w:val="00A41D7F"/>
    <w:rsid w:val="00A41D8F"/>
    <w:rsid w:val="00A42485"/>
    <w:rsid w:val="00A42B09"/>
    <w:rsid w:val="00A43926"/>
    <w:rsid w:val="00A45B3B"/>
    <w:rsid w:val="00A53F07"/>
    <w:rsid w:val="00A55F85"/>
    <w:rsid w:val="00A562F1"/>
    <w:rsid w:val="00A60C44"/>
    <w:rsid w:val="00A615B1"/>
    <w:rsid w:val="00A63B9D"/>
    <w:rsid w:val="00A651FB"/>
    <w:rsid w:val="00A665B4"/>
    <w:rsid w:val="00A86A99"/>
    <w:rsid w:val="00A9625E"/>
    <w:rsid w:val="00AA0E50"/>
    <w:rsid w:val="00AA0F43"/>
    <w:rsid w:val="00AA45FF"/>
    <w:rsid w:val="00AA7154"/>
    <w:rsid w:val="00AA718D"/>
    <w:rsid w:val="00AB4EB8"/>
    <w:rsid w:val="00AB6782"/>
    <w:rsid w:val="00AB6874"/>
    <w:rsid w:val="00AB6B96"/>
    <w:rsid w:val="00AC2171"/>
    <w:rsid w:val="00AC36DE"/>
    <w:rsid w:val="00AC3D0E"/>
    <w:rsid w:val="00AC4693"/>
    <w:rsid w:val="00AD169A"/>
    <w:rsid w:val="00AD17F0"/>
    <w:rsid w:val="00AD1D4E"/>
    <w:rsid w:val="00AD3B59"/>
    <w:rsid w:val="00AD44A7"/>
    <w:rsid w:val="00AD66BE"/>
    <w:rsid w:val="00AD755F"/>
    <w:rsid w:val="00AE2778"/>
    <w:rsid w:val="00AE3304"/>
    <w:rsid w:val="00AE3BCF"/>
    <w:rsid w:val="00AE53FE"/>
    <w:rsid w:val="00AE5B1E"/>
    <w:rsid w:val="00AE6979"/>
    <w:rsid w:val="00AE7CD6"/>
    <w:rsid w:val="00AF2214"/>
    <w:rsid w:val="00AF270C"/>
    <w:rsid w:val="00AF549C"/>
    <w:rsid w:val="00B0753F"/>
    <w:rsid w:val="00B07FDD"/>
    <w:rsid w:val="00B116E6"/>
    <w:rsid w:val="00B15DD6"/>
    <w:rsid w:val="00B16C06"/>
    <w:rsid w:val="00B217C3"/>
    <w:rsid w:val="00B22798"/>
    <w:rsid w:val="00B33C2E"/>
    <w:rsid w:val="00B52A57"/>
    <w:rsid w:val="00B53A1C"/>
    <w:rsid w:val="00B570AA"/>
    <w:rsid w:val="00B6249B"/>
    <w:rsid w:val="00B631FB"/>
    <w:rsid w:val="00B641C0"/>
    <w:rsid w:val="00B644E0"/>
    <w:rsid w:val="00B674F4"/>
    <w:rsid w:val="00B81A8D"/>
    <w:rsid w:val="00B81EB7"/>
    <w:rsid w:val="00B839DE"/>
    <w:rsid w:val="00B872DF"/>
    <w:rsid w:val="00B87D78"/>
    <w:rsid w:val="00B90D02"/>
    <w:rsid w:val="00B916BD"/>
    <w:rsid w:val="00B91804"/>
    <w:rsid w:val="00B92941"/>
    <w:rsid w:val="00BA160C"/>
    <w:rsid w:val="00BA33C9"/>
    <w:rsid w:val="00BA3D33"/>
    <w:rsid w:val="00BA44AF"/>
    <w:rsid w:val="00BA7E08"/>
    <w:rsid w:val="00BB1878"/>
    <w:rsid w:val="00BC0C42"/>
    <w:rsid w:val="00BC3ED5"/>
    <w:rsid w:val="00BD76AA"/>
    <w:rsid w:val="00BD7EB2"/>
    <w:rsid w:val="00BE00C6"/>
    <w:rsid w:val="00BE3157"/>
    <w:rsid w:val="00BE563D"/>
    <w:rsid w:val="00BE7759"/>
    <w:rsid w:val="00BF2921"/>
    <w:rsid w:val="00BF397C"/>
    <w:rsid w:val="00C007E9"/>
    <w:rsid w:val="00C02716"/>
    <w:rsid w:val="00C06374"/>
    <w:rsid w:val="00C077CA"/>
    <w:rsid w:val="00C13FFC"/>
    <w:rsid w:val="00C16664"/>
    <w:rsid w:val="00C178D8"/>
    <w:rsid w:val="00C2063D"/>
    <w:rsid w:val="00C23C47"/>
    <w:rsid w:val="00C31425"/>
    <w:rsid w:val="00C32F63"/>
    <w:rsid w:val="00C330F8"/>
    <w:rsid w:val="00C35062"/>
    <w:rsid w:val="00C35AC2"/>
    <w:rsid w:val="00C35B7A"/>
    <w:rsid w:val="00C361F6"/>
    <w:rsid w:val="00C363D7"/>
    <w:rsid w:val="00C40975"/>
    <w:rsid w:val="00C411D9"/>
    <w:rsid w:val="00C50774"/>
    <w:rsid w:val="00C52345"/>
    <w:rsid w:val="00C569FA"/>
    <w:rsid w:val="00C5765C"/>
    <w:rsid w:val="00C641EB"/>
    <w:rsid w:val="00C65D32"/>
    <w:rsid w:val="00C66CDB"/>
    <w:rsid w:val="00C71B72"/>
    <w:rsid w:val="00C73C2D"/>
    <w:rsid w:val="00C8031E"/>
    <w:rsid w:val="00C82062"/>
    <w:rsid w:val="00C83BAB"/>
    <w:rsid w:val="00C90DA0"/>
    <w:rsid w:val="00C917E9"/>
    <w:rsid w:val="00CA2306"/>
    <w:rsid w:val="00CA44D7"/>
    <w:rsid w:val="00CA4E80"/>
    <w:rsid w:val="00CB1014"/>
    <w:rsid w:val="00CB309B"/>
    <w:rsid w:val="00CB70CC"/>
    <w:rsid w:val="00CC12FB"/>
    <w:rsid w:val="00CC5A46"/>
    <w:rsid w:val="00CD2465"/>
    <w:rsid w:val="00CD3447"/>
    <w:rsid w:val="00CD3E23"/>
    <w:rsid w:val="00CD6604"/>
    <w:rsid w:val="00CE3B9E"/>
    <w:rsid w:val="00CE5A7D"/>
    <w:rsid w:val="00CF0867"/>
    <w:rsid w:val="00CF191C"/>
    <w:rsid w:val="00CF1C7B"/>
    <w:rsid w:val="00CF1CCB"/>
    <w:rsid w:val="00CF22C3"/>
    <w:rsid w:val="00CF462E"/>
    <w:rsid w:val="00CF491B"/>
    <w:rsid w:val="00CF52B2"/>
    <w:rsid w:val="00CF684E"/>
    <w:rsid w:val="00CF748F"/>
    <w:rsid w:val="00D0079B"/>
    <w:rsid w:val="00D04F0C"/>
    <w:rsid w:val="00D05114"/>
    <w:rsid w:val="00D07C1E"/>
    <w:rsid w:val="00D11F16"/>
    <w:rsid w:val="00D138B5"/>
    <w:rsid w:val="00D15431"/>
    <w:rsid w:val="00D15CFB"/>
    <w:rsid w:val="00D17529"/>
    <w:rsid w:val="00D2112A"/>
    <w:rsid w:val="00D21D35"/>
    <w:rsid w:val="00D252DC"/>
    <w:rsid w:val="00D27313"/>
    <w:rsid w:val="00D3480C"/>
    <w:rsid w:val="00D35ED9"/>
    <w:rsid w:val="00D35F54"/>
    <w:rsid w:val="00D473FE"/>
    <w:rsid w:val="00D51E4C"/>
    <w:rsid w:val="00D52A28"/>
    <w:rsid w:val="00D56227"/>
    <w:rsid w:val="00D572EB"/>
    <w:rsid w:val="00D60239"/>
    <w:rsid w:val="00D625D9"/>
    <w:rsid w:val="00D64503"/>
    <w:rsid w:val="00D70683"/>
    <w:rsid w:val="00D70846"/>
    <w:rsid w:val="00D7093E"/>
    <w:rsid w:val="00D71D99"/>
    <w:rsid w:val="00D76567"/>
    <w:rsid w:val="00D85398"/>
    <w:rsid w:val="00D9053E"/>
    <w:rsid w:val="00D905C0"/>
    <w:rsid w:val="00D911A6"/>
    <w:rsid w:val="00D9649A"/>
    <w:rsid w:val="00D9767A"/>
    <w:rsid w:val="00DA06FA"/>
    <w:rsid w:val="00DA2178"/>
    <w:rsid w:val="00DA3008"/>
    <w:rsid w:val="00DA3C49"/>
    <w:rsid w:val="00DA5BA6"/>
    <w:rsid w:val="00DB1993"/>
    <w:rsid w:val="00DB2B03"/>
    <w:rsid w:val="00DB2ECB"/>
    <w:rsid w:val="00DC04F0"/>
    <w:rsid w:val="00DC1E0A"/>
    <w:rsid w:val="00DC657B"/>
    <w:rsid w:val="00DD25CA"/>
    <w:rsid w:val="00DD3317"/>
    <w:rsid w:val="00DD5115"/>
    <w:rsid w:val="00DD6F03"/>
    <w:rsid w:val="00DE0B27"/>
    <w:rsid w:val="00DE760E"/>
    <w:rsid w:val="00DF02A0"/>
    <w:rsid w:val="00DF42F9"/>
    <w:rsid w:val="00DF4B85"/>
    <w:rsid w:val="00DF5D3E"/>
    <w:rsid w:val="00DF7807"/>
    <w:rsid w:val="00E01A55"/>
    <w:rsid w:val="00E12BD5"/>
    <w:rsid w:val="00E14DFB"/>
    <w:rsid w:val="00E15730"/>
    <w:rsid w:val="00E1696D"/>
    <w:rsid w:val="00E217BC"/>
    <w:rsid w:val="00E2346A"/>
    <w:rsid w:val="00E33F03"/>
    <w:rsid w:val="00E34325"/>
    <w:rsid w:val="00E418DE"/>
    <w:rsid w:val="00E42F87"/>
    <w:rsid w:val="00E435A8"/>
    <w:rsid w:val="00E45487"/>
    <w:rsid w:val="00E5059A"/>
    <w:rsid w:val="00E511E1"/>
    <w:rsid w:val="00E53AD4"/>
    <w:rsid w:val="00E5619B"/>
    <w:rsid w:val="00E60183"/>
    <w:rsid w:val="00E614CC"/>
    <w:rsid w:val="00E651DF"/>
    <w:rsid w:val="00E657B5"/>
    <w:rsid w:val="00E70397"/>
    <w:rsid w:val="00E72D69"/>
    <w:rsid w:val="00E767AB"/>
    <w:rsid w:val="00E774B0"/>
    <w:rsid w:val="00E808E7"/>
    <w:rsid w:val="00E81A31"/>
    <w:rsid w:val="00E83502"/>
    <w:rsid w:val="00E86E4F"/>
    <w:rsid w:val="00E9356F"/>
    <w:rsid w:val="00E97418"/>
    <w:rsid w:val="00E978EB"/>
    <w:rsid w:val="00EA23CB"/>
    <w:rsid w:val="00EA23F0"/>
    <w:rsid w:val="00EA5493"/>
    <w:rsid w:val="00EA5CF8"/>
    <w:rsid w:val="00EA7101"/>
    <w:rsid w:val="00EB35FE"/>
    <w:rsid w:val="00EB4A2C"/>
    <w:rsid w:val="00EB54D1"/>
    <w:rsid w:val="00EC0711"/>
    <w:rsid w:val="00EC46BE"/>
    <w:rsid w:val="00EC701F"/>
    <w:rsid w:val="00EC7AD0"/>
    <w:rsid w:val="00ED0D23"/>
    <w:rsid w:val="00ED40B8"/>
    <w:rsid w:val="00ED42E2"/>
    <w:rsid w:val="00ED7421"/>
    <w:rsid w:val="00EE469B"/>
    <w:rsid w:val="00EE534C"/>
    <w:rsid w:val="00EF12B6"/>
    <w:rsid w:val="00EF3E5E"/>
    <w:rsid w:val="00EF7E7F"/>
    <w:rsid w:val="00F0095B"/>
    <w:rsid w:val="00F010E1"/>
    <w:rsid w:val="00F02D43"/>
    <w:rsid w:val="00F04FE3"/>
    <w:rsid w:val="00F06FA3"/>
    <w:rsid w:val="00F07A69"/>
    <w:rsid w:val="00F13741"/>
    <w:rsid w:val="00F1539E"/>
    <w:rsid w:val="00F21D4D"/>
    <w:rsid w:val="00F21ED6"/>
    <w:rsid w:val="00F273C6"/>
    <w:rsid w:val="00F338C7"/>
    <w:rsid w:val="00F35CFC"/>
    <w:rsid w:val="00F46CE6"/>
    <w:rsid w:val="00F505DC"/>
    <w:rsid w:val="00F623A9"/>
    <w:rsid w:val="00F63B39"/>
    <w:rsid w:val="00F665AD"/>
    <w:rsid w:val="00F67383"/>
    <w:rsid w:val="00F70AE9"/>
    <w:rsid w:val="00F83B65"/>
    <w:rsid w:val="00F84406"/>
    <w:rsid w:val="00F867E1"/>
    <w:rsid w:val="00F872CA"/>
    <w:rsid w:val="00F9147A"/>
    <w:rsid w:val="00F9294C"/>
    <w:rsid w:val="00F941CF"/>
    <w:rsid w:val="00F956B5"/>
    <w:rsid w:val="00F9654A"/>
    <w:rsid w:val="00F97BC1"/>
    <w:rsid w:val="00FA2894"/>
    <w:rsid w:val="00FB0D46"/>
    <w:rsid w:val="00FB11F0"/>
    <w:rsid w:val="00FB2A95"/>
    <w:rsid w:val="00FB2B62"/>
    <w:rsid w:val="00FB6327"/>
    <w:rsid w:val="00FC0A84"/>
    <w:rsid w:val="00FC1DE9"/>
    <w:rsid w:val="00FD4D80"/>
    <w:rsid w:val="00FD55DC"/>
    <w:rsid w:val="00FE070F"/>
    <w:rsid w:val="00FE1AB1"/>
    <w:rsid w:val="00FE3395"/>
    <w:rsid w:val="00FF2050"/>
    <w:rsid w:val="00FF4D32"/>
    <w:rsid w:val="00FF57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7E2809"/>
  <w15:chartTrackingRefBased/>
  <w15:docId w15:val="{378919FB-B2CA-46C1-A956-7FAD518C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7F20"/>
  </w:style>
  <w:style w:type="paragraph" w:styleId="berschrift4">
    <w:name w:val="heading 4"/>
    <w:basedOn w:val="Standard"/>
    <w:link w:val="berschrift4Zchn"/>
    <w:uiPriority w:val="9"/>
    <w:unhideWhenUsed/>
    <w:qFormat/>
    <w:rsid w:val="001533EC"/>
    <w:pPr>
      <w:widowControl w:val="0"/>
      <w:autoSpaceDE w:val="0"/>
      <w:autoSpaceDN w:val="0"/>
      <w:spacing w:before="268"/>
      <w:ind w:left="796" w:hanging="691"/>
      <w:outlineLvl w:val="3"/>
    </w:pPr>
    <w:rPr>
      <w:rFonts w:eastAsia="Times New Roman"/>
      <w:b/>
      <w:bCs/>
      <w:i/>
      <w:i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aseText">
    <w:name w:val="Base_Text"/>
    <w:rsid w:val="009A3899"/>
    <w:pPr>
      <w:spacing w:before="120"/>
    </w:pPr>
    <w:rPr>
      <w:rFonts w:eastAsia="Times New Roman"/>
      <w:sz w:val="24"/>
      <w:szCs w:val="24"/>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rsid w:val="009A3899"/>
    <w:rPr>
      <w:sz w:val="24"/>
      <w:bdr w:val="none" w:sz="0" w:space="0" w:color="auto"/>
      <w:shd w:val="clear" w:color="auto" w:fill="C0C0C0"/>
    </w:rPr>
  </w:style>
  <w:style w:type="character" w:customStyle="1" w:styleId="audeg">
    <w:name w:val="au_deg"/>
    <w:rsid w:val="009A3899"/>
    <w:rPr>
      <w:sz w:val="24"/>
      <w:bdr w:val="none" w:sz="0" w:space="0" w:color="auto"/>
      <w:shd w:val="clear" w:color="auto" w:fill="FFFF00"/>
    </w:rPr>
  </w:style>
  <w:style w:type="character" w:customStyle="1" w:styleId="aufname">
    <w:name w:val="au_fname"/>
    <w:rsid w:val="009A3899"/>
    <w:rPr>
      <w:sz w:val="24"/>
      <w:bdr w:val="none" w:sz="0" w:space="0" w:color="auto"/>
      <w:shd w:val="clear" w:color="auto" w:fill="00FFFF"/>
    </w:rPr>
  </w:style>
  <w:style w:type="character" w:customStyle="1" w:styleId="aurole">
    <w:name w:val="au_role"/>
    <w:rsid w:val="009A3899"/>
    <w:rPr>
      <w:sz w:val="24"/>
      <w:bdr w:val="none" w:sz="0" w:space="0" w:color="auto"/>
      <w:shd w:val="clear" w:color="auto" w:fill="808000"/>
    </w:rPr>
  </w:style>
  <w:style w:type="character" w:customStyle="1" w:styleId="ausuffix">
    <w:name w:val="au_suffix"/>
    <w:rsid w:val="009A3899"/>
    <w:rPr>
      <w:sz w:val="24"/>
      <w:bdr w:val="none" w:sz="0" w:space="0" w:color="auto"/>
      <w:shd w:val="clear" w:color="auto" w:fill="FF00FF"/>
    </w:rPr>
  </w:style>
  <w:style w:type="character" w:customStyle="1" w:styleId="ausurname">
    <w:name w:val="au_surnam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Sprechblasentext">
    <w:name w:val="Balloon Text"/>
    <w:basedOn w:val="Standard"/>
    <w:link w:val="SprechblasentextZchn"/>
    <w:uiPriority w:val="99"/>
    <w:semiHidden/>
    <w:rsid w:val="009A3899"/>
    <w:rPr>
      <w:rFonts w:ascii="Lucida Grande" w:eastAsia="Times New Roman" w:hAnsi="Lucida Grande"/>
      <w:sz w:val="18"/>
      <w:szCs w:val="18"/>
    </w:rPr>
  </w:style>
  <w:style w:type="character" w:customStyle="1" w:styleId="SprechblasentextZchn">
    <w:name w:val="Sprechblasentext Zchn"/>
    <w:link w:val="Sprechblasentext"/>
    <w:uiPriority w:val="99"/>
    <w:semiHidden/>
    <w:rsid w:val="009A3899"/>
    <w:rPr>
      <w:rFonts w:ascii="Lucida Grande" w:eastAsia="Times New Roman" w:hAnsi="Lucida Grande"/>
      <w:sz w:val="18"/>
      <w:szCs w:val="18"/>
    </w:rPr>
  </w:style>
  <w:style w:type="character" w:customStyle="1" w:styleId="bibarticle">
    <w:name w:val="bib_article"/>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basedOn w:val="bibbase"/>
    <w:rsid w:val="009A3899"/>
    <w:rPr>
      <w:sz w:val="24"/>
    </w:rPr>
  </w:style>
  <w:style w:type="character" w:customStyle="1" w:styleId="bibdeg">
    <w:name w:val="bib_deg"/>
    <w:basedOn w:val="bibbase"/>
    <w:rsid w:val="009A3899"/>
    <w:rPr>
      <w:sz w:val="24"/>
    </w:rPr>
  </w:style>
  <w:style w:type="character" w:customStyle="1" w:styleId="bibdoi">
    <w:name w:val="bib_doi"/>
    <w:rsid w:val="009A3899"/>
    <w:rPr>
      <w:sz w:val="24"/>
      <w:bdr w:val="none" w:sz="0" w:space="0" w:color="auto"/>
      <w:shd w:val="clear" w:color="auto" w:fill="00FF00"/>
    </w:rPr>
  </w:style>
  <w:style w:type="character" w:customStyle="1" w:styleId="bibetal">
    <w:name w:val="bib_etal"/>
    <w:rsid w:val="009A3899"/>
    <w:rPr>
      <w:sz w:val="24"/>
      <w:bdr w:val="none" w:sz="0" w:space="0" w:color="auto"/>
      <w:shd w:val="clear" w:color="auto" w:fill="008080"/>
    </w:rPr>
  </w:style>
  <w:style w:type="character" w:customStyle="1" w:styleId="bibfname">
    <w:name w:val="bib_fname"/>
    <w:rsid w:val="009A3899"/>
    <w:rPr>
      <w:sz w:val="24"/>
      <w:bdr w:val="none" w:sz="0" w:space="0" w:color="auto"/>
      <w:shd w:val="clear" w:color="auto" w:fill="FFFF00"/>
    </w:rPr>
  </w:style>
  <w:style w:type="character" w:customStyle="1" w:styleId="bibfpage">
    <w:name w:val="bib_fpage"/>
    <w:rsid w:val="009A3899"/>
    <w:rPr>
      <w:sz w:val="24"/>
      <w:bdr w:val="none" w:sz="0" w:space="0" w:color="auto"/>
      <w:shd w:val="clear" w:color="auto" w:fill="808080"/>
    </w:rPr>
  </w:style>
  <w:style w:type="character" w:customStyle="1" w:styleId="bibissue">
    <w:name w:val="bib_issue"/>
    <w:rsid w:val="009A3899"/>
    <w:rPr>
      <w:sz w:val="24"/>
      <w:bdr w:val="none" w:sz="0" w:space="0" w:color="auto"/>
      <w:shd w:val="clear" w:color="auto" w:fill="FFFF00"/>
    </w:rPr>
  </w:style>
  <w:style w:type="character" w:customStyle="1" w:styleId="bibjournal">
    <w:name w:val="bib_journal"/>
    <w:rsid w:val="009A3899"/>
    <w:rPr>
      <w:sz w:val="24"/>
      <w:bdr w:val="none" w:sz="0" w:space="0" w:color="auto"/>
      <w:shd w:val="clear" w:color="auto" w:fill="808000"/>
    </w:rPr>
  </w:style>
  <w:style w:type="character" w:customStyle="1" w:styleId="biblpage">
    <w:name w:val="bib_lpage"/>
    <w:rsid w:val="009A3899"/>
    <w:rPr>
      <w:sz w:val="24"/>
      <w:bdr w:val="none" w:sz="0" w:space="0" w:color="auto"/>
      <w:shd w:val="clear" w:color="auto" w:fill="808080"/>
    </w:rPr>
  </w:style>
  <w:style w:type="character" w:customStyle="1" w:styleId="bibmedline">
    <w:name w:val="bib_medline"/>
    <w:basedOn w:val="bibbase"/>
    <w:rsid w:val="009A3899"/>
    <w:rPr>
      <w:sz w:val="24"/>
    </w:rPr>
  </w:style>
  <w:style w:type="character" w:customStyle="1" w:styleId="bibnumber">
    <w:name w:val="bib_number"/>
    <w:basedOn w:val="bibbase"/>
    <w:rsid w:val="009A3899"/>
    <w:rPr>
      <w:sz w:val="24"/>
    </w:rPr>
  </w:style>
  <w:style w:type="character" w:customStyle="1" w:styleId="biborganization">
    <w:name w:val="bib_organization"/>
    <w:rsid w:val="009A3899"/>
    <w:rPr>
      <w:sz w:val="24"/>
      <w:bdr w:val="none" w:sz="0" w:space="0" w:color="auto"/>
      <w:shd w:val="clear" w:color="auto" w:fill="808000"/>
    </w:rPr>
  </w:style>
  <w:style w:type="character" w:customStyle="1" w:styleId="bibsuffix">
    <w:name w:val="bib_suffix"/>
    <w:basedOn w:val="bibbase"/>
    <w:rsid w:val="009A3899"/>
    <w:rPr>
      <w:sz w:val="24"/>
    </w:rPr>
  </w:style>
  <w:style w:type="character" w:customStyle="1" w:styleId="bibsuppl">
    <w:name w:val="bib_suppl"/>
    <w:rsid w:val="009A3899"/>
    <w:rPr>
      <w:sz w:val="24"/>
      <w:bdr w:val="none" w:sz="0" w:space="0" w:color="auto"/>
      <w:shd w:val="clear" w:color="auto" w:fill="FFFF00"/>
    </w:rPr>
  </w:style>
  <w:style w:type="character" w:customStyle="1" w:styleId="bibsurname">
    <w:name w:val="bib_surname"/>
    <w:rsid w:val="009A3899"/>
    <w:rPr>
      <w:sz w:val="24"/>
      <w:bdr w:val="none" w:sz="0" w:space="0" w:color="auto"/>
      <w:shd w:val="clear" w:color="auto" w:fill="FFFF00"/>
    </w:rPr>
  </w:style>
  <w:style w:type="character" w:customStyle="1" w:styleId="bibunpubl">
    <w:name w:val="bib_unpubl"/>
    <w:basedOn w:val="bibbase"/>
    <w:rsid w:val="009A3899"/>
    <w:rPr>
      <w:sz w:val="24"/>
    </w:rPr>
  </w:style>
  <w:style w:type="character" w:customStyle="1" w:styleId="biburl">
    <w:name w:val="bib_url"/>
    <w:rsid w:val="009A3899"/>
    <w:rPr>
      <w:sz w:val="24"/>
      <w:bdr w:val="none" w:sz="0" w:space="0" w:color="auto"/>
      <w:shd w:val="clear" w:color="auto" w:fill="00FF00"/>
    </w:rPr>
  </w:style>
  <w:style w:type="character" w:customStyle="1" w:styleId="bibvolume">
    <w:name w:val="bib_volume"/>
    <w:rsid w:val="009A3899"/>
    <w:rPr>
      <w:sz w:val="24"/>
      <w:bdr w:val="none" w:sz="0" w:space="0" w:color="auto"/>
      <w:shd w:val="clear" w:color="auto" w:fill="00FF00"/>
    </w:rPr>
  </w:style>
  <w:style w:type="character" w:customStyle="1" w:styleId="bibyear">
    <w:name w:val="bib_year"/>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rsid w:val="009A3899"/>
    <w:rPr>
      <w:sz w:val="24"/>
      <w:bdr w:val="none" w:sz="0" w:space="0" w:color="auto"/>
      <w:shd w:val="clear" w:color="auto" w:fill="00FFFF"/>
    </w:rPr>
  </w:style>
  <w:style w:type="character" w:customStyle="1" w:styleId="citebox">
    <w:name w:val="cite_box"/>
    <w:basedOn w:val="citebase"/>
    <w:rsid w:val="009A3899"/>
    <w:rPr>
      <w:sz w:val="24"/>
    </w:rPr>
  </w:style>
  <w:style w:type="character" w:customStyle="1" w:styleId="citeen">
    <w:name w:val="cite_en"/>
    <w:rsid w:val="009A3899"/>
    <w:rPr>
      <w:sz w:val="24"/>
      <w:shd w:val="clear" w:color="auto" w:fill="FFFF00"/>
      <w:vertAlign w:val="superscript"/>
    </w:rPr>
  </w:style>
  <w:style w:type="character" w:customStyle="1" w:styleId="citeeq">
    <w:name w:val="cite_eq"/>
    <w:rsid w:val="009A3899"/>
    <w:rPr>
      <w:sz w:val="24"/>
      <w:bdr w:val="none" w:sz="0" w:space="0" w:color="auto"/>
      <w:shd w:val="clear" w:color="auto" w:fill="FF99CC"/>
    </w:rPr>
  </w:style>
  <w:style w:type="character" w:customStyle="1" w:styleId="citefig">
    <w:name w:val="cite_fig"/>
    <w:rsid w:val="009A3899"/>
    <w:rPr>
      <w:color w:val="000000"/>
      <w:sz w:val="24"/>
      <w:bdr w:val="none" w:sz="0" w:space="0" w:color="auto"/>
      <w:shd w:val="clear" w:color="auto" w:fill="00FF00"/>
    </w:rPr>
  </w:style>
  <w:style w:type="character" w:customStyle="1" w:styleId="citefn">
    <w:name w:val="cite_fn"/>
    <w:rsid w:val="009A3899"/>
    <w:rPr>
      <w:sz w:val="24"/>
      <w:bdr w:val="none" w:sz="0" w:space="0" w:color="auto"/>
      <w:shd w:val="clear" w:color="auto" w:fill="FF0000"/>
    </w:rPr>
  </w:style>
  <w:style w:type="character" w:customStyle="1" w:styleId="citetbl">
    <w:name w:val="cite_tbl"/>
    <w:rsid w:val="009A3899"/>
    <w:rPr>
      <w:color w:val="000000"/>
      <w:sz w:val="24"/>
      <w:bdr w:val="none" w:sz="0" w:space="0" w:color="auto"/>
      <w:shd w:val="clear" w:color="auto" w:fill="FF00FF"/>
    </w:rPr>
  </w:style>
  <w:style w:type="character" w:styleId="Kommentarzeichen">
    <w:name w:val="annotation reference"/>
    <w:uiPriority w:val="99"/>
    <w:rsid w:val="009A3899"/>
    <w:rPr>
      <w:sz w:val="18"/>
      <w:szCs w:val="18"/>
    </w:rPr>
  </w:style>
  <w:style w:type="paragraph" w:styleId="Kommentartext">
    <w:name w:val="annotation text"/>
    <w:basedOn w:val="Standard"/>
    <w:link w:val="KommentartextZchn"/>
    <w:uiPriority w:val="99"/>
    <w:rsid w:val="009A3899"/>
    <w:rPr>
      <w:rFonts w:eastAsia="Times New Roman"/>
    </w:rPr>
  </w:style>
  <w:style w:type="character" w:customStyle="1" w:styleId="KommentartextZchn">
    <w:name w:val="Kommentartext Zchn"/>
    <w:link w:val="Kommentartext"/>
    <w:uiPriority w:val="99"/>
    <w:rsid w:val="009A3899"/>
    <w:rPr>
      <w:rFonts w:ascii="Times New Roman" w:eastAsia="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9A3899"/>
    <w:rPr>
      <w:b/>
      <w:bCs/>
    </w:rPr>
  </w:style>
  <w:style w:type="character" w:customStyle="1" w:styleId="KommentarthemaZchn">
    <w:name w:val="Kommentarthema Zchn"/>
    <w:link w:val="Kommentarthema"/>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rsid w:val="009A3899"/>
    <w:rPr>
      <w:sz w:val="24"/>
      <w:szCs w:val="24"/>
      <w:bdr w:val="none" w:sz="0" w:space="0" w:color="auto"/>
      <w:shd w:val="clear" w:color="auto" w:fill="CCFFCC"/>
    </w:rPr>
  </w:style>
  <w:style w:type="character" w:customStyle="1" w:styleId="ContractSponsor">
    <w:name w:val="Contract Sponsor"/>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Hervorhebung">
    <w:name w:val="Emphasis"/>
    <w:uiPriority w:val="20"/>
    <w:qFormat/>
    <w:rsid w:val="009A3899"/>
    <w:rPr>
      <w:i/>
      <w:iCs/>
    </w:rPr>
  </w:style>
  <w:style w:type="character" w:styleId="Endnotenzeichen">
    <w:name w:val="endnote reference"/>
    <w:semiHidden/>
    <w:rsid w:val="009A3899"/>
    <w:rPr>
      <w:vertAlign w:val="superscript"/>
    </w:rPr>
  </w:style>
  <w:style w:type="paragraph" w:styleId="Endnotentext">
    <w:name w:val="endnote text"/>
    <w:basedOn w:val="Standard"/>
    <w:link w:val="EndnotentextZchn"/>
    <w:semiHidden/>
    <w:rsid w:val="009A3899"/>
    <w:rPr>
      <w:rFonts w:ascii="Cambria" w:eastAsia="Cambria" w:hAnsi="Cambria"/>
    </w:rPr>
  </w:style>
  <w:style w:type="character" w:customStyle="1" w:styleId="EndnotentextZchn">
    <w:name w:val="Endnotentext Zchn"/>
    <w:link w:val="Endnotentext"/>
    <w:semiHidden/>
    <w:rsid w:val="009A3899"/>
    <w:rPr>
      <w:rFonts w:ascii="Cambria" w:eastAsia="Cambria" w:hAnsi="Cambria"/>
      <w:sz w:val="20"/>
      <w:szCs w:val="20"/>
    </w:rPr>
  </w:style>
  <w:style w:type="character" w:customStyle="1" w:styleId="eqno">
    <w:name w:val="eq_no"/>
    <w:basedOn w:val="citebase"/>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BesuchterLink">
    <w:name w:val="FollowedHyperlink"/>
    <w:rsid w:val="009A3899"/>
    <w:rPr>
      <w:color w:val="800080"/>
      <w:u w:val="single"/>
    </w:rPr>
  </w:style>
  <w:style w:type="paragraph" w:styleId="Fuzeile">
    <w:name w:val="footer"/>
    <w:basedOn w:val="Standard"/>
    <w:link w:val="FuzeileZchn"/>
    <w:uiPriority w:val="99"/>
    <w:rsid w:val="009A3899"/>
    <w:pPr>
      <w:tabs>
        <w:tab w:val="center" w:pos="4320"/>
        <w:tab w:val="right" w:pos="8640"/>
      </w:tabs>
    </w:pPr>
    <w:rPr>
      <w:rFonts w:eastAsia="Times New Roman"/>
    </w:rPr>
  </w:style>
  <w:style w:type="character" w:customStyle="1" w:styleId="FuzeileZchn">
    <w:name w:val="Fußzeile Zchn"/>
    <w:link w:val="Fuzeile"/>
    <w:uiPriority w:val="99"/>
    <w:rsid w:val="009A3899"/>
    <w:rPr>
      <w:rFonts w:ascii="Times New Roman" w:eastAsia="Times New Roman" w:hAnsi="Times New Roman"/>
      <w:sz w:val="20"/>
      <w:szCs w:val="20"/>
    </w:rPr>
  </w:style>
  <w:style w:type="character" w:styleId="Funotenzeichen">
    <w:name w:val="footnote reference"/>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Kopfzeile">
    <w:name w:val="header"/>
    <w:basedOn w:val="Standard"/>
    <w:link w:val="KopfzeileZchn"/>
    <w:uiPriority w:val="99"/>
    <w:rsid w:val="009A3899"/>
    <w:pPr>
      <w:tabs>
        <w:tab w:val="center" w:pos="4320"/>
        <w:tab w:val="right" w:pos="8640"/>
      </w:tabs>
    </w:pPr>
    <w:rPr>
      <w:rFonts w:eastAsia="Times New Roman"/>
    </w:rPr>
  </w:style>
  <w:style w:type="character" w:customStyle="1" w:styleId="KopfzeileZchn">
    <w:name w:val="Kopfzeile Zchn"/>
    <w:link w:val="Kopfzeile"/>
    <w:uiPriority w:val="99"/>
    <w:rsid w:val="009A3899"/>
    <w:rPr>
      <w:rFonts w:ascii="Times New Roman" w:eastAsia="Times New Roman" w:hAnsi="Times New Roman"/>
      <w:sz w:val="20"/>
      <w:szCs w:val="20"/>
    </w:rPr>
  </w:style>
  <w:style w:type="character" w:styleId="HTMLAkronym">
    <w:name w:val="HTML Acronym"/>
    <w:basedOn w:val="Absatz-Standardschriftart"/>
    <w:rsid w:val="009A3899"/>
  </w:style>
  <w:style w:type="character" w:styleId="HTMLZitat">
    <w:name w:val="HTML Cite"/>
    <w:rsid w:val="009A3899"/>
    <w:rPr>
      <w:i/>
      <w:iCs/>
    </w:rPr>
  </w:style>
  <w:style w:type="character" w:styleId="HTMLCode">
    <w:name w:val="HTML Code"/>
    <w:rsid w:val="009A3899"/>
    <w:rPr>
      <w:rFonts w:ascii="Courier New" w:hAnsi="Courier New" w:cs="Courier New"/>
      <w:sz w:val="20"/>
      <w:szCs w:val="20"/>
    </w:rPr>
  </w:style>
  <w:style w:type="character" w:styleId="HTMLDefinition">
    <w:name w:val="HTML Definition"/>
    <w:rsid w:val="009A3899"/>
    <w:rPr>
      <w:i/>
      <w:iCs/>
    </w:rPr>
  </w:style>
  <w:style w:type="character" w:styleId="HTMLTastatur">
    <w:name w:val="HTML Keyboard"/>
    <w:rsid w:val="009A3899"/>
    <w:rPr>
      <w:rFonts w:ascii="Courier New" w:hAnsi="Courier New" w:cs="Courier New"/>
      <w:sz w:val="20"/>
      <w:szCs w:val="20"/>
    </w:rPr>
  </w:style>
  <w:style w:type="paragraph" w:styleId="HTMLVorformatiert">
    <w:name w:val="HTML Preformatted"/>
    <w:basedOn w:val="Standard"/>
    <w:link w:val="HTMLVorformatiertZchn"/>
    <w:rsid w:val="009A3899"/>
    <w:rPr>
      <w:rFonts w:ascii="Consolas" w:eastAsia="Times New Roman" w:hAnsi="Consolas"/>
    </w:rPr>
  </w:style>
  <w:style w:type="character" w:customStyle="1" w:styleId="HTMLVorformatiertZchn">
    <w:name w:val="HTML Vorformatiert Zchn"/>
    <w:link w:val="HTMLVorformatiert"/>
    <w:rsid w:val="009A3899"/>
    <w:rPr>
      <w:rFonts w:ascii="Consolas" w:eastAsia="Times New Roman" w:hAnsi="Consolas"/>
      <w:sz w:val="20"/>
      <w:szCs w:val="20"/>
    </w:rPr>
  </w:style>
  <w:style w:type="character" w:styleId="HTMLBeispiel">
    <w:name w:val="HTML Sample"/>
    <w:rsid w:val="009A3899"/>
    <w:rPr>
      <w:rFonts w:ascii="Courier New" w:hAnsi="Courier New" w:cs="Courier New"/>
    </w:rPr>
  </w:style>
  <w:style w:type="character" w:styleId="HTMLSchreibmaschine">
    <w:name w:val="HTML Typewriter"/>
    <w:rsid w:val="009A3899"/>
    <w:rPr>
      <w:rFonts w:ascii="Courier New" w:hAnsi="Courier New" w:cs="Courier New"/>
      <w:sz w:val="20"/>
      <w:szCs w:val="20"/>
    </w:rPr>
  </w:style>
  <w:style w:type="character" w:styleId="HTMLVariable">
    <w:name w:val="HTML Variable"/>
    <w:rsid w:val="009A3899"/>
    <w:rPr>
      <w:i/>
      <w:iCs/>
    </w:rPr>
  </w:style>
  <w:style w:type="character" w:styleId="Hyperlink">
    <w:name w:val="Hyperlink"/>
    <w:uiPriority w:val="99"/>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Zeilennummer">
    <w:name w:val="line number"/>
    <w:basedOn w:val="Absatz-Standardschriftart"/>
    <w:uiPriority w:val="99"/>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Seitenzahl">
    <w:name w:val="page number"/>
    <w:basedOn w:val="Absatz-Standardschriftart"/>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Fett">
    <w:name w:val="Strong"/>
    <w:uiPriority w:val="22"/>
    <w:qFormat/>
    <w:rsid w:val="009A3899"/>
    <w:rPr>
      <w:b/>
      <w:bCs/>
    </w:rPr>
  </w:style>
  <w:style w:type="paragraph" w:customStyle="1" w:styleId="SX-Abstract">
    <w:name w:val="SX-Abstract"/>
    <w:basedOn w:val="Standard"/>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Standard"/>
    <w:next w:val="Standard"/>
    <w:qFormat/>
    <w:rsid w:val="009A3899"/>
    <w:pPr>
      <w:spacing w:after="160" w:line="190" w:lineRule="exact"/>
    </w:pPr>
    <w:rPr>
      <w:rFonts w:ascii="BlissRegular" w:eastAsia="Times New Roman" w:hAnsi="BlissRegular"/>
      <w:sz w:val="16"/>
    </w:rPr>
  </w:style>
  <w:style w:type="paragraph" w:customStyle="1" w:styleId="SX-Articlehead">
    <w:name w:val="SX-Article head"/>
    <w:basedOn w:val="Standard"/>
    <w:qFormat/>
    <w:rsid w:val="009A3899"/>
    <w:pPr>
      <w:spacing w:before="210" w:line="210" w:lineRule="exact"/>
      <w:ind w:firstLine="288"/>
      <w:jc w:val="both"/>
    </w:pPr>
    <w:rPr>
      <w:rFonts w:eastAsia="Times New Roman"/>
      <w:b/>
      <w:sz w:val="18"/>
    </w:rPr>
  </w:style>
  <w:style w:type="paragraph" w:customStyle="1" w:styleId="SX-Authornames">
    <w:name w:val="SX-Author names"/>
    <w:basedOn w:val="Standard"/>
    <w:rsid w:val="009A3899"/>
    <w:pPr>
      <w:spacing w:after="120" w:line="210" w:lineRule="exact"/>
    </w:pPr>
    <w:rPr>
      <w:rFonts w:ascii="BlissMedium" w:eastAsia="Times New Roman" w:hAnsi="BlissMedium"/>
    </w:rPr>
  </w:style>
  <w:style w:type="paragraph" w:customStyle="1" w:styleId="SX-Bodytext">
    <w:name w:val="SX-Body text"/>
    <w:basedOn w:val="Standard"/>
    <w:next w:val="Standard"/>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Standard"/>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Standard"/>
    <w:rsid w:val="009A3899"/>
    <w:pPr>
      <w:spacing w:line="190" w:lineRule="exact"/>
      <w:ind w:left="245" w:hanging="245"/>
      <w:jc w:val="both"/>
    </w:pPr>
    <w:rPr>
      <w:rFonts w:eastAsia="Times New Roman"/>
      <w:sz w:val="16"/>
    </w:rPr>
  </w:style>
  <w:style w:type="paragraph" w:customStyle="1" w:styleId="SX-RefHead">
    <w:name w:val="SX-RefHead"/>
    <w:basedOn w:val="Standard"/>
    <w:rsid w:val="009A3899"/>
    <w:pPr>
      <w:spacing w:before="200" w:line="190" w:lineRule="exact"/>
    </w:pPr>
    <w:rPr>
      <w:rFonts w:eastAsia="Times New Roman"/>
      <w:b/>
      <w:sz w:val="16"/>
    </w:rPr>
  </w:style>
  <w:style w:type="character" w:customStyle="1" w:styleId="SX-reflink">
    <w:name w:val="SX-reflink"/>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Standard"/>
    <w:qFormat/>
    <w:rsid w:val="009A3899"/>
    <w:rPr>
      <w:rFonts w:eastAsia="Times New Roman"/>
      <w:szCs w:val="24"/>
    </w:rPr>
  </w:style>
  <w:style w:type="paragraph" w:customStyle="1" w:styleId="SX-Tablelegend">
    <w:name w:val="SX-Tablelegend"/>
    <w:basedOn w:val="Standard"/>
    <w:qFormat/>
    <w:rsid w:val="009A3899"/>
    <w:pPr>
      <w:spacing w:line="190" w:lineRule="exact"/>
      <w:ind w:left="245" w:hanging="245"/>
      <w:jc w:val="both"/>
    </w:pPr>
    <w:rPr>
      <w:rFonts w:eastAsia="Times New Roman"/>
      <w:sz w:val="16"/>
    </w:rPr>
  </w:style>
  <w:style w:type="paragraph" w:customStyle="1" w:styleId="SX-Tabletext">
    <w:name w:val="SX-Tabletext"/>
    <w:basedOn w:val="Standard"/>
    <w:qFormat/>
    <w:rsid w:val="009A3899"/>
    <w:pPr>
      <w:spacing w:line="210" w:lineRule="exact"/>
      <w:jc w:val="center"/>
    </w:pPr>
    <w:rPr>
      <w:rFonts w:eastAsia="Times New Roman"/>
      <w:sz w:val="18"/>
    </w:rPr>
  </w:style>
  <w:style w:type="paragraph" w:customStyle="1" w:styleId="SX-Tabletitle">
    <w:name w:val="SX-Tabletitle"/>
    <w:basedOn w:val="Standard"/>
    <w:qFormat/>
    <w:rsid w:val="009A3899"/>
    <w:pPr>
      <w:spacing w:after="120" w:line="210" w:lineRule="exact"/>
      <w:jc w:val="both"/>
    </w:pPr>
    <w:rPr>
      <w:rFonts w:ascii="BlissMedium" w:eastAsia="Times New Roman" w:hAnsi="BlissMedium"/>
      <w:sz w:val="18"/>
    </w:rPr>
  </w:style>
  <w:style w:type="paragraph" w:customStyle="1" w:styleId="SX-Title">
    <w:name w:val="SX-Title"/>
    <w:basedOn w:val="Standard"/>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Standard"/>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character" w:customStyle="1" w:styleId="custom-cit-author">
    <w:name w:val="custom-cit-author"/>
    <w:basedOn w:val="Absatz-Standardschriftart"/>
    <w:rsid w:val="00943D39"/>
  </w:style>
  <w:style w:type="character" w:customStyle="1" w:styleId="custom-cit-title">
    <w:name w:val="custom-cit-title"/>
    <w:basedOn w:val="Absatz-Standardschriftart"/>
    <w:rsid w:val="00943D39"/>
  </w:style>
  <w:style w:type="character" w:customStyle="1" w:styleId="custom-cit-jour-title">
    <w:name w:val="custom-cit-jour-title"/>
    <w:basedOn w:val="Absatz-Standardschriftart"/>
    <w:rsid w:val="00943D39"/>
  </w:style>
  <w:style w:type="character" w:customStyle="1" w:styleId="custom-cit-volume">
    <w:name w:val="custom-cit-volume"/>
    <w:basedOn w:val="Absatz-Standardschriftart"/>
    <w:rsid w:val="00943D39"/>
  </w:style>
  <w:style w:type="character" w:customStyle="1" w:styleId="custom-cit-volume-sep">
    <w:name w:val="custom-cit-volume-sep"/>
    <w:basedOn w:val="Absatz-Standardschriftart"/>
    <w:rsid w:val="00943D39"/>
  </w:style>
  <w:style w:type="character" w:customStyle="1" w:styleId="custom-cit-fpage">
    <w:name w:val="custom-cit-fpage"/>
    <w:basedOn w:val="Absatz-Standardschriftart"/>
    <w:rsid w:val="00943D39"/>
  </w:style>
  <w:style w:type="character" w:customStyle="1" w:styleId="custom-cit-date">
    <w:name w:val="custom-cit-date"/>
    <w:basedOn w:val="Absatz-Standardschriftart"/>
    <w:rsid w:val="00943D39"/>
  </w:style>
  <w:style w:type="character" w:customStyle="1" w:styleId="UnresolvedMention1">
    <w:name w:val="Unresolved Mention1"/>
    <w:uiPriority w:val="99"/>
    <w:semiHidden/>
    <w:unhideWhenUsed/>
    <w:rsid w:val="00175CBB"/>
    <w:rPr>
      <w:color w:val="605E5C"/>
      <w:shd w:val="clear" w:color="auto" w:fill="E1DFDD"/>
    </w:rPr>
  </w:style>
  <w:style w:type="paragraph" w:styleId="berarbeitung">
    <w:name w:val="Revision"/>
    <w:hidden/>
    <w:uiPriority w:val="99"/>
    <w:semiHidden/>
    <w:rsid w:val="00BA7E08"/>
  </w:style>
  <w:style w:type="character" w:customStyle="1" w:styleId="UnresolvedMention10">
    <w:name w:val="Unresolved Mention1"/>
    <w:basedOn w:val="Absatz-Standardschriftart"/>
    <w:uiPriority w:val="99"/>
    <w:semiHidden/>
    <w:unhideWhenUsed/>
    <w:rsid w:val="00C35B7A"/>
    <w:rPr>
      <w:color w:val="605E5C"/>
      <w:shd w:val="clear" w:color="auto" w:fill="E1DFDD"/>
    </w:rPr>
  </w:style>
  <w:style w:type="paragraph" w:styleId="Listenabsatz">
    <w:name w:val="List Paragraph"/>
    <w:basedOn w:val="Standard"/>
    <w:uiPriority w:val="1"/>
    <w:qFormat/>
    <w:rsid w:val="00C35B7A"/>
    <w:pPr>
      <w:spacing w:after="160" w:line="259" w:lineRule="auto"/>
      <w:ind w:left="720"/>
      <w:contextualSpacing/>
    </w:pPr>
    <w:rPr>
      <w:rFonts w:asciiTheme="minorHAnsi" w:eastAsiaTheme="minorHAnsi" w:hAnsiTheme="minorHAnsi" w:cstheme="minorBidi"/>
      <w:sz w:val="22"/>
      <w:szCs w:val="22"/>
      <w:lang w:val="en-IN"/>
    </w:rPr>
  </w:style>
  <w:style w:type="character" w:customStyle="1" w:styleId="anchor-text">
    <w:name w:val="anchor-text"/>
    <w:basedOn w:val="Absatz-Standardschriftart"/>
    <w:rsid w:val="00C35B7A"/>
  </w:style>
  <w:style w:type="paragraph" w:styleId="KeinLeerraum">
    <w:name w:val="No Spacing"/>
    <w:uiPriority w:val="1"/>
    <w:qFormat/>
    <w:rsid w:val="00C35B7A"/>
    <w:rPr>
      <w:rFonts w:ascii="Iskoola Pota" w:eastAsiaTheme="minorHAnsi" w:hAnsi="Iskoola Pota" w:cs="Iskoola Pota"/>
      <w:sz w:val="22"/>
      <w:szCs w:val="22"/>
      <w:lang w:val="de-DE"/>
    </w:rPr>
  </w:style>
  <w:style w:type="character" w:customStyle="1" w:styleId="UnresolvedMention2">
    <w:name w:val="Unresolved Mention2"/>
    <w:basedOn w:val="Absatz-Standardschriftart"/>
    <w:uiPriority w:val="99"/>
    <w:semiHidden/>
    <w:unhideWhenUsed/>
    <w:rsid w:val="00C35B7A"/>
    <w:rPr>
      <w:color w:val="605E5C"/>
      <w:shd w:val="clear" w:color="auto" w:fill="E1DFDD"/>
    </w:rPr>
  </w:style>
  <w:style w:type="character" w:customStyle="1" w:styleId="id-label">
    <w:name w:val="id-label"/>
    <w:basedOn w:val="Absatz-Standardschriftart"/>
    <w:rsid w:val="00C35B7A"/>
  </w:style>
  <w:style w:type="character" w:customStyle="1" w:styleId="docsum-pmid">
    <w:name w:val="docsum-pmid"/>
    <w:basedOn w:val="Absatz-Standardschriftart"/>
    <w:rsid w:val="00C35B7A"/>
  </w:style>
  <w:style w:type="character" w:customStyle="1" w:styleId="citation-part">
    <w:name w:val="citation-part"/>
    <w:basedOn w:val="Absatz-Standardschriftart"/>
    <w:rsid w:val="00C35B7A"/>
  </w:style>
  <w:style w:type="paragraph" w:styleId="StandardWeb">
    <w:name w:val="Normal (Web)"/>
    <w:basedOn w:val="Standard"/>
    <w:uiPriority w:val="99"/>
    <w:unhideWhenUsed/>
    <w:rsid w:val="00C35B7A"/>
    <w:pPr>
      <w:spacing w:before="100" w:beforeAutospacing="1" w:after="100" w:afterAutospacing="1"/>
    </w:pPr>
    <w:rPr>
      <w:rFonts w:eastAsia="Times New Roman"/>
      <w:sz w:val="24"/>
      <w:szCs w:val="24"/>
      <w:lang w:val="en-GB" w:eastAsia="en-GB"/>
    </w:rPr>
  </w:style>
  <w:style w:type="paragraph" w:styleId="Funotentext">
    <w:name w:val="footnote text"/>
    <w:basedOn w:val="Standard"/>
    <w:link w:val="FunotentextZchn"/>
    <w:uiPriority w:val="99"/>
    <w:semiHidden/>
    <w:unhideWhenUsed/>
    <w:rsid w:val="00122188"/>
  </w:style>
  <w:style w:type="character" w:customStyle="1" w:styleId="FunotentextZchn">
    <w:name w:val="Fußnotentext Zchn"/>
    <w:basedOn w:val="Absatz-Standardschriftart"/>
    <w:link w:val="Funotentext"/>
    <w:uiPriority w:val="99"/>
    <w:semiHidden/>
    <w:rsid w:val="00122188"/>
  </w:style>
  <w:style w:type="character" w:customStyle="1" w:styleId="berschrift4Zchn">
    <w:name w:val="Überschrift 4 Zchn"/>
    <w:basedOn w:val="Absatz-Standardschriftart"/>
    <w:link w:val="berschrift4"/>
    <w:uiPriority w:val="9"/>
    <w:rsid w:val="001533EC"/>
    <w:rPr>
      <w:rFonts w:eastAsia="Times New Roman"/>
      <w:b/>
      <w:bCs/>
      <w:i/>
      <w:iCs/>
      <w:sz w:val="24"/>
      <w:szCs w:val="24"/>
    </w:rPr>
  </w:style>
  <w:style w:type="character" w:styleId="NichtaufgelsteErwhnung">
    <w:name w:val="Unresolved Mention"/>
    <w:basedOn w:val="Absatz-Standardschriftart"/>
    <w:uiPriority w:val="99"/>
    <w:semiHidden/>
    <w:unhideWhenUsed/>
    <w:rsid w:val="00386B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28726">
      <w:bodyDiv w:val="1"/>
      <w:marLeft w:val="0"/>
      <w:marRight w:val="0"/>
      <w:marTop w:val="0"/>
      <w:marBottom w:val="0"/>
      <w:divBdr>
        <w:top w:val="none" w:sz="0" w:space="0" w:color="auto"/>
        <w:left w:val="none" w:sz="0" w:space="0" w:color="auto"/>
        <w:bottom w:val="none" w:sz="0" w:space="0" w:color="auto"/>
        <w:right w:val="none" w:sz="0" w:space="0" w:color="auto"/>
      </w:divBdr>
    </w:div>
    <w:div w:id="1061975894">
      <w:bodyDiv w:val="1"/>
      <w:marLeft w:val="0"/>
      <w:marRight w:val="0"/>
      <w:marTop w:val="0"/>
      <w:marBottom w:val="0"/>
      <w:divBdr>
        <w:top w:val="none" w:sz="0" w:space="0" w:color="auto"/>
        <w:left w:val="none" w:sz="0" w:space="0" w:color="auto"/>
        <w:bottom w:val="none" w:sz="0" w:space="0" w:color="auto"/>
        <w:right w:val="none" w:sz="0" w:space="0" w:color="auto"/>
      </w:divBdr>
    </w:div>
    <w:div w:id="213505595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itrc.org/projects/wfu_pickatla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uermann@dife.d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674C7A77CE0514C8EA9972A6AA0B0A5" ma:contentTypeVersion="12" ma:contentTypeDescription="Create a new document." ma:contentTypeScope="" ma:versionID="7e99b502f0bad2f53a83bf4b0d33dbb9">
  <xsd:schema xmlns:xsd="http://www.w3.org/2001/XMLSchema" xmlns:xs="http://www.w3.org/2001/XMLSchema" xmlns:p="http://schemas.microsoft.com/office/2006/metadata/properties" xmlns:ns3="6abc619b-39d1-41b2-8433-a04451f34412" xmlns:ns4="4369a23a-a739-4e75-a877-0d1fab5acdb5" targetNamespace="http://schemas.microsoft.com/office/2006/metadata/properties" ma:root="true" ma:fieldsID="ae3ecaaf132394621abbb87c81b186b7" ns3:_="" ns4:_="">
    <xsd:import namespace="6abc619b-39d1-41b2-8433-a04451f34412"/>
    <xsd:import namespace="4369a23a-a739-4e75-a877-0d1fab5acdb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bc619b-39d1-41b2-8433-a04451f3441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69a23a-a739-4e75-a877-0d1fab5acd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C22948-B307-46AD-A962-58BEE57FA4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01A008-7493-4F68-AA1A-7EE6EEF1D773}">
  <ds:schemaRefs>
    <ds:schemaRef ds:uri="http://schemas.openxmlformats.org/officeDocument/2006/bibliography"/>
  </ds:schemaRefs>
</ds:datastoreItem>
</file>

<file path=customXml/itemProps3.xml><?xml version="1.0" encoding="utf-8"?>
<ds:datastoreItem xmlns:ds="http://schemas.openxmlformats.org/officeDocument/2006/customXml" ds:itemID="{1F2AC658-7A56-40DE-922C-1162C1D4B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bc619b-39d1-41b2-8433-a04451f34412"/>
    <ds:schemaRef ds:uri="4369a23a-a739-4e75-a877-0d1fab5acd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3AEE76-923C-41C5-99E3-A0990FF220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10777</Words>
  <Characters>403296</Characters>
  <Application>Microsoft Office Word</Application>
  <DocSecurity>4</DocSecurity>
  <Lines>3360</Lines>
  <Paragraphs>826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Science Manuscript Template</vt:lpstr>
      <vt:lpstr>Science Manuscript Template</vt:lpstr>
    </vt:vector>
  </TitlesOfParts>
  <Company>Microsoft</Company>
  <LinksUpToDate>false</LinksUpToDate>
  <CharactersWithSpaces>413247</CharactersWithSpaces>
  <SharedDoc>false</SharedDoc>
  <HLinks>
    <vt:vector size="12" baseType="variant">
      <vt:variant>
        <vt:i4>2228274</vt:i4>
      </vt:variant>
      <vt:variant>
        <vt:i4>3</vt:i4>
      </vt:variant>
      <vt:variant>
        <vt:i4>0</vt:i4>
      </vt:variant>
      <vt:variant>
        <vt:i4>5</vt:i4>
      </vt:variant>
      <vt:variant>
        <vt:lpwstr>https://stm.sciencemag.org/content/information-authors</vt:lpwstr>
      </vt:variant>
      <vt:variant>
        <vt:lpwstr/>
      </vt:variant>
      <vt:variant>
        <vt:i4>2883708</vt:i4>
      </vt:variant>
      <vt:variant>
        <vt:i4>0</vt:i4>
      </vt:variant>
      <vt:variant>
        <vt:i4>0</vt:i4>
      </vt:variant>
      <vt:variant>
        <vt:i4>5</vt:i4>
      </vt:variant>
      <vt:variant>
        <vt:lpwstr>https://cts.sciencemag.org/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Manuscript Template</dc:title>
  <dc:subject/>
  <dc:creator>bhanson</dc:creator>
  <cp:keywords/>
  <cp:lastModifiedBy>Katrin Rauner</cp:lastModifiedBy>
  <cp:revision>2</cp:revision>
  <cp:lastPrinted>2012-01-29T18:20:00Z</cp:lastPrinted>
  <dcterms:created xsi:type="dcterms:W3CDTF">2025-11-11T11:12:00Z</dcterms:created>
  <dcterms:modified xsi:type="dcterms:W3CDTF">2025-11-11T11:12:00Z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0x0101009674C7A77CE0514C8EA9972A6AA0B0A5</vt:lpwstr>
  </property>
  <property fmtid="{D5CDD505-2E9C-101B-9397-08002B2CF9AE}" pid="3" name="GrammarlyDocumentId">
    <vt:lpwstr>12230d4c424cf5cc38b56dddd2bd4df8774d0793010f82463c14ba20215cd078</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http://www.zotero.org/styles/cambridge-university-press-numeric</vt:lpwstr>
  </property>
  <property fmtid="{D5CDD505-2E9C-101B-9397-08002B2CF9AE}" pid="7" name="Mendeley Recent Style Name 1_1">
    <vt:lpwstr>Cambridge University Press (numeric)</vt:lpwstr>
  </property>
  <property fmtid="{D5CDD505-2E9C-101B-9397-08002B2CF9AE}" pid="8" name="Mendeley Recent Style Id 2_1">
    <vt:lpwstr>http://www.zotero.org/styles/harvard-cite-them-right</vt:lpwstr>
  </property>
  <property fmtid="{D5CDD505-2E9C-101B-9397-08002B2CF9AE}" pid="9" name="Mendeley Recent Style Name 2_1">
    <vt:lpwstr>Cite Them Right 12th edition - Harvard</vt:lpwstr>
  </property>
  <property fmtid="{D5CDD505-2E9C-101B-9397-08002B2CF9AE}" pid="10" name="Mendeley Recent Style Id 3_1">
    <vt:lpwstr>http://www.zotero.org/styles/ieee</vt:lpwstr>
  </property>
  <property fmtid="{D5CDD505-2E9C-101B-9397-08002B2CF9AE}" pid="11" name="Mendeley Recent Style Name 3_1">
    <vt:lpwstr>IEEE</vt:lpwstr>
  </property>
  <property fmtid="{D5CDD505-2E9C-101B-9397-08002B2CF9AE}" pid="12" name="Mendeley Recent Style Id 4_1">
    <vt:lpwstr>http://www.zotero.org/styles/metabolism-open</vt:lpwstr>
  </property>
  <property fmtid="{D5CDD505-2E9C-101B-9397-08002B2CF9AE}" pid="13" name="Mendeley Recent Style Name 4_1">
    <vt:lpwstr>Metabolism Open</vt:lpwstr>
  </property>
  <property fmtid="{D5CDD505-2E9C-101B-9397-08002B2CF9AE}" pid="14" name="Mendeley Recent Style Id 5_1">
    <vt:lpwstr>http://www.zotero.org/styles/modern-language-association</vt:lpwstr>
  </property>
  <property fmtid="{D5CDD505-2E9C-101B-9397-08002B2CF9AE}" pid="15" name="Mendeley Recent Style Name 5_1">
    <vt:lpwstr>Modern Language Association 9th edition</vt:lpwstr>
  </property>
  <property fmtid="{D5CDD505-2E9C-101B-9397-08002B2CF9AE}" pid="16" name="Mendeley Recent Style Id 6_1">
    <vt:lpwstr>http://www.zotero.org/styles/nature-communications</vt:lpwstr>
  </property>
  <property fmtid="{D5CDD505-2E9C-101B-9397-08002B2CF9AE}" pid="17" name="Mendeley Recent Style Name 6_1">
    <vt:lpwstr>Nature Communications</vt:lpwstr>
  </property>
  <property fmtid="{D5CDD505-2E9C-101B-9397-08002B2CF9AE}" pid="18" name="Mendeley Recent Style Id 7_1">
    <vt:lpwstr>http://www.zotero.org/styles/science</vt:lpwstr>
  </property>
  <property fmtid="{D5CDD505-2E9C-101B-9397-08002B2CF9AE}" pid="19" name="Mendeley Recent Style Name 7_1">
    <vt:lpwstr>Science</vt:lpwstr>
  </property>
  <property fmtid="{D5CDD505-2E9C-101B-9397-08002B2CF9AE}" pid="20" name="Mendeley Recent Style Id 8_1">
    <vt:lpwstr>http://www.zotero.org/styles/science-translational-medicine</vt:lpwstr>
  </property>
  <property fmtid="{D5CDD505-2E9C-101B-9397-08002B2CF9AE}" pid="21" name="Mendeley Recent Style Name 8_1">
    <vt:lpwstr>Science Translational Medicine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Document_1">
    <vt:lpwstr>True</vt:lpwstr>
  </property>
  <property fmtid="{D5CDD505-2E9C-101B-9397-08002B2CF9AE}" pid="25" name="Mendeley Unique User Id_1">
    <vt:lpwstr>cabeb36e-7490-3090-9b3f-8ff8054dccba</vt:lpwstr>
  </property>
  <property fmtid="{D5CDD505-2E9C-101B-9397-08002B2CF9AE}" pid="26" name="Mendeley Citation Style_1">
    <vt:lpwstr>http://www.zotero.org/styles/science-translational-medicine</vt:lpwstr>
  </property>
</Properties>
</file>