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E2F1C1" w14:textId="5B503031" w:rsidR="00A27304" w:rsidRPr="00EF2E78" w:rsidRDefault="003F75FB" w:rsidP="00F25433">
      <w:pPr>
        <w:rPr>
          <w:b/>
          <w:bCs/>
          <w:sz w:val="28"/>
          <w:szCs w:val="28"/>
          <w:lang w:val="en-GB"/>
        </w:rPr>
      </w:pPr>
      <w:r w:rsidRPr="00EF2E78">
        <w:rPr>
          <w:b/>
          <w:bCs/>
          <w:sz w:val="28"/>
          <w:szCs w:val="28"/>
          <w:lang w:val="en-GB"/>
        </w:rPr>
        <w:t xml:space="preserve">Additional Information for </w:t>
      </w:r>
    </w:p>
    <w:p w14:paraId="0ED56C3F" w14:textId="77777777" w:rsidR="003F75FB" w:rsidRPr="00EF2E78" w:rsidRDefault="003F75FB" w:rsidP="003F75FB">
      <w:pPr>
        <w:keepNext/>
        <w:keepLines/>
        <w:spacing w:before="280" w:after="80" w:line="360" w:lineRule="auto"/>
        <w:jc w:val="both"/>
        <w:outlineLvl w:val="3"/>
        <w:rPr>
          <w:b/>
          <w:bCs/>
          <w:color w:val="000000" w:themeColor="text1"/>
          <w:sz w:val="28"/>
          <w:szCs w:val="28"/>
          <w:lang w:val="en-US"/>
        </w:rPr>
      </w:pPr>
      <w:r w:rsidRPr="00EF2E78">
        <w:rPr>
          <w:b/>
          <w:bCs/>
          <w:color w:val="000000" w:themeColor="text1"/>
          <w:sz w:val="28"/>
          <w:szCs w:val="28"/>
          <w:lang w:val="en-US"/>
        </w:rPr>
        <w:t>Identification and Validation of a Tear Fluid-Derived Protein Biomarker Signature in Patients with Amyotrophic Lateral Sclerosis</w:t>
      </w:r>
    </w:p>
    <w:p w14:paraId="2CA6550D" w14:textId="77777777" w:rsidR="003F75FB" w:rsidRPr="00EF2E78" w:rsidRDefault="003F75FB" w:rsidP="003F75FB">
      <w:pPr>
        <w:jc w:val="both"/>
        <w:rPr>
          <w:i/>
          <w:color w:val="1F1F1F"/>
          <w:sz w:val="30"/>
          <w:szCs w:val="30"/>
          <w:vertAlign w:val="superscript"/>
          <w:lang w:val="en-US"/>
        </w:rPr>
      </w:pPr>
      <w:r w:rsidRPr="00EF2E78">
        <w:rPr>
          <w:sz w:val="20"/>
          <w:szCs w:val="20"/>
          <w:lang w:val="en-US"/>
        </w:rPr>
        <w:t>Lena-Sophie Scholl</w:t>
      </w:r>
      <w:proofErr w:type="gramStart"/>
      <w:r w:rsidRPr="00EF2E78">
        <w:rPr>
          <w:sz w:val="20"/>
          <w:szCs w:val="20"/>
          <w:vertAlign w:val="superscript"/>
          <w:lang w:val="en-US"/>
        </w:rPr>
        <w:t>1,*</w:t>
      </w:r>
      <w:proofErr w:type="gramEnd"/>
      <w:r w:rsidRPr="00EF2E78">
        <w:rPr>
          <w:sz w:val="20"/>
          <w:szCs w:val="20"/>
          <w:lang w:val="en-US"/>
        </w:rPr>
        <w:t>, Antonia F. Demleitner</w:t>
      </w:r>
      <w:proofErr w:type="gramStart"/>
      <w:r w:rsidRPr="00EF2E78">
        <w:rPr>
          <w:sz w:val="20"/>
          <w:szCs w:val="20"/>
          <w:vertAlign w:val="superscript"/>
          <w:lang w:val="en-US"/>
        </w:rPr>
        <w:t>2,*</w:t>
      </w:r>
      <w:proofErr w:type="gramEnd"/>
      <w:r w:rsidRPr="00EF2E78">
        <w:rPr>
          <w:sz w:val="20"/>
          <w:szCs w:val="20"/>
          <w:lang w:val="en-US"/>
        </w:rPr>
        <w:t>, Jenny Riedel</w:t>
      </w:r>
      <w:r w:rsidRPr="00EF2E78">
        <w:rPr>
          <w:sz w:val="20"/>
          <w:szCs w:val="20"/>
          <w:vertAlign w:val="superscript"/>
          <w:lang w:val="en-US"/>
        </w:rPr>
        <w:t>3</w:t>
      </w:r>
      <w:r w:rsidRPr="00EF2E78">
        <w:rPr>
          <w:sz w:val="20"/>
          <w:szCs w:val="20"/>
          <w:lang w:val="en-US"/>
        </w:rPr>
        <w:t>, Seren Adachi</w:t>
      </w:r>
      <w:r w:rsidRPr="00EF2E78">
        <w:rPr>
          <w:sz w:val="20"/>
          <w:szCs w:val="20"/>
          <w:vertAlign w:val="superscript"/>
          <w:lang w:val="en-US"/>
        </w:rPr>
        <w:t>4</w:t>
      </w:r>
      <w:r w:rsidRPr="00EF2E78">
        <w:rPr>
          <w:sz w:val="20"/>
          <w:szCs w:val="20"/>
          <w:lang w:val="en-US"/>
        </w:rPr>
        <w:t>, Lisa Neuenroth</w:t>
      </w:r>
      <w:r w:rsidRPr="00EF2E78">
        <w:rPr>
          <w:sz w:val="20"/>
          <w:szCs w:val="20"/>
          <w:vertAlign w:val="superscript"/>
          <w:lang w:val="en-US"/>
        </w:rPr>
        <w:t>5</w:t>
      </w:r>
      <w:r w:rsidRPr="00EF2E78">
        <w:rPr>
          <w:sz w:val="20"/>
          <w:szCs w:val="20"/>
          <w:lang w:val="en-US"/>
        </w:rPr>
        <w:t>, Clara Meijs</w:t>
      </w:r>
      <w:r w:rsidRPr="00EF2E78">
        <w:rPr>
          <w:sz w:val="20"/>
          <w:szCs w:val="20"/>
          <w:vertAlign w:val="superscript"/>
          <w:lang w:val="en-US"/>
        </w:rPr>
        <w:t>6</w:t>
      </w:r>
      <w:r w:rsidRPr="00EF2E78">
        <w:rPr>
          <w:sz w:val="20"/>
          <w:szCs w:val="20"/>
          <w:lang w:val="en-US"/>
        </w:rPr>
        <w:t>, Laura Tzeplaeff</w:t>
      </w:r>
      <w:r w:rsidRPr="00EF2E78">
        <w:rPr>
          <w:sz w:val="20"/>
          <w:szCs w:val="20"/>
          <w:vertAlign w:val="superscript"/>
          <w:lang w:val="en-US"/>
        </w:rPr>
        <w:t>7</w:t>
      </w:r>
      <w:r w:rsidRPr="00EF2E78">
        <w:rPr>
          <w:sz w:val="20"/>
          <w:szCs w:val="20"/>
          <w:lang w:val="en-US"/>
        </w:rPr>
        <w:t xml:space="preserve">, Lucas </w:t>
      </w:r>
      <w:proofErr w:type="spellStart"/>
      <w:r w:rsidRPr="00EF2E78">
        <w:rPr>
          <w:sz w:val="20"/>
          <w:szCs w:val="20"/>
          <w:lang w:val="en-US"/>
        </w:rPr>
        <w:t>Caldi</w:t>
      </w:r>
      <w:proofErr w:type="spellEnd"/>
      <w:r w:rsidRPr="00EF2E78">
        <w:rPr>
          <w:sz w:val="20"/>
          <w:szCs w:val="20"/>
          <w:lang w:val="en-US"/>
        </w:rPr>
        <w:t xml:space="preserve"> Gomes</w:t>
      </w:r>
      <w:r w:rsidRPr="00EF2E78">
        <w:rPr>
          <w:sz w:val="20"/>
          <w:szCs w:val="20"/>
          <w:vertAlign w:val="superscript"/>
          <w:lang w:val="en-US"/>
        </w:rPr>
        <w:t>8</w:t>
      </w:r>
      <w:r w:rsidRPr="00EF2E78">
        <w:rPr>
          <w:sz w:val="20"/>
          <w:szCs w:val="20"/>
          <w:lang w:val="en-US"/>
        </w:rPr>
        <w:t>, Ana Galhoz</w:t>
      </w:r>
      <w:r w:rsidRPr="00EF2E78">
        <w:rPr>
          <w:sz w:val="20"/>
          <w:szCs w:val="20"/>
          <w:vertAlign w:val="superscript"/>
          <w:lang w:val="en-US"/>
        </w:rPr>
        <w:t>9</w:t>
      </w:r>
      <w:r w:rsidRPr="00EF2E78">
        <w:rPr>
          <w:sz w:val="20"/>
          <w:szCs w:val="20"/>
          <w:lang w:val="en-US"/>
        </w:rPr>
        <w:t>, Isabell Cordts</w:t>
      </w:r>
      <w:r w:rsidRPr="00EF2E78">
        <w:rPr>
          <w:sz w:val="20"/>
          <w:szCs w:val="20"/>
          <w:vertAlign w:val="superscript"/>
          <w:lang w:val="en-US"/>
        </w:rPr>
        <w:t>10</w:t>
      </w:r>
      <w:r w:rsidRPr="00EF2E78">
        <w:rPr>
          <w:sz w:val="20"/>
          <w:szCs w:val="20"/>
          <w:lang w:val="en-US"/>
        </w:rPr>
        <w:t>, Christof Lenz</w:t>
      </w:r>
      <w:proofErr w:type="gramStart"/>
      <w:r w:rsidRPr="00EF2E78">
        <w:rPr>
          <w:sz w:val="20"/>
          <w:szCs w:val="20"/>
          <w:vertAlign w:val="superscript"/>
          <w:lang w:val="en-US"/>
        </w:rPr>
        <w:t>11,</w:t>
      </w:r>
      <w:r w:rsidRPr="00EF2E78">
        <w:rPr>
          <w:color w:val="1F1F1F"/>
          <w:sz w:val="20"/>
          <w:szCs w:val="20"/>
          <w:vertAlign w:val="superscript"/>
          <w:lang w:val="en-US"/>
        </w:rPr>
        <w:t>†</w:t>
      </w:r>
      <w:proofErr w:type="gramEnd"/>
      <w:r w:rsidRPr="00EF2E78">
        <w:rPr>
          <w:sz w:val="20"/>
          <w:szCs w:val="20"/>
          <w:lang w:val="en-US"/>
        </w:rPr>
        <w:t>, Michael Menden</w:t>
      </w:r>
      <w:proofErr w:type="gramStart"/>
      <w:r w:rsidRPr="00EF2E78">
        <w:rPr>
          <w:sz w:val="20"/>
          <w:szCs w:val="20"/>
          <w:vertAlign w:val="superscript"/>
          <w:lang w:val="en-US"/>
        </w:rPr>
        <w:t>12,</w:t>
      </w:r>
      <w:r w:rsidRPr="00EF2E78">
        <w:rPr>
          <w:color w:val="1F1F1F"/>
          <w:sz w:val="20"/>
          <w:szCs w:val="20"/>
          <w:vertAlign w:val="superscript"/>
          <w:lang w:val="en-US"/>
        </w:rPr>
        <w:t>†</w:t>
      </w:r>
      <w:proofErr w:type="gramEnd"/>
      <w:r w:rsidRPr="00EF2E78">
        <w:rPr>
          <w:i/>
          <w:sz w:val="20"/>
          <w:szCs w:val="20"/>
          <w:lang w:val="en-US"/>
        </w:rPr>
        <w:t xml:space="preserve">, </w:t>
      </w:r>
      <w:r w:rsidRPr="00EF2E78">
        <w:rPr>
          <w:iCs/>
          <w:sz w:val="20"/>
          <w:szCs w:val="20"/>
          <w:lang w:val="en-US"/>
        </w:rPr>
        <w:t>Paul Lingor</w:t>
      </w:r>
      <w:proofErr w:type="gramStart"/>
      <w:r w:rsidRPr="00EF2E78">
        <w:rPr>
          <w:iCs/>
          <w:sz w:val="20"/>
          <w:szCs w:val="20"/>
          <w:vertAlign w:val="superscript"/>
          <w:lang w:val="en-US"/>
        </w:rPr>
        <w:t>13,</w:t>
      </w:r>
      <w:r w:rsidRPr="00EF2E78">
        <w:rPr>
          <w:color w:val="1F1F1F"/>
          <w:sz w:val="20"/>
          <w:szCs w:val="20"/>
          <w:vertAlign w:val="superscript"/>
          <w:lang w:val="en-US"/>
        </w:rPr>
        <w:t>†</w:t>
      </w:r>
      <w:proofErr w:type="gramEnd"/>
    </w:p>
    <w:p w14:paraId="041994FD" w14:textId="77777777" w:rsidR="003F75FB" w:rsidRPr="00EF2E78" w:rsidRDefault="003F75FB" w:rsidP="003F75FB">
      <w:pPr>
        <w:jc w:val="both"/>
        <w:rPr>
          <w:sz w:val="20"/>
          <w:szCs w:val="20"/>
          <w:vertAlign w:val="superscript"/>
          <w:lang w:val="en-US"/>
        </w:rPr>
      </w:pPr>
    </w:p>
    <w:p w14:paraId="64756967" w14:textId="5859385E" w:rsidR="003F75FB" w:rsidRPr="00EF2E78" w:rsidRDefault="003F75FB" w:rsidP="003F75FB">
      <w:pPr>
        <w:spacing w:line="360" w:lineRule="auto"/>
        <w:rPr>
          <w:sz w:val="18"/>
          <w:szCs w:val="18"/>
          <w:lang w:val="en-US"/>
        </w:rPr>
      </w:pPr>
      <w:r w:rsidRPr="00EF2E78">
        <w:rPr>
          <w:sz w:val="18"/>
          <w:szCs w:val="18"/>
          <w:lang w:val="en-US"/>
        </w:rPr>
        <w:t xml:space="preserve">1 Department of Neurology, TUM University Hospital Munich, Munich, Germany; mail: </w:t>
      </w:r>
      <w:r w:rsidRPr="00EF2E78">
        <w:rPr>
          <w:i/>
          <w:color w:val="0000FF" w:themeColor="hyperlink"/>
          <w:sz w:val="18"/>
          <w:szCs w:val="18"/>
          <w:u w:val="single"/>
          <w:lang w:val="en-US"/>
        </w:rPr>
        <w:t>ge68vel@mytum.de</w:t>
      </w:r>
    </w:p>
    <w:p w14:paraId="075976CD" w14:textId="52FB6DDA" w:rsidR="003F75FB" w:rsidRPr="00EF2E78" w:rsidRDefault="003F75FB" w:rsidP="003F75FB">
      <w:pPr>
        <w:spacing w:line="360" w:lineRule="auto"/>
        <w:rPr>
          <w:sz w:val="18"/>
          <w:szCs w:val="18"/>
          <w:lang w:val="en-US"/>
        </w:rPr>
      </w:pPr>
      <w:r w:rsidRPr="00EF2E78">
        <w:rPr>
          <w:sz w:val="18"/>
          <w:szCs w:val="18"/>
          <w:lang w:val="en-US"/>
        </w:rPr>
        <w:t xml:space="preserve">2 Department of Neurology, TUM University Hospital Munich, Munich, Germany; mail: </w:t>
      </w:r>
      <w:r w:rsidRPr="00EF2E78">
        <w:rPr>
          <w:i/>
          <w:color w:val="0000FF" w:themeColor="hyperlink"/>
          <w:sz w:val="18"/>
          <w:szCs w:val="18"/>
          <w:u w:val="single"/>
          <w:lang w:val="en-US"/>
        </w:rPr>
        <w:t>Antonia.demleitner@tum.de</w:t>
      </w:r>
      <w:r w:rsidRPr="00EF2E78">
        <w:rPr>
          <w:sz w:val="18"/>
          <w:szCs w:val="18"/>
          <w:lang w:val="en-US"/>
        </w:rPr>
        <w:br/>
        <w:t xml:space="preserve">3 Computational Health Center, Helmholtz Munich, </w:t>
      </w:r>
      <w:proofErr w:type="spellStart"/>
      <w:r w:rsidRPr="00EF2E78">
        <w:rPr>
          <w:sz w:val="18"/>
          <w:szCs w:val="18"/>
          <w:lang w:val="en-US"/>
        </w:rPr>
        <w:t>Neuherberg</w:t>
      </w:r>
      <w:proofErr w:type="spellEnd"/>
      <w:r w:rsidRPr="00EF2E78">
        <w:rPr>
          <w:sz w:val="18"/>
          <w:szCs w:val="18"/>
          <w:lang w:val="en-US"/>
        </w:rPr>
        <w:t xml:space="preserve">, Germany; Department of Biology, Ludwig-Maximilians University Munich, </w:t>
      </w:r>
      <w:proofErr w:type="spellStart"/>
      <w:r w:rsidRPr="00EF2E78">
        <w:rPr>
          <w:sz w:val="18"/>
          <w:szCs w:val="18"/>
          <w:lang w:val="en-US"/>
        </w:rPr>
        <w:t>Martinsried</w:t>
      </w:r>
      <w:proofErr w:type="spellEnd"/>
      <w:r w:rsidRPr="00EF2E78">
        <w:rPr>
          <w:sz w:val="18"/>
          <w:szCs w:val="18"/>
          <w:lang w:val="en-US"/>
        </w:rPr>
        <w:t xml:space="preserve">, Germany; mail: </w:t>
      </w:r>
      <w:r w:rsidRPr="00EF2E78">
        <w:rPr>
          <w:i/>
          <w:color w:val="0000FF" w:themeColor="hyperlink"/>
          <w:sz w:val="18"/>
          <w:szCs w:val="18"/>
          <w:u w:val="single"/>
          <w:lang w:val="en-US"/>
        </w:rPr>
        <w:t>jy.riedel@web.de</w:t>
      </w:r>
    </w:p>
    <w:p w14:paraId="0E2F5CE9" w14:textId="1B0AB9C6" w:rsidR="003F75FB" w:rsidRPr="00EF2E78" w:rsidRDefault="003F75FB" w:rsidP="003F75FB">
      <w:pPr>
        <w:spacing w:line="360" w:lineRule="auto"/>
        <w:rPr>
          <w:sz w:val="18"/>
          <w:szCs w:val="18"/>
          <w:lang w:val="en-US"/>
        </w:rPr>
      </w:pPr>
      <w:r w:rsidRPr="00EF2E78">
        <w:rPr>
          <w:sz w:val="18"/>
          <w:szCs w:val="18"/>
          <w:lang w:val="en-US"/>
        </w:rPr>
        <w:t xml:space="preserve">4 Department of Biochemistry and Pharmacology, Bio21 Molecular Science and Biotechnology Institute, The University of Melbourne, Parkville, Victoria, Australia; Melbourne Bioinformatics, Faculty of Medicine, Dentistry and Health Sciences, The University of Melbourne, Parkville, Victoria, Australia, mail: </w:t>
      </w:r>
      <w:r w:rsidRPr="00EF2E78">
        <w:rPr>
          <w:i/>
          <w:color w:val="0000FF" w:themeColor="hyperlink"/>
          <w:sz w:val="18"/>
          <w:szCs w:val="18"/>
          <w:u w:val="single"/>
          <w:lang w:val="en-US"/>
        </w:rPr>
        <w:t>adachis@student.unimelb.edu.au</w:t>
      </w:r>
    </w:p>
    <w:p w14:paraId="4A0C003B" w14:textId="6A9165C3" w:rsidR="003F75FB" w:rsidRPr="00EF2E78" w:rsidRDefault="003F75FB" w:rsidP="003F75FB">
      <w:pPr>
        <w:spacing w:line="360" w:lineRule="auto"/>
        <w:rPr>
          <w:sz w:val="18"/>
          <w:szCs w:val="18"/>
          <w:lang w:val="en-US"/>
        </w:rPr>
      </w:pPr>
      <w:r w:rsidRPr="00EF2E78">
        <w:rPr>
          <w:sz w:val="18"/>
          <w:szCs w:val="18"/>
          <w:lang w:val="en-US"/>
        </w:rPr>
        <w:t xml:space="preserve">5 Department of Clinical Chemistry, University Medical Center </w:t>
      </w:r>
      <w:proofErr w:type="spellStart"/>
      <w:r w:rsidRPr="00EF2E78">
        <w:rPr>
          <w:sz w:val="18"/>
          <w:szCs w:val="18"/>
          <w:lang w:val="en-US"/>
        </w:rPr>
        <w:t>Göttingen</w:t>
      </w:r>
      <w:proofErr w:type="spellEnd"/>
      <w:r w:rsidRPr="00EF2E78">
        <w:rPr>
          <w:sz w:val="18"/>
          <w:szCs w:val="18"/>
          <w:lang w:val="en-US"/>
        </w:rPr>
        <w:t xml:space="preserve">, </w:t>
      </w:r>
      <w:proofErr w:type="spellStart"/>
      <w:r w:rsidRPr="00EF2E78">
        <w:rPr>
          <w:sz w:val="18"/>
          <w:szCs w:val="18"/>
          <w:lang w:val="en-US"/>
        </w:rPr>
        <w:t>Göttingen</w:t>
      </w:r>
      <w:proofErr w:type="spellEnd"/>
      <w:r w:rsidRPr="00EF2E78">
        <w:rPr>
          <w:sz w:val="18"/>
          <w:szCs w:val="18"/>
          <w:lang w:val="en-US"/>
        </w:rPr>
        <w:t xml:space="preserve">, Germany, mail: </w:t>
      </w:r>
      <w:r w:rsidRPr="00EF2E78">
        <w:rPr>
          <w:i/>
          <w:color w:val="0000FF" w:themeColor="hyperlink"/>
          <w:sz w:val="18"/>
          <w:szCs w:val="18"/>
          <w:u w:val="single"/>
          <w:lang w:val="en-US"/>
        </w:rPr>
        <w:t>lisa.neuenroth@med.uni-goettingen.de</w:t>
      </w:r>
      <w:r w:rsidRPr="00EF2E78">
        <w:rPr>
          <w:sz w:val="18"/>
          <w:szCs w:val="18"/>
          <w:lang w:val="en-US"/>
        </w:rPr>
        <w:t xml:space="preserve"> </w:t>
      </w:r>
    </w:p>
    <w:p w14:paraId="4971AA01" w14:textId="5F5CA614" w:rsidR="003F75FB" w:rsidRPr="00EF2E78" w:rsidRDefault="003F75FB" w:rsidP="003F75FB">
      <w:pPr>
        <w:spacing w:line="360" w:lineRule="auto"/>
        <w:rPr>
          <w:sz w:val="18"/>
          <w:szCs w:val="18"/>
          <w:lang w:val="en-US"/>
        </w:rPr>
      </w:pPr>
      <w:r w:rsidRPr="00EF2E78">
        <w:rPr>
          <w:sz w:val="18"/>
          <w:szCs w:val="18"/>
          <w:lang w:val="en-US"/>
        </w:rPr>
        <w:t xml:space="preserve">6 Computational Health Center, Helmholtz Munich, </w:t>
      </w:r>
      <w:proofErr w:type="spellStart"/>
      <w:r w:rsidRPr="00EF2E78">
        <w:rPr>
          <w:sz w:val="18"/>
          <w:szCs w:val="18"/>
          <w:lang w:val="en-US"/>
        </w:rPr>
        <w:t>Neuherberg</w:t>
      </w:r>
      <w:proofErr w:type="spellEnd"/>
      <w:r w:rsidRPr="00EF2E78">
        <w:rPr>
          <w:sz w:val="18"/>
          <w:szCs w:val="18"/>
          <w:lang w:val="en-US"/>
        </w:rPr>
        <w:t xml:space="preserve">, Germany; Department of Biology, Ludwig-Maximilians University Munich, </w:t>
      </w:r>
      <w:proofErr w:type="spellStart"/>
      <w:r w:rsidRPr="00EF2E78">
        <w:rPr>
          <w:sz w:val="18"/>
          <w:szCs w:val="18"/>
          <w:lang w:val="en-US"/>
        </w:rPr>
        <w:t>Martinsried</w:t>
      </w:r>
      <w:proofErr w:type="spellEnd"/>
      <w:r w:rsidRPr="00EF2E78">
        <w:rPr>
          <w:sz w:val="18"/>
          <w:szCs w:val="18"/>
          <w:lang w:val="en-US"/>
        </w:rPr>
        <w:t xml:space="preserve">, Germany; mail: </w:t>
      </w:r>
      <w:r w:rsidRPr="00EF2E78">
        <w:rPr>
          <w:i/>
          <w:color w:val="0000FF" w:themeColor="hyperlink"/>
          <w:sz w:val="18"/>
          <w:szCs w:val="18"/>
          <w:u w:val="single"/>
          <w:lang w:val="en-US"/>
        </w:rPr>
        <w:t>clara.meijs@i-med.ac.at</w:t>
      </w:r>
      <w:r w:rsidRPr="00EF2E78">
        <w:rPr>
          <w:sz w:val="18"/>
          <w:szCs w:val="18"/>
          <w:lang w:val="en-US"/>
        </w:rPr>
        <w:t xml:space="preserve"> </w:t>
      </w:r>
    </w:p>
    <w:p w14:paraId="2893C8A6" w14:textId="38491ADE" w:rsidR="003F75FB" w:rsidRPr="00EF2E78" w:rsidRDefault="003F75FB" w:rsidP="003F75FB">
      <w:pPr>
        <w:spacing w:line="360" w:lineRule="auto"/>
        <w:rPr>
          <w:sz w:val="18"/>
          <w:szCs w:val="18"/>
          <w:lang w:val="en-US"/>
        </w:rPr>
      </w:pPr>
      <w:r w:rsidRPr="00EF2E78">
        <w:rPr>
          <w:sz w:val="18"/>
          <w:szCs w:val="18"/>
          <w:lang w:val="en-US"/>
        </w:rPr>
        <w:t xml:space="preserve">7 Department of Neurology, TUM University Hospital Munich, Munich, Germany; mail: </w:t>
      </w:r>
      <w:r w:rsidRPr="00EF2E78">
        <w:rPr>
          <w:i/>
          <w:color w:val="0000FF" w:themeColor="hyperlink"/>
          <w:sz w:val="18"/>
          <w:szCs w:val="18"/>
          <w:u w:val="single"/>
          <w:lang w:val="en-US"/>
        </w:rPr>
        <w:t>laura.tzeplaeff@tum.de</w:t>
      </w:r>
    </w:p>
    <w:p w14:paraId="48854B71" w14:textId="6AC9C03B" w:rsidR="003F75FB" w:rsidRPr="00EF2E78" w:rsidRDefault="003F75FB" w:rsidP="003F75FB">
      <w:pPr>
        <w:spacing w:line="360" w:lineRule="auto"/>
        <w:rPr>
          <w:sz w:val="18"/>
          <w:szCs w:val="18"/>
          <w:lang w:val="en-US"/>
        </w:rPr>
      </w:pPr>
      <w:r w:rsidRPr="00EF2E78">
        <w:rPr>
          <w:sz w:val="18"/>
          <w:szCs w:val="18"/>
          <w:lang w:val="en-US"/>
        </w:rPr>
        <w:t xml:space="preserve">8 Department of Neurology, TUM University Hospital Munich, Munich, Germany; mail: </w:t>
      </w:r>
      <w:r w:rsidRPr="00EF2E78">
        <w:rPr>
          <w:i/>
          <w:color w:val="0000FF" w:themeColor="hyperlink"/>
          <w:sz w:val="18"/>
          <w:szCs w:val="18"/>
          <w:u w:val="single"/>
          <w:lang w:val="en-US"/>
        </w:rPr>
        <w:t>lucas.caldigomes@gmail.com</w:t>
      </w:r>
      <w:r w:rsidRPr="00EF2E78">
        <w:rPr>
          <w:sz w:val="18"/>
          <w:szCs w:val="18"/>
          <w:lang w:val="en-US"/>
        </w:rPr>
        <w:t xml:space="preserve"> </w:t>
      </w:r>
    </w:p>
    <w:p w14:paraId="3CABFE4D" w14:textId="27B2D44D" w:rsidR="003F75FB" w:rsidRPr="00EF2E78" w:rsidRDefault="003F75FB" w:rsidP="003F75FB">
      <w:pPr>
        <w:spacing w:line="360" w:lineRule="auto"/>
        <w:rPr>
          <w:sz w:val="18"/>
          <w:szCs w:val="18"/>
          <w:lang w:val="en-US"/>
        </w:rPr>
      </w:pPr>
      <w:r w:rsidRPr="00EF2E78">
        <w:rPr>
          <w:sz w:val="18"/>
          <w:szCs w:val="18"/>
          <w:lang w:val="en-US"/>
        </w:rPr>
        <w:t xml:space="preserve">9 Computational Health Center, Helmholtz Munich, </w:t>
      </w:r>
      <w:proofErr w:type="spellStart"/>
      <w:r w:rsidRPr="00EF2E78">
        <w:rPr>
          <w:sz w:val="18"/>
          <w:szCs w:val="18"/>
          <w:lang w:val="en-US"/>
        </w:rPr>
        <w:t>Neuherberg</w:t>
      </w:r>
      <w:proofErr w:type="spellEnd"/>
      <w:r w:rsidRPr="00EF2E78">
        <w:rPr>
          <w:sz w:val="18"/>
          <w:szCs w:val="18"/>
          <w:lang w:val="en-US"/>
        </w:rPr>
        <w:t xml:space="preserve">, Germany; Department of Biology, Ludwig-Maximilians University Munich, </w:t>
      </w:r>
      <w:proofErr w:type="spellStart"/>
      <w:r w:rsidRPr="00EF2E78">
        <w:rPr>
          <w:sz w:val="18"/>
          <w:szCs w:val="18"/>
          <w:lang w:val="en-US"/>
        </w:rPr>
        <w:t>Martinsried</w:t>
      </w:r>
      <w:proofErr w:type="spellEnd"/>
      <w:r w:rsidRPr="00EF2E78">
        <w:rPr>
          <w:sz w:val="18"/>
          <w:szCs w:val="18"/>
          <w:lang w:val="en-US"/>
        </w:rPr>
        <w:t xml:space="preserve">, Germany; mail: </w:t>
      </w:r>
      <w:r w:rsidRPr="00EF2E78">
        <w:rPr>
          <w:i/>
          <w:color w:val="0000FF" w:themeColor="hyperlink"/>
          <w:sz w:val="18"/>
          <w:szCs w:val="18"/>
          <w:u w:val="single"/>
          <w:lang w:val="en-US"/>
        </w:rPr>
        <w:t>ana.galhoz@helmholtz-munich.de</w:t>
      </w:r>
      <w:r w:rsidRPr="00EF2E78">
        <w:rPr>
          <w:sz w:val="18"/>
          <w:szCs w:val="18"/>
          <w:lang w:val="en-US"/>
        </w:rPr>
        <w:t xml:space="preserve"> </w:t>
      </w:r>
    </w:p>
    <w:p w14:paraId="2D47980E" w14:textId="78B4AF2F" w:rsidR="003F75FB" w:rsidRPr="00EF2E78" w:rsidRDefault="003F75FB" w:rsidP="003F75FB">
      <w:pPr>
        <w:spacing w:line="360" w:lineRule="auto"/>
        <w:rPr>
          <w:sz w:val="18"/>
          <w:szCs w:val="18"/>
          <w:lang w:val="en-US"/>
        </w:rPr>
      </w:pPr>
      <w:r w:rsidRPr="00EF2E78">
        <w:rPr>
          <w:sz w:val="18"/>
          <w:szCs w:val="18"/>
          <w:lang w:val="en-US"/>
        </w:rPr>
        <w:t xml:space="preserve">10 Department of Neurology, TUM University Hospital Munich, Munich, Germany, mail: </w:t>
      </w:r>
      <w:r w:rsidRPr="00EF2E78">
        <w:rPr>
          <w:i/>
          <w:color w:val="0000FF" w:themeColor="hyperlink"/>
          <w:sz w:val="18"/>
          <w:szCs w:val="18"/>
          <w:u w:val="single"/>
          <w:lang w:val="en-US"/>
        </w:rPr>
        <w:t>isabell.cordts@tum.de</w:t>
      </w:r>
      <w:r w:rsidRPr="00EF2E78">
        <w:rPr>
          <w:sz w:val="18"/>
          <w:szCs w:val="18"/>
          <w:lang w:val="en-US"/>
        </w:rPr>
        <w:t xml:space="preserve"> </w:t>
      </w:r>
    </w:p>
    <w:p w14:paraId="2EA120E3" w14:textId="61BF9043" w:rsidR="003F75FB" w:rsidRPr="00EF2E78" w:rsidRDefault="003F75FB" w:rsidP="003F75FB">
      <w:pPr>
        <w:spacing w:line="360" w:lineRule="auto"/>
        <w:rPr>
          <w:sz w:val="18"/>
          <w:szCs w:val="18"/>
          <w:lang w:val="en-US"/>
        </w:rPr>
      </w:pPr>
      <w:r w:rsidRPr="00EF2E78">
        <w:rPr>
          <w:sz w:val="18"/>
          <w:szCs w:val="18"/>
          <w:lang w:val="en-US"/>
        </w:rPr>
        <w:t xml:space="preserve">11 Department of Clinical Chemistry, University Medical Center </w:t>
      </w:r>
      <w:proofErr w:type="spellStart"/>
      <w:r w:rsidRPr="00EF2E78">
        <w:rPr>
          <w:sz w:val="18"/>
          <w:szCs w:val="18"/>
          <w:lang w:val="en-US"/>
        </w:rPr>
        <w:t>Göttingen</w:t>
      </w:r>
      <w:proofErr w:type="spellEnd"/>
      <w:r w:rsidRPr="00EF2E78">
        <w:rPr>
          <w:sz w:val="18"/>
          <w:szCs w:val="18"/>
          <w:lang w:val="en-US"/>
        </w:rPr>
        <w:t xml:space="preserve">, </w:t>
      </w:r>
      <w:proofErr w:type="spellStart"/>
      <w:r w:rsidRPr="00EF2E78">
        <w:rPr>
          <w:sz w:val="18"/>
          <w:szCs w:val="18"/>
          <w:lang w:val="en-US"/>
        </w:rPr>
        <w:t>Göttingen</w:t>
      </w:r>
      <w:proofErr w:type="spellEnd"/>
      <w:r w:rsidRPr="00EF2E78">
        <w:rPr>
          <w:sz w:val="18"/>
          <w:szCs w:val="18"/>
          <w:lang w:val="en-US"/>
        </w:rPr>
        <w:t xml:space="preserve">, Germany, Bioanalytical Mass Spectrometry Group, Max Planck Institute for Multidisciplinary Sciences, </w:t>
      </w:r>
      <w:proofErr w:type="spellStart"/>
      <w:r w:rsidRPr="00EF2E78">
        <w:rPr>
          <w:sz w:val="18"/>
          <w:szCs w:val="18"/>
          <w:lang w:val="en-US"/>
        </w:rPr>
        <w:t>Göttingen</w:t>
      </w:r>
      <w:proofErr w:type="spellEnd"/>
      <w:r w:rsidRPr="00EF2E78">
        <w:rPr>
          <w:sz w:val="18"/>
          <w:szCs w:val="18"/>
          <w:lang w:val="en-US"/>
        </w:rPr>
        <w:t xml:space="preserve">, Germany, mail: </w:t>
      </w:r>
      <w:r w:rsidRPr="00EF2E78">
        <w:rPr>
          <w:i/>
          <w:color w:val="0000FF" w:themeColor="hyperlink"/>
          <w:sz w:val="18"/>
          <w:szCs w:val="18"/>
          <w:u w:val="single"/>
          <w:lang w:val="en-US"/>
        </w:rPr>
        <w:t>christof.lenz@med.uni-goettingen.de</w:t>
      </w:r>
      <w:r w:rsidRPr="00EF2E78">
        <w:rPr>
          <w:sz w:val="18"/>
          <w:szCs w:val="18"/>
          <w:lang w:val="en-US"/>
        </w:rPr>
        <w:t xml:space="preserve"> </w:t>
      </w:r>
    </w:p>
    <w:p w14:paraId="76776919" w14:textId="70DD963E" w:rsidR="003F75FB" w:rsidRPr="00EF2E78" w:rsidRDefault="003F75FB" w:rsidP="003F75FB">
      <w:pPr>
        <w:spacing w:line="360" w:lineRule="auto"/>
        <w:rPr>
          <w:sz w:val="18"/>
          <w:szCs w:val="18"/>
          <w:lang w:val="en-US"/>
        </w:rPr>
      </w:pPr>
      <w:r w:rsidRPr="00EF2E78">
        <w:rPr>
          <w:sz w:val="18"/>
          <w:szCs w:val="18"/>
          <w:lang w:val="en-US"/>
        </w:rPr>
        <w:t xml:space="preserve">12 Computational Health Center, Helmholtz Munich, </w:t>
      </w:r>
      <w:proofErr w:type="spellStart"/>
      <w:r w:rsidRPr="00EF2E78">
        <w:rPr>
          <w:sz w:val="18"/>
          <w:szCs w:val="18"/>
          <w:lang w:val="en-US"/>
        </w:rPr>
        <w:t>Neuherberg</w:t>
      </w:r>
      <w:proofErr w:type="spellEnd"/>
      <w:r w:rsidRPr="00EF2E78">
        <w:rPr>
          <w:sz w:val="18"/>
          <w:szCs w:val="18"/>
          <w:lang w:val="en-US"/>
        </w:rPr>
        <w:t xml:space="preserve">, Germany, Department of Biochemistry and Pharmacology, Bio21 Molecular Science and Biotechnology Institute, The University of Melbourne, Parkville, Victoria, Australia, mail: </w:t>
      </w:r>
      <w:r w:rsidRPr="00EF2E78">
        <w:rPr>
          <w:i/>
          <w:color w:val="0000FF" w:themeColor="hyperlink"/>
          <w:sz w:val="18"/>
          <w:szCs w:val="18"/>
          <w:u w:val="single"/>
          <w:lang w:val="en-US"/>
        </w:rPr>
        <w:t>michael.menden@unimelb.edu.au</w:t>
      </w:r>
      <w:r w:rsidRPr="00EF2E78">
        <w:rPr>
          <w:sz w:val="18"/>
          <w:szCs w:val="18"/>
          <w:lang w:val="en-US"/>
        </w:rPr>
        <w:t xml:space="preserve"> </w:t>
      </w:r>
    </w:p>
    <w:p w14:paraId="5E07CC9B" w14:textId="580E56D2" w:rsidR="003F75FB" w:rsidRPr="00EF2E78" w:rsidRDefault="003F75FB" w:rsidP="003F75FB">
      <w:pPr>
        <w:spacing w:line="360" w:lineRule="auto"/>
        <w:rPr>
          <w:sz w:val="18"/>
          <w:szCs w:val="18"/>
          <w:lang w:val="en-US"/>
        </w:rPr>
      </w:pPr>
      <w:r w:rsidRPr="00EF2E78">
        <w:rPr>
          <w:sz w:val="18"/>
          <w:szCs w:val="18"/>
          <w:lang w:val="en-US"/>
        </w:rPr>
        <w:t>13 Department of Neurology, TUM University Hospital Munich, Munich, Germany, German Center for Neurodegenerative Diseases (DZNE), Munich, Germany, Munich Cluster for Systems Neurology (</w:t>
      </w:r>
      <w:proofErr w:type="spellStart"/>
      <w:r w:rsidRPr="00EF2E78">
        <w:rPr>
          <w:sz w:val="18"/>
          <w:szCs w:val="18"/>
          <w:lang w:val="en-US"/>
        </w:rPr>
        <w:t>SyNergy</w:t>
      </w:r>
      <w:proofErr w:type="spellEnd"/>
      <w:r w:rsidRPr="00EF2E78">
        <w:rPr>
          <w:sz w:val="18"/>
          <w:szCs w:val="18"/>
          <w:lang w:val="en-US"/>
        </w:rPr>
        <w:t xml:space="preserve">), Munich, Germany, mail: </w:t>
      </w:r>
      <w:r w:rsidRPr="00EF2E78">
        <w:rPr>
          <w:i/>
          <w:color w:val="0000FF" w:themeColor="hyperlink"/>
          <w:sz w:val="18"/>
          <w:szCs w:val="18"/>
          <w:u w:val="single"/>
          <w:lang w:val="en-US"/>
        </w:rPr>
        <w:t>paul.lingor@tum.de</w:t>
      </w:r>
      <w:r w:rsidRPr="00EF2E78">
        <w:rPr>
          <w:sz w:val="18"/>
          <w:szCs w:val="18"/>
          <w:lang w:val="en-US"/>
        </w:rPr>
        <w:t xml:space="preserve"> </w:t>
      </w:r>
    </w:p>
    <w:p w14:paraId="6C413F22" w14:textId="77777777" w:rsidR="003F75FB" w:rsidRPr="00EF2E78" w:rsidRDefault="003F75FB" w:rsidP="003F75FB">
      <w:pPr>
        <w:spacing w:line="360" w:lineRule="auto"/>
        <w:jc w:val="both"/>
        <w:rPr>
          <w:sz w:val="20"/>
          <w:szCs w:val="20"/>
          <w:lang w:val="en-US"/>
        </w:rPr>
      </w:pPr>
    </w:p>
    <w:p w14:paraId="1E1FD99D" w14:textId="77777777" w:rsidR="003F75FB" w:rsidRPr="00EF2E78" w:rsidRDefault="003F75FB" w:rsidP="003F75FB">
      <w:pPr>
        <w:spacing w:line="360" w:lineRule="auto"/>
        <w:jc w:val="both"/>
        <w:rPr>
          <w:sz w:val="20"/>
          <w:szCs w:val="20"/>
          <w:lang w:val="en-US"/>
        </w:rPr>
      </w:pPr>
      <w:r w:rsidRPr="00EF2E78">
        <w:rPr>
          <w:color w:val="1F1F1F"/>
          <w:sz w:val="20"/>
          <w:szCs w:val="20"/>
          <w:vertAlign w:val="superscript"/>
          <w:lang w:val="en-US"/>
        </w:rPr>
        <w:t>†</w:t>
      </w:r>
      <w:r w:rsidRPr="00EF2E78">
        <w:rPr>
          <w:sz w:val="20"/>
          <w:szCs w:val="20"/>
          <w:lang w:val="en-US"/>
        </w:rPr>
        <w:t xml:space="preserve"> Corresponding Authors </w:t>
      </w:r>
      <w:bookmarkStart w:id="0" w:name="_pgh3v7a2khoq" w:colFirst="0" w:colLast="0"/>
      <w:bookmarkStart w:id="1" w:name="_b7p4lvxubm3o" w:colFirst="0" w:colLast="0"/>
      <w:bookmarkEnd w:id="0"/>
      <w:bookmarkEnd w:id="1"/>
    </w:p>
    <w:p w14:paraId="46EC22D8" w14:textId="77777777" w:rsidR="003F75FB" w:rsidRPr="00EF2E78" w:rsidRDefault="003F75FB" w:rsidP="003F75FB">
      <w:pPr>
        <w:spacing w:line="360" w:lineRule="auto"/>
        <w:jc w:val="both"/>
        <w:rPr>
          <w:sz w:val="20"/>
          <w:szCs w:val="20"/>
          <w:lang w:val="en-US"/>
        </w:rPr>
      </w:pPr>
      <w:proofErr w:type="gramStart"/>
      <w:r w:rsidRPr="00EF2E78">
        <w:rPr>
          <w:sz w:val="20"/>
          <w:szCs w:val="20"/>
          <w:lang w:val="en-US"/>
        </w:rPr>
        <w:t>*,</w:t>
      </w:r>
      <w:r w:rsidRPr="00EF2E78">
        <w:rPr>
          <w:color w:val="1F1F1F"/>
          <w:sz w:val="20"/>
          <w:szCs w:val="20"/>
          <w:vertAlign w:val="superscript"/>
          <w:lang w:val="en-US"/>
        </w:rPr>
        <w:t>†</w:t>
      </w:r>
      <w:proofErr w:type="gramEnd"/>
      <w:r w:rsidRPr="00EF2E78">
        <w:rPr>
          <w:sz w:val="20"/>
          <w:szCs w:val="20"/>
          <w:lang w:val="en-US"/>
        </w:rPr>
        <w:t xml:space="preserve"> These authors contributed equally to this work</w:t>
      </w:r>
    </w:p>
    <w:p w14:paraId="5383AAA9" w14:textId="10595B9F" w:rsidR="003F75FB" w:rsidRPr="00EF2E78" w:rsidRDefault="003F75FB">
      <w:pPr>
        <w:rPr>
          <w:color w:val="000000" w:themeColor="text1"/>
          <w:lang w:val="en-US"/>
        </w:rPr>
      </w:pPr>
      <w:r w:rsidRPr="00EF2E78">
        <w:rPr>
          <w:color w:val="000000" w:themeColor="text1"/>
          <w:lang w:val="en-US"/>
        </w:rPr>
        <w:br w:type="page"/>
      </w:r>
    </w:p>
    <w:p w14:paraId="4F1C9962" w14:textId="77777777" w:rsidR="00A27304" w:rsidRPr="00EF2E78" w:rsidRDefault="00A27304">
      <w:pPr>
        <w:spacing w:line="240" w:lineRule="auto"/>
        <w:jc w:val="both"/>
        <w:rPr>
          <w:color w:val="000000" w:themeColor="text1"/>
          <w:lang w:val="en-US"/>
        </w:rPr>
      </w:pPr>
    </w:p>
    <w:p w14:paraId="0D5550C5" w14:textId="25D9A7B1" w:rsidR="00A27304" w:rsidRPr="00EF2E78" w:rsidRDefault="003F75FB" w:rsidP="003F75FB">
      <w:pPr>
        <w:spacing w:line="360" w:lineRule="auto"/>
        <w:rPr>
          <w:b/>
          <w:bCs/>
          <w:color w:val="000000" w:themeColor="text1"/>
          <w:sz w:val="24"/>
          <w:szCs w:val="24"/>
          <w:lang w:val="en-US"/>
        </w:rPr>
      </w:pPr>
      <w:bookmarkStart w:id="2" w:name="_goxkpfhwmksd" w:colFirst="0" w:colLast="0"/>
      <w:bookmarkEnd w:id="2"/>
      <w:r w:rsidRPr="00EF2E78">
        <w:rPr>
          <w:b/>
          <w:bCs/>
          <w:color w:val="000000" w:themeColor="text1"/>
          <w:sz w:val="24"/>
          <w:szCs w:val="24"/>
          <w:lang w:val="en-US"/>
        </w:rPr>
        <w:t>Additional Information - Table of Contents</w:t>
      </w:r>
    </w:p>
    <w:p w14:paraId="147DFFC5" w14:textId="508F24BC" w:rsidR="004860C0" w:rsidRPr="00EF2E78" w:rsidRDefault="004860C0">
      <w:pPr>
        <w:pStyle w:val="TOC1"/>
        <w:tabs>
          <w:tab w:val="right" w:leader="dot" w:pos="9019"/>
        </w:tabs>
        <w:rPr>
          <w:rFonts w:asciiTheme="minorHAnsi" w:eastAsiaTheme="minorEastAsia" w:hAnsiTheme="minorHAnsi" w:cstheme="minorBidi"/>
          <w:noProof/>
          <w:kern w:val="2"/>
          <w:sz w:val="24"/>
          <w:szCs w:val="24"/>
          <w:lang w:val="en-DE" w:eastAsia="en-GB"/>
          <w14:ligatures w14:val="standardContextual"/>
        </w:rPr>
      </w:pPr>
      <w:r w:rsidRPr="00EF2E78">
        <w:rPr>
          <w:noProof/>
          <w:lang w:val="en-GB"/>
        </w:rPr>
        <w:t>Supplementary Methods</w:t>
      </w:r>
      <w:r w:rsidRPr="00EF2E78">
        <w:rPr>
          <w:noProof/>
          <w:webHidden/>
          <w:lang w:val="en-GB"/>
        </w:rPr>
        <w:tab/>
        <w:t>3</w:t>
      </w:r>
    </w:p>
    <w:p w14:paraId="40C9DB11" w14:textId="2D135634" w:rsidR="004860C0" w:rsidRPr="00EF2E78" w:rsidRDefault="004860C0">
      <w:pPr>
        <w:pStyle w:val="TOC1"/>
        <w:tabs>
          <w:tab w:val="right" w:leader="dot" w:pos="9019"/>
        </w:tabs>
        <w:rPr>
          <w:rFonts w:asciiTheme="minorHAnsi" w:eastAsiaTheme="minorEastAsia" w:hAnsiTheme="minorHAnsi" w:cstheme="minorBidi"/>
          <w:noProof/>
          <w:kern w:val="2"/>
          <w:sz w:val="24"/>
          <w:szCs w:val="24"/>
          <w:lang w:val="en-DE" w:eastAsia="en-GB"/>
          <w14:ligatures w14:val="standardContextual"/>
        </w:rPr>
      </w:pPr>
      <w:r w:rsidRPr="00EF2E78">
        <w:rPr>
          <w:noProof/>
          <w:lang w:val="en-GB"/>
        </w:rPr>
        <w:t>Supplementary Figures</w:t>
      </w:r>
      <w:r w:rsidRPr="00EF2E78">
        <w:rPr>
          <w:noProof/>
          <w:webHidden/>
          <w:lang w:val="en-GB"/>
        </w:rPr>
        <w:tab/>
        <w:t>5</w:t>
      </w:r>
    </w:p>
    <w:p w14:paraId="1AE6055A" w14:textId="4BBECD7A" w:rsidR="004860C0" w:rsidRPr="00EF2E78" w:rsidRDefault="004860C0">
      <w:pPr>
        <w:pStyle w:val="TOC2"/>
        <w:tabs>
          <w:tab w:val="right" w:leader="dot" w:pos="9019"/>
        </w:tabs>
        <w:rPr>
          <w:rFonts w:asciiTheme="minorHAnsi" w:eastAsiaTheme="minorEastAsia" w:hAnsiTheme="minorHAnsi" w:cstheme="minorBidi"/>
          <w:noProof/>
          <w:kern w:val="2"/>
          <w:sz w:val="24"/>
          <w:szCs w:val="24"/>
          <w:lang w:val="en-DE" w:eastAsia="en-GB"/>
          <w14:ligatures w14:val="standardContextual"/>
        </w:rPr>
      </w:pPr>
      <w:r w:rsidRPr="00EF2E78">
        <w:rPr>
          <w:noProof/>
          <w:lang w:val="en-GB"/>
        </w:rPr>
        <w:t>Supplementary Figure S1: Full-length tear fluid Western blots of the six targeted proteins.</w:t>
      </w:r>
      <w:r w:rsidRPr="00EF2E78">
        <w:rPr>
          <w:noProof/>
          <w:webHidden/>
          <w:lang w:val="en-GB"/>
        </w:rPr>
        <w:tab/>
        <w:t>5</w:t>
      </w:r>
    </w:p>
    <w:p w14:paraId="05680FF0" w14:textId="71FB5386" w:rsidR="004860C0" w:rsidRPr="00EF2E78" w:rsidRDefault="004860C0">
      <w:pPr>
        <w:pStyle w:val="TOC2"/>
        <w:tabs>
          <w:tab w:val="right" w:leader="dot" w:pos="9019"/>
        </w:tabs>
        <w:rPr>
          <w:rFonts w:asciiTheme="minorHAnsi" w:eastAsiaTheme="minorEastAsia" w:hAnsiTheme="minorHAnsi" w:cstheme="minorBidi"/>
          <w:noProof/>
          <w:kern w:val="2"/>
          <w:sz w:val="24"/>
          <w:szCs w:val="24"/>
          <w:lang w:val="en-DE" w:eastAsia="en-GB"/>
          <w14:ligatures w14:val="standardContextual"/>
        </w:rPr>
      </w:pPr>
      <w:r w:rsidRPr="00EF2E78">
        <w:rPr>
          <w:noProof/>
          <w:lang w:val="en-GB"/>
        </w:rPr>
        <w:t>Supplementary Figure S2: Western blots validating the identified tear fluid six-protein signature in all ALS and control samples.</w:t>
      </w:r>
      <w:r w:rsidRPr="00EF2E78">
        <w:rPr>
          <w:noProof/>
          <w:webHidden/>
          <w:lang w:val="en-GB"/>
        </w:rPr>
        <w:tab/>
        <w:t>7</w:t>
      </w:r>
    </w:p>
    <w:p w14:paraId="04380D2F" w14:textId="1F779897" w:rsidR="004860C0" w:rsidRPr="00EF2E78" w:rsidRDefault="004860C0">
      <w:pPr>
        <w:pStyle w:val="TOC2"/>
        <w:tabs>
          <w:tab w:val="right" w:leader="dot" w:pos="9019"/>
        </w:tabs>
        <w:rPr>
          <w:rFonts w:asciiTheme="minorHAnsi" w:eastAsiaTheme="minorEastAsia" w:hAnsiTheme="minorHAnsi" w:cstheme="minorBidi"/>
          <w:noProof/>
          <w:kern w:val="2"/>
          <w:sz w:val="24"/>
          <w:szCs w:val="24"/>
          <w:lang w:val="en-DE" w:eastAsia="en-GB"/>
          <w14:ligatures w14:val="standardContextual"/>
        </w:rPr>
      </w:pPr>
      <w:r w:rsidRPr="00EF2E78">
        <w:rPr>
          <w:noProof/>
          <w:lang w:val="en-GB"/>
        </w:rPr>
        <w:t>Supplementary Figure S3: Heatmap of the normalized tear fluid protein expression for the discovery cohort in relation to demographic and clinical features.</w:t>
      </w:r>
      <w:r w:rsidRPr="00EF2E78">
        <w:rPr>
          <w:noProof/>
          <w:webHidden/>
          <w:lang w:val="en-GB"/>
        </w:rPr>
        <w:tab/>
        <w:t>9</w:t>
      </w:r>
    </w:p>
    <w:p w14:paraId="755E70E1" w14:textId="4A7E4296" w:rsidR="004860C0" w:rsidRPr="00EF2E78" w:rsidRDefault="004860C0">
      <w:pPr>
        <w:pStyle w:val="TOC2"/>
        <w:tabs>
          <w:tab w:val="right" w:leader="dot" w:pos="9019"/>
        </w:tabs>
        <w:rPr>
          <w:rFonts w:asciiTheme="minorHAnsi" w:eastAsiaTheme="minorEastAsia" w:hAnsiTheme="minorHAnsi" w:cstheme="minorBidi"/>
          <w:noProof/>
          <w:kern w:val="2"/>
          <w:sz w:val="24"/>
          <w:szCs w:val="24"/>
          <w:lang w:val="en-DE" w:eastAsia="en-GB"/>
          <w14:ligatures w14:val="standardContextual"/>
        </w:rPr>
      </w:pPr>
      <w:r w:rsidRPr="00EF2E78">
        <w:rPr>
          <w:noProof/>
          <w:lang w:val="en-GB"/>
        </w:rPr>
        <w:t>Supplementary Figure S4: UMAPs of normalized tear fluid protein expression of all samples from the discovery cohort.</w:t>
      </w:r>
      <w:r w:rsidRPr="00EF2E78">
        <w:rPr>
          <w:noProof/>
          <w:webHidden/>
          <w:lang w:val="en-GB"/>
        </w:rPr>
        <w:tab/>
        <w:t>10</w:t>
      </w:r>
    </w:p>
    <w:p w14:paraId="431D5968" w14:textId="05E298AC" w:rsidR="004860C0" w:rsidRPr="00EF2E78" w:rsidRDefault="004860C0">
      <w:pPr>
        <w:pStyle w:val="TOC2"/>
        <w:tabs>
          <w:tab w:val="right" w:leader="dot" w:pos="9019"/>
        </w:tabs>
        <w:rPr>
          <w:rFonts w:asciiTheme="minorHAnsi" w:eastAsiaTheme="minorEastAsia" w:hAnsiTheme="minorHAnsi" w:cstheme="minorBidi"/>
          <w:noProof/>
          <w:kern w:val="2"/>
          <w:sz w:val="24"/>
          <w:szCs w:val="24"/>
          <w:lang w:val="en-DE" w:eastAsia="en-GB"/>
          <w14:ligatures w14:val="standardContextual"/>
        </w:rPr>
      </w:pPr>
      <w:r w:rsidRPr="00EF2E78">
        <w:rPr>
          <w:noProof/>
          <w:lang w:val="en-GB"/>
        </w:rPr>
        <w:t>Supplementary Figure S5: UMAPs of normalized tear fluid protein expression for the ALS group only from the discovery cohort.</w:t>
      </w:r>
      <w:r w:rsidRPr="00EF2E78">
        <w:rPr>
          <w:noProof/>
          <w:webHidden/>
          <w:lang w:val="en-GB"/>
        </w:rPr>
        <w:tab/>
        <w:t>11</w:t>
      </w:r>
    </w:p>
    <w:p w14:paraId="57FBB363" w14:textId="431C1E3A" w:rsidR="004860C0" w:rsidRPr="00EF2E78" w:rsidRDefault="004860C0">
      <w:pPr>
        <w:pStyle w:val="TOC2"/>
        <w:tabs>
          <w:tab w:val="right" w:leader="dot" w:pos="9019"/>
        </w:tabs>
        <w:rPr>
          <w:rFonts w:asciiTheme="minorHAnsi" w:eastAsiaTheme="minorEastAsia" w:hAnsiTheme="minorHAnsi" w:cstheme="minorBidi"/>
          <w:noProof/>
          <w:kern w:val="2"/>
          <w:sz w:val="24"/>
          <w:szCs w:val="24"/>
          <w:lang w:val="en-DE" w:eastAsia="en-GB"/>
          <w14:ligatures w14:val="standardContextual"/>
        </w:rPr>
      </w:pPr>
      <w:r w:rsidRPr="00EF2E78">
        <w:rPr>
          <w:noProof/>
          <w:lang w:val="en-GB"/>
        </w:rPr>
        <w:t>Supplementary Figure S6: STRING protein-protein interaction network analysis for significantly more abundant proteins.</w:t>
      </w:r>
      <w:r w:rsidRPr="00EF2E78">
        <w:rPr>
          <w:noProof/>
          <w:webHidden/>
          <w:lang w:val="en-GB"/>
        </w:rPr>
        <w:tab/>
        <w:t>12</w:t>
      </w:r>
    </w:p>
    <w:p w14:paraId="6E1DB72D" w14:textId="0FAC2C0D" w:rsidR="004860C0" w:rsidRPr="00EF2E78" w:rsidRDefault="004860C0">
      <w:pPr>
        <w:pStyle w:val="TOC2"/>
        <w:tabs>
          <w:tab w:val="right" w:leader="dot" w:pos="9019"/>
        </w:tabs>
        <w:rPr>
          <w:rFonts w:asciiTheme="minorHAnsi" w:eastAsiaTheme="minorEastAsia" w:hAnsiTheme="minorHAnsi" w:cstheme="minorBidi"/>
          <w:noProof/>
          <w:kern w:val="2"/>
          <w:sz w:val="24"/>
          <w:szCs w:val="24"/>
          <w:lang w:val="en-DE" w:eastAsia="en-GB"/>
          <w14:ligatures w14:val="standardContextual"/>
        </w:rPr>
      </w:pPr>
      <w:r w:rsidRPr="00EF2E78">
        <w:rPr>
          <w:noProof/>
          <w:lang w:val="en-GB"/>
        </w:rPr>
        <w:t>Supplementary Figure S7: In-silico performance assessment of the six-protein signature based on Western blot validation (Ten runs).</w:t>
      </w:r>
      <w:r w:rsidRPr="00EF2E78">
        <w:rPr>
          <w:noProof/>
          <w:webHidden/>
          <w:lang w:val="en-GB"/>
        </w:rPr>
        <w:tab/>
        <w:t>13</w:t>
      </w:r>
    </w:p>
    <w:p w14:paraId="05092DDD" w14:textId="15123C9D" w:rsidR="004860C0" w:rsidRPr="00EF2E78" w:rsidRDefault="004860C0">
      <w:pPr>
        <w:pStyle w:val="TOC2"/>
        <w:tabs>
          <w:tab w:val="right" w:leader="dot" w:pos="9019"/>
        </w:tabs>
        <w:rPr>
          <w:rFonts w:asciiTheme="minorHAnsi" w:eastAsiaTheme="minorEastAsia" w:hAnsiTheme="minorHAnsi" w:cstheme="minorBidi"/>
          <w:noProof/>
          <w:kern w:val="2"/>
          <w:sz w:val="24"/>
          <w:szCs w:val="24"/>
          <w:lang w:val="en-DE" w:eastAsia="en-GB"/>
          <w14:ligatures w14:val="standardContextual"/>
        </w:rPr>
      </w:pPr>
      <w:r w:rsidRPr="00EF2E78">
        <w:rPr>
          <w:noProof/>
          <w:lang w:val="en-GB"/>
        </w:rPr>
        <w:t>Supplementary Figure S8: Assessment of quantitative reproducibility in DIA-MS data.</w:t>
      </w:r>
      <w:r w:rsidRPr="00EF2E78">
        <w:rPr>
          <w:noProof/>
          <w:webHidden/>
          <w:lang w:val="en-GB"/>
        </w:rPr>
        <w:tab/>
        <w:t>14</w:t>
      </w:r>
    </w:p>
    <w:p w14:paraId="4C313C25" w14:textId="1825B318" w:rsidR="004860C0" w:rsidRPr="00EF2E78" w:rsidRDefault="004860C0">
      <w:pPr>
        <w:pStyle w:val="TOC2"/>
        <w:tabs>
          <w:tab w:val="right" w:leader="dot" w:pos="9019"/>
        </w:tabs>
        <w:rPr>
          <w:rFonts w:asciiTheme="minorHAnsi" w:eastAsiaTheme="minorEastAsia" w:hAnsiTheme="minorHAnsi" w:cstheme="minorBidi"/>
          <w:noProof/>
          <w:kern w:val="2"/>
          <w:sz w:val="24"/>
          <w:szCs w:val="24"/>
          <w:lang w:val="en-DE" w:eastAsia="en-GB"/>
          <w14:ligatures w14:val="standardContextual"/>
        </w:rPr>
      </w:pPr>
      <w:r w:rsidRPr="00EF2E78">
        <w:rPr>
          <w:noProof/>
          <w:lang w:val="en-GB"/>
        </w:rPr>
        <w:t>Supplementary Figure S9: Ranked TF protein abundance in controls and ALS subjects.</w:t>
      </w:r>
      <w:r w:rsidRPr="00EF2E78">
        <w:rPr>
          <w:noProof/>
          <w:webHidden/>
          <w:lang w:val="en-GB"/>
        </w:rPr>
        <w:tab/>
        <w:t>15</w:t>
      </w:r>
    </w:p>
    <w:p w14:paraId="17DD2E83" w14:textId="440C194C" w:rsidR="004860C0" w:rsidRPr="00EF2E78" w:rsidRDefault="004860C0">
      <w:pPr>
        <w:pStyle w:val="TOC2"/>
        <w:tabs>
          <w:tab w:val="right" w:leader="dot" w:pos="9019"/>
        </w:tabs>
        <w:rPr>
          <w:rFonts w:asciiTheme="minorHAnsi" w:eastAsiaTheme="minorEastAsia" w:hAnsiTheme="minorHAnsi" w:cstheme="minorBidi"/>
          <w:noProof/>
          <w:kern w:val="2"/>
          <w:sz w:val="24"/>
          <w:szCs w:val="24"/>
          <w:lang w:val="en-DE" w:eastAsia="en-GB"/>
          <w14:ligatures w14:val="standardContextual"/>
        </w:rPr>
      </w:pPr>
      <w:r w:rsidRPr="00EF2E78">
        <w:rPr>
          <w:noProof/>
          <w:lang w:val="en-GB"/>
        </w:rPr>
        <w:t>Supplementary Figure S10: AUROC line curve of nine proteins making up the best-performing model.</w:t>
      </w:r>
      <w:r w:rsidRPr="00EF2E78">
        <w:rPr>
          <w:noProof/>
          <w:webHidden/>
          <w:lang w:val="en-GB"/>
        </w:rPr>
        <w:tab/>
        <w:t>16</w:t>
      </w:r>
    </w:p>
    <w:p w14:paraId="1B4E0D9E" w14:textId="26F8FDA9" w:rsidR="004860C0" w:rsidRPr="00EF2E78" w:rsidRDefault="004860C0">
      <w:pPr>
        <w:pStyle w:val="TOC1"/>
        <w:tabs>
          <w:tab w:val="right" w:leader="dot" w:pos="9019"/>
        </w:tabs>
        <w:rPr>
          <w:rFonts w:asciiTheme="minorHAnsi" w:eastAsiaTheme="minorEastAsia" w:hAnsiTheme="minorHAnsi" w:cstheme="minorBidi"/>
          <w:noProof/>
          <w:kern w:val="2"/>
          <w:sz w:val="24"/>
          <w:szCs w:val="24"/>
          <w:lang w:val="en-DE" w:eastAsia="en-GB"/>
          <w14:ligatures w14:val="standardContextual"/>
        </w:rPr>
      </w:pPr>
      <w:r w:rsidRPr="00EF2E78">
        <w:rPr>
          <w:noProof/>
          <w:lang w:val="en-GB"/>
        </w:rPr>
        <w:t>Supplementary Tables</w:t>
      </w:r>
      <w:r w:rsidRPr="00EF2E78">
        <w:rPr>
          <w:noProof/>
          <w:webHidden/>
          <w:lang w:val="en-GB"/>
        </w:rPr>
        <w:tab/>
        <w:t>17</w:t>
      </w:r>
    </w:p>
    <w:p w14:paraId="1C6D1874" w14:textId="6225713A" w:rsidR="004860C0" w:rsidRPr="00EF2E78" w:rsidRDefault="004860C0">
      <w:pPr>
        <w:pStyle w:val="TOC2"/>
        <w:tabs>
          <w:tab w:val="right" w:leader="dot" w:pos="9019"/>
        </w:tabs>
        <w:rPr>
          <w:rFonts w:asciiTheme="minorHAnsi" w:eastAsiaTheme="minorEastAsia" w:hAnsiTheme="minorHAnsi" w:cstheme="minorBidi"/>
          <w:noProof/>
          <w:kern w:val="2"/>
          <w:sz w:val="24"/>
          <w:szCs w:val="24"/>
          <w:lang w:val="en-DE" w:eastAsia="en-GB"/>
          <w14:ligatures w14:val="standardContextual"/>
        </w:rPr>
      </w:pPr>
      <w:r w:rsidRPr="00EF2E78">
        <w:rPr>
          <w:noProof/>
          <w:lang w:val="en-GB"/>
        </w:rPr>
        <w:t>Supplementary Table S1: Sensitivity and specificity of machine learning models to classify ALS based on the entire tear fluid proteome.</w:t>
      </w:r>
      <w:r w:rsidRPr="00EF2E78">
        <w:rPr>
          <w:noProof/>
          <w:webHidden/>
          <w:lang w:val="en-GB"/>
        </w:rPr>
        <w:tab/>
        <w:t>17</w:t>
      </w:r>
    </w:p>
    <w:p w14:paraId="204FDA82" w14:textId="210D25B1" w:rsidR="004860C0" w:rsidRPr="00EF2E78" w:rsidRDefault="004860C0">
      <w:pPr>
        <w:pStyle w:val="TOC2"/>
        <w:tabs>
          <w:tab w:val="right" w:leader="dot" w:pos="9019"/>
        </w:tabs>
        <w:rPr>
          <w:rFonts w:asciiTheme="minorHAnsi" w:eastAsiaTheme="minorEastAsia" w:hAnsiTheme="minorHAnsi" w:cstheme="minorBidi"/>
          <w:noProof/>
          <w:kern w:val="2"/>
          <w:sz w:val="24"/>
          <w:szCs w:val="24"/>
          <w:lang w:val="en-DE" w:eastAsia="en-GB"/>
          <w14:ligatures w14:val="standardContextual"/>
        </w:rPr>
      </w:pPr>
      <w:r w:rsidRPr="00EF2E78">
        <w:rPr>
          <w:noProof/>
          <w:lang w:val="en-GB"/>
        </w:rPr>
        <w:t>Supplementary Table S2: AUROC performance metrics of machine learning models using HP, SERPINC1, and a combination of both for the prediction of ALS versus controls.</w:t>
      </w:r>
      <w:r w:rsidRPr="00EF2E78">
        <w:rPr>
          <w:noProof/>
          <w:webHidden/>
          <w:lang w:val="en-GB"/>
        </w:rPr>
        <w:tab/>
        <w:t>17</w:t>
      </w:r>
    </w:p>
    <w:p w14:paraId="327E61D4" w14:textId="043B9DE3" w:rsidR="004860C0" w:rsidRPr="00EF2E78" w:rsidRDefault="004860C0">
      <w:pPr>
        <w:pStyle w:val="TOC1"/>
        <w:tabs>
          <w:tab w:val="right" w:leader="dot" w:pos="9019"/>
        </w:tabs>
        <w:rPr>
          <w:rFonts w:asciiTheme="minorHAnsi" w:eastAsiaTheme="minorEastAsia" w:hAnsiTheme="minorHAnsi" w:cstheme="minorBidi"/>
          <w:noProof/>
          <w:kern w:val="2"/>
          <w:sz w:val="24"/>
          <w:szCs w:val="24"/>
          <w:lang w:val="en-DE" w:eastAsia="en-GB"/>
          <w14:ligatures w14:val="standardContextual"/>
        </w:rPr>
      </w:pPr>
      <w:r w:rsidRPr="00EF2E78">
        <w:rPr>
          <w:noProof/>
          <w:lang w:val="en-GB"/>
        </w:rPr>
        <w:t>Supplementary Data</w:t>
      </w:r>
      <w:r w:rsidRPr="00EF2E78">
        <w:rPr>
          <w:noProof/>
          <w:webHidden/>
          <w:lang w:val="en-GB"/>
        </w:rPr>
        <w:tab/>
        <w:t>18</w:t>
      </w:r>
    </w:p>
    <w:p w14:paraId="357BC920" w14:textId="4BC09CD9" w:rsidR="004860C0" w:rsidRPr="00EF2E78" w:rsidRDefault="004860C0">
      <w:pPr>
        <w:pStyle w:val="TOC2"/>
        <w:tabs>
          <w:tab w:val="right" w:leader="dot" w:pos="9019"/>
        </w:tabs>
        <w:rPr>
          <w:rFonts w:asciiTheme="minorHAnsi" w:eastAsiaTheme="minorEastAsia" w:hAnsiTheme="minorHAnsi" w:cstheme="minorBidi"/>
          <w:noProof/>
          <w:kern w:val="2"/>
          <w:sz w:val="24"/>
          <w:szCs w:val="24"/>
          <w:lang w:val="en-DE" w:eastAsia="en-GB"/>
          <w14:ligatures w14:val="standardContextual"/>
        </w:rPr>
      </w:pPr>
      <w:r w:rsidRPr="00EF2E78">
        <w:rPr>
          <w:noProof/>
          <w:lang w:val="en-GB"/>
        </w:rPr>
        <w:t>Supplementary Data S1: Detailed results of differential abundance analysis conducted with PERSEUS.</w:t>
      </w:r>
      <w:r w:rsidRPr="00EF2E78">
        <w:rPr>
          <w:noProof/>
          <w:webHidden/>
          <w:lang w:val="en-GB"/>
        </w:rPr>
        <w:tab/>
        <w:t>18</w:t>
      </w:r>
    </w:p>
    <w:p w14:paraId="68DF928F" w14:textId="3AED0F2D" w:rsidR="004860C0" w:rsidRPr="00EF2E78" w:rsidRDefault="004860C0">
      <w:pPr>
        <w:pStyle w:val="TOC2"/>
        <w:tabs>
          <w:tab w:val="right" w:leader="dot" w:pos="9019"/>
        </w:tabs>
        <w:rPr>
          <w:rFonts w:asciiTheme="minorHAnsi" w:eastAsiaTheme="minorEastAsia" w:hAnsiTheme="minorHAnsi" w:cstheme="minorBidi"/>
          <w:noProof/>
          <w:kern w:val="2"/>
          <w:sz w:val="24"/>
          <w:szCs w:val="24"/>
          <w:lang w:val="en-DE" w:eastAsia="en-GB"/>
          <w14:ligatures w14:val="standardContextual"/>
        </w:rPr>
      </w:pPr>
      <w:r w:rsidRPr="00EF2E78">
        <w:rPr>
          <w:noProof/>
          <w:lang w:val="en-GB"/>
        </w:rPr>
        <w:t>Supplementary Data S2: Detailed gene set enrichment analysis results with protein assignment to specific pathways.</w:t>
      </w:r>
      <w:r w:rsidRPr="00EF2E78">
        <w:rPr>
          <w:noProof/>
          <w:webHidden/>
          <w:lang w:val="en-GB"/>
        </w:rPr>
        <w:tab/>
        <w:t>18</w:t>
      </w:r>
    </w:p>
    <w:p w14:paraId="64067228" w14:textId="15F04C93" w:rsidR="004860C0" w:rsidRPr="00EF2E78" w:rsidRDefault="004860C0">
      <w:pPr>
        <w:pStyle w:val="TOC2"/>
        <w:tabs>
          <w:tab w:val="right" w:leader="dot" w:pos="9019"/>
        </w:tabs>
        <w:rPr>
          <w:rFonts w:asciiTheme="minorHAnsi" w:eastAsiaTheme="minorEastAsia" w:hAnsiTheme="minorHAnsi" w:cstheme="minorBidi"/>
          <w:noProof/>
          <w:kern w:val="2"/>
          <w:sz w:val="24"/>
          <w:szCs w:val="24"/>
          <w:lang w:val="en-DE" w:eastAsia="en-GB"/>
          <w14:ligatures w14:val="standardContextual"/>
        </w:rPr>
      </w:pPr>
      <w:r w:rsidRPr="00EF2E78">
        <w:rPr>
          <w:noProof/>
          <w:lang w:val="en-GB"/>
        </w:rPr>
        <w:t>Supplementary Data S3: Tier list of proteins that were considered as putative biomarker proteins for further validation.</w:t>
      </w:r>
      <w:r w:rsidRPr="00EF2E78">
        <w:rPr>
          <w:noProof/>
          <w:webHidden/>
          <w:lang w:val="en-GB"/>
        </w:rPr>
        <w:tab/>
        <w:t>18</w:t>
      </w:r>
    </w:p>
    <w:p w14:paraId="66564C2F" w14:textId="1E3513AB" w:rsidR="004860C0" w:rsidRPr="00EF2E78" w:rsidRDefault="004860C0">
      <w:pPr>
        <w:pStyle w:val="TOC2"/>
        <w:tabs>
          <w:tab w:val="right" w:leader="dot" w:pos="9019"/>
        </w:tabs>
        <w:rPr>
          <w:rFonts w:asciiTheme="minorHAnsi" w:eastAsiaTheme="minorEastAsia" w:hAnsiTheme="minorHAnsi" w:cstheme="minorBidi"/>
          <w:noProof/>
          <w:kern w:val="2"/>
          <w:sz w:val="24"/>
          <w:szCs w:val="24"/>
          <w:lang w:val="en-DE" w:eastAsia="en-GB"/>
          <w14:ligatures w14:val="standardContextual"/>
        </w:rPr>
      </w:pPr>
      <w:r w:rsidRPr="00EF2E78">
        <w:rPr>
          <w:noProof/>
          <w:lang w:val="en-GB"/>
        </w:rPr>
        <w:t>Supplementary Data S4: Detailed ranked protein abundance.</w:t>
      </w:r>
      <w:r w:rsidRPr="00EF2E78">
        <w:rPr>
          <w:noProof/>
          <w:webHidden/>
          <w:lang w:val="en-GB"/>
        </w:rPr>
        <w:tab/>
        <w:t>19</w:t>
      </w:r>
    </w:p>
    <w:p w14:paraId="782A7B6F" w14:textId="0797406C" w:rsidR="00B9781E" w:rsidRPr="00EF2E78" w:rsidRDefault="00B9781E" w:rsidP="003F75FB">
      <w:pPr>
        <w:spacing w:line="360" w:lineRule="auto"/>
        <w:rPr>
          <w:color w:val="000000" w:themeColor="text1"/>
          <w:sz w:val="20"/>
          <w:szCs w:val="20"/>
          <w:lang w:val="en-US"/>
        </w:rPr>
      </w:pPr>
    </w:p>
    <w:p w14:paraId="6D516DBC" w14:textId="2636ED3F" w:rsidR="00042D90" w:rsidRPr="00EF2E78" w:rsidRDefault="00042D90">
      <w:pPr>
        <w:rPr>
          <w:b/>
          <w:bCs/>
          <w:color w:val="000000" w:themeColor="text1"/>
          <w:sz w:val="24"/>
          <w:szCs w:val="24"/>
          <w:lang w:val="en-US"/>
        </w:rPr>
      </w:pPr>
      <w:bookmarkStart w:id="3" w:name="_7hp0leonwb0l" w:colFirst="0" w:colLast="0"/>
      <w:bookmarkEnd w:id="3"/>
      <w:r w:rsidRPr="00EF2E78">
        <w:rPr>
          <w:lang w:val="en-GB"/>
        </w:rPr>
        <w:br w:type="page"/>
      </w:r>
    </w:p>
    <w:p w14:paraId="42222273" w14:textId="2E46CDC9" w:rsidR="00B9781E" w:rsidRPr="00EF2E78" w:rsidRDefault="00000000" w:rsidP="003F75FB">
      <w:pPr>
        <w:pStyle w:val="Heading1"/>
      </w:pPr>
      <w:bookmarkStart w:id="4" w:name="_Toc204006046"/>
      <w:r w:rsidRPr="00EF2E78">
        <w:lastRenderedPageBreak/>
        <w:t>Supplementary Methods</w:t>
      </w:r>
      <w:bookmarkEnd w:id="4"/>
      <w:r w:rsidRPr="00EF2E78">
        <w:t xml:space="preserve"> </w:t>
      </w:r>
      <w:bookmarkStart w:id="5" w:name="_29v1lyjpz7kv" w:colFirst="0" w:colLast="0"/>
      <w:bookmarkEnd w:id="5"/>
    </w:p>
    <w:p w14:paraId="19131C58" w14:textId="3A5A73E2" w:rsidR="00A27304" w:rsidRPr="00EF2E78" w:rsidRDefault="00000000" w:rsidP="003F75FB">
      <w:pPr>
        <w:spacing w:line="360" w:lineRule="auto"/>
        <w:rPr>
          <w:color w:val="000000" w:themeColor="text1"/>
          <w:sz w:val="20"/>
          <w:szCs w:val="20"/>
          <w:lang w:val="en-US"/>
        </w:rPr>
      </w:pPr>
      <w:r w:rsidRPr="00EF2E78">
        <w:rPr>
          <w:b/>
          <w:color w:val="000000" w:themeColor="text1"/>
          <w:sz w:val="20"/>
          <w:szCs w:val="20"/>
          <w:lang w:val="en-US"/>
        </w:rPr>
        <w:t xml:space="preserve">Identification of the tear fluid-derived protein signature leveraging machine learning in detail </w:t>
      </w:r>
    </w:p>
    <w:p w14:paraId="0D332567" w14:textId="521CB75E" w:rsidR="00A27304" w:rsidRPr="00EF2E78" w:rsidRDefault="00000000" w:rsidP="003F75FB">
      <w:pPr>
        <w:spacing w:line="360" w:lineRule="auto"/>
        <w:jc w:val="both"/>
        <w:rPr>
          <w:color w:val="000000" w:themeColor="text1"/>
          <w:sz w:val="20"/>
          <w:szCs w:val="20"/>
          <w:lang w:val="en-US"/>
        </w:rPr>
      </w:pPr>
      <w:r w:rsidRPr="00EF2E78">
        <w:rPr>
          <w:color w:val="000000" w:themeColor="text1"/>
          <w:sz w:val="20"/>
          <w:szCs w:val="20"/>
          <w:lang w:val="en-US"/>
        </w:rPr>
        <w:t xml:space="preserve">To evaluate the capability of TF proteins to distinguish ALS patients from controls, we leveraged supervised </w:t>
      </w:r>
      <w:r w:rsidR="006727CF" w:rsidRPr="00EF2E78">
        <w:rPr>
          <w:color w:val="000000" w:themeColor="text1"/>
          <w:sz w:val="20"/>
          <w:szCs w:val="20"/>
          <w:lang w:val="en-US"/>
        </w:rPr>
        <w:t>machine learning</w:t>
      </w:r>
      <w:r w:rsidRPr="00EF2E78">
        <w:rPr>
          <w:color w:val="000000" w:themeColor="text1"/>
          <w:sz w:val="20"/>
          <w:szCs w:val="20"/>
          <w:lang w:val="en-US"/>
        </w:rPr>
        <w:t xml:space="preserve"> algorithms implemented via the caret package (v6.0-94</w:t>
      </w:r>
      <w:r w:rsidR="008754CE" w:rsidRPr="00EF2E78">
        <w:rPr>
          <w:noProof/>
          <w:color w:val="000000" w:themeColor="text1"/>
          <w:sz w:val="20"/>
          <w:szCs w:val="20"/>
          <w:vertAlign w:val="superscript"/>
          <w:lang w:val="en-US"/>
        </w:rPr>
        <w:t>1</w:t>
      </w:r>
      <w:r w:rsidRPr="00EF2E78">
        <w:rPr>
          <w:color w:val="000000" w:themeColor="text1"/>
          <w:sz w:val="20"/>
          <w:szCs w:val="20"/>
          <w:lang w:val="en-US"/>
        </w:rPr>
        <w:t>) in R (v4.2.</w:t>
      </w:r>
      <w:r w:rsidR="006F4E2D" w:rsidRPr="00EF2E78">
        <w:rPr>
          <w:color w:val="000000" w:themeColor="text1"/>
          <w:sz w:val="20"/>
          <w:szCs w:val="20"/>
          <w:lang w:val="en-US"/>
        </w:rPr>
        <w:t>3</w:t>
      </w:r>
      <w:r w:rsidR="008754CE" w:rsidRPr="00EF2E78">
        <w:rPr>
          <w:noProof/>
          <w:color w:val="000000" w:themeColor="text1"/>
          <w:sz w:val="20"/>
          <w:szCs w:val="20"/>
          <w:vertAlign w:val="superscript"/>
          <w:lang w:val="en-US"/>
        </w:rPr>
        <w:t>2</w:t>
      </w:r>
      <w:r w:rsidRPr="00EF2E78">
        <w:rPr>
          <w:color w:val="000000" w:themeColor="text1"/>
          <w:sz w:val="20"/>
          <w:szCs w:val="20"/>
          <w:lang w:val="en-US"/>
        </w:rPr>
        <w:t xml:space="preserve">). Four </w:t>
      </w:r>
      <w:r w:rsidR="006727CF" w:rsidRPr="00EF2E78">
        <w:rPr>
          <w:color w:val="000000" w:themeColor="text1"/>
          <w:sz w:val="20"/>
          <w:szCs w:val="20"/>
          <w:lang w:val="en-US"/>
        </w:rPr>
        <w:t>machine learning</w:t>
      </w:r>
      <w:r w:rsidRPr="00EF2E78">
        <w:rPr>
          <w:color w:val="000000" w:themeColor="text1"/>
          <w:sz w:val="20"/>
          <w:szCs w:val="20"/>
          <w:lang w:val="en-US"/>
        </w:rPr>
        <w:t xml:space="preserve"> algorithms were applied, including linear regression (lasso), random forest, and SVM with radial and linear kernels, to predict ALS status based on the entire TF proteome of ALS and control subjects. A nested 10-fold cross-validation with 500 iterations of bootstrapping was employed to strengthen robustness.</w:t>
      </w:r>
    </w:p>
    <w:p w14:paraId="7E2E9431" w14:textId="53018051" w:rsidR="00A27304" w:rsidRPr="00EF2E78" w:rsidRDefault="00000000" w:rsidP="003F75FB">
      <w:pPr>
        <w:spacing w:line="360" w:lineRule="auto"/>
        <w:jc w:val="both"/>
        <w:rPr>
          <w:color w:val="000000" w:themeColor="text1"/>
          <w:sz w:val="20"/>
          <w:szCs w:val="20"/>
          <w:lang w:val="en-US"/>
        </w:rPr>
      </w:pPr>
      <w:r w:rsidRPr="00EF2E78">
        <w:rPr>
          <w:color w:val="000000" w:themeColor="text1"/>
          <w:sz w:val="20"/>
          <w:szCs w:val="20"/>
          <w:lang w:val="en-US"/>
        </w:rPr>
        <w:t>Proteins weighted by the linear regression model, indicating a high importance in ALS prediction during the bootstrapping procedure, were extracted and compiled to a tier list (</w:t>
      </w:r>
      <w:r w:rsidRPr="00EF2E78">
        <w:rPr>
          <w:b/>
          <w:color w:val="000000" w:themeColor="text1"/>
          <w:sz w:val="20"/>
          <w:szCs w:val="20"/>
          <w:lang w:val="en-US"/>
        </w:rPr>
        <w:t>Data S3)</w:t>
      </w:r>
      <w:r w:rsidRPr="00EF2E78">
        <w:rPr>
          <w:color w:val="000000" w:themeColor="text1"/>
          <w:sz w:val="20"/>
          <w:szCs w:val="20"/>
          <w:lang w:val="en-US"/>
        </w:rPr>
        <w:t xml:space="preserve">. These putative biomarker proteins were ranked upon specific criteria, focusing on a low bootstrapping FDR and high average weight from </w:t>
      </w:r>
      <w:r w:rsidR="006727CF" w:rsidRPr="00EF2E78">
        <w:rPr>
          <w:color w:val="000000" w:themeColor="text1"/>
          <w:sz w:val="20"/>
          <w:szCs w:val="20"/>
          <w:lang w:val="en-US"/>
        </w:rPr>
        <w:t>machine learning</w:t>
      </w:r>
      <w:r w:rsidRPr="00EF2E78">
        <w:rPr>
          <w:color w:val="000000" w:themeColor="text1"/>
          <w:sz w:val="20"/>
          <w:szCs w:val="20"/>
          <w:lang w:val="en-US"/>
        </w:rPr>
        <w:t xml:space="preserve"> analysis, as well as a high -log10 FDR and absolute log2 FC values from the differential abundance analysis. The bootstrapping FDR of each protein was calculated with the </w:t>
      </w:r>
      <w:proofErr w:type="spellStart"/>
      <w:r w:rsidRPr="00EF2E78">
        <w:rPr>
          <w:color w:val="000000" w:themeColor="text1"/>
          <w:sz w:val="20"/>
          <w:szCs w:val="20"/>
          <w:lang w:val="en-US"/>
        </w:rPr>
        <w:t>RobustRankAggreg</w:t>
      </w:r>
      <w:proofErr w:type="spellEnd"/>
      <w:r w:rsidRPr="00EF2E78">
        <w:rPr>
          <w:color w:val="000000" w:themeColor="text1"/>
          <w:sz w:val="20"/>
          <w:szCs w:val="20"/>
          <w:lang w:val="en-US"/>
        </w:rPr>
        <w:t xml:space="preserve"> package</w:t>
      </w:r>
      <w:r w:rsidR="008754CE" w:rsidRPr="00EF2E78">
        <w:rPr>
          <w:noProof/>
          <w:color w:val="000000" w:themeColor="text1"/>
          <w:sz w:val="20"/>
          <w:szCs w:val="20"/>
          <w:vertAlign w:val="superscript"/>
          <w:lang w:val="en-US"/>
        </w:rPr>
        <w:t>3</w:t>
      </w:r>
      <w:r w:rsidR="006F4E2D" w:rsidRPr="00EF2E78">
        <w:rPr>
          <w:color w:val="000000" w:themeColor="text1"/>
          <w:sz w:val="20"/>
          <w:szCs w:val="20"/>
          <w:vertAlign w:val="superscript"/>
          <w:lang w:val="en-US"/>
        </w:rPr>
        <w:t xml:space="preserve"> </w:t>
      </w:r>
      <w:r w:rsidRPr="00EF2E78">
        <w:rPr>
          <w:color w:val="000000" w:themeColor="text1"/>
          <w:sz w:val="20"/>
          <w:szCs w:val="20"/>
          <w:lang w:val="en-US"/>
        </w:rPr>
        <w:t xml:space="preserve">and was based </w:t>
      </w:r>
      <w:proofErr w:type="gramStart"/>
      <w:r w:rsidRPr="00EF2E78">
        <w:rPr>
          <w:color w:val="000000" w:themeColor="text1"/>
          <w:sz w:val="20"/>
          <w:szCs w:val="20"/>
          <w:lang w:val="en-US"/>
        </w:rPr>
        <w:t>on  the</w:t>
      </w:r>
      <w:proofErr w:type="gramEnd"/>
      <w:r w:rsidRPr="00EF2E78">
        <w:rPr>
          <w:color w:val="000000" w:themeColor="text1"/>
          <w:sz w:val="20"/>
          <w:szCs w:val="20"/>
          <w:lang w:val="en-US"/>
        </w:rPr>
        <w:t xml:space="preserve"> selection frequency and rank of the absolute weights from the linear regression model.</w:t>
      </w:r>
    </w:p>
    <w:p w14:paraId="5BF80958" w14:textId="296D888D" w:rsidR="00A27304" w:rsidRPr="00EF2E78" w:rsidRDefault="00000000" w:rsidP="003F75FB">
      <w:pPr>
        <w:spacing w:line="360" w:lineRule="auto"/>
        <w:jc w:val="both"/>
        <w:rPr>
          <w:color w:val="000000" w:themeColor="text1"/>
          <w:sz w:val="20"/>
          <w:szCs w:val="20"/>
          <w:lang w:val="en-US"/>
        </w:rPr>
      </w:pPr>
      <w:r w:rsidRPr="00EF2E78">
        <w:rPr>
          <w:color w:val="000000" w:themeColor="text1"/>
          <w:sz w:val="20"/>
          <w:szCs w:val="20"/>
          <w:lang w:val="en-US"/>
        </w:rPr>
        <w:t xml:space="preserve">Next, lasso regression models based only on the differentially abundant proteins from the </w:t>
      </w:r>
      <w:proofErr w:type="gramStart"/>
      <w:r w:rsidRPr="00EF2E78">
        <w:rPr>
          <w:color w:val="000000" w:themeColor="text1"/>
          <w:sz w:val="20"/>
          <w:szCs w:val="20"/>
          <w:lang w:val="en-US"/>
        </w:rPr>
        <w:t>aforementioned tier</w:t>
      </w:r>
      <w:proofErr w:type="gramEnd"/>
      <w:r w:rsidRPr="00EF2E78">
        <w:rPr>
          <w:color w:val="000000" w:themeColor="text1"/>
          <w:sz w:val="20"/>
          <w:szCs w:val="20"/>
          <w:lang w:val="en-US"/>
        </w:rPr>
        <w:t xml:space="preserve"> list were created using the previously estimated protein weights. Based on the results of the tier list and for the sake of translating the TF-derived protein signature into clinical routine, we manually restricted the number of protein combinations to nine: HP, CRYM, ALDH16A1, mannose-1-phosphate </w:t>
      </w:r>
      <w:proofErr w:type="spellStart"/>
      <w:r w:rsidRPr="00EF2E78">
        <w:rPr>
          <w:color w:val="000000" w:themeColor="text1"/>
          <w:sz w:val="20"/>
          <w:szCs w:val="20"/>
          <w:lang w:val="en-US"/>
        </w:rPr>
        <w:t>guanyltransferase</w:t>
      </w:r>
      <w:proofErr w:type="spellEnd"/>
      <w:r w:rsidRPr="00EF2E78">
        <w:rPr>
          <w:color w:val="000000" w:themeColor="text1"/>
          <w:sz w:val="20"/>
          <w:szCs w:val="20"/>
          <w:lang w:val="en-US"/>
        </w:rPr>
        <w:t xml:space="preserve"> alpha (GMPPA), PFKL, eukaryotic translation initiation factor 2 subunit 2 (EIF2S2), SERPINC1, </w:t>
      </w:r>
      <w:proofErr w:type="spellStart"/>
      <w:r w:rsidRPr="00EF2E78">
        <w:rPr>
          <w:color w:val="000000" w:themeColor="text1"/>
          <w:sz w:val="20"/>
          <w:szCs w:val="20"/>
          <w:lang w:val="en-US"/>
        </w:rPr>
        <w:t>secretoglobin</w:t>
      </w:r>
      <w:proofErr w:type="spellEnd"/>
      <w:r w:rsidRPr="00EF2E78">
        <w:rPr>
          <w:color w:val="000000" w:themeColor="text1"/>
          <w:sz w:val="20"/>
          <w:szCs w:val="20"/>
          <w:lang w:val="en-US"/>
        </w:rPr>
        <w:t xml:space="preserve"> family 1D member 1 (SCGB1D1) and CAPZA2. Possible combinations of these nine putative biomarker proteins were </w:t>
      </w:r>
      <w:proofErr w:type="gramStart"/>
      <w:r w:rsidRPr="00EF2E78">
        <w:rPr>
          <w:color w:val="000000" w:themeColor="text1"/>
          <w:sz w:val="20"/>
          <w:szCs w:val="20"/>
          <w:lang w:val="en-US"/>
        </w:rPr>
        <w:t>tested</w:t>
      </w:r>
      <w:proofErr w:type="gramEnd"/>
      <w:r w:rsidRPr="00EF2E78">
        <w:rPr>
          <w:color w:val="000000" w:themeColor="text1"/>
          <w:sz w:val="20"/>
          <w:szCs w:val="20"/>
          <w:lang w:val="en-US"/>
        </w:rPr>
        <w:t xml:space="preserve"> and their discriminatory performance was assessed by AUROC to identify a signature that most effectively classifies ALS and control</w:t>
      </w:r>
      <w:r w:rsidR="00550FDE" w:rsidRPr="00EF2E78">
        <w:rPr>
          <w:color w:val="000000" w:themeColor="text1"/>
          <w:sz w:val="20"/>
          <w:szCs w:val="20"/>
          <w:lang w:val="en-US"/>
        </w:rPr>
        <w:t>s</w:t>
      </w:r>
      <w:r w:rsidRPr="00EF2E78">
        <w:rPr>
          <w:color w:val="000000" w:themeColor="text1"/>
          <w:sz w:val="20"/>
          <w:szCs w:val="20"/>
          <w:lang w:val="en-US"/>
        </w:rPr>
        <w:t xml:space="preserve">. </w:t>
      </w:r>
    </w:p>
    <w:p w14:paraId="558B6463" w14:textId="047C48FA" w:rsidR="00A27304" w:rsidRPr="00EF2E78" w:rsidRDefault="00000000" w:rsidP="003F75FB">
      <w:pPr>
        <w:spacing w:line="360" w:lineRule="auto"/>
        <w:jc w:val="both"/>
        <w:rPr>
          <w:color w:val="000000" w:themeColor="text1"/>
          <w:sz w:val="20"/>
          <w:szCs w:val="20"/>
          <w:lang w:val="en-US"/>
        </w:rPr>
      </w:pPr>
      <w:r w:rsidRPr="00EF2E78">
        <w:rPr>
          <w:color w:val="000000" w:themeColor="text1"/>
          <w:sz w:val="20"/>
          <w:szCs w:val="20"/>
          <w:lang w:val="en-US"/>
        </w:rPr>
        <w:t xml:space="preserve">The best-performing protein signature consisted of nine proteins: HP, CRYM, ALDH16A1, mannose-1-phosphate </w:t>
      </w:r>
      <w:proofErr w:type="spellStart"/>
      <w:r w:rsidRPr="00EF2E78">
        <w:rPr>
          <w:color w:val="000000" w:themeColor="text1"/>
          <w:sz w:val="20"/>
          <w:szCs w:val="20"/>
          <w:lang w:val="en-US"/>
        </w:rPr>
        <w:t>guanyltransferase</w:t>
      </w:r>
      <w:proofErr w:type="spellEnd"/>
      <w:r w:rsidRPr="00EF2E78">
        <w:rPr>
          <w:color w:val="000000" w:themeColor="text1"/>
          <w:sz w:val="20"/>
          <w:szCs w:val="20"/>
          <w:lang w:val="en-US"/>
        </w:rPr>
        <w:t xml:space="preserve"> alpha (GMPPA), PFKL, eukaryotic translation initiation factor 2 subunit 2 (EIF2S2), SERPINC1, and </w:t>
      </w:r>
      <w:proofErr w:type="spellStart"/>
      <w:r w:rsidRPr="00EF2E78">
        <w:rPr>
          <w:color w:val="000000" w:themeColor="text1"/>
          <w:sz w:val="20"/>
          <w:szCs w:val="20"/>
          <w:lang w:val="en-US"/>
        </w:rPr>
        <w:t>secretoglobin</w:t>
      </w:r>
      <w:proofErr w:type="spellEnd"/>
      <w:r w:rsidRPr="00EF2E78">
        <w:rPr>
          <w:color w:val="000000" w:themeColor="text1"/>
          <w:sz w:val="20"/>
          <w:szCs w:val="20"/>
          <w:lang w:val="en-US"/>
        </w:rPr>
        <w:t xml:space="preserve"> family 1D member 1 (SCGB1D1) and CAPZA2 (</w:t>
      </w:r>
      <w:r w:rsidRPr="00EF2E78">
        <w:rPr>
          <w:b/>
          <w:color w:val="000000" w:themeColor="text1"/>
          <w:sz w:val="20"/>
          <w:szCs w:val="20"/>
          <w:lang w:val="en-US"/>
        </w:rPr>
        <w:t>Figure S</w:t>
      </w:r>
      <w:r w:rsidR="00550FDE" w:rsidRPr="00EF2E78">
        <w:rPr>
          <w:b/>
          <w:color w:val="000000" w:themeColor="text1"/>
          <w:sz w:val="20"/>
          <w:szCs w:val="20"/>
          <w:lang w:val="en-US"/>
        </w:rPr>
        <w:t>10</w:t>
      </w:r>
      <w:r w:rsidRPr="00EF2E78">
        <w:rPr>
          <w:color w:val="000000" w:themeColor="text1"/>
          <w:sz w:val="20"/>
          <w:szCs w:val="20"/>
          <w:lang w:val="en-US"/>
        </w:rPr>
        <w:t xml:space="preserve">). Due to the lack of availability of reproducibly working antibodies and protein detection limitations, the combination of six proteins (CRYM, CAPZA2, ALDH16A1, PFKL, SERPINC1, and HP) was selected and validated by </w:t>
      </w:r>
      <w:r w:rsidR="00D1105A" w:rsidRPr="00EF2E78">
        <w:rPr>
          <w:color w:val="000000" w:themeColor="text1"/>
          <w:sz w:val="20"/>
          <w:szCs w:val="20"/>
          <w:lang w:val="en-US"/>
        </w:rPr>
        <w:t>W</w:t>
      </w:r>
      <w:r w:rsidRPr="00EF2E78">
        <w:rPr>
          <w:color w:val="000000" w:themeColor="text1"/>
          <w:sz w:val="20"/>
          <w:szCs w:val="20"/>
          <w:lang w:val="en-US"/>
        </w:rPr>
        <w:t xml:space="preserve">estern </w:t>
      </w:r>
      <w:r w:rsidR="006727CF" w:rsidRPr="00EF2E78">
        <w:rPr>
          <w:color w:val="000000" w:themeColor="text1"/>
          <w:sz w:val="20"/>
          <w:szCs w:val="20"/>
          <w:lang w:val="en-US"/>
        </w:rPr>
        <w:t>b</w:t>
      </w:r>
      <w:r w:rsidRPr="00EF2E78">
        <w:rPr>
          <w:color w:val="000000" w:themeColor="text1"/>
          <w:sz w:val="20"/>
          <w:szCs w:val="20"/>
          <w:lang w:val="en-US"/>
        </w:rPr>
        <w:t xml:space="preserve">lot in </w:t>
      </w:r>
      <w:r w:rsidR="006727CF" w:rsidRPr="00EF2E78">
        <w:rPr>
          <w:color w:val="000000" w:themeColor="text1"/>
          <w:sz w:val="20"/>
          <w:szCs w:val="20"/>
          <w:lang w:val="en-US"/>
        </w:rPr>
        <w:t xml:space="preserve">TF </w:t>
      </w:r>
      <w:r w:rsidRPr="00EF2E78">
        <w:rPr>
          <w:color w:val="000000" w:themeColor="text1"/>
          <w:sz w:val="20"/>
          <w:szCs w:val="20"/>
          <w:lang w:val="en-US"/>
        </w:rPr>
        <w:t>(</w:t>
      </w:r>
      <w:r w:rsidRPr="00EF2E78">
        <w:rPr>
          <w:b/>
          <w:color w:val="000000" w:themeColor="text1"/>
          <w:sz w:val="20"/>
          <w:szCs w:val="20"/>
          <w:lang w:val="en-US"/>
        </w:rPr>
        <w:t>Figure 3 b-g, Figure S2</w:t>
      </w:r>
      <w:r w:rsidRPr="00EF2E78">
        <w:rPr>
          <w:color w:val="000000" w:themeColor="text1"/>
          <w:sz w:val="20"/>
          <w:szCs w:val="20"/>
          <w:lang w:val="en-US"/>
        </w:rPr>
        <w:t>).</w:t>
      </w:r>
    </w:p>
    <w:p w14:paraId="5F9707A0" w14:textId="77777777" w:rsidR="00A27304" w:rsidRPr="00EF2E78" w:rsidRDefault="00000000" w:rsidP="003F75FB">
      <w:pPr>
        <w:pStyle w:val="Heading5"/>
        <w:spacing w:line="360" w:lineRule="auto"/>
        <w:jc w:val="both"/>
        <w:rPr>
          <w:b/>
          <w:color w:val="000000" w:themeColor="text1"/>
          <w:sz w:val="20"/>
          <w:szCs w:val="20"/>
          <w:lang w:val="en-US"/>
        </w:rPr>
      </w:pPr>
      <w:bookmarkStart w:id="6" w:name="_zgdhn291iuu2" w:colFirst="0" w:colLast="0"/>
      <w:bookmarkEnd w:id="6"/>
      <w:r w:rsidRPr="00EF2E78">
        <w:rPr>
          <w:b/>
          <w:color w:val="000000" w:themeColor="text1"/>
          <w:sz w:val="20"/>
          <w:szCs w:val="20"/>
          <w:lang w:val="en-US"/>
        </w:rPr>
        <w:t>Ranked protein abundance</w:t>
      </w:r>
    </w:p>
    <w:p w14:paraId="400C60EA" w14:textId="465D0FC1" w:rsidR="00A27304" w:rsidRPr="00EF2E78" w:rsidRDefault="00000000" w:rsidP="003F75FB">
      <w:pPr>
        <w:spacing w:line="360" w:lineRule="auto"/>
        <w:jc w:val="both"/>
        <w:rPr>
          <w:color w:val="000000" w:themeColor="text1"/>
          <w:sz w:val="20"/>
          <w:szCs w:val="20"/>
          <w:lang w:val="en-US"/>
        </w:rPr>
      </w:pPr>
      <w:proofErr w:type="spellStart"/>
      <w:r w:rsidRPr="00EF2E78">
        <w:rPr>
          <w:color w:val="000000" w:themeColor="text1"/>
          <w:sz w:val="20"/>
          <w:szCs w:val="20"/>
          <w:lang w:val="en-US"/>
        </w:rPr>
        <w:t>Rstudio</w:t>
      </w:r>
      <w:proofErr w:type="spellEnd"/>
      <w:r w:rsidRPr="00EF2E78">
        <w:rPr>
          <w:color w:val="000000" w:themeColor="text1"/>
          <w:sz w:val="20"/>
          <w:szCs w:val="20"/>
          <w:lang w:val="en-US"/>
        </w:rPr>
        <w:t xml:space="preserve"> (version 2024.12.0.467</w:t>
      </w:r>
      <w:r w:rsidR="008754CE" w:rsidRPr="00EF2E78">
        <w:rPr>
          <w:noProof/>
          <w:color w:val="000000" w:themeColor="text1"/>
          <w:sz w:val="20"/>
          <w:szCs w:val="20"/>
          <w:vertAlign w:val="superscript"/>
          <w:lang w:val="en-US"/>
        </w:rPr>
        <w:t>4</w:t>
      </w:r>
      <w:r w:rsidRPr="00EF2E78">
        <w:rPr>
          <w:color w:val="000000" w:themeColor="text1"/>
          <w:sz w:val="20"/>
          <w:szCs w:val="20"/>
          <w:lang w:val="en-US"/>
        </w:rPr>
        <w:t>; R version 4.4.2 (2024-10-31), R Core Team</w:t>
      </w:r>
      <w:r w:rsidR="008754CE" w:rsidRPr="00EF2E78">
        <w:rPr>
          <w:noProof/>
          <w:color w:val="000000" w:themeColor="text1"/>
          <w:sz w:val="20"/>
          <w:szCs w:val="20"/>
          <w:vertAlign w:val="superscript"/>
          <w:lang w:val="en-US"/>
        </w:rPr>
        <w:t>2</w:t>
      </w:r>
      <w:proofErr w:type="gramStart"/>
      <w:r w:rsidRPr="00EF2E78">
        <w:rPr>
          <w:color w:val="000000" w:themeColor="text1"/>
          <w:sz w:val="20"/>
          <w:szCs w:val="20"/>
          <w:lang w:val="en-US"/>
        </w:rPr>
        <w:t>)  was</w:t>
      </w:r>
      <w:proofErr w:type="gramEnd"/>
      <w:r w:rsidRPr="00EF2E78">
        <w:rPr>
          <w:color w:val="000000" w:themeColor="text1"/>
          <w:sz w:val="20"/>
          <w:szCs w:val="20"/>
          <w:lang w:val="en-US"/>
        </w:rPr>
        <w:t xml:space="preserve"> used to analyze and visualize the ranked protein abundance. Log2-transformed intensity values derived from PERSEUS analysis were extracted for two technical replicates of each ALS and control subject for the 876 proteins consistently abundant in at least 66% of the samples. Log2-transformation was reversed, and the mean intensity of the two technical replicates was calculated. Subsequently, the mean for all controls and ALS patients was determined separately for each protein and log10-transformed. All 876 proteins were ranked in ascending order based on the mean abundance in ALS or controls, with the highest rank assigned to the most abundant protein (</w:t>
      </w:r>
      <w:r w:rsidRPr="00EF2E78">
        <w:rPr>
          <w:b/>
          <w:color w:val="000000" w:themeColor="text1"/>
          <w:sz w:val="20"/>
          <w:szCs w:val="20"/>
          <w:lang w:val="en-US"/>
        </w:rPr>
        <w:t>Figure S</w:t>
      </w:r>
      <w:r w:rsidR="00550FDE" w:rsidRPr="00EF2E78">
        <w:rPr>
          <w:b/>
          <w:color w:val="000000" w:themeColor="text1"/>
          <w:sz w:val="20"/>
          <w:szCs w:val="20"/>
          <w:lang w:val="en-US"/>
        </w:rPr>
        <w:t>9</w:t>
      </w:r>
      <w:r w:rsidRPr="00EF2E78">
        <w:rPr>
          <w:b/>
          <w:color w:val="000000" w:themeColor="text1"/>
          <w:sz w:val="20"/>
          <w:szCs w:val="20"/>
          <w:lang w:val="en-US"/>
        </w:rPr>
        <w:t>,</w:t>
      </w:r>
      <w:r w:rsidRPr="00EF2E78">
        <w:rPr>
          <w:color w:val="000000" w:themeColor="text1"/>
          <w:sz w:val="20"/>
          <w:szCs w:val="20"/>
          <w:lang w:val="en-US"/>
        </w:rPr>
        <w:t xml:space="preserve"> </w:t>
      </w:r>
      <w:r w:rsidRPr="00EF2E78">
        <w:rPr>
          <w:b/>
          <w:color w:val="000000" w:themeColor="text1"/>
          <w:sz w:val="20"/>
          <w:szCs w:val="20"/>
          <w:lang w:val="en-US"/>
        </w:rPr>
        <w:t>Data S4</w:t>
      </w:r>
      <w:r w:rsidRPr="00EF2E78">
        <w:rPr>
          <w:color w:val="000000" w:themeColor="text1"/>
          <w:sz w:val="20"/>
          <w:szCs w:val="20"/>
          <w:lang w:val="en-US"/>
        </w:rPr>
        <w:t>).</w:t>
      </w:r>
    </w:p>
    <w:p w14:paraId="787D25C2" w14:textId="5B45521D" w:rsidR="006F4E2D" w:rsidRPr="00EF2E78" w:rsidRDefault="00000000" w:rsidP="003F75FB">
      <w:pPr>
        <w:pStyle w:val="Heading3"/>
        <w:spacing w:line="360" w:lineRule="auto"/>
        <w:rPr>
          <w:b/>
          <w:bCs/>
          <w:color w:val="000000" w:themeColor="text1"/>
          <w:sz w:val="20"/>
          <w:szCs w:val="20"/>
          <w:lang w:val="en-US"/>
        </w:rPr>
      </w:pPr>
      <w:bookmarkStart w:id="7" w:name="_lmm6nzwm2omb" w:colFirst="0" w:colLast="0"/>
      <w:bookmarkEnd w:id="7"/>
      <w:r w:rsidRPr="00EF2E78">
        <w:rPr>
          <w:b/>
          <w:bCs/>
          <w:color w:val="000000" w:themeColor="text1"/>
          <w:sz w:val="20"/>
          <w:szCs w:val="20"/>
          <w:lang w:val="en-US"/>
        </w:rPr>
        <w:lastRenderedPageBreak/>
        <w:t>Supplementary References</w:t>
      </w:r>
    </w:p>
    <w:p w14:paraId="56E7673F" w14:textId="77AFE1E3" w:rsidR="008754CE" w:rsidRPr="00EF2E78" w:rsidRDefault="008754CE" w:rsidP="003F75FB">
      <w:pPr>
        <w:pStyle w:val="EndNoteBibliography"/>
        <w:spacing w:line="360" w:lineRule="auto"/>
        <w:rPr>
          <w:noProof/>
          <w:sz w:val="20"/>
          <w:szCs w:val="20"/>
          <w:lang w:val="en-US"/>
        </w:rPr>
      </w:pPr>
      <w:bookmarkStart w:id="8" w:name="_jhzle7eax9ci" w:colFirst="0" w:colLast="0"/>
      <w:bookmarkEnd w:id="8"/>
      <w:r w:rsidRPr="00EF2E78">
        <w:rPr>
          <w:noProof/>
          <w:sz w:val="20"/>
          <w:szCs w:val="20"/>
          <w:lang w:val="en-US"/>
        </w:rPr>
        <w:t>1.</w:t>
      </w:r>
      <w:r w:rsidRPr="00EF2E78">
        <w:rPr>
          <w:noProof/>
          <w:sz w:val="20"/>
          <w:szCs w:val="20"/>
          <w:lang w:val="en-US"/>
        </w:rPr>
        <w:tab/>
        <w:t>Kuhn M. Building Predictive Models in R Using the caret Package. Journal of Statistical Software. 2008;Vol. 28(Issue 5).</w:t>
      </w:r>
    </w:p>
    <w:p w14:paraId="289F4114" w14:textId="77ABB647" w:rsidR="008754CE" w:rsidRPr="00EF2E78" w:rsidRDefault="008754CE" w:rsidP="003F75FB">
      <w:pPr>
        <w:pStyle w:val="EndNoteBibliography"/>
        <w:spacing w:line="360" w:lineRule="auto"/>
        <w:rPr>
          <w:noProof/>
          <w:sz w:val="20"/>
          <w:szCs w:val="20"/>
          <w:lang w:val="en-US"/>
        </w:rPr>
      </w:pPr>
      <w:r w:rsidRPr="00EF2E78">
        <w:rPr>
          <w:noProof/>
          <w:sz w:val="20"/>
          <w:szCs w:val="20"/>
          <w:lang w:val="en-US"/>
        </w:rPr>
        <w:t>2.</w:t>
      </w:r>
      <w:r w:rsidRPr="00EF2E78">
        <w:rPr>
          <w:noProof/>
          <w:sz w:val="20"/>
          <w:szCs w:val="20"/>
          <w:lang w:val="en-US"/>
        </w:rPr>
        <w:tab/>
        <w:t>Team RC. R: A Language and Environment for Statistical Computing Vienna, Austria: R Foundation for Statistical Computing; 2023 [Available from: https://www.R-project.org/.</w:t>
      </w:r>
    </w:p>
    <w:p w14:paraId="3C781060" w14:textId="1BC3F9AD" w:rsidR="008754CE" w:rsidRPr="00EF2E78" w:rsidRDefault="008754CE" w:rsidP="003F75FB">
      <w:pPr>
        <w:pStyle w:val="EndNoteBibliography"/>
        <w:spacing w:line="360" w:lineRule="auto"/>
        <w:rPr>
          <w:noProof/>
          <w:sz w:val="20"/>
          <w:szCs w:val="20"/>
          <w:lang w:val="en-US"/>
        </w:rPr>
      </w:pPr>
      <w:r w:rsidRPr="00EF2E78">
        <w:rPr>
          <w:noProof/>
          <w:sz w:val="20"/>
          <w:szCs w:val="20"/>
          <w:lang w:val="en-US"/>
        </w:rPr>
        <w:t>3.</w:t>
      </w:r>
      <w:r w:rsidRPr="00EF2E78">
        <w:rPr>
          <w:noProof/>
          <w:sz w:val="20"/>
          <w:szCs w:val="20"/>
          <w:lang w:val="en-US"/>
        </w:rPr>
        <w:tab/>
        <w:t>Kolde R, Laur, S. RobustRankAggreg: Methods for Robust Rank Aggregation, R package version 1.1. 2022 [Available from: https://cran.r-project.org/web/packages/RobustRankAggreg/index.html.</w:t>
      </w:r>
    </w:p>
    <w:p w14:paraId="79694E08" w14:textId="692DBCCF" w:rsidR="008754CE" w:rsidRPr="00EF2E78" w:rsidRDefault="008754CE" w:rsidP="003F75FB">
      <w:pPr>
        <w:pStyle w:val="EndNoteBibliography"/>
        <w:spacing w:line="360" w:lineRule="auto"/>
        <w:rPr>
          <w:noProof/>
          <w:sz w:val="20"/>
          <w:szCs w:val="20"/>
          <w:lang w:val="en-US"/>
        </w:rPr>
      </w:pPr>
      <w:r w:rsidRPr="00EF2E78">
        <w:rPr>
          <w:noProof/>
          <w:sz w:val="20"/>
          <w:szCs w:val="20"/>
          <w:lang w:val="en-US"/>
        </w:rPr>
        <w:t>4.</w:t>
      </w:r>
      <w:r w:rsidRPr="00EF2E78">
        <w:rPr>
          <w:noProof/>
          <w:sz w:val="20"/>
          <w:szCs w:val="20"/>
          <w:lang w:val="en-US"/>
        </w:rPr>
        <w:tab/>
        <w:t>Team R. RStudio: Integrated Development for R Boston: RStudio; 2023 [Available from: http://www.rstudio.com/.</w:t>
      </w:r>
    </w:p>
    <w:p w14:paraId="490904AA" w14:textId="117CB170" w:rsidR="003F75FB" w:rsidRPr="00EF2E78" w:rsidRDefault="003F75FB" w:rsidP="003F75FB">
      <w:pPr>
        <w:pStyle w:val="Heading3"/>
        <w:spacing w:line="360" w:lineRule="auto"/>
        <w:rPr>
          <w:color w:val="000000" w:themeColor="text1"/>
          <w:sz w:val="20"/>
          <w:szCs w:val="20"/>
          <w:lang w:val="en-US"/>
        </w:rPr>
      </w:pPr>
    </w:p>
    <w:p w14:paraId="234A9730" w14:textId="77777777" w:rsidR="003F75FB" w:rsidRPr="00EF2E78" w:rsidRDefault="003F75FB">
      <w:pPr>
        <w:rPr>
          <w:color w:val="000000" w:themeColor="text1"/>
          <w:sz w:val="20"/>
          <w:szCs w:val="20"/>
          <w:lang w:val="en-US"/>
        </w:rPr>
      </w:pPr>
      <w:r w:rsidRPr="00EF2E78">
        <w:rPr>
          <w:color w:val="000000" w:themeColor="text1"/>
          <w:sz w:val="20"/>
          <w:szCs w:val="20"/>
          <w:lang w:val="en-US"/>
        </w:rPr>
        <w:br w:type="page"/>
      </w:r>
    </w:p>
    <w:p w14:paraId="24A26241" w14:textId="7A04C01A" w:rsidR="00A27304" w:rsidRPr="00EF2E78" w:rsidRDefault="006F4E2D" w:rsidP="003F75FB">
      <w:pPr>
        <w:pStyle w:val="Heading1"/>
      </w:pPr>
      <w:bookmarkStart w:id="9" w:name="_Toc204006047"/>
      <w:r w:rsidRPr="00EF2E78">
        <w:lastRenderedPageBreak/>
        <w:t>Supplementary Figures</w:t>
      </w:r>
      <w:bookmarkEnd w:id="9"/>
      <w:r w:rsidRPr="00EF2E78">
        <w:t xml:space="preserve"> </w:t>
      </w:r>
    </w:p>
    <w:p w14:paraId="13276865" w14:textId="72A8FBD2" w:rsidR="003F75FB" w:rsidRPr="00EF2E78" w:rsidRDefault="003F75FB" w:rsidP="003F75FB">
      <w:pPr>
        <w:pStyle w:val="Heading5"/>
        <w:spacing w:line="360" w:lineRule="auto"/>
        <w:jc w:val="both"/>
        <w:rPr>
          <w:b/>
          <w:color w:val="000000" w:themeColor="text1"/>
          <w:sz w:val="20"/>
          <w:szCs w:val="20"/>
          <w:lang w:val="en-US"/>
        </w:rPr>
      </w:pPr>
      <w:bookmarkStart w:id="10" w:name="_7c5l1btwznyt" w:colFirst="0" w:colLast="0"/>
      <w:bookmarkEnd w:id="10"/>
      <w:r w:rsidRPr="00EF2E78">
        <w:rPr>
          <w:b/>
          <w:noProof/>
          <w:color w:val="000000" w:themeColor="text1"/>
          <w:sz w:val="20"/>
          <w:szCs w:val="20"/>
          <w:lang w:val="en-US"/>
        </w:rPr>
        <w:drawing>
          <wp:inline distT="0" distB="0" distL="0" distR="0" wp14:anchorId="57D1A491" wp14:editId="176C4817">
            <wp:extent cx="5733415" cy="5655733"/>
            <wp:effectExtent l="0" t="0" r="0" b="0"/>
            <wp:docPr id="879628865" name="Picture 1" descr="A screenshot of a test resul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28865" name="Picture 1" descr="A screenshot of a test results&#10;&#10;AI-generated content may be incorrect."/>
                    <pic:cNvPicPr/>
                  </pic:nvPicPr>
                  <pic:blipFill rotWithShape="1">
                    <a:blip r:embed="rId8" cstate="print">
                      <a:extLst>
                        <a:ext uri="{28A0092B-C50C-407E-A947-70E740481C1C}">
                          <a14:useLocalDpi xmlns:a14="http://schemas.microsoft.com/office/drawing/2010/main" val="0"/>
                        </a:ext>
                      </a:extLst>
                    </a:blip>
                    <a:srcRect b="23581"/>
                    <a:stretch/>
                  </pic:blipFill>
                  <pic:spPr bwMode="auto">
                    <a:xfrm>
                      <a:off x="0" y="0"/>
                      <a:ext cx="5733415" cy="5655733"/>
                    </a:xfrm>
                    <a:prstGeom prst="rect">
                      <a:avLst/>
                    </a:prstGeom>
                    <a:ln>
                      <a:noFill/>
                    </a:ln>
                    <a:extLst>
                      <a:ext uri="{53640926-AAD7-44D8-BBD7-CCE9431645EC}">
                        <a14:shadowObscured xmlns:a14="http://schemas.microsoft.com/office/drawing/2010/main"/>
                      </a:ext>
                    </a:extLst>
                  </pic:spPr>
                </pic:pic>
              </a:graphicData>
            </a:graphic>
          </wp:inline>
        </w:drawing>
      </w:r>
    </w:p>
    <w:p w14:paraId="04A02A90" w14:textId="3C8FA532" w:rsidR="00A27304" w:rsidRPr="00EF2E78" w:rsidRDefault="003F75FB" w:rsidP="00F25433">
      <w:pPr>
        <w:pStyle w:val="Heading2"/>
      </w:pPr>
      <w:bookmarkStart w:id="11" w:name="_Toc204006048"/>
      <w:r w:rsidRPr="00EF2E78">
        <w:t xml:space="preserve">Supplementary Figure S1: Full-length tear fluid </w:t>
      </w:r>
      <w:r w:rsidR="00D1105A" w:rsidRPr="00EF2E78">
        <w:t>W</w:t>
      </w:r>
      <w:r w:rsidRPr="00EF2E78">
        <w:t xml:space="preserve">estern </w:t>
      </w:r>
      <w:r w:rsidR="006727CF" w:rsidRPr="00EF2E78">
        <w:t>b</w:t>
      </w:r>
      <w:r w:rsidRPr="00EF2E78">
        <w:t>lots of the six targeted proteins.</w:t>
      </w:r>
      <w:bookmarkEnd w:id="11"/>
    </w:p>
    <w:p w14:paraId="0F8D8CB7" w14:textId="4B97DFEF" w:rsidR="00A27304" w:rsidRPr="00EF2E78" w:rsidRDefault="00000000" w:rsidP="003F75FB">
      <w:pPr>
        <w:spacing w:line="360" w:lineRule="auto"/>
        <w:jc w:val="both"/>
        <w:rPr>
          <w:color w:val="000000" w:themeColor="text1"/>
          <w:sz w:val="20"/>
          <w:szCs w:val="20"/>
          <w:lang w:val="en-US"/>
        </w:rPr>
      </w:pPr>
      <w:r w:rsidRPr="00EF2E78">
        <w:rPr>
          <w:b/>
          <w:color w:val="000000" w:themeColor="text1"/>
          <w:sz w:val="20"/>
          <w:szCs w:val="20"/>
          <w:lang w:val="en-US"/>
        </w:rPr>
        <w:t>a-c</w:t>
      </w:r>
      <w:r w:rsidRPr="00EF2E78">
        <w:rPr>
          <w:color w:val="000000" w:themeColor="text1"/>
          <w:sz w:val="20"/>
          <w:szCs w:val="20"/>
          <w:lang w:val="en-US"/>
        </w:rPr>
        <w:t xml:space="preserve"> Experimental setup for membrane sectioning for the detection of the six proteins. Each ALS (blue) and control (grey) sample was loaded in triplicates for gel electrophoresis, along with a pooled standard (green) for protein normalization. Following protein transfer, membranes were sectioned at specific molecular weight levels, as indicated by the </w:t>
      </w:r>
      <w:proofErr w:type="spellStart"/>
      <w:r w:rsidRPr="00EF2E78">
        <w:rPr>
          <w:color w:val="000000" w:themeColor="text1"/>
          <w:sz w:val="20"/>
          <w:szCs w:val="20"/>
          <w:lang w:val="en-US"/>
        </w:rPr>
        <w:t>prestained</w:t>
      </w:r>
      <w:proofErr w:type="spellEnd"/>
      <w:r w:rsidRPr="00EF2E78">
        <w:rPr>
          <w:color w:val="000000" w:themeColor="text1"/>
          <w:sz w:val="20"/>
          <w:szCs w:val="20"/>
          <w:lang w:val="en-US"/>
        </w:rPr>
        <w:t xml:space="preserve"> protein ladder. The red line marks the sectioning level. Membrane one was approximately cut at 50 </w:t>
      </w:r>
      <w:proofErr w:type="spellStart"/>
      <w:r w:rsidRPr="00EF2E78">
        <w:rPr>
          <w:color w:val="000000" w:themeColor="text1"/>
          <w:sz w:val="20"/>
          <w:szCs w:val="20"/>
          <w:lang w:val="en-US"/>
        </w:rPr>
        <w:t>kDa</w:t>
      </w:r>
      <w:proofErr w:type="spellEnd"/>
      <w:r w:rsidRPr="00EF2E78">
        <w:rPr>
          <w:color w:val="000000" w:themeColor="text1"/>
          <w:sz w:val="20"/>
          <w:szCs w:val="20"/>
          <w:lang w:val="en-US"/>
        </w:rPr>
        <w:t xml:space="preserve"> to detect CRYM (~ 37 </w:t>
      </w:r>
      <w:proofErr w:type="spellStart"/>
      <w:r w:rsidRPr="00EF2E78">
        <w:rPr>
          <w:color w:val="000000" w:themeColor="text1"/>
          <w:sz w:val="20"/>
          <w:szCs w:val="20"/>
          <w:lang w:val="en-US"/>
        </w:rPr>
        <w:t>kD</w:t>
      </w:r>
      <w:r w:rsidR="00D65D10" w:rsidRPr="00EF2E78">
        <w:rPr>
          <w:color w:val="000000" w:themeColor="text1"/>
          <w:sz w:val="20"/>
          <w:szCs w:val="20"/>
          <w:lang w:val="en-US"/>
        </w:rPr>
        <w:t>a</w:t>
      </w:r>
      <w:proofErr w:type="spellEnd"/>
      <w:r w:rsidRPr="00EF2E78">
        <w:rPr>
          <w:color w:val="000000" w:themeColor="text1"/>
          <w:sz w:val="20"/>
          <w:szCs w:val="20"/>
          <w:lang w:val="en-US"/>
        </w:rPr>
        <w:t xml:space="preserve">) and SERPINC1 (~ 55 </w:t>
      </w:r>
      <w:proofErr w:type="spellStart"/>
      <w:r w:rsidRPr="00EF2E78">
        <w:rPr>
          <w:color w:val="000000" w:themeColor="text1"/>
          <w:sz w:val="20"/>
          <w:szCs w:val="20"/>
          <w:lang w:val="en-US"/>
        </w:rPr>
        <w:t>kDa</w:t>
      </w:r>
      <w:proofErr w:type="spellEnd"/>
      <w:r w:rsidRPr="00EF2E78">
        <w:rPr>
          <w:color w:val="000000" w:themeColor="text1"/>
          <w:sz w:val="20"/>
          <w:szCs w:val="20"/>
          <w:lang w:val="en-US"/>
        </w:rPr>
        <w:t xml:space="preserve">). Membrane two was sectioned at 55 </w:t>
      </w:r>
      <w:proofErr w:type="spellStart"/>
      <w:r w:rsidRPr="00EF2E78">
        <w:rPr>
          <w:color w:val="000000" w:themeColor="text1"/>
          <w:sz w:val="20"/>
          <w:szCs w:val="20"/>
          <w:lang w:val="en-US"/>
        </w:rPr>
        <w:t>kDa</w:t>
      </w:r>
      <w:proofErr w:type="spellEnd"/>
      <w:r w:rsidRPr="00EF2E78">
        <w:rPr>
          <w:color w:val="000000" w:themeColor="text1"/>
          <w:sz w:val="20"/>
          <w:szCs w:val="20"/>
          <w:lang w:val="en-US"/>
        </w:rPr>
        <w:t xml:space="preserve"> for CAPZA2 (~36 </w:t>
      </w:r>
      <w:proofErr w:type="spellStart"/>
      <w:r w:rsidRPr="00EF2E78">
        <w:rPr>
          <w:color w:val="000000" w:themeColor="text1"/>
          <w:sz w:val="20"/>
          <w:szCs w:val="20"/>
          <w:lang w:val="en-US"/>
        </w:rPr>
        <w:t>kDa</w:t>
      </w:r>
      <w:proofErr w:type="spellEnd"/>
      <w:r w:rsidRPr="00EF2E78">
        <w:rPr>
          <w:color w:val="000000" w:themeColor="text1"/>
          <w:sz w:val="20"/>
          <w:szCs w:val="20"/>
          <w:lang w:val="en-US"/>
        </w:rPr>
        <w:t xml:space="preserve">) and PFKL (~78 </w:t>
      </w:r>
      <w:proofErr w:type="spellStart"/>
      <w:r w:rsidRPr="00EF2E78">
        <w:rPr>
          <w:color w:val="000000" w:themeColor="text1"/>
          <w:sz w:val="20"/>
          <w:szCs w:val="20"/>
          <w:lang w:val="en-US"/>
        </w:rPr>
        <w:t>kDa</w:t>
      </w:r>
      <w:proofErr w:type="spellEnd"/>
      <w:r w:rsidRPr="00EF2E78">
        <w:rPr>
          <w:color w:val="000000" w:themeColor="text1"/>
          <w:sz w:val="20"/>
          <w:szCs w:val="20"/>
          <w:lang w:val="en-US"/>
        </w:rPr>
        <w:t xml:space="preserve">). Membrane three at approximately 60 </w:t>
      </w:r>
      <w:proofErr w:type="spellStart"/>
      <w:r w:rsidRPr="00EF2E78">
        <w:rPr>
          <w:color w:val="000000" w:themeColor="text1"/>
          <w:sz w:val="20"/>
          <w:szCs w:val="20"/>
          <w:lang w:val="en-US"/>
        </w:rPr>
        <w:t>kDa</w:t>
      </w:r>
      <w:proofErr w:type="spellEnd"/>
      <w:r w:rsidRPr="00EF2E78">
        <w:rPr>
          <w:color w:val="000000" w:themeColor="text1"/>
          <w:sz w:val="20"/>
          <w:szCs w:val="20"/>
          <w:lang w:val="en-US"/>
        </w:rPr>
        <w:t xml:space="preserve"> to analyze HP (~45 </w:t>
      </w:r>
      <w:proofErr w:type="spellStart"/>
      <w:r w:rsidRPr="00EF2E78">
        <w:rPr>
          <w:color w:val="000000" w:themeColor="text1"/>
          <w:sz w:val="20"/>
          <w:szCs w:val="20"/>
          <w:lang w:val="en-US"/>
        </w:rPr>
        <w:t>kDa</w:t>
      </w:r>
      <w:proofErr w:type="spellEnd"/>
      <w:r w:rsidRPr="00EF2E78">
        <w:rPr>
          <w:color w:val="000000" w:themeColor="text1"/>
          <w:sz w:val="20"/>
          <w:szCs w:val="20"/>
          <w:lang w:val="en-US"/>
        </w:rPr>
        <w:t xml:space="preserve">) and ALDH16A1 (~85 </w:t>
      </w:r>
      <w:proofErr w:type="spellStart"/>
      <w:r w:rsidRPr="00EF2E78">
        <w:rPr>
          <w:color w:val="000000" w:themeColor="text1"/>
          <w:sz w:val="20"/>
          <w:szCs w:val="20"/>
          <w:lang w:val="en-US"/>
        </w:rPr>
        <w:t>kDa</w:t>
      </w:r>
      <w:proofErr w:type="spellEnd"/>
      <w:r w:rsidRPr="00EF2E78">
        <w:rPr>
          <w:color w:val="000000" w:themeColor="text1"/>
          <w:sz w:val="20"/>
          <w:szCs w:val="20"/>
          <w:lang w:val="en-US"/>
        </w:rPr>
        <w:t>).</w:t>
      </w:r>
    </w:p>
    <w:p w14:paraId="445BF703" w14:textId="4E4BAB8A" w:rsidR="00A27304" w:rsidRPr="00EF2E78" w:rsidRDefault="00000000" w:rsidP="003F75FB">
      <w:pPr>
        <w:spacing w:line="360" w:lineRule="auto"/>
        <w:jc w:val="both"/>
        <w:rPr>
          <w:color w:val="000000" w:themeColor="text1"/>
          <w:sz w:val="20"/>
          <w:szCs w:val="20"/>
          <w:lang w:val="en-US"/>
        </w:rPr>
      </w:pPr>
      <w:r w:rsidRPr="00EF2E78">
        <w:rPr>
          <w:b/>
          <w:color w:val="000000" w:themeColor="text1"/>
          <w:sz w:val="20"/>
          <w:szCs w:val="20"/>
          <w:lang w:val="en-US"/>
        </w:rPr>
        <w:t>d-</w:t>
      </w:r>
      <w:proofErr w:type="spellStart"/>
      <w:r w:rsidRPr="00EF2E78">
        <w:rPr>
          <w:b/>
          <w:color w:val="000000" w:themeColor="text1"/>
          <w:sz w:val="20"/>
          <w:szCs w:val="20"/>
          <w:lang w:val="en-US"/>
        </w:rPr>
        <w:t>i</w:t>
      </w:r>
      <w:proofErr w:type="spellEnd"/>
      <w:r w:rsidRPr="00EF2E78">
        <w:rPr>
          <w:color w:val="000000" w:themeColor="text1"/>
          <w:sz w:val="20"/>
          <w:szCs w:val="20"/>
          <w:lang w:val="en-US"/>
        </w:rPr>
        <w:t xml:space="preserve"> Full-length </w:t>
      </w:r>
      <w:r w:rsidR="00D1105A" w:rsidRPr="00EF2E78">
        <w:rPr>
          <w:color w:val="000000" w:themeColor="text1"/>
          <w:sz w:val="20"/>
          <w:szCs w:val="20"/>
          <w:lang w:val="en-US"/>
        </w:rPr>
        <w:t>W</w:t>
      </w:r>
      <w:r w:rsidRPr="00EF2E78">
        <w:rPr>
          <w:color w:val="000000" w:themeColor="text1"/>
          <w:sz w:val="20"/>
          <w:szCs w:val="20"/>
          <w:lang w:val="en-US"/>
        </w:rPr>
        <w:t xml:space="preserve">estern </w:t>
      </w:r>
      <w:r w:rsidR="006727CF" w:rsidRPr="00EF2E78">
        <w:rPr>
          <w:color w:val="000000" w:themeColor="text1"/>
          <w:sz w:val="20"/>
          <w:szCs w:val="20"/>
          <w:lang w:val="en-US"/>
        </w:rPr>
        <w:t>b</w:t>
      </w:r>
      <w:r w:rsidRPr="00EF2E78">
        <w:rPr>
          <w:color w:val="000000" w:themeColor="text1"/>
          <w:sz w:val="20"/>
          <w:szCs w:val="20"/>
          <w:lang w:val="en-US"/>
        </w:rPr>
        <w:t xml:space="preserve">lot of CRYM, CAPZA2, ALDH16A1, PFKL, SERPINC1, and HP. A protein ladder (pre-stained MW marker) is shown on the right. Specific bands were detected at an expected </w:t>
      </w:r>
      <w:r w:rsidRPr="00EF2E78">
        <w:rPr>
          <w:color w:val="000000" w:themeColor="text1"/>
          <w:sz w:val="20"/>
          <w:szCs w:val="20"/>
          <w:lang w:val="en-US"/>
        </w:rPr>
        <w:lastRenderedPageBreak/>
        <w:t xml:space="preserve">MW of approximately 37 </w:t>
      </w:r>
      <w:proofErr w:type="spellStart"/>
      <w:r w:rsidRPr="00EF2E78">
        <w:rPr>
          <w:color w:val="000000" w:themeColor="text1"/>
          <w:sz w:val="20"/>
          <w:szCs w:val="20"/>
          <w:lang w:val="en-US"/>
        </w:rPr>
        <w:t>kDa</w:t>
      </w:r>
      <w:proofErr w:type="spellEnd"/>
      <w:r w:rsidRPr="00EF2E78">
        <w:rPr>
          <w:color w:val="000000" w:themeColor="text1"/>
          <w:sz w:val="20"/>
          <w:szCs w:val="20"/>
          <w:lang w:val="en-US"/>
        </w:rPr>
        <w:t xml:space="preserve"> for CRYM, 36 </w:t>
      </w:r>
      <w:proofErr w:type="spellStart"/>
      <w:r w:rsidRPr="00EF2E78">
        <w:rPr>
          <w:color w:val="000000" w:themeColor="text1"/>
          <w:sz w:val="20"/>
          <w:szCs w:val="20"/>
          <w:lang w:val="en-US"/>
        </w:rPr>
        <w:t>kDa</w:t>
      </w:r>
      <w:proofErr w:type="spellEnd"/>
      <w:r w:rsidRPr="00EF2E78">
        <w:rPr>
          <w:color w:val="000000" w:themeColor="text1"/>
          <w:sz w:val="20"/>
          <w:szCs w:val="20"/>
          <w:lang w:val="en-US"/>
        </w:rPr>
        <w:t xml:space="preserve"> for CAPZA2, 85 </w:t>
      </w:r>
      <w:proofErr w:type="spellStart"/>
      <w:r w:rsidRPr="00EF2E78">
        <w:rPr>
          <w:color w:val="000000" w:themeColor="text1"/>
          <w:sz w:val="20"/>
          <w:szCs w:val="20"/>
          <w:lang w:val="en-US"/>
        </w:rPr>
        <w:t>kD</w:t>
      </w:r>
      <w:r w:rsidR="00D65D10" w:rsidRPr="00EF2E78">
        <w:rPr>
          <w:color w:val="000000" w:themeColor="text1"/>
          <w:sz w:val="20"/>
          <w:szCs w:val="20"/>
          <w:lang w:val="en-US"/>
        </w:rPr>
        <w:t>a</w:t>
      </w:r>
      <w:proofErr w:type="spellEnd"/>
      <w:r w:rsidRPr="00EF2E78">
        <w:rPr>
          <w:color w:val="000000" w:themeColor="text1"/>
          <w:sz w:val="20"/>
          <w:szCs w:val="20"/>
          <w:lang w:val="en-US"/>
        </w:rPr>
        <w:t xml:space="preserve"> for ALDH16A1, 78 </w:t>
      </w:r>
      <w:proofErr w:type="spellStart"/>
      <w:r w:rsidRPr="00EF2E78">
        <w:rPr>
          <w:color w:val="000000" w:themeColor="text1"/>
          <w:sz w:val="20"/>
          <w:szCs w:val="20"/>
          <w:lang w:val="en-US"/>
        </w:rPr>
        <w:t>kDa</w:t>
      </w:r>
      <w:proofErr w:type="spellEnd"/>
      <w:r w:rsidRPr="00EF2E78">
        <w:rPr>
          <w:color w:val="000000" w:themeColor="text1"/>
          <w:sz w:val="20"/>
          <w:szCs w:val="20"/>
          <w:lang w:val="en-US"/>
        </w:rPr>
        <w:t xml:space="preserve"> for PFKL, 55 </w:t>
      </w:r>
      <w:proofErr w:type="spellStart"/>
      <w:r w:rsidRPr="00EF2E78">
        <w:rPr>
          <w:color w:val="000000" w:themeColor="text1"/>
          <w:sz w:val="20"/>
          <w:szCs w:val="20"/>
          <w:lang w:val="en-US"/>
        </w:rPr>
        <w:t>kD</w:t>
      </w:r>
      <w:r w:rsidR="00D65D10" w:rsidRPr="00EF2E78">
        <w:rPr>
          <w:color w:val="000000" w:themeColor="text1"/>
          <w:sz w:val="20"/>
          <w:szCs w:val="20"/>
          <w:lang w:val="en-US"/>
        </w:rPr>
        <w:t>a</w:t>
      </w:r>
      <w:proofErr w:type="spellEnd"/>
      <w:r w:rsidRPr="00EF2E78">
        <w:rPr>
          <w:color w:val="000000" w:themeColor="text1"/>
          <w:sz w:val="20"/>
          <w:szCs w:val="20"/>
          <w:lang w:val="en-US"/>
        </w:rPr>
        <w:t xml:space="preserve"> for SERPINC1, and 45 </w:t>
      </w:r>
      <w:proofErr w:type="spellStart"/>
      <w:r w:rsidRPr="00EF2E78">
        <w:rPr>
          <w:color w:val="000000" w:themeColor="text1"/>
          <w:sz w:val="20"/>
          <w:szCs w:val="20"/>
          <w:lang w:val="en-US"/>
        </w:rPr>
        <w:t>kDa</w:t>
      </w:r>
      <w:proofErr w:type="spellEnd"/>
      <w:r w:rsidRPr="00EF2E78">
        <w:rPr>
          <w:color w:val="000000" w:themeColor="text1"/>
          <w:sz w:val="20"/>
          <w:szCs w:val="20"/>
          <w:lang w:val="en-US"/>
        </w:rPr>
        <w:t xml:space="preserve"> for HP.</w:t>
      </w:r>
    </w:p>
    <w:p w14:paraId="2D750E5D" w14:textId="4B612E79" w:rsidR="00A27304" w:rsidRPr="00EF2E78" w:rsidRDefault="00000000" w:rsidP="003F75FB">
      <w:pPr>
        <w:spacing w:line="360" w:lineRule="auto"/>
        <w:jc w:val="both"/>
        <w:rPr>
          <w:color w:val="000000" w:themeColor="text1"/>
          <w:sz w:val="20"/>
          <w:szCs w:val="20"/>
          <w:lang w:val="en-US"/>
        </w:rPr>
      </w:pPr>
      <w:r w:rsidRPr="00EF2E78">
        <w:rPr>
          <w:b/>
          <w:color w:val="000000" w:themeColor="text1"/>
          <w:sz w:val="20"/>
          <w:szCs w:val="20"/>
          <w:lang w:val="en-US"/>
        </w:rPr>
        <w:t>Abbreviations:</w:t>
      </w:r>
      <w:r w:rsidRPr="00EF2E78">
        <w:rPr>
          <w:color w:val="000000" w:themeColor="text1"/>
          <w:sz w:val="20"/>
          <w:szCs w:val="20"/>
          <w:lang w:val="en-US"/>
        </w:rPr>
        <w:t xml:space="preserve"> ALS, Amyotrophic lateral sclerosis; CRYM, </w:t>
      </w:r>
      <w:r w:rsidR="008923B6" w:rsidRPr="00EF2E78">
        <w:rPr>
          <w:color w:val="000000" w:themeColor="text1"/>
          <w:sz w:val="20"/>
          <w:szCs w:val="20"/>
          <w:lang w:val="en-US"/>
        </w:rPr>
        <w:t>mu</w:t>
      </w:r>
      <w:r w:rsidRPr="00EF2E78">
        <w:rPr>
          <w:color w:val="000000" w:themeColor="text1"/>
          <w:sz w:val="20"/>
          <w:szCs w:val="20"/>
          <w:lang w:val="en-US"/>
        </w:rPr>
        <w:t>-crystallin; CAPZA2, f-actin-capping protein subunit alpha-2; ALDH16A1, aldehyde dehydrogenase family 16 member A1; PFKL, phosphofructokinase, liver type; SERPINC1, antithrombin-III; HP, haptoglobin, MW, molecular weight.</w:t>
      </w:r>
    </w:p>
    <w:p w14:paraId="3E2FD842" w14:textId="2CCB6433" w:rsidR="003F75FB" w:rsidRPr="00EF2E78" w:rsidRDefault="003F75FB" w:rsidP="003F75FB">
      <w:pPr>
        <w:pStyle w:val="Heading5"/>
        <w:spacing w:line="360" w:lineRule="auto"/>
        <w:jc w:val="both"/>
        <w:rPr>
          <w:b/>
          <w:color w:val="000000" w:themeColor="text1"/>
          <w:sz w:val="20"/>
          <w:szCs w:val="20"/>
          <w:lang w:val="en-US"/>
        </w:rPr>
      </w:pPr>
      <w:bookmarkStart w:id="12" w:name="_40jzwyaagswc" w:colFirst="0" w:colLast="0"/>
      <w:bookmarkEnd w:id="12"/>
      <w:r w:rsidRPr="00EF2E78">
        <w:rPr>
          <w:b/>
          <w:noProof/>
          <w:color w:val="000000" w:themeColor="text1"/>
          <w:sz w:val="20"/>
          <w:szCs w:val="20"/>
          <w:lang w:val="en-US"/>
        </w:rPr>
        <w:lastRenderedPageBreak/>
        <w:drawing>
          <wp:inline distT="0" distB="0" distL="0" distR="0" wp14:anchorId="11CFC5B5" wp14:editId="5AB2C63F">
            <wp:extent cx="5733415" cy="7400925"/>
            <wp:effectExtent l="0" t="0" r="0" b="3175"/>
            <wp:docPr id="650611501" name="Picture 2" descr="A table of test resul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611501" name="Picture 2" descr="A table of test results&#10;&#10;AI-generated content may be incorrect."/>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33415" cy="7400925"/>
                    </a:xfrm>
                    <a:prstGeom prst="rect">
                      <a:avLst/>
                    </a:prstGeom>
                  </pic:spPr>
                </pic:pic>
              </a:graphicData>
            </a:graphic>
          </wp:inline>
        </w:drawing>
      </w:r>
    </w:p>
    <w:p w14:paraId="7EB4E2FE" w14:textId="65AA926E" w:rsidR="00A27304" w:rsidRPr="00EF2E78" w:rsidRDefault="00F25433" w:rsidP="00F25433">
      <w:pPr>
        <w:pStyle w:val="Heading2"/>
      </w:pPr>
      <w:bookmarkStart w:id="13" w:name="_Toc204006049"/>
      <w:r w:rsidRPr="00EF2E78">
        <w:t xml:space="preserve">Supplementary Figure S2: Western </w:t>
      </w:r>
      <w:r w:rsidR="006727CF" w:rsidRPr="00EF2E78">
        <w:t>b</w:t>
      </w:r>
      <w:r w:rsidRPr="00EF2E78">
        <w:t>lot</w:t>
      </w:r>
      <w:r w:rsidR="00D65D10" w:rsidRPr="00EF2E78">
        <w:t>s</w:t>
      </w:r>
      <w:r w:rsidRPr="00EF2E78">
        <w:t xml:space="preserve"> validating the identified tear fluid six-protein signature in all ALS and control samples.</w:t>
      </w:r>
      <w:bookmarkEnd w:id="13"/>
    </w:p>
    <w:p w14:paraId="7C7528F9" w14:textId="721BBCBF" w:rsidR="00A27304" w:rsidRPr="00EF2E78" w:rsidRDefault="00000000" w:rsidP="003F75FB">
      <w:pPr>
        <w:spacing w:line="360" w:lineRule="auto"/>
        <w:jc w:val="both"/>
        <w:rPr>
          <w:color w:val="000000" w:themeColor="text1"/>
          <w:sz w:val="20"/>
          <w:szCs w:val="20"/>
          <w:lang w:val="en-US"/>
        </w:rPr>
      </w:pPr>
      <w:r w:rsidRPr="00EF2E78">
        <w:rPr>
          <w:b/>
          <w:color w:val="000000" w:themeColor="text1"/>
          <w:sz w:val="20"/>
          <w:szCs w:val="20"/>
          <w:lang w:val="en-US"/>
        </w:rPr>
        <w:t xml:space="preserve">a-m </w:t>
      </w:r>
      <w:r w:rsidRPr="00EF2E78">
        <w:rPr>
          <w:color w:val="000000" w:themeColor="text1"/>
          <w:sz w:val="20"/>
          <w:szCs w:val="20"/>
          <w:lang w:val="en-US"/>
        </w:rPr>
        <w:t xml:space="preserve">Compilation of all </w:t>
      </w:r>
      <w:r w:rsidR="00D1105A" w:rsidRPr="00EF2E78">
        <w:rPr>
          <w:color w:val="000000" w:themeColor="text1"/>
          <w:sz w:val="20"/>
          <w:szCs w:val="20"/>
          <w:lang w:val="en-US"/>
        </w:rPr>
        <w:t>W</w:t>
      </w:r>
      <w:r w:rsidRPr="00EF2E78">
        <w:rPr>
          <w:color w:val="000000" w:themeColor="text1"/>
          <w:sz w:val="20"/>
          <w:szCs w:val="20"/>
          <w:lang w:val="en-US"/>
        </w:rPr>
        <w:t xml:space="preserve">estern </w:t>
      </w:r>
      <w:r w:rsidR="006727CF" w:rsidRPr="00EF2E78">
        <w:rPr>
          <w:color w:val="000000" w:themeColor="text1"/>
          <w:sz w:val="20"/>
          <w:szCs w:val="20"/>
          <w:lang w:val="en-US"/>
        </w:rPr>
        <w:t>b</w:t>
      </w:r>
      <w:r w:rsidRPr="00EF2E78">
        <w:rPr>
          <w:color w:val="000000" w:themeColor="text1"/>
          <w:sz w:val="20"/>
          <w:szCs w:val="20"/>
          <w:lang w:val="en-US"/>
        </w:rPr>
        <w:t>lot membranes for the validation of the six-protein signature in ALS patients (</w:t>
      </w:r>
      <w:r w:rsidRPr="00EF2E78">
        <w:rPr>
          <w:i/>
          <w:color w:val="000000" w:themeColor="text1"/>
          <w:sz w:val="20"/>
          <w:szCs w:val="20"/>
          <w:lang w:val="en-US"/>
        </w:rPr>
        <w:t>n</w:t>
      </w:r>
      <w:r w:rsidRPr="00EF2E78">
        <w:rPr>
          <w:color w:val="000000" w:themeColor="text1"/>
          <w:sz w:val="20"/>
          <w:szCs w:val="20"/>
          <w:lang w:val="en-US"/>
        </w:rPr>
        <w:t xml:space="preserve"> = 51) and controls (</w:t>
      </w:r>
      <w:r w:rsidRPr="00EF2E78">
        <w:rPr>
          <w:i/>
          <w:color w:val="000000" w:themeColor="text1"/>
          <w:sz w:val="20"/>
          <w:szCs w:val="20"/>
          <w:lang w:val="en-US"/>
        </w:rPr>
        <w:t>n</w:t>
      </w:r>
      <w:r w:rsidRPr="00EF2E78">
        <w:rPr>
          <w:color w:val="000000" w:themeColor="text1"/>
          <w:sz w:val="20"/>
          <w:szCs w:val="20"/>
          <w:lang w:val="en-US"/>
        </w:rPr>
        <w:t xml:space="preserve"> = 51). Each sample was loaded in triplicates for the detection of the </w:t>
      </w:r>
      <w:r w:rsidRPr="00EF2E78">
        <w:rPr>
          <w:color w:val="000000" w:themeColor="text1"/>
          <w:sz w:val="20"/>
          <w:szCs w:val="20"/>
          <w:lang w:val="en-US"/>
        </w:rPr>
        <w:lastRenderedPageBreak/>
        <w:t>six proteins. A pooled TF standard (S) served as normalization. For protein detection, membranes were sectioned at specific molecular weights as indicated by the marker (M) (</w:t>
      </w:r>
      <w:r w:rsidRPr="00EF2E78">
        <w:rPr>
          <w:b/>
          <w:color w:val="000000" w:themeColor="text1"/>
          <w:sz w:val="20"/>
          <w:szCs w:val="20"/>
          <w:lang w:val="en-US"/>
        </w:rPr>
        <w:t>Figure S1 a-</w:t>
      </w:r>
      <w:proofErr w:type="spellStart"/>
      <w:r w:rsidRPr="00EF2E78">
        <w:rPr>
          <w:b/>
          <w:color w:val="000000" w:themeColor="text1"/>
          <w:sz w:val="20"/>
          <w:szCs w:val="20"/>
          <w:lang w:val="en-US"/>
        </w:rPr>
        <w:t>i</w:t>
      </w:r>
      <w:proofErr w:type="spellEnd"/>
      <w:r w:rsidRPr="00EF2E78">
        <w:rPr>
          <w:color w:val="000000" w:themeColor="text1"/>
          <w:sz w:val="20"/>
          <w:szCs w:val="20"/>
          <w:lang w:val="en-US"/>
        </w:rPr>
        <w:t xml:space="preserve">). </w:t>
      </w:r>
    </w:p>
    <w:p w14:paraId="4954F903" w14:textId="322AD5C0" w:rsidR="003F75FB" w:rsidRPr="00EF2E78" w:rsidRDefault="00000000" w:rsidP="003F75FB">
      <w:pPr>
        <w:spacing w:line="360" w:lineRule="auto"/>
        <w:jc w:val="both"/>
        <w:rPr>
          <w:color w:val="000000" w:themeColor="text1"/>
          <w:sz w:val="20"/>
          <w:szCs w:val="20"/>
          <w:lang w:val="en-US"/>
        </w:rPr>
      </w:pPr>
      <w:r w:rsidRPr="00EF2E78">
        <w:rPr>
          <w:b/>
          <w:color w:val="000000" w:themeColor="text1"/>
          <w:sz w:val="20"/>
          <w:szCs w:val="20"/>
          <w:lang w:val="en-US"/>
        </w:rPr>
        <w:t>Abbreviations:</w:t>
      </w:r>
      <w:r w:rsidRPr="00EF2E78">
        <w:rPr>
          <w:color w:val="000000" w:themeColor="text1"/>
          <w:sz w:val="20"/>
          <w:szCs w:val="20"/>
          <w:lang w:val="en-US"/>
        </w:rPr>
        <w:t xml:space="preserve"> TF, tear fluid; ALS, Amyotrophic lateral sclerosis; S, standard; M, marker; CRYM, </w:t>
      </w:r>
      <w:r w:rsidR="008923B6" w:rsidRPr="00EF2E78">
        <w:rPr>
          <w:color w:val="000000" w:themeColor="text1"/>
          <w:sz w:val="20"/>
          <w:szCs w:val="20"/>
          <w:lang w:val="en-US"/>
        </w:rPr>
        <w:t>mu</w:t>
      </w:r>
      <w:r w:rsidRPr="00EF2E78">
        <w:rPr>
          <w:color w:val="000000" w:themeColor="text1"/>
          <w:sz w:val="20"/>
          <w:szCs w:val="20"/>
          <w:lang w:val="en-US"/>
        </w:rPr>
        <w:t>-crystallin; CAPZA2, f-actin-capping protein subunit alpha-2; ALDH16A1, aldehyde dehydrogenase family 16 member A1; PFKL, phosphofructokinase, liver type; SERPINC1, antithrombin-III; HP, haptoglobin.</w:t>
      </w:r>
    </w:p>
    <w:p w14:paraId="5A600EF6" w14:textId="6FC59971" w:rsidR="00A27304" w:rsidRPr="00EF2E78" w:rsidRDefault="003F75FB" w:rsidP="00F25433">
      <w:pPr>
        <w:rPr>
          <w:color w:val="000000" w:themeColor="text1"/>
          <w:sz w:val="20"/>
          <w:szCs w:val="20"/>
          <w:lang w:val="en-US"/>
        </w:rPr>
      </w:pPr>
      <w:r w:rsidRPr="00EF2E78">
        <w:rPr>
          <w:color w:val="000000" w:themeColor="text1"/>
          <w:sz w:val="20"/>
          <w:szCs w:val="20"/>
          <w:lang w:val="en-US"/>
        </w:rPr>
        <w:br w:type="page"/>
      </w:r>
    </w:p>
    <w:p w14:paraId="158756C0" w14:textId="5DF8D9BE" w:rsidR="003F75FB" w:rsidRPr="00EF2E78" w:rsidRDefault="003F75FB" w:rsidP="003F75FB">
      <w:pPr>
        <w:pStyle w:val="Heading5"/>
        <w:spacing w:line="360" w:lineRule="auto"/>
        <w:jc w:val="both"/>
        <w:rPr>
          <w:b/>
          <w:color w:val="000000" w:themeColor="text1"/>
          <w:sz w:val="20"/>
          <w:szCs w:val="20"/>
          <w:lang w:val="en-US"/>
        </w:rPr>
      </w:pPr>
      <w:bookmarkStart w:id="14" w:name="_4hia1fjj3xez" w:colFirst="0" w:colLast="0"/>
      <w:bookmarkEnd w:id="14"/>
      <w:r w:rsidRPr="00EF2E78">
        <w:rPr>
          <w:b/>
          <w:noProof/>
          <w:color w:val="000000" w:themeColor="text1"/>
          <w:sz w:val="20"/>
          <w:szCs w:val="20"/>
          <w:lang w:val="en-US"/>
        </w:rPr>
        <w:lastRenderedPageBreak/>
        <w:drawing>
          <wp:inline distT="0" distB="0" distL="0" distR="0" wp14:anchorId="2EC64024" wp14:editId="47BA8CA7">
            <wp:extent cx="3987800" cy="2904067"/>
            <wp:effectExtent l="0" t="0" r="0" b="4445"/>
            <wp:docPr id="101255689" name="Picture 3"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55689" name="Picture 3" descr="A screenshot of a computer screen&#10;&#10;AI-generated content may be incorrect."/>
                    <pic:cNvPicPr/>
                  </pic:nvPicPr>
                  <pic:blipFill rotWithShape="1">
                    <a:blip r:embed="rId10" cstate="print">
                      <a:extLst>
                        <a:ext uri="{28A0092B-C50C-407E-A947-70E740481C1C}">
                          <a14:useLocalDpi xmlns:a14="http://schemas.microsoft.com/office/drawing/2010/main" val="0"/>
                        </a:ext>
                      </a:extLst>
                    </a:blip>
                    <a:srcRect r="30446" b="60761"/>
                    <a:stretch/>
                  </pic:blipFill>
                  <pic:spPr bwMode="auto">
                    <a:xfrm>
                      <a:off x="0" y="0"/>
                      <a:ext cx="3987800" cy="2904067"/>
                    </a:xfrm>
                    <a:prstGeom prst="rect">
                      <a:avLst/>
                    </a:prstGeom>
                    <a:ln>
                      <a:noFill/>
                    </a:ln>
                    <a:extLst>
                      <a:ext uri="{53640926-AAD7-44D8-BBD7-CCE9431645EC}">
                        <a14:shadowObscured xmlns:a14="http://schemas.microsoft.com/office/drawing/2010/main"/>
                      </a:ext>
                    </a:extLst>
                  </pic:spPr>
                </pic:pic>
              </a:graphicData>
            </a:graphic>
          </wp:inline>
        </w:drawing>
      </w:r>
    </w:p>
    <w:p w14:paraId="5BE1CD64" w14:textId="0C3FD0B9" w:rsidR="00A27304" w:rsidRPr="00EF2E78" w:rsidRDefault="00F25433" w:rsidP="00F25433">
      <w:pPr>
        <w:pStyle w:val="Heading2"/>
      </w:pPr>
      <w:bookmarkStart w:id="15" w:name="_Toc204006050"/>
      <w:r w:rsidRPr="00EF2E78">
        <w:t>Supplementary Figure S3: Heatmap of the normalized tear fluid protein expression for the discovery cohort in relation to demographic and clinical features.</w:t>
      </w:r>
      <w:bookmarkEnd w:id="15"/>
    </w:p>
    <w:p w14:paraId="78DDE445" w14:textId="119B7789" w:rsidR="00A27304" w:rsidRPr="00EF2E78" w:rsidRDefault="00000000" w:rsidP="003F75FB">
      <w:pPr>
        <w:spacing w:line="360" w:lineRule="auto"/>
        <w:jc w:val="both"/>
        <w:rPr>
          <w:color w:val="000000" w:themeColor="text1"/>
          <w:sz w:val="20"/>
          <w:szCs w:val="20"/>
          <w:lang w:val="en-US"/>
        </w:rPr>
      </w:pPr>
      <w:r w:rsidRPr="00EF2E78">
        <w:rPr>
          <w:color w:val="000000" w:themeColor="text1"/>
          <w:sz w:val="20"/>
          <w:szCs w:val="20"/>
          <w:lang w:val="en-US"/>
        </w:rPr>
        <w:t xml:space="preserve">Heatmap of normalized TF protein </w:t>
      </w:r>
      <w:r w:rsidR="008923B6" w:rsidRPr="00EF2E78">
        <w:rPr>
          <w:color w:val="000000" w:themeColor="text1"/>
          <w:sz w:val="20"/>
          <w:szCs w:val="20"/>
          <w:lang w:val="en-US"/>
        </w:rPr>
        <w:t>abundance</w:t>
      </w:r>
      <w:r w:rsidRPr="00EF2E78">
        <w:rPr>
          <w:color w:val="000000" w:themeColor="text1"/>
          <w:sz w:val="20"/>
          <w:szCs w:val="20"/>
          <w:lang w:val="en-US"/>
        </w:rPr>
        <w:t xml:space="preserve"> in the discovery cohort, with unsupervised hierarchical clustering of 876 proteins. Rows represent proteins, and columns represent samples. Clinical features, including sex, age [years], onset, progression rate, CSF </w:t>
      </w:r>
      <w:proofErr w:type="spellStart"/>
      <w:r w:rsidRPr="00EF2E78">
        <w:rPr>
          <w:color w:val="000000" w:themeColor="text1"/>
          <w:sz w:val="20"/>
          <w:szCs w:val="20"/>
          <w:lang w:val="en-US"/>
        </w:rPr>
        <w:t>pNfH</w:t>
      </w:r>
      <w:proofErr w:type="spellEnd"/>
      <w:r w:rsidRPr="00EF2E78">
        <w:rPr>
          <w:color w:val="000000" w:themeColor="text1"/>
          <w:sz w:val="20"/>
          <w:szCs w:val="20"/>
          <w:lang w:val="en-US"/>
        </w:rPr>
        <w:t xml:space="preserve"> levels [</w:t>
      </w:r>
      <w:proofErr w:type="spellStart"/>
      <w:r w:rsidRPr="00EF2E78">
        <w:rPr>
          <w:color w:val="000000" w:themeColor="text1"/>
          <w:sz w:val="20"/>
          <w:szCs w:val="20"/>
          <w:lang w:val="en-US"/>
        </w:rPr>
        <w:t>pg</w:t>
      </w:r>
      <w:proofErr w:type="spellEnd"/>
      <w:r w:rsidRPr="00EF2E78">
        <w:rPr>
          <w:color w:val="000000" w:themeColor="text1"/>
          <w:sz w:val="20"/>
          <w:szCs w:val="20"/>
          <w:lang w:val="en-US"/>
        </w:rPr>
        <w:t xml:space="preserve">/mL], and FVC [%], are annotated. Data are sorted for similar protein </w:t>
      </w:r>
      <w:r w:rsidR="008923B6" w:rsidRPr="00EF2E78">
        <w:rPr>
          <w:color w:val="000000" w:themeColor="text1"/>
          <w:sz w:val="20"/>
          <w:szCs w:val="20"/>
          <w:lang w:val="en-US"/>
        </w:rPr>
        <w:t>abundance</w:t>
      </w:r>
      <w:r w:rsidRPr="00EF2E78">
        <w:rPr>
          <w:color w:val="000000" w:themeColor="text1"/>
          <w:sz w:val="20"/>
          <w:szCs w:val="20"/>
          <w:lang w:val="en-US"/>
        </w:rPr>
        <w:t xml:space="preserve"> patterns. </w:t>
      </w:r>
      <w:r w:rsidRPr="00EF2E78">
        <w:rPr>
          <w:color w:val="000000" w:themeColor="text1"/>
          <w:sz w:val="20"/>
          <w:szCs w:val="20"/>
          <w:lang w:val="en-US"/>
        </w:rPr>
        <w:br/>
      </w:r>
      <w:r w:rsidRPr="00EF2E78">
        <w:rPr>
          <w:b/>
          <w:bCs/>
          <w:color w:val="000000" w:themeColor="text1"/>
          <w:sz w:val="20"/>
          <w:szCs w:val="20"/>
          <w:lang w:val="en-US"/>
        </w:rPr>
        <w:t>Abbreviations:</w:t>
      </w:r>
      <w:r w:rsidRPr="00EF2E78">
        <w:rPr>
          <w:color w:val="000000" w:themeColor="text1"/>
          <w:sz w:val="20"/>
          <w:szCs w:val="20"/>
          <w:lang w:val="en-US"/>
        </w:rPr>
        <w:t xml:space="preserve"> TF, tear fluid; ALS, Amyotrophic lateral sclerosis; CSF, cerebrospinal fluid; </w:t>
      </w:r>
      <w:proofErr w:type="spellStart"/>
      <w:r w:rsidRPr="00EF2E78">
        <w:rPr>
          <w:color w:val="000000" w:themeColor="text1"/>
          <w:sz w:val="20"/>
          <w:szCs w:val="20"/>
          <w:lang w:val="en-US"/>
        </w:rPr>
        <w:t>pNfH</w:t>
      </w:r>
      <w:proofErr w:type="spellEnd"/>
      <w:r w:rsidRPr="00EF2E78">
        <w:rPr>
          <w:color w:val="000000" w:themeColor="text1"/>
          <w:sz w:val="20"/>
          <w:szCs w:val="20"/>
          <w:lang w:val="en-US"/>
        </w:rPr>
        <w:t xml:space="preserve">, phosphorylated neurofilament heavy chain; FVC, forced vital capacity; NA, not applicable. </w:t>
      </w:r>
    </w:p>
    <w:p w14:paraId="38F75D99" w14:textId="4FD91BF5" w:rsidR="003F75FB" w:rsidRPr="00EF2E78" w:rsidRDefault="003F75FB" w:rsidP="003F75FB">
      <w:pPr>
        <w:pStyle w:val="Heading5"/>
        <w:spacing w:line="360" w:lineRule="auto"/>
        <w:jc w:val="both"/>
        <w:rPr>
          <w:b/>
          <w:color w:val="000000" w:themeColor="text1"/>
          <w:sz w:val="20"/>
          <w:szCs w:val="20"/>
          <w:lang w:val="en-US"/>
        </w:rPr>
      </w:pPr>
      <w:bookmarkStart w:id="16" w:name="_mkapyifoyf2n" w:colFirst="0" w:colLast="0"/>
      <w:bookmarkEnd w:id="16"/>
      <w:r w:rsidRPr="00EF2E78">
        <w:rPr>
          <w:b/>
          <w:noProof/>
          <w:color w:val="000000" w:themeColor="text1"/>
          <w:sz w:val="20"/>
          <w:szCs w:val="20"/>
          <w:lang w:val="en-US"/>
        </w:rPr>
        <w:lastRenderedPageBreak/>
        <w:drawing>
          <wp:inline distT="0" distB="0" distL="0" distR="0" wp14:anchorId="57125ABF" wp14:editId="7F67AF3C">
            <wp:extent cx="5733415" cy="3022600"/>
            <wp:effectExtent l="0" t="0" r="0" b="0"/>
            <wp:docPr id="1443629474" name="Picture 4" descr="A screen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629474" name="Picture 4" descr="A screenshot of a diagram&#10;&#10;AI-generated content may be incorrect."/>
                    <pic:cNvPicPr/>
                  </pic:nvPicPr>
                  <pic:blipFill rotWithShape="1">
                    <a:blip r:embed="rId11" cstate="print">
                      <a:extLst>
                        <a:ext uri="{28A0092B-C50C-407E-A947-70E740481C1C}">
                          <a14:useLocalDpi xmlns:a14="http://schemas.microsoft.com/office/drawing/2010/main" val="0"/>
                        </a:ext>
                      </a:extLst>
                    </a:blip>
                    <a:srcRect b="59159"/>
                    <a:stretch/>
                  </pic:blipFill>
                  <pic:spPr bwMode="auto">
                    <a:xfrm>
                      <a:off x="0" y="0"/>
                      <a:ext cx="5733415" cy="3022600"/>
                    </a:xfrm>
                    <a:prstGeom prst="rect">
                      <a:avLst/>
                    </a:prstGeom>
                    <a:ln>
                      <a:noFill/>
                    </a:ln>
                    <a:extLst>
                      <a:ext uri="{53640926-AAD7-44D8-BBD7-CCE9431645EC}">
                        <a14:shadowObscured xmlns:a14="http://schemas.microsoft.com/office/drawing/2010/main"/>
                      </a:ext>
                    </a:extLst>
                  </pic:spPr>
                </pic:pic>
              </a:graphicData>
            </a:graphic>
          </wp:inline>
        </w:drawing>
      </w:r>
    </w:p>
    <w:p w14:paraId="738B26EC" w14:textId="08BB0C49" w:rsidR="00A27304" w:rsidRPr="00EF2E78" w:rsidRDefault="00F25433" w:rsidP="00F25433">
      <w:pPr>
        <w:pStyle w:val="Heading2"/>
      </w:pPr>
      <w:bookmarkStart w:id="17" w:name="_Toc204006051"/>
      <w:r w:rsidRPr="00EF2E78">
        <w:t>Supplementary Figure S4: UMAPs of normalized tear fluid protein expression of all samples from the discovery cohort.</w:t>
      </w:r>
      <w:bookmarkEnd w:id="17"/>
      <w:r w:rsidRPr="00EF2E78">
        <w:t xml:space="preserve"> </w:t>
      </w:r>
    </w:p>
    <w:p w14:paraId="3C610F51" w14:textId="4ECD4FCD" w:rsidR="00A27304" w:rsidRPr="00EF2E78" w:rsidRDefault="00000000" w:rsidP="003F75FB">
      <w:pPr>
        <w:spacing w:line="360" w:lineRule="auto"/>
        <w:jc w:val="both"/>
        <w:rPr>
          <w:color w:val="000000" w:themeColor="text1"/>
          <w:sz w:val="20"/>
          <w:szCs w:val="20"/>
          <w:lang w:val="en-US"/>
        </w:rPr>
      </w:pPr>
      <w:r w:rsidRPr="00EF2E78">
        <w:rPr>
          <w:b/>
          <w:color w:val="000000" w:themeColor="text1"/>
          <w:sz w:val="20"/>
          <w:szCs w:val="20"/>
          <w:lang w:val="en-US"/>
        </w:rPr>
        <w:t>a-e</w:t>
      </w:r>
      <w:r w:rsidRPr="00EF2E78">
        <w:rPr>
          <w:color w:val="000000" w:themeColor="text1"/>
          <w:sz w:val="20"/>
          <w:szCs w:val="20"/>
          <w:lang w:val="en-US"/>
        </w:rPr>
        <w:t xml:space="preserve"> </w:t>
      </w:r>
      <w:r w:rsidR="003C72DB" w:rsidRPr="00EF2E78">
        <w:rPr>
          <w:color w:val="000000" w:themeColor="text1"/>
          <w:sz w:val="20"/>
          <w:szCs w:val="20"/>
          <w:lang w:val="en-US"/>
        </w:rPr>
        <w:t xml:space="preserve">Circle </w:t>
      </w:r>
      <w:r w:rsidRPr="00EF2E78">
        <w:rPr>
          <w:color w:val="000000" w:themeColor="text1"/>
          <w:sz w:val="20"/>
          <w:szCs w:val="20"/>
          <w:lang w:val="en-US"/>
        </w:rPr>
        <w:t>colors represent the group (ALS and controls), sex, age [years], presence of eye disease, and use of topical eye substances. Principal components 1 (V1) and 2 (V2) are mapped to x- and y-axis, respectively.</w:t>
      </w:r>
    </w:p>
    <w:p w14:paraId="19A1AEE2" w14:textId="7AE1DA6D" w:rsidR="00A27304" w:rsidRPr="00EF2E78" w:rsidRDefault="00000000" w:rsidP="003F75FB">
      <w:pPr>
        <w:spacing w:line="360" w:lineRule="auto"/>
        <w:jc w:val="both"/>
        <w:rPr>
          <w:color w:val="000000" w:themeColor="text1"/>
          <w:sz w:val="20"/>
          <w:szCs w:val="20"/>
          <w:lang w:val="en-US"/>
        </w:rPr>
      </w:pPr>
      <w:r w:rsidRPr="00EF2E78">
        <w:rPr>
          <w:b/>
          <w:color w:val="000000" w:themeColor="text1"/>
          <w:sz w:val="20"/>
          <w:szCs w:val="20"/>
          <w:lang w:val="en-US"/>
        </w:rPr>
        <w:t>Abbreviations:</w:t>
      </w:r>
      <w:r w:rsidRPr="00EF2E78">
        <w:rPr>
          <w:color w:val="000000" w:themeColor="text1"/>
          <w:sz w:val="20"/>
          <w:szCs w:val="20"/>
          <w:lang w:val="en-US"/>
        </w:rPr>
        <w:t xml:space="preserve"> UMAP, uniform manifold approximation and projection; TF, tear fluid; ALS, Amyotrophic lateral sclerosis; NA, not applicable. </w:t>
      </w:r>
    </w:p>
    <w:p w14:paraId="5F0713F2" w14:textId="0788E3F9" w:rsidR="003F75FB" w:rsidRPr="00EF2E78" w:rsidRDefault="003F75FB" w:rsidP="003F75FB">
      <w:pPr>
        <w:pStyle w:val="Heading5"/>
        <w:spacing w:line="360" w:lineRule="auto"/>
        <w:jc w:val="both"/>
        <w:rPr>
          <w:b/>
          <w:color w:val="000000" w:themeColor="text1"/>
          <w:sz w:val="20"/>
          <w:szCs w:val="20"/>
          <w:lang w:val="en-US"/>
        </w:rPr>
      </w:pPr>
      <w:bookmarkStart w:id="18" w:name="_5rlzbbfdwvkd" w:colFirst="0" w:colLast="0"/>
      <w:bookmarkEnd w:id="18"/>
      <w:r w:rsidRPr="00EF2E78">
        <w:rPr>
          <w:b/>
          <w:noProof/>
          <w:color w:val="000000" w:themeColor="text1"/>
          <w:sz w:val="20"/>
          <w:szCs w:val="20"/>
          <w:lang w:val="en-US"/>
        </w:rPr>
        <w:lastRenderedPageBreak/>
        <w:drawing>
          <wp:inline distT="0" distB="0" distL="0" distR="0" wp14:anchorId="299E78FD" wp14:editId="1728483B">
            <wp:extent cx="5733415" cy="4284133"/>
            <wp:effectExtent l="0" t="0" r="0" b="0"/>
            <wp:docPr id="82286788" name="Picture 5" descr="A chart of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86788" name="Picture 5" descr="A chart of different colored dots&#10;&#10;AI-generated content may be incorrect."/>
                    <pic:cNvPicPr/>
                  </pic:nvPicPr>
                  <pic:blipFill rotWithShape="1">
                    <a:blip r:embed="rId12" cstate="print">
                      <a:extLst>
                        <a:ext uri="{28A0092B-C50C-407E-A947-70E740481C1C}">
                          <a14:useLocalDpi xmlns:a14="http://schemas.microsoft.com/office/drawing/2010/main" val="0"/>
                        </a:ext>
                      </a:extLst>
                    </a:blip>
                    <a:srcRect b="42114"/>
                    <a:stretch/>
                  </pic:blipFill>
                  <pic:spPr bwMode="auto">
                    <a:xfrm>
                      <a:off x="0" y="0"/>
                      <a:ext cx="5733415" cy="4284133"/>
                    </a:xfrm>
                    <a:prstGeom prst="rect">
                      <a:avLst/>
                    </a:prstGeom>
                    <a:ln>
                      <a:noFill/>
                    </a:ln>
                    <a:extLst>
                      <a:ext uri="{53640926-AAD7-44D8-BBD7-CCE9431645EC}">
                        <a14:shadowObscured xmlns:a14="http://schemas.microsoft.com/office/drawing/2010/main"/>
                      </a:ext>
                    </a:extLst>
                  </pic:spPr>
                </pic:pic>
              </a:graphicData>
            </a:graphic>
          </wp:inline>
        </w:drawing>
      </w:r>
    </w:p>
    <w:p w14:paraId="6ABEE34C" w14:textId="0521FAFD" w:rsidR="00A27304" w:rsidRPr="00EF2E78" w:rsidRDefault="00F25433" w:rsidP="00F25433">
      <w:pPr>
        <w:pStyle w:val="Heading2"/>
      </w:pPr>
      <w:bookmarkStart w:id="19" w:name="_Toc204006052"/>
      <w:r w:rsidRPr="00EF2E78">
        <w:t>Supplementary Figure S5: UMAPs of normalized tear fluid protein expression for the ALS group only from the discovery cohort.</w:t>
      </w:r>
      <w:bookmarkEnd w:id="19"/>
    </w:p>
    <w:p w14:paraId="3822DA96" w14:textId="2F1EFCF1" w:rsidR="00A27304" w:rsidRPr="00EF2E78" w:rsidRDefault="00000000" w:rsidP="003F75FB">
      <w:pPr>
        <w:spacing w:line="360" w:lineRule="auto"/>
        <w:jc w:val="both"/>
        <w:rPr>
          <w:color w:val="000000" w:themeColor="text1"/>
          <w:sz w:val="20"/>
          <w:szCs w:val="20"/>
          <w:lang w:val="en-US"/>
        </w:rPr>
      </w:pPr>
      <w:r w:rsidRPr="00EF2E78">
        <w:rPr>
          <w:b/>
          <w:color w:val="000000" w:themeColor="text1"/>
          <w:sz w:val="20"/>
          <w:szCs w:val="20"/>
          <w:lang w:val="en-US"/>
        </w:rPr>
        <w:t>a-h</w:t>
      </w:r>
      <w:r w:rsidRPr="00EF2E78">
        <w:rPr>
          <w:color w:val="000000" w:themeColor="text1"/>
          <w:sz w:val="20"/>
          <w:szCs w:val="20"/>
          <w:lang w:val="en-US"/>
        </w:rPr>
        <w:t xml:space="preserve"> </w:t>
      </w:r>
      <w:r w:rsidR="00D65D10" w:rsidRPr="00EF2E78">
        <w:rPr>
          <w:color w:val="000000" w:themeColor="text1"/>
          <w:sz w:val="20"/>
          <w:szCs w:val="20"/>
          <w:lang w:val="en-US"/>
        </w:rPr>
        <w:t xml:space="preserve">Circle </w:t>
      </w:r>
      <w:r w:rsidRPr="00EF2E78">
        <w:rPr>
          <w:color w:val="000000" w:themeColor="text1"/>
          <w:sz w:val="20"/>
          <w:szCs w:val="20"/>
          <w:lang w:val="en-US"/>
        </w:rPr>
        <w:t xml:space="preserve">colors represent the sex, age [years], stratum of onset, progression rate, CSF </w:t>
      </w:r>
      <w:proofErr w:type="spellStart"/>
      <w:r w:rsidRPr="00EF2E78">
        <w:rPr>
          <w:color w:val="000000" w:themeColor="text1"/>
          <w:sz w:val="20"/>
          <w:szCs w:val="20"/>
          <w:lang w:val="en-US"/>
        </w:rPr>
        <w:t>pNfH</w:t>
      </w:r>
      <w:proofErr w:type="spellEnd"/>
      <w:r w:rsidRPr="00EF2E78">
        <w:rPr>
          <w:color w:val="000000" w:themeColor="text1"/>
          <w:sz w:val="20"/>
          <w:szCs w:val="20"/>
          <w:lang w:val="en-US"/>
        </w:rPr>
        <w:t xml:space="preserve"> level [</w:t>
      </w:r>
      <w:proofErr w:type="spellStart"/>
      <w:r w:rsidRPr="00EF2E78">
        <w:rPr>
          <w:color w:val="000000" w:themeColor="text1"/>
          <w:sz w:val="20"/>
          <w:szCs w:val="20"/>
          <w:lang w:val="en-US"/>
        </w:rPr>
        <w:t>pg</w:t>
      </w:r>
      <w:proofErr w:type="spellEnd"/>
      <w:r w:rsidRPr="00EF2E78">
        <w:rPr>
          <w:color w:val="000000" w:themeColor="text1"/>
          <w:sz w:val="20"/>
          <w:szCs w:val="20"/>
          <w:lang w:val="en-US"/>
        </w:rPr>
        <w:t>/mL], FVC [%], presence of eye disease, and the use of topical eye substances. Principal components 1 (V1) and 2 (V2) are mapped to x- and y-axis, respectively.</w:t>
      </w:r>
    </w:p>
    <w:p w14:paraId="28F01C68" w14:textId="1A43C417" w:rsidR="00A27304" w:rsidRPr="00EF2E78" w:rsidRDefault="00000000" w:rsidP="003F75FB">
      <w:pPr>
        <w:spacing w:line="360" w:lineRule="auto"/>
        <w:jc w:val="both"/>
        <w:rPr>
          <w:color w:val="000000" w:themeColor="text1"/>
          <w:sz w:val="20"/>
          <w:szCs w:val="20"/>
          <w:lang w:val="en-US"/>
        </w:rPr>
      </w:pPr>
      <w:r w:rsidRPr="00EF2E78">
        <w:rPr>
          <w:b/>
          <w:color w:val="000000" w:themeColor="text1"/>
          <w:sz w:val="20"/>
          <w:szCs w:val="20"/>
          <w:lang w:val="en-US"/>
        </w:rPr>
        <w:t xml:space="preserve">Abbreviations: </w:t>
      </w:r>
      <w:r w:rsidRPr="00EF2E78">
        <w:rPr>
          <w:color w:val="000000" w:themeColor="text1"/>
          <w:sz w:val="20"/>
          <w:szCs w:val="20"/>
          <w:lang w:val="en-US"/>
        </w:rPr>
        <w:t xml:space="preserve">UMAP, uniform manifold approximation and projection; TF, tear fluid; ALS, Amyotrophic lateral sclerosis; CSF, cerebrospinal fluid; </w:t>
      </w:r>
      <w:proofErr w:type="spellStart"/>
      <w:r w:rsidRPr="00EF2E78">
        <w:rPr>
          <w:color w:val="000000" w:themeColor="text1"/>
          <w:sz w:val="20"/>
          <w:szCs w:val="20"/>
          <w:lang w:val="en-US"/>
        </w:rPr>
        <w:t>pNfH</w:t>
      </w:r>
      <w:proofErr w:type="spellEnd"/>
      <w:r w:rsidRPr="00EF2E78">
        <w:rPr>
          <w:color w:val="000000" w:themeColor="text1"/>
          <w:sz w:val="20"/>
          <w:szCs w:val="20"/>
          <w:lang w:val="en-US"/>
        </w:rPr>
        <w:t xml:space="preserve">, phosphorylated neurofilament heavy chain; FVC, forced vital capacity; NA, not applicable. </w:t>
      </w:r>
      <w:r w:rsidRPr="00EF2E78">
        <w:rPr>
          <w:color w:val="000000" w:themeColor="text1"/>
          <w:sz w:val="20"/>
          <w:szCs w:val="20"/>
          <w:lang w:val="en-US"/>
        </w:rPr>
        <w:br w:type="page"/>
      </w:r>
    </w:p>
    <w:p w14:paraId="4BDCDE3F" w14:textId="3C865F9D" w:rsidR="003F75FB" w:rsidRPr="00EF2E78" w:rsidRDefault="003F75FB" w:rsidP="003F75FB">
      <w:pPr>
        <w:pStyle w:val="Heading5"/>
        <w:spacing w:line="360" w:lineRule="auto"/>
        <w:jc w:val="both"/>
        <w:rPr>
          <w:b/>
          <w:color w:val="000000" w:themeColor="text1"/>
          <w:sz w:val="20"/>
          <w:szCs w:val="20"/>
          <w:lang w:val="en-US"/>
        </w:rPr>
      </w:pPr>
      <w:bookmarkStart w:id="20" w:name="_7ynsmbv4w6jn" w:colFirst="0" w:colLast="0"/>
      <w:bookmarkEnd w:id="20"/>
      <w:r w:rsidRPr="00EF2E78">
        <w:rPr>
          <w:b/>
          <w:noProof/>
          <w:color w:val="000000" w:themeColor="text1"/>
          <w:sz w:val="20"/>
          <w:szCs w:val="20"/>
          <w:lang w:val="en-US"/>
        </w:rPr>
        <w:lastRenderedPageBreak/>
        <w:drawing>
          <wp:inline distT="0" distB="0" distL="0" distR="0" wp14:anchorId="0A0ED378" wp14:editId="506393C2">
            <wp:extent cx="2226310" cy="2065867"/>
            <wp:effectExtent l="0" t="0" r="0" b="4445"/>
            <wp:docPr id="768632227" name="Picture 6" descr="A screenshot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632227" name="Picture 6" descr="A screenshot of a cell phone&#10;&#10;AI-generated content may be incorrect."/>
                    <pic:cNvPicPr/>
                  </pic:nvPicPr>
                  <pic:blipFill rotWithShape="1">
                    <a:blip r:embed="rId13" cstate="print">
                      <a:extLst>
                        <a:ext uri="{28A0092B-C50C-407E-A947-70E740481C1C}">
                          <a14:useLocalDpi xmlns:a14="http://schemas.microsoft.com/office/drawing/2010/main" val="0"/>
                        </a:ext>
                      </a:extLst>
                    </a:blip>
                    <a:srcRect r="61162" b="72081"/>
                    <a:stretch/>
                  </pic:blipFill>
                  <pic:spPr bwMode="auto">
                    <a:xfrm>
                      <a:off x="0" y="0"/>
                      <a:ext cx="2226733" cy="2066260"/>
                    </a:xfrm>
                    <a:prstGeom prst="rect">
                      <a:avLst/>
                    </a:prstGeom>
                    <a:ln>
                      <a:noFill/>
                    </a:ln>
                    <a:extLst>
                      <a:ext uri="{53640926-AAD7-44D8-BBD7-CCE9431645EC}">
                        <a14:shadowObscured xmlns:a14="http://schemas.microsoft.com/office/drawing/2010/main"/>
                      </a:ext>
                    </a:extLst>
                  </pic:spPr>
                </pic:pic>
              </a:graphicData>
            </a:graphic>
          </wp:inline>
        </w:drawing>
      </w:r>
    </w:p>
    <w:p w14:paraId="05B7B1C7" w14:textId="3715EE8B" w:rsidR="003F75FB" w:rsidRPr="00EF2E78" w:rsidRDefault="00F25433" w:rsidP="00F25433">
      <w:pPr>
        <w:pStyle w:val="Heading2"/>
      </w:pPr>
      <w:bookmarkStart w:id="21" w:name="_Toc204006053"/>
      <w:r w:rsidRPr="00EF2E78">
        <w:t>Supplementary Figure S6: STRING protein-protein interaction network analysis for significantly more abundant proteins.</w:t>
      </w:r>
      <w:bookmarkEnd w:id="21"/>
      <w:r w:rsidRPr="00EF2E78">
        <w:t xml:space="preserve"> </w:t>
      </w:r>
    </w:p>
    <w:p w14:paraId="26B57787" w14:textId="24B0097A" w:rsidR="003F75FB" w:rsidRPr="00EF2E78" w:rsidRDefault="00000000" w:rsidP="003F75FB">
      <w:pPr>
        <w:pStyle w:val="Heading5"/>
        <w:spacing w:before="0" w:after="0" w:line="360" w:lineRule="auto"/>
        <w:jc w:val="both"/>
        <w:rPr>
          <w:b/>
          <w:color w:val="000000" w:themeColor="text1"/>
          <w:sz w:val="20"/>
          <w:szCs w:val="20"/>
          <w:lang w:val="en-US"/>
        </w:rPr>
      </w:pPr>
      <w:r w:rsidRPr="00EF2E78">
        <w:rPr>
          <w:color w:val="000000" w:themeColor="text1"/>
          <w:sz w:val="20"/>
          <w:szCs w:val="20"/>
          <w:lang w:val="en-US"/>
        </w:rPr>
        <w:t>Node color is randomly assigned by default of the STRING platform v12.0. The PPI enrichment p-value = 0</w:t>
      </w:r>
      <w:r w:rsidR="00C5674B" w:rsidRPr="00EF2E78">
        <w:rPr>
          <w:color w:val="000000" w:themeColor="text1"/>
          <w:sz w:val="20"/>
          <w:szCs w:val="20"/>
          <w:lang w:val="en-US"/>
        </w:rPr>
        <w:t>.</w:t>
      </w:r>
      <w:r w:rsidRPr="00EF2E78">
        <w:rPr>
          <w:color w:val="000000" w:themeColor="text1"/>
          <w:sz w:val="20"/>
          <w:szCs w:val="20"/>
          <w:lang w:val="en-US"/>
        </w:rPr>
        <w:t>295 for the entire network is stated below.</w:t>
      </w:r>
    </w:p>
    <w:p w14:paraId="0CCED906" w14:textId="65E1E906" w:rsidR="00A27304" w:rsidRPr="00EF2E78" w:rsidRDefault="00000000" w:rsidP="003F75FB">
      <w:pPr>
        <w:spacing w:line="360" w:lineRule="auto"/>
        <w:jc w:val="both"/>
        <w:rPr>
          <w:color w:val="000000" w:themeColor="text1"/>
          <w:sz w:val="20"/>
          <w:szCs w:val="20"/>
          <w:lang w:val="en-GB"/>
        </w:rPr>
      </w:pPr>
      <w:r w:rsidRPr="00EF2E78">
        <w:rPr>
          <w:b/>
          <w:color w:val="000000" w:themeColor="text1"/>
          <w:sz w:val="20"/>
          <w:szCs w:val="20"/>
          <w:lang w:val="en-GB"/>
        </w:rPr>
        <w:t>Abbreviation:</w:t>
      </w:r>
      <w:r w:rsidRPr="00EF2E78">
        <w:rPr>
          <w:color w:val="000000" w:themeColor="text1"/>
          <w:sz w:val="20"/>
          <w:szCs w:val="20"/>
          <w:lang w:val="en-GB"/>
        </w:rPr>
        <w:t xml:space="preserve"> PPI, protein-protein interaction. </w:t>
      </w:r>
    </w:p>
    <w:p w14:paraId="71DC017A" w14:textId="343E81B1" w:rsidR="003F75FB" w:rsidRPr="00EF2E78" w:rsidRDefault="003F75FB" w:rsidP="003F75FB">
      <w:pPr>
        <w:pStyle w:val="Heading5"/>
        <w:spacing w:line="360" w:lineRule="auto"/>
        <w:jc w:val="both"/>
        <w:rPr>
          <w:b/>
          <w:color w:val="000000" w:themeColor="text1"/>
          <w:sz w:val="20"/>
          <w:szCs w:val="20"/>
          <w:lang w:val="en-US"/>
        </w:rPr>
      </w:pPr>
      <w:bookmarkStart w:id="22" w:name="_l880w3xwxvys" w:colFirst="0" w:colLast="0"/>
      <w:bookmarkEnd w:id="22"/>
      <w:r w:rsidRPr="00EF2E78">
        <w:rPr>
          <w:b/>
          <w:noProof/>
          <w:color w:val="000000" w:themeColor="text1"/>
          <w:sz w:val="20"/>
          <w:szCs w:val="20"/>
          <w:lang w:val="en-US"/>
        </w:rPr>
        <w:lastRenderedPageBreak/>
        <w:drawing>
          <wp:inline distT="0" distB="0" distL="0" distR="0" wp14:anchorId="5D022DB4" wp14:editId="539F770D">
            <wp:extent cx="5733415" cy="5985933"/>
            <wp:effectExtent l="0" t="0" r="0" b="0"/>
            <wp:docPr id="780377634" name="Picture 8" descr="A chart of different types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377634" name="Picture 8" descr="A chart of different types of numbers&#10;&#10;AI-generated content may be incorrect."/>
                    <pic:cNvPicPr/>
                  </pic:nvPicPr>
                  <pic:blipFill rotWithShape="1">
                    <a:blip r:embed="rId14" cstate="print">
                      <a:extLst>
                        <a:ext uri="{28A0092B-C50C-407E-A947-70E740481C1C}">
                          <a14:useLocalDpi xmlns:a14="http://schemas.microsoft.com/office/drawing/2010/main" val="0"/>
                        </a:ext>
                      </a:extLst>
                    </a:blip>
                    <a:srcRect b="19119"/>
                    <a:stretch/>
                  </pic:blipFill>
                  <pic:spPr bwMode="auto">
                    <a:xfrm>
                      <a:off x="0" y="0"/>
                      <a:ext cx="5733415" cy="5985933"/>
                    </a:xfrm>
                    <a:prstGeom prst="rect">
                      <a:avLst/>
                    </a:prstGeom>
                    <a:ln>
                      <a:noFill/>
                    </a:ln>
                    <a:extLst>
                      <a:ext uri="{53640926-AAD7-44D8-BBD7-CCE9431645EC}">
                        <a14:shadowObscured xmlns:a14="http://schemas.microsoft.com/office/drawing/2010/main"/>
                      </a:ext>
                    </a:extLst>
                  </pic:spPr>
                </pic:pic>
              </a:graphicData>
            </a:graphic>
          </wp:inline>
        </w:drawing>
      </w:r>
    </w:p>
    <w:p w14:paraId="1D3D9116" w14:textId="3645E514" w:rsidR="00A27304" w:rsidRPr="00EF2E78" w:rsidRDefault="00F25433" w:rsidP="00F25433">
      <w:pPr>
        <w:pStyle w:val="Heading2"/>
      </w:pPr>
      <w:bookmarkStart w:id="23" w:name="_Toc204006054"/>
      <w:r w:rsidRPr="00EF2E78">
        <w:t>Supplementary Figure S</w:t>
      </w:r>
      <w:r w:rsidR="00550FDE" w:rsidRPr="00EF2E78">
        <w:t>7</w:t>
      </w:r>
      <w:r w:rsidRPr="00EF2E78">
        <w:t xml:space="preserve">: In-silico performance assessment of the six-protein signature based on </w:t>
      </w:r>
      <w:r w:rsidR="00D1105A" w:rsidRPr="00EF2E78">
        <w:t>W</w:t>
      </w:r>
      <w:r w:rsidRPr="00EF2E78">
        <w:t xml:space="preserve">estern </w:t>
      </w:r>
      <w:r w:rsidR="006727CF" w:rsidRPr="00EF2E78">
        <w:t>b</w:t>
      </w:r>
      <w:r w:rsidRPr="00EF2E78">
        <w:t>lot validation (Ten runs).</w:t>
      </w:r>
      <w:bookmarkEnd w:id="23"/>
    </w:p>
    <w:p w14:paraId="5DF3B1A3" w14:textId="03BB9E98" w:rsidR="00A27304" w:rsidRPr="00EF2E78" w:rsidRDefault="00000000" w:rsidP="003F75FB">
      <w:pPr>
        <w:spacing w:line="360" w:lineRule="auto"/>
        <w:jc w:val="both"/>
        <w:rPr>
          <w:color w:val="000000" w:themeColor="text1"/>
          <w:sz w:val="20"/>
          <w:szCs w:val="20"/>
          <w:lang w:val="en-US"/>
        </w:rPr>
      </w:pPr>
      <w:r w:rsidRPr="00EF2E78">
        <w:rPr>
          <w:b/>
          <w:color w:val="000000" w:themeColor="text1"/>
          <w:sz w:val="20"/>
          <w:szCs w:val="20"/>
          <w:lang w:val="en-US"/>
        </w:rPr>
        <w:t xml:space="preserve">a-j </w:t>
      </w:r>
      <w:r w:rsidRPr="00EF2E78">
        <w:rPr>
          <w:color w:val="000000" w:themeColor="text1"/>
          <w:sz w:val="20"/>
          <w:szCs w:val="20"/>
          <w:lang w:val="en-US"/>
        </w:rPr>
        <w:t xml:space="preserve">Parameterization of L1 regularization for </w:t>
      </w:r>
      <w:r w:rsidR="0094580F" w:rsidRPr="00EF2E78">
        <w:rPr>
          <w:color w:val="000000" w:themeColor="text1"/>
          <w:sz w:val="20"/>
          <w:szCs w:val="20"/>
          <w:lang w:val="en-US"/>
        </w:rPr>
        <w:t>l</w:t>
      </w:r>
      <w:r w:rsidRPr="00EF2E78">
        <w:rPr>
          <w:color w:val="000000" w:themeColor="text1"/>
          <w:sz w:val="20"/>
          <w:szCs w:val="20"/>
          <w:lang w:val="en-US"/>
        </w:rPr>
        <w:t xml:space="preserve">asso in nine models from the 10-fold cross-validation (left) and bar chart of the selected proteins in the corresponding </w:t>
      </w:r>
      <w:r w:rsidR="0094580F" w:rsidRPr="00EF2E78">
        <w:rPr>
          <w:color w:val="000000" w:themeColor="text1"/>
          <w:sz w:val="20"/>
          <w:szCs w:val="20"/>
          <w:lang w:val="en-US"/>
        </w:rPr>
        <w:t>l</w:t>
      </w:r>
      <w:r w:rsidRPr="00EF2E78">
        <w:rPr>
          <w:color w:val="000000" w:themeColor="text1"/>
          <w:sz w:val="20"/>
          <w:szCs w:val="20"/>
          <w:lang w:val="en-US"/>
        </w:rPr>
        <w:t xml:space="preserve">asso model with high impact in the ALS classification (right). The x-axis represents the log-transformed lambda values, while the y-axis indicates the model coefficients. The best-performing lambda is indicated (blue line). The bar chart shows the weights (y-axis) assigned to each protein (x-axis) in the chosen </w:t>
      </w:r>
      <w:r w:rsidR="0094580F" w:rsidRPr="00EF2E78">
        <w:rPr>
          <w:color w:val="000000" w:themeColor="text1"/>
          <w:sz w:val="20"/>
          <w:szCs w:val="20"/>
          <w:lang w:val="en-US"/>
        </w:rPr>
        <w:t>l</w:t>
      </w:r>
      <w:r w:rsidRPr="00EF2E78">
        <w:rPr>
          <w:color w:val="000000" w:themeColor="text1"/>
          <w:sz w:val="20"/>
          <w:szCs w:val="20"/>
          <w:lang w:val="en-US"/>
        </w:rPr>
        <w:t>asso model.</w:t>
      </w:r>
    </w:p>
    <w:p w14:paraId="721520CB" w14:textId="1E05787D" w:rsidR="00550FDE" w:rsidRPr="00EF2E78" w:rsidRDefault="00000000" w:rsidP="003F75FB">
      <w:pPr>
        <w:spacing w:line="360" w:lineRule="auto"/>
        <w:jc w:val="both"/>
        <w:rPr>
          <w:color w:val="000000" w:themeColor="text1"/>
          <w:sz w:val="20"/>
          <w:szCs w:val="20"/>
          <w:lang w:val="en-US"/>
        </w:rPr>
      </w:pPr>
      <w:r w:rsidRPr="00EF2E78">
        <w:rPr>
          <w:b/>
          <w:color w:val="000000" w:themeColor="text1"/>
          <w:sz w:val="20"/>
          <w:szCs w:val="20"/>
          <w:lang w:val="en-US"/>
        </w:rPr>
        <w:t>Abbreviations:</w:t>
      </w:r>
      <w:r w:rsidRPr="00EF2E78">
        <w:rPr>
          <w:color w:val="000000" w:themeColor="text1"/>
          <w:sz w:val="20"/>
          <w:szCs w:val="20"/>
          <w:lang w:val="en-US"/>
        </w:rPr>
        <w:t xml:space="preserve"> CRYM, </w:t>
      </w:r>
      <w:r w:rsidR="008923B6" w:rsidRPr="00EF2E78">
        <w:rPr>
          <w:color w:val="000000" w:themeColor="text1"/>
          <w:sz w:val="20"/>
          <w:szCs w:val="20"/>
          <w:lang w:val="en-US"/>
        </w:rPr>
        <w:t>mu</w:t>
      </w:r>
      <w:r w:rsidRPr="00EF2E78">
        <w:rPr>
          <w:color w:val="000000" w:themeColor="text1"/>
          <w:sz w:val="20"/>
          <w:szCs w:val="20"/>
          <w:lang w:val="en-US"/>
        </w:rPr>
        <w:t>-crystallin; CAPZA2, f-actin-capping protein subunit alpha-2; ALDH16A1, aldehyde dehydrogenase family 16 member A1; PFKL, phosphofructokinase, liver type; SERPINC1, antithrombin-III; HP, haptoglobin.</w:t>
      </w:r>
    </w:p>
    <w:p w14:paraId="286DACFC" w14:textId="77777777" w:rsidR="00550FDE" w:rsidRPr="00EF2E78" w:rsidRDefault="00550FDE" w:rsidP="003F75FB">
      <w:pPr>
        <w:spacing w:line="360" w:lineRule="auto"/>
        <w:jc w:val="both"/>
        <w:rPr>
          <w:b/>
          <w:color w:val="000000" w:themeColor="text1"/>
          <w:sz w:val="20"/>
          <w:szCs w:val="20"/>
          <w:lang w:val="en-US"/>
        </w:rPr>
      </w:pPr>
    </w:p>
    <w:p w14:paraId="1EBC1EBA" w14:textId="7EF56D43" w:rsidR="00550FDE" w:rsidRPr="00EF2E78" w:rsidRDefault="00550FDE" w:rsidP="003F75FB">
      <w:pPr>
        <w:spacing w:line="360" w:lineRule="auto"/>
        <w:jc w:val="both"/>
        <w:rPr>
          <w:b/>
          <w:color w:val="000000" w:themeColor="text1"/>
          <w:sz w:val="20"/>
          <w:szCs w:val="20"/>
          <w:lang w:val="en-US"/>
        </w:rPr>
      </w:pPr>
      <w:r w:rsidRPr="00EF2E78">
        <w:rPr>
          <w:b/>
          <w:noProof/>
          <w:color w:val="000000" w:themeColor="text1"/>
          <w:sz w:val="20"/>
          <w:szCs w:val="20"/>
          <w:lang w:val="en-US"/>
        </w:rPr>
        <w:lastRenderedPageBreak/>
        <w:drawing>
          <wp:inline distT="0" distB="0" distL="0" distR="0" wp14:anchorId="13D28856" wp14:editId="6DB974BD">
            <wp:extent cx="5733415" cy="4586605"/>
            <wp:effectExtent l="0" t="0" r="0" b="0"/>
            <wp:docPr id="15616633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663311" name="Picture 1561663311"/>
                    <pic:cNvPicPr/>
                  </pic:nvPicPr>
                  <pic:blipFill>
                    <a:blip r:embed="rId15"/>
                    <a:stretch>
                      <a:fillRect/>
                    </a:stretch>
                  </pic:blipFill>
                  <pic:spPr>
                    <a:xfrm>
                      <a:off x="0" y="0"/>
                      <a:ext cx="5733415" cy="4586605"/>
                    </a:xfrm>
                    <a:prstGeom prst="rect">
                      <a:avLst/>
                    </a:prstGeom>
                  </pic:spPr>
                </pic:pic>
              </a:graphicData>
            </a:graphic>
          </wp:inline>
        </w:drawing>
      </w:r>
    </w:p>
    <w:p w14:paraId="7D672C87" w14:textId="1FC3DBAA" w:rsidR="00550FDE" w:rsidRPr="00EF2E78" w:rsidRDefault="00550FDE" w:rsidP="00550FDE">
      <w:pPr>
        <w:pStyle w:val="Heading2"/>
      </w:pPr>
      <w:bookmarkStart w:id="24" w:name="_Toc204006055"/>
      <w:r w:rsidRPr="00EF2E78">
        <w:t>Supplementary Figure S8: Assessment of quantitative reproducibility in DIA-MS data.</w:t>
      </w:r>
      <w:bookmarkEnd w:id="24"/>
    </w:p>
    <w:p w14:paraId="7A242615" w14:textId="25BBDBBA" w:rsidR="00550FDE" w:rsidRPr="00EF2E78" w:rsidRDefault="00550FDE" w:rsidP="00550FDE">
      <w:pPr>
        <w:spacing w:line="360" w:lineRule="auto"/>
        <w:jc w:val="both"/>
        <w:rPr>
          <w:bCs/>
          <w:color w:val="000000" w:themeColor="text1"/>
          <w:sz w:val="20"/>
          <w:szCs w:val="20"/>
          <w:lang w:val="en-US"/>
        </w:rPr>
      </w:pPr>
      <w:r w:rsidRPr="00EF2E78">
        <w:rPr>
          <w:b/>
          <w:color w:val="000000" w:themeColor="text1"/>
          <w:sz w:val="20"/>
          <w:szCs w:val="20"/>
          <w:lang w:val="en-US"/>
        </w:rPr>
        <w:t>a</w:t>
      </w:r>
      <w:r w:rsidRPr="00EF2E78">
        <w:rPr>
          <w:bCs/>
          <w:color w:val="000000" w:themeColor="text1"/>
          <w:sz w:val="20"/>
          <w:szCs w:val="20"/>
          <w:lang w:val="en-US"/>
        </w:rPr>
        <w:t xml:space="preserve"> </w:t>
      </w:r>
      <w:r w:rsidR="004860C0" w:rsidRPr="00EF2E78">
        <w:rPr>
          <w:bCs/>
          <w:color w:val="000000" w:themeColor="text1"/>
          <w:sz w:val="20"/>
          <w:szCs w:val="20"/>
          <w:lang w:val="en-US"/>
        </w:rPr>
        <w:t>Protein identification completeness across all samples. The x-axis represents individual samples (including technical and biological replicates), and the y-axis indicates the total number of proteins identified per sample. Nearly 1,000 proteins out of 2,205 were detected in at least 60% of the samples, reflecting strong overall data completeness.</w:t>
      </w:r>
    </w:p>
    <w:p w14:paraId="2401E35F" w14:textId="46F14148" w:rsidR="00550FDE" w:rsidRPr="00EF2E78" w:rsidRDefault="00550FDE" w:rsidP="00550FDE">
      <w:pPr>
        <w:spacing w:line="360" w:lineRule="auto"/>
        <w:jc w:val="both"/>
        <w:rPr>
          <w:bCs/>
          <w:color w:val="000000" w:themeColor="text1"/>
          <w:sz w:val="20"/>
          <w:szCs w:val="20"/>
          <w:lang w:val="en-US"/>
        </w:rPr>
      </w:pPr>
      <w:r w:rsidRPr="00EF2E78">
        <w:rPr>
          <w:b/>
          <w:color w:val="000000" w:themeColor="text1"/>
          <w:sz w:val="20"/>
          <w:szCs w:val="20"/>
          <w:lang w:val="en-US"/>
        </w:rPr>
        <w:t>b</w:t>
      </w:r>
      <w:r w:rsidRPr="00EF2E78">
        <w:rPr>
          <w:bCs/>
          <w:color w:val="000000" w:themeColor="text1"/>
          <w:sz w:val="20"/>
          <w:szCs w:val="20"/>
          <w:lang w:val="en-US"/>
        </w:rPr>
        <w:t xml:space="preserve"> </w:t>
      </w:r>
      <w:r w:rsidR="004860C0" w:rsidRPr="00EF2E78">
        <w:rPr>
          <w:bCs/>
          <w:color w:val="000000" w:themeColor="text1"/>
          <w:sz w:val="20"/>
          <w:szCs w:val="20"/>
          <w:lang w:val="en-US"/>
        </w:rPr>
        <w:t xml:space="preserve">Protein-level coefficient of variation (CV) across all samples. The x-axis represents individual proteins, and the y-axis shows the mean CV (%) for each protein. </w:t>
      </w:r>
      <w:proofErr w:type="gramStart"/>
      <w:r w:rsidR="004860C0" w:rsidRPr="00EF2E78">
        <w:rPr>
          <w:bCs/>
          <w:color w:val="000000" w:themeColor="text1"/>
          <w:sz w:val="20"/>
          <w:szCs w:val="20"/>
          <w:lang w:val="en-US"/>
        </w:rPr>
        <w:t>The majority of</w:t>
      </w:r>
      <w:proofErr w:type="gramEnd"/>
      <w:r w:rsidR="004860C0" w:rsidRPr="00EF2E78">
        <w:rPr>
          <w:bCs/>
          <w:color w:val="000000" w:themeColor="text1"/>
          <w:sz w:val="20"/>
          <w:szCs w:val="20"/>
          <w:lang w:val="en-US"/>
        </w:rPr>
        <w:t xml:space="preserve"> the proteins exhibited a CV below 50% (1,588 out of 2,205), indicating a good reproducibility of quantification. Proteins highlighted in orange (CRYM, PFKL, CAPZA2, ALDH16A1, SERPINC1, and HP) represent the proposed biomarker signature. All six proteins fall within a CV range of 25–50%, supporting their quantitative robustness and potential utility as biomarkers.</w:t>
      </w:r>
    </w:p>
    <w:p w14:paraId="5F8F4A5F" w14:textId="77777777" w:rsidR="00550FDE" w:rsidRPr="00EF2E78" w:rsidRDefault="00550FDE" w:rsidP="00550FDE">
      <w:pPr>
        <w:spacing w:line="360" w:lineRule="auto"/>
        <w:jc w:val="both"/>
        <w:rPr>
          <w:color w:val="000000" w:themeColor="text1"/>
          <w:sz w:val="20"/>
          <w:szCs w:val="20"/>
          <w:lang w:val="en-US"/>
        </w:rPr>
      </w:pPr>
      <w:r w:rsidRPr="00EF2E78">
        <w:rPr>
          <w:b/>
          <w:color w:val="000000" w:themeColor="text1"/>
          <w:sz w:val="20"/>
          <w:szCs w:val="20"/>
          <w:lang w:val="en-US"/>
        </w:rPr>
        <w:t>Abbreviations:</w:t>
      </w:r>
      <w:r w:rsidRPr="00EF2E78">
        <w:rPr>
          <w:color w:val="000000" w:themeColor="text1"/>
          <w:sz w:val="20"/>
          <w:szCs w:val="20"/>
          <w:lang w:val="en-US"/>
        </w:rPr>
        <w:t xml:space="preserve"> CRYM, mu-crystallin; CAPZA2, f-actin-capping protein subunit alpha-2; ALDH16A1, aldehyde dehydrogenase family 16 member A1; PFKL, phosphofructokinase, liver type; SERPINC1, antithrombin-III; HP, haptoglobin.</w:t>
      </w:r>
    </w:p>
    <w:p w14:paraId="668BA43C" w14:textId="77777777" w:rsidR="00550FDE" w:rsidRPr="00EF2E78" w:rsidRDefault="00550FDE" w:rsidP="00550FDE">
      <w:pPr>
        <w:spacing w:line="360" w:lineRule="auto"/>
        <w:jc w:val="both"/>
        <w:rPr>
          <w:bCs/>
          <w:color w:val="000000" w:themeColor="text1"/>
          <w:sz w:val="20"/>
          <w:szCs w:val="20"/>
          <w:lang w:val="en-US"/>
        </w:rPr>
      </w:pPr>
    </w:p>
    <w:p w14:paraId="6E90D489" w14:textId="1E9C9D60" w:rsidR="003F75FB" w:rsidRPr="00EF2E78" w:rsidRDefault="003F75FB" w:rsidP="003F75FB">
      <w:pPr>
        <w:pStyle w:val="Heading5"/>
        <w:spacing w:line="360" w:lineRule="auto"/>
        <w:jc w:val="both"/>
        <w:rPr>
          <w:b/>
          <w:color w:val="000000" w:themeColor="text1"/>
          <w:sz w:val="20"/>
          <w:szCs w:val="20"/>
          <w:lang w:val="en-US"/>
        </w:rPr>
      </w:pPr>
      <w:r w:rsidRPr="00EF2E78">
        <w:rPr>
          <w:b/>
          <w:noProof/>
          <w:color w:val="000000" w:themeColor="text1"/>
          <w:sz w:val="20"/>
          <w:szCs w:val="20"/>
          <w:lang w:val="en-US"/>
        </w:rPr>
        <w:lastRenderedPageBreak/>
        <w:drawing>
          <wp:inline distT="0" distB="0" distL="0" distR="0" wp14:anchorId="794E1F46" wp14:editId="68605B67">
            <wp:extent cx="5733415" cy="2667000"/>
            <wp:effectExtent l="0" t="0" r="0" b="0"/>
            <wp:docPr id="2057005782" name="Picture 9" descr="A graph of a graph of a pers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005782" name="Picture 9" descr="A graph of a graph of a person&#10;&#10;AI-generated content may be incorrect."/>
                    <pic:cNvPicPr/>
                  </pic:nvPicPr>
                  <pic:blipFill rotWithShape="1">
                    <a:blip r:embed="rId16" cstate="print">
                      <a:extLst>
                        <a:ext uri="{28A0092B-C50C-407E-A947-70E740481C1C}">
                          <a14:useLocalDpi xmlns:a14="http://schemas.microsoft.com/office/drawing/2010/main" val="0"/>
                        </a:ext>
                      </a:extLst>
                    </a:blip>
                    <a:srcRect b="63964"/>
                    <a:stretch/>
                  </pic:blipFill>
                  <pic:spPr bwMode="auto">
                    <a:xfrm>
                      <a:off x="0" y="0"/>
                      <a:ext cx="5733415" cy="2667000"/>
                    </a:xfrm>
                    <a:prstGeom prst="rect">
                      <a:avLst/>
                    </a:prstGeom>
                    <a:ln>
                      <a:noFill/>
                    </a:ln>
                    <a:extLst>
                      <a:ext uri="{53640926-AAD7-44D8-BBD7-CCE9431645EC}">
                        <a14:shadowObscured xmlns:a14="http://schemas.microsoft.com/office/drawing/2010/main"/>
                      </a:ext>
                    </a:extLst>
                  </pic:spPr>
                </pic:pic>
              </a:graphicData>
            </a:graphic>
          </wp:inline>
        </w:drawing>
      </w:r>
    </w:p>
    <w:p w14:paraId="33027121" w14:textId="6EF2D5DC" w:rsidR="00A27304" w:rsidRPr="00EF2E78" w:rsidRDefault="00F25433" w:rsidP="00F25433">
      <w:pPr>
        <w:pStyle w:val="Heading2"/>
      </w:pPr>
      <w:bookmarkStart w:id="25" w:name="_Toc204006056"/>
      <w:r w:rsidRPr="00EF2E78">
        <w:t>Supplementary Figure S</w:t>
      </w:r>
      <w:r w:rsidR="00550FDE" w:rsidRPr="00EF2E78">
        <w:t>9</w:t>
      </w:r>
      <w:r w:rsidRPr="00EF2E78">
        <w:t>: Ranked TF protein abundance in controls and ALS subjects.</w:t>
      </w:r>
      <w:bookmarkEnd w:id="25"/>
      <w:r w:rsidRPr="00EF2E78">
        <w:t xml:space="preserve"> </w:t>
      </w:r>
    </w:p>
    <w:p w14:paraId="7FBAC8A4" w14:textId="77777777" w:rsidR="00A27304" w:rsidRPr="00EF2E78" w:rsidRDefault="00000000" w:rsidP="003F75FB">
      <w:pPr>
        <w:spacing w:line="360" w:lineRule="auto"/>
        <w:jc w:val="both"/>
        <w:rPr>
          <w:color w:val="000000" w:themeColor="text1"/>
          <w:sz w:val="20"/>
          <w:szCs w:val="20"/>
          <w:lang w:val="en-US"/>
        </w:rPr>
      </w:pPr>
      <w:r w:rsidRPr="00EF2E78">
        <w:rPr>
          <w:b/>
          <w:color w:val="000000" w:themeColor="text1"/>
          <w:sz w:val="20"/>
          <w:szCs w:val="20"/>
          <w:lang w:val="en-US"/>
        </w:rPr>
        <w:t>a-b</w:t>
      </w:r>
      <w:r w:rsidRPr="00EF2E78">
        <w:rPr>
          <w:color w:val="000000" w:themeColor="text1"/>
          <w:sz w:val="20"/>
          <w:szCs w:val="20"/>
          <w:lang w:val="en-US"/>
        </w:rPr>
        <w:t xml:space="preserve"> Ranked protein abundance plot of proteins ordered by their log</w:t>
      </w:r>
      <w:r w:rsidRPr="00EF2E78">
        <w:rPr>
          <w:rFonts w:ascii="Cambria Math" w:hAnsi="Cambria Math" w:cs="Cambria Math"/>
          <w:color w:val="000000" w:themeColor="text1"/>
          <w:sz w:val="20"/>
          <w:szCs w:val="20"/>
          <w:lang w:val="en-US"/>
        </w:rPr>
        <w:t>₁₀</w:t>
      </w:r>
      <w:r w:rsidRPr="00EF2E78">
        <w:rPr>
          <w:color w:val="000000" w:themeColor="text1"/>
          <w:sz w:val="20"/>
          <w:szCs w:val="20"/>
          <w:lang w:val="en-US"/>
        </w:rPr>
        <w:t xml:space="preserve"> mean abundance in the TF of control (left) and ALS (right) subjects. The x-axis shows the protein rank, and the y-axis depicts the corresponding log10 mean abundance. Proteins were ranked increasingly (</w:t>
      </w:r>
      <w:r w:rsidRPr="00EF2E78">
        <w:rPr>
          <w:b/>
          <w:color w:val="000000" w:themeColor="text1"/>
          <w:sz w:val="20"/>
          <w:szCs w:val="20"/>
          <w:lang w:val="en-US"/>
        </w:rPr>
        <w:t>Data S4</w:t>
      </w:r>
      <w:r w:rsidRPr="00EF2E78">
        <w:rPr>
          <w:color w:val="000000" w:themeColor="text1"/>
          <w:sz w:val="20"/>
          <w:szCs w:val="20"/>
          <w:lang w:val="en-US"/>
        </w:rPr>
        <w:t xml:space="preserve">). </w:t>
      </w:r>
    </w:p>
    <w:p w14:paraId="6E21D247" w14:textId="5D85E733" w:rsidR="00550FDE" w:rsidRPr="00EF2E78" w:rsidRDefault="00000000" w:rsidP="003F75FB">
      <w:pPr>
        <w:spacing w:line="360" w:lineRule="auto"/>
        <w:jc w:val="both"/>
        <w:rPr>
          <w:color w:val="000000" w:themeColor="text1"/>
          <w:sz w:val="20"/>
          <w:szCs w:val="20"/>
          <w:lang w:val="en-US"/>
        </w:rPr>
      </w:pPr>
      <w:r w:rsidRPr="00EF2E78">
        <w:rPr>
          <w:b/>
          <w:color w:val="000000" w:themeColor="text1"/>
          <w:sz w:val="20"/>
          <w:szCs w:val="20"/>
          <w:lang w:val="en-US"/>
        </w:rPr>
        <w:t xml:space="preserve">Abbreviations: </w:t>
      </w:r>
      <w:r w:rsidRPr="00EF2E78">
        <w:rPr>
          <w:color w:val="000000" w:themeColor="text1"/>
          <w:sz w:val="20"/>
          <w:szCs w:val="20"/>
          <w:lang w:val="en-US"/>
        </w:rPr>
        <w:t xml:space="preserve">ALS, Amyotrophic lateral sclerosis; CRYM, </w:t>
      </w:r>
      <w:r w:rsidR="008923B6" w:rsidRPr="00EF2E78">
        <w:rPr>
          <w:color w:val="000000" w:themeColor="text1"/>
          <w:sz w:val="20"/>
          <w:szCs w:val="20"/>
          <w:lang w:val="en-US"/>
        </w:rPr>
        <w:t>mu</w:t>
      </w:r>
      <w:r w:rsidRPr="00EF2E78">
        <w:rPr>
          <w:color w:val="000000" w:themeColor="text1"/>
          <w:sz w:val="20"/>
          <w:szCs w:val="20"/>
          <w:lang w:val="en-US"/>
        </w:rPr>
        <w:t xml:space="preserve">-crystallin, PFKL, phosphofructokinase, liver type; CAPZA2, f-actin-capping protein subunit alpha-2; SERPINC1, antithrombin-III; ALDH16A1, aldehyde dehydrogenase family 16 member A1; HP, haptoglobin; ALB; serum albumin; IGHA1, immunoglobulin heavy constant alpha 1; IGHA2, immunoglobulin heavy constant alpha 2; LCN1, lipocalin-1; LYZ, lysozyme C; LTF, </w:t>
      </w:r>
      <w:proofErr w:type="spellStart"/>
      <w:r w:rsidRPr="00EF2E78">
        <w:rPr>
          <w:color w:val="000000" w:themeColor="text1"/>
          <w:sz w:val="20"/>
          <w:szCs w:val="20"/>
          <w:lang w:val="en-US"/>
        </w:rPr>
        <w:t>lactotransferrin</w:t>
      </w:r>
      <w:proofErr w:type="spellEnd"/>
      <w:r w:rsidRPr="00EF2E78">
        <w:rPr>
          <w:color w:val="000000" w:themeColor="text1"/>
          <w:sz w:val="20"/>
          <w:szCs w:val="20"/>
          <w:lang w:val="en-US"/>
        </w:rPr>
        <w:t>.</w:t>
      </w:r>
      <w:bookmarkStart w:id="26" w:name="_7u402no8it4d" w:colFirst="0" w:colLast="0"/>
      <w:bookmarkEnd w:id="26"/>
    </w:p>
    <w:p w14:paraId="75036697" w14:textId="77777777" w:rsidR="00550FDE" w:rsidRPr="00EF2E78" w:rsidRDefault="00550FDE">
      <w:pPr>
        <w:rPr>
          <w:color w:val="000000" w:themeColor="text1"/>
          <w:sz w:val="20"/>
          <w:szCs w:val="20"/>
          <w:lang w:val="en-US"/>
        </w:rPr>
      </w:pPr>
      <w:r w:rsidRPr="00EF2E78">
        <w:rPr>
          <w:color w:val="000000" w:themeColor="text1"/>
          <w:sz w:val="20"/>
          <w:szCs w:val="20"/>
          <w:lang w:val="en-US"/>
        </w:rPr>
        <w:br w:type="page"/>
      </w:r>
    </w:p>
    <w:p w14:paraId="14893674" w14:textId="77777777" w:rsidR="00550FDE" w:rsidRPr="00EF2E78" w:rsidRDefault="00550FDE" w:rsidP="00550FDE">
      <w:pPr>
        <w:spacing w:line="360" w:lineRule="auto"/>
        <w:jc w:val="both"/>
        <w:rPr>
          <w:color w:val="000000" w:themeColor="text1"/>
          <w:sz w:val="20"/>
          <w:szCs w:val="20"/>
          <w:lang w:val="en-US"/>
        </w:rPr>
      </w:pPr>
    </w:p>
    <w:p w14:paraId="6EFAC11A" w14:textId="77777777" w:rsidR="00550FDE" w:rsidRPr="00EF2E78" w:rsidRDefault="00550FDE" w:rsidP="00550FDE">
      <w:pPr>
        <w:pStyle w:val="Heading5"/>
        <w:spacing w:before="0" w:after="0" w:line="360" w:lineRule="auto"/>
        <w:jc w:val="both"/>
        <w:rPr>
          <w:b/>
          <w:color w:val="000000" w:themeColor="text1"/>
          <w:sz w:val="20"/>
          <w:szCs w:val="20"/>
          <w:lang w:val="en-US"/>
        </w:rPr>
      </w:pPr>
      <w:r w:rsidRPr="00EF2E78">
        <w:rPr>
          <w:b/>
          <w:noProof/>
          <w:color w:val="000000" w:themeColor="text1"/>
          <w:sz w:val="20"/>
          <w:szCs w:val="20"/>
          <w:lang w:val="en-US"/>
        </w:rPr>
        <w:drawing>
          <wp:inline distT="0" distB="0" distL="0" distR="0" wp14:anchorId="551CF31C" wp14:editId="52A75170">
            <wp:extent cx="3725333" cy="3098800"/>
            <wp:effectExtent l="0" t="0" r="0" b="0"/>
            <wp:docPr id="1546331631" name="Picture 7" descr="A graph showing the growth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331631" name="Picture 7" descr="A graph showing the growth of a company&#10;&#10;AI-generated content may be incorrect."/>
                    <pic:cNvPicPr/>
                  </pic:nvPicPr>
                  <pic:blipFill rotWithShape="1">
                    <a:blip r:embed="rId17" cstate="print">
                      <a:extLst>
                        <a:ext uri="{28A0092B-C50C-407E-A947-70E740481C1C}">
                          <a14:useLocalDpi xmlns:a14="http://schemas.microsoft.com/office/drawing/2010/main" val="0"/>
                        </a:ext>
                      </a:extLst>
                    </a:blip>
                    <a:srcRect l="-1" r="35025" b="58130"/>
                    <a:stretch/>
                  </pic:blipFill>
                  <pic:spPr bwMode="auto">
                    <a:xfrm>
                      <a:off x="0" y="0"/>
                      <a:ext cx="3725333" cy="3098800"/>
                    </a:xfrm>
                    <a:prstGeom prst="rect">
                      <a:avLst/>
                    </a:prstGeom>
                    <a:ln>
                      <a:noFill/>
                    </a:ln>
                    <a:extLst>
                      <a:ext uri="{53640926-AAD7-44D8-BBD7-CCE9431645EC}">
                        <a14:shadowObscured xmlns:a14="http://schemas.microsoft.com/office/drawing/2010/main"/>
                      </a:ext>
                    </a:extLst>
                  </pic:spPr>
                </pic:pic>
              </a:graphicData>
            </a:graphic>
          </wp:inline>
        </w:drawing>
      </w:r>
    </w:p>
    <w:p w14:paraId="24CEEECB" w14:textId="4591391B" w:rsidR="00550FDE" w:rsidRPr="00EF2E78" w:rsidRDefault="00550FDE" w:rsidP="00550FDE">
      <w:pPr>
        <w:pStyle w:val="Heading2"/>
      </w:pPr>
      <w:bookmarkStart w:id="27" w:name="_Toc204006057"/>
      <w:r w:rsidRPr="00EF2E78">
        <w:t xml:space="preserve">Supplementary Figure S10: AUROC line curve of </w:t>
      </w:r>
      <w:r w:rsidR="000C5C4A" w:rsidRPr="00EF2E78">
        <w:t>nine</w:t>
      </w:r>
      <w:r w:rsidRPr="00EF2E78">
        <w:t xml:space="preserve"> proteins</w:t>
      </w:r>
      <w:r w:rsidR="000C5C4A" w:rsidRPr="00EF2E78">
        <w:t xml:space="preserve"> making up the best-performing model</w:t>
      </w:r>
      <w:r w:rsidRPr="00EF2E78">
        <w:t>.</w:t>
      </w:r>
      <w:bookmarkEnd w:id="27"/>
      <w:r w:rsidRPr="00EF2E78">
        <w:t xml:space="preserve"> </w:t>
      </w:r>
    </w:p>
    <w:p w14:paraId="31ABAE40" w14:textId="77777777" w:rsidR="00550FDE" w:rsidRPr="00EF2E78" w:rsidRDefault="00550FDE" w:rsidP="00550FDE">
      <w:pPr>
        <w:spacing w:line="360" w:lineRule="auto"/>
        <w:jc w:val="both"/>
        <w:rPr>
          <w:color w:val="000000" w:themeColor="text1"/>
          <w:sz w:val="20"/>
          <w:szCs w:val="20"/>
          <w:lang w:val="en-US"/>
        </w:rPr>
      </w:pPr>
      <w:r w:rsidRPr="00EF2E78">
        <w:rPr>
          <w:color w:val="000000" w:themeColor="text1"/>
          <w:sz w:val="20"/>
          <w:szCs w:val="20"/>
          <w:lang w:val="en-US"/>
        </w:rPr>
        <w:t>The x-axis displays the proteins considered as putative biomarker proteins to differentiate ALS from controls, while the y-axis represents the corresponding AUROC values, indicating their discriminatory performance.</w:t>
      </w:r>
    </w:p>
    <w:p w14:paraId="22489230" w14:textId="77777777" w:rsidR="00550FDE" w:rsidRPr="00EF2E78" w:rsidRDefault="00550FDE" w:rsidP="00550FDE">
      <w:pPr>
        <w:spacing w:line="360" w:lineRule="auto"/>
        <w:jc w:val="both"/>
        <w:rPr>
          <w:color w:val="000000" w:themeColor="text1"/>
          <w:sz w:val="20"/>
          <w:szCs w:val="20"/>
          <w:lang w:val="en-US"/>
        </w:rPr>
      </w:pPr>
      <w:r w:rsidRPr="00EF2E78">
        <w:rPr>
          <w:b/>
          <w:color w:val="000000" w:themeColor="text1"/>
          <w:sz w:val="20"/>
          <w:szCs w:val="20"/>
          <w:lang w:val="en-US"/>
        </w:rPr>
        <w:t xml:space="preserve">Abbreviations: </w:t>
      </w:r>
      <w:r w:rsidRPr="00EF2E78">
        <w:rPr>
          <w:color w:val="000000" w:themeColor="text1"/>
          <w:sz w:val="20"/>
          <w:szCs w:val="20"/>
          <w:lang w:val="en-US"/>
        </w:rPr>
        <w:t xml:space="preserve">AUROC, area under the receiver operating characteristics; CRYM, mu-crystallin; CAPZA2, f-actin-capping protein subunit alpha-2; ALDH16A1, aldehyde dehydrogenase family 16 member A1; PFKL, phosphofructokinase, liver type; SERPINC1, antithrombin-III; HP, haptoglobin; EIF2S2, eukaryotic translation initiation factor 2 subunit 2; GMPPA, mannose-1-phosphate </w:t>
      </w:r>
      <w:proofErr w:type="spellStart"/>
      <w:r w:rsidRPr="00EF2E78">
        <w:rPr>
          <w:color w:val="000000" w:themeColor="text1"/>
          <w:sz w:val="20"/>
          <w:szCs w:val="20"/>
          <w:lang w:val="en-US"/>
        </w:rPr>
        <w:t>guanyltransferase</w:t>
      </w:r>
      <w:proofErr w:type="spellEnd"/>
      <w:r w:rsidRPr="00EF2E78">
        <w:rPr>
          <w:color w:val="000000" w:themeColor="text1"/>
          <w:sz w:val="20"/>
          <w:szCs w:val="20"/>
          <w:lang w:val="en-US"/>
        </w:rPr>
        <w:t xml:space="preserve"> alpha; SCGB1D1, </w:t>
      </w:r>
      <w:proofErr w:type="spellStart"/>
      <w:r w:rsidRPr="00EF2E78">
        <w:rPr>
          <w:color w:val="000000" w:themeColor="text1"/>
          <w:sz w:val="20"/>
          <w:szCs w:val="20"/>
          <w:lang w:val="en-US"/>
        </w:rPr>
        <w:t>secretoglobin</w:t>
      </w:r>
      <w:proofErr w:type="spellEnd"/>
      <w:r w:rsidRPr="00EF2E78">
        <w:rPr>
          <w:color w:val="000000" w:themeColor="text1"/>
          <w:sz w:val="20"/>
          <w:szCs w:val="20"/>
          <w:lang w:val="en-US"/>
        </w:rPr>
        <w:t xml:space="preserve"> family 1D member 1.</w:t>
      </w:r>
    </w:p>
    <w:p w14:paraId="1409F843" w14:textId="77777777" w:rsidR="00B9781E" w:rsidRPr="00EF2E78" w:rsidRDefault="00B9781E" w:rsidP="003F75FB">
      <w:pPr>
        <w:spacing w:line="360" w:lineRule="auto"/>
        <w:jc w:val="both"/>
        <w:rPr>
          <w:color w:val="000000" w:themeColor="text1"/>
          <w:sz w:val="20"/>
          <w:szCs w:val="20"/>
          <w:lang w:val="en-US"/>
        </w:rPr>
      </w:pPr>
    </w:p>
    <w:p w14:paraId="1DDED235" w14:textId="77777777" w:rsidR="003F75FB" w:rsidRPr="00EF2E78" w:rsidRDefault="003F75FB">
      <w:pPr>
        <w:rPr>
          <w:b/>
          <w:bCs/>
          <w:color w:val="000000" w:themeColor="text1"/>
          <w:sz w:val="24"/>
          <w:szCs w:val="24"/>
          <w:lang w:val="en-US"/>
        </w:rPr>
      </w:pPr>
      <w:r w:rsidRPr="00EF2E78">
        <w:rPr>
          <w:lang w:val="en-US"/>
        </w:rPr>
        <w:br w:type="page"/>
      </w:r>
    </w:p>
    <w:p w14:paraId="0E9BDD6E" w14:textId="32A92435" w:rsidR="003F75FB" w:rsidRPr="00EF2E78" w:rsidRDefault="00000000" w:rsidP="003F75FB">
      <w:pPr>
        <w:pStyle w:val="Heading1"/>
      </w:pPr>
      <w:bookmarkStart w:id="28" w:name="_Toc204006058"/>
      <w:r w:rsidRPr="00EF2E78">
        <w:lastRenderedPageBreak/>
        <w:t>Supplementary Tables</w:t>
      </w:r>
      <w:bookmarkEnd w:id="28"/>
      <w:r w:rsidRPr="00EF2E78">
        <w:t xml:space="preserve"> </w:t>
      </w:r>
      <w:bookmarkStart w:id="29" w:name="_3j2njz3p8va9" w:colFirst="0" w:colLast="0"/>
      <w:bookmarkEnd w:id="29"/>
    </w:p>
    <w:p w14:paraId="2C571ADC" w14:textId="77777777" w:rsidR="003F75FB" w:rsidRPr="00EF2E78" w:rsidRDefault="003F75FB" w:rsidP="003F75FB">
      <w:pPr>
        <w:rPr>
          <w:lang w:val="en-US"/>
        </w:rPr>
      </w:pPr>
    </w:p>
    <w:tbl>
      <w:tblPr>
        <w:tblStyle w:val="TableGrid"/>
        <w:tblW w:w="849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23"/>
        <w:gridCol w:w="1467"/>
        <w:gridCol w:w="1467"/>
        <w:gridCol w:w="1467"/>
        <w:gridCol w:w="1467"/>
      </w:tblGrid>
      <w:tr w:rsidR="003F75FB" w:rsidRPr="00EF2E78" w14:paraId="041815FF" w14:textId="77777777" w:rsidTr="006D776E">
        <w:trPr>
          <w:trHeight w:val="255"/>
        </w:trPr>
        <w:tc>
          <w:tcPr>
            <w:tcW w:w="2537" w:type="dxa"/>
            <w:tcBorders>
              <w:bottom w:val="single" w:sz="12" w:space="0" w:color="000000"/>
            </w:tcBorders>
          </w:tcPr>
          <w:p w14:paraId="72C6C28A" w14:textId="77777777" w:rsidR="003F75FB" w:rsidRPr="00EF2E78" w:rsidRDefault="003F75FB" w:rsidP="006D776E">
            <w:pPr>
              <w:rPr>
                <w:rFonts w:ascii="Arial" w:hAnsi="Arial" w:cs="Arial"/>
                <w:b/>
                <w:bCs/>
                <w:sz w:val="16"/>
                <w:szCs w:val="16"/>
              </w:rPr>
            </w:pPr>
            <w:proofErr w:type="spellStart"/>
            <w:r w:rsidRPr="00EF2E78">
              <w:rPr>
                <w:rFonts w:ascii="Arial" w:hAnsi="Arial" w:cs="Arial"/>
                <w:b/>
                <w:bCs/>
                <w:sz w:val="16"/>
                <w:szCs w:val="16"/>
              </w:rPr>
              <w:t>Machine</w:t>
            </w:r>
            <w:proofErr w:type="spellEnd"/>
            <w:r w:rsidRPr="00EF2E78">
              <w:rPr>
                <w:rFonts w:ascii="Arial" w:hAnsi="Arial" w:cs="Arial"/>
                <w:b/>
                <w:bCs/>
                <w:sz w:val="16"/>
                <w:szCs w:val="16"/>
              </w:rPr>
              <w:t xml:space="preserve"> </w:t>
            </w:r>
            <w:proofErr w:type="spellStart"/>
            <w:r w:rsidRPr="00EF2E78">
              <w:rPr>
                <w:rFonts w:ascii="Arial" w:hAnsi="Arial" w:cs="Arial"/>
                <w:b/>
                <w:bCs/>
                <w:sz w:val="16"/>
                <w:szCs w:val="16"/>
              </w:rPr>
              <w:t>learning</w:t>
            </w:r>
            <w:proofErr w:type="spellEnd"/>
            <w:r w:rsidRPr="00EF2E78">
              <w:rPr>
                <w:rFonts w:ascii="Arial" w:hAnsi="Arial" w:cs="Arial"/>
                <w:b/>
                <w:bCs/>
                <w:sz w:val="16"/>
                <w:szCs w:val="16"/>
              </w:rPr>
              <w:t xml:space="preserve"> </w:t>
            </w:r>
            <w:proofErr w:type="spellStart"/>
            <w:r w:rsidRPr="00EF2E78">
              <w:rPr>
                <w:rFonts w:ascii="Arial" w:hAnsi="Arial" w:cs="Arial"/>
                <w:b/>
                <w:bCs/>
                <w:sz w:val="16"/>
                <w:szCs w:val="16"/>
              </w:rPr>
              <w:t>algorithm</w:t>
            </w:r>
            <w:proofErr w:type="spellEnd"/>
          </w:p>
        </w:tc>
        <w:tc>
          <w:tcPr>
            <w:tcW w:w="1418" w:type="dxa"/>
            <w:tcBorders>
              <w:top w:val="single" w:sz="12" w:space="0" w:color="000000"/>
              <w:bottom w:val="single" w:sz="12" w:space="0" w:color="000000"/>
            </w:tcBorders>
          </w:tcPr>
          <w:p w14:paraId="4E2225A3" w14:textId="77777777" w:rsidR="003F75FB" w:rsidRPr="00EF2E78" w:rsidRDefault="003F75FB" w:rsidP="006D776E">
            <w:pPr>
              <w:rPr>
                <w:rFonts w:ascii="Arial" w:hAnsi="Arial" w:cs="Arial"/>
                <w:sz w:val="16"/>
                <w:szCs w:val="16"/>
              </w:rPr>
            </w:pPr>
            <w:proofErr w:type="spellStart"/>
            <w:r w:rsidRPr="00EF2E78">
              <w:rPr>
                <w:rFonts w:ascii="Arial" w:hAnsi="Arial" w:cs="Arial"/>
                <w:b/>
                <w:bCs/>
                <w:sz w:val="16"/>
                <w:szCs w:val="16"/>
              </w:rPr>
              <w:t>Sensitivity</w:t>
            </w:r>
            <w:proofErr w:type="spellEnd"/>
            <w:r w:rsidRPr="00EF2E78">
              <w:rPr>
                <w:rFonts w:ascii="Arial" w:hAnsi="Arial" w:cs="Arial"/>
                <w:b/>
                <w:bCs/>
                <w:sz w:val="16"/>
                <w:szCs w:val="16"/>
              </w:rPr>
              <w:t xml:space="preserve"> [%]</w:t>
            </w:r>
          </w:p>
        </w:tc>
        <w:tc>
          <w:tcPr>
            <w:tcW w:w="1418" w:type="dxa"/>
            <w:tcBorders>
              <w:top w:val="single" w:sz="12" w:space="0" w:color="000000"/>
              <w:bottom w:val="single" w:sz="12" w:space="0" w:color="000000"/>
            </w:tcBorders>
          </w:tcPr>
          <w:p w14:paraId="0F0AC1A6" w14:textId="77777777" w:rsidR="003F75FB" w:rsidRPr="00EF2E78" w:rsidRDefault="003F75FB" w:rsidP="006D776E">
            <w:pPr>
              <w:rPr>
                <w:rFonts w:ascii="Arial" w:hAnsi="Arial" w:cs="Arial"/>
                <w:b/>
                <w:bCs/>
                <w:sz w:val="16"/>
                <w:szCs w:val="16"/>
              </w:rPr>
            </w:pPr>
            <w:r w:rsidRPr="00EF2E78">
              <w:rPr>
                <w:rFonts w:ascii="Arial" w:hAnsi="Arial" w:cs="Arial"/>
                <w:b/>
                <w:bCs/>
                <w:sz w:val="16"/>
                <w:szCs w:val="16"/>
              </w:rPr>
              <w:t xml:space="preserve">Error </w:t>
            </w:r>
          </w:p>
          <w:p w14:paraId="2AB3B235" w14:textId="77777777" w:rsidR="003F75FB" w:rsidRPr="00EF2E78" w:rsidRDefault="003F75FB" w:rsidP="006D776E">
            <w:pPr>
              <w:rPr>
                <w:rFonts w:ascii="Arial" w:hAnsi="Arial" w:cs="Arial"/>
                <w:b/>
                <w:bCs/>
                <w:sz w:val="16"/>
                <w:szCs w:val="16"/>
              </w:rPr>
            </w:pPr>
            <w:proofErr w:type="spellStart"/>
            <w:r w:rsidRPr="00EF2E78">
              <w:rPr>
                <w:rFonts w:ascii="Arial" w:hAnsi="Arial" w:cs="Arial"/>
                <w:b/>
                <w:bCs/>
                <w:sz w:val="16"/>
                <w:szCs w:val="16"/>
              </w:rPr>
              <w:t>sensitivity</w:t>
            </w:r>
            <w:proofErr w:type="spellEnd"/>
            <w:r w:rsidRPr="00EF2E78">
              <w:rPr>
                <w:rFonts w:ascii="Arial" w:hAnsi="Arial" w:cs="Arial"/>
                <w:b/>
                <w:bCs/>
                <w:sz w:val="16"/>
                <w:szCs w:val="16"/>
              </w:rPr>
              <w:t xml:space="preserve"> [%]</w:t>
            </w:r>
          </w:p>
        </w:tc>
        <w:tc>
          <w:tcPr>
            <w:tcW w:w="1418" w:type="dxa"/>
            <w:tcBorders>
              <w:top w:val="single" w:sz="12" w:space="0" w:color="000000"/>
              <w:bottom w:val="single" w:sz="12" w:space="0" w:color="000000"/>
            </w:tcBorders>
          </w:tcPr>
          <w:p w14:paraId="4AC857DF" w14:textId="77777777" w:rsidR="003F75FB" w:rsidRPr="00EF2E78" w:rsidRDefault="003F75FB" w:rsidP="006D776E">
            <w:pPr>
              <w:rPr>
                <w:rFonts w:ascii="Arial" w:hAnsi="Arial" w:cs="Arial"/>
                <w:sz w:val="16"/>
                <w:szCs w:val="16"/>
              </w:rPr>
            </w:pPr>
            <w:proofErr w:type="spellStart"/>
            <w:r w:rsidRPr="00EF2E78">
              <w:rPr>
                <w:rFonts w:ascii="Arial" w:hAnsi="Arial" w:cs="Arial"/>
                <w:b/>
                <w:bCs/>
                <w:sz w:val="16"/>
                <w:szCs w:val="16"/>
              </w:rPr>
              <w:t>Specificity</w:t>
            </w:r>
            <w:proofErr w:type="spellEnd"/>
            <w:r w:rsidRPr="00EF2E78">
              <w:rPr>
                <w:rFonts w:ascii="Arial" w:hAnsi="Arial" w:cs="Arial"/>
                <w:b/>
                <w:bCs/>
                <w:sz w:val="16"/>
                <w:szCs w:val="16"/>
              </w:rPr>
              <w:t xml:space="preserve"> [%]</w:t>
            </w:r>
          </w:p>
        </w:tc>
        <w:tc>
          <w:tcPr>
            <w:tcW w:w="1418" w:type="dxa"/>
            <w:tcBorders>
              <w:top w:val="single" w:sz="12" w:space="0" w:color="000000"/>
              <w:bottom w:val="single" w:sz="12" w:space="0" w:color="000000"/>
            </w:tcBorders>
          </w:tcPr>
          <w:p w14:paraId="02DFDDD5" w14:textId="77777777" w:rsidR="003F75FB" w:rsidRPr="00EF2E78" w:rsidRDefault="003F75FB" w:rsidP="006D776E">
            <w:pPr>
              <w:rPr>
                <w:rFonts w:ascii="Arial" w:hAnsi="Arial" w:cs="Arial"/>
                <w:b/>
                <w:bCs/>
                <w:sz w:val="16"/>
                <w:szCs w:val="16"/>
              </w:rPr>
            </w:pPr>
            <w:r w:rsidRPr="00EF2E78">
              <w:rPr>
                <w:rFonts w:ascii="Arial" w:hAnsi="Arial" w:cs="Arial"/>
                <w:b/>
                <w:bCs/>
                <w:sz w:val="16"/>
                <w:szCs w:val="16"/>
              </w:rPr>
              <w:t xml:space="preserve">Error </w:t>
            </w:r>
          </w:p>
          <w:p w14:paraId="614DE35B" w14:textId="77777777" w:rsidR="003F75FB" w:rsidRPr="00EF2E78" w:rsidRDefault="003F75FB" w:rsidP="006D776E">
            <w:pPr>
              <w:rPr>
                <w:rFonts w:ascii="Arial" w:hAnsi="Arial" w:cs="Arial"/>
                <w:b/>
                <w:bCs/>
                <w:sz w:val="16"/>
                <w:szCs w:val="16"/>
              </w:rPr>
            </w:pPr>
            <w:proofErr w:type="spellStart"/>
            <w:r w:rsidRPr="00EF2E78">
              <w:rPr>
                <w:rFonts w:ascii="Arial" w:hAnsi="Arial" w:cs="Arial"/>
                <w:b/>
                <w:bCs/>
                <w:sz w:val="16"/>
                <w:szCs w:val="16"/>
              </w:rPr>
              <w:t>specificity</w:t>
            </w:r>
            <w:proofErr w:type="spellEnd"/>
            <w:r w:rsidRPr="00EF2E78">
              <w:rPr>
                <w:rFonts w:ascii="Arial" w:hAnsi="Arial" w:cs="Arial"/>
                <w:b/>
                <w:bCs/>
                <w:sz w:val="16"/>
                <w:szCs w:val="16"/>
              </w:rPr>
              <w:t xml:space="preserve"> [%]</w:t>
            </w:r>
          </w:p>
        </w:tc>
      </w:tr>
      <w:tr w:rsidR="003F75FB" w:rsidRPr="00EF2E78" w14:paraId="1B567C44" w14:textId="77777777" w:rsidTr="006D776E">
        <w:trPr>
          <w:trHeight w:val="255"/>
        </w:trPr>
        <w:tc>
          <w:tcPr>
            <w:tcW w:w="2537" w:type="dxa"/>
            <w:tcBorders>
              <w:top w:val="single" w:sz="12" w:space="0" w:color="000000"/>
            </w:tcBorders>
          </w:tcPr>
          <w:p w14:paraId="2B108C63" w14:textId="77777777" w:rsidR="003F75FB" w:rsidRPr="00EF2E78" w:rsidRDefault="003F75FB" w:rsidP="006D776E">
            <w:pPr>
              <w:rPr>
                <w:rFonts w:ascii="Arial" w:hAnsi="Arial" w:cs="Arial"/>
                <w:sz w:val="16"/>
                <w:szCs w:val="16"/>
              </w:rPr>
            </w:pPr>
            <w:r w:rsidRPr="00EF2E78">
              <w:rPr>
                <w:rFonts w:ascii="Arial" w:hAnsi="Arial" w:cs="Arial"/>
                <w:sz w:val="16"/>
                <w:szCs w:val="16"/>
              </w:rPr>
              <w:t xml:space="preserve">SVM linear </w:t>
            </w:r>
            <w:proofErr w:type="spellStart"/>
            <w:r w:rsidRPr="00EF2E78">
              <w:rPr>
                <w:rFonts w:ascii="Arial" w:hAnsi="Arial" w:cs="Arial"/>
                <w:sz w:val="16"/>
                <w:szCs w:val="16"/>
              </w:rPr>
              <w:t>kernel</w:t>
            </w:r>
            <w:proofErr w:type="spellEnd"/>
          </w:p>
        </w:tc>
        <w:tc>
          <w:tcPr>
            <w:tcW w:w="1418" w:type="dxa"/>
            <w:tcBorders>
              <w:top w:val="single" w:sz="12" w:space="0" w:color="000000"/>
            </w:tcBorders>
          </w:tcPr>
          <w:p w14:paraId="34E68702" w14:textId="0D7EA1C6" w:rsidR="003F75FB" w:rsidRPr="00EF2E78" w:rsidRDefault="003F75FB" w:rsidP="006D776E">
            <w:pPr>
              <w:rPr>
                <w:rFonts w:ascii="Arial" w:hAnsi="Arial" w:cs="Arial"/>
                <w:sz w:val="16"/>
                <w:szCs w:val="16"/>
              </w:rPr>
            </w:pPr>
            <w:r w:rsidRPr="00EF2E78">
              <w:rPr>
                <w:rFonts w:ascii="Arial" w:hAnsi="Arial" w:cs="Arial"/>
                <w:sz w:val="16"/>
                <w:szCs w:val="16"/>
              </w:rPr>
              <w:t>80</w:t>
            </w:r>
            <w:r w:rsidR="00C5674B" w:rsidRPr="00EF2E78">
              <w:rPr>
                <w:rFonts w:ascii="Arial" w:hAnsi="Arial" w:cs="Arial"/>
                <w:sz w:val="16"/>
                <w:szCs w:val="16"/>
              </w:rPr>
              <w:t>.</w:t>
            </w:r>
            <w:r w:rsidRPr="00EF2E78">
              <w:rPr>
                <w:rFonts w:ascii="Arial" w:hAnsi="Arial" w:cs="Arial"/>
                <w:sz w:val="16"/>
                <w:szCs w:val="16"/>
              </w:rPr>
              <w:t>79</w:t>
            </w:r>
          </w:p>
        </w:tc>
        <w:tc>
          <w:tcPr>
            <w:tcW w:w="1418" w:type="dxa"/>
            <w:tcBorders>
              <w:top w:val="single" w:sz="12" w:space="0" w:color="000000"/>
            </w:tcBorders>
          </w:tcPr>
          <w:p w14:paraId="0AD637CA" w14:textId="766044E9" w:rsidR="003F75FB" w:rsidRPr="00EF2E78" w:rsidRDefault="003F75FB" w:rsidP="006D776E">
            <w:pPr>
              <w:rPr>
                <w:rFonts w:ascii="Arial" w:hAnsi="Arial" w:cs="Arial"/>
                <w:sz w:val="16"/>
                <w:szCs w:val="16"/>
              </w:rPr>
            </w:pPr>
            <w:r w:rsidRPr="00EF2E78">
              <w:rPr>
                <w:rFonts w:ascii="Arial" w:hAnsi="Arial" w:cs="Arial"/>
                <w:sz w:val="16"/>
                <w:szCs w:val="16"/>
              </w:rPr>
              <w:t>11</w:t>
            </w:r>
            <w:r w:rsidR="00C5674B" w:rsidRPr="00EF2E78">
              <w:rPr>
                <w:rFonts w:ascii="Arial" w:hAnsi="Arial" w:cs="Arial"/>
                <w:sz w:val="16"/>
                <w:szCs w:val="16"/>
              </w:rPr>
              <w:t>.</w:t>
            </w:r>
            <w:r w:rsidRPr="00EF2E78">
              <w:rPr>
                <w:rFonts w:ascii="Arial" w:hAnsi="Arial" w:cs="Arial"/>
                <w:sz w:val="16"/>
                <w:szCs w:val="16"/>
              </w:rPr>
              <w:t>11</w:t>
            </w:r>
          </w:p>
        </w:tc>
        <w:tc>
          <w:tcPr>
            <w:tcW w:w="1418" w:type="dxa"/>
            <w:tcBorders>
              <w:top w:val="single" w:sz="12" w:space="0" w:color="000000"/>
            </w:tcBorders>
          </w:tcPr>
          <w:p w14:paraId="5726EE9D" w14:textId="552C7E42" w:rsidR="003F75FB" w:rsidRPr="00EF2E78" w:rsidRDefault="003F75FB" w:rsidP="006D776E">
            <w:pPr>
              <w:rPr>
                <w:rFonts w:ascii="Arial" w:hAnsi="Arial" w:cs="Arial"/>
                <w:sz w:val="16"/>
                <w:szCs w:val="16"/>
              </w:rPr>
            </w:pPr>
            <w:r w:rsidRPr="00EF2E78">
              <w:rPr>
                <w:rFonts w:ascii="Arial" w:hAnsi="Arial" w:cs="Arial"/>
                <w:sz w:val="16"/>
                <w:szCs w:val="16"/>
              </w:rPr>
              <w:t>73</w:t>
            </w:r>
            <w:r w:rsidR="00C5674B" w:rsidRPr="00EF2E78">
              <w:rPr>
                <w:rFonts w:ascii="Arial" w:hAnsi="Arial" w:cs="Arial"/>
                <w:sz w:val="16"/>
                <w:szCs w:val="16"/>
              </w:rPr>
              <w:t>.</w:t>
            </w:r>
            <w:r w:rsidRPr="00EF2E78">
              <w:rPr>
                <w:rFonts w:ascii="Arial" w:hAnsi="Arial" w:cs="Arial"/>
                <w:sz w:val="16"/>
                <w:szCs w:val="16"/>
              </w:rPr>
              <w:t>59</w:t>
            </w:r>
          </w:p>
        </w:tc>
        <w:tc>
          <w:tcPr>
            <w:tcW w:w="1418" w:type="dxa"/>
            <w:tcBorders>
              <w:top w:val="single" w:sz="12" w:space="0" w:color="000000"/>
            </w:tcBorders>
          </w:tcPr>
          <w:p w14:paraId="0B9CD9A6" w14:textId="0D9718EB" w:rsidR="003F75FB" w:rsidRPr="00EF2E78" w:rsidRDefault="003F75FB" w:rsidP="006D776E">
            <w:pPr>
              <w:rPr>
                <w:rFonts w:ascii="Arial" w:hAnsi="Arial" w:cs="Arial"/>
                <w:sz w:val="16"/>
                <w:szCs w:val="16"/>
              </w:rPr>
            </w:pPr>
            <w:r w:rsidRPr="00EF2E78">
              <w:rPr>
                <w:rFonts w:ascii="Arial" w:hAnsi="Arial" w:cs="Arial"/>
                <w:sz w:val="16"/>
                <w:szCs w:val="16"/>
              </w:rPr>
              <w:t>9</w:t>
            </w:r>
            <w:r w:rsidR="00C5674B" w:rsidRPr="00EF2E78">
              <w:rPr>
                <w:rFonts w:ascii="Arial" w:hAnsi="Arial" w:cs="Arial"/>
                <w:sz w:val="16"/>
                <w:szCs w:val="16"/>
              </w:rPr>
              <w:t>.</w:t>
            </w:r>
            <w:r w:rsidRPr="00EF2E78">
              <w:rPr>
                <w:rFonts w:ascii="Arial" w:hAnsi="Arial" w:cs="Arial"/>
                <w:sz w:val="16"/>
                <w:szCs w:val="16"/>
              </w:rPr>
              <w:t>63</w:t>
            </w:r>
          </w:p>
        </w:tc>
      </w:tr>
      <w:tr w:rsidR="003F75FB" w:rsidRPr="00EF2E78" w14:paraId="5D63CBCE" w14:textId="77777777" w:rsidTr="006D776E">
        <w:trPr>
          <w:trHeight w:val="255"/>
        </w:trPr>
        <w:tc>
          <w:tcPr>
            <w:tcW w:w="2537" w:type="dxa"/>
          </w:tcPr>
          <w:p w14:paraId="5FE9F0B4" w14:textId="77777777" w:rsidR="003F75FB" w:rsidRPr="00EF2E78" w:rsidRDefault="003F75FB" w:rsidP="006D776E">
            <w:pPr>
              <w:rPr>
                <w:rFonts w:ascii="Arial" w:hAnsi="Arial" w:cs="Arial"/>
                <w:sz w:val="16"/>
                <w:szCs w:val="16"/>
              </w:rPr>
            </w:pPr>
            <w:r w:rsidRPr="00EF2E78">
              <w:rPr>
                <w:rFonts w:ascii="Arial" w:hAnsi="Arial" w:cs="Arial"/>
                <w:sz w:val="16"/>
                <w:szCs w:val="16"/>
              </w:rPr>
              <w:t xml:space="preserve">SVM radial </w:t>
            </w:r>
            <w:proofErr w:type="spellStart"/>
            <w:r w:rsidRPr="00EF2E78">
              <w:rPr>
                <w:rFonts w:ascii="Arial" w:hAnsi="Arial" w:cs="Arial"/>
                <w:sz w:val="16"/>
                <w:szCs w:val="16"/>
              </w:rPr>
              <w:t>kernel</w:t>
            </w:r>
            <w:proofErr w:type="spellEnd"/>
            <w:r w:rsidRPr="00EF2E78">
              <w:rPr>
                <w:rFonts w:ascii="Arial" w:hAnsi="Arial" w:cs="Arial"/>
                <w:sz w:val="16"/>
                <w:szCs w:val="16"/>
              </w:rPr>
              <w:t xml:space="preserve"> </w:t>
            </w:r>
          </w:p>
        </w:tc>
        <w:tc>
          <w:tcPr>
            <w:tcW w:w="1418" w:type="dxa"/>
          </w:tcPr>
          <w:p w14:paraId="2CC4057B" w14:textId="3C122952" w:rsidR="003F75FB" w:rsidRPr="00EF2E78" w:rsidRDefault="003F75FB" w:rsidP="006D776E">
            <w:pPr>
              <w:rPr>
                <w:rFonts w:ascii="Arial" w:hAnsi="Arial" w:cs="Arial"/>
                <w:sz w:val="16"/>
                <w:szCs w:val="16"/>
              </w:rPr>
            </w:pPr>
            <w:r w:rsidRPr="00EF2E78">
              <w:rPr>
                <w:rFonts w:ascii="Arial" w:hAnsi="Arial" w:cs="Arial"/>
                <w:sz w:val="16"/>
                <w:szCs w:val="16"/>
              </w:rPr>
              <w:t>78</w:t>
            </w:r>
            <w:r w:rsidR="00C5674B" w:rsidRPr="00EF2E78">
              <w:rPr>
                <w:rFonts w:ascii="Arial" w:hAnsi="Arial" w:cs="Arial"/>
                <w:sz w:val="16"/>
                <w:szCs w:val="16"/>
              </w:rPr>
              <w:t>.</w:t>
            </w:r>
            <w:r w:rsidRPr="00EF2E78">
              <w:rPr>
                <w:rFonts w:ascii="Arial" w:hAnsi="Arial" w:cs="Arial"/>
                <w:sz w:val="16"/>
                <w:szCs w:val="16"/>
              </w:rPr>
              <w:t>46</w:t>
            </w:r>
          </w:p>
        </w:tc>
        <w:tc>
          <w:tcPr>
            <w:tcW w:w="1418" w:type="dxa"/>
          </w:tcPr>
          <w:p w14:paraId="7712FC39" w14:textId="54C9BF25" w:rsidR="003F75FB" w:rsidRPr="00EF2E78" w:rsidRDefault="003F75FB" w:rsidP="006D776E">
            <w:pPr>
              <w:rPr>
                <w:rFonts w:ascii="Arial" w:hAnsi="Arial" w:cs="Arial"/>
                <w:sz w:val="16"/>
                <w:szCs w:val="16"/>
              </w:rPr>
            </w:pPr>
            <w:r w:rsidRPr="00EF2E78">
              <w:rPr>
                <w:rFonts w:ascii="Arial" w:hAnsi="Arial" w:cs="Arial"/>
                <w:sz w:val="16"/>
                <w:szCs w:val="16"/>
              </w:rPr>
              <w:t>11</w:t>
            </w:r>
            <w:r w:rsidR="00C5674B" w:rsidRPr="00EF2E78">
              <w:rPr>
                <w:rFonts w:ascii="Arial" w:hAnsi="Arial" w:cs="Arial"/>
                <w:sz w:val="16"/>
                <w:szCs w:val="16"/>
              </w:rPr>
              <w:t>.</w:t>
            </w:r>
            <w:r w:rsidRPr="00EF2E78">
              <w:rPr>
                <w:rFonts w:ascii="Arial" w:hAnsi="Arial" w:cs="Arial"/>
                <w:sz w:val="16"/>
                <w:szCs w:val="16"/>
              </w:rPr>
              <w:t>02</w:t>
            </w:r>
          </w:p>
        </w:tc>
        <w:tc>
          <w:tcPr>
            <w:tcW w:w="1418" w:type="dxa"/>
          </w:tcPr>
          <w:p w14:paraId="2E630DEB" w14:textId="354494C1" w:rsidR="003F75FB" w:rsidRPr="00EF2E78" w:rsidRDefault="003F75FB" w:rsidP="006D776E">
            <w:pPr>
              <w:rPr>
                <w:rFonts w:ascii="Arial" w:hAnsi="Arial" w:cs="Arial"/>
                <w:sz w:val="16"/>
                <w:szCs w:val="16"/>
              </w:rPr>
            </w:pPr>
            <w:r w:rsidRPr="00EF2E78">
              <w:rPr>
                <w:rFonts w:ascii="Arial" w:hAnsi="Arial" w:cs="Arial"/>
                <w:sz w:val="16"/>
                <w:szCs w:val="16"/>
              </w:rPr>
              <w:t>71</w:t>
            </w:r>
            <w:r w:rsidR="00C5674B" w:rsidRPr="00EF2E78">
              <w:rPr>
                <w:rFonts w:ascii="Arial" w:hAnsi="Arial" w:cs="Arial"/>
                <w:sz w:val="16"/>
                <w:szCs w:val="16"/>
              </w:rPr>
              <w:t>.</w:t>
            </w:r>
            <w:r w:rsidRPr="00EF2E78">
              <w:rPr>
                <w:rFonts w:ascii="Arial" w:hAnsi="Arial" w:cs="Arial"/>
                <w:sz w:val="16"/>
                <w:szCs w:val="16"/>
              </w:rPr>
              <w:t>44</w:t>
            </w:r>
          </w:p>
        </w:tc>
        <w:tc>
          <w:tcPr>
            <w:tcW w:w="1418" w:type="dxa"/>
          </w:tcPr>
          <w:p w14:paraId="2919C9EA" w14:textId="0C116ED1" w:rsidR="003F75FB" w:rsidRPr="00EF2E78" w:rsidRDefault="003F75FB" w:rsidP="006D776E">
            <w:pPr>
              <w:rPr>
                <w:rFonts w:ascii="Arial" w:hAnsi="Arial" w:cs="Arial"/>
                <w:sz w:val="16"/>
                <w:szCs w:val="16"/>
              </w:rPr>
            </w:pPr>
            <w:r w:rsidRPr="00EF2E78">
              <w:rPr>
                <w:rFonts w:ascii="Arial" w:hAnsi="Arial" w:cs="Arial"/>
                <w:sz w:val="16"/>
                <w:szCs w:val="16"/>
              </w:rPr>
              <w:t>10</w:t>
            </w:r>
            <w:r w:rsidR="00C5674B" w:rsidRPr="00EF2E78">
              <w:rPr>
                <w:rFonts w:ascii="Arial" w:hAnsi="Arial" w:cs="Arial"/>
                <w:sz w:val="16"/>
                <w:szCs w:val="16"/>
              </w:rPr>
              <w:t>.</w:t>
            </w:r>
            <w:r w:rsidRPr="00EF2E78">
              <w:rPr>
                <w:rFonts w:ascii="Arial" w:hAnsi="Arial" w:cs="Arial"/>
                <w:sz w:val="16"/>
                <w:szCs w:val="16"/>
              </w:rPr>
              <w:t>25</w:t>
            </w:r>
          </w:p>
        </w:tc>
      </w:tr>
      <w:tr w:rsidR="003F75FB" w:rsidRPr="00EF2E78" w14:paraId="317C2409" w14:textId="77777777" w:rsidTr="006D776E">
        <w:trPr>
          <w:trHeight w:val="255"/>
        </w:trPr>
        <w:tc>
          <w:tcPr>
            <w:tcW w:w="2537" w:type="dxa"/>
          </w:tcPr>
          <w:p w14:paraId="588E87B5" w14:textId="77777777" w:rsidR="003F75FB" w:rsidRPr="00EF2E78" w:rsidRDefault="003F75FB" w:rsidP="006D776E">
            <w:pPr>
              <w:rPr>
                <w:rFonts w:ascii="Arial" w:hAnsi="Arial" w:cs="Arial"/>
                <w:sz w:val="16"/>
                <w:szCs w:val="16"/>
              </w:rPr>
            </w:pPr>
            <w:r w:rsidRPr="00EF2E78">
              <w:rPr>
                <w:rFonts w:ascii="Arial" w:hAnsi="Arial" w:cs="Arial"/>
                <w:sz w:val="16"/>
                <w:szCs w:val="16"/>
              </w:rPr>
              <w:t xml:space="preserve">Random </w:t>
            </w:r>
            <w:proofErr w:type="spellStart"/>
            <w:r w:rsidRPr="00EF2E78">
              <w:rPr>
                <w:rFonts w:ascii="Arial" w:hAnsi="Arial" w:cs="Arial"/>
                <w:sz w:val="16"/>
                <w:szCs w:val="16"/>
              </w:rPr>
              <w:t>forest</w:t>
            </w:r>
            <w:proofErr w:type="spellEnd"/>
          </w:p>
        </w:tc>
        <w:tc>
          <w:tcPr>
            <w:tcW w:w="1418" w:type="dxa"/>
          </w:tcPr>
          <w:p w14:paraId="6EF91DD7" w14:textId="6DFF619A" w:rsidR="003F75FB" w:rsidRPr="00EF2E78" w:rsidRDefault="003F75FB" w:rsidP="006D776E">
            <w:pPr>
              <w:rPr>
                <w:rFonts w:ascii="Arial" w:hAnsi="Arial" w:cs="Arial"/>
                <w:sz w:val="16"/>
                <w:szCs w:val="16"/>
              </w:rPr>
            </w:pPr>
            <w:r w:rsidRPr="00EF2E78">
              <w:rPr>
                <w:rFonts w:ascii="Arial" w:hAnsi="Arial" w:cs="Arial"/>
                <w:sz w:val="16"/>
                <w:szCs w:val="16"/>
              </w:rPr>
              <w:t>73</w:t>
            </w:r>
            <w:r w:rsidR="00C5674B" w:rsidRPr="00EF2E78">
              <w:rPr>
                <w:rFonts w:ascii="Arial" w:hAnsi="Arial" w:cs="Arial"/>
                <w:sz w:val="16"/>
                <w:szCs w:val="16"/>
              </w:rPr>
              <w:t>.</w:t>
            </w:r>
            <w:r w:rsidRPr="00EF2E78">
              <w:rPr>
                <w:rFonts w:ascii="Arial" w:hAnsi="Arial" w:cs="Arial"/>
                <w:sz w:val="16"/>
                <w:szCs w:val="16"/>
              </w:rPr>
              <w:t>81</w:t>
            </w:r>
          </w:p>
        </w:tc>
        <w:tc>
          <w:tcPr>
            <w:tcW w:w="1418" w:type="dxa"/>
          </w:tcPr>
          <w:p w14:paraId="65FAC14E" w14:textId="1906B366" w:rsidR="003F75FB" w:rsidRPr="00EF2E78" w:rsidRDefault="003F75FB" w:rsidP="006D776E">
            <w:pPr>
              <w:rPr>
                <w:rFonts w:ascii="Arial" w:hAnsi="Arial" w:cs="Arial"/>
                <w:sz w:val="16"/>
                <w:szCs w:val="16"/>
              </w:rPr>
            </w:pPr>
            <w:r w:rsidRPr="00EF2E78">
              <w:rPr>
                <w:rFonts w:ascii="Arial" w:hAnsi="Arial" w:cs="Arial"/>
                <w:sz w:val="16"/>
                <w:szCs w:val="16"/>
              </w:rPr>
              <w:t>12</w:t>
            </w:r>
            <w:r w:rsidR="00C5674B" w:rsidRPr="00EF2E78">
              <w:rPr>
                <w:rFonts w:ascii="Arial" w:hAnsi="Arial" w:cs="Arial"/>
                <w:sz w:val="16"/>
                <w:szCs w:val="16"/>
              </w:rPr>
              <w:t>.</w:t>
            </w:r>
            <w:r w:rsidRPr="00EF2E78">
              <w:rPr>
                <w:rFonts w:ascii="Arial" w:hAnsi="Arial" w:cs="Arial"/>
                <w:sz w:val="16"/>
                <w:szCs w:val="16"/>
              </w:rPr>
              <w:t>02</w:t>
            </w:r>
          </w:p>
        </w:tc>
        <w:tc>
          <w:tcPr>
            <w:tcW w:w="1418" w:type="dxa"/>
          </w:tcPr>
          <w:p w14:paraId="5FD6C572" w14:textId="4430E6A5" w:rsidR="003F75FB" w:rsidRPr="00EF2E78" w:rsidRDefault="003F75FB" w:rsidP="006D776E">
            <w:pPr>
              <w:rPr>
                <w:rFonts w:ascii="Arial" w:hAnsi="Arial" w:cs="Arial"/>
                <w:sz w:val="16"/>
                <w:szCs w:val="16"/>
              </w:rPr>
            </w:pPr>
            <w:r w:rsidRPr="00EF2E78">
              <w:rPr>
                <w:rFonts w:ascii="Arial" w:hAnsi="Arial" w:cs="Arial"/>
                <w:sz w:val="16"/>
                <w:szCs w:val="16"/>
              </w:rPr>
              <w:t>59</w:t>
            </w:r>
            <w:r w:rsidR="00C5674B" w:rsidRPr="00EF2E78">
              <w:rPr>
                <w:rFonts w:ascii="Arial" w:hAnsi="Arial" w:cs="Arial"/>
                <w:sz w:val="16"/>
                <w:szCs w:val="16"/>
              </w:rPr>
              <w:t>.</w:t>
            </w:r>
            <w:r w:rsidRPr="00EF2E78">
              <w:rPr>
                <w:rFonts w:ascii="Arial" w:hAnsi="Arial" w:cs="Arial"/>
                <w:sz w:val="16"/>
                <w:szCs w:val="16"/>
              </w:rPr>
              <w:t>30</w:t>
            </w:r>
          </w:p>
        </w:tc>
        <w:tc>
          <w:tcPr>
            <w:tcW w:w="1418" w:type="dxa"/>
          </w:tcPr>
          <w:p w14:paraId="4D6186C5" w14:textId="474664D0" w:rsidR="003F75FB" w:rsidRPr="00EF2E78" w:rsidRDefault="003F75FB" w:rsidP="006D776E">
            <w:pPr>
              <w:rPr>
                <w:rFonts w:ascii="Arial" w:hAnsi="Arial" w:cs="Arial"/>
                <w:sz w:val="16"/>
                <w:szCs w:val="16"/>
              </w:rPr>
            </w:pPr>
            <w:r w:rsidRPr="00EF2E78">
              <w:rPr>
                <w:rFonts w:ascii="Arial" w:hAnsi="Arial" w:cs="Arial"/>
                <w:sz w:val="16"/>
                <w:szCs w:val="16"/>
              </w:rPr>
              <w:t>10</w:t>
            </w:r>
            <w:r w:rsidR="00C5674B" w:rsidRPr="00EF2E78">
              <w:rPr>
                <w:rFonts w:ascii="Arial" w:hAnsi="Arial" w:cs="Arial"/>
                <w:sz w:val="16"/>
                <w:szCs w:val="16"/>
              </w:rPr>
              <w:t>.</w:t>
            </w:r>
            <w:r w:rsidRPr="00EF2E78">
              <w:rPr>
                <w:rFonts w:ascii="Arial" w:hAnsi="Arial" w:cs="Arial"/>
                <w:sz w:val="16"/>
                <w:szCs w:val="16"/>
              </w:rPr>
              <w:t>89</w:t>
            </w:r>
          </w:p>
        </w:tc>
      </w:tr>
      <w:tr w:rsidR="003F75FB" w:rsidRPr="00EF2E78" w14:paraId="0E428BF8" w14:textId="77777777" w:rsidTr="006D776E">
        <w:trPr>
          <w:trHeight w:val="255"/>
        </w:trPr>
        <w:tc>
          <w:tcPr>
            <w:tcW w:w="2537" w:type="dxa"/>
          </w:tcPr>
          <w:p w14:paraId="027F3967" w14:textId="77777777" w:rsidR="003F75FB" w:rsidRPr="00EF2E78" w:rsidRDefault="003F75FB" w:rsidP="006D776E">
            <w:pPr>
              <w:rPr>
                <w:rFonts w:ascii="Arial" w:hAnsi="Arial" w:cs="Arial"/>
                <w:sz w:val="16"/>
                <w:szCs w:val="16"/>
              </w:rPr>
            </w:pPr>
            <w:r w:rsidRPr="00EF2E78">
              <w:rPr>
                <w:rFonts w:ascii="Arial" w:hAnsi="Arial" w:cs="Arial"/>
                <w:sz w:val="16"/>
                <w:szCs w:val="16"/>
              </w:rPr>
              <w:t xml:space="preserve">Linear </w:t>
            </w:r>
            <w:proofErr w:type="spellStart"/>
            <w:r w:rsidRPr="00EF2E78">
              <w:rPr>
                <w:rFonts w:ascii="Arial" w:hAnsi="Arial" w:cs="Arial"/>
                <w:sz w:val="16"/>
                <w:szCs w:val="16"/>
              </w:rPr>
              <w:t>regression</w:t>
            </w:r>
            <w:proofErr w:type="spellEnd"/>
            <w:r w:rsidRPr="00EF2E78">
              <w:rPr>
                <w:rFonts w:ascii="Arial" w:hAnsi="Arial" w:cs="Arial"/>
                <w:sz w:val="16"/>
                <w:szCs w:val="16"/>
              </w:rPr>
              <w:t xml:space="preserve"> (</w:t>
            </w:r>
            <w:proofErr w:type="spellStart"/>
            <w:r w:rsidRPr="00EF2E78">
              <w:rPr>
                <w:rFonts w:ascii="Arial" w:hAnsi="Arial" w:cs="Arial"/>
                <w:sz w:val="16"/>
                <w:szCs w:val="16"/>
              </w:rPr>
              <w:t>lasso</w:t>
            </w:r>
            <w:proofErr w:type="spellEnd"/>
            <w:r w:rsidRPr="00EF2E78">
              <w:rPr>
                <w:rFonts w:ascii="Arial" w:hAnsi="Arial" w:cs="Arial"/>
                <w:sz w:val="16"/>
                <w:szCs w:val="16"/>
              </w:rPr>
              <w:t>)</w:t>
            </w:r>
          </w:p>
        </w:tc>
        <w:tc>
          <w:tcPr>
            <w:tcW w:w="1418" w:type="dxa"/>
          </w:tcPr>
          <w:p w14:paraId="65C9C682" w14:textId="0FB3B647" w:rsidR="003F75FB" w:rsidRPr="00EF2E78" w:rsidRDefault="003F75FB" w:rsidP="006D776E">
            <w:pPr>
              <w:rPr>
                <w:rFonts w:ascii="Arial" w:hAnsi="Arial" w:cs="Arial"/>
                <w:sz w:val="16"/>
                <w:szCs w:val="16"/>
              </w:rPr>
            </w:pPr>
            <w:r w:rsidRPr="00EF2E78">
              <w:rPr>
                <w:rFonts w:ascii="Arial" w:hAnsi="Arial" w:cs="Arial"/>
                <w:sz w:val="16"/>
                <w:szCs w:val="16"/>
              </w:rPr>
              <w:t>72</w:t>
            </w:r>
            <w:r w:rsidR="00C5674B" w:rsidRPr="00EF2E78">
              <w:rPr>
                <w:rFonts w:ascii="Arial" w:hAnsi="Arial" w:cs="Arial"/>
                <w:sz w:val="16"/>
                <w:szCs w:val="16"/>
              </w:rPr>
              <w:t>.</w:t>
            </w:r>
            <w:r w:rsidRPr="00EF2E78">
              <w:rPr>
                <w:rFonts w:ascii="Arial" w:hAnsi="Arial" w:cs="Arial"/>
                <w:sz w:val="16"/>
                <w:szCs w:val="16"/>
              </w:rPr>
              <w:t>68</w:t>
            </w:r>
          </w:p>
        </w:tc>
        <w:tc>
          <w:tcPr>
            <w:tcW w:w="1418" w:type="dxa"/>
          </w:tcPr>
          <w:p w14:paraId="08D15BDF" w14:textId="382F847E" w:rsidR="003F75FB" w:rsidRPr="00EF2E78" w:rsidRDefault="003F75FB" w:rsidP="006D776E">
            <w:pPr>
              <w:rPr>
                <w:rFonts w:ascii="Arial" w:hAnsi="Arial" w:cs="Arial"/>
                <w:sz w:val="16"/>
                <w:szCs w:val="16"/>
              </w:rPr>
            </w:pPr>
            <w:r w:rsidRPr="00EF2E78">
              <w:rPr>
                <w:rFonts w:ascii="Arial" w:hAnsi="Arial" w:cs="Arial"/>
                <w:sz w:val="16"/>
                <w:szCs w:val="16"/>
              </w:rPr>
              <w:t>11</w:t>
            </w:r>
            <w:r w:rsidR="00C5674B" w:rsidRPr="00EF2E78">
              <w:rPr>
                <w:rFonts w:ascii="Arial" w:hAnsi="Arial" w:cs="Arial"/>
                <w:sz w:val="16"/>
                <w:szCs w:val="16"/>
              </w:rPr>
              <w:t>.</w:t>
            </w:r>
            <w:r w:rsidRPr="00EF2E78">
              <w:rPr>
                <w:rFonts w:ascii="Arial" w:hAnsi="Arial" w:cs="Arial"/>
                <w:sz w:val="16"/>
                <w:szCs w:val="16"/>
              </w:rPr>
              <w:t>92</w:t>
            </w:r>
          </w:p>
        </w:tc>
        <w:tc>
          <w:tcPr>
            <w:tcW w:w="1418" w:type="dxa"/>
          </w:tcPr>
          <w:p w14:paraId="62BE410B" w14:textId="597AA858" w:rsidR="003F75FB" w:rsidRPr="00EF2E78" w:rsidRDefault="003F75FB" w:rsidP="006D776E">
            <w:pPr>
              <w:rPr>
                <w:rFonts w:ascii="Arial" w:hAnsi="Arial" w:cs="Arial"/>
                <w:sz w:val="16"/>
                <w:szCs w:val="16"/>
              </w:rPr>
            </w:pPr>
            <w:r w:rsidRPr="00EF2E78">
              <w:rPr>
                <w:rFonts w:ascii="Arial" w:hAnsi="Arial" w:cs="Arial"/>
                <w:sz w:val="16"/>
                <w:szCs w:val="16"/>
              </w:rPr>
              <w:t>56</w:t>
            </w:r>
            <w:r w:rsidR="00C5674B" w:rsidRPr="00EF2E78">
              <w:rPr>
                <w:rFonts w:ascii="Arial" w:hAnsi="Arial" w:cs="Arial"/>
                <w:sz w:val="16"/>
                <w:szCs w:val="16"/>
              </w:rPr>
              <w:t>.</w:t>
            </w:r>
            <w:r w:rsidRPr="00EF2E78">
              <w:rPr>
                <w:rFonts w:ascii="Arial" w:hAnsi="Arial" w:cs="Arial"/>
                <w:sz w:val="16"/>
                <w:szCs w:val="16"/>
              </w:rPr>
              <w:t>54</w:t>
            </w:r>
          </w:p>
        </w:tc>
        <w:tc>
          <w:tcPr>
            <w:tcW w:w="1418" w:type="dxa"/>
          </w:tcPr>
          <w:p w14:paraId="37D22454" w14:textId="796C76EF" w:rsidR="003F75FB" w:rsidRPr="00EF2E78" w:rsidRDefault="003F75FB" w:rsidP="006D776E">
            <w:pPr>
              <w:rPr>
                <w:rFonts w:ascii="Arial" w:hAnsi="Arial" w:cs="Arial"/>
                <w:sz w:val="16"/>
                <w:szCs w:val="16"/>
              </w:rPr>
            </w:pPr>
            <w:r w:rsidRPr="00EF2E78">
              <w:rPr>
                <w:rFonts w:ascii="Arial" w:hAnsi="Arial" w:cs="Arial"/>
                <w:sz w:val="16"/>
                <w:szCs w:val="16"/>
              </w:rPr>
              <w:t>10</w:t>
            </w:r>
            <w:r w:rsidR="00C5674B" w:rsidRPr="00EF2E78">
              <w:rPr>
                <w:rFonts w:ascii="Arial" w:hAnsi="Arial" w:cs="Arial"/>
                <w:sz w:val="16"/>
                <w:szCs w:val="16"/>
              </w:rPr>
              <w:t>.</w:t>
            </w:r>
            <w:r w:rsidRPr="00EF2E78">
              <w:rPr>
                <w:rFonts w:ascii="Arial" w:hAnsi="Arial" w:cs="Arial"/>
                <w:sz w:val="16"/>
                <w:szCs w:val="16"/>
              </w:rPr>
              <w:t>45</w:t>
            </w:r>
          </w:p>
          <w:p w14:paraId="13C8827C" w14:textId="77777777" w:rsidR="003F75FB" w:rsidRPr="00EF2E78" w:rsidRDefault="003F75FB" w:rsidP="006D776E">
            <w:pPr>
              <w:rPr>
                <w:rFonts w:ascii="Arial" w:hAnsi="Arial" w:cs="Arial"/>
                <w:sz w:val="16"/>
                <w:szCs w:val="16"/>
              </w:rPr>
            </w:pPr>
          </w:p>
        </w:tc>
      </w:tr>
    </w:tbl>
    <w:p w14:paraId="3E73BC01" w14:textId="4FF8BF8D" w:rsidR="00A27304" w:rsidRPr="00EF2E78" w:rsidRDefault="00F25433" w:rsidP="00F25433">
      <w:pPr>
        <w:pStyle w:val="Heading2"/>
      </w:pPr>
      <w:bookmarkStart w:id="30" w:name="_Toc204006059"/>
      <w:r w:rsidRPr="00EF2E78">
        <w:t>Supplementary Table S1: Sensitivity and specificity of machine learning models to classify ALS based on the entire tear fluid proteome.</w:t>
      </w:r>
      <w:bookmarkEnd w:id="30"/>
      <w:r w:rsidRPr="00EF2E78">
        <w:t xml:space="preserve"> </w:t>
      </w:r>
    </w:p>
    <w:p w14:paraId="23B2FEC7" w14:textId="56870307" w:rsidR="003F75FB" w:rsidRPr="00EF2E78" w:rsidRDefault="00000000" w:rsidP="003F75FB">
      <w:pPr>
        <w:spacing w:line="360" w:lineRule="auto"/>
        <w:jc w:val="both"/>
        <w:rPr>
          <w:color w:val="000000" w:themeColor="text1"/>
          <w:sz w:val="20"/>
          <w:szCs w:val="20"/>
          <w:lang w:val="en-US"/>
        </w:rPr>
      </w:pPr>
      <w:r w:rsidRPr="00EF2E78">
        <w:rPr>
          <w:b/>
          <w:color w:val="000000" w:themeColor="text1"/>
          <w:sz w:val="20"/>
          <w:szCs w:val="20"/>
          <w:lang w:val="en-US"/>
        </w:rPr>
        <w:t>Abbreviations:</w:t>
      </w:r>
      <w:r w:rsidRPr="00EF2E78">
        <w:rPr>
          <w:color w:val="000000" w:themeColor="text1"/>
          <w:sz w:val="20"/>
          <w:szCs w:val="20"/>
          <w:lang w:val="en-US"/>
        </w:rPr>
        <w:t xml:space="preserve"> SVM, support vector machine.</w:t>
      </w:r>
    </w:p>
    <w:p w14:paraId="58E542EB" w14:textId="77777777" w:rsidR="003F75FB" w:rsidRPr="00EF2E78" w:rsidRDefault="003F75FB" w:rsidP="003F75FB">
      <w:pPr>
        <w:spacing w:line="360" w:lineRule="auto"/>
        <w:jc w:val="both"/>
        <w:rPr>
          <w:color w:val="000000" w:themeColor="text1"/>
          <w:sz w:val="20"/>
          <w:szCs w:val="20"/>
          <w:lang w:val="en-US"/>
        </w:rPr>
      </w:pPr>
    </w:p>
    <w:tbl>
      <w:tblPr>
        <w:tblStyle w:val="TableGrid"/>
        <w:tblW w:w="85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76"/>
        <w:gridCol w:w="1815"/>
        <w:gridCol w:w="1815"/>
        <w:gridCol w:w="1815"/>
        <w:gridCol w:w="1816"/>
      </w:tblGrid>
      <w:tr w:rsidR="004860C0" w:rsidRPr="00EF2E78" w14:paraId="4131F447" w14:textId="77777777" w:rsidTr="004860C0">
        <w:trPr>
          <w:trHeight w:val="293"/>
        </w:trPr>
        <w:tc>
          <w:tcPr>
            <w:tcW w:w="1276" w:type="dxa"/>
          </w:tcPr>
          <w:p w14:paraId="2B26DDC7" w14:textId="77777777" w:rsidR="004860C0" w:rsidRPr="00EF2E78" w:rsidRDefault="004860C0" w:rsidP="006D776E">
            <w:pPr>
              <w:rPr>
                <w:rFonts w:ascii="Arial" w:hAnsi="Arial" w:cs="Arial"/>
                <w:b/>
                <w:bCs/>
                <w:sz w:val="16"/>
                <w:szCs w:val="16"/>
                <w:lang w:val="en-GB"/>
              </w:rPr>
            </w:pPr>
          </w:p>
        </w:tc>
        <w:tc>
          <w:tcPr>
            <w:tcW w:w="7258" w:type="dxa"/>
            <w:gridSpan w:val="4"/>
            <w:tcBorders>
              <w:top w:val="single" w:sz="12" w:space="0" w:color="auto"/>
            </w:tcBorders>
          </w:tcPr>
          <w:p w14:paraId="0D16DD3C" w14:textId="2F511C16" w:rsidR="004860C0" w:rsidRPr="00EF2E78" w:rsidRDefault="004860C0" w:rsidP="006D776E">
            <w:pPr>
              <w:jc w:val="center"/>
              <w:rPr>
                <w:rFonts w:ascii="Arial" w:hAnsi="Arial" w:cs="Arial"/>
                <w:b/>
                <w:bCs/>
                <w:sz w:val="16"/>
                <w:szCs w:val="16"/>
                <w:lang w:val="en-GB"/>
              </w:rPr>
            </w:pPr>
            <w:r w:rsidRPr="00EF2E78">
              <w:rPr>
                <w:rFonts w:ascii="Arial" w:hAnsi="Arial" w:cs="Arial"/>
                <w:b/>
                <w:bCs/>
                <w:sz w:val="16"/>
                <w:szCs w:val="16"/>
                <w:lang w:val="en-GB"/>
              </w:rPr>
              <w:t>AUROC [%] of machine learning algorithms</w:t>
            </w:r>
          </w:p>
        </w:tc>
      </w:tr>
      <w:tr w:rsidR="004860C0" w:rsidRPr="00EF2E78" w14:paraId="2E0B274C" w14:textId="77777777" w:rsidTr="004860C0">
        <w:trPr>
          <w:trHeight w:val="293"/>
        </w:trPr>
        <w:tc>
          <w:tcPr>
            <w:tcW w:w="1276" w:type="dxa"/>
            <w:tcBorders>
              <w:bottom w:val="single" w:sz="12" w:space="0" w:color="000000"/>
            </w:tcBorders>
          </w:tcPr>
          <w:p w14:paraId="34752B73" w14:textId="77777777" w:rsidR="004860C0" w:rsidRPr="00EF2E78" w:rsidRDefault="004860C0" w:rsidP="006D776E">
            <w:pPr>
              <w:rPr>
                <w:rFonts w:ascii="Arial" w:hAnsi="Arial" w:cs="Arial"/>
                <w:b/>
                <w:bCs/>
                <w:sz w:val="16"/>
                <w:szCs w:val="16"/>
              </w:rPr>
            </w:pPr>
            <w:r w:rsidRPr="00EF2E78">
              <w:rPr>
                <w:rFonts w:ascii="Arial" w:hAnsi="Arial" w:cs="Arial"/>
                <w:b/>
                <w:bCs/>
                <w:sz w:val="16"/>
                <w:szCs w:val="16"/>
              </w:rPr>
              <w:t>Proteins</w:t>
            </w:r>
          </w:p>
        </w:tc>
        <w:tc>
          <w:tcPr>
            <w:tcW w:w="1815" w:type="dxa"/>
            <w:tcBorders>
              <w:top w:val="single" w:sz="12" w:space="0" w:color="000000"/>
              <w:bottom w:val="single" w:sz="12" w:space="0" w:color="000000"/>
            </w:tcBorders>
          </w:tcPr>
          <w:p w14:paraId="0E10A496" w14:textId="77777777" w:rsidR="004860C0" w:rsidRPr="00EF2E78" w:rsidRDefault="004860C0" w:rsidP="006D776E">
            <w:pPr>
              <w:rPr>
                <w:rFonts w:ascii="Arial" w:hAnsi="Arial" w:cs="Arial"/>
                <w:sz w:val="16"/>
                <w:szCs w:val="16"/>
              </w:rPr>
            </w:pPr>
            <w:r w:rsidRPr="00EF2E78">
              <w:rPr>
                <w:rFonts w:ascii="Arial" w:hAnsi="Arial" w:cs="Arial"/>
                <w:b/>
                <w:bCs/>
                <w:sz w:val="16"/>
                <w:szCs w:val="16"/>
              </w:rPr>
              <w:t xml:space="preserve">SVM </w:t>
            </w:r>
            <w:proofErr w:type="spellStart"/>
            <w:r w:rsidRPr="00EF2E78">
              <w:rPr>
                <w:rFonts w:ascii="Arial" w:hAnsi="Arial" w:cs="Arial"/>
                <w:b/>
                <w:bCs/>
                <w:sz w:val="16"/>
                <w:szCs w:val="16"/>
              </w:rPr>
              <w:t>with</w:t>
            </w:r>
            <w:proofErr w:type="spellEnd"/>
            <w:r w:rsidRPr="00EF2E78">
              <w:rPr>
                <w:rFonts w:ascii="Arial" w:hAnsi="Arial" w:cs="Arial"/>
                <w:b/>
                <w:bCs/>
                <w:sz w:val="16"/>
                <w:szCs w:val="16"/>
              </w:rPr>
              <w:t xml:space="preserve"> linear </w:t>
            </w:r>
            <w:proofErr w:type="spellStart"/>
            <w:r w:rsidRPr="00EF2E78">
              <w:rPr>
                <w:rFonts w:ascii="Arial" w:hAnsi="Arial" w:cs="Arial"/>
                <w:b/>
                <w:bCs/>
                <w:sz w:val="16"/>
                <w:szCs w:val="16"/>
              </w:rPr>
              <w:t>kernel</w:t>
            </w:r>
            <w:proofErr w:type="spellEnd"/>
          </w:p>
        </w:tc>
        <w:tc>
          <w:tcPr>
            <w:tcW w:w="1815" w:type="dxa"/>
            <w:tcBorders>
              <w:top w:val="single" w:sz="12" w:space="0" w:color="000000"/>
              <w:bottom w:val="single" w:sz="12" w:space="0" w:color="000000"/>
            </w:tcBorders>
          </w:tcPr>
          <w:p w14:paraId="23A81E73" w14:textId="0DED8E07" w:rsidR="004860C0" w:rsidRPr="00EF2E78" w:rsidRDefault="004860C0" w:rsidP="006D776E">
            <w:pPr>
              <w:rPr>
                <w:b/>
                <w:bCs/>
                <w:sz w:val="16"/>
                <w:szCs w:val="16"/>
              </w:rPr>
            </w:pPr>
            <w:r w:rsidRPr="00EF2E78">
              <w:rPr>
                <w:rFonts w:ascii="Arial" w:hAnsi="Arial" w:cs="Arial"/>
                <w:b/>
                <w:bCs/>
                <w:sz w:val="16"/>
                <w:szCs w:val="16"/>
              </w:rPr>
              <w:t xml:space="preserve">SVM </w:t>
            </w:r>
            <w:proofErr w:type="spellStart"/>
            <w:r w:rsidRPr="00EF2E78">
              <w:rPr>
                <w:rFonts w:ascii="Arial" w:hAnsi="Arial" w:cs="Arial"/>
                <w:b/>
                <w:bCs/>
                <w:sz w:val="16"/>
                <w:szCs w:val="16"/>
              </w:rPr>
              <w:t>with</w:t>
            </w:r>
            <w:proofErr w:type="spellEnd"/>
            <w:r w:rsidRPr="00EF2E78">
              <w:rPr>
                <w:rFonts w:ascii="Arial" w:hAnsi="Arial" w:cs="Arial"/>
                <w:b/>
                <w:bCs/>
                <w:sz w:val="16"/>
                <w:szCs w:val="16"/>
              </w:rPr>
              <w:t xml:space="preserve"> radial </w:t>
            </w:r>
            <w:proofErr w:type="spellStart"/>
            <w:r w:rsidRPr="00EF2E78">
              <w:rPr>
                <w:rFonts w:ascii="Arial" w:hAnsi="Arial" w:cs="Arial"/>
                <w:b/>
                <w:bCs/>
                <w:sz w:val="16"/>
                <w:szCs w:val="16"/>
              </w:rPr>
              <w:t>kernel</w:t>
            </w:r>
            <w:proofErr w:type="spellEnd"/>
          </w:p>
        </w:tc>
        <w:tc>
          <w:tcPr>
            <w:tcW w:w="1815" w:type="dxa"/>
            <w:tcBorders>
              <w:top w:val="single" w:sz="12" w:space="0" w:color="000000"/>
              <w:bottom w:val="single" w:sz="12" w:space="0" w:color="000000"/>
            </w:tcBorders>
          </w:tcPr>
          <w:p w14:paraId="2F86BEBF" w14:textId="3FCC821B" w:rsidR="004860C0" w:rsidRPr="00EF2E78" w:rsidRDefault="004860C0" w:rsidP="006D776E">
            <w:pPr>
              <w:rPr>
                <w:rFonts w:ascii="Arial" w:hAnsi="Arial" w:cs="Arial"/>
                <w:b/>
                <w:bCs/>
                <w:sz w:val="16"/>
                <w:szCs w:val="16"/>
              </w:rPr>
            </w:pPr>
            <w:r w:rsidRPr="00EF2E78">
              <w:rPr>
                <w:rFonts w:ascii="Arial" w:hAnsi="Arial" w:cs="Arial"/>
                <w:b/>
                <w:bCs/>
                <w:sz w:val="16"/>
                <w:szCs w:val="16"/>
              </w:rPr>
              <w:t xml:space="preserve">Linear </w:t>
            </w:r>
            <w:proofErr w:type="spellStart"/>
            <w:r w:rsidRPr="00EF2E78">
              <w:rPr>
                <w:rFonts w:ascii="Arial" w:hAnsi="Arial" w:cs="Arial"/>
                <w:b/>
                <w:bCs/>
                <w:sz w:val="16"/>
                <w:szCs w:val="16"/>
              </w:rPr>
              <w:t>regression</w:t>
            </w:r>
            <w:proofErr w:type="spellEnd"/>
          </w:p>
        </w:tc>
        <w:tc>
          <w:tcPr>
            <w:tcW w:w="1816" w:type="dxa"/>
            <w:tcBorders>
              <w:top w:val="single" w:sz="12" w:space="0" w:color="000000"/>
              <w:bottom w:val="single" w:sz="12" w:space="0" w:color="000000"/>
            </w:tcBorders>
          </w:tcPr>
          <w:p w14:paraId="5F507E53" w14:textId="77777777" w:rsidR="004860C0" w:rsidRPr="00EF2E78" w:rsidRDefault="004860C0" w:rsidP="006D776E">
            <w:pPr>
              <w:rPr>
                <w:rFonts w:ascii="Arial" w:hAnsi="Arial" w:cs="Arial"/>
                <w:sz w:val="16"/>
                <w:szCs w:val="16"/>
              </w:rPr>
            </w:pPr>
            <w:r w:rsidRPr="00EF2E78">
              <w:rPr>
                <w:rFonts w:ascii="Arial" w:hAnsi="Arial" w:cs="Arial"/>
                <w:b/>
                <w:bCs/>
                <w:sz w:val="16"/>
                <w:szCs w:val="16"/>
              </w:rPr>
              <w:t xml:space="preserve">Random </w:t>
            </w:r>
            <w:proofErr w:type="spellStart"/>
            <w:r w:rsidRPr="00EF2E78">
              <w:rPr>
                <w:rFonts w:ascii="Arial" w:hAnsi="Arial" w:cs="Arial"/>
                <w:b/>
                <w:bCs/>
                <w:sz w:val="16"/>
                <w:szCs w:val="16"/>
              </w:rPr>
              <w:t>forest</w:t>
            </w:r>
            <w:proofErr w:type="spellEnd"/>
          </w:p>
        </w:tc>
      </w:tr>
      <w:tr w:rsidR="004860C0" w:rsidRPr="00EF2E78" w14:paraId="6E37930E" w14:textId="77777777" w:rsidTr="004860C0">
        <w:trPr>
          <w:trHeight w:val="293"/>
        </w:trPr>
        <w:tc>
          <w:tcPr>
            <w:tcW w:w="1276" w:type="dxa"/>
            <w:tcBorders>
              <w:top w:val="single" w:sz="12" w:space="0" w:color="000000"/>
            </w:tcBorders>
          </w:tcPr>
          <w:p w14:paraId="7CEF4CB9" w14:textId="77777777" w:rsidR="004860C0" w:rsidRPr="00EF2E78" w:rsidRDefault="004860C0" w:rsidP="006D776E">
            <w:pPr>
              <w:rPr>
                <w:rFonts w:ascii="Arial" w:hAnsi="Arial" w:cs="Arial"/>
                <w:sz w:val="16"/>
                <w:szCs w:val="16"/>
              </w:rPr>
            </w:pPr>
            <w:r w:rsidRPr="00EF2E78">
              <w:rPr>
                <w:rFonts w:ascii="Arial" w:hAnsi="Arial" w:cs="Arial"/>
                <w:sz w:val="16"/>
                <w:szCs w:val="16"/>
              </w:rPr>
              <w:t>SERPINC1</w:t>
            </w:r>
          </w:p>
        </w:tc>
        <w:tc>
          <w:tcPr>
            <w:tcW w:w="1815" w:type="dxa"/>
            <w:tcBorders>
              <w:top w:val="single" w:sz="12" w:space="0" w:color="000000"/>
            </w:tcBorders>
          </w:tcPr>
          <w:p w14:paraId="035F454E" w14:textId="167C261D" w:rsidR="004860C0" w:rsidRPr="00EF2E78" w:rsidRDefault="004860C0" w:rsidP="006D776E">
            <w:pPr>
              <w:rPr>
                <w:rFonts w:ascii="Arial" w:hAnsi="Arial" w:cs="Arial"/>
                <w:sz w:val="16"/>
                <w:szCs w:val="16"/>
              </w:rPr>
            </w:pPr>
            <w:r w:rsidRPr="00EF2E78">
              <w:rPr>
                <w:rFonts w:ascii="Arial" w:hAnsi="Arial" w:cs="Arial"/>
                <w:sz w:val="16"/>
                <w:szCs w:val="16"/>
              </w:rPr>
              <w:t>57.18</w:t>
            </w:r>
          </w:p>
        </w:tc>
        <w:tc>
          <w:tcPr>
            <w:tcW w:w="1815" w:type="dxa"/>
            <w:tcBorders>
              <w:top w:val="single" w:sz="12" w:space="0" w:color="000000"/>
            </w:tcBorders>
          </w:tcPr>
          <w:p w14:paraId="6AA655F5" w14:textId="4310CEE1" w:rsidR="004860C0" w:rsidRPr="00EF2E78" w:rsidRDefault="004860C0" w:rsidP="006D776E">
            <w:pPr>
              <w:rPr>
                <w:rFonts w:ascii="Arial" w:hAnsi="Arial" w:cs="Arial"/>
                <w:sz w:val="16"/>
                <w:szCs w:val="16"/>
              </w:rPr>
            </w:pPr>
            <w:r w:rsidRPr="00EF2E78">
              <w:rPr>
                <w:rFonts w:ascii="Arial" w:hAnsi="Arial" w:cs="Arial"/>
                <w:sz w:val="16"/>
                <w:szCs w:val="16"/>
              </w:rPr>
              <w:t>49.63</w:t>
            </w:r>
          </w:p>
        </w:tc>
        <w:tc>
          <w:tcPr>
            <w:tcW w:w="1815" w:type="dxa"/>
            <w:tcBorders>
              <w:top w:val="single" w:sz="12" w:space="0" w:color="000000"/>
            </w:tcBorders>
          </w:tcPr>
          <w:p w14:paraId="78F26A9E" w14:textId="03A4F70D" w:rsidR="004860C0" w:rsidRPr="00EF2E78" w:rsidRDefault="004860C0" w:rsidP="006D776E">
            <w:pPr>
              <w:rPr>
                <w:rFonts w:ascii="Arial" w:hAnsi="Arial" w:cs="Arial"/>
                <w:sz w:val="16"/>
                <w:szCs w:val="16"/>
              </w:rPr>
            </w:pPr>
            <w:r w:rsidRPr="00EF2E78">
              <w:rPr>
                <w:rFonts w:ascii="Arial" w:hAnsi="Arial" w:cs="Arial"/>
                <w:sz w:val="16"/>
                <w:szCs w:val="16"/>
              </w:rPr>
              <w:t>56.32</w:t>
            </w:r>
          </w:p>
        </w:tc>
        <w:tc>
          <w:tcPr>
            <w:tcW w:w="1816" w:type="dxa"/>
            <w:tcBorders>
              <w:top w:val="single" w:sz="12" w:space="0" w:color="000000"/>
            </w:tcBorders>
          </w:tcPr>
          <w:p w14:paraId="06F132D4" w14:textId="30CC5DC7" w:rsidR="004860C0" w:rsidRPr="00EF2E78" w:rsidRDefault="004860C0" w:rsidP="006D776E">
            <w:pPr>
              <w:rPr>
                <w:rFonts w:ascii="Arial" w:hAnsi="Arial" w:cs="Arial"/>
                <w:sz w:val="16"/>
                <w:szCs w:val="16"/>
              </w:rPr>
            </w:pPr>
            <w:r w:rsidRPr="00EF2E78">
              <w:rPr>
                <w:rFonts w:ascii="Arial" w:hAnsi="Arial" w:cs="Arial"/>
                <w:sz w:val="16"/>
                <w:szCs w:val="16"/>
              </w:rPr>
              <w:t>54.34</w:t>
            </w:r>
          </w:p>
        </w:tc>
      </w:tr>
      <w:tr w:rsidR="004860C0" w:rsidRPr="00EF2E78" w14:paraId="6F8C14EC" w14:textId="77777777" w:rsidTr="004860C0">
        <w:trPr>
          <w:trHeight w:val="293"/>
        </w:trPr>
        <w:tc>
          <w:tcPr>
            <w:tcW w:w="1276" w:type="dxa"/>
          </w:tcPr>
          <w:p w14:paraId="65116816" w14:textId="77777777" w:rsidR="004860C0" w:rsidRPr="00EF2E78" w:rsidRDefault="004860C0" w:rsidP="006D776E">
            <w:pPr>
              <w:rPr>
                <w:rFonts w:ascii="Arial" w:hAnsi="Arial" w:cs="Arial"/>
                <w:sz w:val="16"/>
                <w:szCs w:val="16"/>
              </w:rPr>
            </w:pPr>
            <w:r w:rsidRPr="00EF2E78">
              <w:rPr>
                <w:rFonts w:ascii="Arial" w:hAnsi="Arial" w:cs="Arial"/>
                <w:sz w:val="16"/>
                <w:szCs w:val="16"/>
              </w:rPr>
              <w:t xml:space="preserve">HP </w:t>
            </w:r>
          </w:p>
        </w:tc>
        <w:tc>
          <w:tcPr>
            <w:tcW w:w="1815" w:type="dxa"/>
          </w:tcPr>
          <w:p w14:paraId="67D2F253" w14:textId="384BD71E" w:rsidR="004860C0" w:rsidRPr="00EF2E78" w:rsidRDefault="004860C0" w:rsidP="006D776E">
            <w:pPr>
              <w:rPr>
                <w:rFonts w:ascii="Arial" w:hAnsi="Arial" w:cs="Arial"/>
                <w:sz w:val="16"/>
                <w:szCs w:val="16"/>
              </w:rPr>
            </w:pPr>
            <w:r w:rsidRPr="00EF2E78">
              <w:rPr>
                <w:rFonts w:ascii="Arial" w:hAnsi="Arial" w:cs="Arial"/>
                <w:sz w:val="16"/>
                <w:szCs w:val="16"/>
              </w:rPr>
              <w:t>57.45</w:t>
            </w:r>
          </w:p>
        </w:tc>
        <w:tc>
          <w:tcPr>
            <w:tcW w:w="1815" w:type="dxa"/>
          </w:tcPr>
          <w:p w14:paraId="4F047951" w14:textId="5974C4C0" w:rsidR="004860C0" w:rsidRPr="00EF2E78" w:rsidRDefault="004860C0" w:rsidP="006D776E">
            <w:pPr>
              <w:rPr>
                <w:rFonts w:ascii="Arial" w:hAnsi="Arial" w:cs="Arial"/>
                <w:sz w:val="16"/>
                <w:szCs w:val="16"/>
              </w:rPr>
            </w:pPr>
            <w:r w:rsidRPr="00EF2E78">
              <w:rPr>
                <w:rFonts w:ascii="Arial" w:hAnsi="Arial" w:cs="Arial"/>
                <w:sz w:val="16"/>
                <w:szCs w:val="16"/>
              </w:rPr>
              <w:t>49.97</w:t>
            </w:r>
          </w:p>
        </w:tc>
        <w:tc>
          <w:tcPr>
            <w:tcW w:w="1815" w:type="dxa"/>
          </w:tcPr>
          <w:p w14:paraId="22A74E4B" w14:textId="0A3C869A" w:rsidR="004860C0" w:rsidRPr="00EF2E78" w:rsidRDefault="004860C0" w:rsidP="006D776E">
            <w:pPr>
              <w:rPr>
                <w:rFonts w:ascii="Arial" w:hAnsi="Arial" w:cs="Arial"/>
                <w:sz w:val="16"/>
                <w:szCs w:val="16"/>
              </w:rPr>
            </w:pPr>
            <w:r w:rsidRPr="00EF2E78">
              <w:rPr>
                <w:rFonts w:ascii="Arial" w:hAnsi="Arial" w:cs="Arial"/>
                <w:sz w:val="16"/>
                <w:szCs w:val="16"/>
              </w:rPr>
              <w:t>56.55</w:t>
            </w:r>
          </w:p>
        </w:tc>
        <w:tc>
          <w:tcPr>
            <w:tcW w:w="1816" w:type="dxa"/>
          </w:tcPr>
          <w:p w14:paraId="07735B8E" w14:textId="5F1C5A5B" w:rsidR="004860C0" w:rsidRPr="00EF2E78" w:rsidRDefault="004860C0" w:rsidP="006D776E">
            <w:pPr>
              <w:rPr>
                <w:rFonts w:ascii="Arial" w:hAnsi="Arial" w:cs="Arial"/>
                <w:sz w:val="16"/>
                <w:szCs w:val="16"/>
              </w:rPr>
            </w:pPr>
            <w:r w:rsidRPr="00EF2E78">
              <w:rPr>
                <w:rFonts w:ascii="Arial" w:hAnsi="Arial" w:cs="Arial"/>
                <w:sz w:val="16"/>
                <w:szCs w:val="16"/>
              </w:rPr>
              <w:t>54.53</w:t>
            </w:r>
          </w:p>
        </w:tc>
      </w:tr>
      <w:tr w:rsidR="004860C0" w:rsidRPr="00EF2E78" w14:paraId="53C3A558" w14:textId="77777777" w:rsidTr="004860C0">
        <w:trPr>
          <w:trHeight w:val="66"/>
        </w:trPr>
        <w:tc>
          <w:tcPr>
            <w:tcW w:w="1276" w:type="dxa"/>
          </w:tcPr>
          <w:p w14:paraId="6C0BA6BB" w14:textId="77777777" w:rsidR="004860C0" w:rsidRPr="00EF2E78" w:rsidRDefault="004860C0" w:rsidP="006D776E">
            <w:pPr>
              <w:rPr>
                <w:rFonts w:ascii="Arial" w:hAnsi="Arial" w:cs="Arial"/>
                <w:sz w:val="16"/>
                <w:szCs w:val="16"/>
              </w:rPr>
            </w:pPr>
            <w:r w:rsidRPr="00EF2E78">
              <w:rPr>
                <w:rFonts w:ascii="Arial" w:hAnsi="Arial" w:cs="Arial"/>
                <w:sz w:val="16"/>
                <w:szCs w:val="16"/>
              </w:rPr>
              <w:t xml:space="preserve">HP, SERPINC1 </w:t>
            </w:r>
          </w:p>
        </w:tc>
        <w:tc>
          <w:tcPr>
            <w:tcW w:w="1815" w:type="dxa"/>
          </w:tcPr>
          <w:p w14:paraId="16083DA9" w14:textId="23E85BB3" w:rsidR="004860C0" w:rsidRPr="00EF2E78" w:rsidRDefault="004860C0" w:rsidP="006D776E">
            <w:pPr>
              <w:rPr>
                <w:rFonts w:ascii="Arial" w:hAnsi="Arial" w:cs="Arial"/>
                <w:sz w:val="16"/>
                <w:szCs w:val="16"/>
              </w:rPr>
            </w:pPr>
            <w:r w:rsidRPr="00EF2E78">
              <w:rPr>
                <w:rFonts w:ascii="Arial" w:hAnsi="Arial" w:cs="Arial"/>
                <w:sz w:val="16"/>
                <w:szCs w:val="16"/>
              </w:rPr>
              <w:t>59.90</w:t>
            </w:r>
          </w:p>
        </w:tc>
        <w:tc>
          <w:tcPr>
            <w:tcW w:w="1815" w:type="dxa"/>
          </w:tcPr>
          <w:p w14:paraId="48E6FCFC" w14:textId="6461869E" w:rsidR="004860C0" w:rsidRPr="00EF2E78" w:rsidRDefault="004860C0" w:rsidP="006D776E">
            <w:pPr>
              <w:rPr>
                <w:rFonts w:ascii="Arial" w:hAnsi="Arial" w:cs="Arial"/>
                <w:sz w:val="16"/>
                <w:szCs w:val="16"/>
              </w:rPr>
            </w:pPr>
            <w:r w:rsidRPr="00EF2E78">
              <w:rPr>
                <w:rFonts w:ascii="Arial" w:hAnsi="Arial" w:cs="Arial"/>
                <w:sz w:val="16"/>
                <w:szCs w:val="16"/>
              </w:rPr>
              <w:t>52.82</w:t>
            </w:r>
          </w:p>
        </w:tc>
        <w:tc>
          <w:tcPr>
            <w:tcW w:w="1815" w:type="dxa"/>
          </w:tcPr>
          <w:p w14:paraId="55323B42" w14:textId="2BA90A59" w:rsidR="004860C0" w:rsidRPr="00EF2E78" w:rsidRDefault="004860C0" w:rsidP="006D776E">
            <w:pPr>
              <w:rPr>
                <w:rFonts w:ascii="Arial" w:hAnsi="Arial" w:cs="Arial"/>
                <w:sz w:val="16"/>
                <w:szCs w:val="16"/>
              </w:rPr>
            </w:pPr>
            <w:r w:rsidRPr="00EF2E78">
              <w:rPr>
                <w:rFonts w:ascii="Arial" w:hAnsi="Arial" w:cs="Arial"/>
                <w:sz w:val="16"/>
                <w:szCs w:val="16"/>
              </w:rPr>
              <w:t>57.50</w:t>
            </w:r>
          </w:p>
        </w:tc>
        <w:tc>
          <w:tcPr>
            <w:tcW w:w="1816" w:type="dxa"/>
          </w:tcPr>
          <w:p w14:paraId="03183C08" w14:textId="44257DA3" w:rsidR="004860C0" w:rsidRPr="00EF2E78" w:rsidRDefault="004860C0" w:rsidP="006D776E">
            <w:pPr>
              <w:rPr>
                <w:rFonts w:ascii="Arial" w:hAnsi="Arial" w:cs="Arial"/>
                <w:sz w:val="16"/>
                <w:szCs w:val="16"/>
              </w:rPr>
            </w:pPr>
            <w:r w:rsidRPr="00EF2E78">
              <w:rPr>
                <w:rFonts w:ascii="Arial" w:hAnsi="Arial" w:cs="Arial"/>
                <w:sz w:val="16"/>
                <w:szCs w:val="16"/>
              </w:rPr>
              <w:t>58.91</w:t>
            </w:r>
          </w:p>
        </w:tc>
      </w:tr>
    </w:tbl>
    <w:p w14:paraId="1D58A1B4" w14:textId="320CC67F" w:rsidR="00A27304" w:rsidRPr="00EF2E78" w:rsidRDefault="00F25433" w:rsidP="00F25433">
      <w:pPr>
        <w:pStyle w:val="Heading2"/>
      </w:pPr>
      <w:bookmarkStart w:id="31" w:name="_Toc204006060"/>
      <w:r w:rsidRPr="00EF2E78">
        <w:t>Supplementary Table S2: AUROC performance metrics of machine learning models using HP, SERPINC1, and a combination of both for the prediction of ALS versus controls.</w:t>
      </w:r>
      <w:bookmarkEnd w:id="31"/>
      <w:r w:rsidRPr="00EF2E78">
        <w:t xml:space="preserve"> </w:t>
      </w:r>
    </w:p>
    <w:p w14:paraId="1A038099" w14:textId="35EEA258" w:rsidR="00B9781E" w:rsidRPr="00EF2E78" w:rsidRDefault="00000000" w:rsidP="003F75FB">
      <w:pPr>
        <w:spacing w:line="360" w:lineRule="auto"/>
        <w:jc w:val="both"/>
        <w:rPr>
          <w:color w:val="000000" w:themeColor="text1"/>
          <w:sz w:val="20"/>
          <w:szCs w:val="20"/>
          <w:lang w:val="en-US"/>
        </w:rPr>
      </w:pPr>
      <w:r w:rsidRPr="00EF2E78">
        <w:rPr>
          <w:b/>
          <w:color w:val="000000" w:themeColor="text1"/>
          <w:sz w:val="20"/>
          <w:szCs w:val="20"/>
          <w:lang w:val="en-US"/>
        </w:rPr>
        <w:t>Abbreviations:</w:t>
      </w:r>
      <w:r w:rsidRPr="00EF2E78">
        <w:rPr>
          <w:color w:val="000000" w:themeColor="text1"/>
          <w:sz w:val="20"/>
          <w:szCs w:val="20"/>
          <w:lang w:val="en-US"/>
        </w:rPr>
        <w:t xml:space="preserve"> AUROC, area under the receiver operating characteristic curve; SVM, support vector machine, SERPINC1, antithrombin-III; HP, haptoglobin. </w:t>
      </w:r>
      <w:bookmarkStart w:id="32" w:name="_dj2921obz07e" w:colFirst="0" w:colLast="0"/>
      <w:bookmarkEnd w:id="32"/>
    </w:p>
    <w:p w14:paraId="4F5854F4" w14:textId="77777777" w:rsidR="003F75FB" w:rsidRPr="00EF2E78" w:rsidRDefault="003F75FB">
      <w:pPr>
        <w:rPr>
          <w:b/>
          <w:bCs/>
          <w:color w:val="000000" w:themeColor="text1"/>
          <w:sz w:val="24"/>
          <w:szCs w:val="24"/>
          <w:lang w:val="en-US"/>
        </w:rPr>
      </w:pPr>
      <w:r w:rsidRPr="00EF2E78">
        <w:rPr>
          <w:lang w:val="en-GB"/>
        </w:rPr>
        <w:br w:type="page"/>
      </w:r>
    </w:p>
    <w:p w14:paraId="7CD3F8A4" w14:textId="03A0EAB2" w:rsidR="00A27304" w:rsidRPr="00EF2E78" w:rsidRDefault="00000000" w:rsidP="003F75FB">
      <w:pPr>
        <w:pStyle w:val="Heading1"/>
      </w:pPr>
      <w:bookmarkStart w:id="33" w:name="_Toc204006061"/>
      <w:r w:rsidRPr="00EF2E78">
        <w:lastRenderedPageBreak/>
        <w:t>Supplementary Data</w:t>
      </w:r>
      <w:bookmarkEnd w:id="33"/>
    </w:p>
    <w:p w14:paraId="6AF6B392" w14:textId="32C93645" w:rsidR="00A27304" w:rsidRPr="00EF2E78" w:rsidRDefault="00F25433" w:rsidP="00F25433">
      <w:pPr>
        <w:pStyle w:val="Heading2"/>
      </w:pPr>
      <w:bookmarkStart w:id="34" w:name="_Toc204006062"/>
      <w:r w:rsidRPr="00EF2E78">
        <w:t>Supplementary Data S1: Detailed results of differential abundance analysis conducted with PERSEUS.</w:t>
      </w:r>
      <w:bookmarkEnd w:id="34"/>
    </w:p>
    <w:p w14:paraId="4D29F97B" w14:textId="3C1AAEC0" w:rsidR="00A27304" w:rsidRPr="00EF2E78" w:rsidRDefault="00000000" w:rsidP="003F75FB">
      <w:pPr>
        <w:spacing w:line="360" w:lineRule="auto"/>
        <w:jc w:val="both"/>
        <w:rPr>
          <w:color w:val="000000" w:themeColor="text1"/>
          <w:sz w:val="20"/>
          <w:szCs w:val="20"/>
          <w:lang w:val="en-US"/>
        </w:rPr>
      </w:pPr>
      <w:r w:rsidRPr="00EF2E78">
        <w:rPr>
          <w:color w:val="000000" w:themeColor="text1"/>
          <w:sz w:val="20"/>
          <w:szCs w:val="20"/>
          <w:lang w:val="en-US"/>
        </w:rPr>
        <w:t>Summary of the differential abundance analysis results (DAA) for all identified tear fluid proteins, comparing their abundance levels between ALS and control samples. The analysis was performed using PERSEUS (v.1.6.15.0). Significant threshold was determined applying the standard settings, including with a false discovery rate (FDR) &lt; 0</w:t>
      </w:r>
      <w:r w:rsidR="00C5674B" w:rsidRPr="00EF2E78">
        <w:rPr>
          <w:color w:val="000000" w:themeColor="text1"/>
          <w:sz w:val="20"/>
          <w:szCs w:val="20"/>
          <w:lang w:val="en-US"/>
        </w:rPr>
        <w:t>.</w:t>
      </w:r>
      <w:r w:rsidRPr="00EF2E78">
        <w:rPr>
          <w:color w:val="000000" w:themeColor="text1"/>
          <w:sz w:val="20"/>
          <w:szCs w:val="20"/>
          <w:lang w:val="en-US"/>
        </w:rPr>
        <w:t xml:space="preserve">1. Proteins with significantly higher abundance in ALS are colored orange, while those with significantly lower abundance are blue. Proteins with no significant differential abundance between ALS and control samples are uncolored (white). Proteins identified as significantly differentially abundant are marked with a '+' in the first column, whereas those with no significant differential abundance are labeled with a '-'. Each protein is annotated with its -log10 FDR and log2 fold change (log2FC) derived from the DAA. Protein abbreviations and descriptions were obtained from the </w:t>
      </w:r>
      <w:proofErr w:type="spellStart"/>
      <w:r w:rsidRPr="00EF2E78">
        <w:rPr>
          <w:color w:val="000000" w:themeColor="text1"/>
          <w:sz w:val="20"/>
          <w:szCs w:val="20"/>
          <w:lang w:val="en-US"/>
        </w:rPr>
        <w:t>UniProtKB</w:t>
      </w:r>
      <w:proofErr w:type="spellEnd"/>
      <w:r w:rsidRPr="00EF2E78">
        <w:rPr>
          <w:color w:val="000000" w:themeColor="text1"/>
          <w:sz w:val="20"/>
          <w:szCs w:val="20"/>
          <w:lang w:val="en-US"/>
        </w:rPr>
        <w:t xml:space="preserve"> Homo sapiens reference proteome following mass spectrometry analysis.</w:t>
      </w:r>
    </w:p>
    <w:p w14:paraId="4511B011" w14:textId="75EE8503" w:rsidR="003F75FB" w:rsidRPr="00EF2E78" w:rsidRDefault="00000000" w:rsidP="003F75FB">
      <w:pPr>
        <w:spacing w:line="360" w:lineRule="auto"/>
        <w:jc w:val="both"/>
        <w:rPr>
          <w:color w:val="000000" w:themeColor="text1"/>
          <w:sz w:val="20"/>
          <w:szCs w:val="20"/>
          <w:lang w:val="en-US"/>
        </w:rPr>
      </w:pPr>
      <w:r w:rsidRPr="00EF2E78">
        <w:rPr>
          <w:b/>
          <w:color w:val="000000" w:themeColor="text1"/>
          <w:sz w:val="20"/>
          <w:szCs w:val="20"/>
          <w:lang w:val="en-US"/>
        </w:rPr>
        <w:t>Abbreviations:</w:t>
      </w:r>
      <w:r w:rsidRPr="00EF2E78">
        <w:rPr>
          <w:color w:val="000000" w:themeColor="text1"/>
          <w:sz w:val="20"/>
          <w:szCs w:val="20"/>
          <w:lang w:val="en-US"/>
        </w:rPr>
        <w:t xml:space="preserve"> FDR, false discovery rate; FC, fold change.</w:t>
      </w:r>
    </w:p>
    <w:p w14:paraId="77D9791D" w14:textId="718408D1" w:rsidR="00A27304" w:rsidRPr="00EF2E78" w:rsidRDefault="00F25433" w:rsidP="00F25433">
      <w:pPr>
        <w:pStyle w:val="Heading2"/>
      </w:pPr>
      <w:bookmarkStart w:id="35" w:name="_Toc204006063"/>
      <w:r w:rsidRPr="00EF2E78">
        <w:t>Supplementary Data S2: Detailed gene set enrichment analysis results with protein assignment to specific pathways.</w:t>
      </w:r>
      <w:bookmarkEnd w:id="35"/>
    </w:p>
    <w:p w14:paraId="70875568" w14:textId="77777777" w:rsidR="00A27304" w:rsidRPr="00EF2E78" w:rsidRDefault="00000000" w:rsidP="003F75FB">
      <w:pPr>
        <w:spacing w:line="360" w:lineRule="auto"/>
        <w:jc w:val="both"/>
        <w:rPr>
          <w:color w:val="000000" w:themeColor="text1"/>
          <w:sz w:val="20"/>
          <w:szCs w:val="20"/>
          <w:lang w:val="en-US"/>
        </w:rPr>
      </w:pPr>
      <w:r w:rsidRPr="00EF2E78">
        <w:rPr>
          <w:color w:val="000000" w:themeColor="text1"/>
          <w:sz w:val="20"/>
          <w:szCs w:val="20"/>
          <w:lang w:val="en-US"/>
        </w:rPr>
        <w:t>Overview of all identified tear fluid (TF) proteins in ALS and control samples, mapped to Gene Ontology (GO) pathways and corresponding GO categories: biological process (BP), cellular component (CC), and molecular function (MF). The annotation of specific pathways to broader generic categories is provided, along with key metrics, including the enrichment score (ES), normalized enrichment score (NES), and statistical measures such as p-value, adjusted p-value, and q-value. Additionally, the set size of each GO pathway and the number of identified proteins assigned to these pathways are reported.</w:t>
      </w:r>
    </w:p>
    <w:p w14:paraId="57928EE8" w14:textId="625D4D2F" w:rsidR="003F75FB" w:rsidRPr="00EF2E78" w:rsidRDefault="00000000" w:rsidP="003F75FB">
      <w:pPr>
        <w:spacing w:line="360" w:lineRule="auto"/>
        <w:jc w:val="both"/>
        <w:rPr>
          <w:color w:val="000000" w:themeColor="text1"/>
          <w:sz w:val="20"/>
          <w:szCs w:val="20"/>
          <w:lang w:val="en-US"/>
        </w:rPr>
      </w:pPr>
      <w:r w:rsidRPr="00EF2E78">
        <w:rPr>
          <w:b/>
          <w:color w:val="000000" w:themeColor="text1"/>
          <w:sz w:val="20"/>
          <w:szCs w:val="20"/>
          <w:lang w:val="en-US"/>
        </w:rPr>
        <w:t>Abbreviations:</w:t>
      </w:r>
      <w:r w:rsidRPr="00EF2E78">
        <w:rPr>
          <w:color w:val="000000" w:themeColor="text1"/>
          <w:sz w:val="20"/>
          <w:szCs w:val="20"/>
          <w:lang w:val="en-US"/>
        </w:rPr>
        <w:t xml:space="preserve"> GO, gene ontology; BP, biological process; CC, cellular component; MF, molecular function; ES, enrichment score; NES, normalized enrichment score; N, number. </w:t>
      </w:r>
    </w:p>
    <w:p w14:paraId="742917E6" w14:textId="5E888A4A" w:rsidR="00A27304" w:rsidRPr="00EF2E78" w:rsidRDefault="00F25433" w:rsidP="00F25433">
      <w:pPr>
        <w:pStyle w:val="Heading2"/>
      </w:pPr>
      <w:bookmarkStart w:id="36" w:name="_16w3qug8epye" w:colFirst="0" w:colLast="0"/>
      <w:bookmarkStart w:id="37" w:name="_Toc204006064"/>
      <w:bookmarkEnd w:id="36"/>
      <w:r w:rsidRPr="00EF2E78">
        <w:t>Supplementary Data S3: Tier list of proteins that were considered as putative biomarker proteins for further validation.</w:t>
      </w:r>
      <w:bookmarkEnd w:id="37"/>
      <w:r w:rsidRPr="00EF2E78">
        <w:t xml:space="preserve"> </w:t>
      </w:r>
    </w:p>
    <w:p w14:paraId="38B80097" w14:textId="77777777" w:rsidR="00A27304" w:rsidRPr="00EF2E78" w:rsidRDefault="00000000" w:rsidP="003F75FB">
      <w:pPr>
        <w:spacing w:line="360" w:lineRule="auto"/>
        <w:jc w:val="both"/>
        <w:rPr>
          <w:color w:val="000000" w:themeColor="text1"/>
          <w:sz w:val="20"/>
          <w:szCs w:val="20"/>
          <w:lang w:val="en-US"/>
        </w:rPr>
      </w:pPr>
      <w:r w:rsidRPr="00EF2E78">
        <w:rPr>
          <w:color w:val="000000" w:themeColor="text1"/>
          <w:sz w:val="20"/>
          <w:szCs w:val="20"/>
          <w:lang w:val="en-US"/>
        </w:rPr>
        <w:t>A compilation of proteins weighted by linear regression algorithm to differentiate between ALS and control samples based on the entire TF proteome was generated. These proteins were ranked upon machine learning analysis results, specifically considering a low bootstrapping (BS) FDR, high average weight in the BS linear regression model, and low BS error. Additionally, the ranking incorporated results from differential abundance analysis (DAA), prioritizing proteins with a high -log10 ​false discovery rate (FDR) and a high absolute log2fold change (FC). Proteins exhibiting significantly differential abundance in ALS compared to controls are labeled with ‘+’, while those showing no significant differential abundance are labeled with ‘-’.</w:t>
      </w:r>
    </w:p>
    <w:p w14:paraId="201A9494" w14:textId="0616E4DE" w:rsidR="00F25433" w:rsidRPr="00EF2E78" w:rsidRDefault="00000000" w:rsidP="003F75FB">
      <w:pPr>
        <w:spacing w:line="360" w:lineRule="auto"/>
        <w:jc w:val="both"/>
        <w:rPr>
          <w:color w:val="000000" w:themeColor="text1"/>
          <w:sz w:val="20"/>
          <w:szCs w:val="20"/>
          <w:lang w:val="en-US"/>
        </w:rPr>
      </w:pPr>
      <w:r w:rsidRPr="00EF2E78">
        <w:rPr>
          <w:b/>
          <w:color w:val="000000" w:themeColor="text1"/>
          <w:sz w:val="20"/>
          <w:szCs w:val="20"/>
          <w:lang w:val="en-US"/>
        </w:rPr>
        <w:t>Abbreviations:</w:t>
      </w:r>
      <w:r w:rsidRPr="00EF2E78">
        <w:rPr>
          <w:color w:val="000000" w:themeColor="text1"/>
          <w:sz w:val="20"/>
          <w:szCs w:val="20"/>
          <w:lang w:val="en-US"/>
        </w:rPr>
        <w:t xml:space="preserve"> avg, average; LR, linear regression; BS, bootstrapping; FDR, false discovery rate; FC, fold change; DAA, differential abundance analysis.</w:t>
      </w:r>
    </w:p>
    <w:p w14:paraId="238746E3" w14:textId="35663D0F" w:rsidR="00A27304" w:rsidRPr="00EF2E78" w:rsidRDefault="00F25433" w:rsidP="00F25433">
      <w:pPr>
        <w:pStyle w:val="Heading2"/>
      </w:pPr>
      <w:bookmarkStart w:id="38" w:name="_8myn46ojtsmz" w:colFirst="0" w:colLast="0"/>
      <w:bookmarkStart w:id="39" w:name="_Toc204006065"/>
      <w:bookmarkEnd w:id="38"/>
      <w:r w:rsidRPr="00EF2E78">
        <w:lastRenderedPageBreak/>
        <w:t>Supplementary Data S4: Detailed ranked protein abundance.</w:t>
      </w:r>
      <w:bookmarkEnd w:id="39"/>
      <w:r w:rsidRPr="00EF2E78">
        <w:t xml:space="preserve"> </w:t>
      </w:r>
    </w:p>
    <w:p w14:paraId="6CE8EA29" w14:textId="1971DAF6" w:rsidR="00A27304" w:rsidRPr="00EF2E78" w:rsidRDefault="00000000" w:rsidP="003F75FB">
      <w:pPr>
        <w:spacing w:line="360" w:lineRule="auto"/>
        <w:jc w:val="both"/>
        <w:rPr>
          <w:color w:val="000000" w:themeColor="text1"/>
          <w:sz w:val="20"/>
          <w:szCs w:val="20"/>
          <w:lang w:val="en-US"/>
        </w:rPr>
      </w:pPr>
      <w:r w:rsidRPr="00EF2E78">
        <w:rPr>
          <w:color w:val="000000" w:themeColor="text1"/>
          <w:sz w:val="20"/>
          <w:szCs w:val="20"/>
          <w:lang w:val="en-US"/>
        </w:rPr>
        <w:t>Ranked protein abundance was performed by considering the log10-transformed mean abundance of all ALS and control subjects separately for the 876 proteins that were abundant in at least 66% of all samples. Log10 Mean abundance per protein was sorted ascendingly so that the highest rank (876) corresponds to the most abundant protein. The six most abundant proteins (green) and the six proteins of our validated protein signature (red) are labeled.</w:t>
      </w:r>
    </w:p>
    <w:p w14:paraId="4E60C790" w14:textId="51EA39F2" w:rsidR="00A27304" w:rsidRPr="003F75FB" w:rsidRDefault="00000000" w:rsidP="003F75FB">
      <w:pPr>
        <w:spacing w:line="360" w:lineRule="auto"/>
        <w:rPr>
          <w:color w:val="000000" w:themeColor="text1"/>
          <w:sz w:val="20"/>
          <w:szCs w:val="20"/>
          <w:lang w:val="en-US"/>
        </w:rPr>
      </w:pPr>
      <w:r w:rsidRPr="00EF2E78">
        <w:rPr>
          <w:b/>
          <w:color w:val="000000" w:themeColor="text1"/>
          <w:sz w:val="20"/>
          <w:szCs w:val="20"/>
          <w:lang w:val="en-US"/>
        </w:rPr>
        <w:t xml:space="preserve">Abbreviations: </w:t>
      </w:r>
      <w:r w:rsidRPr="00EF2E78">
        <w:rPr>
          <w:color w:val="000000" w:themeColor="text1"/>
          <w:sz w:val="20"/>
          <w:szCs w:val="20"/>
          <w:lang w:val="en-US"/>
        </w:rPr>
        <w:t>CTRL, control; ALS; Amyotrophic lateral sclerosis.</w:t>
      </w:r>
      <w:r w:rsidRPr="003F75FB">
        <w:rPr>
          <w:color w:val="000000" w:themeColor="text1"/>
          <w:sz w:val="20"/>
          <w:szCs w:val="20"/>
          <w:lang w:val="en-US"/>
        </w:rPr>
        <w:t xml:space="preserve"> </w:t>
      </w:r>
    </w:p>
    <w:sectPr w:rsidR="00A27304" w:rsidRPr="003F75FB" w:rsidSect="003A0ECF">
      <w:footerReference w:type="even" r:id="rId18"/>
      <w:footerReference w:type="default" r:id="rId19"/>
      <w:pgSz w:w="11909" w:h="16834"/>
      <w:pgMar w:top="1440" w:right="1440" w:bottom="1440" w:left="1440" w:header="720" w:footer="720" w:gutter="0"/>
      <w:lnNumType w:countBy="1" w:restart="continuous"/>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D68E8B" w14:textId="77777777" w:rsidR="002B3605" w:rsidRDefault="002B3605" w:rsidP="000014A3">
      <w:pPr>
        <w:spacing w:line="240" w:lineRule="auto"/>
      </w:pPr>
      <w:r>
        <w:separator/>
      </w:r>
    </w:p>
  </w:endnote>
  <w:endnote w:type="continuationSeparator" w:id="0">
    <w:p w14:paraId="33B21D38" w14:textId="77777777" w:rsidR="002B3605" w:rsidRDefault="002B3605" w:rsidP="000014A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25842307"/>
      <w:docPartObj>
        <w:docPartGallery w:val="Page Numbers (Bottom of Page)"/>
        <w:docPartUnique/>
      </w:docPartObj>
    </w:sdtPr>
    <w:sdtContent>
      <w:p w14:paraId="37165093" w14:textId="0A665EAC" w:rsidR="000014A3" w:rsidRDefault="000014A3" w:rsidP="00B23926">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sidR="009C7C45">
          <w:rPr>
            <w:rStyle w:val="PageNumber"/>
          </w:rPr>
          <w:fldChar w:fldCharType="separate"/>
        </w:r>
        <w:r w:rsidR="009C7C45">
          <w:rPr>
            <w:rStyle w:val="PageNumber"/>
            <w:noProof/>
          </w:rPr>
          <w:t>16</w:t>
        </w:r>
        <w:r>
          <w:rPr>
            <w:rStyle w:val="PageNumber"/>
          </w:rPr>
          <w:fldChar w:fldCharType="end"/>
        </w:r>
      </w:p>
    </w:sdtContent>
  </w:sdt>
  <w:p w14:paraId="12D1EC21" w14:textId="77777777" w:rsidR="000014A3" w:rsidRDefault="000014A3" w:rsidP="00BA1621">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538244888"/>
      <w:docPartObj>
        <w:docPartGallery w:val="Page Numbers (Bottom of Page)"/>
        <w:docPartUnique/>
      </w:docPartObj>
    </w:sdtPr>
    <w:sdtContent>
      <w:p w14:paraId="6B1DDB2D" w14:textId="12AEFA78" w:rsidR="000014A3" w:rsidRDefault="000014A3" w:rsidP="00B23926">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
  <w:p w14:paraId="68F0B769" w14:textId="77777777" w:rsidR="000014A3" w:rsidRDefault="000014A3" w:rsidP="00BA1621">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B7BEC9" w14:textId="77777777" w:rsidR="002B3605" w:rsidRDefault="002B3605" w:rsidP="000014A3">
      <w:pPr>
        <w:spacing w:line="240" w:lineRule="auto"/>
      </w:pPr>
      <w:r>
        <w:separator/>
      </w:r>
    </w:p>
  </w:footnote>
  <w:footnote w:type="continuationSeparator" w:id="0">
    <w:p w14:paraId="731352E6" w14:textId="77777777" w:rsidR="002B3605" w:rsidRDefault="002B3605" w:rsidP="000014A3">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50020A6"/>
    <w:multiLevelType w:val="multilevel"/>
    <w:tmpl w:val="64F2FF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1202140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Vancouver_EBioMedicine&lt;/Style&gt;&lt;LeftDelim&gt;{&lt;/LeftDelim&gt;&lt;RightDelim&gt;}&lt;/RightDelim&gt;&lt;FontName&gt;Arial&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drvae50vr20v2ier0r5xzfzxrtt5va2svwwe&quot;&gt;Meine Doktorarbeit &lt;record-ids&gt;&lt;item&gt;380&lt;/item&gt;&lt;item&gt;386&lt;/item&gt;&lt;item&gt;387&lt;/item&gt;&lt;item&gt;388&lt;/item&gt;&lt;/record-ids&gt;&lt;/item&gt;&lt;/Libraries&gt;"/>
  </w:docVars>
  <w:rsids>
    <w:rsidRoot w:val="00A27304"/>
    <w:rsid w:val="000014A3"/>
    <w:rsid w:val="00042D90"/>
    <w:rsid w:val="000C5C4A"/>
    <w:rsid w:val="00195B6F"/>
    <w:rsid w:val="002A49BB"/>
    <w:rsid w:val="002B3605"/>
    <w:rsid w:val="002F5D8C"/>
    <w:rsid w:val="003A0ECF"/>
    <w:rsid w:val="003C63EE"/>
    <w:rsid w:val="003C72DB"/>
    <w:rsid w:val="003F75FB"/>
    <w:rsid w:val="00422E0B"/>
    <w:rsid w:val="004860C0"/>
    <w:rsid w:val="004A2B58"/>
    <w:rsid w:val="00516D1E"/>
    <w:rsid w:val="00550FDE"/>
    <w:rsid w:val="005D022D"/>
    <w:rsid w:val="005E47ED"/>
    <w:rsid w:val="005E5C50"/>
    <w:rsid w:val="00604DF8"/>
    <w:rsid w:val="006727CF"/>
    <w:rsid w:val="006845F9"/>
    <w:rsid w:val="006F4E2D"/>
    <w:rsid w:val="006F77A2"/>
    <w:rsid w:val="008219D9"/>
    <w:rsid w:val="008754CE"/>
    <w:rsid w:val="008923B6"/>
    <w:rsid w:val="0094580F"/>
    <w:rsid w:val="0095788F"/>
    <w:rsid w:val="00982B9B"/>
    <w:rsid w:val="009C7C45"/>
    <w:rsid w:val="00A27304"/>
    <w:rsid w:val="00A52082"/>
    <w:rsid w:val="00AA6134"/>
    <w:rsid w:val="00B16DF2"/>
    <w:rsid w:val="00B9781E"/>
    <w:rsid w:val="00BA1621"/>
    <w:rsid w:val="00BA2FDA"/>
    <w:rsid w:val="00C5674B"/>
    <w:rsid w:val="00C9727A"/>
    <w:rsid w:val="00C97C5C"/>
    <w:rsid w:val="00CA28BB"/>
    <w:rsid w:val="00D1105A"/>
    <w:rsid w:val="00D34A18"/>
    <w:rsid w:val="00D65D10"/>
    <w:rsid w:val="00D7632D"/>
    <w:rsid w:val="00DB4315"/>
    <w:rsid w:val="00DE4FB3"/>
    <w:rsid w:val="00E300F9"/>
    <w:rsid w:val="00E704AF"/>
    <w:rsid w:val="00EF2E78"/>
    <w:rsid w:val="00F02A00"/>
    <w:rsid w:val="00F05E00"/>
    <w:rsid w:val="00F25433"/>
    <w:rsid w:val="00F323F1"/>
    <w:rsid w:val="00F548F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D63CB3"/>
  <w15:docId w15:val="{5ED5C29A-ACE5-4847-8DA3-A6640B94CC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de" w:eastAsia="de-DE"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rsid w:val="003F75FB"/>
    <w:pPr>
      <w:spacing w:line="360" w:lineRule="auto"/>
      <w:outlineLvl w:val="0"/>
    </w:pPr>
    <w:rPr>
      <w:b/>
      <w:bCs/>
      <w:color w:val="000000" w:themeColor="text1"/>
      <w:sz w:val="24"/>
      <w:szCs w:val="24"/>
      <w:lang w:val="en-US"/>
    </w:rPr>
  </w:style>
  <w:style w:type="paragraph" w:styleId="Heading2">
    <w:name w:val="heading 2"/>
    <w:basedOn w:val="Heading5"/>
    <w:next w:val="Normal"/>
    <w:uiPriority w:val="9"/>
    <w:unhideWhenUsed/>
    <w:qFormat/>
    <w:rsid w:val="00F25433"/>
    <w:pPr>
      <w:spacing w:line="360" w:lineRule="auto"/>
      <w:jc w:val="both"/>
      <w:outlineLvl w:val="1"/>
    </w:pPr>
    <w:rPr>
      <w:b/>
      <w:color w:val="000000" w:themeColor="text1"/>
      <w:sz w:val="20"/>
      <w:szCs w:val="20"/>
      <w:lang w:val="en-US"/>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unhideWhenUsed/>
    <w:qFormat/>
    <w:pPr>
      <w:keepNext/>
      <w:keepLines/>
      <w:spacing w:before="280" w:after="80"/>
      <w:outlineLvl w:val="3"/>
    </w:pPr>
    <w:rPr>
      <w:color w:val="666666"/>
      <w:sz w:val="24"/>
      <w:szCs w:val="24"/>
    </w:rPr>
  </w:style>
  <w:style w:type="paragraph" w:styleId="Heading5">
    <w:name w:val="heading 5"/>
    <w:basedOn w:val="Normal"/>
    <w:next w:val="Normal"/>
    <w:uiPriority w:val="9"/>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customStyle="1" w:styleId="EndNoteBibliographyTitle">
    <w:name w:val="EndNote Bibliography Title"/>
    <w:basedOn w:val="Normal"/>
    <w:link w:val="EndNoteBibliographyTitleZchn"/>
    <w:rsid w:val="006F4E2D"/>
    <w:pPr>
      <w:jc w:val="center"/>
    </w:pPr>
    <w:rPr>
      <w:lang w:val="de-DE"/>
    </w:rPr>
  </w:style>
  <w:style w:type="character" w:customStyle="1" w:styleId="EndNoteBibliographyTitleZchn">
    <w:name w:val="EndNote Bibliography Title Zchn"/>
    <w:basedOn w:val="DefaultParagraphFont"/>
    <w:link w:val="EndNoteBibliographyTitle"/>
    <w:rsid w:val="006F4E2D"/>
    <w:rPr>
      <w:lang w:val="de-DE"/>
    </w:rPr>
  </w:style>
  <w:style w:type="paragraph" w:customStyle="1" w:styleId="EndNoteBibliography">
    <w:name w:val="EndNote Bibliography"/>
    <w:basedOn w:val="Normal"/>
    <w:link w:val="EndNoteBibliographyZchn"/>
    <w:rsid w:val="006F4E2D"/>
    <w:pPr>
      <w:spacing w:line="240" w:lineRule="auto"/>
      <w:jc w:val="both"/>
    </w:pPr>
    <w:rPr>
      <w:lang w:val="de-DE"/>
    </w:rPr>
  </w:style>
  <w:style w:type="character" w:customStyle="1" w:styleId="EndNoteBibliographyZchn">
    <w:name w:val="EndNote Bibliography Zchn"/>
    <w:basedOn w:val="DefaultParagraphFont"/>
    <w:link w:val="EndNoteBibliography"/>
    <w:rsid w:val="006F4E2D"/>
    <w:rPr>
      <w:lang w:val="de-DE"/>
    </w:rPr>
  </w:style>
  <w:style w:type="character" w:styleId="Hyperlink">
    <w:name w:val="Hyperlink"/>
    <w:basedOn w:val="DefaultParagraphFont"/>
    <w:uiPriority w:val="99"/>
    <w:unhideWhenUsed/>
    <w:rsid w:val="006F4E2D"/>
    <w:rPr>
      <w:color w:val="0000FF" w:themeColor="hyperlink"/>
      <w:u w:val="single"/>
    </w:rPr>
  </w:style>
  <w:style w:type="character" w:styleId="UnresolvedMention">
    <w:name w:val="Unresolved Mention"/>
    <w:basedOn w:val="DefaultParagraphFont"/>
    <w:uiPriority w:val="99"/>
    <w:semiHidden/>
    <w:unhideWhenUsed/>
    <w:rsid w:val="006F4E2D"/>
    <w:rPr>
      <w:color w:val="605E5C"/>
      <w:shd w:val="clear" w:color="auto" w:fill="E1DFDD"/>
    </w:rPr>
  </w:style>
  <w:style w:type="paragraph" w:styleId="Revision">
    <w:name w:val="Revision"/>
    <w:hidden/>
    <w:uiPriority w:val="99"/>
    <w:semiHidden/>
    <w:rsid w:val="00D65D10"/>
    <w:pPr>
      <w:spacing w:line="240" w:lineRule="auto"/>
    </w:pPr>
  </w:style>
  <w:style w:type="paragraph" w:styleId="Header">
    <w:name w:val="header"/>
    <w:basedOn w:val="Normal"/>
    <w:link w:val="HeaderChar"/>
    <w:uiPriority w:val="99"/>
    <w:unhideWhenUsed/>
    <w:rsid w:val="000014A3"/>
    <w:pPr>
      <w:tabs>
        <w:tab w:val="center" w:pos="4536"/>
        <w:tab w:val="right" w:pos="9072"/>
      </w:tabs>
      <w:spacing w:line="240" w:lineRule="auto"/>
    </w:pPr>
  </w:style>
  <w:style w:type="character" w:customStyle="1" w:styleId="HeaderChar">
    <w:name w:val="Header Char"/>
    <w:basedOn w:val="DefaultParagraphFont"/>
    <w:link w:val="Header"/>
    <w:uiPriority w:val="99"/>
    <w:rsid w:val="000014A3"/>
  </w:style>
  <w:style w:type="paragraph" w:styleId="Footer">
    <w:name w:val="footer"/>
    <w:basedOn w:val="Normal"/>
    <w:link w:val="FooterChar"/>
    <w:uiPriority w:val="99"/>
    <w:unhideWhenUsed/>
    <w:rsid w:val="000014A3"/>
    <w:pPr>
      <w:tabs>
        <w:tab w:val="center" w:pos="4536"/>
        <w:tab w:val="right" w:pos="9072"/>
      </w:tabs>
      <w:spacing w:line="240" w:lineRule="auto"/>
    </w:pPr>
  </w:style>
  <w:style w:type="character" w:customStyle="1" w:styleId="FooterChar">
    <w:name w:val="Footer Char"/>
    <w:basedOn w:val="DefaultParagraphFont"/>
    <w:link w:val="Footer"/>
    <w:uiPriority w:val="99"/>
    <w:rsid w:val="000014A3"/>
  </w:style>
  <w:style w:type="character" w:styleId="PageNumber">
    <w:name w:val="page number"/>
    <w:basedOn w:val="DefaultParagraphFont"/>
    <w:uiPriority w:val="99"/>
    <w:semiHidden/>
    <w:unhideWhenUsed/>
    <w:rsid w:val="000014A3"/>
  </w:style>
  <w:style w:type="character" w:styleId="LineNumber">
    <w:name w:val="line number"/>
    <w:basedOn w:val="DefaultParagraphFont"/>
    <w:uiPriority w:val="99"/>
    <w:semiHidden/>
    <w:unhideWhenUsed/>
    <w:rsid w:val="003A0ECF"/>
  </w:style>
  <w:style w:type="table" w:styleId="TableGrid">
    <w:name w:val="Table Grid"/>
    <w:basedOn w:val="TableNormal"/>
    <w:uiPriority w:val="39"/>
    <w:rsid w:val="003F75FB"/>
    <w:pPr>
      <w:spacing w:line="240" w:lineRule="auto"/>
    </w:pPr>
    <w:rPr>
      <w:rFonts w:asciiTheme="minorHAnsi" w:eastAsiaTheme="minorHAnsi" w:hAnsiTheme="minorHAnsi" w:cstheme="minorBidi"/>
      <w:kern w:val="2"/>
      <w:sz w:val="24"/>
      <w:szCs w:val="24"/>
      <w:lang w:val="de-DE"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unhideWhenUsed/>
    <w:rsid w:val="003F75FB"/>
    <w:pPr>
      <w:spacing w:after="100"/>
    </w:pPr>
    <w:rPr>
      <w:sz w:val="20"/>
    </w:rPr>
  </w:style>
  <w:style w:type="paragraph" w:styleId="TOC2">
    <w:name w:val="toc 2"/>
    <w:basedOn w:val="Normal"/>
    <w:next w:val="Normal"/>
    <w:autoRedefine/>
    <w:uiPriority w:val="39"/>
    <w:unhideWhenUsed/>
    <w:rsid w:val="00F25433"/>
    <w:pPr>
      <w:spacing w:after="100"/>
      <w:ind w:left="220"/>
    </w:pPr>
    <w:rPr>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7474619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jpe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336E59-B4DB-3E45-8C8F-BCA976F4D4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3217</Words>
  <Characters>18339</Characters>
  <Application>Microsoft Office Word</Application>
  <DocSecurity>0</DocSecurity>
  <Lines>152</Lines>
  <Paragraphs>43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21513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Antonia Demleitner</cp:lastModifiedBy>
  <cp:revision>2</cp:revision>
  <dcterms:created xsi:type="dcterms:W3CDTF">2025-07-23T08:46:00Z</dcterms:created>
  <dcterms:modified xsi:type="dcterms:W3CDTF">2025-07-23T08:46:00Z</dcterms:modified>
</cp:coreProperties>
</file>