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76B6" w:rsidRDefault="008F76B6" w:rsidP="008F76B6">
      <w:pPr>
        <w:pBdr>
          <w:top w:val="nil"/>
          <w:left w:val="nil"/>
          <w:bottom w:val="nil"/>
          <w:right w:val="nil"/>
          <w:between w:val="nil"/>
        </w:pBdr>
        <w:spacing w:after="0" w:line="480" w:lineRule="auto"/>
        <w:ind w:left="720" w:hanging="720"/>
        <w:rPr>
          <w:rFonts w:ascii="Arial" w:eastAsia="Arial" w:hAnsi="Arial" w:cs="Arial"/>
          <w:b/>
          <w:sz w:val="32"/>
          <w:szCs w:val="32"/>
        </w:rPr>
      </w:pPr>
      <w:r>
        <w:rPr>
          <w:rFonts w:ascii="Arial" w:eastAsia="Arial" w:hAnsi="Arial" w:cs="Arial"/>
          <w:b/>
          <w:sz w:val="32"/>
          <w:szCs w:val="32"/>
        </w:rPr>
        <w:t>Supplements</w:t>
      </w:r>
    </w:p>
    <w:p w:rsidR="008F76B6" w:rsidRDefault="008F76B6" w:rsidP="008F76B6">
      <w:r>
        <w:rPr>
          <w:noProof/>
          <w:lang w:val="en-IN" w:eastAsia="en-IN"/>
        </w:rPr>
        <w:drawing>
          <wp:inline distT="114300" distB="114300" distL="114300" distR="114300" wp14:anchorId="1A4EB1A2" wp14:editId="58014335">
            <wp:extent cx="5743575" cy="1800225"/>
            <wp:effectExtent l="0" t="0" r="0" b="0"/>
            <wp:docPr id="2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
                    <a:srcRect/>
                    <a:stretch>
                      <a:fillRect/>
                    </a:stretch>
                  </pic:blipFill>
                  <pic:spPr>
                    <a:xfrm>
                      <a:off x="0" y="0"/>
                      <a:ext cx="5743575" cy="1800225"/>
                    </a:xfrm>
                    <a:prstGeom prst="rect">
                      <a:avLst/>
                    </a:prstGeom>
                    <a:ln/>
                  </pic:spPr>
                </pic:pic>
              </a:graphicData>
            </a:graphic>
          </wp:inline>
        </w:drawing>
      </w:r>
    </w:p>
    <w:p w:rsidR="008F76B6" w:rsidRDefault="008F76B6" w:rsidP="008F76B6">
      <w:pPr>
        <w:spacing w:after="0"/>
        <w:jc w:val="left"/>
        <w:rPr>
          <w:rFonts w:ascii="Arial" w:eastAsia="Arial" w:hAnsi="Arial" w:cs="Arial"/>
          <w:sz w:val="20"/>
          <w:szCs w:val="20"/>
        </w:rPr>
      </w:pPr>
      <w:r>
        <w:rPr>
          <w:rFonts w:ascii="Arial" w:eastAsia="Arial" w:hAnsi="Arial" w:cs="Arial"/>
          <w:b/>
          <w:sz w:val="20"/>
          <w:szCs w:val="20"/>
        </w:rPr>
        <w:t xml:space="preserve">Supplementary Figure S1: Amino acid sequence of recombinant </w:t>
      </w:r>
      <w:r>
        <w:rPr>
          <w:rFonts w:ascii="Arial" w:eastAsia="Arial" w:hAnsi="Arial" w:cs="Arial"/>
          <w:b/>
          <w:i/>
          <w:sz w:val="20"/>
          <w:szCs w:val="20"/>
        </w:rPr>
        <w:t>Fs</w:t>
      </w:r>
      <w:r>
        <w:rPr>
          <w:rFonts w:ascii="Arial" w:eastAsia="Arial" w:hAnsi="Arial" w:cs="Arial"/>
          <w:b/>
          <w:sz w:val="20"/>
          <w:szCs w:val="20"/>
        </w:rPr>
        <w:t xml:space="preserve">PDF2. </w:t>
      </w:r>
      <w:r>
        <w:rPr>
          <w:rFonts w:ascii="Arial" w:eastAsia="Arial" w:hAnsi="Arial" w:cs="Arial"/>
          <w:sz w:val="20"/>
          <w:szCs w:val="20"/>
        </w:rPr>
        <w:t xml:space="preserve">The recombinant construct contains the plant defensin </w:t>
      </w:r>
      <w:r>
        <w:rPr>
          <w:rFonts w:ascii="Arial" w:eastAsia="Arial" w:hAnsi="Arial" w:cs="Arial"/>
          <w:i/>
          <w:sz w:val="20"/>
          <w:szCs w:val="20"/>
        </w:rPr>
        <w:t>Fs</w:t>
      </w:r>
      <w:r>
        <w:rPr>
          <w:rFonts w:ascii="Arial" w:eastAsia="Arial" w:hAnsi="Arial" w:cs="Arial"/>
          <w:sz w:val="20"/>
          <w:szCs w:val="20"/>
        </w:rPr>
        <w:t>PDF2 connected with a linear glycine-serine linker and a cleavage site for TEV protease to a TwinStrep tag. There is an additional His8 tag for purification.</w:t>
      </w:r>
    </w:p>
    <w:p w:rsidR="008F76B6" w:rsidRDefault="008F76B6" w:rsidP="008F76B6">
      <w:pPr>
        <w:spacing w:after="0"/>
        <w:jc w:val="left"/>
        <w:rPr>
          <w:rFonts w:ascii="Arial" w:eastAsia="Arial" w:hAnsi="Arial" w:cs="Arial"/>
          <w:sz w:val="20"/>
          <w:szCs w:val="20"/>
        </w:rPr>
      </w:pPr>
    </w:p>
    <w:p w:rsidR="008F76B6" w:rsidRDefault="008F76B6" w:rsidP="008F76B6">
      <w:r>
        <w:rPr>
          <w:noProof/>
          <w:lang w:val="en-IN" w:eastAsia="en-IN"/>
        </w:rPr>
        <w:drawing>
          <wp:inline distT="114300" distB="114300" distL="114300" distR="114300" wp14:anchorId="437C1A4D" wp14:editId="0B09D1D8">
            <wp:extent cx="5760410" cy="5765800"/>
            <wp:effectExtent l="0" t="0" r="0" b="0"/>
            <wp:docPr id="2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7"/>
                    <a:srcRect/>
                    <a:stretch>
                      <a:fillRect/>
                    </a:stretch>
                  </pic:blipFill>
                  <pic:spPr>
                    <a:xfrm>
                      <a:off x="0" y="0"/>
                      <a:ext cx="5760410" cy="5765800"/>
                    </a:xfrm>
                    <a:prstGeom prst="rect">
                      <a:avLst/>
                    </a:prstGeom>
                    <a:ln/>
                  </pic:spPr>
                </pic:pic>
              </a:graphicData>
            </a:graphic>
          </wp:inline>
        </w:drawing>
      </w:r>
    </w:p>
    <w:p w:rsidR="008F76B6" w:rsidRDefault="008F76B6" w:rsidP="008F76B6">
      <w:pPr>
        <w:spacing w:line="392" w:lineRule="auto"/>
        <w:rPr>
          <w:sz w:val="20"/>
          <w:szCs w:val="20"/>
        </w:rPr>
      </w:pPr>
      <w:r>
        <w:rPr>
          <w:rFonts w:ascii="Arial" w:eastAsia="Arial" w:hAnsi="Arial" w:cs="Arial"/>
          <w:b/>
          <w:sz w:val="20"/>
          <w:szCs w:val="20"/>
        </w:rPr>
        <w:t>Supplementary Figure S2:</w:t>
      </w:r>
      <w:r>
        <w:rPr>
          <w:rFonts w:ascii="Arial" w:eastAsia="Arial" w:hAnsi="Arial" w:cs="Arial"/>
          <w:sz w:val="20"/>
          <w:szCs w:val="20"/>
        </w:rPr>
        <w:t xml:space="preserve"> </w:t>
      </w:r>
      <w:r>
        <w:rPr>
          <w:rFonts w:ascii="Arial" w:eastAsia="Arial" w:hAnsi="Arial" w:cs="Arial"/>
          <w:b/>
          <w:sz w:val="20"/>
          <w:szCs w:val="20"/>
        </w:rPr>
        <w:t xml:space="preserve">Initial ColabFold model of </w:t>
      </w:r>
      <w:r>
        <w:rPr>
          <w:rFonts w:ascii="Arial" w:eastAsia="Arial" w:hAnsi="Arial" w:cs="Arial"/>
          <w:b/>
          <w:i/>
          <w:sz w:val="20"/>
          <w:szCs w:val="20"/>
        </w:rPr>
        <w:t>Fs</w:t>
      </w:r>
      <w:r>
        <w:rPr>
          <w:rFonts w:ascii="Arial" w:eastAsia="Arial" w:hAnsi="Arial" w:cs="Arial"/>
          <w:b/>
          <w:sz w:val="20"/>
          <w:szCs w:val="20"/>
        </w:rPr>
        <w:t xml:space="preserve">PDF2 in complex with PHE148-H1 and PHE183-B12. a </w:t>
      </w:r>
      <w:r>
        <w:rPr>
          <w:rFonts w:ascii="Arial" w:eastAsia="Arial" w:hAnsi="Arial" w:cs="Arial"/>
          <w:sz w:val="20"/>
          <w:szCs w:val="20"/>
        </w:rPr>
        <w:t>Protein structure of the antibody antigen co</w:t>
      </w:r>
      <w:r w:rsidR="00DF698D">
        <w:rPr>
          <w:rFonts w:ascii="Arial" w:eastAsia="Arial" w:hAnsi="Arial" w:cs="Arial"/>
          <w:sz w:val="20"/>
          <w:szCs w:val="20"/>
        </w:rPr>
        <w:t>m</w:t>
      </w:r>
      <w:bookmarkStart w:id="0" w:name="_GoBack"/>
      <w:bookmarkEnd w:id="0"/>
      <w:r>
        <w:rPr>
          <w:rFonts w:ascii="Arial" w:eastAsia="Arial" w:hAnsi="Arial" w:cs="Arial"/>
          <w:sz w:val="20"/>
          <w:szCs w:val="20"/>
        </w:rPr>
        <w:t xml:space="preserve">plex. </w:t>
      </w:r>
      <w:r>
        <w:rPr>
          <w:rFonts w:ascii="Arial" w:eastAsia="Arial" w:hAnsi="Arial" w:cs="Arial"/>
          <w:i/>
          <w:sz w:val="20"/>
          <w:szCs w:val="20"/>
        </w:rPr>
        <w:t>Fs</w:t>
      </w:r>
      <w:r>
        <w:rPr>
          <w:rFonts w:ascii="Arial" w:eastAsia="Arial" w:hAnsi="Arial" w:cs="Arial"/>
          <w:sz w:val="20"/>
          <w:szCs w:val="20"/>
        </w:rPr>
        <w:t xml:space="preserve">PDF2 is colored orange. PHE148-H1 is colored in light gray, and PHE183-B12 in dark gray. </w:t>
      </w:r>
      <w:r>
        <w:rPr>
          <w:rFonts w:ascii="Arial" w:eastAsia="Arial" w:hAnsi="Arial" w:cs="Arial"/>
          <w:b/>
          <w:sz w:val="20"/>
          <w:szCs w:val="20"/>
        </w:rPr>
        <w:t>b</w:t>
      </w:r>
      <w:r>
        <w:rPr>
          <w:rFonts w:ascii="Arial" w:eastAsia="Arial" w:hAnsi="Arial" w:cs="Arial"/>
          <w:sz w:val="20"/>
          <w:szCs w:val="20"/>
        </w:rPr>
        <w:t xml:space="preserve"> multiple sequence alignment results for all 3 proteins. </w:t>
      </w:r>
      <w:r>
        <w:rPr>
          <w:rFonts w:ascii="Arial" w:eastAsia="Arial" w:hAnsi="Arial" w:cs="Arial"/>
          <w:b/>
          <w:sz w:val="20"/>
          <w:szCs w:val="20"/>
        </w:rPr>
        <w:t>c</w:t>
      </w:r>
      <w:r>
        <w:rPr>
          <w:rFonts w:ascii="Arial" w:eastAsia="Arial" w:hAnsi="Arial" w:cs="Arial"/>
          <w:sz w:val="20"/>
          <w:szCs w:val="20"/>
        </w:rPr>
        <w:t xml:space="preserve"> Local Distance Difference test (lDDT) for 5 iterations of Alphafold2. </w:t>
      </w:r>
      <w:r>
        <w:rPr>
          <w:rFonts w:ascii="Arial" w:eastAsia="Arial" w:hAnsi="Arial" w:cs="Arial"/>
          <w:b/>
          <w:sz w:val="20"/>
          <w:szCs w:val="20"/>
        </w:rPr>
        <w:t xml:space="preserve">d </w:t>
      </w:r>
      <w:r>
        <w:rPr>
          <w:rFonts w:ascii="Arial" w:eastAsia="Arial" w:hAnsi="Arial" w:cs="Arial"/>
          <w:sz w:val="20"/>
          <w:szCs w:val="20"/>
        </w:rPr>
        <w:t>predicted alignment error (PAE) for 5 iterations of Alphafold2.</w:t>
      </w:r>
    </w:p>
    <w:p w:rsidR="008F76B6" w:rsidRDefault="008F76B6" w:rsidP="008F76B6">
      <w:pPr>
        <w:jc w:val="center"/>
        <w:rPr>
          <w:rFonts w:ascii="Arial" w:eastAsia="Arial" w:hAnsi="Arial" w:cs="Arial"/>
          <w:sz w:val="20"/>
          <w:szCs w:val="20"/>
        </w:rPr>
      </w:pPr>
      <w:r>
        <w:rPr>
          <w:rFonts w:ascii="Arial" w:eastAsia="Arial" w:hAnsi="Arial" w:cs="Arial"/>
          <w:noProof/>
          <w:sz w:val="20"/>
          <w:szCs w:val="20"/>
          <w:lang w:val="en-IN" w:eastAsia="en-IN"/>
        </w:rPr>
        <w:drawing>
          <wp:inline distT="114300" distB="114300" distL="114300" distR="114300" wp14:anchorId="12C40517" wp14:editId="050410FC">
            <wp:extent cx="4287675" cy="3564811"/>
            <wp:effectExtent l="0" t="0" r="0" b="0"/>
            <wp:docPr id="2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8"/>
                    <a:srcRect/>
                    <a:stretch>
                      <a:fillRect/>
                    </a:stretch>
                  </pic:blipFill>
                  <pic:spPr>
                    <a:xfrm>
                      <a:off x="0" y="0"/>
                      <a:ext cx="4287675" cy="3564811"/>
                    </a:xfrm>
                    <a:prstGeom prst="rect">
                      <a:avLst/>
                    </a:prstGeom>
                    <a:ln/>
                  </pic:spPr>
                </pic:pic>
              </a:graphicData>
            </a:graphic>
          </wp:inline>
        </w:drawing>
      </w:r>
    </w:p>
    <w:p w:rsidR="008F76B6" w:rsidRDefault="008F76B6" w:rsidP="008F76B6">
      <w:pPr>
        <w:spacing w:after="0"/>
        <w:jc w:val="left"/>
        <w:rPr>
          <w:rFonts w:ascii="Arial" w:eastAsia="Arial" w:hAnsi="Arial" w:cs="Arial"/>
          <w:b/>
          <w:sz w:val="20"/>
          <w:szCs w:val="20"/>
        </w:rPr>
      </w:pPr>
      <w:r>
        <w:rPr>
          <w:rFonts w:ascii="Arial" w:eastAsia="Arial" w:hAnsi="Arial" w:cs="Arial"/>
          <w:b/>
          <w:sz w:val="20"/>
          <w:szCs w:val="20"/>
        </w:rPr>
        <w:t xml:space="preserve">Supplementary Figure S3: Results of Titration ELISA revealing the stability of recombinant </w:t>
      </w:r>
      <w:r>
        <w:rPr>
          <w:rFonts w:ascii="Arial" w:eastAsia="Arial" w:hAnsi="Arial" w:cs="Arial"/>
          <w:b/>
          <w:i/>
          <w:sz w:val="20"/>
          <w:szCs w:val="20"/>
        </w:rPr>
        <w:t>Fs</w:t>
      </w:r>
      <w:r>
        <w:rPr>
          <w:rFonts w:ascii="Arial" w:eastAsia="Arial" w:hAnsi="Arial" w:cs="Arial"/>
          <w:b/>
          <w:sz w:val="20"/>
          <w:szCs w:val="20"/>
        </w:rPr>
        <w:t>PDF2 from High Five insect cells at varied temperatures.</w:t>
      </w:r>
    </w:p>
    <w:p w:rsidR="008F76B6" w:rsidRDefault="008F76B6" w:rsidP="008F76B6">
      <w:pPr>
        <w:spacing w:after="0"/>
        <w:rPr>
          <w:rFonts w:ascii="Arial" w:eastAsia="Arial" w:hAnsi="Arial" w:cs="Arial"/>
          <w:sz w:val="20"/>
          <w:szCs w:val="20"/>
        </w:rPr>
      </w:pPr>
      <w:r>
        <w:rPr>
          <w:rFonts w:ascii="Arial" w:eastAsia="Arial" w:hAnsi="Arial" w:cs="Arial"/>
          <w:sz w:val="20"/>
          <w:szCs w:val="20"/>
        </w:rPr>
        <w:t xml:space="preserve">Titration curves and EC50 value in nM of purified </w:t>
      </w:r>
      <w:r>
        <w:rPr>
          <w:rFonts w:ascii="Arial" w:eastAsia="Arial" w:hAnsi="Arial" w:cs="Arial"/>
          <w:i/>
          <w:sz w:val="20"/>
          <w:szCs w:val="20"/>
        </w:rPr>
        <w:t>Fs</w:t>
      </w:r>
      <w:r>
        <w:rPr>
          <w:rFonts w:ascii="Arial" w:eastAsia="Arial" w:hAnsi="Arial" w:cs="Arial"/>
          <w:sz w:val="20"/>
          <w:szCs w:val="20"/>
        </w:rPr>
        <w:t xml:space="preserve">PDF2 from High Five insect cells stored for 4 weeks at -80 °C (Dark blue), 4 °C (Light blue), RT (Orange), and 37 °C (Red). BSA (Black) was used as a negative control. The experiment is based on the assumption that denatured </w:t>
      </w:r>
      <w:r>
        <w:rPr>
          <w:rFonts w:ascii="Arial" w:eastAsia="Arial" w:hAnsi="Arial" w:cs="Arial"/>
          <w:i/>
          <w:sz w:val="20"/>
          <w:szCs w:val="20"/>
        </w:rPr>
        <w:t>Fs</w:t>
      </w:r>
      <w:r>
        <w:rPr>
          <w:rFonts w:ascii="Arial" w:eastAsia="Arial" w:hAnsi="Arial" w:cs="Arial"/>
          <w:sz w:val="20"/>
          <w:szCs w:val="20"/>
        </w:rPr>
        <w:t xml:space="preserve">PDF2 can no longer be bound by the antibodies. See Figure 4a for the Titration ELISA setup. The consistent titration curves and identical EC50 values confirm the stability of </w:t>
      </w:r>
      <w:r>
        <w:rPr>
          <w:rFonts w:ascii="Arial" w:eastAsia="Arial" w:hAnsi="Arial" w:cs="Arial"/>
          <w:i/>
          <w:sz w:val="20"/>
          <w:szCs w:val="20"/>
        </w:rPr>
        <w:t>Fs</w:t>
      </w:r>
      <w:r>
        <w:rPr>
          <w:rFonts w:ascii="Arial" w:eastAsia="Arial" w:hAnsi="Arial" w:cs="Arial"/>
          <w:sz w:val="20"/>
          <w:szCs w:val="20"/>
        </w:rPr>
        <w:t>PDF2 over 4 weeks at all temperatures tested and indicate a correct protein folding.</w:t>
      </w:r>
    </w:p>
    <w:p w:rsidR="008F76B6" w:rsidRDefault="008F76B6" w:rsidP="008F76B6">
      <w:pPr>
        <w:spacing w:after="0"/>
        <w:rPr>
          <w:rFonts w:ascii="Arial" w:eastAsia="Arial" w:hAnsi="Arial" w:cs="Arial"/>
          <w:sz w:val="20"/>
          <w:szCs w:val="20"/>
        </w:rPr>
      </w:pPr>
    </w:p>
    <w:p w:rsidR="008F76B6" w:rsidRDefault="008F76B6" w:rsidP="008F76B6"/>
    <w:p w:rsidR="008F76B6" w:rsidRDefault="008F76B6" w:rsidP="008F76B6">
      <w:pPr>
        <w:spacing w:line="392" w:lineRule="auto"/>
        <w:rPr>
          <w:rFonts w:ascii="Arial" w:eastAsia="Arial" w:hAnsi="Arial" w:cs="Arial"/>
          <w:sz w:val="20"/>
          <w:szCs w:val="20"/>
        </w:rPr>
      </w:pPr>
    </w:p>
    <w:p w:rsidR="008F76B6" w:rsidRDefault="008F76B6" w:rsidP="008F76B6">
      <w:r>
        <w:rPr>
          <w:noProof/>
          <w:lang w:val="en-IN" w:eastAsia="en-IN"/>
        </w:rPr>
        <w:drawing>
          <wp:inline distT="114300" distB="114300" distL="114300" distR="114300" wp14:anchorId="080C4DEB" wp14:editId="5B15F6F4">
            <wp:extent cx="5760410" cy="3835400"/>
            <wp:effectExtent l="0" t="0" r="0" b="0"/>
            <wp:docPr id="2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9"/>
                    <a:srcRect/>
                    <a:stretch>
                      <a:fillRect/>
                    </a:stretch>
                  </pic:blipFill>
                  <pic:spPr>
                    <a:xfrm>
                      <a:off x="0" y="0"/>
                      <a:ext cx="5760410" cy="3835400"/>
                    </a:xfrm>
                    <a:prstGeom prst="rect">
                      <a:avLst/>
                    </a:prstGeom>
                    <a:ln/>
                  </pic:spPr>
                </pic:pic>
              </a:graphicData>
            </a:graphic>
          </wp:inline>
        </w:drawing>
      </w:r>
    </w:p>
    <w:p w:rsidR="008F76B6" w:rsidRDefault="008F76B6" w:rsidP="008F76B6">
      <w:pPr>
        <w:spacing w:line="392" w:lineRule="auto"/>
        <w:rPr>
          <w:rFonts w:ascii="Arial" w:eastAsia="Arial" w:hAnsi="Arial" w:cs="Arial"/>
          <w:sz w:val="20"/>
          <w:szCs w:val="20"/>
        </w:rPr>
      </w:pPr>
      <w:r>
        <w:rPr>
          <w:rFonts w:ascii="Arial" w:eastAsia="Arial" w:hAnsi="Arial" w:cs="Arial"/>
          <w:b/>
          <w:sz w:val="20"/>
          <w:szCs w:val="20"/>
        </w:rPr>
        <w:t xml:space="preserve">Supplementary Figure S4: Binding of the HAL10 scFv to </w:t>
      </w:r>
      <w:r>
        <w:rPr>
          <w:rFonts w:ascii="Arial" w:eastAsia="Arial" w:hAnsi="Arial" w:cs="Arial"/>
          <w:b/>
          <w:i/>
          <w:sz w:val="20"/>
          <w:szCs w:val="20"/>
        </w:rPr>
        <w:t>Fs</w:t>
      </w:r>
      <w:r>
        <w:rPr>
          <w:rFonts w:ascii="Arial" w:eastAsia="Arial" w:hAnsi="Arial" w:cs="Arial"/>
          <w:b/>
          <w:sz w:val="20"/>
          <w:szCs w:val="20"/>
        </w:rPr>
        <w:t>PSF2.</w:t>
      </w:r>
      <w:r>
        <w:rPr>
          <w:rFonts w:ascii="Arial" w:eastAsia="Arial" w:hAnsi="Arial" w:cs="Arial"/>
          <w:sz w:val="20"/>
          <w:szCs w:val="20"/>
        </w:rPr>
        <w:t xml:space="preserve"> Structures were predicted with Alphafold multimer. The highest ranked models of each scFv in complex with </w:t>
      </w:r>
      <w:r>
        <w:rPr>
          <w:rFonts w:ascii="Arial" w:eastAsia="Arial" w:hAnsi="Arial" w:cs="Arial"/>
          <w:i/>
          <w:sz w:val="20"/>
          <w:szCs w:val="20"/>
        </w:rPr>
        <w:t>Fs</w:t>
      </w:r>
      <w:r>
        <w:rPr>
          <w:rFonts w:ascii="Arial" w:eastAsia="Arial" w:hAnsi="Arial" w:cs="Arial"/>
          <w:sz w:val="20"/>
          <w:szCs w:val="20"/>
        </w:rPr>
        <w:t xml:space="preserve">PDF2 were superimposed and visualized. scFv structures were colored according to their name. </w:t>
      </w:r>
      <w:r>
        <w:rPr>
          <w:rFonts w:ascii="Arial" w:eastAsia="Arial" w:hAnsi="Arial" w:cs="Arial"/>
          <w:i/>
          <w:sz w:val="20"/>
          <w:szCs w:val="20"/>
        </w:rPr>
        <w:t>Fs</w:t>
      </w:r>
      <w:r>
        <w:rPr>
          <w:rFonts w:ascii="Arial" w:eastAsia="Arial" w:hAnsi="Arial" w:cs="Arial"/>
          <w:sz w:val="20"/>
          <w:szCs w:val="20"/>
        </w:rPr>
        <w:t>PDF2 structure was displayed as spheres and colored by heteroatom.</w:t>
      </w:r>
    </w:p>
    <w:p w:rsidR="008F76B6" w:rsidRDefault="008F76B6" w:rsidP="008F76B6">
      <w:pPr>
        <w:spacing w:line="392" w:lineRule="auto"/>
      </w:pPr>
    </w:p>
    <w:p w:rsidR="008F76B6" w:rsidRDefault="008F76B6" w:rsidP="008F76B6">
      <w:pPr>
        <w:spacing w:after="0" w:line="480" w:lineRule="auto"/>
        <w:ind w:left="720"/>
      </w:pPr>
      <w:r>
        <w:rPr>
          <w:noProof/>
          <w:lang w:val="en-IN" w:eastAsia="en-IN"/>
        </w:rPr>
        <w:drawing>
          <wp:inline distT="114300" distB="114300" distL="114300" distR="114300" wp14:anchorId="74AFCC86" wp14:editId="17462160">
            <wp:extent cx="5760410" cy="4025900"/>
            <wp:effectExtent l="0" t="0" r="0" b="0"/>
            <wp:docPr id="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760410" cy="4025900"/>
                    </a:xfrm>
                    <a:prstGeom prst="rect">
                      <a:avLst/>
                    </a:prstGeom>
                    <a:ln/>
                  </pic:spPr>
                </pic:pic>
              </a:graphicData>
            </a:graphic>
          </wp:inline>
        </w:drawing>
      </w:r>
    </w:p>
    <w:p w:rsidR="008F76B6" w:rsidRDefault="008F76B6" w:rsidP="008F76B6">
      <w:pPr>
        <w:rPr>
          <w:rFonts w:ascii="Arial" w:eastAsia="Arial" w:hAnsi="Arial" w:cs="Arial"/>
          <w:sz w:val="20"/>
          <w:szCs w:val="20"/>
        </w:rPr>
      </w:pPr>
      <w:r>
        <w:rPr>
          <w:rFonts w:ascii="Arial" w:eastAsia="Arial" w:hAnsi="Arial" w:cs="Arial"/>
          <w:b/>
          <w:sz w:val="20"/>
          <w:szCs w:val="20"/>
        </w:rPr>
        <w:t>Supplementary Figure S5 Influence of tannins in the ELISA.</w:t>
      </w:r>
      <w:r>
        <w:rPr>
          <w:rFonts w:ascii="Arial" w:eastAsia="Arial" w:hAnsi="Arial" w:cs="Arial"/>
          <w:sz w:val="20"/>
          <w:szCs w:val="20"/>
        </w:rPr>
        <w:t xml:space="preserve"> The figure shows the titration curve of </w:t>
      </w:r>
      <w:r>
        <w:rPr>
          <w:rFonts w:ascii="Arial" w:eastAsia="Arial" w:hAnsi="Arial" w:cs="Arial"/>
          <w:i/>
          <w:sz w:val="20"/>
          <w:szCs w:val="20"/>
        </w:rPr>
        <w:t>Fs</w:t>
      </w:r>
      <w:r>
        <w:rPr>
          <w:rFonts w:ascii="Arial" w:eastAsia="Arial" w:hAnsi="Arial" w:cs="Arial"/>
          <w:sz w:val="20"/>
          <w:szCs w:val="20"/>
        </w:rPr>
        <w:t xml:space="preserve">PDF2 with PHE148-H1 as capture antibody and PHE183-B12 for detection. The tannin containing </w:t>
      </w:r>
      <w:r>
        <w:rPr>
          <w:rFonts w:ascii="Arial" w:eastAsia="Arial" w:hAnsi="Arial" w:cs="Arial"/>
          <w:i/>
          <w:sz w:val="20"/>
          <w:szCs w:val="20"/>
        </w:rPr>
        <w:t>Fs</w:t>
      </w:r>
      <w:r>
        <w:rPr>
          <w:rFonts w:ascii="Arial" w:eastAsia="Arial" w:hAnsi="Arial" w:cs="Arial"/>
          <w:sz w:val="20"/>
          <w:szCs w:val="20"/>
        </w:rPr>
        <w:t>PDF2 extract gives a lower signal than the extract without tannins. The extract treated with PVPP to adsorb tannins gives the same signals as the extract without tannins.</w:t>
      </w:r>
    </w:p>
    <w:p w:rsidR="008F76B6" w:rsidRDefault="008F76B6" w:rsidP="008F76B6">
      <w:pPr>
        <w:rPr>
          <w:rFonts w:ascii="Arial" w:eastAsia="Arial" w:hAnsi="Arial" w:cs="Arial"/>
          <w:sz w:val="20"/>
          <w:szCs w:val="20"/>
        </w:rPr>
      </w:pPr>
    </w:p>
    <w:p w:rsidR="008F76B6" w:rsidRDefault="008F76B6" w:rsidP="008F76B6">
      <w:pPr>
        <w:rPr>
          <w:rFonts w:ascii="Arial" w:eastAsia="Arial" w:hAnsi="Arial" w:cs="Arial"/>
          <w:sz w:val="20"/>
          <w:szCs w:val="20"/>
        </w:rPr>
      </w:pPr>
      <w:r>
        <w:rPr>
          <w:rFonts w:ascii="Arial" w:eastAsia="Arial" w:hAnsi="Arial" w:cs="Arial"/>
          <w:noProof/>
          <w:sz w:val="20"/>
          <w:szCs w:val="20"/>
          <w:lang w:val="en-IN" w:eastAsia="en-IN"/>
        </w:rPr>
        <w:drawing>
          <wp:inline distT="114300" distB="114300" distL="114300" distR="114300" wp14:anchorId="787B1A8A" wp14:editId="25B628F4">
            <wp:extent cx="5760410" cy="2527300"/>
            <wp:effectExtent l="0" t="0" r="0" b="0"/>
            <wp:docPr id="2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1"/>
                    <a:srcRect/>
                    <a:stretch>
                      <a:fillRect/>
                    </a:stretch>
                  </pic:blipFill>
                  <pic:spPr>
                    <a:xfrm>
                      <a:off x="0" y="0"/>
                      <a:ext cx="5760410" cy="2527300"/>
                    </a:xfrm>
                    <a:prstGeom prst="rect">
                      <a:avLst/>
                    </a:prstGeom>
                    <a:ln/>
                  </pic:spPr>
                </pic:pic>
              </a:graphicData>
            </a:graphic>
          </wp:inline>
        </w:drawing>
      </w:r>
    </w:p>
    <w:p w:rsidR="008F76B6" w:rsidRDefault="008F76B6" w:rsidP="008F76B6">
      <w:pPr>
        <w:rPr>
          <w:rFonts w:ascii="Arial" w:eastAsia="Arial" w:hAnsi="Arial" w:cs="Arial"/>
        </w:rPr>
      </w:pPr>
      <w:r>
        <w:rPr>
          <w:rFonts w:ascii="Arial" w:eastAsia="Arial" w:hAnsi="Arial" w:cs="Arial"/>
          <w:b/>
          <w:sz w:val="20"/>
          <w:szCs w:val="20"/>
        </w:rPr>
        <w:t xml:space="preserve">Supplementary Figure S6 ELISA with different blocking agents. </w:t>
      </w:r>
      <w:r>
        <w:rPr>
          <w:rFonts w:ascii="Arial" w:eastAsia="Arial" w:hAnsi="Arial" w:cs="Arial"/>
          <w:sz w:val="20"/>
          <w:szCs w:val="20"/>
        </w:rPr>
        <w:t>Polystyrene</w:t>
      </w:r>
      <w:r>
        <w:rPr>
          <w:rFonts w:ascii="Arial" w:eastAsia="Arial" w:hAnsi="Arial" w:cs="Arial"/>
          <w:b/>
          <w:sz w:val="20"/>
          <w:szCs w:val="20"/>
        </w:rPr>
        <w:t xml:space="preserve"> </w:t>
      </w:r>
      <w:r>
        <w:rPr>
          <w:rFonts w:ascii="Arial" w:eastAsia="Arial" w:hAnsi="Arial" w:cs="Arial"/>
          <w:sz w:val="20"/>
          <w:szCs w:val="20"/>
        </w:rPr>
        <w:t>MTP wells blocked with PVP show a higher sensitivity as MTP wells blocked with milk powder.</w:t>
      </w:r>
    </w:p>
    <w:p w:rsidR="008F76B6" w:rsidRDefault="008F76B6" w:rsidP="008F76B6">
      <w:pPr>
        <w:rPr>
          <w:rFonts w:ascii="Arial" w:eastAsia="Arial" w:hAnsi="Arial" w:cs="Arial"/>
          <w:sz w:val="20"/>
          <w:szCs w:val="20"/>
        </w:rPr>
      </w:pPr>
      <w:r>
        <w:rPr>
          <w:rFonts w:ascii="Arial" w:eastAsia="Arial" w:hAnsi="Arial" w:cs="Arial"/>
          <w:noProof/>
          <w:sz w:val="20"/>
          <w:szCs w:val="20"/>
          <w:lang w:val="en-IN" w:eastAsia="en-IN"/>
        </w:rPr>
        <w:drawing>
          <wp:inline distT="114300" distB="114300" distL="114300" distR="114300" wp14:anchorId="584DE631" wp14:editId="3F84BF91">
            <wp:extent cx="5760410" cy="4406900"/>
            <wp:effectExtent l="0" t="0" r="0" b="0"/>
            <wp:docPr id="3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2"/>
                    <a:srcRect/>
                    <a:stretch>
                      <a:fillRect/>
                    </a:stretch>
                  </pic:blipFill>
                  <pic:spPr>
                    <a:xfrm>
                      <a:off x="0" y="0"/>
                      <a:ext cx="5760410" cy="4406900"/>
                    </a:xfrm>
                    <a:prstGeom prst="rect">
                      <a:avLst/>
                    </a:prstGeom>
                    <a:ln/>
                  </pic:spPr>
                </pic:pic>
              </a:graphicData>
            </a:graphic>
          </wp:inline>
        </w:drawing>
      </w:r>
    </w:p>
    <w:p w:rsidR="008F76B6" w:rsidRDefault="008F76B6" w:rsidP="008F76B6">
      <w:pPr>
        <w:rPr>
          <w:rFonts w:ascii="Arial" w:eastAsia="Arial" w:hAnsi="Arial" w:cs="Arial"/>
          <w:sz w:val="20"/>
          <w:szCs w:val="20"/>
        </w:rPr>
      </w:pPr>
      <w:r>
        <w:rPr>
          <w:rFonts w:ascii="Arial" w:eastAsia="Arial" w:hAnsi="Arial" w:cs="Arial"/>
          <w:b/>
          <w:sz w:val="20"/>
          <w:szCs w:val="20"/>
        </w:rPr>
        <w:t xml:space="preserve">Supplementary Figure S7: Detection of recombinant </w:t>
      </w:r>
      <w:r>
        <w:rPr>
          <w:rFonts w:ascii="Arial" w:eastAsia="Arial" w:hAnsi="Arial" w:cs="Arial"/>
          <w:b/>
          <w:i/>
          <w:sz w:val="20"/>
          <w:szCs w:val="20"/>
        </w:rPr>
        <w:t>Fs</w:t>
      </w:r>
      <w:r>
        <w:rPr>
          <w:rFonts w:ascii="Arial" w:eastAsia="Arial" w:hAnsi="Arial" w:cs="Arial"/>
          <w:b/>
          <w:sz w:val="20"/>
          <w:szCs w:val="20"/>
        </w:rPr>
        <w:t>PDF2 in crude plant extract.</w:t>
      </w:r>
      <w:r>
        <w:rPr>
          <w:rFonts w:ascii="Arial" w:eastAsia="Arial" w:hAnsi="Arial" w:cs="Arial"/>
          <w:sz w:val="20"/>
          <w:szCs w:val="20"/>
        </w:rPr>
        <w:t xml:space="preserve"> Signals of recombinant </w:t>
      </w:r>
      <w:r>
        <w:rPr>
          <w:rFonts w:ascii="Arial" w:eastAsia="Arial" w:hAnsi="Arial" w:cs="Arial"/>
          <w:i/>
          <w:sz w:val="20"/>
          <w:szCs w:val="20"/>
        </w:rPr>
        <w:t>Fs</w:t>
      </w:r>
      <w:r>
        <w:rPr>
          <w:rFonts w:ascii="Arial" w:eastAsia="Arial" w:hAnsi="Arial" w:cs="Arial"/>
          <w:sz w:val="20"/>
          <w:szCs w:val="20"/>
        </w:rPr>
        <w:t xml:space="preserve">PDF2 mixed with 1:1 crude plant extract is slightly decreased, but in the same range like </w:t>
      </w:r>
      <w:r>
        <w:rPr>
          <w:rFonts w:ascii="Arial" w:eastAsia="Arial" w:hAnsi="Arial" w:cs="Arial"/>
          <w:i/>
          <w:sz w:val="20"/>
          <w:szCs w:val="20"/>
        </w:rPr>
        <w:t>Fs</w:t>
      </w:r>
      <w:r>
        <w:rPr>
          <w:rFonts w:ascii="Arial" w:eastAsia="Arial" w:hAnsi="Arial" w:cs="Arial"/>
          <w:sz w:val="20"/>
          <w:szCs w:val="20"/>
        </w:rPr>
        <w:t>PDF2 in normal M-PBST buffer (EC</w:t>
      </w:r>
      <w:r>
        <w:rPr>
          <w:rFonts w:ascii="Arial" w:eastAsia="Arial" w:hAnsi="Arial" w:cs="Arial"/>
          <w:sz w:val="20"/>
          <w:szCs w:val="20"/>
          <w:vertAlign w:val="subscript"/>
        </w:rPr>
        <w:t>50</w:t>
      </w:r>
      <w:r>
        <w:rPr>
          <w:rFonts w:ascii="Arial" w:eastAsia="Arial" w:hAnsi="Arial" w:cs="Arial"/>
          <w:sz w:val="20"/>
          <w:szCs w:val="20"/>
        </w:rPr>
        <w:t xml:space="preserve"> of  970 ng/mL and 993 ng/mL respectively).</w:t>
      </w:r>
    </w:p>
    <w:p w:rsidR="008F76B6" w:rsidRDefault="008F76B6" w:rsidP="008F76B6">
      <w:pPr>
        <w:rPr>
          <w:rFonts w:ascii="Arial" w:eastAsia="Arial" w:hAnsi="Arial" w:cs="Arial"/>
          <w:sz w:val="20"/>
          <w:szCs w:val="20"/>
        </w:rPr>
      </w:pPr>
    </w:p>
    <w:p w:rsidR="008F76B6" w:rsidRDefault="008F76B6" w:rsidP="008F76B6">
      <w:pPr>
        <w:rPr>
          <w:rFonts w:ascii="Arial" w:eastAsia="Arial" w:hAnsi="Arial" w:cs="Arial"/>
          <w:sz w:val="20"/>
          <w:szCs w:val="20"/>
        </w:rPr>
      </w:pPr>
      <w:r>
        <w:rPr>
          <w:rFonts w:ascii="Arial" w:eastAsia="Arial" w:hAnsi="Arial" w:cs="Arial"/>
          <w:noProof/>
          <w:sz w:val="20"/>
          <w:szCs w:val="20"/>
          <w:lang w:val="en-IN" w:eastAsia="en-IN"/>
        </w:rPr>
        <w:drawing>
          <wp:inline distT="114300" distB="114300" distL="114300" distR="114300" wp14:anchorId="62B5E861" wp14:editId="77A0AEBF">
            <wp:extent cx="5760410" cy="2387600"/>
            <wp:effectExtent l="0" t="0" r="0" b="0"/>
            <wp:docPr id="3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5760410" cy="2387600"/>
                    </a:xfrm>
                    <a:prstGeom prst="rect">
                      <a:avLst/>
                    </a:prstGeom>
                    <a:ln/>
                  </pic:spPr>
                </pic:pic>
              </a:graphicData>
            </a:graphic>
          </wp:inline>
        </w:drawing>
      </w:r>
    </w:p>
    <w:p w:rsidR="008F76B6" w:rsidRDefault="008F76B6" w:rsidP="008F76B6">
      <w:pPr>
        <w:rPr>
          <w:rFonts w:ascii="Arial" w:eastAsia="Arial" w:hAnsi="Arial" w:cs="Arial"/>
          <w:sz w:val="20"/>
          <w:szCs w:val="20"/>
        </w:rPr>
      </w:pPr>
      <w:r>
        <w:rPr>
          <w:rFonts w:ascii="Arial" w:eastAsia="Arial" w:hAnsi="Arial" w:cs="Arial"/>
          <w:b/>
          <w:sz w:val="20"/>
          <w:szCs w:val="20"/>
        </w:rPr>
        <w:t>Supplementary Figure S8: a</w:t>
      </w:r>
      <w:r>
        <w:rPr>
          <w:rFonts w:ascii="Arial" w:eastAsia="Arial" w:hAnsi="Arial" w:cs="Arial"/>
          <w:sz w:val="20"/>
          <w:szCs w:val="20"/>
        </w:rPr>
        <w:t xml:space="preserve"> Doubt stressed leaves from Beerenbusch. </w:t>
      </w:r>
      <w:r>
        <w:rPr>
          <w:rFonts w:ascii="Arial" w:eastAsia="Arial" w:hAnsi="Arial" w:cs="Arial"/>
          <w:b/>
          <w:sz w:val="20"/>
          <w:szCs w:val="20"/>
        </w:rPr>
        <w:t>b</w:t>
      </w:r>
      <w:r>
        <w:rPr>
          <w:rFonts w:ascii="Arial" w:eastAsia="Arial" w:hAnsi="Arial" w:cs="Arial"/>
          <w:sz w:val="20"/>
          <w:szCs w:val="20"/>
        </w:rPr>
        <w:t xml:space="preserve"> Scheme of Scholander Bomb measurement.</w:t>
      </w:r>
    </w:p>
    <w:p w:rsidR="008F76B6" w:rsidRDefault="008F76B6" w:rsidP="008F76B6">
      <w:pPr>
        <w:rPr>
          <w:rFonts w:ascii="Arial" w:eastAsia="Arial" w:hAnsi="Arial" w:cs="Arial"/>
          <w:sz w:val="20"/>
          <w:szCs w:val="20"/>
        </w:rPr>
      </w:pPr>
      <w:r>
        <w:rPr>
          <w:rFonts w:ascii="Arial" w:eastAsia="Arial" w:hAnsi="Arial" w:cs="Arial"/>
          <w:noProof/>
          <w:sz w:val="20"/>
          <w:szCs w:val="20"/>
          <w:lang w:val="en-IN" w:eastAsia="en-IN"/>
        </w:rPr>
        <w:drawing>
          <wp:inline distT="114300" distB="114300" distL="114300" distR="114300" wp14:anchorId="6A5CC999" wp14:editId="04AEE84C">
            <wp:extent cx="5760410" cy="4737100"/>
            <wp:effectExtent l="0" t="0" r="0" b="0"/>
            <wp:docPr id="3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5760410" cy="4737100"/>
                    </a:xfrm>
                    <a:prstGeom prst="rect">
                      <a:avLst/>
                    </a:prstGeom>
                    <a:ln/>
                  </pic:spPr>
                </pic:pic>
              </a:graphicData>
            </a:graphic>
          </wp:inline>
        </w:drawing>
      </w:r>
    </w:p>
    <w:p w:rsidR="008F76B6" w:rsidRDefault="008F76B6" w:rsidP="008F76B6">
      <w:pPr>
        <w:rPr>
          <w:rFonts w:ascii="Arial" w:eastAsia="Arial" w:hAnsi="Arial" w:cs="Arial"/>
          <w:sz w:val="20"/>
          <w:szCs w:val="20"/>
        </w:rPr>
      </w:pPr>
      <w:r>
        <w:rPr>
          <w:rFonts w:ascii="Arial" w:eastAsia="Arial" w:hAnsi="Arial" w:cs="Arial"/>
          <w:b/>
          <w:sz w:val="20"/>
          <w:szCs w:val="20"/>
        </w:rPr>
        <w:t xml:space="preserve">Supplementary Figure S9: a-d </w:t>
      </w:r>
      <w:r>
        <w:rPr>
          <w:rFonts w:ascii="Arial" w:eastAsia="Arial" w:hAnsi="Arial" w:cs="Arial"/>
          <w:i/>
          <w:sz w:val="20"/>
          <w:szCs w:val="20"/>
        </w:rPr>
        <w:t>Fs</w:t>
      </w:r>
      <w:r>
        <w:rPr>
          <w:rFonts w:ascii="Arial" w:eastAsia="Arial" w:hAnsi="Arial" w:cs="Arial"/>
          <w:sz w:val="20"/>
          <w:szCs w:val="20"/>
        </w:rPr>
        <w:t xml:space="preserve">PDF2 quantification in beech leaves exposed to drought. Comparison of upper and lower crown leaves from </w:t>
      </w:r>
      <w:r>
        <w:rPr>
          <w:rFonts w:ascii="Arial" w:eastAsia="Arial" w:hAnsi="Arial" w:cs="Arial"/>
          <w:i/>
          <w:sz w:val="20"/>
          <w:szCs w:val="20"/>
        </w:rPr>
        <w:t>F. sylvatica</w:t>
      </w:r>
      <w:r>
        <w:rPr>
          <w:rFonts w:ascii="Arial" w:eastAsia="Arial" w:hAnsi="Arial" w:cs="Arial"/>
          <w:sz w:val="20"/>
          <w:szCs w:val="20"/>
        </w:rPr>
        <w:t xml:space="preserve"> grown on sandy soil near </w:t>
      </w:r>
      <w:r>
        <w:rPr>
          <w:rFonts w:ascii="Arial" w:eastAsia="Arial" w:hAnsi="Arial" w:cs="Arial"/>
          <w:b/>
          <w:sz w:val="20"/>
          <w:szCs w:val="20"/>
        </w:rPr>
        <w:t>(a/b)</w:t>
      </w:r>
      <w:r>
        <w:rPr>
          <w:rFonts w:ascii="Arial" w:eastAsia="Arial" w:hAnsi="Arial" w:cs="Arial"/>
          <w:sz w:val="20"/>
          <w:szCs w:val="20"/>
        </w:rPr>
        <w:t xml:space="preserve"> Beerenbusch (number of replicates: upper crown, drought stress n=18, control n=12; lower crown drought stress n=12, control n=2) and </w:t>
      </w:r>
      <w:r>
        <w:rPr>
          <w:rFonts w:ascii="Arial" w:eastAsia="Arial" w:hAnsi="Arial" w:cs="Arial"/>
          <w:b/>
          <w:sz w:val="20"/>
          <w:szCs w:val="20"/>
        </w:rPr>
        <w:t>(c/d)</w:t>
      </w:r>
      <w:r>
        <w:rPr>
          <w:rFonts w:ascii="Arial" w:eastAsia="Arial" w:hAnsi="Arial" w:cs="Arial"/>
          <w:sz w:val="20"/>
          <w:szCs w:val="20"/>
        </w:rPr>
        <w:t xml:space="preserve"> Britz (number of replicates: upper crown, drought stress n=12, control n=4; lower crown drought stress n=11, control n=4) (Brandenburg), harvested after several months of drought in September 2019. Stressed trees grew in a dry forest area, control trees at a lake nearby.</w:t>
      </w:r>
    </w:p>
    <w:p w:rsidR="008F76B6" w:rsidRDefault="008F76B6" w:rsidP="008F76B6">
      <w:pPr>
        <w:rPr>
          <w:rFonts w:ascii="Arial" w:eastAsia="Arial" w:hAnsi="Arial" w:cs="Arial"/>
          <w:sz w:val="20"/>
          <w:szCs w:val="20"/>
        </w:rPr>
      </w:pPr>
    </w:p>
    <w:p w:rsidR="008F76B6" w:rsidRDefault="008F76B6" w:rsidP="008F76B6">
      <w:pPr>
        <w:rPr>
          <w:rFonts w:ascii="Arial" w:eastAsia="Arial" w:hAnsi="Arial" w:cs="Arial"/>
          <w:sz w:val="20"/>
          <w:szCs w:val="20"/>
        </w:rPr>
      </w:pPr>
    </w:p>
    <w:p w:rsidR="008F76B6" w:rsidRDefault="008F76B6" w:rsidP="008F76B6"/>
    <w:p w:rsidR="008F76B6" w:rsidRDefault="008F76B6" w:rsidP="008F76B6"/>
    <w:p w:rsidR="008F76B6" w:rsidRDefault="008F76B6" w:rsidP="008F76B6">
      <w:pPr>
        <w:spacing w:line="392" w:lineRule="auto"/>
      </w:pPr>
    </w:p>
    <w:p w:rsidR="008F76B6" w:rsidRDefault="008F76B6" w:rsidP="008F76B6"/>
    <w:p w:rsidR="008F76B6" w:rsidRDefault="008F76B6" w:rsidP="008F76B6"/>
    <w:p w:rsidR="008F76B6" w:rsidRDefault="008F76B6" w:rsidP="008F76B6">
      <w:pPr>
        <w:spacing w:line="392" w:lineRule="auto"/>
      </w:pPr>
    </w:p>
    <w:p w:rsidR="008F76B6" w:rsidRDefault="008F76B6" w:rsidP="008F76B6">
      <w:pPr>
        <w:spacing w:line="392" w:lineRule="auto"/>
        <w:rPr>
          <w:rFonts w:ascii="Arial" w:eastAsia="Arial" w:hAnsi="Arial" w:cs="Arial"/>
          <w:sz w:val="20"/>
          <w:szCs w:val="20"/>
        </w:rPr>
      </w:pPr>
    </w:p>
    <w:p w:rsidR="008F76B6" w:rsidRDefault="008F76B6" w:rsidP="008F76B6">
      <w:pPr>
        <w:spacing w:line="392" w:lineRule="auto"/>
        <w:rPr>
          <w:rFonts w:ascii="Arial" w:eastAsia="Arial" w:hAnsi="Arial" w:cs="Arial"/>
          <w:sz w:val="20"/>
          <w:szCs w:val="20"/>
        </w:rPr>
      </w:pPr>
      <w:r>
        <w:rPr>
          <w:rFonts w:ascii="Arial" w:eastAsia="Arial" w:hAnsi="Arial" w:cs="Arial"/>
          <w:b/>
          <w:sz w:val="20"/>
          <w:szCs w:val="20"/>
        </w:rPr>
        <w:t xml:space="preserve">Supplementary Table S1: Overview of Fagus sylvatica leaf samples. </w:t>
      </w:r>
      <w:r>
        <w:rPr>
          <w:rFonts w:ascii="Arial" w:eastAsia="Arial" w:hAnsi="Arial" w:cs="Arial"/>
          <w:sz w:val="20"/>
          <w:szCs w:val="20"/>
        </w:rPr>
        <w:t>The Fagus sylvatica samples were collected in Raststatt, Germany.</w:t>
      </w:r>
    </w:p>
    <w:tbl>
      <w:tblPr>
        <w:tblW w:w="89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5"/>
        <w:gridCol w:w="1515"/>
        <w:gridCol w:w="1245"/>
        <w:gridCol w:w="1065"/>
        <w:gridCol w:w="1125"/>
        <w:gridCol w:w="1425"/>
        <w:gridCol w:w="1275"/>
      </w:tblGrid>
      <w:tr w:rsidR="008F76B6" w:rsidTr="00A96204">
        <w:tc>
          <w:tcPr>
            <w:tcW w:w="1275" w:type="dxa"/>
            <w:shd w:val="clear" w:color="auto" w:fill="auto"/>
            <w:tcMar>
              <w:top w:w="100" w:type="dxa"/>
              <w:left w:w="100" w:type="dxa"/>
              <w:bottom w:w="100" w:type="dxa"/>
              <w:right w:w="100" w:type="dxa"/>
            </w:tcMar>
          </w:tcPr>
          <w:p w:rsidR="008F76B6" w:rsidRDefault="008F76B6" w:rsidP="00A96204">
            <w:pPr>
              <w:widowControl w:val="0"/>
              <w:pBdr>
                <w:top w:val="nil"/>
                <w:left w:val="nil"/>
                <w:bottom w:val="nil"/>
                <w:right w:val="nil"/>
                <w:between w:val="nil"/>
              </w:pBdr>
              <w:jc w:val="center"/>
              <w:rPr>
                <w:rFonts w:ascii="Arial" w:eastAsia="Arial" w:hAnsi="Arial" w:cs="Arial"/>
                <w:b/>
                <w:sz w:val="20"/>
                <w:szCs w:val="20"/>
              </w:rPr>
            </w:pPr>
            <w:r>
              <w:rPr>
                <w:rFonts w:ascii="Arial" w:eastAsia="Arial" w:hAnsi="Arial" w:cs="Arial"/>
                <w:b/>
                <w:sz w:val="20"/>
                <w:szCs w:val="20"/>
              </w:rPr>
              <w:t>RNA sample ID</w:t>
            </w:r>
          </w:p>
        </w:tc>
        <w:tc>
          <w:tcPr>
            <w:tcW w:w="1515" w:type="dxa"/>
            <w:shd w:val="clear" w:color="auto" w:fill="auto"/>
            <w:tcMar>
              <w:top w:w="100" w:type="dxa"/>
              <w:left w:w="100" w:type="dxa"/>
              <w:bottom w:w="100" w:type="dxa"/>
              <w:right w:w="100" w:type="dxa"/>
            </w:tcMar>
          </w:tcPr>
          <w:p w:rsidR="008F76B6" w:rsidRDefault="008F76B6" w:rsidP="00A96204">
            <w:pPr>
              <w:widowControl w:val="0"/>
              <w:pBdr>
                <w:top w:val="nil"/>
                <w:left w:val="nil"/>
                <w:bottom w:val="nil"/>
                <w:right w:val="nil"/>
                <w:between w:val="nil"/>
              </w:pBdr>
              <w:jc w:val="center"/>
              <w:rPr>
                <w:rFonts w:ascii="Arial" w:eastAsia="Arial" w:hAnsi="Arial" w:cs="Arial"/>
                <w:b/>
                <w:sz w:val="20"/>
                <w:szCs w:val="20"/>
              </w:rPr>
            </w:pPr>
            <w:r>
              <w:rPr>
                <w:rFonts w:ascii="Arial" w:eastAsia="Arial" w:hAnsi="Arial" w:cs="Arial"/>
                <w:b/>
                <w:sz w:val="20"/>
                <w:szCs w:val="20"/>
              </w:rPr>
              <w:t>Phytophthora infection</w:t>
            </w:r>
          </w:p>
        </w:tc>
        <w:tc>
          <w:tcPr>
            <w:tcW w:w="1245" w:type="dxa"/>
            <w:shd w:val="clear" w:color="auto" w:fill="auto"/>
            <w:tcMar>
              <w:top w:w="100" w:type="dxa"/>
              <w:left w:w="100" w:type="dxa"/>
              <w:bottom w:w="100" w:type="dxa"/>
              <w:right w:w="100" w:type="dxa"/>
            </w:tcMar>
          </w:tcPr>
          <w:p w:rsidR="008F76B6" w:rsidRDefault="008F76B6" w:rsidP="00A96204">
            <w:pPr>
              <w:widowControl w:val="0"/>
              <w:pBdr>
                <w:top w:val="nil"/>
                <w:left w:val="nil"/>
                <w:bottom w:val="nil"/>
                <w:right w:val="nil"/>
                <w:between w:val="nil"/>
              </w:pBdr>
              <w:jc w:val="center"/>
              <w:rPr>
                <w:rFonts w:ascii="Arial" w:eastAsia="Arial" w:hAnsi="Arial" w:cs="Arial"/>
                <w:b/>
                <w:sz w:val="20"/>
                <w:szCs w:val="20"/>
              </w:rPr>
            </w:pPr>
            <w:r>
              <w:rPr>
                <w:rFonts w:ascii="Arial" w:eastAsia="Arial" w:hAnsi="Arial" w:cs="Arial"/>
                <w:b/>
                <w:sz w:val="20"/>
                <w:szCs w:val="20"/>
              </w:rPr>
              <w:t>Tissue sample ID</w:t>
            </w:r>
          </w:p>
        </w:tc>
        <w:tc>
          <w:tcPr>
            <w:tcW w:w="1065" w:type="dxa"/>
            <w:shd w:val="clear" w:color="auto" w:fill="auto"/>
            <w:tcMar>
              <w:top w:w="100" w:type="dxa"/>
              <w:left w:w="100" w:type="dxa"/>
              <w:bottom w:w="100" w:type="dxa"/>
              <w:right w:w="100" w:type="dxa"/>
            </w:tcMar>
          </w:tcPr>
          <w:p w:rsidR="008F76B6" w:rsidRDefault="008F76B6" w:rsidP="00A96204">
            <w:pPr>
              <w:widowControl w:val="0"/>
              <w:pBdr>
                <w:top w:val="nil"/>
                <w:left w:val="nil"/>
                <w:bottom w:val="nil"/>
                <w:right w:val="nil"/>
                <w:between w:val="nil"/>
              </w:pBdr>
              <w:jc w:val="center"/>
              <w:rPr>
                <w:rFonts w:ascii="Arial" w:eastAsia="Arial" w:hAnsi="Arial" w:cs="Arial"/>
                <w:b/>
                <w:sz w:val="20"/>
                <w:szCs w:val="20"/>
              </w:rPr>
            </w:pPr>
            <w:r>
              <w:rPr>
                <w:rFonts w:ascii="Arial" w:eastAsia="Arial" w:hAnsi="Arial" w:cs="Arial"/>
                <w:b/>
                <w:sz w:val="20"/>
                <w:szCs w:val="20"/>
              </w:rPr>
              <w:t>leaf number</w:t>
            </w:r>
          </w:p>
        </w:tc>
        <w:tc>
          <w:tcPr>
            <w:tcW w:w="1125" w:type="dxa"/>
            <w:shd w:val="clear" w:color="auto" w:fill="auto"/>
            <w:tcMar>
              <w:top w:w="100" w:type="dxa"/>
              <w:left w:w="100" w:type="dxa"/>
              <w:bottom w:w="100" w:type="dxa"/>
              <w:right w:w="100" w:type="dxa"/>
            </w:tcMar>
          </w:tcPr>
          <w:p w:rsidR="008F76B6" w:rsidRDefault="008F76B6" w:rsidP="00A96204">
            <w:pPr>
              <w:widowControl w:val="0"/>
              <w:pBdr>
                <w:top w:val="nil"/>
                <w:left w:val="nil"/>
                <w:bottom w:val="nil"/>
                <w:right w:val="nil"/>
                <w:between w:val="nil"/>
              </w:pBdr>
              <w:jc w:val="center"/>
              <w:rPr>
                <w:rFonts w:ascii="Arial" w:eastAsia="Arial" w:hAnsi="Arial" w:cs="Arial"/>
                <w:b/>
                <w:sz w:val="20"/>
                <w:szCs w:val="20"/>
              </w:rPr>
            </w:pPr>
            <w:r>
              <w:rPr>
                <w:rFonts w:ascii="Arial" w:eastAsia="Arial" w:hAnsi="Arial" w:cs="Arial"/>
                <w:b/>
                <w:sz w:val="20"/>
                <w:szCs w:val="20"/>
              </w:rPr>
              <w:t>insect damage</w:t>
            </w:r>
          </w:p>
        </w:tc>
        <w:tc>
          <w:tcPr>
            <w:tcW w:w="1425" w:type="dxa"/>
            <w:shd w:val="clear" w:color="auto" w:fill="auto"/>
            <w:tcMar>
              <w:top w:w="100" w:type="dxa"/>
              <w:left w:w="100" w:type="dxa"/>
              <w:bottom w:w="100" w:type="dxa"/>
              <w:right w:w="100" w:type="dxa"/>
            </w:tcMar>
          </w:tcPr>
          <w:p w:rsidR="008F76B6" w:rsidRDefault="008F76B6" w:rsidP="00A96204">
            <w:pPr>
              <w:widowControl w:val="0"/>
              <w:pBdr>
                <w:top w:val="nil"/>
                <w:left w:val="nil"/>
                <w:bottom w:val="nil"/>
                <w:right w:val="nil"/>
                <w:between w:val="nil"/>
              </w:pBdr>
              <w:jc w:val="center"/>
              <w:rPr>
                <w:rFonts w:ascii="Arial" w:eastAsia="Arial" w:hAnsi="Arial" w:cs="Arial"/>
                <w:b/>
                <w:sz w:val="20"/>
                <w:szCs w:val="20"/>
              </w:rPr>
            </w:pPr>
            <w:r>
              <w:rPr>
                <w:rFonts w:ascii="Arial" w:eastAsia="Arial" w:hAnsi="Arial" w:cs="Arial"/>
                <w:b/>
                <w:sz w:val="20"/>
                <w:szCs w:val="20"/>
              </w:rPr>
              <w:t>collection date</w:t>
            </w:r>
          </w:p>
        </w:tc>
        <w:tc>
          <w:tcPr>
            <w:tcW w:w="1275" w:type="dxa"/>
            <w:shd w:val="clear" w:color="auto" w:fill="auto"/>
            <w:tcMar>
              <w:top w:w="100" w:type="dxa"/>
              <w:left w:w="100" w:type="dxa"/>
              <w:bottom w:w="100" w:type="dxa"/>
              <w:right w:w="100" w:type="dxa"/>
            </w:tcMar>
          </w:tcPr>
          <w:p w:rsidR="008F76B6" w:rsidRDefault="008F76B6" w:rsidP="00A96204">
            <w:pPr>
              <w:widowControl w:val="0"/>
              <w:pBdr>
                <w:top w:val="nil"/>
                <w:left w:val="nil"/>
                <w:bottom w:val="nil"/>
                <w:right w:val="nil"/>
                <w:between w:val="nil"/>
              </w:pBdr>
              <w:jc w:val="center"/>
              <w:rPr>
                <w:rFonts w:ascii="Arial" w:eastAsia="Arial" w:hAnsi="Arial" w:cs="Arial"/>
                <w:b/>
                <w:sz w:val="20"/>
                <w:szCs w:val="20"/>
              </w:rPr>
            </w:pPr>
            <w:r>
              <w:rPr>
                <w:rFonts w:ascii="Arial" w:eastAsia="Arial" w:hAnsi="Arial" w:cs="Arial"/>
                <w:b/>
                <w:sz w:val="20"/>
                <w:szCs w:val="20"/>
              </w:rPr>
              <w:t>collection place</w:t>
            </w:r>
          </w:p>
        </w:tc>
      </w:tr>
      <w:tr w:rsidR="008F76B6" w:rsidTr="00A96204">
        <w:trPr>
          <w:trHeight w:val="400"/>
        </w:trPr>
        <w:tc>
          <w:tcPr>
            <w:tcW w:w="1275" w:type="dxa"/>
            <w:shd w:val="clear" w:color="auto" w:fill="auto"/>
            <w:tcMar>
              <w:top w:w="100" w:type="dxa"/>
              <w:left w:w="100" w:type="dxa"/>
              <w:bottom w:w="100" w:type="dxa"/>
              <w:right w:w="100" w:type="dxa"/>
            </w:tcMar>
          </w:tcPr>
          <w:p w:rsidR="008F76B6" w:rsidRDefault="008F76B6" w:rsidP="00A96204">
            <w:pPr>
              <w:widowControl w:val="0"/>
              <w:pBdr>
                <w:top w:val="nil"/>
                <w:left w:val="nil"/>
                <w:bottom w:val="nil"/>
                <w:right w:val="nil"/>
                <w:between w:val="nil"/>
              </w:pBdr>
              <w:jc w:val="center"/>
              <w:rPr>
                <w:rFonts w:ascii="Arial" w:eastAsia="Arial" w:hAnsi="Arial" w:cs="Arial"/>
                <w:b/>
                <w:sz w:val="20"/>
                <w:szCs w:val="20"/>
              </w:rPr>
            </w:pPr>
            <w:r>
              <w:rPr>
                <w:rFonts w:ascii="Arial" w:eastAsia="Arial" w:hAnsi="Arial" w:cs="Arial"/>
                <w:b/>
                <w:sz w:val="20"/>
                <w:szCs w:val="20"/>
              </w:rPr>
              <w:t>fp1</w:t>
            </w:r>
          </w:p>
        </w:tc>
        <w:tc>
          <w:tcPr>
            <w:tcW w:w="1515" w:type="dxa"/>
            <w:shd w:val="clear" w:color="auto" w:fill="auto"/>
            <w:tcMar>
              <w:top w:w="100" w:type="dxa"/>
              <w:left w:w="100" w:type="dxa"/>
              <w:bottom w:w="100" w:type="dxa"/>
              <w:right w:w="100" w:type="dxa"/>
            </w:tcMar>
          </w:tcPr>
          <w:p w:rsidR="008F76B6" w:rsidRDefault="008F76B6" w:rsidP="00A96204">
            <w:pPr>
              <w:widowControl w:val="0"/>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intermediate</w:t>
            </w:r>
          </w:p>
        </w:tc>
        <w:tc>
          <w:tcPr>
            <w:tcW w:w="1245" w:type="dxa"/>
            <w:shd w:val="clear" w:color="auto" w:fill="auto"/>
            <w:tcMar>
              <w:top w:w="100" w:type="dxa"/>
              <w:left w:w="100" w:type="dxa"/>
              <w:bottom w:w="100" w:type="dxa"/>
              <w:right w:w="100" w:type="dxa"/>
            </w:tcMar>
          </w:tcPr>
          <w:p w:rsidR="008F76B6" w:rsidRDefault="008F76B6" w:rsidP="00A96204">
            <w:pPr>
              <w:widowControl w:val="0"/>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13</w:t>
            </w:r>
          </w:p>
        </w:tc>
        <w:tc>
          <w:tcPr>
            <w:tcW w:w="1065" w:type="dxa"/>
            <w:shd w:val="clear" w:color="auto" w:fill="auto"/>
            <w:tcMar>
              <w:top w:w="100" w:type="dxa"/>
              <w:left w:w="100" w:type="dxa"/>
              <w:bottom w:w="100" w:type="dxa"/>
              <w:right w:w="100" w:type="dxa"/>
            </w:tcMar>
          </w:tcPr>
          <w:p w:rsidR="008F76B6" w:rsidRDefault="008F76B6" w:rsidP="00A96204">
            <w:pPr>
              <w:widowControl w:val="0"/>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10</w:t>
            </w:r>
          </w:p>
        </w:tc>
        <w:tc>
          <w:tcPr>
            <w:tcW w:w="1125" w:type="dxa"/>
            <w:shd w:val="clear" w:color="auto" w:fill="auto"/>
            <w:tcMar>
              <w:top w:w="100" w:type="dxa"/>
              <w:left w:w="100" w:type="dxa"/>
              <w:bottom w:w="100" w:type="dxa"/>
              <w:right w:w="100" w:type="dxa"/>
            </w:tcMar>
          </w:tcPr>
          <w:p w:rsidR="008F76B6" w:rsidRDefault="008F76B6" w:rsidP="00A96204">
            <w:pPr>
              <w:widowControl w:val="0"/>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yes</w:t>
            </w:r>
          </w:p>
        </w:tc>
        <w:tc>
          <w:tcPr>
            <w:tcW w:w="1425" w:type="dxa"/>
            <w:shd w:val="clear" w:color="auto" w:fill="auto"/>
            <w:tcMar>
              <w:top w:w="100" w:type="dxa"/>
              <w:left w:w="100" w:type="dxa"/>
              <w:bottom w:w="100" w:type="dxa"/>
              <w:right w:w="100" w:type="dxa"/>
            </w:tcMar>
          </w:tcPr>
          <w:p w:rsidR="008F76B6" w:rsidRDefault="008F76B6" w:rsidP="00A96204">
            <w:pPr>
              <w:widowControl w:val="0"/>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17.05.2017</w:t>
            </w:r>
          </w:p>
        </w:tc>
        <w:tc>
          <w:tcPr>
            <w:tcW w:w="1275" w:type="dxa"/>
            <w:vMerge w:val="restart"/>
            <w:shd w:val="clear" w:color="auto" w:fill="auto"/>
            <w:tcMar>
              <w:top w:w="100" w:type="dxa"/>
              <w:left w:w="100" w:type="dxa"/>
              <w:bottom w:w="100" w:type="dxa"/>
              <w:right w:w="100" w:type="dxa"/>
            </w:tcMar>
          </w:tcPr>
          <w:p w:rsidR="008F76B6" w:rsidRDefault="008F76B6" w:rsidP="00A96204">
            <w:pPr>
              <w:widowControl w:val="0"/>
              <w:pBdr>
                <w:top w:val="nil"/>
                <w:left w:val="nil"/>
                <w:bottom w:val="nil"/>
                <w:right w:val="nil"/>
                <w:between w:val="nil"/>
              </w:pBdr>
              <w:jc w:val="center"/>
              <w:rPr>
                <w:rFonts w:ascii="Arial" w:eastAsia="Arial" w:hAnsi="Arial" w:cs="Arial"/>
                <w:sz w:val="20"/>
                <w:szCs w:val="20"/>
              </w:rPr>
            </w:pPr>
          </w:p>
          <w:p w:rsidR="008F76B6" w:rsidRDefault="008F76B6" w:rsidP="00A96204">
            <w:pPr>
              <w:widowControl w:val="0"/>
              <w:pBdr>
                <w:top w:val="nil"/>
                <w:left w:val="nil"/>
                <w:bottom w:val="nil"/>
                <w:right w:val="nil"/>
                <w:between w:val="nil"/>
              </w:pBdr>
              <w:jc w:val="center"/>
              <w:rPr>
                <w:rFonts w:ascii="Arial" w:eastAsia="Arial" w:hAnsi="Arial" w:cs="Arial"/>
                <w:sz w:val="20"/>
                <w:szCs w:val="20"/>
              </w:rPr>
            </w:pPr>
          </w:p>
          <w:p w:rsidR="008F76B6" w:rsidRDefault="008F76B6" w:rsidP="00A96204">
            <w:pPr>
              <w:widowControl w:val="0"/>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Raststatt, Germany</w:t>
            </w:r>
          </w:p>
        </w:tc>
      </w:tr>
      <w:tr w:rsidR="008F76B6" w:rsidTr="00A96204">
        <w:trPr>
          <w:trHeight w:val="400"/>
        </w:trPr>
        <w:tc>
          <w:tcPr>
            <w:tcW w:w="1275" w:type="dxa"/>
            <w:shd w:val="clear" w:color="auto" w:fill="auto"/>
            <w:tcMar>
              <w:top w:w="100" w:type="dxa"/>
              <w:left w:w="100" w:type="dxa"/>
              <w:bottom w:w="100" w:type="dxa"/>
              <w:right w:w="100" w:type="dxa"/>
            </w:tcMar>
          </w:tcPr>
          <w:p w:rsidR="008F76B6" w:rsidRDefault="008F76B6" w:rsidP="00A96204">
            <w:pPr>
              <w:widowControl w:val="0"/>
              <w:pBdr>
                <w:top w:val="nil"/>
                <w:left w:val="nil"/>
                <w:bottom w:val="nil"/>
                <w:right w:val="nil"/>
                <w:between w:val="nil"/>
              </w:pBdr>
              <w:jc w:val="center"/>
              <w:rPr>
                <w:rFonts w:ascii="Arial" w:eastAsia="Arial" w:hAnsi="Arial" w:cs="Arial"/>
                <w:b/>
                <w:sz w:val="20"/>
                <w:szCs w:val="20"/>
              </w:rPr>
            </w:pPr>
            <w:r>
              <w:rPr>
                <w:rFonts w:ascii="Arial" w:eastAsia="Arial" w:hAnsi="Arial" w:cs="Arial"/>
                <w:b/>
                <w:sz w:val="20"/>
                <w:szCs w:val="20"/>
              </w:rPr>
              <w:t>fp2</w:t>
            </w:r>
          </w:p>
        </w:tc>
        <w:tc>
          <w:tcPr>
            <w:tcW w:w="1515" w:type="dxa"/>
            <w:shd w:val="clear" w:color="auto" w:fill="auto"/>
            <w:tcMar>
              <w:top w:w="100" w:type="dxa"/>
              <w:left w:w="100" w:type="dxa"/>
              <w:bottom w:w="100" w:type="dxa"/>
              <w:right w:w="100" w:type="dxa"/>
            </w:tcMar>
          </w:tcPr>
          <w:p w:rsidR="008F76B6" w:rsidRDefault="008F76B6" w:rsidP="00A96204">
            <w:pPr>
              <w:widowControl w:val="0"/>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strong</w:t>
            </w:r>
          </w:p>
        </w:tc>
        <w:tc>
          <w:tcPr>
            <w:tcW w:w="1245" w:type="dxa"/>
            <w:shd w:val="clear" w:color="auto" w:fill="auto"/>
            <w:tcMar>
              <w:top w:w="100" w:type="dxa"/>
              <w:left w:w="100" w:type="dxa"/>
              <w:bottom w:w="100" w:type="dxa"/>
              <w:right w:w="100" w:type="dxa"/>
            </w:tcMar>
          </w:tcPr>
          <w:p w:rsidR="008F76B6" w:rsidRDefault="008F76B6" w:rsidP="00A96204">
            <w:pPr>
              <w:widowControl w:val="0"/>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19</w:t>
            </w:r>
          </w:p>
        </w:tc>
        <w:tc>
          <w:tcPr>
            <w:tcW w:w="1065" w:type="dxa"/>
            <w:shd w:val="clear" w:color="auto" w:fill="auto"/>
            <w:tcMar>
              <w:top w:w="100" w:type="dxa"/>
              <w:left w:w="100" w:type="dxa"/>
              <w:bottom w:w="100" w:type="dxa"/>
              <w:right w:w="100" w:type="dxa"/>
            </w:tcMar>
          </w:tcPr>
          <w:p w:rsidR="008F76B6" w:rsidRDefault="008F76B6" w:rsidP="00A96204">
            <w:pPr>
              <w:widowControl w:val="0"/>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10</w:t>
            </w:r>
          </w:p>
        </w:tc>
        <w:tc>
          <w:tcPr>
            <w:tcW w:w="1125" w:type="dxa"/>
            <w:shd w:val="clear" w:color="auto" w:fill="auto"/>
            <w:tcMar>
              <w:top w:w="100" w:type="dxa"/>
              <w:left w:w="100" w:type="dxa"/>
              <w:bottom w:w="100" w:type="dxa"/>
              <w:right w:w="100" w:type="dxa"/>
            </w:tcMar>
          </w:tcPr>
          <w:p w:rsidR="008F76B6" w:rsidRDefault="008F76B6" w:rsidP="00A96204">
            <w:pPr>
              <w:widowControl w:val="0"/>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yes</w:t>
            </w:r>
          </w:p>
        </w:tc>
        <w:tc>
          <w:tcPr>
            <w:tcW w:w="1425" w:type="dxa"/>
            <w:shd w:val="clear" w:color="auto" w:fill="auto"/>
            <w:tcMar>
              <w:top w:w="100" w:type="dxa"/>
              <w:left w:w="100" w:type="dxa"/>
              <w:bottom w:w="100" w:type="dxa"/>
              <w:right w:w="100" w:type="dxa"/>
            </w:tcMar>
          </w:tcPr>
          <w:p w:rsidR="008F76B6" w:rsidRDefault="008F76B6" w:rsidP="00A96204">
            <w:pPr>
              <w:widowControl w:val="0"/>
              <w:jc w:val="center"/>
              <w:rPr>
                <w:rFonts w:ascii="Arial" w:eastAsia="Arial" w:hAnsi="Arial" w:cs="Arial"/>
                <w:sz w:val="20"/>
                <w:szCs w:val="20"/>
              </w:rPr>
            </w:pPr>
            <w:r>
              <w:rPr>
                <w:rFonts w:ascii="Arial" w:eastAsia="Arial" w:hAnsi="Arial" w:cs="Arial"/>
                <w:sz w:val="20"/>
                <w:szCs w:val="20"/>
              </w:rPr>
              <w:t>17.05.2017</w:t>
            </w:r>
          </w:p>
        </w:tc>
        <w:tc>
          <w:tcPr>
            <w:tcW w:w="1275" w:type="dxa"/>
            <w:vMerge/>
            <w:shd w:val="clear" w:color="auto" w:fill="auto"/>
            <w:tcMar>
              <w:top w:w="100" w:type="dxa"/>
              <w:left w:w="100" w:type="dxa"/>
              <w:bottom w:w="100" w:type="dxa"/>
              <w:right w:w="100" w:type="dxa"/>
            </w:tcMar>
          </w:tcPr>
          <w:p w:rsidR="008F76B6" w:rsidRDefault="008F76B6" w:rsidP="00A96204">
            <w:pPr>
              <w:widowControl w:val="0"/>
              <w:pBdr>
                <w:top w:val="nil"/>
                <w:left w:val="nil"/>
                <w:bottom w:val="nil"/>
                <w:right w:val="nil"/>
                <w:between w:val="nil"/>
              </w:pBdr>
              <w:spacing w:line="276" w:lineRule="auto"/>
              <w:jc w:val="left"/>
              <w:rPr>
                <w:rFonts w:ascii="Arial" w:eastAsia="Arial" w:hAnsi="Arial" w:cs="Arial"/>
                <w:sz w:val="20"/>
                <w:szCs w:val="20"/>
              </w:rPr>
            </w:pPr>
          </w:p>
        </w:tc>
      </w:tr>
      <w:tr w:rsidR="008F76B6" w:rsidTr="00A96204">
        <w:trPr>
          <w:trHeight w:val="400"/>
        </w:trPr>
        <w:tc>
          <w:tcPr>
            <w:tcW w:w="1275" w:type="dxa"/>
            <w:shd w:val="clear" w:color="auto" w:fill="auto"/>
            <w:tcMar>
              <w:top w:w="100" w:type="dxa"/>
              <w:left w:w="100" w:type="dxa"/>
              <w:bottom w:w="100" w:type="dxa"/>
              <w:right w:w="100" w:type="dxa"/>
            </w:tcMar>
          </w:tcPr>
          <w:p w:rsidR="008F76B6" w:rsidRDefault="008F76B6" w:rsidP="00A96204">
            <w:pPr>
              <w:widowControl w:val="0"/>
              <w:pBdr>
                <w:top w:val="nil"/>
                <w:left w:val="nil"/>
                <w:bottom w:val="nil"/>
                <w:right w:val="nil"/>
                <w:between w:val="nil"/>
              </w:pBdr>
              <w:jc w:val="center"/>
              <w:rPr>
                <w:rFonts w:ascii="Arial" w:eastAsia="Arial" w:hAnsi="Arial" w:cs="Arial"/>
                <w:b/>
                <w:sz w:val="20"/>
                <w:szCs w:val="20"/>
              </w:rPr>
            </w:pPr>
            <w:r>
              <w:rPr>
                <w:rFonts w:ascii="Arial" w:eastAsia="Arial" w:hAnsi="Arial" w:cs="Arial"/>
                <w:b/>
                <w:sz w:val="20"/>
                <w:szCs w:val="20"/>
              </w:rPr>
              <w:t>fp3</w:t>
            </w:r>
          </w:p>
        </w:tc>
        <w:tc>
          <w:tcPr>
            <w:tcW w:w="1515" w:type="dxa"/>
            <w:shd w:val="clear" w:color="auto" w:fill="auto"/>
            <w:tcMar>
              <w:top w:w="100" w:type="dxa"/>
              <w:left w:w="100" w:type="dxa"/>
              <w:bottom w:w="100" w:type="dxa"/>
              <w:right w:w="100" w:type="dxa"/>
            </w:tcMar>
          </w:tcPr>
          <w:p w:rsidR="008F76B6" w:rsidRDefault="008F76B6" w:rsidP="00A96204">
            <w:pPr>
              <w:widowControl w:val="0"/>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slight</w:t>
            </w:r>
          </w:p>
        </w:tc>
        <w:tc>
          <w:tcPr>
            <w:tcW w:w="1245" w:type="dxa"/>
            <w:shd w:val="clear" w:color="auto" w:fill="auto"/>
            <w:tcMar>
              <w:top w:w="100" w:type="dxa"/>
              <w:left w:w="100" w:type="dxa"/>
              <w:bottom w:w="100" w:type="dxa"/>
              <w:right w:w="100" w:type="dxa"/>
            </w:tcMar>
          </w:tcPr>
          <w:p w:rsidR="008F76B6" w:rsidRDefault="008F76B6" w:rsidP="00A96204">
            <w:pPr>
              <w:widowControl w:val="0"/>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25</w:t>
            </w:r>
          </w:p>
        </w:tc>
        <w:tc>
          <w:tcPr>
            <w:tcW w:w="1065" w:type="dxa"/>
            <w:shd w:val="clear" w:color="auto" w:fill="auto"/>
            <w:tcMar>
              <w:top w:w="100" w:type="dxa"/>
              <w:left w:w="100" w:type="dxa"/>
              <w:bottom w:w="100" w:type="dxa"/>
              <w:right w:w="100" w:type="dxa"/>
            </w:tcMar>
          </w:tcPr>
          <w:p w:rsidR="008F76B6" w:rsidRDefault="008F76B6" w:rsidP="00A96204">
            <w:pPr>
              <w:widowControl w:val="0"/>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10</w:t>
            </w:r>
          </w:p>
        </w:tc>
        <w:tc>
          <w:tcPr>
            <w:tcW w:w="1125" w:type="dxa"/>
            <w:shd w:val="clear" w:color="auto" w:fill="auto"/>
            <w:tcMar>
              <w:top w:w="100" w:type="dxa"/>
              <w:left w:w="100" w:type="dxa"/>
              <w:bottom w:w="100" w:type="dxa"/>
              <w:right w:w="100" w:type="dxa"/>
            </w:tcMar>
          </w:tcPr>
          <w:p w:rsidR="008F76B6" w:rsidRDefault="008F76B6" w:rsidP="00A96204">
            <w:pPr>
              <w:widowControl w:val="0"/>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yes</w:t>
            </w:r>
          </w:p>
        </w:tc>
        <w:tc>
          <w:tcPr>
            <w:tcW w:w="1425" w:type="dxa"/>
            <w:shd w:val="clear" w:color="auto" w:fill="auto"/>
            <w:tcMar>
              <w:top w:w="100" w:type="dxa"/>
              <w:left w:w="100" w:type="dxa"/>
              <w:bottom w:w="100" w:type="dxa"/>
              <w:right w:w="100" w:type="dxa"/>
            </w:tcMar>
          </w:tcPr>
          <w:p w:rsidR="008F76B6" w:rsidRDefault="008F76B6" w:rsidP="00A96204">
            <w:pPr>
              <w:widowControl w:val="0"/>
              <w:jc w:val="center"/>
              <w:rPr>
                <w:rFonts w:ascii="Arial" w:eastAsia="Arial" w:hAnsi="Arial" w:cs="Arial"/>
                <w:sz w:val="20"/>
                <w:szCs w:val="20"/>
              </w:rPr>
            </w:pPr>
            <w:r>
              <w:rPr>
                <w:rFonts w:ascii="Arial" w:eastAsia="Arial" w:hAnsi="Arial" w:cs="Arial"/>
                <w:sz w:val="20"/>
                <w:szCs w:val="20"/>
              </w:rPr>
              <w:t>17.05.2017</w:t>
            </w:r>
          </w:p>
        </w:tc>
        <w:tc>
          <w:tcPr>
            <w:tcW w:w="1275" w:type="dxa"/>
            <w:vMerge/>
            <w:shd w:val="clear" w:color="auto" w:fill="auto"/>
            <w:tcMar>
              <w:top w:w="100" w:type="dxa"/>
              <w:left w:w="100" w:type="dxa"/>
              <w:bottom w:w="100" w:type="dxa"/>
              <w:right w:w="100" w:type="dxa"/>
            </w:tcMar>
          </w:tcPr>
          <w:p w:rsidR="008F76B6" w:rsidRDefault="008F76B6" w:rsidP="00A96204">
            <w:pPr>
              <w:widowControl w:val="0"/>
              <w:pBdr>
                <w:top w:val="nil"/>
                <w:left w:val="nil"/>
                <w:bottom w:val="nil"/>
                <w:right w:val="nil"/>
                <w:between w:val="nil"/>
              </w:pBdr>
              <w:spacing w:line="276" w:lineRule="auto"/>
              <w:jc w:val="left"/>
              <w:rPr>
                <w:rFonts w:ascii="Arial" w:eastAsia="Arial" w:hAnsi="Arial" w:cs="Arial"/>
                <w:sz w:val="20"/>
                <w:szCs w:val="20"/>
              </w:rPr>
            </w:pPr>
          </w:p>
        </w:tc>
      </w:tr>
      <w:tr w:rsidR="008F76B6" w:rsidTr="00A96204">
        <w:trPr>
          <w:trHeight w:val="400"/>
        </w:trPr>
        <w:tc>
          <w:tcPr>
            <w:tcW w:w="1275" w:type="dxa"/>
            <w:shd w:val="clear" w:color="auto" w:fill="auto"/>
            <w:tcMar>
              <w:top w:w="100" w:type="dxa"/>
              <w:left w:w="100" w:type="dxa"/>
              <w:bottom w:w="100" w:type="dxa"/>
              <w:right w:w="100" w:type="dxa"/>
            </w:tcMar>
          </w:tcPr>
          <w:p w:rsidR="008F76B6" w:rsidRDefault="008F76B6" w:rsidP="00A96204">
            <w:pPr>
              <w:widowControl w:val="0"/>
              <w:pBdr>
                <w:top w:val="nil"/>
                <w:left w:val="nil"/>
                <w:bottom w:val="nil"/>
                <w:right w:val="nil"/>
                <w:between w:val="nil"/>
              </w:pBdr>
              <w:jc w:val="center"/>
              <w:rPr>
                <w:rFonts w:ascii="Arial" w:eastAsia="Arial" w:hAnsi="Arial" w:cs="Arial"/>
                <w:b/>
                <w:sz w:val="20"/>
                <w:szCs w:val="20"/>
              </w:rPr>
            </w:pPr>
            <w:r>
              <w:rPr>
                <w:rFonts w:ascii="Arial" w:eastAsia="Arial" w:hAnsi="Arial" w:cs="Arial"/>
                <w:b/>
                <w:sz w:val="20"/>
                <w:szCs w:val="20"/>
              </w:rPr>
              <w:t>fh1</w:t>
            </w:r>
          </w:p>
        </w:tc>
        <w:tc>
          <w:tcPr>
            <w:tcW w:w="1515" w:type="dxa"/>
            <w:shd w:val="clear" w:color="auto" w:fill="auto"/>
            <w:tcMar>
              <w:top w:w="100" w:type="dxa"/>
              <w:left w:w="100" w:type="dxa"/>
              <w:bottom w:w="100" w:type="dxa"/>
              <w:right w:w="100" w:type="dxa"/>
            </w:tcMar>
          </w:tcPr>
          <w:p w:rsidR="008F76B6" w:rsidRDefault="008F76B6" w:rsidP="00A96204">
            <w:pPr>
              <w:widowControl w:val="0"/>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none</w:t>
            </w:r>
          </w:p>
        </w:tc>
        <w:tc>
          <w:tcPr>
            <w:tcW w:w="1245" w:type="dxa"/>
            <w:shd w:val="clear" w:color="auto" w:fill="auto"/>
            <w:tcMar>
              <w:top w:w="100" w:type="dxa"/>
              <w:left w:w="100" w:type="dxa"/>
              <w:bottom w:w="100" w:type="dxa"/>
              <w:right w:w="100" w:type="dxa"/>
            </w:tcMar>
          </w:tcPr>
          <w:p w:rsidR="008F76B6" w:rsidRDefault="008F76B6" w:rsidP="00A96204">
            <w:pPr>
              <w:widowControl w:val="0"/>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31</w:t>
            </w:r>
          </w:p>
        </w:tc>
        <w:tc>
          <w:tcPr>
            <w:tcW w:w="1065" w:type="dxa"/>
            <w:shd w:val="clear" w:color="auto" w:fill="auto"/>
            <w:tcMar>
              <w:top w:w="100" w:type="dxa"/>
              <w:left w:w="100" w:type="dxa"/>
              <w:bottom w:w="100" w:type="dxa"/>
              <w:right w:w="100" w:type="dxa"/>
            </w:tcMar>
          </w:tcPr>
          <w:p w:rsidR="008F76B6" w:rsidRDefault="008F76B6" w:rsidP="00A96204">
            <w:pPr>
              <w:widowControl w:val="0"/>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10</w:t>
            </w:r>
          </w:p>
        </w:tc>
        <w:tc>
          <w:tcPr>
            <w:tcW w:w="1125" w:type="dxa"/>
            <w:shd w:val="clear" w:color="auto" w:fill="auto"/>
            <w:tcMar>
              <w:top w:w="100" w:type="dxa"/>
              <w:left w:w="100" w:type="dxa"/>
              <w:bottom w:w="100" w:type="dxa"/>
              <w:right w:w="100" w:type="dxa"/>
            </w:tcMar>
          </w:tcPr>
          <w:p w:rsidR="008F76B6" w:rsidRDefault="008F76B6" w:rsidP="00A96204">
            <w:pPr>
              <w:widowControl w:val="0"/>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yes</w:t>
            </w:r>
          </w:p>
        </w:tc>
        <w:tc>
          <w:tcPr>
            <w:tcW w:w="1425" w:type="dxa"/>
            <w:shd w:val="clear" w:color="auto" w:fill="auto"/>
            <w:tcMar>
              <w:top w:w="100" w:type="dxa"/>
              <w:left w:w="100" w:type="dxa"/>
              <w:bottom w:w="100" w:type="dxa"/>
              <w:right w:w="100" w:type="dxa"/>
            </w:tcMar>
          </w:tcPr>
          <w:p w:rsidR="008F76B6" w:rsidRDefault="008F76B6" w:rsidP="00A96204">
            <w:pPr>
              <w:widowControl w:val="0"/>
              <w:jc w:val="center"/>
              <w:rPr>
                <w:rFonts w:ascii="Arial" w:eastAsia="Arial" w:hAnsi="Arial" w:cs="Arial"/>
                <w:sz w:val="20"/>
                <w:szCs w:val="20"/>
              </w:rPr>
            </w:pPr>
            <w:r>
              <w:rPr>
                <w:rFonts w:ascii="Arial" w:eastAsia="Arial" w:hAnsi="Arial" w:cs="Arial"/>
                <w:sz w:val="20"/>
                <w:szCs w:val="20"/>
              </w:rPr>
              <w:t>17.05.2017</w:t>
            </w:r>
          </w:p>
        </w:tc>
        <w:tc>
          <w:tcPr>
            <w:tcW w:w="1275" w:type="dxa"/>
            <w:vMerge/>
            <w:shd w:val="clear" w:color="auto" w:fill="auto"/>
            <w:tcMar>
              <w:top w:w="100" w:type="dxa"/>
              <w:left w:w="100" w:type="dxa"/>
              <w:bottom w:w="100" w:type="dxa"/>
              <w:right w:w="100" w:type="dxa"/>
            </w:tcMar>
          </w:tcPr>
          <w:p w:rsidR="008F76B6" w:rsidRDefault="008F76B6" w:rsidP="00A96204">
            <w:pPr>
              <w:widowControl w:val="0"/>
              <w:pBdr>
                <w:top w:val="nil"/>
                <w:left w:val="nil"/>
                <w:bottom w:val="nil"/>
                <w:right w:val="nil"/>
                <w:between w:val="nil"/>
              </w:pBdr>
              <w:spacing w:line="276" w:lineRule="auto"/>
              <w:jc w:val="left"/>
              <w:rPr>
                <w:rFonts w:ascii="Arial" w:eastAsia="Arial" w:hAnsi="Arial" w:cs="Arial"/>
                <w:sz w:val="20"/>
                <w:szCs w:val="20"/>
              </w:rPr>
            </w:pPr>
          </w:p>
        </w:tc>
      </w:tr>
    </w:tbl>
    <w:p w:rsidR="008F76B6" w:rsidRDefault="008F76B6" w:rsidP="008F76B6">
      <w:pPr>
        <w:spacing w:line="392" w:lineRule="auto"/>
        <w:rPr>
          <w:rFonts w:ascii="Arial" w:eastAsia="Arial" w:hAnsi="Arial" w:cs="Arial"/>
          <w:sz w:val="20"/>
          <w:szCs w:val="20"/>
        </w:rPr>
      </w:pPr>
    </w:p>
    <w:p w:rsidR="008F76B6" w:rsidRDefault="008F76B6" w:rsidP="008F76B6">
      <w:pPr>
        <w:spacing w:after="240"/>
        <w:jc w:val="left"/>
      </w:pPr>
      <w:r>
        <w:rPr>
          <w:rFonts w:ascii="Arial" w:eastAsia="Arial" w:hAnsi="Arial" w:cs="Arial"/>
          <w:b/>
          <w:sz w:val="20"/>
          <w:szCs w:val="20"/>
        </w:rPr>
        <w:t>Table S2: List of synthesized gene sequences and used primers.</w:t>
      </w:r>
      <w:r>
        <w:rPr>
          <w:noProof/>
          <w:lang w:val="en-IN" w:eastAsia="en-IN"/>
        </w:rPr>
        <w:drawing>
          <wp:inline distT="114300" distB="114300" distL="114300" distR="114300" wp14:anchorId="45126CCC" wp14:editId="6EE4A8FF">
            <wp:extent cx="5760410" cy="5003800"/>
            <wp:effectExtent l="0" t="0" r="0" b="0"/>
            <wp:docPr id="3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5"/>
                    <a:srcRect/>
                    <a:stretch>
                      <a:fillRect/>
                    </a:stretch>
                  </pic:blipFill>
                  <pic:spPr>
                    <a:xfrm>
                      <a:off x="0" y="0"/>
                      <a:ext cx="5760410" cy="5003800"/>
                    </a:xfrm>
                    <a:prstGeom prst="rect">
                      <a:avLst/>
                    </a:prstGeom>
                    <a:ln/>
                  </pic:spPr>
                </pic:pic>
              </a:graphicData>
            </a:graphic>
          </wp:inline>
        </w:drawing>
      </w:r>
    </w:p>
    <w:p w:rsidR="008F76B6" w:rsidRDefault="008F76B6" w:rsidP="008F76B6">
      <w:pPr>
        <w:spacing w:after="240"/>
        <w:jc w:val="left"/>
      </w:pPr>
      <w:r>
        <w:br w:type="page"/>
      </w:r>
    </w:p>
    <w:p w:rsidR="008F76B6" w:rsidRDefault="008F76B6" w:rsidP="008F76B6">
      <w:pPr>
        <w:spacing w:after="240"/>
        <w:rPr>
          <w:rFonts w:ascii="Arial" w:eastAsia="Arial" w:hAnsi="Arial" w:cs="Arial"/>
          <w:b/>
          <w:sz w:val="20"/>
          <w:szCs w:val="20"/>
        </w:rPr>
      </w:pPr>
      <w:r w:rsidRPr="00FD7838">
        <w:rPr>
          <w:rFonts w:ascii="Arial" w:eastAsia="Arial" w:hAnsi="Arial" w:cs="Arial"/>
          <w:b/>
          <w:sz w:val="20"/>
          <w:szCs w:val="20"/>
        </w:rPr>
        <w:t>Table S3: Co-immunoprecipitation (CoIP) and LC-MS/MS to evaluate the  specificity of PHE148-H1 and PHE183-B12</w:t>
      </w:r>
      <w:r w:rsidRPr="00FD7838">
        <w:rPr>
          <w:rFonts w:ascii="Arial" w:eastAsia="Arial" w:hAnsi="Arial" w:cs="Arial"/>
          <w:b/>
          <w:sz w:val="20"/>
          <w:szCs w:val="20"/>
          <w:vertAlign w:val="superscript"/>
        </w:rPr>
        <w:t>(1)</w:t>
      </w:r>
      <w:r w:rsidRPr="00FD7838">
        <w:rPr>
          <w:rFonts w:ascii="Arial" w:eastAsia="Arial" w:hAnsi="Arial" w:cs="Arial"/>
          <w:b/>
          <w:sz w:val="20"/>
          <w:szCs w:val="20"/>
        </w:rPr>
        <w:t>.</w:t>
      </w:r>
      <w:r w:rsidRPr="00FD7838">
        <w:rPr>
          <w:rFonts w:ascii="Arial" w:eastAsia="Arial" w:hAnsi="Arial" w:cs="Arial"/>
          <w:sz w:val="20"/>
          <w:szCs w:val="20"/>
        </w:rPr>
        <w:t xml:space="preserve"> </w:t>
      </w:r>
    </w:p>
    <w:p w:rsidR="008F76B6" w:rsidRDefault="008F76B6" w:rsidP="008F76B6">
      <w:pPr>
        <w:spacing w:after="0"/>
        <w:rPr>
          <w:rFonts w:ascii="Arial" w:eastAsia="Arial" w:hAnsi="Arial" w:cs="Arial"/>
          <w:sz w:val="20"/>
          <w:szCs w:val="20"/>
        </w:rPr>
      </w:pPr>
      <w:bookmarkStart w:id="1" w:name="_heading=h.irbsaxakho9n" w:colFirst="0" w:colLast="0"/>
      <w:bookmarkEnd w:id="1"/>
      <w:r>
        <w:rPr>
          <w:rFonts w:ascii="Arial" w:eastAsia="Arial" w:hAnsi="Arial" w:cs="Arial"/>
          <w:sz w:val="20"/>
          <w:szCs w:val="20"/>
        </w:rPr>
        <w:t xml:space="preserve">Both antibodies, PHE148-H1 and PHE183-B12, bound recombinant </w:t>
      </w:r>
      <w:r>
        <w:rPr>
          <w:rFonts w:ascii="Arial" w:eastAsia="Arial" w:hAnsi="Arial" w:cs="Arial"/>
          <w:i/>
          <w:sz w:val="20"/>
          <w:szCs w:val="20"/>
        </w:rPr>
        <w:t>Fs</w:t>
      </w:r>
      <w:r>
        <w:rPr>
          <w:rFonts w:ascii="Arial" w:eastAsia="Arial" w:hAnsi="Arial" w:cs="Arial"/>
          <w:sz w:val="20"/>
          <w:szCs w:val="20"/>
        </w:rPr>
        <w:t xml:space="preserve">PDF2 in co-immunoprecipitation (CoIP), whereas only PHE148-H1 was able to capture detectable levels of defensin out of crude plant extract as the antibody did in ELISA. </w:t>
      </w:r>
    </w:p>
    <w:p w:rsidR="008F76B6" w:rsidRDefault="008F76B6" w:rsidP="008F76B6">
      <w:pPr>
        <w:spacing w:after="0"/>
        <w:rPr>
          <w:rFonts w:ascii="Arial" w:eastAsia="Arial" w:hAnsi="Arial" w:cs="Arial"/>
          <w:sz w:val="20"/>
          <w:szCs w:val="20"/>
        </w:rPr>
      </w:pPr>
      <w:bookmarkStart w:id="2" w:name="_heading=h.m5csbbb5fz9r" w:colFirst="0" w:colLast="0"/>
      <w:bookmarkEnd w:id="2"/>
      <w:r>
        <w:rPr>
          <w:rFonts w:ascii="Arial" w:eastAsia="Arial" w:hAnsi="Arial" w:cs="Arial"/>
          <w:sz w:val="20"/>
          <w:szCs w:val="20"/>
          <w:vertAlign w:val="superscript"/>
        </w:rPr>
        <w:t>(1)</w:t>
      </w:r>
      <w:r>
        <w:rPr>
          <w:rFonts w:ascii="Arial" w:eastAsia="Arial" w:hAnsi="Arial" w:cs="Arial"/>
          <w:sz w:val="20"/>
          <w:szCs w:val="20"/>
        </w:rPr>
        <w:t xml:space="preserve">Either antibodies (PHE148-H1,PHE183-B12, or </w:t>
      </w:r>
      <w:r>
        <w:t xml:space="preserve">SH1956-D6) or unloaded Pierce Protein A/G magnetic beads (Thermo Scientific) were treated with proteins isolated from gall midge extracts. In addition, PHE148-H1 and PHE183-B12 coated beads were used for treatment </w:t>
      </w:r>
      <w:r>
        <w:rPr>
          <w:rFonts w:ascii="Arial" w:eastAsia="Arial" w:hAnsi="Arial" w:cs="Arial"/>
          <w:sz w:val="20"/>
          <w:szCs w:val="20"/>
        </w:rPr>
        <w:t xml:space="preserve">with recombinant </w:t>
      </w:r>
      <w:r>
        <w:rPr>
          <w:rFonts w:ascii="Arial" w:eastAsia="Arial" w:hAnsi="Arial" w:cs="Arial"/>
          <w:i/>
          <w:sz w:val="20"/>
          <w:szCs w:val="20"/>
        </w:rPr>
        <w:t>Fs</w:t>
      </w:r>
      <w:r>
        <w:rPr>
          <w:rFonts w:ascii="Arial" w:eastAsia="Arial" w:hAnsi="Arial" w:cs="Arial"/>
          <w:sz w:val="20"/>
          <w:szCs w:val="20"/>
        </w:rPr>
        <w:t xml:space="preserve">PDF2. </w:t>
      </w:r>
      <w:r>
        <w:rPr>
          <w:rFonts w:ascii="Arial" w:eastAsia="Arial" w:hAnsi="Arial" w:cs="Arial"/>
          <w:i/>
          <w:sz w:val="20"/>
          <w:szCs w:val="20"/>
        </w:rPr>
        <w:t>Fs</w:t>
      </w:r>
      <w:r>
        <w:rPr>
          <w:rFonts w:ascii="Arial" w:eastAsia="Arial" w:hAnsi="Arial" w:cs="Arial"/>
          <w:sz w:val="20"/>
          <w:szCs w:val="20"/>
        </w:rPr>
        <w:t xml:space="preserve">PDF2 was only detectable when PHE148-H1 or PH183-B12 coated beads were used: for PHE148-H1 when using gall midge extracts or recombinant FsPDF2, for PHE183-B12 only when using recombinant </w:t>
      </w:r>
      <w:r>
        <w:rPr>
          <w:rFonts w:ascii="Arial" w:eastAsia="Arial" w:hAnsi="Arial" w:cs="Arial"/>
          <w:i/>
          <w:sz w:val="20"/>
          <w:szCs w:val="20"/>
        </w:rPr>
        <w:t>Fs</w:t>
      </w:r>
      <w:r>
        <w:rPr>
          <w:rFonts w:ascii="Arial" w:eastAsia="Arial" w:hAnsi="Arial" w:cs="Arial"/>
          <w:sz w:val="20"/>
          <w:szCs w:val="20"/>
        </w:rPr>
        <w:t xml:space="preserve">PDF2. The lack of detection of </w:t>
      </w:r>
      <w:r>
        <w:rPr>
          <w:rFonts w:ascii="Arial" w:eastAsia="Arial" w:hAnsi="Arial" w:cs="Arial"/>
          <w:i/>
          <w:sz w:val="20"/>
          <w:szCs w:val="20"/>
        </w:rPr>
        <w:t>Fs</w:t>
      </w:r>
      <w:r>
        <w:rPr>
          <w:rFonts w:ascii="Arial" w:eastAsia="Arial" w:hAnsi="Arial" w:cs="Arial"/>
          <w:sz w:val="20"/>
          <w:szCs w:val="20"/>
        </w:rPr>
        <w:t xml:space="preserve">PDF2 with the PHE183-B12 coated beads and using the gall midge tumour extracts is probably due to the fact that this antibody binds the protein much less well and the enriched concentrations with the gall midge tumour extracts remain below the detection limit.  </w:t>
      </w:r>
    </w:p>
    <w:p w:rsidR="008F76B6" w:rsidRDefault="008F76B6" w:rsidP="008F76B6">
      <w:pPr>
        <w:spacing w:after="0"/>
        <w:rPr>
          <w:rFonts w:ascii="Arial" w:eastAsia="Arial" w:hAnsi="Arial" w:cs="Arial"/>
          <w:sz w:val="20"/>
          <w:szCs w:val="20"/>
        </w:rPr>
      </w:pPr>
      <w:r>
        <w:rPr>
          <w:rFonts w:ascii="Arial" w:eastAsia="Arial" w:hAnsi="Arial" w:cs="Arial"/>
          <w:sz w:val="20"/>
          <w:szCs w:val="20"/>
          <w:vertAlign w:val="superscript"/>
        </w:rPr>
        <w:t>(2)</w:t>
      </w:r>
      <w:r>
        <w:rPr>
          <w:rFonts w:ascii="Arial" w:eastAsia="Arial" w:hAnsi="Arial" w:cs="Arial"/>
          <w:sz w:val="20"/>
          <w:szCs w:val="20"/>
        </w:rPr>
        <w:t xml:space="preserve">This protein was only found with PHE183-B12 and the levels detected were independent of whether recombinant </w:t>
      </w:r>
      <w:r>
        <w:rPr>
          <w:rFonts w:ascii="Arial" w:eastAsia="Arial" w:hAnsi="Arial" w:cs="Arial"/>
          <w:i/>
          <w:sz w:val="20"/>
          <w:szCs w:val="20"/>
        </w:rPr>
        <w:t>Fs</w:t>
      </w:r>
      <w:r>
        <w:rPr>
          <w:rFonts w:ascii="Arial" w:eastAsia="Arial" w:hAnsi="Arial" w:cs="Arial"/>
          <w:sz w:val="20"/>
          <w:szCs w:val="20"/>
        </w:rPr>
        <w:t xml:space="preserve">PDF2 or gall midge tumour extracts were used. Furthermore, the protein was identified with only one unique peptide. It is therefore highly likely that the corresponding MS/MS spectrum is due to a contamination associated with the antibody used. Furthermore, the contamination is not observed in the samples with PHE183-B12, so even if in a hypothetical case there would be a cross reactivity between PHE148-H1 and a phosphoesterase, it would be irrelevant for the sandwich ELISA assay that requires binding to both antibodies. </w:t>
      </w:r>
    </w:p>
    <w:p w:rsidR="008F76B6" w:rsidRDefault="008F76B6" w:rsidP="008F76B6">
      <w:pPr>
        <w:spacing w:after="240"/>
        <w:rPr>
          <w:rFonts w:ascii="Arial" w:eastAsia="Arial" w:hAnsi="Arial" w:cs="Arial"/>
          <w:sz w:val="20"/>
          <w:szCs w:val="20"/>
        </w:rPr>
      </w:pPr>
      <w:r>
        <w:rPr>
          <w:rFonts w:ascii="Arial" w:eastAsia="Arial" w:hAnsi="Arial" w:cs="Arial"/>
          <w:sz w:val="20"/>
          <w:szCs w:val="20"/>
          <w:vertAlign w:val="superscript"/>
        </w:rPr>
        <w:t>(3)</w:t>
      </w:r>
      <w:r>
        <w:rPr>
          <w:rFonts w:ascii="Arial" w:eastAsia="Arial" w:hAnsi="Arial" w:cs="Arial"/>
          <w:sz w:val="20"/>
          <w:szCs w:val="20"/>
        </w:rPr>
        <w:t>human contamination</w:t>
      </w:r>
    </w:p>
    <w:p w:rsidR="008F76B6" w:rsidRDefault="008F76B6" w:rsidP="008F76B6">
      <w:pPr>
        <w:spacing w:after="240"/>
      </w:pPr>
      <w:r w:rsidRPr="008E4C2B">
        <w:rPr>
          <w:noProof/>
          <w:lang w:val="en-IN" w:eastAsia="en-IN"/>
        </w:rPr>
        <w:drawing>
          <wp:inline distT="0" distB="0" distL="0" distR="0" wp14:anchorId="55342523" wp14:editId="4C819C23">
            <wp:extent cx="5760720" cy="2084070"/>
            <wp:effectExtent l="19050" t="19050" r="11430" b="1143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2084070"/>
                    </a:xfrm>
                    <a:prstGeom prst="rect">
                      <a:avLst/>
                    </a:prstGeom>
                    <a:noFill/>
                    <a:ln w="3175">
                      <a:solidFill>
                        <a:schemeClr val="tx1"/>
                      </a:solidFill>
                    </a:ln>
                  </pic:spPr>
                </pic:pic>
              </a:graphicData>
            </a:graphic>
          </wp:inline>
        </w:drawing>
      </w:r>
    </w:p>
    <w:p w:rsidR="002A2755" w:rsidRDefault="002A2755"/>
    <w:sectPr w:rsidR="002A2755">
      <w:headerReference w:type="default" r:id="rId17"/>
      <w:footerReference w:type="default" r:id="rId18"/>
      <w:pgSz w:w="11906" w:h="16838"/>
      <w:pgMar w:top="1417" w:right="1417" w:bottom="1134" w:left="1417" w:header="708" w:footer="708" w:gutter="0"/>
      <w:lnNumType w:countBy="1" w:restart="continuous"/>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0706" w:rsidRDefault="00D90706">
      <w:pPr>
        <w:spacing w:after="0" w:line="240" w:lineRule="auto"/>
      </w:pPr>
      <w:r>
        <w:separator/>
      </w:r>
    </w:p>
  </w:endnote>
  <w:endnote w:type="continuationSeparator" w:id="0">
    <w:p w:rsidR="00D90706" w:rsidRDefault="00D90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377" w:rsidRDefault="008F76B6">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rsidR="003B0377" w:rsidRDefault="00D90706">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0706" w:rsidRDefault="00D90706">
      <w:pPr>
        <w:spacing w:after="0" w:line="240" w:lineRule="auto"/>
      </w:pPr>
      <w:r>
        <w:separator/>
      </w:r>
    </w:p>
  </w:footnote>
  <w:footnote w:type="continuationSeparator" w:id="0">
    <w:p w:rsidR="00D90706" w:rsidRDefault="00D907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377" w:rsidRDefault="00D9070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1DF"/>
    <w:rsid w:val="002A2755"/>
    <w:rsid w:val="006341DF"/>
    <w:rsid w:val="00787C25"/>
    <w:rsid w:val="008F76B6"/>
    <w:rsid w:val="009536B3"/>
    <w:rsid w:val="00D90706"/>
    <w:rsid w:val="00DF698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CCE145-031D-4FCE-9CC4-D61F43E58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76B6"/>
    <w:pPr>
      <w:spacing w:after="200" w:line="360" w:lineRule="auto"/>
      <w:jc w:val="both"/>
    </w:pPr>
    <w:rPr>
      <w:rFonts w:ascii="Times New Roman" w:eastAsia="Times New Roman" w:hAnsi="Times New Roman" w:cs="Times New Roman"/>
      <w:sz w:val="24"/>
      <w:szCs w:val="24"/>
      <w:lang w:val="en-US"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8F76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11.emf"/><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829</Words>
  <Characters>4731</Characters>
  <Application>Microsoft Office Word</Application>
  <DocSecurity>0</DocSecurity>
  <Lines>39</Lines>
  <Paragraphs>11</Paragraphs>
  <ScaleCrop>false</ScaleCrop>
  <Company>HP Inc.</Company>
  <LinksUpToDate>false</LinksUpToDate>
  <CharactersWithSpaces>5549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Priyaa P R</dc:creator>
  <cp:keywords/>
  <dc:description/>
  <cp:lastModifiedBy>Jagadheeshwaran Chinniveeran</cp:lastModifiedBy>
  <cp:revision>3</cp:revision>
  <dcterms:created xsi:type="dcterms:W3CDTF">2025-10-17T06:55:00Z</dcterms:created>
  <dcterms:modified xsi:type="dcterms:W3CDTF">2025-11-11T06:02:00Z</dcterms:modified>
</cp:coreProperties>
</file>