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6EED8" w14:textId="77777777" w:rsidR="00812847" w:rsidRDefault="00812847" w:rsidP="00812847">
      <w:pPr>
        <w:spacing w:line="360" w:lineRule="auto"/>
        <w:rPr>
          <w:rFonts w:ascii="Arial" w:hAnsi="Arial" w:cs="Arial"/>
          <w:lang w:val="en-US"/>
        </w:rPr>
      </w:pPr>
      <w:r w:rsidRPr="00114440">
        <w:rPr>
          <w:rFonts w:ascii="Arial" w:hAnsi="Arial" w:cs="Arial"/>
          <w:b/>
          <w:lang w:val="en-US"/>
        </w:rPr>
        <w:t>Supplementary Material 1.</w:t>
      </w:r>
      <w:r>
        <w:rPr>
          <w:rFonts w:ascii="Arial" w:hAnsi="Arial" w:cs="Arial"/>
          <w:lang w:val="en-US"/>
        </w:rPr>
        <w:t xml:space="preserve"> Western blot analysis of signaling molecules in liver and adipose tissue samples.</w:t>
      </w:r>
    </w:p>
    <w:p w14:paraId="0C459BE1" w14:textId="77777777" w:rsidR="00812847" w:rsidRDefault="00812847" w:rsidP="00812847">
      <w:pPr>
        <w:spacing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Liver tissue samples were homogenized in Laemmli extraction buffer, and the protein content was determined by the bicinchoninic acid protein assay. 20 µg of total protein was separated by SDS-PAGE and transferred to PVDF membranes (Millipore) by electro-blotting. Membranes were washed in TBS with 0.1% Tween-20 and blocked in 5% w/v fat free milk powder (Roth) for 1 h. The membranes were then washed again and incubated in 5% w/v BSA (Roth) solution with the appropriate primary antibodies overnight at 4 °C. </w:t>
      </w:r>
    </w:p>
    <w:p w14:paraId="6579BE2F" w14:textId="77777777" w:rsidR="00812847" w:rsidRPr="00E64589" w:rsidRDefault="00812847" w:rsidP="00812847">
      <w:pPr>
        <w:spacing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Adipose tissue samples were lysed in cold lysis buffer (50 mM Tris, pH 7.5, 150 mM NaCl, 1 % NP40, 0.5 % </w:t>
      </w:r>
      <w:proofErr w:type="spellStart"/>
      <w:r>
        <w:rPr>
          <w:rFonts w:ascii="Arial" w:hAnsi="Arial" w:cs="Arial"/>
          <w:lang w:val="en-US"/>
        </w:rPr>
        <w:t>NaDoc</w:t>
      </w:r>
      <w:proofErr w:type="spellEnd"/>
      <w:r>
        <w:rPr>
          <w:rFonts w:ascii="Arial" w:hAnsi="Arial" w:cs="Arial"/>
          <w:lang w:val="en-US"/>
        </w:rPr>
        <w:t>, 0.1 % SDS, 5 % glycerol, 1 mM EDTA, protease and phosphatase inhibitors (</w:t>
      </w:r>
      <w:proofErr w:type="spellStart"/>
      <w:r>
        <w:rPr>
          <w:rFonts w:ascii="Arial" w:hAnsi="Arial" w:cs="Arial"/>
          <w:lang w:val="en-US"/>
        </w:rPr>
        <w:t>cOmplete</w:t>
      </w:r>
      <w:proofErr w:type="spellEnd"/>
      <w:r>
        <w:rPr>
          <w:rFonts w:ascii="Arial" w:hAnsi="Arial" w:cs="Arial"/>
          <w:lang w:val="en-US"/>
        </w:rPr>
        <w:t xml:space="preserve"> and </w:t>
      </w:r>
      <w:proofErr w:type="spellStart"/>
      <w:r>
        <w:rPr>
          <w:rFonts w:ascii="Arial" w:hAnsi="Arial" w:cs="Arial"/>
          <w:lang w:val="en-US"/>
        </w:rPr>
        <w:t>PhosSTOP</w:t>
      </w:r>
      <w:proofErr w:type="spellEnd"/>
      <w:r>
        <w:rPr>
          <w:rFonts w:ascii="Arial" w:hAnsi="Arial" w:cs="Arial"/>
          <w:lang w:val="en-US"/>
        </w:rPr>
        <w:t xml:space="preserve"> (Roche)) by homogenization with bead-beater for 30 sec. After an initial centrifugation for 10 min at 18,000 </w:t>
      </w:r>
      <w:r>
        <w:rPr>
          <w:rFonts w:ascii="Arial" w:hAnsi="Arial" w:cs="Arial"/>
          <w:lang w:val="en-US"/>
        </w:rPr>
        <w:sym w:font="Symbol" w:char="F0B4"/>
      </w:r>
      <w:r>
        <w:rPr>
          <w:rFonts w:ascii="Arial" w:hAnsi="Arial" w:cs="Arial"/>
          <w:lang w:val="en-US"/>
        </w:rPr>
        <w:t xml:space="preserve"> </w:t>
      </w:r>
      <w:r w:rsidRPr="008600F5">
        <w:rPr>
          <w:rFonts w:ascii="Arial" w:hAnsi="Arial" w:cs="Arial"/>
          <w:i/>
          <w:lang w:val="en-US"/>
        </w:rPr>
        <w:t>g</w:t>
      </w:r>
      <w:r>
        <w:rPr>
          <w:rFonts w:ascii="Arial" w:hAnsi="Arial" w:cs="Arial"/>
          <w:lang w:val="en-US"/>
        </w:rPr>
        <w:t xml:space="preserve"> at 4 °C, the middle clear phase was transferred to new tubes. A second 30-min centrifugation was performed, and the middle clear phase was transferred to new tubes. 5 </w:t>
      </w:r>
      <w:proofErr w:type="spellStart"/>
      <w:r>
        <w:rPr>
          <w:rFonts w:ascii="Arial" w:hAnsi="Arial" w:cs="Arial"/>
          <w:lang w:val="en-US"/>
        </w:rPr>
        <w:t>μl</w:t>
      </w:r>
      <w:proofErr w:type="spellEnd"/>
      <w:r>
        <w:rPr>
          <w:rFonts w:ascii="Arial" w:hAnsi="Arial" w:cs="Arial"/>
          <w:lang w:val="en-US"/>
        </w:rPr>
        <w:t xml:space="preserve"> protein extract was used for BCA assay to </w:t>
      </w:r>
      <w:r w:rsidRPr="00E64589">
        <w:rPr>
          <w:rFonts w:ascii="Arial" w:hAnsi="Arial" w:cs="Arial"/>
          <w:lang w:val="en-US"/>
        </w:rPr>
        <w:t xml:space="preserve">determine protein concentration. Samples were boiled in Laemmli buffer for 5 min at 95 °C. SDS-PAGE and blotting were performed using Trans-Blot Turbo Transfer System (Bio-Rad). </w:t>
      </w:r>
    </w:p>
    <w:p w14:paraId="145E02B6" w14:textId="183015D1" w:rsidR="00894DA0" w:rsidRPr="00E64589" w:rsidRDefault="00894DA0" w:rsidP="00DD5E60">
      <w:pPr>
        <w:spacing w:line="360" w:lineRule="auto"/>
        <w:rPr>
          <w:rFonts w:ascii="Arial" w:hAnsi="Arial" w:cs="Arial"/>
          <w:lang w:val="en-US"/>
        </w:rPr>
      </w:pPr>
      <w:r w:rsidRPr="00E64589">
        <w:rPr>
          <w:rFonts w:ascii="Arial" w:hAnsi="Arial" w:cs="Arial"/>
          <w:lang w:val="en-US"/>
        </w:rPr>
        <w:t xml:space="preserve">Phosphoenolpyruvate </w:t>
      </w:r>
      <w:proofErr w:type="spellStart"/>
      <w:r w:rsidRPr="00E64589">
        <w:rPr>
          <w:rFonts w:ascii="Arial" w:hAnsi="Arial" w:cs="Arial"/>
          <w:lang w:val="en-US"/>
        </w:rPr>
        <w:t>carboxykinase</w:t>
      </w:r>
      <w:proofErr w:type="spellEnd"/>
      <w:r w:rsidRPr="00E64589">
        <w:rPr>
          <w:rFonts w:ascii="Arial" w:hAnsi="Arial" w:cs="Arial"/>
          <w:lang w:val="en-US"/>
        </w:rPr>
        <w:t xml:space="preserve"> 1 (PCK1) abundance in liver samples was assessed using commercially available antibodies from Cell </w:t>
      </w:r>
      <w:proofErr w:type="gramStart"/>
      <w:r w:rsidRPr="00E64589">
        <w:rPr>
          <w:rFonts w:ascii="Arial" w:hAnsi="Arial" w:cs="Arial"/>
          <w:lang w:val="en-US"/>
        </w:rPr>
        <w:t>Signaling (#</w:t>
      </w:r>
      <w:proofErr w:type="gramEnd"/>
      <w:r w:rsidRPr="00E64589">
        <w:rPr>
          <w:rFonts w:ascii="Arial" w:hAnsi="Arial" w:cs="Arial"/>
          <w:lang w:val="en-US"/>
        </w:rPr>
        <w:t xml:space="preserve">12940, 1:1000 for PCK1 and #2118, 1:4400 for GAPDH). S660 phosphorylation of hormone sensitive lipase (HSL) was assessed in adipose tissues using commercially available antibodies from Cell </w:t>
      </w:r>
      <w:proofErr w:type="gramStart"/>
      <w:r w:rsidRPr="00E64589">
        <w:rPr>
          <w:rFonts w:ascii="Arial" w:hAnsi="Arial" w:cs="Arial"/>
          <w:lang w:val="en-US"/>
        </w:rPr>
        <w:t>Signaling (#</w:t>
      </w:r>
      <w:proofErr w:type="gramEnd"/>
      <w:r w:rsidRPr="00E64589">
        <w:rPr>
          <w:rFonts w:ascii="Arial" w:hAnsi="Arial" w:cs="Arial"/>
          <w:lang w:val="en-US"/>
        </w:rPr>
        <w:t>4107, 1:1000 for HSL and #45804</w:t>
      </w:r>
      <w:r w:rsidR="00DD5E60" w:rsidRPr="00E64589">
        <w:rPr>
          <w:rFonts w:ascii="Arial" w:hAnsi="Arial" w:cs="Arial"/>
          <w:lang w:val="en-US"/>
        </w:rPr>
        <w:t xml:space="preserve">, 1:1000 </w:t>
      </w:r>
      <w:r w:rsidRPr="00E64589">
        <w:rPr>
          <w:rFonts w:ascii="Arial" w:hAnsi="Arial" w:cs="Arial"/>
          <w:lang w:val="en-US"/>
        </w:rPr>
        <w:t>for pHSL-660</w:t>
      </w:r>
      <w:r w:rsidR="00DD5E60" w:rsidRPr="00E64589">
        <w:rPr>
          <w:rFonts w:ascii="Arial" w:hAnsi="Arial" w:cs="Arial"/>
          <w:lang w:val="en-US"/>
        </w:rPr>
        <w:t xml:space="preserve">). </w:t>
      </w:r>
    </w:p>
    <w:p w14:paraId="0A81FACD" w14:textId="77777777" w:rsidR="00812847" w:rsidRPr="00431DE3" w:rsidRDefault="00812847" w:rsidP="00812847">
      <w:pPr>
        <w:spacing w:line="360" w:lineRule="auto"/>
        <w:rPr>
          <w:lang w:val="en-US"/>
        </w:rPr>
      </w:pPr>
      <w:r w:rsidRPr="00E64589">
        <w:rPr>
          <w:rFonts w:ascii="Arial" w:hAnsi="Arial" w:cs="Arial"/>
          <w:lang w:val="en-US"/>
        </w:rPr>
        <w:t xml:space="preserve">After washing, the membranes were incubated in 5% w/v fat-free milk powder solution with the secondary HRP-linked goat anti-rabbit IgG (Bio-Rad 1706515, 1:5000 for </w:t>
      </w:r>
      <w:r>
        <w:rPr>
          <w:rFonts w:ascii="Arial" w:hAnsi="Arial" w:cs="Arial"/>
          <w:lang w:val="en-US"/>
        </w:rPr>
        <w:t>adipose tissue samples; Cell Signaling #</w:t>
      </w:r>
      <w:r w:rsidRPr="000075C1">
        <w:rPr>
          <w:rFonts w:ascii="Arial" w:hAnsi="Arial" w:cs="Arial"/>
          <w:lang w:val="en-US"/>
        </w:rPr>
        <w:t>7074</w:t>
      </w:r>
      <w:r>
        <w:rPr>
          <w:rFonts w:ascii="Arial" w:hAnsi="Arial" w:cs="Arial"/>
          <w:lang w:val="en-US"/>
        </w:rPr>
        <w:t xml:space="preserve">, 1:2000 for liver tissue samples) or HRP-goat anti-mouse IgG (Jackson ImmunoResearch,115-035-146, 1:5000) for 1 h. Bound antibodies were detected using the </w:t>
      </w:r>
      <w:proofErr w:type="spellStart"/>
      <w:r>
        <w:rPr>
          <w:rFonts w:ascii="Arial" w:hAnsi="Arial" w:cs="Arial"/>
          <w:lang w:val="en-US"/>
        </w:rPr>
        <w:t>SuperSignal</w:t>
      </w:r>
      <w:proofErr w:type="spellEnd"/>
      <w:r>
        <w:rPr>
          <w:rFonts w:ascii="Arial" w:hAnsi="Arial" w:cs="Arial"/>
          <w:lang w:val="en-US"/>
        </w:rPr>
        <w:t>™ ECL reagent (</w:t>
      </w:r>
      <w:proofErr w:type="spellStart"/>
      <w:r>
        <w:rPr>
          <w:rFonts w:ascii="Arial" w:hAnsi="Arial" w:cs="Arial"/>
          <w:lang w:val="en-US"/>
        </w:rPr>
        <w:t>Thermo</w:t>
      </w:r>
      <w:proofErr w:type="spellEnd"/>
      <w:r>
        <w:rPr>
          <w:rFonts w:ascii="Arial" w:hAnsi="Arial" w:cs="Arial"/>
          <w:lang w:val="en-US"/>
        </w:rPr>
        <w:t xml:space="preserve"> Fisher Scientific) and appropriate films from the same supplier.</w:t>
      </w:r>
    </w:p>
    <w:p w14:paraId="377F4943" w14:textId="77777777" w:rsidR="00A67DAA" w:rsidRPr="00812847" w:rsidRDefault="00A67DAA">
      <w:pPr>
        <w:rPr>
          <w:lang w:val="en-US"/>
        </w:rPr>
      </w:pPr>
    </w:p>
    <w:sectPr w:rsidR="00A67DAA" w:rsidRPr="0081284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6B403B"/>
    <w:rsid w:val="00785571"/>
    <w:rsid w:val="00812847"/>
    <w:rsid w:val="00894DA0"/>
    <w:rsid w:val="0099222D"/>
    <w:rsid w:val="009C6415"/>
    <w:rsid w:val="00A67DAA"/>
    <w:rsid w:val="00AA7D38"/>
    <w:rsid w:val="00C37777"/>
    <w:rsid w:val="00DD5E60"/>
    <w:rsid w:val="00E6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239D8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9922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9222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9222D"/>
    <w:rPr>
      <w:kern w:val="2"/>
      <w:sz w:val="20"/>
      <w:szCs w:val="20"/>
      <w14:ligatures w14:val="standardContextu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222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222D"/>
    <w:rPr>
      <w:b/>
      <w:bCs/>
      <w:kern w:val="2"/>
      <w:sz w:val="20"/>
      <w:szCs w:val="20"/>
      <w14:ligatures w14:val="standardContextu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922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9222D"/>
    <w:rPr>
      <w:rFonts w:ascii="Segoe UI" w:hAnsi="Segoe UI" w:cs="Segoe UI"/>
      <w:kern w:val="2"/>
      <w:sz w:val="18"/>
      <w:szCs w:val="18"/>
      <w14:ligatures w14:val="standardContextual"/>
    </w:rPr>
  </w:style>
  <w:style w:type="table" w:styleId="Listentabelle7farbig">
    <w:name w:val="List Table 7 Colorful"/>
    <w:basedOn w:val="NormaleTabelle"/>
    <w:uiPriority w:val="52"/>
    <w:rsid w:val="00894DA0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4</cp:revision>
  <dcterms:created xsi:type="dcterms:W3CDTF">2025-09-08T11:41:00Z</dcterms:created>
  <dcterms:modified xsi:type="dcterms:W3CDTF">2025-10-02T09:23:00Z</dcterms:modified>
</cp:coreProperties>
</file>