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B4DC" w14:textId="18E612BB" w:rsidR="00E30A88" w:rsidRPr="001F5DDF" w:rsidRDefault="00D95C56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1F5DDF">
        <w:rPr>
          <w:rFonts w:ascii="Arial" w:hAnsi="Arial" w:cs="Arial"/>
          <w:b/>
          <w:bCs/>
          <w:color w:val="000000" w:themeColor="text1"/>
          <w:lang w:val="en-US"/>
        </w:rPr>
        <w:t>Supplement: Dynamics of postnatal upper airway bacteria colonization in preterm infants &lt;1000g and bronchopulmonary dysplasia</w:t>
      </w:r>
    </w:p>
    <w:p w14:paraId="43D83BF5" w14:textId="77777777" w:rsidR="00954DA6" w:rsidRPr="001F5DDF" w:rsidRDefault="00954DA6">
      <w:pPr>
        <w:rPr>
          <w:rFonts w:ascii="Arial" w:hAnsi="Arial" w:cs="Arial"/>
          <w:b/>
          <w:bCs/>
          <w:color w:val="000000" w:themeColor="text1"/>
          <w:lang w:val="en-US"/>
        </w:rPr>
      </w:pPr>
    </w:p>
    <w:p w14:paraId="672E1190" w14:textId="25560625" w:rsidR="0081747B" w:rsidRPr="001F5DDF" w:rsidRDefault="0081747B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1F5DDF">
        <w:rPr>
          <w:rFonts w:ascii="Arial" w:hAnsi="Arial" w:cs="Arial"/>
          <w:b/>
          <w:bCs/>
          <w:color w:val="000000" w:themeColor="text1"/>
          <w:lang w:val="en-US"/>
        </w:rPr>
        <w:t xml:space="preserve">Table S1. </w:t>
      </w:r>
      <w:r w:rsidRPr="001F5DDF">
        <w:rPr>
          <w:rFonts w:ascii="Arial" w:hAnsi="Arial" w:cs="Arial"/>
          <w:color w:val="000000" w:themeColor="text1"/>
          <w:lang w:val="en-US"/>
        </w:rPr>
        <w:t xml:space="preserve">Confounder (logit) model of the risks for moderate/severe BPD for the Giessen </w:t>
      </w:r>
      <w:r w:rsidR="00CD4696" w:rsidRPr="001F5DDF">
        <w:rPr>
          <w:rFonts w:ascii="Arial" w:hAnsi="Arial" w:cs="Arial"/>
          <w:color w:val="000000" w:themeColor="text1"/>
          <w:lang w:val="en-US"/>
        </w:rPr>
        <w:t>center</w:t>
      </w:r>
    </w:p>
    <w:p w14:paraId="02868714" w14:textId="77777777" w:rsidR="0081747B" w:rsidRPr="001F5DDF" w:rsidRDefault="0081747B">
      <w:pPr>
        <w:rPr>
          <w:rFonts w:ascii="Arial" w:hAnsi="Arial" w:cs="Arial"/>
          <w:b/>
          <w:bCs/>
          <w:color w:val="000000" w:themeColor="text1"/>
          <w:lang w:val="en-US"/>
        </w:rPr>
      </w:pPr>
    </w:p>
    <w:p w14:paraId="1C714CFF" w14:textId="053479D4" w:rsidR="0081747B" w:rsidRPr="001F5DDF" w:rsidRDefault="0081747B" w:rsidP="0081747B">
      <w:pPr>
        <w:rPr>
          <w:rFonts w:ascii="Arial" w:hAnsi="Arial" w:cs="Arial"/>
          <w:color w:val="000000" w:themeColor="text1"/>
          <w:lang w:val="en-US"/>
        </w:rPr>
      </w:pPr>
      <w:r w:rsidRPr="001F5DDF">
        <w:rPr>
          <w:rFonts w:ascii="Arial" w:hAnsi="Arial" w:cs="Arial"/>
          <w:b/>
          <w:bCs/>
          <w:color w:val="000000" w:themeColor="text1"/>
          <w:lang w:val="en-US"/>
        </w:rPr>
        <w:t xml:space="preserve">Table S2. </w:t>
      </w:r>
      <w:r w:rsidRPr="001F5DDF">
        <w:rPr>
          <w:rFonts w:ascii="Arial" w:hAnsi="Arial" w:cs="Arial"/>
          <w:color w:val="000000" w:themeColor="text1"/>
          <w:lang w:val="en-US"/>
        </w:rPr>
        <w:t xml:space="preserve">Generalized (logit) additive model of the risks for moderate/severe BPD for infants with a birth weight </w:t>
      </w:r>
      <w:r w:rsidR="001641B3" w:rsidRPr="001F5DDF">
        <w:rPr>
          <w:rFonts w:ascii="Arial" w:hAnsi="Arial" w:cs="Arial"/>
          <w:color w:val="000000" w:themeColor="text1"/>
          <w:lang w:val="en-US"/>
        </w:rPr>
        <w:t>&lt;</w:t>
      </w:r>
      <w:r w:rsidR="00D55F5F" w:rsidRPr="001F5DDF">
        <w:rPr>
          <w:rFonts w:ascii="Arial" w:hAnsi="Arial" w:cs="Arial"/>
          <w:color w:val="000000" w:themeColor="text1"/>
          <w:lang w:val="en-US"/>
        </w:rPr>
        <w:t xml:space="preserve"> </w:t>
      </w:r>
      <w:r w:rsidR="001641B3" w:rsidRPr="001F5DDF">
        <w:rPr>
          <w:rFonts w:ascii="Arial" w:hAnsi="Arial" w:cs="Arial"/>
          <w:color w:val="000000" w:themeColor="text1"/>
          <w:lang w:val="en-US"/>
        </w:rPr>
        <w:t>800</w:t>
      </w:r>
      <w:r w:rsidRPr="001F5DDF">
        <w:rPr>
          <w:rFonts w:ascii="Arial" w:hAnsi="Arial" w:cs="Arial"/>
          <w:color w:val="000000" w:themeColor="text1"/>
          <w:lang w:val="en-US"/>
        </w:rPr>
        <w:t>g</w:t>
      </w:r>
    </w:p>
    <w:p w14:paraId="4C0095E8" w14:textId="77777777" w:rsidR="0081747B" w:rsidRPr="001F5DDF" w:rsidRDefault="0081747B">
      <w:pPr>
        <w:rPr>
          <w:rFonts w:ascii="Arial" w:hAnsi="Arial" w:cs="Arial"/>
          <w:b/>
          <w:bCs/>
          <w:color w:val="000000" w:themeColor="text1"/>
          <w:lang w:val="en-US"/>
        </w:rPr>
      </w:pPr>
    </w:p>
    <w:p w14:paraId="53B7C961" w14:textId="49326BD8" w:rsidR="0081747B" w:rsidRPr="001F5DDF" w:rsidRDefault="0081747B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1F5DDF">
        <w:rPr>
          <w:rFonts w:ascii="Arial" w:hAnsi="Arial" w:cs="Arial"/>
          <w:b/>
          <w:bCs/>
          <w:color w:val="000000" w:themeColor="text1"/>
          <w:lang w:val="en-US"/>
        </w:rPr>
        <w:t xml:space="preserve">Table S3. </w:t>
      </w:r>
      <w:r w:rsidRPr="001F5DDF">
        <w:rPr>
          <w:rFonts w:ascii="Arial" w:hAnsi="Arial" w:cs="Arial"/>
          <w:color w:val="000000" w:themeColor="text1"/>
          <w:lang w:val="en-US"/>
        </w:rPr>
        <w:t xml:space="preserve">Generalized (logit) additive model of the risks for moderate/severe BPD for infants with a birth weight </w:t>
      </w:r>
      <w:r w:rsidR="001641B3" w:rsidRPr="001F5DDF">
        <w:rPr>
          <w:rFonts w:ascii="Arial" w:hAnsi="Arial" w:cs="Arial"/>
          <w:color w:val="000000" w:themeColor="text1"/>
          <w:lang w:val="en-US"/>
        </w:rPr>
        <w:t>≥</w:t>
      </w:r>
      <w:r w:rsidR="00D55F5F" w:rsidRPr="001F5DDF">
        <w:rPr>
          <w:rFonts w:ascii="Arial" w:hAnsi="Arial" w:cs="Arial"/>
          <w:color w:val="000000" w:themeColor="text1"/>
          <w:lang w:val="en-US"/>
        </w:rPr>
        <w:t xml:space="preserve"> </w:t>
      </w:r>
      <w:r w:rsidR="001641B3" w:rsidRPr="001F5DDF">
        <w:rPr>
          <w:rFonts w:ascii="Arial" w:hAnsi="Arial" w:cs="Arial"/>
          <w:color w:val="000000" w:themeColor="text1"/>
          <w:lang w:val="en-US"/>
        </w:rPr>
        <w:t>800</w:t>
      </w:r>
      <w:r w:rsidRPr="001F5DDF">
        <w:rPr>
          <w:rFonts w:ascii="Arial" w:hAnsi="Arial" w:cs="Arial"/>
          <w:color w:val="000000" w:themeColor="text1"/>
          <w:lang w:val="en-US"/>
        </w:rPr>
        <w:t>g</w:t>
      </w:r>
    </w:p>
    <w:p w14:paraId="6278C13D" w14:textId="39E6A47D" w:rsidR="00D95C56" w:rsidRPr="001F5DDF" w:rsidRDefault="00D95C56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1F5DDF">
        <w:rPr>
          <w:rFonts w:ascii="Arial" w:hAnsi="Arial" w:cs="Arial"/>
          <w:b/>
          <w:bCs/>
          <w:color w:val="000000" w:themeColor="text1"/>
          <w:lang w:val="en-US"/>
        </w:rPr>
        <w:br w:type="page"/>
      </w:r>
    </w:p>
    <w:p w14:paraId="203BCFB1" w14:textId="7340F94A" w:rsidR="00954DA6" w:rsidRPr="001F5DDF" w:rsidRDefault="00954DA6">
      <w:pPr>
        <w:rPr>
          <w:rFonts w:ascii="Arial" w:hAnsi="Arial" w:cs="Arial"/>
          <w:b/>
          <w:bCs/>
          <w:color w:val="000000" w:themeColor="text1"/>
          <w:lang w:val="en-US"/>
        </w:rPr>
      </w:pPr>
    </w:p>
    <w:p w14:paraId="3D3D406A" w14:textId="15D89D26" w:rsidR="00D95C56" w:rsidRPr="001F5DDF" w:rsidRDefault="00D95C56" w:rsidP="00D95C56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1F5DDF">
        <w:rPr>
          <w:rFonts w:ascii="Arial" w:hAnsi="Arial" w:cs="Arial"/>
          <w:b/>
          <w:bCs/>
          <w:color w:val="000000" w:themeColor="text1"/>
          <w:lang w:val="en-US"/>
        </w:rPr>
        <w:t>Table S</w:t>
      </w:r>
      <w:r w:rsidR="00570601" w:rsidRPr="001F5DDF">
        <w:rPr>
          <w:rFonts w:ascii="Arial" w:hAnsi="Arial" w:cs="Arial"/>
          <w:b/>
          <w:bCs/>
          <w:color w:val="000000" w:themeColor="text1"/>
          <w:lang w:val="en-US"/>
        </w:rPr>
        <w:t>1</w:t>
      </w:r>
      <w:r w:rsidRPr="001F5DDF">
        <w:rPr>
          <w:rFonts w:ascii="Arial" w:hAnsi="Arial" w:cs="Arial"/>
          <w:b/>
          <w:bCs/>
          <w:color w:val="000000" w:themeColor="text1"/>
          <w:lang w:val="en-US"/>
        </w:rPr>
        <w:t xml:space="preserve">. Confounder (logit) model of the risks for moderate/severe BPD for the Giessen </w:t>
      </w:r>
      <w:r w:rsidR="00CD4696" w:rsidRPr="001F5DDF">
        <w:rPr>
          <w:rFonts w:ascii="Arial" w:hAnsi="Arial" w:cs="Arial"/>
          <w:b/>
          <w:bCs/>
          <w:color w:val="000000" w:themeColor="text1"/>
          <w:lang w:val="en-US"/>
        </w:rPr>
        <w:t>center</w:t>
      </w:r>
    </w:p>
    <w:tbl>
      <w:tblPr>
        <w:tblStyle w:val="Tabellenraster"/>
        <w:tblW w:w="7487" w:type="dxa"/>
        <w:tblLook w:val="04A0" w:firstRow="1" w:lastRow="0" w:firstColumn="1" w:lastColumn="0" w:noHBand="0" w:noVBand="1"/>
      </w:tblPr>
      <w:tblGrid>
        <w:gridCol w:w="2221"/>
        <w:gridCol w:w="1417"/>
        <w:gridCol w:w="2038"/>
        <w:gridCol w:w="1811"/>
      </w:tblGrid>
      <w:tr w:rsidR="001F5DDF" w:rsidRPr="001F5DDF" w14:paraId="508E135B" w14:textId="77777777" w:rsidTr="00E469D4">
        <w:tc>
          <w:tcPr>
            <w:tcW w:w="222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1DD09C2" w14:textId="77777777" w:rsidR="00473264" w:rsidRPr="001F5DDF" w:rsidRDefault="00473264" w:rsidP="00EA306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7CC3CDB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Estimate</w:t>
            </w:r>
          </w:p>
        </w:tc>
        <w:tc>
          <w:tcPr>
            <w:tcW w:w="203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1476E43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Standard error</w:t>
            </w:r>
          </w:p>
        </w:tc>
        <w:tc>
          <w:tcPr>
            <w:tcW w:w="18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C5DA581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z-value</w:t>
            </w:r>
          </w:p>
        </w:tc>
      </w:tr>
      <w:tr w:rsidR="001F5DDF" w:rsidRPr="001F5DDF" w14:paraId="5A4C62F3" w14:textId="77777777" w:rsidTr="00E469D4">
        <w:tc>
          <w:tcPr>
            <w:tcW w:w="222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5896C19" w14:textId="74C3F21B" w:rsidR="00473264" w:rsidRPr="001F5DDF" w:rsidRDefault="00473264" w:rsidP="00EA306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(intercept)**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405021B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5.57149         </w:t>
            </w:r>
          </w:p>
        </w:tc>
        <w:tc>
          <w:tcPr>
            <w:tcW w:w="203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F2E856C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1.91559</w:t>
            </w:r>
          </w:p>
        </w:tc>
        <w:tc>
          <w:tcPr>
            <w:tcW w:w="18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6C1623D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2.908   </w:t>
            </w:r>
          </w:p>
        </w:tc>
      </w:tr>
      <w:tr w:rsidR="001F5DDF" w:rsidRPr="001F5DDF" w14:paraId="02484D67" w14:textId="77777777" w:rsidTr="00E469D4">
        <w:tc>
          <w:tcPr>
            <w:tcW w:w="222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F7CDC05" w14:textId="04129C6E" w:rsidR="00473264" w:rsidRPr="001F5DDF" w:rsidRDefault="00473264" w:rsidP="00EA306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Birth weight (kg)</w:t>
            </w:r>
            <w:r w:rsidRPr="001F5DDF">
              <w:rPr>
                <w:rFonts w:ascii="Arial" w:hAnsi="Arial"/>
                <w:b/>
                <w:color w:val="000000" w:themeColor="text1"/>
                <w:sz w:val="24"/>
                <w:vertAlign w:val="superscript"/>
                <w:lang w:val="en-US"/>
              </w:rPr>
              <w:t xml:space="preserve"> †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4117A31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-7.13323      </w:t>
            </w:r>
          </w:p>
        </w:tc>
        <w:tc>
          <w:tcPr>
            <w:tcW w:w="203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D89837E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1.75996</w:t>
            </w:r>
          </w:p>
        </w:tc>
        <w:tc>
          <w:tcPr>
            <w:tcW w:w="18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F863C82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-4.053</w:t>
            </w:r>
          </w:p>
        </w:tc>
      </w:tr>
      <w:tr w:rsidR="001F5DDF" w:rsidRPr="001F5DDF" w14:paraId="5445910D" w14:textId="77777777" w:rsidTr="00E469D4">
        <w:tc>
          <w:tcPr>
            <w:tcW w:w="222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ACE14DA" w14:textId="2DAA40D8" w:rsidR="00473264" w:rsidRPr="001F5DDF" w:rsidRDefault="00473264" w:rsidP="00EA306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Sex (male)*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F02BE06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1.13160         </w:t>
            </w:r>
          </w:p>
        </w:tc>
        <w:tc>
          <w:tcPr>
            <w:tcW w:w="203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740B9F4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0.47412</w:t>
            </w:r>
          </w:p>
        </w:tc>
        <w:tc>
          <w:tcPr>
            <w:tcW w:w="18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92AB44F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2.387</w:t>
            </w:r>
          </w:p>
        </w:tc>
      </w:tr>
      <w:tr w:rsidR="001F5DDF" w:rsidRPr="001F5DDF" w14:paraId="240D6494" w14:textId="77777777" w:rsidTr="00E469D4">
        <w:tc>
          <w:tcPr>
            <w:tcW w:w="222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BDA8960" w14:textId="77777777" w:rsidR="00473264" w:rsidRPr="001F5DDF" w:rsidRDefault="00473264" w:rsidP="00EA306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Multiple births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9D4DFB2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0.12945              </w:t>
            </w:r>
          </w:p>
        </w:tc>
        <w:tc>
          <w:tcPr>
            <w:tcW w:w="203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69695DD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0.49335</w:t>
            </w:r>
          </w:p>
        </w:tc>
        <w:tc>
          <w:tcPr>
            <w:tcW w:w="18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A003632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0.262</w:t>
            </w:r>
          </w:p>
        </w:tc>
      </w:tr>
      <w:tr w:rsidR="001F5DDF" w:rsidRPr="001F5DDF" w14:paraId="3639E69C" w14:textId="77777777" w:rsidTr="00E469D4">
        <w:tc>
          <w:tcPr>
            <w:tcW w:w="222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0D847E6" w14:textId="77777777" w:rsidR="00473264" w:rsidRPr="001F5DDF" w:rsidRDefault="00473264" w:rsidP="00EA306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AIS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44B1CFE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-0.45862         </w:t>
            </w:r>
          </w:p>
        </w:tc>
        <w:tc>
          <w:tcPr>
            <w:tcW w:w="203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0A41F55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0.50450</w:t>
            </w:r>
          </w:p>
        </w:tc>
        <w:tc>
          <w:tcPr>
            <w:tcW w:w="18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352B84D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-0.909</w:t>
            </w:r>
          </w:p>
        </w:tc>
      </w:tr>
      <w:tr w:rsidR="001F5DDF" w:rsidRPr="001F5DDF" w14:paraId="743A3AB4" w14:textId="77777777" w:rsidTr="00E469D4">
        <w:tc>
          <w:tcPr>
            <w:tcW w:w="22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6650BDE8" w14:textId="77777777" w:rsidR="00473264" w:rsidRPr="001F5DDF" w:rsidRDefault="00473264" w:rsidP="00EA306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ANS (vs. No)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42925D99" w14:textId="77777777" w:rsidR="00473264" w:rsidRPr="001F5DDF" w:rsidRDefault="00473264" w:rsidP="00EA3062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        </w:t>
            </w:r>
          </w:p>
        </w:tc>
        <w:tc>
          <w:tcPr>
            <w:tcW w:w="203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041D9B24" w14:textId="77777777" w:rsidR="00473264" w:rsidRPr="001F5DDF" w:rsidRDefault="00473264" w:rsidP="00EA3062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7ED55E69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F5DDF" w:rsidRPr="001F5DDF" w14:paraId="5B058198" w14:textId="77777777" w:rsidTr="00E469D4"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78EAF8A2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&lt; 24h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51589C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-0.13353          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70C138F4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1.46288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3FB2D224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-0.091</w:t>
            </w:r>
          </w:p>
        </w:tc>
      </w:tr>
      <w:tr w:rsidR="001F5DDF" w:rsidRPr="001F5DDF" w14:paraId="37297787" w14:textId="77777777" w:rsidTr="00E469D4"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7D499A61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24 h – 7 days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B4663D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0.36858        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22C2F453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1.26344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C23D68A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0.292</w:t>
            </w:r>
          </w:p>
        </w:tc>
      </w:tr>
      <w:tr w:rsidR="001F5DDF" w:rsidRPr="001F5DDF" w14:paraId="372ACA72" w14:textId="77777777" w:rsidTr="00E469D4"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B4218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&gt; 7 days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37A93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-0.19409    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20370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1.34207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AB5B5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-0.145</w:t>
            </w:r>
          </w:p>
        </w:tc>
      </w:tr>
      <w:tr w:rsidR="001F5DDF" w:rsidRPr="001F5DDF" w14:paraId="050092A4" w14:textId="77777777" w:rsidTr="00E469D4"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</w:tcPr>
          <w:p w14:paraId="7FA558E4" w14:textId="5D4EEC41" w:rsidR="00473264" w:rsidRPr="001F5DDF" w:rsidRDefault="000962BD" w:rsidP="00EA306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Duration of </w:t>
            </w:r>
            <w:r w:rsidR="00473264"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Antibiotic therapy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</w:tcPr>
          <w:p w14:paraId="05502F19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0.06822            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</w:tcPr>
          <w:p w14:paraId="702B86C1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0.03959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</w:tcPr>
          <w:p w14:paraId="50DD8E8D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1.723</w:t>
            </w:r>
          </w:p>
        </w:tc>
      </w:tr>
      <w:tr w:rsidR="001F5DDF" w:rsidRPr="001F5DDF" w14:paraId="4851CCE5" w14:textId="77777777" w:rsidTr="00E469D4">
        <w:tc>
          <w:tcPr>
            <w:tcW w:w="7487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5BC65B8D" w14:textId="77777777" w:rsidR="00473264" w:rsidRPr="001F5DDF" w:rsidRDefault="00473264" w:rsidP="00EA3062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Upper airway colonization with highly pathogenic bacteria</w:t>
            </w:r>
          </w:p>
        </w:tc>
      </w:tr>
      <w:tr w:rsidR="001F5DDF" w:rsidRPr="001F5DDF" w14:paraId="5082093F" w14:textId="77777777" w:rsidTr="00E469D4"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052E45B0" w14:textId="77777777" w:rsidR="00473264" w:rsidRPr="001F5DDF" w:rsidRDefault="00473264" w:rsidP="00EA3062">
            <w:pPr>
              <w:ind w:left="708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Week 1/2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3428E8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-1.85603       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7B12406B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1.31337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063E378B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-1.413</w:t>
            </w:r>
          </w:p>
        </w:tc>
      </w:tr>
      <w:tr w:rsidR="001F5DDF" w:rsidRPr="001F5DDF" w14:paraId="239F619B" w14:textId="77777777" w:rsidTr="00E469D4"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27A99B6B" w14:textId="77777777" w:rsidR="00473264" w:rsidRPr="001F5DDF" w:rsidRDefault="00473264" w:rsidP="00EA3062">
            <w:pPr>
              <w:ind w:left="708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Week 2/3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BC1012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-1.25857       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9C13EDB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0.72737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59539DD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-1.730</w:t>
            </w:r>
          </w:p>
        </w:tc>
      </w:tr>
      <w:tr w:rsidR="001F5DDF" w:rsidRPr="001F5DDF" w14:paraId="5A0454CD" w14:textId="77777777" w:rsidTr="00E469D4"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34704982" w14:textId="77777777" w:rsidR="00473264" w:rsidRPr="001F5DDF" w:rsidRDefault="00473264" w:rsidP="00EA3062">
            <w:pPr>
              <w:ind w:left="708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Week 3/4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C0BDAB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0.94484            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473920DD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0.76350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5AE8CA8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1.238</w:t>
            </w:r>
          </w:p>
        </w:tc>
      </w:tr>
      <w:tr w:rsidR="001F5DDF" w:rsidRPr="001F5DDF" w14:paraId="617593BA" w14:textId="77777777" w:rsidTr="00E469D4"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73362512" w14:textId="77777777" w:rsidR="00473264" w:rsidRPr="001F5DDF" w:rsidRDefault="00473264" w:rsidP="00EA3062">
            <w:pPr>
              <w:ind w:left="708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Week 4/5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391341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0.10137        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4BA49E39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0.85418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0556C30F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0.119</w:t>
            </w:r>
          </w:p>
        </w:tc>
      </w:tr>
      <w:tr w:rsidR="001F5DDF" w:rsidRPr="001F5DDF" w14:paraId="274EC5AC" w14:textId="77777777" w:rsidTr="00E469D4">
        <w:trPr>
          <w:trHeight w:val="98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76B13C21" w14:textId="77777777" w:rsidR="00473264" w:rsidRPr="001F5DDF" w:rsidRDefault="00473264" w:rsidP="00EA3062">
            <w:pPr>
              <w:ind w:left="708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Week 5/6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5CBDF8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0.31867         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68F08FDC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0.92358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FCBD0AC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0.345</w:t>
            </w:r>
          </w:p>
        </w:tc>
      </w:tr>
      <w:tr w:rsidR="001F5DDF" w:rsidRPr="001F5DDF" w14:paraId="152EC7FB" w14:textId="77777777" w:rsidTr="00E469D4">
        <w:tc>
          <w:tcPr>
            <w:tcW w:w="222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4021B99" w14:textId="77777777" w:rsidR="00473264" w:rsidRPr="001F5DDF" w:rsidRDefault="00473264" w:rsidP="00EA3062">
            <w:pPr>
              <w:ind w:left="708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/>
                <w:color w:val="000000" w:themeColor="text1"/>
                <w:lang w:val="en-US"/>
              </w:rPr>
              <w:t>Week 6/&gt;6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FE97454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 xml:space="preserve">0.48233        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A2099C0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1.03337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FB72F6B" w14:textId="77777777" w:rsidR="00473264" w:rsidRPr="001F5DDF" w:rsidRDefault="00473264" w:rsidP="00EA306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1F5DDF">
              <w:rPr>
                <w:rFonts w:ascii="Arial" w:hAnsi="Arial" w:cs="Arial"/>
                <w:bCs/>
                <w:color w:val="000000" w:themeColor="text1"/>
                <w:lang w:val="en-US"/>
              </w:rPr>
              <w:t>0.467</w:t>
            </w:r>
          </w:p>
        </w:tc>
      </w:tr>
    </w:tbl>
    <w:p w14:paraId="6BA4F7C9" w14:textId="6D9B9874" w:rsidR="00135BE2" w:rsidRPr="001F5DDF" w:rsidRDefault="00D95C56" w:rsidP="00135BE2">
      <w:pPr>
        <w:jc w:val="both"/>
        <w:rPr>
          <w:rFonts w:ascii="Arial" w:hAnsi="Arial"/>
          <w:color w:val="000000" w:themeColor="text1"/>
          <w:lang w:val="en-US"/>
        </w:rPr>
      </w:pPr>
      <w:r w:rsidRPr="001F5DDF">
        <w:rPr>
          <w:rFonts w:ascii="Arial" w:hAnsi="Arial" w:cs="Arial"/>
          <w:color w:val="000000" w:themeColor="text1"/>
          <w:lang w:val="en-US"/>
        </w:rPr>
        <w:t xml:space="preserve">The severity of bronchopulmonary dysplasia (BPD) was separated into no/mild BPD (0) and moderate/severe BPD (1) as the binary response. Covariates in the logit model were birth weight, sex (1: male, 0: female), multiple births (yes/no), amniotic infection syndrome (AIS), antenatal steroids (ANS), and duration (days) of antibiotic therapy during the first six weeks of life. AIC-based, backward selection was run on the Giessen cohort, but (potential) risk factors multiple births, ANS, AIS, and upper airway colonization with </w:t>
      </w:r>
      <w:r w:rsidR="00EA3062" w:rsidRPr="001F5DDF">
        <w:rPr>
          <w:rFonts w:ascii="Arial" w:hAnsi="Arial" w:cs="Arial"/>
          <w:color w:val="000000" w:themeColor="text1"/>
          <w:lang w:val="en-US"/>
        </w:rPr>
        <w:t xml:space="preserve">highly </w:t>
      </w:r>
      <w:r w:rsidRPr="001F5DDF">
        <w:rPr>
          <w:rFonts w:ascii="Arial" w:hAnsi="Arial" w:cs="Arial"/>
          <w:color w:val="000000" w:themeColor="text1"/>
          <w:lang w:val="en-US"/>
        </w:rPr>
        <w:t xml:space="preserve">pathogenic bacteria were added manually. Week x/y gives the contrast between weeks x and y. </w:t>
      </w:r>
      <w:r w:rsidR="00135BE2" w:rsidRPr="001F5DDF">
        <w:rPr>
          <w:rFonts w:ascii="Arial" w:hAnsi="Arial"/>
          <w:color w:val="000000" w:themeColor="text1"/>
          <w:lang w:val="en-US"/>
        </w:rPr>
        <w:t xml:space="preserve">P-value </w:t>
      </w:r>
      <w:r w:rsidR="008D3602" w:rsidRPr="001F5DDF">
        <w:rPr>
          <w:rFonts w:ascii="Arial" w:hAnsi="Arial"/>
          <w:color w:val="000000" w:themeColor="text1"/>
          <w:lang w:val="en-US"/>
        </w:rPr>
        <w:t>an</w:t>
      </w:r>
      <w:r w:rsidR="00135BE2" w:rsidRPr="001F5DDF">
        <w:rPr>
          <w:rFonts w:ascii="Arial" w:hAnsi="Arial"/>
          <w:color w:val="000000" w:themeColor="text1"/>
          <w:lang w:val="en-US"/>
        </w:rPr>
        <w:t>notation: * &lt; 0.</w:t>
      </w:r>
      <w:r w:rsidR="00781E57" w:rsidRPr="001F5DDF">
        <w:rPr>
          <w:rFonts w:ascii="Arial" w:hAnsi="Arial"/>
          <w:color w:val="000000" w:themeColor="text1"/>
          <w:lang w:val="en-US"/>
        </w:rPr>
        <w:t>0</w:t>
      </w:r>
      <w:r w:rsidR="00135BE2" w:rsidRPr="001F5DDF">
        <w:rPr>
          <w:rFonts w:ascii="Arial" w:hAnsi="Arial"/>
          <w:color w:val="000000" w:themeColor="text1"/>
          <w:lang w:val="en-US"/>
        </w:rPr>
        <w:t>5, ** &lt;</w:t>
      </w:r>
      <w:r w:rsidR="00D55F5F" w:rsidRPr="001F5DDF">
        <w:rPr>
          <w:rFonts w:ascii="Arial" w:hAnsi="Arial"/>
          <w:color w:val="000000" w:themeColor="text1"/>
          <w:lang w:val="en-US"/>
        </w:rPr>
        <w:t xml:space="preserve"> </w:t>
      </w:r>
      <w:r w:rsidR="00135BE2" w:rsidRPr="001F5DDF">
        <w:rPr>
          <w:rFonts w:ascii="Arial" w:hAnsi="Arial"/>
          <w:color w:val="000000" w:themeColor="text1"/>
          <w:lang w:val="en-US"/>
        </w:rPr>
        <w:t xml:space="preserve">0.01, </w:t>
      </w:r>
      <w:r w:rsidR="00135BE2" w:rsidRPr="001F5DDF">
        <w:rPr>
          <w:rFonts w:ascii="Arial" w:hAnsi="Arial"/>
          <w:bCs/>
          <w:color w:val="000000" w:themeColor="text1"/>
          <w:vertAlign w:val="superscript"/>
          <w:lang w:val="en-US"/>
        </w:rPr>
        <w:t>†</w:t>
      </w:r>
      <w:r w:rsidR="00135BE2" w:rsidRPr="001F5DDF">
        <w:rPr>
          <w:rFonts w:ascii="Arial" w:hAnsi="Arial"/>
          <w:bCs/>
          <w:color w:val="000000" w:themeColor="text1"/>
          <w:lang w:val="en-US"/>
        </w:rPr>
        <w:t xml:space="preserve"> &lt; 0.001.</w:t>
      </w:r>
    </w:p>
    <w:p w14:paraId="3EBA9C8F" w14:textId="32C2DA5F" w:rsidR="00D95C56" w:rsidRPr="001F5DDF" w:rsidRDefault="00D95C56" w:rsidP="00D95C5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en-US"/>
        </w:rPr>
      </w:pPr>
    </w:p>
    <w:p w14:paraId="60411E88" w14:textId="2DD5E3F0" w:rsidR="00D95C56" w:rsidRPr="001F5DDF" w:rsidRDefault="00D95C56">
      <w:pPr>
        <w:rPr>
          <w:b/>
          <w:bCs/>
          <w:color w:val="000000" w:themeColor="text1"/>
          <w:lang w:val="en-US"/>
        </w:rPr>
      </w:pPr>
      <w:r w:rsidRPr="001F5DDF">
        <w:rPr>
          <w:b/>
          <w:bCs/>
          <w:color w:val="000000" w:themeColor="text1"/>
          <w:lang w:val="en-US"/>
        </w:rPr>
        <w:br w:type="page"/>
      </w:r>
    </w:p>
    <w:p w14:paraId="7881FDD2" w14:textId="78C2D19C" w:rsidR="00D95C56" w:rsidRPr="001F5DDF" w:rsidRDefault="00D95C56" w:rsidP="00D95C56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1F5DDF">
        <w:rPr>
          <w:rFonts w:ascii="Arial" w:hAnsi="Arial" w:cs="Arial"/>
          <w:b/>
          <w:bCs/>
          <w:color w:val="000000" w:themeColor="text1"/>
          <w:lang w:val="en-US"/>
        </w:rPr>
        <w:lastRenderedPageBreak/>
        <w:t>Table S</w:t>
      </w:r>
      <w:r w:rsidR="00570601" w:rsidRPr="001F5DDF">
        <w:rPr>
          <w:rFonts w:ascii="Arial" w:hAnsi="Arial" w:cs="Arial"/>
          <w:b/>
          <w:bCs/>
          <w:color w:val="000000" w:themeColor="text1"/>
          <w:lang w:val="en-US"/>
        </w:rPr>
        <w:t>2</w:t>
      </w:r>
      <w:r w:rsidRPr="001F5DDF">
        <w:rPr>
          <w:rFonts w:ascii="Arial" w:hAnsi="Arial" w:cs="Arial"/>
          <w:b/>
          <w:bCs/>
          <w:color w:val="000000" w:themeColor="text1"/>
          <w:lang w:val="en-US"/>
        </w:rPr>
        <w:t xml:space="preserve">. Generalized (logit) additive model of the risks for moderate/severe BPD for infants with a birth weight </w:t>
      </w:r>
      <w:r w:rsidR="002678F6" w:rsidRPr="001F5DDF">
        <w:rPr>
          <w:rFonts w:ascii="Arial" w:hAnsi="Arial" w:cs="Arial"/>
          <w:b/>
          <w:bCs/>
          <w:color w:val="000000" w:themeColor="text1"/>
          <w:lang w:val="en-US"/>
        </w:rPr>
        <w:t>&lt;800</w:t>
      </w:r>
      <w:r w:rsidRPr="001F5DDF">
        <w:rPr>
          <w:rFonts w:ascii="Arial" w:hAnsi="Arial" w:cs="Arial"/>
          <w:b/>
          <w:bCs/>
          <w:color w:val="000000" w:themeColor="text1"/>
          <w:lang w:val="en-US"/>
        </w:rPr>
        <w:t>g</w:t>
      </w:r>
    </w:p>
    <w:tbl>
      <w:tblPr>
        <w:tblStyle w:val="EinfacheTabelle2"/>
        <w:tblW w:w="8132" w:type="dxa"/>
        <w:tblLook w:val="04A0" w:firstRow="1" w:lastRow="0" w:firstColumn="1" w:lastColumn="0" w:noHBand="0" w:noVBand="1"/>
      </w:tblPr>
      <w:tblGrid>
        <w:gridCol w:w="1647"/>
        <w:gridCol w:w="1134"/>
        <w:gridCol w:w="1170"/>
        <w:gridCol w:w="4181"/>
      </w:tblGrid>
      <w:tr w:rsidR="001F5DDF" w:rsidRPr="001F5DDF" w14:paraId="6DF87002" w14:textId="77777777" w:rsidTr="00E46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4"/>
            <w:noWrap/>
          </w:tcPr>
          <w:p w14:paraId="2DF36863" w14:textId="77777777" w:rsidR="00D95C56" w:rsidRPr="001F5DDF" w:rsidRDefault="00D95C56" w:rsidP="00EA3062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de-DE"/>
              </w:rPr>
              <w:t>Parametric coefficients</w:t>
            </w:r>
          </w:p>
        </w:tc>
      </w:tr>
      <w:tr w:rsidR="001F5DDF" w:rsidRPr="001F5DDF" w14:paraId="33525B81" w14:textId="77777777" w:rsidTr="00E46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EEDF8F5" w14:textId="77777777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dxa"/>
            <w:noWrap/>
            <w:hideMark/>
          </w:tcPr>
          <w:p w14:paraId="3A74AEFD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Estimate</w:t>
            </w:r>
          </w:p>
        </w:tc>
        <w:tc>
          <w:tcPr>
            <w:tcW w:w="0" w:type="dxa"/>
            <w:noWrap/>
            <w:hideMark/>
          </w:tcPr>
          <w:p w14:paraId="2969ED9D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de-DE"/>
              </w:rPr>
              <w:t>Standard error</w:t>
            </w:r>
          </w:p>
        </w:tc>
        <w:tc>
          <w:tcPr>
            <w:tcW w:w="0" w:type="dxa"/>
            <w:noWrap/>
            <w:hideMark/>
          </w:tcPr>
          <w:p w14:paraId="5FCD615F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z-Value</w:t>
            </w:r>
          </w:p>
        </w:tc>
      </w:tr>
      <w:tr w:rsidR="001F5DDF" w:rsidRPr="001F5DDF" w14:paraId="6D4FE268" w14:textId="77777777" w:rsidTr="00E469D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98D2AAB" w14:textId="77777777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(intercept)</w:t>
            </w:r>
          </w:p>
        </w:tc>
        <w:tc>
          <w:tcPr>
            <w:tcW w:w="0" w:type="dxa"/>
            <w:noWrap/>
          </w:tcPr>
          <w:p w14:paraId="37AAD4E9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0.4874</w:t>
            </w:r>
          </w:p>
        </w:tc>
        <w:tc>
          <w:tcPr>
            <w:tcW w:w="0" w:type="dxa"/>
            <w:noWrap/>
          </w:tcPr>
          <w:p w14:paraId="2FB6D2FA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0.3605</w:t>
            </w:r>
          </w:p>
        </w:tc>
        <w:tc>
          <w:tcPr>
            <w:tcW w:w="0" w:type="dxa"/>
            <w:noWrap/>
          </w:tcPr>
          <w:p w14:paraId="13C87C9E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1.352</w:t>
            </w:r>
          </w:p>
        </w:tc>
      </w:tr>
      <w:tr w:rsidR="001F5DDF" w:rsidRPr="001F5DDF" w14:paraId="3A908326" w14:textId="77777777" w:rsidTr="00E46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2CADA798" w14:textId="762036FC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Frankfurt site</w:t>
            </w:r>
            <w:r w:rsidRPr="001F5DDF">
              <w:rPr>
                <w:rFonts w:ascii="Arial" w:hAnsi="Arial"/>
                <w:color w:val="000000" w:themeColor="text1"/>
                <w:sz w:val="24"/>
                <w:vertAlign w:val="superscript"/>
                <w:lang w:val="en-US"/>
              </w:rPr>
              <w:t>†</w:t>
            </w:r>
          </w:p>
        </w:tc>
        <w:tc>
          <w:tcPr>
            <w:tcW w:w="0" w:type="dxa"/>
            <w:noWrap/>
          </w:tcPr>
          <w:p w14:paraId="1D0336C8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-2.1491</w:t>
            </w:r>
          </w:p>
        </w:tc>
        <w:tc>
          <w:tcPr>
            <w:tcW w:w="0" w:type="dxa"/>
            <w:noWrap/>
          </w:tcPr>
          <w:p w14:paraId="1F5951DA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0.6352</w:t>
            </w:r>
          </w:p>
        </w:tc>
        <w:tc>
          <w:tcPr>
            <w:tcW w:w="0" w:type="dxa"/>
            <w:noWrap/>
          </w:tcPr>
          <w:p w14:paraId="40A5DEB4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-3.383</w:t>
            </w:r>
          </w:p>
        </w:tc>
      </w:tr>
      <w:tr w:rsidR="001F5DDF" w:rsidRPr="001F5DDF" w14:paraId="4920FC3F" w14:textId="77777777" w:rsidTr="00E46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5042976" w14:textId="77777777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Sex (male)</w:t>
            </w:r>
          </w:p>
        </w:tc>
        <w:tc>
          <w:tcPr>
            <w:tcW w:w="0" w:type="dxa"/>
            <w:noWrap/>
          </w:tcPr>
          <w:p w14:paraId="1BB779D9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0.5091</w:t>
            </w:r>
          </w:p>
        </w:tc>
        <w:tc>
          <w:tcPr>
            <w:tcW w:w="0" w:type="dxa"/>
            <w:noWrap/>
          </w:tcPr>
          <w:p w14:paraId="68CA3579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0.4644</w:t>
            </w:r>
          </w:p>
        </w:tc>
        <w:tc>
          <w:tcPr>
            <w:tcW w:w="0" w:type="dxa"/>
            <w:noWrap/>
          </w:tcPr>
          <w:p w14:paraId="30725347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1,096</w:t>
            </w:r>
          </w:p>
        </w:tc>
      </w:tr>
      <w:tr w:rsidR="001F5DDF" w:rsidRPr="001F5DDF" w14:paraId="080A67F2" w14:textId="77777777" w:rsidTr="00E46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2" w:type="dxa"/>
            <w:gridSpan w:val="4"/>
            <w:noWrap/>
          </w:tcPr>
          <w:p w14:paraId="2A0A39EB" w14:textId="77777777" w:rsidR="00473264" w:rsidRPr="001F5DDF" w:rsidRDefault="00473264" w:rsidP="00EA3062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de-DE"/>
              </w:rPr>
              <w:t>Approximate significance of smooth terms</w:t>
            </w:r>
          </w:p>
        </w:tc>
      </w:tr>
      <w:tr w:rsidR="001F5DDF" w:rsidRPr="001F5DDF" w14:paraId="08802C5B" w14:textId="77777777" w:rsidTr="00E46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124275CD" w14:textId="77777777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dxa"/>
            <w:noWrap/>
          </w:tcPr>
          <w:p w14:paraId="1AADE682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proofErr w:type="spellStart"/>
            <w:r w:rsidRPr="001F5DDF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de-DE"/>
              </w:rPr>
              <w:t>edf</w:t>
            </w:r>
            <w:proofErr w:type="spellEnd"/>
          </w:p>
        </w:tc>
        <w:tc>
          <w:tcPr>
            <w:tcW w:w="0" w:type="dxa"/>
            <w:noWrap/>
          </w:tcPr>
          <w:p w14:paraId="1C70C313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proofErr w:type="spellStart"/>
            <w:r w:rsidRPr="001F5DDF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de-DE"/>
              </w:rPr>
              <w:t>Ref.df</w:t>
            </w:r>
            <w:proofErr w:type="spellEnd"/>
          </w:p>
        </w:tc>
        <w:tc>
          <w:tcPr>
            <w:tcW w:w="0" w:type="dxa"/>
            <w:noWrap/>
          </w:tcPr>
          <w:p w14:paraId="2CF86C12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proofErr w:type="spellStart"/>
            <w:r w:rsidRPr="001F5DDF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de-DE"/>
              </w:rPr>
              <w:t>Chi.sq</w:t>
            </w:r>
            <w:proofErr w:type="spellEnd"/>
          </w:p>
        </w:tc>
      </w:tr>
      <w:tr w:rsidR="001F5DDF" w:rsidRPr="001F5DDF" w14:paraId="1FEC3CFB" w14:textId="77777777" w:rsidTr="00E46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38324C04" w14:textId="3360F258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Birth weight**</w:t>
            </w:r>
          </w:p>
        </w:tc>
        <w:tc>
          <w:tcPr>
            <w:tcW w:w="0" w:type="dxa"/>
            <w:noWrap/>
          </w:tcPr>
          <w:p w14:paraId="7C9B0EB0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1.975</w:t>
            </w:r>
          </w:p>
        </w:tc>
        <w:tc>
          <w:tcPr>
            <w:tcW w:w="0" w:type="dxa"/>
            <w:noWrap/>
          </w:tcPr>
          <w:p w14:paraId="638F82F3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2.501</w:t>
            </w:r>
          </w:p>
        </w:tc>
        <w:tc>
          <w:tcPr>
            <w:tcW w:w="0" w:type="dxa"/>
            <w:noWrap/>
          </w:tcPr>
          <w:p w14:paraId="139F9EA3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13.097</w:t>
            </w:r>
          </w:p>
        </w:tc>
      </w:tr>
      <w:tr w:rsidR="001F5DDF" w:rsidRPr="001F5DDF" w14:paraId="68143C74" w14:textId="77777777" w:rsidTr="00E46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44EC1A43" w14:textId="0C57A6B1" w:rsidR="00473264" w:rsidRPr="001F5DDF" w:rsidRDefault="00B22DAD" w:rsidP="00EA3062">
            <w:pP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Duration of a</w:t>
            </w:r>
            <w:r w:rsidR="00473264"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ntibiotic therapy*</w:t>
            </w:r>
          </w:p>
        </w:tc>
        <w:tc>
          <w:tcPr>
            <w:tcW w:w="0" w:type="dxa"/>
            <w:noWrap/>
          </w:tcPr>
          <w:p w14:paraId="30B85535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1.000</w:t>
            </w:r>
          </w:p>
        </w:tc>
        <w:tc>
          <w:tcPr>
            <w:tcW w:w="0" w:type="dxa"/>
            <w:noWrap/>
          </w:tcPr>
          <w:p w14:paraId="2AA99611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1.000</w:t>
            </w:r>
          </w:p>
        </w:tc>
        <w:tc>
          <w:tcPr>
            <w:tcW w:w="0" w:type="dxa"/>
            <w:noWrap/>
          </w:tcPr>
          <w:p w14:paraId="46EECC6A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5.801</w:t>
            </w:r>
          </w:p>
        </w:tc>
      </w:tr>
      <w:tr w:rsidR="001F5DDF" w:rsidRPr="001F5DDF" w14:paraId="61C0C89F" w14:textId="77777777" w:rsidTr="00E46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6B601FCE" w14:textId="26012561" w:rsidR="00473264" w:rsidRPr="001F5DDF" w:rsidRDefault="00473264" w:rsidP="00EA3062">
            <w:pP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 xml:space="preserve">Upper airway colonization with bacteria with </w:t>
            </w:r>
            <w:r w:rsidR="00C75C05"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facultative</w:t>
            </w: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 xml:space="preserve"> pathogenicity</w:t>
            </w:r>
          </w:p>
        </w:tc>
        <w:tc>
          <w:tcPr>
            <w:tcW w:w="0" w:type="dxa"/>
            <w:noWrap/>
          </w:tcPr>
          <w:p w14:paraId="61B110BA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1.000</w:t>
            </w:r>
          </w:p>
        </w:tc>
        <w:tc>
          <w:tcPr>
            <w:tcW w:w="0" w:type="dxa"/>
            <w:noWrap/>
          </w:tcPr>
          <w:p w14:paraId="60DBA92D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1.000</w:t>
            </w:r>
          </w:p>
        </w:tc>
        <w:tc>
          <w:tcPr>
            <w:tcW w:w="0" w:type="dxa"/>
            <w:noWrap/>
          </w:tcPr>
          <w:p w14:paraId="65F61BFB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3.647</w:t>
            </w:r>
          </w:p>
        </w:tc>
      </w:tr>
    </w:tbl>
    <w:p w14:paraId="0FAB787E" w14:textId="5BC9F3D2" w:rsidR="00135BE2" w:rsidRPr="001F5DDF" w:rsidRDefault="00D95C56" w:rsidP="00135BE2">
      <w:pPr>
        <w:jc w:val="both"/>
        <w:rPr>
          <w:rFonts w:ascii="Arial" w:hAnsi="Arial"/>
          <w:color w:val="000000" w:themeColor="text1"/>
          <w:lang w:val="en-US"/>
        </w:rPr>
      </w:pPr>
      <w:r w:rsidRPr="001F5DDF">
        <w:rPr>
          <w:rFonts w:ascii="Arial" w:hAnsi="Arial" w:cs="Arial"/>
          <w:color w:val="000000" w:themeColor="text1"/>
          <w:lang w:val="en-US"/>
        </w:rPr>
        <w:t xml:space="preserve">The model from Table </w:t>
      </w:r>
      <w:r w:rsidR="00E60245" w:rsidRPr="001F5DDF">
        <w:rPr>
          <w:rFonts w:ascii="Arial" w:hAnsi="Arial" w:cs="Arial"/>
          <w:color w:val="000000" w:themeColor="text1"/>
          <w:lang w:val="en-US"/>
        </w:rPr>
        <w:t>3</w:t>
      </w:r>
      <w:r w:rsidRPr="001F5DDF">
        <w:rPr>
          <w:rFonts w:ascii="Arial" w:hAnsi="Arial" w:cs="Arial"/>
          <w:color w:val="000000" w:themeColor="text1"/>
          <w:lang w:val="en-US"/>
        </w:rPr>
        <w:t xml:space="preserve"> was restricted to infants with a birth weight </w:t>
      </w:r>
      <w:r w:rsidR="002678F6" w:rsidRPr="001F5DDF">
        <w:rPr>
          <w:rFonts w:ascii="Arial" w:hAnsi="Arial" w:cs="Arial"/>
          <w:color w:val="000000" w:themeColor="text1"/>
          <w:lang w:val="en-US"/>
        </w:rPr>
        <w:t>&lt;800</w:t>
      </w:r>
      <w:r w:rsidRPr="001F5DDF">
        <w:rPr>
          <w:rFonts w:ascii="Arial" w:hAnsi="Arial" w:cs="Arial"/>
          <w:color w:val="000000" w:themeColor="text1"/>
          <w:lang w:val="en-US"/>
        </w:rPr>
        <w:t xml:space="preserve">g and risk factors </w:t>
      </w:r>
      <w:r w:rsidR="00CD4696" w:rsidRPr="001F5DDF">
        <w:rPr>
          <w:rFonts w:ascii="Arial" w:hAnsi="Arial" w:cs="Arial"/>
          <w:color w:val="000000" w:themeColor="text1"/>
          <w:lang w:val="en-US"/>
        </w:rPr>
        <w:t>center</w:t>
      </w:r>
      <w:r w:rsidRPr="001F5DDF">
        <w:rPr>
          <w:rFonts w:ascii="Arial" w:hAnsi="Arial" w:cs="Arial"/>
          <w:color w:val="000000" w:themeColor="text1"/>
          <w:lang w:val="en-US"/>
        </w:rPr>
        <w:t xml:space="preserve"> and sex. (Additional) smooth terms were included for birth weight, </w:t>
      </w:r>
      <w:r w:rsidR="00E60245" w:rsidRPr="001F5DDF">
        <w:rPr>
          <w:rFonts w:ascii="Arial" w:hAnsi="Arial" w:cs="Arial"/>
          <w:color w:val="000000" w:themeColor="text1"/>
          <w:lang w:val="en-US"/>
        </w:rPr>
        <w:t xml:space="preserve">duration of </w:t>
      </w:r>
      <w:r w:rsidRPr="001F5DDF">
        <w:rPr>
          <w:rFonts w:ascii="Arial" w:hAnsi="Arial" w:cs="Arial"/>
          <w:color w:val="000000" w:themeColor="text1"/>
          <w:lang w:val="en-US"/>
        </w:rPr>
        <w:t xml:space="preserve">antibiotic therapy, and upper airway colonization with bacteria </w:t>
      </w:r>
      <w:r w:rsidR="00EA3062" w:rsidRPr="001F5DDF">
        <w:rPr>
          <w:rFonts w:ascii="Arial" w:hAnsi="Arial" w:cs="Arial"/>
          <w:color w:val="000000" w:themeColor="text1"/>
          <w:lang w:val="en-US"/>
        </w:rPr>
        <w:t xml:space="preserve">with </w:t>
      </w:r>
      <w:r w:rsidR="00C75C05" w:rsidRPr="001F5DDF">
        <w:rPr>
          <w:rFonts w:ascii="Arial" w:hAnsi="Arial" w:cs="Arial"/>
          <w:color w:val="000000" w:themeColor="text1"/>
          <w:lang w:val="en-US"/>
        </w:rPr>
        <w:t>facultative</w:t>
      </w:r>
      <w:r w:rsidR="00C75C05" w:rsidRPr="001F5DD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F5DDF">
        <w:rPr>
          <w:rFonts w:ascii="Arial" w:hAnsi="Arial" w:cs="Arial"/>
          <w:color w:val="000000" w:themeColor="text1"/>
          <w:lang w:val="en-US"/>
        </w:rPr>
        <w:t xml:space="preserve">pathogenicity. </w:t>
      </w:r>
      <w:r w:rsidR="00135BE2" w:rsidRPr="001F5DDF">
        <w:rPr>
          <w:rFonts w:ascii="Arial" w:hAnsi="Arial"/>
          <w:color w:val="000000" w:themeColor="text1"/>
          <w:lang w:val="en-US"/>
        </w:rPr>
        <w:t xml:space="preserve">P-value </w:t>
      </w:r>
      <w:r w:rsidR="008D3602" w:rsidRPr="001F5DDF">
        <w:rPr>
          <w:rFonts w:ascii="Arial" w:hAnsi="Arial"/>
          <w:color w:val="000000" w:themeColor="text1"/>
          <w:lang w:val="en-US"/>
        </w:rPr>
        <w:t>an</w:t>
      </w:r>
      <w:r w:rsidR="00135BE2" w:rsidRPr="001F5DDF">
        <w:rPr>
          <w:rFonts w:ascii="Arial" w:hAnsi="Arial"/>
          <w:color w:val="000000" w:themeColor="text1"/>
          <w:lang w:val="en-US"/>
        </w:rPr>
        <w:t>notation: * &lt; 0.</w:t>
      </w:r>
      <w:r w:rsidR="00781E57" w:rsidRPr="001F5DDF">
        <w:rPr>
          <w:rFonts w:ascii="Arial" w:hAnsi="Arial"/>
          <w:color w:val="000000" w:themeColor="text1"/>
          <w:lang w:val="en-US"/>
        </w:rPr>
        <w:t>0</w:t>
      </w:r>
      <w:r w:rsidR="00135BE2" w:rsidRPr="001F5DDF">
        <w:rPr>
          <w:rFonts w:ascii="Arial" w:hAnsi="Arial"/>
          <w:color w:val="000000" w:themeColor="text1"/>
          <w:lang w:val="en-US"/>
        </w:rPr>
        <w:t>5, ** &lt;</w:t>
      </w:r>
      <w:r w:rsidR="00D55F5F" w:rsidRPr="001F5DDF">
        <w:rPr>
          <w:rFonts w:ascii="Arial" w:hAnsi="Arial"/>
          <w:color w:val="000000" w:themeColor="text1"/>
          <w:lang w:val="en-US"/>
        </w:rPr>
        <w:t xml:space="preserve"> </w:t>
      </w:r>
      <w:r w:rsidR="00135BE2" w:rsidRPr="001F5DDF">
        <w:rPr>
          <w:rFonts w:ascii="Arial" w:hAnsi="Arial"/>
          <w:color w:val="000000" w:themeColor="text1"/>
          <w:lang w:val="en-US"/>
        </w:rPr>
        <w:t xml:space="preserve">0.01, </w:t>
      </w:r>
      <w:r w:rsidR="00135BE2" w:rsidRPr="001F5DDF">
        <w:rPr>
          <w:rFonts w:ascii="Arial" w:hAnsi="Arial"/>
          <w:bCs/>
          <w:color w:val="000000" w:themeColor="text1"/>
          <w:vertAlign w:val="superscript"/>
          <w:lang w:val="en-US"/>
        </w:rPr>
        <w:t>†</w:t>
      </w:r>
      <w:r w:rsidR="00135BE2" w:rsidRPr="001F5DDF">
        <w:rPr>
          <w:rFonts w:ascii="Arial" w:hAnsi="Arial"/>
          <w:bCs/>
          <w:color w:val="000000" w:themeColor="text1"/>
          <w:lang w:val="en-US"/>
        </w:rPr>
        <w:t xml:space="preserve"> &lt; 0.001.</w:t>
      </w:r>
      <w:r w:rsidR="00B22DAD" w:rsidRPr="001F5DDF">
        <w:rPr>
          <w:rFonts w:ascii="Arial" w:hAnsi="Arial"/>
          <w:bCs/>
          <w:color w:val="000000" w:themeColor="text1"/>
          <w:lang w:val="en-US"/>
        </w:rPr>
        <w:t xml:space="preserve"> Results show significance of smooth terms for birth weight and duration of antibiotic therapy but not for timepoint of upper airway colonization with facultatively-pathogenic bacteria. </w:t>
      </w:r>
      <w:r w:rsidR="00515722" w:rsidRPr="001F5DDF">
        <w:rPr>
          <w:rFonts w:ascii="Arial" w:hAnsi="Arial"/>
          <w:bCs/>
          <w:color w:val="000000" w:themeColor="text1"/>
          <w:lang w:val="en-US"/>
        </w:rPr>
        <w:t>Fitted smooth effects</w:t>
      </w:r>
      <w:r w:rsidR="00B22DAD" w:rsidRPr="001F5DDF">
        <w:rPr>
          <w:rFonts w:ascii="Arial" w:hAnsi="Arial"/>
          <w:bCs/>
          <w:color w:val="000000" w:themeColor="text1"/>
          <w:lang w:val="en-US"/>
        </w:rPr>
        <w:t xml:space="preserve"> are detailed in Figure 4a – c. </w:t>
      </w:r>
    </w:p>
    <w:p w14:paraId="3BDD70E0" w14:textId="403A4035" w:rsidR="00D95C56" w:rsidRPr="001F5DDF" w:rsidRDefault="00D95C56" w:rsidP="00D95C5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en-US"/>
        </w:rPr>
      </w:pPr>
    </w:p>
    <w:p w14:paraId="019627D0" w14:textId="2A97A02C" w:rsidR="00D95C56" w:rsidRPr="001F5DDF" w:rsidRDefault="00D95C56">
      <w:pPr>
        <w:rPr>
          <w:b/>
          <w:bCs/>
          <w:color w:val="000000" w:themeColor="text1"/>
          <w:lang w:val="en-US"/>
        </w:rPr>
      </w:pPr>
      <w:r w:rsidRPr="001F5DDF">
        <w:rPr>
          <w:b/>
          <w:bCs/>
          <w:color w:val="000000" w:themeColor="text1"/>
          <w:lang w:val="en-US"/>
        </w:rPr>
        <w:br w:type="page"/>
      </w:r>
    </w:p>
    <w:p w14:paraId="2FCA8D51" w14:textId="682BEA71" w:rsidR="00D95C56" w:rsidRPr="001F5DDF" w:rsidRDefault="00D95C56" w:rsidP="00D95C56">
      <w:pPr>
        <w:rPr>
          <w:rFonts w:ascii="Arial" w:hAnsi="Arial" w:cs="Arial"/>
          <w:color w:val="000000" w:themeColor="text1"/>
          <w:lang w:val="en-US"/>
        </w:rPr>
      </w:pPr>
      <w:r w:rsidRPr="001F5DDF">
        <w:rPr>
          <w:rFonts w:ascii="Arial" w:hAnsi="Arial" w:cs="Arial"/>
          <w:b/>
          <w:bCs/>
          <w:color w:val="000000" w:themeColor="text1"/>
          <w:lang w:val="en-US"/>
        </w:rPr>
        <w:lastRenderedPageBreak/>
        <w:t>Table S</w:t>
      </w:r>
      <w:r w:rsidR="00570601" w:rsidRPr="001F5DDF">
        <w:rPr>
          <w:rFonts w:ascii="Arial" w:hAnsi="Arial" w:cs="Arial"/>
          <w:b/>
          <w:bCs/>
          <w:color w:val="000000" w:themeColor="text1"/>
          <w:lang w:val="en-US"/>
        </w:rPr>
        <w:t>3</w:t>
      </w:r>
      <w:r w:rsidRPr="001F5DDF">
        <w:rPr>
          <w:rFonts w:ascii="Arial" w:hAnsi="Arial" w:cs="Arial"/>
          <w:b/>
          <w:bCs/>
          <w:color w:val="000000" w:themeColor="text1"/>
          <w:lang w:val="en-US"/>
        </w:rPr>
        <w:t xml:space="preserve">. Generalized (logit) additive model of the risks for moderate/severe BPD for infants with a birth weight </w:t>
      </w:r>
      <w:r w:rsidR="002678F6" w:rsidRPr="001F5DDF">
        <w:rPr>
          <w:rFonts w:ascii="Arial" w:hAnsi="Arial" w:cs="Arial"/>
          <w:b/>
          <w:bCs/>
          <w:color w:val="000000" w:themeColor="text1"/>
          <w:lang w:val="en-US"/>
        </w:rPr>
        <w:t>≥80</w:t>
      </w:r>
      <w:r w:rsidRPr="001F5DDF">
        <w:rPr>
          <w:rFonts w:ascii="Arial" w:hAnsi="Arial" w:cs="Arial"/>
          <w:b/>
          <w:bCs/>
          <w:color w:val="000000" w:themeColor="text1"/>
          <w:lang w:val="en-US"/>
        </w:rPr>
        <w:t>0g</w:t>
      </w:r>
    </w:p>
    <w:tbl>
      <w:tblPr>
        <w:tblStyle w:val="EinfacheTabelle2"/>
        <w:tblW w:w="8113" w:type="dxa"/>
        <w:tblLook w:val="04A0" w:firstRow="1" w:lastRow="0" w:firstColumn="1" w:lastColumn="0" w:noHBand="0" w:noVBand="1"/>
      </w:tblPr>
      <w:tblGrid>
        <w:gridCol w:w="1732"/>
        <w:gridCol w:w="3602"/>
        <w:gridCol w:w="1523"/>
        <w:gridCol w:w="1256"/>
      </w:tblGrid>
      <w:tr w:rsidR="001F5DDF" w:rsidRPr="001F5DDF" w14:paraId="68A4855C" w14:textId="77777777" w:rsidTr="00E46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3" w:type="dxa"/>
            <w:gridSpan w:val="4"/>
            <w:noWrap/>
          </w:tcPr>
          <w:p w14:paraId="089C20D7" w14:textId="77777777" w:rsidR="00D95C56" w:rsidRPr="001F5DDF" w:rsidRDefault="00D95C56" w:rsidP="00EA3062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de-DE"/>
              </w:rPr>
              <w:t>Parametric coefficients</w:t>
            </w:r>
          </w:p>
        </w:tc>
      </w:tr>
      <w:tr w:rsidR="001F5DDF" w:rsidRPr="001F5DDF" w14:paraId="6DFC6CF9" w14:textId="77777777" w:rsidTr="00E46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A9D0F8A" w14:textId="77777777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</w:p>
        </w:tc>
        <w:tc>
          <w:tcPr>
            <w:tcW w:w="1956" w:type="dxa"/>
            <w:noWrap/>
            <w:hideMark/>
          </w:tcPr>
          <w:p w14:paraId="4669D0F0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Estimate</w:t>
            </w:r>
          </w:p>
        </w:tc>
        <w:tc>
          <w:tcPr>
            <w:tcW w:w="1523" w:type="dxa"/>
            <w:noWrap/>
            <w:hideMark/>
          </w:tcPr>
          <w:p w14:paraId="64815CAE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de-DE"/>
              </w:rPr>
              <w:t>Standard error</w:t>
            </w:r>
          </w:p>
        </w:tc>
        <w:tc>
          <w:tcPr>
            <w:tcW w:w="0" w:type="dxa"/>
            <w:noWrap/>
            <w:hideMark/>
          </w:tcPr>
          <w:p w14:paraId="51CD62B7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z-Value</w:t>
            </w:r>
          </w:p>
        </w:tc>
      </w:tr>
      <w:tr w:rsidR="001F5DDF" w:rsidRPr="001F5DDF" w14:paraId="794860E3" w14:textId="77777777" w:rsidTr="00E469D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7ED8B04" w14:textId="03487004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(intercept)</w:t>
            </w:r>
            <w:r w:rsidRPr="001F5DDF">
              <w:rPr>
                <w:rFonts w:ascii="Arial" w:hAnsi="Arial"/>
                <w:color w:val="000000" w:themeColor="text1"/>
                <w:sz w:val="24"/>
                <w:vertAlign w:val="superscript"/>
                <w:lang w:val="en-US"/>
              </w:rPr>
              <w:t xml:space="preserve"> †</w:t>
            </w:r>
          </w:p>
        </w:tc>
        <w:tc>
          <w:tcPr>
            <w:tcW w:w="1956" w:type="dxa"/>
            <w:noWrap/>
          </w:tcPr>
          <w:p w14:paraId="3EFAC3FD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-3.3547</w:t>
            </w:r>
          </w:p>
        </w:tc>
        <w:tc>
          <w:tcPr>
            <w:tcW w:w="1523" w:type="dxa"/>
            <w:noWrap/>
          </w:tcPr>
          <w:p w14:paraId="353D88D8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0.8469</w:t>
            </w:r>
          </w:p>
        </w:tc>
        <w:tc>
          <w:tcPr>
            <w:tcW w:w="0" w:type="dxa"/>
            <w:noWrap/>
          </w:tcPr>
          <w:p w14:paraId="14B78855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-3.961</w:t>
            </w:r>
          </w:p>
        </w:tc>
      </w:tr>
      <w:tr w:rsidR="001F5DDF" w:rsidRPr="001F5DDF" w14:paraId="3D20FECE" w14:textId="77777777" w:rsidTr="00E46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68B9D441" w14:textId="714AF504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Frankfurt site*</w:t>
            </w:r>
          </w:p>
        </w:tc>
        <w:tc>
          <w:tcPr>
            <w:tcW w:w="1956" w:type="dxa"/>
            <w:noWrap/>
          </w:tcPr>
          <w:p w14:paraId="3C10C21E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-2.7271</w:t>
            </w:r>
          </w:p>
        </w:tc>
        <w:tc>
          <w:tcPr>
            <w:tcW w:w="1523" w:type="dxa"/>
            <w:noWrap/>
          </w:tcPr>
          <w:p w14:paraId="69F3C014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1.3491</w:t>
            </w:r>
          </w:p>
        </w:tc>
        <w:tc>
          <w:tcPr>
            <w:tcW w:w="0" w:type="dxa"/>
            <w:noWrap/>
          </w:tcPr>
          <w:p w14:paraId="471CAE89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-2.021</w:t>
            </w:r>
          </w:p>
        </w:tc>
      </w:tr>
      <w:tr w:rsidR="001F5DDF" w:rsidRPr="001F5DDF" w14:paraId="7F619C0B" w14:textId="77777777" w:rsidTr="00E46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5DBEB1F" w14:textId="41C74977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Sex (male)*</w:t>
            </w:r>
          </w:p>
        </w:tc>
        <w:tc>
          <w:tcPr>
            <w:tcW w:w="1956" w:type="dxa"/>
            <w:noWrap/>
          </w:tcPr>
          <w:p w14:paraId="50D7C646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1.9299</w:t>
            </w:r>
          </w:p>
        </w:tc>
        <w:tc>
          <w:tcPr>
            <w:tcW w:w="1523" w:type="dxa"/>
            <w:noWrap/>
          </w:tcPr>
          <w:p w14:paraId="00DE463F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0.9220</w:t>
            </w:r>
          </w:p>
        </w:tc>
        <w:tc>
          <w:tcPr>
            <w:tcW w:w="0" w:type="dxa"/>
            <w:noWrap/>
          </w:tcPr>
          <w:p w14:paraId="6A39980E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2.093</w:t>
            </w:r>
          </w:p>
        </w:tc>
      </w:tr>
      <w:tr w:rsidR="001F5DDF" w:rsidRPr="001F5DDF" w14:paraId="152D7104" w14:textId="77777777" w:rsidTr="00923E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12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1" w:type="dxa"/>
            <w:gridSpan w:val="2"/>
            <w:noWrap/>
          </w:tcPr>
          <w:p w14:paraId="75C16ED6" w14:textId="77777777" w:rsidR="00473264" w:rsidRPr="001F5DDF" w:rsidRDefault="00473264" w:rsidP="00EA3062">
            <w:pPr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i/>
                <w:iCs/>
                <w:color w:val="000000" w:themeColor="text1"/>
                <w:lang w:val="en-US" w:eastAsia="de-DE"/>
              </w:rPr>
              <w:t>Approximate significance of smooth terms</w:t>
            </w:r>
          </w:p>
        </w:tc>
      </w:tr>
      <w:tr w:rsidR="001F5DDF" w:rsidRPr="001F5DDF" w14:paraId="2441FD8B" w14:textId="77777777" w:rsidTr="00E46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0B556CE4" w14:textId="77777777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</w:p>
        </w:tc>
        <w:tc>
          <w:tcPr>
            <w:tcW w:w="1956" w:type="dxa"/>
            <w:noWrap/>
          </w:tcPr>
          <w:p w14:paraId="673F1069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proofErr w:type="spellStart"/>
            <w:r w:rsidRPr="001F5DDF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de-DE"/>
              </w:rPr>
              <w:t>edf</w:t>
            </w:r>
            <w:proofErr w:type="spellEnd"/>
          </w:p>
        </w:tc>
        <w:tc>
          <w:tcPr>
            <w:tcW w:w="1523" w:type="dxa"/>
            <w:noWrap/>
          </w:tcPr>
          <w:p w14:paraId="79658513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proofErr w:type="spellStart"/>
            <w:r w:rsidRPr="001F5DDF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de-DE"/>
              </w:rPr>
              <w:t>Ref.df</w:t>
            </w:r>
            <w:proofErr w:type="spellEnd"/>
          </w:p>
        </w:tc>
        <w:tc>
          <w:tcPr>
            <w:tcW w:w="0" w:type="dxa"/>
            <w:noWrap/>
          </w:tcPr>
          <w:p w14:paraId="46AF308C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 w:eastAsia="de-DE"/>
              </w:rPr>
            </w:pPr>
            <w:proofErr w:type="spellStart"/>
            <w:r w:rsidRPr="001F5DDF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de-DE"/>
              </w:rPr>
              <w:t>Chi.sq</w:t>
            </w:r>
            <w:proofErr w:type="spellEnd"/>
          </w:p>
        </w:tc>
      </w:tr>
      <w:tr w:rsidR="001F5DDF" w:rsidRPr="001F5DDF" w14:paraId="1062E6F2" w14:textId="77777777" w:rsidTr="00E46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12A88176" w14:textId="77777777" w:rsidR="00473264" w:rsidRPr="001F5DDF" w:rsidRDefault="00473264" w:rsidP="00EA3062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Birth weight</w:t>
            </w:r>
          </w:p>
        </w:tc>
        <w:tc>
          <w:tcPr>
            <w:tcW w:w="1956" w:type="dxa"/>
            <w:noWrap/>
          </w:tcPr>
          <w:p w14:paraId="657B35AD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1.000</w:t>
            </w:r>
          </w:p>
        </w:tc>
        <w:tc>
          <w:tcPr>
            <w:tcW w:w="1523" w:type="dxa"/>
            <w:noWrap/>
          </w:tcPr>
          <w:p w14:paraId="42C71553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1.000</w:t>
            </w:r>
          </w:p>
        </w:tc>
        <w:tc>
          <w:tcPr>
            <w:tcW w:w="0" w:type="dxa"/>
            <w:noWrap/>
          </w:tcPr>
          <w:p w14:paraId="6A89E512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1.862</w:t>
            </w:r>
          </w:p>
        </w:tc>
      </w:tr>
      <w:tr w:rsidR="001F5DDF" w:rsidRPr="001F5DDF" w14:paraId="3CB0F423" w14:textId="77777777" w:rsidTr="00E469D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3D42828B" w14:textId="19A28F92" w:rsidR="00473264" w:rsidRPr="001F5DDF" w:rsidRDefault="00B22DAD" w:rsidP="00EA3062">
            <w:pP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Duration of a</w:t>
            </w:r>
            <w:r w:rsidR="00473264"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ntibiotic therapy</w:t>
            </w:r>
          </w:p>
        </w:tc>
        <w:tc>
          <w:tcPr>
            <w:tcW w:w="1956" w:type="dxa"/>
            <w:noWrap/>
          </w:tcPr>
          <w:p w14:paraId="3B96E3EA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1.000</w:t>
            </w:r>
          </w:p>
        </w:tc>
        <w:tc>
          <w:tcPr>
            <w:tcW w:w="1523" w:type="dxa"/>
            <w:noWrap/>
          </w:tcPr>
          <w:p w14:paraId="26B2648C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1.000</w:t>
            </w:r>
          </w:p>
        </w:tc>
        <w:tc>
          <w:tcPr>
            <w:tcW w:w="0" w:type="dxa"/>
            <w:noWrap/>
          </w:tcPr>
          <w:p w14:paraId="24C80EDA" w14:textId="77777777" w:rsidR="00473264" w:rsidRPr="001F5DDF" w:rsidRDefault="00473264" w:rsidP="00EA30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0.902</w:t>
            </w:r>
          </w:p>
        </w:tc>
      </w:tr>
      <w:tr w:rsidR="001F5DDF" w:rsidRPr="001F5DDF" w14:paraId="5E95FE82" w14:textId="77777777" w:rsidTr="00E46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14:paraId="6B92C924" w14:textId="4987386E" w:rsidR="00473264" w:rsidRPr="001F5DDF" w:rsidRDefault="00473264" w:rsidP="00EA3062">
            <w:pP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 xml:space="preserve">Upper airway colonization with bacteria with </w:t>
            </w:r>
            <w:r w:rsidR="00C75C05"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facultative</w:t>
            </w: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 xml:space="preserve"> pathogenicity*</w:t>
            </w:r>
          </w:p>
        </w:tc>
        <w:tc>
          <w:tcPr>
            <w:tcW w:w="1956" w:type="dxa"/>
            <w:noWrap/>
          </w:tcPr>
          <w:p w14:paraId="793B4F87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3.381</w:t>
            </w:r>
          </w:p>
        </w:tc>
        <w:tc>
          <w:tcPr>
            <w:tcW w:w="1523" w:type="dxa"/>
            <w:noWrap/>
          </w:tcPr>
          <w:p w14:paraId="7366EBFF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4.053</w:t>
            </w:r>
          </w:p>
        </w:tc>
        <w:tc>
          <w:tcPr>
            <w:tcW w:w="0" w:type="dxa"/>
            <w:noWrap/>
          </w:tcPr>
          <w:p w14:paraId="4E787C83" w14:textId="77777777" w:rsidR="00473264" w:rsidRPr="001F5DDF" w:rsidRDefault="00473264" w:rsidP="00EA30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de-DE"/>
              </w:rPr>
            </w:pPr>
            <w:r w:rsidRPr="001F5DDF">
              <w:rPr>
                <w:rFonts w:ascii="Arial" w:eastAsia="Times New Roman" w:hAnsi="Arial" w:cs="Arial"/>
                <w:color w:val="000000" w:themeColor="text1"/>
                <w:lang w:val="en-US" w:eastAsia="de-DE"/>
              </w:rPr>
              <w:t>10.837</w:t>
            </w:r>
          </w:p>
        </w:tc>
      </w:tr>
    </w:tbl>
    <w:p w14:paraId="5C3D64A8" w14:textId="2764A991" w:rsidR="00135BE2" w:rsidRPr="001F5DDF" w:rsidRDefault="00D95C56" w:rsidP="00135BE2">
      <w:pPr>
        <w:jc w:val="both"/>
        <w:rPr>
          <w:rFonts w:ascii="Arial" w:hAnsi="Arial"/>
          <w:color w:val="000000" w:themeColor="text1"/>
          <w:lang w:val="en-US"/>
        </w:rPr>
      </w:pPr>
      <w:r w:rsidRPr="001F5DDF">
        <w:rPr>
          <w:rFonts w:ascii="Arial" w:hAnsi="Arial" w:cs="Arial"/>
          <w:color w:val="000000" w:themeColor="text1"/>
          <w:lang w:val="en-US"/>
        </w:rPr>
        <w:t xml:space="preserve">The model from Table </w:t>
      </w:r>
      <w:r w:rsidR="00E60245" w:rsidRPr="001F5DDF">
        <w:rPr>
          <w:rFonts w:ascii="Arial" w:hAnsi="Arial" w:cs="Arial"/>
          <w:color w:val="000000" w:themeColor="text1"/>
          <w:lang w:val="en-US"/>
        </w:rPr>
        <w:t>3</w:t>
      </w:r>
      <w:r w:rsidRPr="001F5DDF">
        <w:rPr>
          <w:rFonts w:ascii="Arial" w:hAnsi="Arial" w:cs="Arial"/>
          <w:color w:val="000000" w:themeColor="text1"/>
          <w:lang w:val="en-US"/>
        </w:rPr>
        <w:t xml:space="preserve"> was restricted to infants with a birth weight </w:t>
      </w:r>
      <w:r w:rsidR="002678F6" w:rsidRPr="001F5DDF">
        <w:rPr>
          <w:rFonts w:ascii="Arial" w:hAnsi="Arial" w:cs="Arial"/>
          <w:color w:val="000000" w:themeColor="text1"/>
          <w:lang w:val="en-US"/>
        </w:rPr>
        <w:t>≥80</w:t>
      </w:r>
      <w:r w:rsidRPr="001F5DDF">
        <w:rPr>
          <w:rFonts w:ascii="Arial" w:hAnsi="Arial" w:cs="Arial"/>
          <w:color w:val="000000" w:themeColor="text1"/>
          <w:lang w:val="en-US"/>
        </w:rPr>
        <w:t xml:space="preserve">0g and risk factors </w:t>
      </w:r>
      <w:r w:rsidR="00CD4696" w:rsidRPr="001F5DDF">
        <w:rPr>
          <w:rFonts w:ascii="Arial" w:hAnsi="Arial" w:cs="Arial"/>
          <w:color w:val="000000" w:themeColor="text1"/>
          <w:lang w:val="en-US"/>
        </w:rPr>
        <w:t>center</w:t>
      </w:r>
      <w:r w:rsidRPr="001F5DDF">
        <w:rPr>
          <w:rFonts w:ascii="Arial" w:hAnsi="Arial" w:cs="Arial"/>
          <w:color w:val="000000" w:themeColor="text1"/>
          <w:lang w:val="en-US"/>
        </w:rPr>
        <w:t xml:space="preserve"> and sex. (Additional) smooth terms were included for birth weight, </w:t>
      </w:r>
      <w:r w:rsidR="00E60245" w:rsidRPr="001F5DDF">
        <w:rPr>
          <w:rFonts w:ascii="Arial" w:hAnsi="Arial" w:cs="Arial"/>
          <w:color w:val="000000" w:themeColor="text1"/>
          <w:lang w:val="en-US"/>
        </w:rPr>
        <w:t xml:space="preserve">duration of </w:t>
      </w:r>
      <w:r w:rsidRPr="001F5DDF">
        <w:rPr>
          <w:rFonts w:ascii="Arial" w:hAnsi="Arial" w:cs="Arial"/>
          <w:color w:val="000000" w:themeColor="text1"/>
          <w:lang w:val="en-US"/>
        </w:rPr>
        <w:t xml:space="preserve">antibiotic therapy, and upper airway colonization with bacteria </w:t>
      </w:r>
      <w:r w:rsidR="009020BC" w:rsidRPr="001F5DDF">
        <w:rPr>
          <w:rFonts w:ascii="Arial" w:hAnsi="Arial" w:cs="Arial"/>
          <w:color w:val="000000" w:themeColor="text1"/>
          <w:lang w:val="en-US"/>
        </w:rPr>
        <w:t xml:space="preserve">with </w:t>
      </w:r>
      <w:r w:rsidR="00C75C05" w:rsidRPr="001F5DDF">
        <w:rPr>
          <w:rFonts w:ascii="Arial" w:hAnsi="Arial" w:cs="Arial"/>
          <w:color w:val="000000" w:themeColor="text1"/>
          <w:lang w:val="en-US"/>
        </w:rPr>
        <w:t>facultative</w:t>
      </w:r>
      <w:r w:rsidR="009020BC" w:rsidRPr="001F5DDF">
        <w:rPr>
          <w:rFonts w:ascii="Arial" w:hAnsi="Arial" w:cs="Arial"/>
          <w:color w:val="000000" w:themeColor="text1"/>
          <w:lang w:val="en-US"/>
        </w:rPr>
        <w:t xml:space="preserve"> </w:t>
      </w:r>
      <w:r w:rsidRPr="001F5DDF">
        <w:rPr>
          <w:rFonts w:ascii="Arial" w:hAnsi="Arial" w:cs="Arial"/>
          <w:color w:val="000000" w:themeColor="text1"/>
          <w:lang w:val="en-US"/>
        </w:rPr>
        <w:t>pathogenicity.</w:t>
      </w:r>
      <w:r w:rsidR="00135BE2" w:rsidRPr="001F5DDF">
        <w:rPr>
          <w:rFonts w:ascii="Arial" w:hAnsi="Arial" w:cs="Arial"/>
          <w:color w:val="000000" w:themeColor="text1"/>
          <w:lang w:val="en-US"/>
        </w:rPr>
        <w:t xml:space="preserve"> </w:t>
      </w:r>
      <w:r w:rsidR="00135BE2" w:rsidRPr="001F5DDF">
        <w:rPr>
          <w:rFonts w:ascii="Arial" w:hAnsi="Arial"/>
          <w:color w:val="000000" w:themeColor="text1"/>
          <w:lang w:val="en-US"/>
        </w:rPr>
        <w:t xml:space="preserve">P-value </w:t>
      </w:r>
      <w:r w:rsidR="008D3602" w:rsidRPr="001F5DDF">
        <w:rPr>
          <w:rFonts w:ascii="Arial" w:hAnsi="Arial"/>
          <w:color w:val="000000" w:themeColor="text1"/>
          <w:lang w:val="en-US"/>
        </w:rPr>
        <w:t>an</w:t>
      </w:r>
      <w:r w:rsidR="00135BE2" w:rsidRPr="001F5DDF">
        <w:rPr>
          <w:rFonts w:ascii="Arial" w:hAnsi="Arial"/>
          <w:color w:val="000000" w:themeColor="text1"/>
          <w:lang w:val="en-US"/>
        </w:rPr>
        <w:t>notation: * &lt; 0.</w:t>
      </w:r>
      <w:r w:rsidR="00781E57" w:rsidRPr="001F5DDF">
        <w:rPr>
          <w:rFonts w:ascii="Arial" w:hAnsi="Arial"/>
          <w:color w:val="000000" w:themeColor="text1"/>
          <w:lang w:val="en-US"/>
        </w:rPr>
        <w:t>0</w:t>
      </w:r>
      <w:r w:rsidR="00135BE2" w:rsidRPr="001F5DDF">
        <w:rPr>
          <w:rFonts w:ascii="Arial" w:hAnsi="Arial"/>
          <w:color w:val="000000" w:themeColor="text1"/>
          <w:lang w:val="en-US"/>
        </w:rPr>
        <w:t>5, ** &lt;</w:t>
      </w:r>
      <w:r w:rsidR="00D55F5F" w:rsidRPr="001F5DDF">
        <w:rPr>
          <w:rFonts w:ascii="Arial" w:hAnsi="Arial"/>
          <w:color w:val="000000" w:themeColor="text1"/>
          <w:lang w:val="en-US"/>
        </w:rPr>
        <w:t xml:space="preserve"> </w:t>
      </w:r>
      <w:r w:rsidR="00135BE2" w:rsidRPr="001F5DDF">
        <w:rPr>
          <w:rFonts w:ascii="Arial" w:hAnsi="Arial"/>
          <w:color w:val="000000" w:themeColor="text1"/>
          <w:lang w:val="en-US"/>
        </w:rPr>
        <w:t xml:space="preserve">0.01, </w:t>
      </w:r>
      <w:r w:rsidR="00135BE2" w:rsidRPr="001F5DDF">
        <w:rPr>
          <w:rFonts w:ascii="Arial" w:hAnsi="Arial"/>
          <w:bCs/>
          <w:color w:val="000000" w:themeColor="text1"/>
          <w:vertAlign w:val="superscript"/>
          <w:lang w:val="en-US"/>
        </w:rPr>
        <w:t>†</w:t>
      </w:r>
      <w:r w:rsidR="00135BE2" w:rsidRPr="001F5DDF">
        <w:rPr>
          <w:rFonts w:ascii="Arial" w:hAnsi="Arial"/>
          <w:bCs/>
          <w:color w:val="000000" w:themeColor="text1"/>
          <w:lang w:val="en-US"/>
        </w:rPr>
        <w:t xml:space="preserve"> &lt; 0.001.</w:t>
      </w:r>
      <w:r w:rsidR="00B22DAD" w:rsidRPr="001F5DDF">
        <w:rPr>
          <w:rFonts w:ascii="Arial" w:hAnsi="Arial"/>
          <w:bCs/>
          <w:color w:val="000000" w:themeColor="text1"/>
          <w:lang w:val="en-US"/>
        </w:rPr>
        <w:t xml:space="preserve"> Results show significance of smooth terms for timepoint of upper airway colonization with bacteria with facultative pathogenicity (</w:t>
      </w:r>
      <w:r w:rsidR="00515722" w:rsidRPr="001F5DDF">
        <w:rPr>
          <w:rFonts w:ascii="Arial" w:hAnsi="Arial"/>
          <w:bCs/>
          <w:color w:val="000000" w:themeColor="text1"/>
          <w:lang w:val="en-US"/>
        </w:rPr>
        <w:t xml:space="preserve">fitted </w:t>
      </w:r>
      <w:r w:rsidR="00B22DAD" w:rsidRPr="001F5DDF">
        <w:rPr>
          <w:rFonts w:ascii="Arial" w:hAnsi="Arial"/>
          <w:bCs/>
          <w:color w:val="000000" w:themeColor="text1"/>
          <w:lang w:val="en-US"/>
        </w:rPr>
        <w:t>smooth effects are detailed in Figure 4d) but not for birth weight and duration of antibiotic therapy for this subgroup.</w:t>
      </w:r>
    </w:p>
    <w:p w14:paraId="74166173" w14:textId="3A4B5E78" w:rsidR="00D95C56" w:rsidRPr="001F5DDF" w:rsidRDefault="00D95C56">
      <w:pPr>
        <w:rPr>
          <w:b/>
          <w:bCs/>
          <w:color w:val="000000" w:themeColor="text1"/>
          <w:lang w:val="en-US"/>
        </w:rPr>
      </w:pPr>
    </w:p>
    <w:sectPr w:rsidR="00D95C56" w:rsidRPr="001F5D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56"/>
    <w:rsid w:val="00035CFC"/>
    <w:rsid w:val="000962BD"/>
    <w:rsid w:val="000A52A9"/>
    <w:rsid w:val="000E302F"/>
    <w:rsid w:val="001140D8"/>
    <w:rsid w:val="00135BE2"/>
    <w:rsid w:val="001641B3"/>
    <w:rsid w:val="00187506"/>
    <w:rsid w:val="001D4DF4"/>
    <w:rsid w:val="001F5DDF"/>
    <w:rsid w:val="001F7BEA"/>
    <w:rsid w:val="00210BC5"/>
    <w:rsid w:val="00223F1F"/>
    <w:rsid w:val="0023083C"/>
    <w:rsid w:val="002678F6"/>
    <w:rsid w:val="002B0060"/>
    <w:rsid w:val="002C7C26"/>
    <w:rsid w:val="002D2AB7"/>
    <w:rsid w:val="00473264"/>
    <w:rsid w:val="004A79E3"/>
    <w:rsid w:val="00515722"/>
    <w:rsid w:val="00570601"/>
    <w:rsid w:val="005C3EE0"/>
    <w:rsid w:val="006332F8"/>
    <w:rsid w:val="00637FB3"/>
    <w:rsid w:val="007205FE"/>
    <w:rsid w:val="00781E57"/>
    <w:rsid w:val="007C137F"/>
    <w:rsid w:val="007F1A86"/>
    <w:rsid w:val="0081747B"/>
    <w:rsid w:val="008B28DE"/>
    <w:rsid w:val="008D3602"/>
    <w:rsid w:val="009020BC"/>
    <w:rsid w:val="00913032"/>
    <w:rsid w:val="00935E6F"/>
    <w:rsid w:val="00954DA6"/>
    <w:rsid w:val="009F6631"/>
    <w:rsid w:val="00A4544F"/>
    <w:rsid w:val="00A857CE"/>
    <w:rsid w:val="00A960DD"/>
    <w:rsid w:val="00B04F41"/>
    <w:rsid w:val="00B22DAD"/>
    <w:rsid w:val="00B55C01"/>
    <w:rsid w:val="00C03A06"/>
    <w:rsid w:val="00C176AD"/>
    <w:rsid w:val="00C52259"/>
    <w:rsid w:val="00C75C05"/>
    <w:rsid w:val="00CD4696"/>
    <w:rsid w:val="00D3487D"/>
    <w:rsid w:val="00D55F5F"/>
    <w:rsid w:val="00D87898"/>
    <w:rsid w:val="00D87BA9"/>
    <w:rsid w:val="00D95C56"/>
    <w:rsid w:val="00DB550C"/>
    <w:rsid w:val="00DE5F59"/>
    <w:rsid w:val="00E30A88"/>
    <w:rsid w:val="00E469D4"/>
    <w:rsid w:val="00E60245"/>
    <w:rsid w:val="00E60505"/>
    <w:rsid w:val="00EA3062"/>
    <w:rsid w:val="00E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C97EC2"/>
  <w15:chartTrackingRefBased/>
  <w15:docId w15:val="{08E98CF9-E809-D349-8290-1478BB93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5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5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5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5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5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5C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5C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5C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5C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5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5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5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5C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5C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5C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5C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5C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5C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5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5C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5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5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5C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5C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5C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5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5C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5C5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5C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5C56"/>
    <w:pPr>
      <w:spacing w:after="160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5C56"/>
    <w:rPr>
      <w:kern w:val="0"/>
      <w:sz w:val="20"/>
      <w:szCs w:val="20"/>
      <w14:ligatures w14:val="none"/>
    </w:rPr>
  </w:style>
  <w:style w:type="table" w:styleId="Tabellenraster">
    <w:name w:val="Table Grid"/>
    <w:basedOn w:val="NormaleTabelle"/>
    <w:uiPriority w:val="59"/>
    <w:rsid w:val="00D95C5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D95C56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rarbeitung">
    <w:name w:val="Revision"/>
    <w:hidden/>
    <w:uiPriority w:val="99"/>
    <w:semiHidden/>
    <w:rsid w:val="00E602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06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060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0BC5"/>
    <w:pPr>
      <w:spacing w:after="0"/>
    </w:pPr>
    <w:rPr>
      <w:b/>
      <w:bCs/>
      <w:kern w:val="2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0BC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STAUDE</dc:creator>
  <cp:keywords/>
  <dc:description/>
  <cp:lastModifiedBy>Birte STAUDE</cp:lastModifiedBy>
  <cp:revision>2</cp:revision>
  <dcterms:created xsi:type="dcterms:W3CDTF">2025-10-16T04:29:00Z</dcterms:created>
  <dcterms:modified xsi:type="dcterms:W3CDTF">2025-10-16T04:29:00Z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622565bade053873ca0eedf307a8d0b8287ca002e257d78b6ea73dc861980c8b</vt:lpwstr>
  </property>
  <property fmtid="{D5CDD505-2E9C-101B-9397-08002B2CF9AE}" pid="3" name="MSIP_Label_8fd2079b-6d85-4185-8122-5cca51dad164_Enabled">
    <vt:lpwstr>true</vt:lpwstr>
  </property>
  <property fmtid="{D5CDD505-2E9C-101B-9397-08002B2CF9AE}" pid="4" name="MSIP_Label_8fd2079b-6d85-4185-8122-5cca51dad164_SetDate">
    <vt:lpwstr>2025-02-06T12:23:02Z</vt:lpwstr>
  </property>
  <property fmtid="{D5CDD505-2E9C-101B-9397-08002B2CF9AE}" pid="5" name="MSIP_Label_8fd2079b-6d85-4185-8122-5cca51dad164_Method">
    <vt:lpwstr>Standard</vt:lpwstr>
  </property>
  <property fmtid="{D5CDD505-2E9C-101B-9397-08002B2CF9AE}" pid="6" name="MSIP_Label_8fd2079b-6d85-4185-8122-5cca51dad164_Name">
    <vt:lpwstr>Öffentlich</vt:lpwstr>
  </property>
  <property fmtid="{D5CDD505-2E9C-101B-9397-08002B2CF9AE}" pid="7" name="MSIP_Label_8fd2079b-6d85-4185-8122-5cca51dad164_SiteId">
    <vt:lpwstr>5832f73f-b0fa-45a0-80d9-7e32bd7fa822</vt:lpwstr>
  </property>
  <property fmtid="{D5CDD505-2E9C-101B-9397-08002B2CF9AE}" pid="8" name="MSIP_Label_8fd2079b-6d85-4185-8122-5cca51dad164_ActionId">
    <vt:lpwstr>25fdc78e-375f-4510-bb77-5c57777b1dad</vt:lpwstr>
  </property>
  <property fmtid="{D5CDD505-2E9C-101B-9397-08002B2CF9AE}" pid="9" name="MSIP_Label_8fd2079b-6d85-4185-8122-5cca51dad164_ContentBits">
    <vt:lpwstr>0</vt:lpwstr>
  </property>
  <property fmtid="{D5CDD505-2E9C-101B-9397-08002B2CF9AE}" pid="10" name="MSIP_Label_8fd2079b-6d85-4185-8122-5cca51dad164_Tag">
    <vt:lpwstr>10, 3, 0, 1</vt:lpwstr>
  </property>
</Properties>
</file>