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79830" w14:textId="77777777" w:rsidR="00EA07BA" w:rsidRPr="001A0145" w:rsidRDefault="00EA07BA" w:rsidP="00EA07BA">
      <w:pPr>
        <w:rPr>
          <w:rFonts w:ascii="Calibri" w:hAnsi="Calibri" w:cs="Calibri"/>
          <w:b/>
          <w:bCs/>
          <w:sz w:val="24"/>
          <w:szCs w:val="24"/>
        </w:rPr>
      </w:pPr>
      <w:r w:rsidRPr="002A1351">
        <w:rPr>
          <w:rFonts w:ascii="Calibri" w:hAnsi="Calibri" w:cs="Calibri"/>
          <w:b/>
          <w:bCs/>
          <w:color w:val="002060"/>
          <w:sz w:val="28"/>
          <w:szCs w:val="24"/>
        </w:rPr>
        <w:t xml:space="preserve">Supplemental </w:t>
      </w:r>
      <w:r w:rsidRPr="002A1351">
        <w:rPr>
          <w:rFonts w:ascii="Calibri" w:hAnsi="Calibri" w:cs="Calibri"/>
          <w:b/>
          <w:color w:val="002060"/>
          <w:sz w:val="28"/>
          <w:lang w:eastAsia="zh-CN"/>
        </w:rPr>
        <w:t>Materials</w:t>
      </w:r>
      <w:r w:rsidRPr="002A1351">
        <w:rPr>
          <w:rFonts w:ascii="Calibri" w:hAnsi="Calibri" w:cs="Calibri"/>
          <w:color w:val="002060"/>
          <w:sz w:val="28"/>
          <w:lang w:eastAsia="zh-CN"/>
        </w:rPr>
        <w:t xml:space="preserve"> </w:t>
      </w:r>
    </w:p>
    <w:p w14:paraId="5456290D" w14:textId="77777777" w:rsidR="00EA07BA" w:rsidRPr="002A1351" w:rsidRDefault="00EA07BA" w:rsidP="00EA07BA">
      <w:pPr>
        <w:spacing w:after="0" w:line="360" w:lineRule="auto"/>
        <w:rPr>
          <w:rFonts w:ascii="Calibri" w:hAnsi="Calibri" w:cs="Calibri"/>
          <w:b/>
          <w:bCs/>
          <w:color w:val="002060"/>
          <w:sz w:val="28"/>
          <w:szCs w:val="24"/>
          <w:lang w:eastAsia="zh-CN"/>
        </w:rPr>
      </w:pPr>
      <w:r w:rsidRPr="002A1351">
        <w:rPr>
          <w:rFonts w:ascii="Calibri" w:hAnsi="Calibri" w:cs="Calibri"/>
          <w:b/>
          <w:bCs/>
          <w:color w:val="002060"/>
          <w:sz w:val="28"/>
          <w:szCs w:val="24"/>
          <w:lang w:eastAsia="zh-CN"/>
        </w:rPr>
        <w:t>Methods</w:t>
      </w:r>
    </w:p>
    <w:p w14:paraId="0871B9BC" w14:textId="77777777" w:rsidR="00EA07BA" w:rsidRPr="002A1351" w:rsidRDefault="00EA07BA" w:rsidP="00EA07BA">
      <w:pPr>
        <w:spacing w:after="0" w:line="360" w:lineRule="auto"/>
        <w:jc w:val="both"/>
        <w:rPr>
          <w:rFonts w:ascii="Calibri" w:hAnsi="Calibri" w:cs="Calibri"/>
          <w:b/>
          <w:bCs/>
          <w:iCs/>
          <w:color w:val="002060"/>
          <w:sz w:val="24"/>
          <w:szCs w:val="24"/>
        </w:rPr>
      </w:pPr>
      <w:r w:rsidRPr="002A1351">
        <w:rPr>
          <w:rFonts w:ascii="Calibri" w:hAnsi="Calibri" w:cs="Calibri"/>
          <w:b/>
          <w:bCs/>
          <w:iCs/>
          <w:color w:val="002060"/>
          <w:sz w:val="24"/>
          <w:szCs w:val="24"/>
        </w:rPr>
        <w:t>Cell viability</w:t>
      </w:r>
      <w:r w:rsidRPr="00430FBB">
        <w:t xml:space="preserve"> </w:t>
      </w:r>
      <w:r w:rsidRPr="002A1351">
        <w:rPr>
          <w:rFonts w:ascii="Calibri" w:hAnsi="Calibri" w:cs="Calibri"/>
          <w:b/>
          <w:bCs/>
          <w:iCs/>
          <w:color w:val="002060"/>
          <w:sz w:val="24"/>
          <w:szCs w:val="24"/>
        </w:rPr>
        <w:t>analysis</w:t>
      </w:r>
    </w:p>
    <w:p w14:paraId="0DEF04E4" w14:textId="77777777" w:rsidR="00EA07BA" w:rsidRPr="002A1351" w:rsidRDefault="00EA07BA" w:rsidP="00EA07BA">
      <w:pPr>
        <w:spacing w:after="0" w:line="360" w:lineRule="auto"/>
        <w:jc w:val="both"/>
        <w:rPr>
          <w:rFonts w:ascii="Calibri" w:hAnsi="Calibri" w:cs="Calibri"/>
        </w:rPr>
      </w:pPr>
      <w:r w:rsidRPr="002A1351">
        <w:rPr>
          <w:rFonts w:ascii="Calibri" w:hAnsi="Calibri" w:cs="Calibri"/>
        </w:rPr>
        <w:t xml:space="preserve">Cell viability was assessed using DAPI viability staining and flow cytometry. At the indicated time points, cells were harvested by </w:t>
      </w:r>
      <w:proofErr w:type="spellStart"/>
      <w:r w:rsidRPr="002A1351">
        <w:rPr>
          <w:rFonts w:ascii="Calibri" w:hAnsi="Calibri" w:cs="Calibri"/>
        </w:rPr>
        <w:t>trypsinization</w:t>
      </w:r>
      <w:proofErr w:type="spellEnd"/>
      <w:r w:rsidRPr="002A1351">
        <w:rPr>
          <w:rFonts w:ascii="Calibri" w:hAnsi="Calibri" w:cs="Calibri"/>
        </w:rPr>
        <w:t xml:space="preserve"> and pelleted at 300 × g for 5 minutes. The cell pellet was washed once and resuspended in wash buffer (DPBS supplemented with 2% v/v </w:t>
      </w:r>
      <w:proofErr w:type="spellStart"/>
      <w:r w:rsidRPr="002A1351">
        <w:rPr>
          <w:rFonts w:ascii="Calibri" w:hAnsi="Calibri" w:cs="Calibri"/>
        </w:rPr>
        <w:t>Fetal</w:t>
      </w:r>
      <w:proofErr w:type="spellEnd"/>
      <w:r w:rsidRPr="002A1351">
        <w:rPr>
          <w:rFonts w:ascii="Calibri" w:hAnsi="Calibri" w:cs="Calibri"/>
        </w:rPr>
        <w:t xml:space="preserve"> Bovine Serum). Approximately 90 µL of the cell suspension was incubated with 10 µL of diluted DAPI solution (final concentration 1:10 of stock) (Beckman Coulter) for 5 minutes at room temperature in the dark. Unstained control samples were prepared in parallel to set gating parameters for live/dead discrimination.</w:t>
      </w:r>
    </w:p>
    <w:p w14:paraId="259B5D05" w14:textId="77777777" w:rsidR="00EA07BA" w:rsidRPr="002A1351" w:rsidRDefault="00EA07BA" w:rsidP="00EA07BA">
      <w:pPr>
        <w:spacing w:after="0" w:line="360" w:lineRule="auto"/>
        <w:jc w:val="both"/>
        <w:rPr>
          <w:rFonts w:ascii="Calibri" w:hAnsi="Calibri" w:cs="Calibri"/>
        </w:rPr>
      </w:pPr>
      <w:r w:rsidRPr="002A1351">
        <w:rPr>
          <w:rFonts w:ascii="Calibri" w:hAnsi="Calibri" w:cs="Calibri"/>
        </w:rPr>
        <w:t xml:space="preserve">Directly before analysis, samples were filtered through a 35 µm cell strainer to remove cell clumps. Flow cytometry was performed using </w:t>
      </w:r>
      <w:proofErr w:type="spellStart"/>
      <w:r w:rsidRPr="002A1351">
        <w:rPr>
          <w:rFonts w:ascii="Calibri" w:hAnsi="Calibri" w:cs="Calibri"/>
        </w:rPr>
        <w:t>Cytoflex</w:t>
      </w:r>
      <w:proofErr w:type="spellEnd"/>
      <w:r w:rsidRPr="002A1351">
        <w:rPr>
          <w:rFonts w:ascii="Calibri" w:hAnsi="Calibri" w:cs="Calibri"/>
        </w:rPr>
        <w:t xml:space="preserve"> Flow Cytometer (Beckman Coulter)</w:t>
      </w:r>
      <w:r w:rsidRPr="00430FBB">
        <w:rPr>
          <w:rFonts w:ascii="Calibri" w:hAnsi="Calibri" w:cs="Calibri"/>
        </w:rPr>
        <w:t xml:space="preserve"> </w:t>
      </w:r>
      <w:r w:rsidRPr="002A1351">
        <w:rPr>
          <w:rFonts w:ascii="Calibri" w:hAnsi="Calibri" w:cs="Calibri"/>
        </w:rPr>
        <w:t xml:space="preserve">and data were </w:t>
      </w:r>
      <w:proofErr w:type="spellStart"/>
      <w:r w:rsidRPr="002A1351">
        <w:rPr>
          <w:rFonts w:ascii="Calibri" w:hAnsi="Calibri" w:cs="Calibri"/>
        </w:rPr>
        <w:t>analyzed</w:t>
      </w:r>
      <w:proofErr w:type="spellEnd"/>
      <w:r w:rsidRPr="002A1351">
        <w:rPr>
          <w:rFonts w:ascii="Calibri" w:hAnsi="Calibri" w:cs="Calibri"/>
        </w:rPr>
        <w:t xml:space="preserve"> with the </w:t>
      </w:r>
      <w:proofErr w:type="spellStart"/>
      <w:r w:rsidRPr="002A1351">
        <w:rPr>
          <w:rFonts w:ascii="Calibri" w:hAnsi="Calibri" w:cs="Calibri"/>
        </w:rPr>
        <w:t>CytExpert</w:t>
      </w:r>
      <w:proofErr w:type="spellEnd"/>
      <w:r w:rsidRPr="002A1351">
        <w:rPr>
          <w:rFonts w:ascii="Calibri" w:hAnsi="Calibri" w:cs="Calibri"/>
        </w:rPr>
        <w:t xml:space="preserve"> software</w:t>
      </w:r>
      <w:r w:rsidRPr="00430FBB">
        <w:rPr>
          <w:rFonts w:ascii="Calibri" w:hAnsi="Calibri" w:cs="Calibri"/>
        </w:rPr>
        <w:t xml:space="preserve"> </w:t>
      </w:r>
      <w:r w:rsidRPr="002A1351">
        <w:rPr>
          <w:rFonts w:ascii="Calibri" w:hAnsi="Calibri" w:cs="Calibri"/>
        </w:rPr>
        <w:t>(v2.5, Beckman Coulter). At least 10,000 events were acquired per sample. Viable cells were defined as DAPI-negative, while non-viable cells were DAPI-positive.</w:t>
      </w:r>
    </w:p>
    <w:p w14:paraId="544C5983" w14:textId="77777777" w:rsidR="00EA07BA" w:rsidRDefault="00EA07BA" w:rsidP="00EA07BA">
      <w:pPr>
        <w:spacing w:after="0" w:line="360" w:lineRule="auto"/>
        <w:jc w:val="both"/>
        <w:rPr>
          <w:rFonts w:ascii="Calibri" w:hAnsi="Calibri" w:cs="Calibri"/>
          <w:b/>
          <w:color w:val="002060"/>
          <w:sz w:val="24"/>
        </w:rPr>
      </w:pPr>
    </w:p>
    <w:p w14:paraId="1012E87C" w14:textId="77777777" w:rsidR="00EA07BA" w:rsidRPr="00430FBB" w:rsidRDefault="00EA07BA" w:rsidP="00EA07BA">
      <w:pPr>
        <w:spacing w:after="0" w:line="360" w:lineRule="auto"/>
        <w:jc w:val="both"/>
        <w:rPr>
          <w:rFonts w:ascii="Calibri" w:hAnsi="Calibri" w:cs="Calibri"/>
          <w:b/>
          <w:color w:val="002060"/>
          <w:sz w:val="24"/>
        </w:rPr>
      </w:pPr>
      <w:r w:rsidRPr="00430FBB">
        <w:rPr>
          <w:rFonts w:ascii="Calibri" w:hAnsi="Calibri" w:cs="Calibri"/>
          <w:b/>
          <w:color w:val="002060"/>
          <w:sz w:val="24"/>
        </w:rPr>
        <w:t>Immunofluorescence staining &amp; imaging for 53BP1</w:t>
      </w:r>
    </w:p>
    <w:p w14:paraId="406D941F" w14:textId="77777777" w:rsidR="00EA07BA" w:rsidRPr="00430FBB" w:rsidRDefault="00EA07BA" w:rsidP="00EA07BA">
      <w:pPr>
        <w:spacing w:after="0" w:line="360" w:lineRule="auto"/>
        <w:jc w:val="both"/>
        <w:rPr>
          <w:rFonts w:ascii="Calibri" w:hAnsi="Calibri" w:cs="Calibri"/>
          <w:shd w:val="clear" w:color="auto" w:fill="FFFFFF"/>
          <w:lang w:eastAsia="zh-CN"/>
        </w:rPr>
      </w:pPr>
      <w:r w:rsidRPr="00430FBB">
        <w:rPr>
          <w:rFonts w:ascii="Calibri" w:hAnsi="Calibri" w:cs="Calibri"/>
          <w:shd w:val="clear" w:color="auto" w:fill="FFFFFF"/>
        </w:rPr>
        <w:t xml:space="preserve">HepG2-NTCP cells (75,000/well) were plated on collagen-coated coverslips in 24-well plates. After 24 hours, cells were irradiated at 0.4 </w:t>
      </w:r>
      <w:proofErr w:type="spellStart"/>
      <w:r w:rsidRPr="00430FBB">
        <w:rPr>
          <w:rFonts w:ascii="Calibri" w:hAnsi="Calibri" w:cs="Calibri"/>
          <w:shd w:val="clear" w:color="auto" w:fill="FFFFFF"/>
        </w:rPr>
        <w:t>Gy</w:t>
      </w:r>
      <w:proofErr w:type="spellEnd"/>
      <w:r w:rsidRPr="00430FBB">
        <w:rPr>
          <w:rFonts w:ascii="Calibri" w:hAnsi="Calibri" w:cs="Calibri"/>
          <w:shd w:val="clear" w:color="auto" w:fill="FFFFFF"/>
        </w:rPr>
        <w:t xml:space="preserve"> X-ray and fixed 2 hours post-treatment with 4% PFA (158127, Sigma Aldrich) for 20 min at room temperature. Following 3 times of DPBS wash, cells were </w:t>
      </w:r>
      <w:proofErr w:type="spellStart"/>
      <w:r w:rsidRPr="00430FBB">
        <w:rPr>
          <w:rFonts w:ascii="Calibri" w:hAnsi="Calibri" w:cs="Calibri"/>
          <w:shd w:val="clear" w:color="auto" w:fill="FFFFFF"/>
        </w:rPr>
        <w:t>permeabilized</w:t>
      </w:r>
      <w:proofErr w:type="spellEnd"/>
      <w:r w:rsidRPr="00430FBB">
        <w:rPr>
          <w:rFonts w:ascii="Calibri" w:hAnsi="Calibri" w:cs="Calibri"/>
          <w:shd w:val="clear" w:color="auto" w:fill="FFFFFF"/>
        </w:rPr>
        <w:t xml:space="preserve"> with 0.25% Triton X-100 (Sigma Aldrich) for 30 min, then blocked and incubated with anti-53BP1 (1:100, ab21083, </w:t>
      </w:r>
      <w:proofErr w:type="spellStart"/>
      <w:r w:rsidRPr="00430FBB">
        <w:rPr>
          <w:rFonts w:ascii="Calibri" w:hAnsi="Calibri" w:cs="Calibri"/>
          <w:shd w:val="clear" w:color="auto" w:fill="FFFFFF"/>
        </w:rPr>
        <w:t>Abcam</w:t>
      </w:r>
      <w:proofErr w:type="spellEnd"/>
      <w:r w:rsidRPr="00430FBB">
        <w:rPr>
          <w:rFonts w:ascii="Calibri" w:hAnsi="Calibri" w:cs="Calibri"/>
          <w:shd w:val="clear" w:color="auto" w:fill="FFFFFF"/>
        </w:rPr>
        <w:t xml:space="preserve">) in 1% BSA (A7906, Sigma Aldrich)/0.3% Triton X-100/DPBS at 4°C overnight. After DBPS wash, cells were stained with Alexa Fluor 594-conjugated secondary antibody (1:1000, </w:t>
      </w:r>
      <w:r w:rsidRPr="00430FBB">
        <w:rPr>
          <w:rFonts w:ascii="Calibri" w:hAnsi="Calibri" w:cs="Calibri"/>
        </w:rPr>
        <w:t xml:space="preserve">A-11010, </w:t>
      </w:r>
      <w:proofErr w:type="spellStart"/>
      <w:r w:rsidRPr="00430FBB">
        <w:rPr>
          <w:rFonts w:ascii="Calibri" w:hAnsi="Calibri" w:cs="Calibri"/>
        </w:rPr>
        <w:t>Abcam</w:t>
      </w:r>
      <w:proofErr w:type="spellEnd"/>
      <w:r w:rsidRPr="00430FBB">
        <w:rPr>
          <w:rFonts w:ascii="Calibri" w:hAnsi="Calibri" w:cs="Calibri"/>
          <w:shd w:val="clear" w:color="auto" w:fill="FFFFFF"/>
        </w:rPr>
        <w:t xml:space="preserve">) and Hoechst-33342 (1:1000, </w:t>
      </w:r>
      <w:r w:rsidRPr="00430FBB">
        <w:rPr>
          <w:rFonts w:ascii="Calibri" w:hAnsi="Calibri" w:cs="Calibri"/>
        </w:rPr>
        <w:t>62249</w:t>
      </w:r>
      <w:r w:rsidRPr="00430FBB">
        <w:rPr>
          <w:rFonts w:ascii="Calibri" w:hAnsi="Calibri" w:cs="Calibri"/>
          <w:shd w:val="clear" w:color="auto" w:fill="FFFFFF"/>
        </w:rPr>
        <w:t xml:space="preserve">, </w:t>
      </w:r>
      <w:proofErr w:type="spellStart"/>
      <w:r w:rsidRPr="00430FBB">
        <w:rPr>
          <w:rFonts w:ascii="Calibri" w:hAnsi="Calibri" w:cs="Calibri"/>
          <w:shd w:val="clear" w:color="auto" w:fill="FFFFFF"/>
        </w:rPr>
        <w:t>ThermoFisher</w:t>
      </w:r>
      <w:proofErr w:type="spellEnd"/>
      <w:r w:rsidRPr="00430FBB">
        <w:rPr>
          <w:rFonts w:ascii="Calibri" w:hAnsi="Calibri" w:cs="Calibri"/>
          <w:shd w:val="clear" w:color="auto" w:fill="FFFFFF"/>
        </w:rPr>
        <w:t xml:space="preserve">) in dark for 30 min, then mounted with </w:t>
      </w:r>
      <w:proofErr w:type="spellStart"/>
      <w:r w:rsidRPr="00430FBB">
        <w:rPr>
          <w:rFonts w:ascii="Calibri" w:hAnsi="Calibri" w:cs="Calibri"/>
          <w:shd w:val="clear" w:color="auto" w:fill="FFFFFF"/>
        </w:rPr>
        <w:t>ProLong</w:t>
      </w:r>
      <w:proofErr w:type="spellEnd"/>
      <w:r w:rsidRPr="00430FBB">
        <w:rPr>
          <w:rFonts w:ascii="Calibri" w:hAnsi="Calibri" w:cs="Calibri"/>
          <w:shd w:val="clear" w:color="auto" w:fill="FFFFFF"/>
        </w:rPr>
        <w:t xml:space="preserve"> Gold </w:t>
      </w:r>
      <w:proofErr w:type="spellStart"/>
      <w:r w:rsidRPr="00430FBB">
        <w:rPr>
          <w:rFonts w:ascii="Calibri" w:hAnsi="Calibri" w:cs="Calibri"/>
          <w:shd w:val="clear" w:color="auto" w:fill="FFFFFF"/>
        </w:rPr>
        <w:t>Antifade</w:t>
      </w:r>
      <w:proofErr w:type="spellEnd"/>
      <w:r w:rsidRPr="00430FBB">
        <w:rPr>
          <w:rFonts w:ascii="Calibri" w:hAnsi="Calibri" w:cs="Calibri"/>
          <w:shd w:val="clear" w:color="auto" w:fill="FFFFFF"/>
        </w:rPr>
        <w:t xml:space="preserve"> </w:t>
      </w:r>
      <w:r w:rsidRPr="00430FBB">
        <w:rPr>
          <w:rFonts w:ascii="Calibri" w:hAnsi="Calibri" w:cs="Calibri"/>
          <w:shd w:val="clear" w:color="auto" w:fill="FFFFFF"/>
          <w:lang w:eastAsia="zh-CN"/>
        </w:rPr>
        <w:t>(P10144, Invitrogen)</w:t>
      </w:r>
      <w:r w:rsidRPr="00430FBB">
        <w:rPr>
          <w:rFonts w:ascii="Calibri" w:hAnsi="Calibri" w:cs="Calibri"/>
          <w:shd w:val="clear" w:color="auto" w:fill="FFFFFF"/>
        </w:rPr>
        <w:t xml:space="preserve">. Imaging was performed on an </w:t>
      </w:r>
      <w:proofErr w:type="spellStart"/>
      <w:r w:rsidRPr="00430FBB">
        <w:rPr>
          <w:rFonts w:ascii="Calibri" w:hAnsi="Calibri" w:cs="Calibri"/>
          <w:shd w:val="clear" w:color="auto" w:fill="FFFFFF"/>
        </w:rPr>
        <w:t>Axio</w:t>
      </w:r>
      <w:proofErr w:type="spellEnd"/>
      <w:r w:rsidRPr="00430FBB">
        <w:rPr>
          <w:rFonts w:ascii="Calibri" w:hAnsi="Calibri" w:cs="Calibri"/>
          <w:shd w:val="clear" w:color="auto" w:fill="FFFFFF"/>
        </w:rPr>
        <w:t xml:space="preserve"> microscope (</w:t>
      </w:r>
      <w:r w:rsidRPr="00430FBB">
        <w:rPr>
          <w:rFonts w:ascii="Calibri" w:hAnsi="Calibri" w:cs="Calibri"/>
          <w:iCs/>
        </w:rPr>
        <w:t xml:space="preserve">ZEISS </w:t>
      </w:r>
      <w:proofErr w:type="spellStart"/>
      <w:r w:rsidRPr="00430FBB">
        <w:rPr>
          <w:rFonts w:ascii="Calibri" w:hAnsi="Calibri" w:cs="Calibri"/>
          <w:iCs/>
        </w:rPr>
        <w:t>Axio</w:t>
      </w:r>
      <w:proofErr w:type="spellEnd"/>
      <w:r w:rsidRPr="00430FBB">
        <w:rPr>
          <w:rFonts w:ascii="Calibri" w:hAnsi="Calibri" w:cs="Calibri"/>
          <w:iCs/>
        </w:rPr>
        <w:t xml:space="preserve"> Imager 2, </w:t>
      </w:r>
      <w:r w:rsidRPr="00430FBB">
        <w:rPr>
          <w:rFonts w:ascii="Calibri" w:hAnsi="Calibri" w:cs="Calibri"/>
          <w:shd w:val="clear" w:color="auto" w:fill="FFFFFF"/>
        </w:rPr>
        <w:t xml:space="preserve">68x oil objective) using fluorescence DAPI (blue)/TRITC(red) filters, with Z-stacking and optimized exposure to minimize background and capture multiple focal planes. </w:t>
      </w:r>
      <w:r w:rsidRPr="00430FBB">
        <w:rPr>
          <w:rFonts w:ascii="Calibri" w:hAnsi="Calibri" w:cs="Calibri"/>
          <w:iCs/>
        </w:rPr>
        <w:t>The images were processed using</w:t>
      </w:r>
      <w:r w:rsidRPr="00430FBB">
        <w:t xml:space="preserve"> </w:t>
      </w:r>
      <w:r w:rsidRPr="00430FBB">
        <w:rPr>
          <w:rFonts w:ascii="Calibri" w:hAnsi="Calibri" w:cs="Calibri"/>
          <w:iCs/>
        </w:rPr>
        <w:t xml:space="preserve">ZEISS ZEN </w:t>
      </w:r>
      <w:proofErr w:type="spellStart"/>
      <w:r w:rsidRPr="00430FBB">
        <w:rPr>
          <w:rFonts w:ascii="Calibri" w:hAnsi="Calibri" w:cs="Calibri"/>
          <w:iCs/>
        </w:rPr>
        <w:t>lite</w:t>
      </w:r>
      <w:proofErr w:type="spellEnd"/>
      <w:r w:rsidRPr="00430FBB">
        <w:rPr>
          <w:rFonts w:ascii="Calibri" w:hAnsi="Calibri" w:cs="Calibri"/>
          <w:iCs/>
        </w:rPr>
        <w:t xml:space="preserve"> (Free Version).</w:t>
      </w:r>
    </w:p>
    <w:p w14:paraId="46D83025" w14:textId="77777777" w:rsidR="00EA07BA" w:rsidRPr="002A1351" w:rsidRDefault="00EA07BA" w:rsidP="00EA07BA">
      <w:pPr>
        <w:spacing w:after="0" w:line="360" w:lineRule="auto"/>
        <w:rPr>
          <w:rFonts w:ascii="Calibri" w:hAnsi="Calibri" w:cs="Calibri"/>
          <w:b/>
          <w:bCs/>
          <w:color w:val="002060"/>
          <w:sz w:val="28"/>
          <w:szCs w:val="24"/>
          <w:lang w:eastAsia="zh-CN"/>
        </w:rPr>
      </w:pPr>
    </w:p>
    <w:p w14:paraId="6EBBCED6" w14:textId="77777777" w:rsidR="00EA07BA" w:rsidRPr="002A1351" w:rsidRDefault="00EA07BA" w:rsidP="00EA07BA">
      <w:pPr>
        <w:spacing w:after="0" w:line="360" w:lineRule="auto"/>
        <w:rPr>
          <w:rFonts w:ascii="Calibri" w:hAnsi="Calibri" w:cs="Calibri"/>
          <w:b/>
          <w:bCs/>
          <w:color w:val="002060"/>
          <w:sz w:val="28"/>
          <w:szCs w:val="24"/>
          <w:lang w:eastAsia="zh-CN"/>
        </w:rPr>
      </w:pPr>
      <w:r w:rsidRPr="002A1351">
        <w:rPr>
          <w:rFonts w:ascii="Calibri" w:hAnsi="Calibri" w:cs="Calibri"/>
          <w:b/>
          <w:bCs/>
          <w:color w:val="002060"/>
          <w:sz w:val="28"/>
          <w:szCs w:val="24"/>
          <w:lang w:eastAsia="zh-CN"/>
        </w:rPr>
        <w:t>Results</w:t>
      </w:r>
    </w:p>
    <w:p w14:paraId="35FAC7F3" w14:textId="77777777" w:rsidR="00EA07BA" w:rsidRPr="002A1351" w:rsidRDefault="00EA07BA" w:rsidP="00EA07BA">
      <w:pPr>
        <w:spacing w:after="0" w:line="360" w:lineRule="auto"/>
        <w:rPr>
          <w:rFonts w:ascii="Calibri" w:hAnsi="Calibri" w:cs="Calibri"/>
          <w:b/>
          <w:bCs/>
          <w:color w:val="002060"/>
          <w:sz w:val="24"/>
          <w:szCs w:val="24"/>
        </w:rPr>
      </w:pPr>
      <w:r w:rsidRPr="002A1351">
        <w:rPr>
          <w:rFonts w:ascii="Calibri" w:hAnsi="Calibri" w:cs="Calibri"/>
          <w:b/>
          <w:bCs/>
          <w:color w:val="002060"/>
          <w:sz w:val="24"/>
          <w:szCs w:val="24"/>
        </w:rPr>
        <w:t>Growth of cells exposed to X-ray</w:t>
      </w:r>
      <w:r w:rsidRPr="00430FBB">
        <w:rPr>
          <w:sz w:val="24"/>
          <w:szCs w:val="24"/>
        </w:rPr>
        <w:t xml:space="preserve"> </w:t>
      </w:r>
      <w:bookmarkStart w:id="0" w:name="OLE_LINK4"/>
      <w:r w:rsidRPr="002A1351">
        <w:rPr>
          <w:rFonts w:ascii="Calibri" w:hAnsi="Calibri" w:cs="Calibri"/>
          <w:b/>
          <w:bCs/>
          <w:color w:val="002060"/>
          <w:sz w:val="24"/>
          <w:szCs w:val="24"/>
        </w:rPr>
        <w:t>irradiations</w:t>
      </w:r>
      <w:bookmarkEnd w:id="0"/>
      <w:r w:rsidRPr="002A1351">
        <w:rPr>
          <w:rFonts w:ascii="Calibri" w:hAnsi="Calibri" w:cs="Calibri"/>
          <w:b/>
          <w:bCs/>
          <w:color w:val="002060"/>
          <w:sz w:val="24"/>
          <w:szCs w:val="24"/>
        </w:rPr>
        <w:t xml:space="preserve"> to find appropriate dose</w:t>
      </w:r>
    </w:p>
    <w:p w14:paraId="70D597CE" w14:textId="77777777" w:rsidR="00EA07BA" w:rsidRPr="002A1351" w:rsidRDefault="00EA07BA" w:rsidP="00EA07BA">
      <w:pPr>
        <w:spacing w:after="0" w:line="360" w:lineRule="auto"/>
        <w:jc w:val="both"/>
        <w:rPr>
          <w:rFonts w:ascii="Calibri" w:hAnsi="Calibri" w:cs="Calibri"/>
        </w:rPr>
      </w:pPr>
      <w:r w:rsidRPr="002A1351">
        <w:rPr>
          <w:rFonts w:ascii="Calibri" w:hAnsi="Calibri" w:cs="Calibri"/>
        </w:rPr>
        <w:t>To determine an X-ray dose that induces DNA damage without significantly impairing cell proliferation, we assessed the growth of HepG2-NTCP cells following exposure to increasing doses of X-ray irradiation (</w:t>
      </w:r>
      <w:r w:rsidRPr="00430FBB">
        <w:rPr>
          <w:rFonts w:ascii="Calibri" w:hAnsi="Calibri" w:cs="Calibri"/>
          <w:b/>
          <w:bCs/>
          <w:iCs/>
        </w:rPr>
        <w:t>Supplemental Figure 1A</w:t>
      </w:r>
      <w:r w:rsidRPr="002A1351">
        <w:rPr>
          <w:rFonts w:ascii="Calibri" w:hAnsi="Calibri" w:cs="Calibri"/>
        </w:rPr>
        <w:t>). Cells were seeded in 24-well plates (Day 0), mock-</w:t>
      </w:r>
      <w:r w:rsidRPr="002A1351">
        <w:rPr>
          <w:rFonts w:ascii="Calibri" w:hAnsi="Calibri" w:cs="Calibri"/>
        </w:rPr>
        <w:lastRenderedPageBreak/>
        <w:t xml:space="preserve">infected with infection media containing 2.5% DMSO (Day 1), and irradiated with X-rays on Day 2 at doses of 0.08, 0.4, 2, or 4 </w:t>
      </w:r>
      <w:proofErr w:type="spellStart"/>
      <w:r w:rsidRPr="002A1351">
        <w:rPr>
          <w:rFonts w:ascii="Calibri" w:hAnsi="Calibri" w:cs="Calibri"/>
        </w:rPr>
        <w:t>Gy</w:t>
      </w:r>
      <w:proofErr w:type="spellEnd"/>
      <w:r w:rsidRPr="002A1351">
        <w:rPr>
          <w:rFonts w:ascii="Calibri" w:hAnsi="Calibri" w:cs="Calibri"/>
        </w:rPr>
        <w:t xml:space="preserve"> using the X-RAD320 Biological Irradiator (320 </w:t>
      </w:r>
      <w:proofErr w:type="spellStart"/>
      <w:r w:rsidRPr="002A1351">
        <w:rPr>
          <w:rFonts w:ascii="Calibri" w:hAnsi="Calibri" w:cs="Calibri"/>
        </w:rPr>
        <w:t>kVp</w:t>
      </w:r>
      <w:proofErr w:type="spellEnd"/>
      <w:r w:rsidRPr="002A1351">
        <w:rPr>
          <w:rFonts w:ascii="Calibri" w:hAnsi="Calibri" w:cs="Calibri"/>
        </w:rPr>
        <w:t xml:space="preserve">, 12.5 mA, 2.0 mm Al filter, ~1.15 </w:t>
      </w:r>
      <w:proofErr w:type="spellStart"/>
      <w:r w:rsidRPr="002A1351">
        <w:rPr>
          <w:rFonts w:ascii="Calibri" w:hAnsi="Calibri" w:cs="Calibri"/>
        </w:rPr>
        <w:t>Gy</w:t>
      </w:r>
      <w:proofErr w:type="spellEnd"/>
      <w:r w:rsidRPr="002A1351">
        <w:rPr>
          <w:rFonts w:ascii="Calibri" w:hAnsi="Calibri" w:cs="Calibri"/>
        </w:rPr>
        <w:t xml:space="preserve">/min). 2 hours post-irradiation, cells were </w:t>
      </w:r>
      <w:proofErr w:type="spellStart"/>
      <w:r w:rsidRPr="002A1351">
        <w:rPr>
          <w:rFonts w:ascii="Calibri" w:hAnsi="Calibri" w:cs="Calibri"/>
        </w:rPr>
        <w:t>trypsinised</w:t>
      </w:r>
      <w:proofErr w:type="spellEnd"/>
      <w:r w:rsidRPr="002A1351">
        <w:rPr>
          <w:rFonts w:ascii="Calibri" w:hAnsi="Calibri" w:cs="Calibri"/>
        </w:rPr>
        <w:t xml:space="preserve"> using </w:t>
      </w:r>
      <w:proofErr w:type="spellStart"/>
      <w:r w:rsidRPr="002A1351">
        <w:rPr>
          <w:rFonts w:ascii="Calibri" w:hAnsi="Calibri" w:cs="Calibri"/>
        </w:rPr>
        <w:t>TrypLE</w:t>
      </w:r>
      <w:proofErr w:type="spellEnd"/>
      <w:r w:rsidRPr="002A1351">
        <w:rPr>
          <w:rFonts w:ascii="Calibri" w:hAnsi="Calibri" w:cs="Calibri"/>
        </w:rPr>
        <w:t xml:space="preserve"> Enzyme and reseeded into 6-well plates for continued growth. On Day 5, cell viability and proliferation were assessed by flow cytometry. </w:t>
      </w:r>
    </w:p>
    <w:p w14:paraId="4D2DB491" w14:textId="77777777" w:rsidR="00EA07BA" w:rsidRPr="002A1351" w:rsidRDefault="00EA07BA" w:rsidP="00EA07BA">
      <w:pPr>
        <w:pStyle w:val="ds-markdown-paragraph"/>
        <w:shd w:val="clear" w:color="auto" w:fill="FFFFFF"/>
        <w:spacing w:before="0" w:beforeAutospacing="0" w:after="0" w:afterAutospacing="0" w:line="360" w:lineRule="auto"/>
        <w:jc w:val="both"/>
        <w:rPr>
          <w:rFonts w:ascii="Calibri" w:hAnsi="Calibri" w:cs="Calibri"/>
          <w:sz w:val="22"/>
          <w:szCs w:val="22"/>
          <w:lang w:val="en-AU"/>
        </w:rPr>
      </w:pPr>
      <w:r w:rsidRPr="002A1351">
        <w:rPr>
          <w:rFonts w:ascii="Calibri" w:hAnsi="Calibri" w:cs="Calibri"/>
          <w:sz w:val="22"/>
          <w:szCs w:val="22"/>
          <w:lang w:val="en-AU"/>
        </w:rPr>
        <w:t>To establish an optimal irradiation dose for inducing DNA damage while preserving cell viability, HepG2-NTCP cells were exposed to X-ray doses ranging from </w:t>
      </w:r>
      <w:r w:rsidRPr="002A1351">
        <w:rPr>
          <w:rStyle w:val="Strong"/>
          <w:rFonts w:ascii="Calibri" w:hAnsi="Calibri" w:cs="Calibri"/>
          <w:sz w:val="22"/>
          <w:szCs w:val="22"/>
          <w:lang w:val="en-AU"/>
        </w:rPr>
        <w:t xml:space="preserve">0.08 to 4 </w:t>
      </w:r>
      <w:proofErr w:type="spellStart"/>
      <w:r w:rsidRPr="002A1351">
        <w:rPr>
          <w:rStyle w:val="Strong"/>
          <w:rFonts w:ascii="Calibri" w:hAnsi="Calibri" w:cs="Calibri"/>
          <w:sz w:val="22"/>
          <w:szCs w:val="22"/>
          <w:lang w:val="en-AU"/>
        </w:rPr>
        <w:t>Gy</w:t>
      </w:r>
      <w:proofErr w:type="spellEnd"/>
      <w:r w:rsidRPr="002A1351">
        <w:rPr>
          <w:rFonts w:ascii="Calibri" w:hAnsi="Calibri" w:cs="Calibri"/>
          <w:sz w:val="22"/>
          <w:szCs w:val="22"/>
          <w:lang w:val="en-AU"/>
        </w:rPr>
        <w:t xml:space="preserve"> and </w:t>
      </w:r>
      <w:proofErr w:type="spellStart"/>
      <w:r w:rsidRPr="002A1351">
        <w:rPr>
          <w:rFonts w:ascii="Calibri" w:hAnsi="Calibri" w:cs="Calibri"/>
          <w:sz w:val="22"/>
          <w:szCs w:val="22"/>
          <w:lang w:val="en-AU"/>
        </w:rPr>
        <w:t>analyzed</w:t>
      </w:r>
      <w:proofErr w:type="spellEnd"/>
      <w:r w:rsidRPr="002A1351">
        <w:rPr>
          <w:rFonts w:ascii="Calibri" w:hAnsi="Calibri" w:cs="Calibri"/>
          <w:sz w:val="22"/>
          <w:szCs w:val="22"/>
          <w:lang w:val="en-AU"/>
        </w:rPr>
        <w:t xml:space="preserve"> 72 hours post-treatment. Flow cytometry (</w:t>
      </w:r>
      <w:proofErr w:type="spellStart"/>
      <w:r w:rsidRPr="002A1351">
        <w:rPr>
          <w:rFonts w:ascii="Calibri" w:hAnsi="Calibri" w:cs="Calibri"/>
          <w:sz w:val="22"/>
          <w:szCs w:val="22"/>
          <w:lang w:val="en-AU"/>
        </w:rPr>
        <w:t>CytoFlex</w:t>
      </w:r>
      <w:proofErr w:type="spellEnd"/>
      <w:r w:rsidRPr="002A1351">
        <w:rPr>
          <w:rFonts w:ascii="Calibri" w:hAnsi="Calibri" w:cs="Calibri"/>
          <w:sz w:val="22"/>
          <w:szCs w:val="22"/>
          <w:lang w:val="en-AU"/>
        </w:rPr>
        <w:t>, Beckman Coulter) revealed a </w:t>
      </w:r>
      <w:r w:rsidRPr="002A1351">
        <w:rPr>
          <w:rStyle w:val="Strong"/>
          <w:rFonts w:ascii="Calibri" w:hAnsi="Calibri" w:cs="Calibri"/>
          <w:sz w:val="22"/>
          <w:szCs w:val="22"/>
          <w:lang w:val="en-AU"/>
        </w:rPr>
        <w:t>dose-dependent reduction in viability</w:t>
      </w:r>
      <w:r w:rsidRPr="002A1351">
        <w:rPr>
          <w:rFonts w:ascii="Calibri" w:hAnsi="Calibri" w:cs="Calibri"/>
          <w:sz w:val="22"/>
          <w:szCs w:val="22"/>
          <w:lang w:val="en-AU"/>
        </w:rPr>
        <w:t> (</w:t>
      </w:r>
      <w:r w:rsidRPr="002A1351">
        <w:rPr>
          <w:rFonts w:ascii="Calibri" w:hAnsi="Calibri" w:cs="Calibri"/>
          <w:bCs/>
          <w:iCs/>
          <w:sz w:val="22"/>
          <w:szCs w:val="22"/>
          <w:lang w:val="en-AU"/>
        </w:rPr>
        <w:t>Supplemental Figure 1B</w:t>
      </w:r>
      <w:r w:rsidRPr="002A1351">
        <w:rPr>
          <w:rFonts w:ascii="Calibri" w:hAnsi="Calibri" w:cs="Calibri"/>
          <w:sz w:val="22"/>
          <w:szCs w:val="22"/>
          <w:lang w:val="en-AU"/>
        </w:rPr>
        <w:t>). While </w:t>
      </w:r>
      <w:r w:rsidRPr="002A1351">
        <w:rPr>
          <w:rStyle w:val="Strong"/>
          <w:rFonts w:ascii="Calibri" w:hAnsi="Calibri" w:cs="Calibri"/>
          <w:sz w:val="22"/>
          <w:szCs w:val="22"/>
          <w:lang w:val="en-AU"/>
        </w:rPr>
        <w:t xml:space="preserve">0.08 </w:t>
      </w:r>
      <w:proofErr w:type="spellStart"/>
      <w:r w:rsidRPr="002A1351">
        <w:rPr>
          <w:rStyle w:val="Strong"/>
          <w:rFonts w:ascii="Calibri" w:hAnsi="Calibri" w:cs="Calibri"/>
          <w:sz w:val="22"/>
          <w:szCs w:val="22"/>
          <w:lang w:val="en-AU"/>
        </w:rPr>
        <w:t>Gy</w:t>
      </w:r>
      <w:proofErr w:type="spellEnd"/>
      <w:r w:rsidRPr="002A1351">
        <w:rPr>
          <w:rFonts w:ascii="Calibri" w:hAnsi="Calibri" w:cs="Calibri"/>
          <w:sz w:val="22"/>
          <w:szCs w:val="22"/>
          <w:lang w:val="en-AU"/>
        </w:rPr>
        <w:t> had negligible effects (viability comparable to non-irradiated controls), </w:t>
      </w:r>
      <w:r w:rsidRPr="002A1351">
        <w:rPr>
          <w:rStyle w:val="Strong"/>
          <w:rFonts w:ascii="Calibri" w:hAnsi="Calibri" w:cs="Calibri"/>
          <w:sz w:val="22"/>
          <w:szCs w:val="22"/>
          <w:lang w:val="en-AU"/>
        </w:rPr>
        <w:t xml:space="preserve">0.4 </w:t>
      </w:r>
      <w:proofErr w:type="spellStart"/>
      <w:r w:rsidRPr="002A1351">
        <w:rPr>
          <w:rStyle w:val="Strong"/>
          <w:rFonts w:ascii="Calibri" w:hAnsi="Calibri" w:cs="Calibri"/>
          <w:sz w:val="22"/>
          <w:szCs w:val="22"/>
          <w:lang w:val="en-AU"/>
        </w:rPr>
        <w:t>Gy</w:t>
      </w:r>
      <w:proofErr w:type="spellEnd"/>
      <w:r w:rsidRPr="002A1351">
        <w:rPr>
          <w:rFonts w:ascii="Calibri" w:hAnsi="Calibri" w:cs="Calibri"/>
          <w:sz w:val="22"/>
          <w:szCs w:val="22"/>
          <w:lang w:val="en-AU"/>
        </w:rPr>
        <w:t xml:space="preserve"> caused a moderate reduction (93.16% vs. 93.57% live cells, </w:t>
      </w:r>
      <w:r w:rsidRPr="002A1351">
        <w:rPr>
          <w:rFonts w:ascii="Calibri" w:hAnsi="Calibri" w:cs="Calibri"/>
          <w:bCs/>
          <w:iCs/>
          <w:sz w:val="22"/>
          <w:szCs w:val="22"/>
          <w:lang w:val="en-AU"/>
        </w:rPr>
        <w:t>Supplemental Figure 1D</w:t>
      </w:r>
      <w:r w:rsidRPr="002A1351">
        <w:rPr>
          <w:rFonts w:ascii="Calibri" w:hAnsi="Calibri" w:cs="Calibri"/>
          <w:sz w:val="22"/>
          <w:szCs w:val="22"/>
          <w:lang w:val="en-AU"/>
        </w:rPr>
        <w:t xml:space="preserve"> vs. 1C), striking a balance between DNA damage induction and retained proliferative capacity. In contrast, higher doses (</w:t>
      </w:r>
      <w:r w:rsidRPr="002A1351">
        <w:rPr>
          <w:rStyle w:val="Strong"/>
          <w:rFonts w:ascii="Calibri" w:hAnsi="Calibri" w:cs="Calibri"/>
          <w:sz w:val="22"/>
          <w:szCs w:val="22"/>
          <w:lang w:val="en-AU"/>
        </w:rPr>
        <w:t xml:space="preserve">4 </w:t>
      </w:r>
      <w:proofErr w:type="spellStart"/>
      <w:r w:rsidRPr="002A1351">
        <w:rPr>
          <w:rStyle w:val="Strong"/>
          <w:rFonts w:ascii="Calibri" w:hAnsi="Calibri" w:cs="Calibri"/>
          <w:sz w:val="22"/>
          <w:szCs w:val="22"/>
          <w:lang w:val="en-AU"/>
        </w:rPr>
        <w:t>Gy</w:t>
      </w:r>
      <w:proofErr w:type="spellEnd"/>
      <w:r w:rsidRPr="002A1351">
        <w:rPr>
          <w:rFonts w:ascii="Calibri" w:hAnsi="Calibri" w:cs="Calibri"/>
          <w:sz w:val="22"/>
          <w:szCs w:val="22"/>
          <w:lang w:val="en-AU"/>
        </w:rPr>
        <w:t xml:space="preserve">) significantly compromised viability (89.22% at 4 </w:t>
      </w:r>
      <w:proofErr w:type="spellStart"/>
      <w:r w:rsidRPr="002A1351">
        <w:rPr>
          <w:rFonts w:ascii="Calibri" w:hAnsi="Calibri" w:cs="Calibri"/>
          <w:sz w:val="22"/>
          <w:szCs w:val="22"/>
          <w:lang w:val="en-AU"/>
        </w:rPr>
        <w:t>Gy</w:t>
      </w:r>
      <w:proofErr w:type="spellEnd"/>
      <w:r w:rsidRPr="002A1351">
        <w:rPr>
          <w:rFonts w:ascii="Calibri" w:hAnsi="Calibri" w:cs="Calibri"/>
          <w:sz w:val="22"/>
          <w:szCs w:val="22"/>
          <w:lang w:val="en-AU"/>
        </w:rPr>
        <w:t>,</w:t>
      </w:r>
      <w:r w:rsidRPr="002A1351">
        <w:rPr>
          <w:rFonts w:ascii="Calibri" w:hAnsi="Calibri" w:cs="Calibri"/>
          <w:bCs/>
          <w:iCs/>
          <w:sz w:val="22"/>
          <w:szCs w:val="22"/>
          <w:lang w:val="en-AU"/>
        </w:rPr>
        <w:t xml:space="preserve"> Supplemental Figure</w:t>
      </w:r>
      <w:r w:rsidRPr="002A1351">
        <w:rPr>
          <w:rFonts w:ascii="Calibri" w:hAnsi="Calibri" w:cs="Calibri"/>
          <w:sz w:val="22"/>
          <w:szCs w:val="22"/>
          <w:lang w:val="en-AU"/>
        </w:rPr>
        <w:t xml:space="preserve"> 1E), confirming cytotoxicity at therapeutic radiation levels.</w:t>
      </w:r>
    </w:p>
    <w:p w14:paraId="6D750CE5" w14:textId="77777777" w:rsidR="00EA07BA" w:rsidRPr="002A1351" w:rsidRDefault="00EA07BA" w:rsidP="00EA07BA">
      <w:pPr>
        <w:pStyle w:val="ds-markdown-paragraph"/>
        <w:shd w:val="clear" w:color="auto" w:fill="FFFFFF"/>
        <w:spacing w:before="0" w:beforeAutospacing="0" w:after="0" w:afterAutospacing="0" w:line="360" w:lineRule="auto"/>
        <w:jc w:val="both"/>
        <w:rPr>
          <w:rFonts w:ascii="Calibri" w:hAnsi="Calibri" w:cs="Calibri"/>
          <w:sz w:val="22"/>
          <w:szCs w:val="22"/>
          <w:lang w:val="en-AU"/>
        </w:rPr>
      </w:pPr>
      <w:r w:rsidRPr="002A1351">
        <w:rPr>
          <w:rFonts w:ascii="Calibri" w:hAnsi="Calibri" w:cs="Calibri"/>
          <w:sz w:val="22"/>
          <w:szCs w:val="22"/>
          <w:lang w:val="en-AU"/>
        </w:rPr>
        <w:t>The </w:t>
      </w:r>
      <w:r w:rsidRPr="002A1351">
        <w:rPr>
          <w:rStyle w:val="Strong"/>
          <w:rFonts w:ascii="Calibri" w:hAnsi="Calibri" w:cs="Calibri"/>
          <w:sz w:val="22"/>
          <w:szCs w:val="22"/>
          <w:lang w:val="en-AU"/>
        </w:rPr>
        <w:t xml:space="preserve">0.4 </w:t>
      </w:r>
      <w:proofErr w:type="spellStart"/>
      <w:r w:rsidRPr="002A1351">
        <w:rPr>
          <w:rStyle w:val="Strong"/>
          <w:rFonts w:ascii="Calibri" w:hAnsi="Calibri" w:cs="Calibri"/>
          <w:sz w:val="22"/>
          <w:szCs w:val="22"/>
          <w:lang w:val="en-AU"/>
        </w:rPr>
        <w:t>Gy</w:t>
      </w:r>
      <w:proofErr w:type="spellEnd"/>
      <w:r w:rsidRPr="002A1351">
        <w:rPr>
          <w:rStyle w:val="Strong"/>
          <w:rFonts w:ascii="Calibri" w:hAnsi="Calibri" w:cs="Calibri"/>
          <w:sz w:val="22"/>
          <w:szCs w:val="22"/>
          <w:lang w:val="en-AU"/>
        </w:rPr>
        <w:t xml:space="preserve"> dose</w:t>
      </w:r>
      <w:r w:rsidRPr="002A1351">
        <w:rPr>
          <w:rFonts w:ascii="Calibri" w:hAnsi="Calibri" w:cs="Calibri"/>
          <w:sz w:val="22"/>
          <w:szCs w:val="22"/>
          <w:lang w:val="en-AU"/>
        </w:rPr>
        <w:t> was further validated by immunofluorescence staining of </w:t>
      </w:r>
      <w:r w:rsidRPr="002A1351">
        <w:rPr>
          <w:rStyle w:val="Strong"/>
          <w:rFonts w:ascii="Calibri" w:hAnsi="Calibri" w:cs="Calibri"/>
          <w:sz w:val="22"/>
          <w:szCs w:val="22"/>
          <w:lang w:val="en-AU"/>
        </w:rPr>
        <w:t>53BP1 foci</w:t>
      </w:r>
      <w:r w:rsidRPr="002A1351">
        <w:rPr>
          <w:rFonts w:ascii="Calibri" w:hAnsi="Calibri" w:cs="Calibri"/>
          <w:sz w:val="22"/>
          <w:szCs w:val="22"/>
          <w:lang w:val="en-AU"/>
        </w:rPr>
        <w:t xml:space="preserve">, a marker of DNA double-strand breaks. X-ray irradiated HepG2-NTCP cells were fixed 2 hours post irradiation and exhibited discrete nuclear 53BP1 </w:t>
      </w:r>
      <w:proofErr w:type="spellStart"/>
      <w:r w:rsidRPr="002A1351">
        <w:rPr>
          <w:rFonts w:ascii="Calibri" w:hAnsi="Calibri" w:cs="Calibri"/>
          <w:sz w:val="22"/>
          <w:szCs w:val="22"/>
          <w:lang w:val="en-AU"/>
        </w:rPr>
        <w:t>puncta</w:t>
      </w:r>
      <w:proofErr w:type="spellEnd"/>
      <w:r w:rsidRPr="002A1351">
        <w:rPr>
          <w:rFonts w:ascii="Calibri" w:hAnsi="Calibri" w:cs="Calibri"/>
          <w:sz w:val="22"/>
          <w:szCs w:val="22"/>
          <w:lang w:val="en-AU"/>
        </w:rPr>
        <w:t xml:space="preserve"> (</w:t>
      </w:r>
      <w:r w:rsidRPr="002A1351">
        <w:rPr>
          <w:rFonts w:ascii="Calibri" w:hAnsi="Calibri" w:cs="Calibri"/>
          <w:bCs/>
          <w:iCs/>
          <w:sz w:val="22"/>
          <w:szCs w:val="22"/>
          <w:lang w:val="en-AU"/>
        </w:rPr>
        <w:t>Supplemental Figure</w:t>
      </w:r>
      <w:r w:rsidRPr="002A1351">
        <w:rPr>
          <w:rFonts w:ascii="Calibri" w:hAnsi="Calibri" w:cs="Calibri"/>
          <w:sz w:val="22"/>
          <w:szCs w:val="22"/>
          <w:lang w:val="en-AU"/>
        </w:rPr>
        <w:t xml:space="preserve"> 1F), confirming DNA damage induction without catastrophic cell death. This aligns with the viability data and supports the use of </w:t>
      </w:r>
      <w:r w:rsidRPr="002A1351">
        <w:rPr>
          <w:rStyle w:val="Strong"/>
          <w:rFonts w:ascii="Calibri" w:hAnsi="Calibri" w:cs="Calibri"/>
          <w:sz w:val="22"/>
          <w:szCs w:val="22"/>
          <w:lang w:val="en-AU"/>
        </w:rPr>
        <w:t xml:space="preserve">0.4 </w:t>
      </w:r>
      <w:proofErr w:type="spellStart"/>
      <w:r w:rsidRPr="002A1351">
        <w:rPr>
          <w:rStyle w:val="Strong"/>
          <w:rFonts w:ascii="Calibri" w:hAnsi="Calibri" w:cs="Calibri"/>
          <w:sz w:val="22"/>
          <w:szCs w:val="22"/>
          <w:lang w:val="en-AU"/>
        </w:rPr>
        <w:t>Gy</w:t>
      </w:r>
      <w:proofErr w:type="spellEnd"/>
      <w:r w:rsidRPr="002A1351">
        <w:rPr>
          <w:rFonts w:ascii="Calibri" w:hAnsi="Calibri" w:cs="Calibri"/>
          <w:sz w:val="22"/>
          <w:szCs w:val="22"/>
          <w:lang w:val="en-AU"/>
        </w:rPr>
        <w:t> for subsequent integration experiments, where controlled DNA damage is required without overt toxicity.</w:t>
      </w:r>
    </w:p>
    <w:p w14:paraId="3E7C8E73" w14:textId="77777777" w:rsidR="00EA07BA" w:rsidRPr="00430FBB" w:rsidRDefault="00EA07BA" w:rsidP="00EA07BA">
      <w:pPr>
        <w:spacing w:line="276" w:lineRule="auto"/>
        <w:jc w:val="both"/>
        <w:rPr>
          <w:rFonts w:ascii="Calibri" w:hAnsi="Calibri" w:cs="Calibri"/>
        </w:rPr>
      </w:pPr>
      <w:r w:rsidRPr="00430FBB">
        <w:rPr>
          <w:rFonts w:ascii="Calibri" w:hAnsi="Calibri" w:cs="Calibri"/>
          <w:b/>
          <w:bCs/>
          <w:noProof/>
          <w:lang w:val="en-US"/>
        </w:rPr>
        <w:drawing>
          <wp:inline distT="0" distB="0" distL="0" distR="0" wp14:anchorId="6A766289" wp14:editId="5AAF16F5">
            <wp:extent cx="2883877" cy="196829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1238"/>
                    <a:stretch/>
                  </pic:blipFill>
                  <pic:spPr bwMode="auto">
                    <a:xfrm>
                      <a:off x="0" y="0"/>
                      <a:ext cx="2949359" cy="2012988"/>
                    </a:xfrm>
                    <a:prstGeom prst="rect">
                      <a:avLst/>
                    </a:prstGeom>
                    <a:noFill/>
                    <a:ln>
                      <a:noFill/>
                    </a:ln>
                    <a:extLst>
                      <a:ext uri="{53640926-AAD7-44D8-BBD7-CCE9431645EC}">
                        <a14:shadowObscured xmlns:a14="http://schemas.microsoft.com/office/drawing/2010/main"/>
                      </a:ext>
                    </a:extLst>
                  </pic:spPr>
                </pic:pic>
              </a:graphicData>
            </a:graphic>
          </wp:inline>
        </w:drawing>
      </w:r>
      <w:r w:rsidRPr="00430FBB">
        <w:rPr>
          <w:rFonts w:ascii="Calibri" w:hAnsi="Calibri" w:cs="Calibri"/>
          <w:b/>
          <w:bCs/>
          <w:noProof/>
          <w:lang w:val="en-US"/>
        </w:rPr>
        <w:drawing>
          <wp:inline distT="0" distB="0" distL="0" distR="0" wp14:anchorId="0A109225" wp14:editId="38C34073">
            <wp:extent cx="2379785" cy="2413618"/>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4119" cy="2448440"/>
                    </a:xfrm>
                    <a:prstGeom prst="rect">
                      <a:avLst/>
                    </a:prstGeom>
                    <a:noFill/>
                  </pic:spPr>
                </pic:pic>
              </a:graphicData>
            </a:graphic>
          </wp:inline>
        </w:drawing>
      </w:r>
    </w:p>
    <w:p w14:paraId="4B71A2ED" w14:textId="77777777" w:rsidR="00EA07BA" w:rsidRPr="002A1351" w:rsidRDefault="00EA07BA" w:rsidP="00EA07BA">
      <w:pPr>
        <w:spacing w:line="276" w:lineRule="auto"/>
        <w:jc w:val="both"/>
        <w:rPr>
          <w:rFonts w:ascii="Calibri" w:hAnsi="Calibri" w:cs="Calibri"/>
        </w:rPr>
      </w:pPr>
      <w:r w:rsidRPr="002A1351">
        <w:rPr>
          <w:rFonts w:ascii="Calibri" w:hAnsi="Calibri" w:cs="Calibri"/>
          <w:noProof/>
          <w:lang w:val="en-US"/>
        </w:rPr>
        <w:lastRenderedPageBreak/>
        <w:drawing>
          <wp:inline distT="0" distB="0" distL="0" distR="0" wp14:anchorId="358C5FA8" wp14:editId="653E8EBD">
            <wp:extent cx="5334000" cy="205352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8841"/>
                    <a:stretch/>
                  </pic:blipFill>
                  <pic:spPr bwMode="auto">
                    <a:xfrm>
                      <a:off x="0" y="0"/>
                      <a:ext cx="5370653" cy="2067636"/>
                    </a:xfrm>
                    <a:prstGeom prst="rect">
                      <a:avLst/>
                    </a:prstGeom>
                    <a:noFill/>
                    <a:ln>
                      <a:noFill/>
                    </a:ln>
                    <a:extLst>
                      <a:ext uri="{53640926-AAD7-44D8-BBD7-CCE9431645EC}">
                        <a14:shadowObscured xmlns:a14="http://schemas.microsoft.com/office/drawing/2010/main"/>
                      </a:ext>
                    </a:extLst>
                  </pic:spPr>
                </pic:pic>
              </a:graphicData>
            </a:graphic>
          </wp:inline>
        </w:drawing>
      </w:r>
    </w:p>
    <w:p w14:paraId="61842D12" w14:textId="77777777" w:rsidR="00EA07BA" w:rsidRPr="002A1351" w:rsidRDefault="00EA07BA" w:rsidP="00EA07BA">
      <w:pPr>
        <w:spacing w:line="276" w:lineRule="auto"/>
        <w:jc w:val="both"/>
        <w:rPr>
          <w:rFonts w:ascii="Calibri" w:hAnsi="Calibri" w:cs="Calibri"/>
        </w:rPr>
      </w:pPr>
      <w:r w:rsidRPr="002A1351">
        <w:rPr>
          <w:rFonts w:ascii="Calibri" w:hAnsi="Calibri" w:cs="Calibri"/>
          <w:noProof/>
          <w:lang w:val="en-US"/>
        </w:rPr>
        <w:drawing>
          <wp:inline distT="0" distB="0" distL="0" distR="0" wp14:anchorId="2BF6D947" wp14:editId="37FA52DC">
            <wp:extent cx="3786052" cy="2455985"/>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6884" cy="2482473"/>
                    </a:xfrm>
                    <a:prstGeom prst="rect">
                      <a:avLst/>
                    </a:prstGeom>
                    <a:noFill/>
                  </pic:spPr>
                </pic:pic>
              </a:graphicData>
            </a:graphic>
          </wp:inline>
        </w:drawing>
      </w:r>
    </w:p>
    <w:p w14:paraId="26C1F69D" w14:textId="77777777" w:rsidR="00EA07BA" w:rsidRPr="00430FBB" w:rsidRDefault="00EA07BA" w:rsidP="00EA07BA">
      <w:pPr>
        <w:spacing w:after="0" w:line="360" w:lineRule="auto"/>
        <w:jc w:val="both"/>
        <w:rPr>
          <w:rFonts w:ascii="Calibri" w:hAnsi="Calibri" w:cs="Calibri"/>
          <w:iCs/>
          <w:color w:val="002060"/>
        </w:rPr>
      </w:pPr>
      <w:proofErr w:type="gramStart"/>
      <w:r w:rsidRPr="00430FBB">
        <w:rPr>
          <w:rFonts w:ascii="Calibri" w:hAnsi="Calibri" w:cs="Calibri"/>
          <w:b/>
          <w:bCs/>
          <w:iCs/>
          <w:color w:val="002060"/>
        </w:rPr>
        <w:t>Supplemental Figure 1.</w:t>
      </w:r>
      <w:proofErr w:type="gramEnd"/>
      <w:r w:rsidRPr="00430FBB">
        <w:rPr>
          <w:rFonts w:ascii="Calibri" w:hAnsi="Calibri" w:cs="Calibri"/>
          <w:b/>
          <w:bCs/>
          <w:iCs/>
          <w:color w:val="002060"/>
        </w:rPr>
        <w:t xml:space="preserve"> Determination of X-ray irradiation dose that is sufficient to induce DNA damage without significantly impairing cell viability or mitotic activity. (A)</w:t>
      </w:r>
      <w:r w:rsidRPr="00430FBB">
        <w:rPr>
          <w:rFonts w:ascii="Calibri" w:hAnsi="Calibri" w:cs="Calibri"/>
          <w:iCs/>
          <w:color w:val="002060"/>
        </w:rPr>
        <w:t xml:space="preserve"> </w:t>
      </w:r>
      <w:r w:rsidRPr="00430FBB">
        <w:rPr>
          <w:rFonts w:ascii="Calibri" w:hAnsi="Calibri" w:cs="Calibri"/>
          <w:b/>
          <w:bCs/>
          <w:iCs/>
          <w:color w:val="002060"/>
        </w:rPr>
        <w:t>Experimental outline.</w:t>
      </w:r>
      <w:r w:rsidRPr="00430FBB">
        <w:rPr>
          <w:rFonts w:ascii="Calibri" w:hAnsi="Calibri" w:cs="Calibri"/>
          <w:iCs/>
          <w:color w:val="002060"/>
        </w:rPr>
        <w:t xml:space="preserve"> HepG2-NTCP cells were seeded and mock-infected, then irradiated with increasing doses of X-ray (0.08, 0.4, 2, or 4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on day 2 post-seeding. Two hours after X-ray irradiation, cells were re-seeded to support continued proliferation. Cell viability was assessed on day 5 using </w:t>
      </w:r>
      <w:proofErr w:type="spellStart"/>
      <w:r w:rsidRPr="00430FBB">
        <w:rPr>
          <w:rFonts w:ascii="Calibri" w:hAnsi="Calibri" w:cs="Calibri"/>
          <w:iCs/>
          <w:color w:val="002060"/>
        </w:rPr>
        <w:t>CytoFLEX</w:t>
      </w:r>
      <w:proofErr w:type="spellEnd"/>
      <w:r w:rsidRPr="00430FBB">
        <w:rPr>
          <w:rFonts w:ascii="Calibri" w:hAnsi="Calibri" w:cs="Calibri"/>
          <w:iCs/>
          <w:color w:val="002060"/>
        </w:rPr>
        <w:t xml:space="preserve"> flow cytometry. (</w:t>
      </w:r>
      <w:r w:rsidRPr="00430FBB">
        <w:rPr>
          <w:rFonts w:ascii="Calibri" w:hAnsi="Calibri" w:cs="Calibri"/>
          <w:b/>
          <w:iCs/>
          <w:color w:val="002060"/>
        </w:rPr>
        <w:t>B)</w:t>
      </w:r>
      <w:r w:rsidRPr="00430FBB">
        <w:rPr>
          <w:rFonts w:ascii="Calibri" w:hAnsi="Calibri" w:cs="Calibri"/>
          <w:color w:val="002060"/>
        </w:rPr>
        <w:t xml:space="preserve"> </w:t>
      </w:r>
      <w:r w:rsidRPr="00430FBB">
        <w:rPr>
          <w:rFonts w:ascii="Calibri" w:hAnsi="Calibri" w:cs="Calibri"/>
          <w:b/>
          <w:bCs/>
          <w:iCs/>
          <w:color w:val="002060"/>
        </w:rPr>
        <w:t xml:space="preserve">Cell viability by </w:t>
      </w:r>
      <w:proofErr w:type="spellStart"/>
      <w:r w:rsidRPr="00430FBB">
        <w:rPr>
          <w:rFonts w:ascii="Calibri" w:hAnsi="Calibri" w:cs="Calibri"/>
          <w:b/>
          <w:bCs/>
          <w:iCs/>
          <w:color w:val="002060"/>
        </w:rPr>
        <w:t>Cytoflex</w:t>
      </w:r>
      <w:proofErr w:type="spellEnd"/>
      <w:r w:rsidRPr="00430FBB">
        <w:rPr>
          <w:rFonts w:ascii="Calibri" w:hAnsi="Calibri" w:cs="Calibri"/>
          <w:b/>
          <w:bCs/>
          <w:iCs/>
          <w:color w:val="002060"/>
        </w:rPr>
        <w:t xml:space="preserve"> Flow Cytometer.</w:t>
      </w:r>
      <w:r w:rsidRPr="00430FBB">
        <w:rPr>
          <w:rFonts w:ascii="Calibri" w:hAnsi="Calibri" w:cs="Calibri"/>
          <w:iCs/>
          <w:color w:val="002060"/>
        </w:rPr>
        <w:t xml:space="preserve"> HepG2-NTCP cells were exposed to increasing doses of X-ray irradiation (0.08, 0.4, 2, and 4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and cell viability was assessed 3 days post-irradiation. The data show a dose-dependent reduction in viable cell populations. Cells exposed to 2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and 4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exhibited significantly decreased viability compared to the non-irradiated control, indicating cytotoxic effects at higher doses. In contrast, cells treated with 0.08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showed viability comparable to control, while 0.4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resulted in a moderate reduction, suggesting partial impact on proliferation without complete loss of viability. This supports the selection of 0.4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(highlighted in orange) as an appropriate dose for inducing DNA damage while maintaining cell growth capacity. </w:t>
      </w:r>
      <w:r w:rsidRPr="00430FBB">
        <w:rPr>
          <w:rFonts w:ascii="Calibri" w:hAnsi="Calibri" w:cs="Calibri"/>
          <w:b/>
          <w:iCs/>
          <w:color w:val="002060"/>
          <w:lang w:eastAsia="zh-CN"/>
        </w:rPr>
        <w:t>(</w:t>
      </w:r>
      <w:r w:rsidRPr="00430FBB">
        <w:rPr>
          <w:rFonts w:ascii="Calibri" w:hAnsi="Calibri" w:cs="Calibri"/>
          <w:b/>
          <w:iCs/>
          <w:color w:val="002060"/>
        </w:rPr>
        <w:t>C-E)</w:t>
      </w:r>
      <w:r w:rsidRPr="00430FBB">
        <w:rPr>
          <w:rFonts w:ascii="Calibri" w:hAnsi="Calibri" w:cs="Calibri"/>
          <w:b/>
          <w:color w:val="002060"/>
        </w:rPr>
        <w:t xml:space="preserve"> </w:t>
      </w:r>
      <w:r w:rsidRPr="00430FBB">
        <w:rPr>
          <w:rFonts w:ascii="Calibri" w:hAnsi="Calibri" w:cs="Calibri"/>
          <w:b/>
          <w:iCs/>
          <w:color w:val="002060"/>
        </w:rPr>
        <w:t xml:space="preserve">Representative flow cytometry dot plots (SSC-A vs. DAPI) </w:t>
      </w:r>
      <w:r w:rsidRPr="00430FBB">
        <w:rPr>
          <w:rFonts w:ascii="Calibri" w:hAnsi="Calibri" w:cs="Calibri"/>
          <w:iCs/>
          <w:color w:val="002060"/>
        </w:rPr>
        <w:t>showing live cell populations under three irradiation conditions. C. Non-irradiated control: 93.57% live cells (DAPI-low, gate R1).</w:t>
      </w:r>
      <w:r w:rsidRPr="00430FBB">
        <w:rPr>
          <w:rFonts w:ascii="Calibri" w:hAnsi="Calibri" w:cs="Calibri"/>
          <w:iCs/>
          <w:color w:val="002060"/>
          <w:lang w:eastAsia="zh-CN"/>
        </w:rPr>
        <w:t xml:space="preserve"> D. </w:t>
      </w:r>
      <w:r w:rsidRPr="00430FBB">
        <w:rPr>
          <w:rFonts w:ascii="Calibri" w:hAnsi="Calibri" w:cs="Calibri"/>
          <w:iCs/>
          <w:color w:val="002060"/>
        </w:rPr>
        <w:t xml:space="preserve">0.4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irradiated: 93.16% live cells.</w:t>
      </w:r>
      <w:r w:rsidRPr="00430FBB">
        <w:rPr>
          <w:rFonts w:ascii="Calibri" w:hAnsi="Calibri" w:cs="Calibri"/>
          <w:iCs/>
          <w:color w:val="002060"/>
          <w:lang w:eastAsia="zh-CN"/>
        </w:rPr>
        <w:t xml:space="preserve"> E. </w:t>
      </w:r>
      <w:r w:rsidRPr="00430FBB">
        <w:rPr>
          <w:rFonts w:ascii="Calibri" w:hAnsi="Calibri" w:cs="Calibri"/>
          <w:iCs/>
          <w:color w:val="002060"/>
        </w:rPr>
        <w:t xml:space="preserve">4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irradiated: 89.22% live cells. Gates (R1) were set using unstained </w:t>
      </w:r>
      <w:r w:rsidRPr="00430FBB">
        <w:rPr>
          <w:rFonts w:ascii="Calibri" w:hAnsi="Calibri" w:cs="Calibri"/>
          <w:iCs/>
          <w:color w:val="002060"/>
        </w:rPr>
        <w:lastRenderedPageBreak/>
        <w:t>controls to define DAPI-low viable cells. Data were acquired on</w:t>
      </w:r>
      <w:r w:rsidRPr="002A1351">
        <w:rPr>
          <w:rFonts w:ascii="Calibri" w:hAnsi="Calibri" w:cs="Calibri"/>
          <w:color w:val="002060"/>
        </w:rPr>
        <w:t xml:space="preserve"> </w:t>
      </w:r>
      <w:proofErr w:type="spellStart"/>
      <w:r w:rsidRPr="002A1351">
        <w:rPr>
          <w:rFonts w:ascii="Calibri" w:hAnsi="Calibri" w:cs="Calibri"/>
          <w:color w:val="002060"/>
        </w:rPr>
        <w:t>Cytoflex</w:t>
      </w:r>
      <w:proofErr w:type="spellEnd"/>
      <w:r w:rsidRPr="002A1351">
        <w:rPr>
          <w:rFonts w:ascii="Calibri" w:hAnsi="Calibri" w:cs="Calibri"/>
          <w:color w:val="002060"/>
        </w:rPr>
        <w:t xml:space="preserve"> Flow Cytometer (Beckman Coulter)</w:t>
      </w:r>
      <w:r w:rsidRPr="00430FBB">
        <w:rPr>
          <w:color w:val="002060"/>
        </w:rPr>
        <w:t xml:space="preserve"> </w:t>
      </w:r>
      <w:r w:rsidRPr="002A1351">
        <w:rPr>
          <w:rFonts w:ascii="Calibri" w:hAnsi="Calibri" w:cs="Calibri"/>
          <w:color w:val="002060"/>
        </w:rPr>
        <w:t xml:space="preserve">and data were </w:t>
      </w:r>
      <w:proofErr w:type="spellStart"/>
      <w:r w:rsidRPr="002A1351">
        <w:rPr>
          <w:rFonts w:ascii="Calibri" w:hAnsi="Calibri" w:cs="Calibri"/>
          <w:color w:val="002060"/>
        </w:rPr>
        <w:t>analyzed</w:t>
      </w:r>
      <w:proofErr w:type="spellEnd"/>
      <w:r w:rsidRPr="002A1351">
        <w:rPr>
          <w:rFonts w:ascii="Calibri" w:hAnsi="Calibri" w:cs="Calibri"/>
          <w:color w:val="002060"/>
        </w:rPr>
        <w:t xml:space="preserve"> with the </w:t>
      </w:r>
      <w:proofErr w:type="spellStart"/>
      <w:r w:rsidRPr="002A1351">
        <w:rPr>
          <w:rFonts w:ascii="Calibri" w:hAnsi="Calibri" w:cs="Calibri"/>
          <w:color w:val="002060"/>
        </w:rPr>
        <w:t>CytExpert</w:t>
      </w:r>
      <w:proofErr w:type="spellEnd"/>
      <w:r w:rsidRPr="002A1351">
        <w:rPr>
          <w:rFonts w:ascii="Calibri" w:hAnsi="Calibri" w:cs="Calibri"/>
          <w:color w:val="002060"/>
        </w:rPr>
        <w:t xml:space="preserve"> software</w:t>
      </w:r>
      <w:r w:rsidRPr="00430FBB">
        <w:rPr>
          <w:color w:val="002060"/>
        </w:rPr>
        <w:t xml:space="preserve"> </w:t>
      </w:r>
      <w:r w:rsidRPr="002A1351">
        <w:rPr>
          <w:rFonts w:ascii="Calibri" w:hAnsi="Calibri" w:cs="Calibri"/>
          <w:color w:val="002060"/>
        </w:rPr>
        <w:t>(v2.5, Beckman Coulter)</w:t>
      </w:r>
      <w:r w:rsidRPr="00430FBB">
        <w:rPr>
          <w:rFonts w:ascii="Calibri" w:hAnsi="Calibri" w:cs="Calibri"/>
          <w:iCs/>
          <w:color w:val="002060"/>
        </w:rPr>
        <w:t xml:space="preserve">. </w:t>
      </w:r>
      <w:r w:rsidRPr="00430FBB">
        <w:rPr>
          <w:rFonts w:ascii="Calibri" w:hAnsi="Calibri" w:cs="Calibri"/>
          <w:b/>
          <w:iCs/>
          <w:color w:val="002060"/>
        </w:rPr>
        <w:t>(F) Example images showing DNA damage foci post-X-ray irradiation.</w:t>
      </w:r>
      <w:r w:rsidRPr="00430FBB">
        <w:rPr>
          <w:rFonts w:ascii="Calibri" w:hAnsi="Calibri" w:cs="Calibri"/>
          <w:iCs/>
          <w:color w:val="002060"/>
          <w:lang w:eastAsia="zh-CN"/>
        </w:rPr>
        <w:t xml:space="preserve"> </w:t>
      </w:r>
      <w:r w:rsidRPr="00430FBB">
        <w:rPr>
          <w:rFonts w:ascii="Calibri" w:hAnsi="Calibri" w:cs="Calibri"/>
          <w:iCs/>
          <w:color w:val="002060"/>
        </w:rPr>
        <w:t xml:space="preserve">HepG2-NTCP cells irradiated with 0.4 </w:t>
      </w:r>
      <w:proofErr w:type="spellStart"/>
      <w:r w:rsidRPr="00430FBB">
        <w:rPr>
          <w:rFonts w:ascii="Calibri" w:hAnsi="Calibri" w:cs="Calibri"/>
          <w:iCs/>
          <w:color w:val="002060"/>
        </w:rPr>
        <w:t>Gy</w:t>
      </w:r>
      <w:proofErr w:type="spellEnd"/>
      <w:r w:rsidRPr="00430FBB">
        <w:rPr>
          <w:rFonts w:ascii="Calibri" w:hAnsi="Calibri" w:cs="Calibri"/>
          <w:iCs/>
          <w:color w:val="002060"/>
        </w:rPr>
        <w:t xml:space="preserve"> X-ray were fixed and </w:t>
      </w:r>
      <w:proofErr w:type="spellStart"/>
      <w:r w:rsidRPr="00430FBB">
        <w:rPr>
          <w:rFonts w:ascii="Calibri" w:hAnsi="Calibri" w:cs="Calibri"/>
          <w:iCs/>
          <w:color w:val="002060"/>
        </w:rPr>
        <w:t>immunostained</w:t>
      </w:r>
      <w:proofErr w:type="spellEnd"/>
      <w:r w:rsidRPr="00430FBB">
        <w:rPr>
          <w:rFonts w:ascii="Calibri" w:hAnsi="Calibri" w:cs="Calibri"/>
          <w:iCs/>
          <w:color w:val="002060"/>
        </w:rPr>
        <w:t xml:space="preserve"> for 53BP1 (DNA double-strand breaks marker). Merged fluorescence images (DAPI, blue; TRITC, red) show discrete nuclear 53BP1 foci (red </w:t>
      </w:r>
      <w:proofErr w:type="spellStart"/>
      <w:r w:rsidRPr="00430FBB">
        <w:rPr>
          <w:rFonts w:ascii="Calibri" w:hAnsi="Calibri" w:cs="Calibri"/>
          <w:iCs/>
          <w:color w:val="002060"/>
        </w:rPr>
        <w:t>puncta</w:t>
      </w:r>
      <w:proofErr w:type="spellEnd"/>
      <w:r w:rsidRPr="00430FBB">
        <w:rPr>
          <w:rFonts w:ascii="Calibri" w:hAnsi="Calibri" w:cs="Calibri"/>
          <w:iCs/>
          <w:color w:val="002060"/>
        </w:rPr>
        <w:t xml:space="preserve">), suggestive of DNA double-strand breaks. Yellow arrows point to representative 53BP1 foci (red </w:t>
      </w:r>
      <w:proofErr w:type="spellStart"/>
      <w:r w:rsidRPr="00430FBB">
        <w:rPr>
          <w:rFonts w:ascii="Calibri" w:hAnsi="Calibri" w:cs="Calibri"/>
          <w:iCs/>
          <w:color w:val="002060"/>
        </w:rPr>
        <w:t>puncta</w:t>
      </w:r>
      <w:proofErr w:type="spellEnd"/>
      <w:r w:rsidRPr="00430FBB">
        <w:rPr>
          <w:rFonts w:ascii="Calibri" w:hAnsi="Calibri" w:cs="Calibri"/>
          <w:iCs/>
          <w:color w:val="002060"/>
        </w:rPr>
        <w:t xml:space="preserve">). Images were acquired using a ZEISS </w:t>
      </w:r>
      <w:proofErr w:type="spellStart"/>
      <w:r w:rsidRPr="00430FBB">
        <w:rPr>
          <w:rFonts w:ascii="Calibri" w:hAnsi="Calibri" w:cs="Calibri"/>
          <w:iCs/>
          <w:color w:val="002060"/>
        </w:rPr>
        <w:t>Axio</w:t>
      </w:r>
      <w:proofErr w:type="spellEnd"/>
      <w:r w:rsidRPr="00430FBB">
        <w:rPr>
          <w:rFonts w:ascii="Calibri" w:hAnsi="Calibri" w:cs="Calibri"/>
          <w:iCs/>
          <w:color w:val="002060"/>
        </w:rPr>
        <w:t xml:space="preserve"> Imager microscope (63x oil objective) and processed with ZEISS ZEN </w:t>
      </w:r>
      <w:proofErr w:type="spellStart"/>
      <w:r w:rsidRPr="00430FBB">
        <w:rPr>
          <w:rFonts w:ascii="Calibri" w:hAnsi="Calibri" w:cs="Calibri"/>
          <w:iCs/>
          <w:color w:val="002060"/>
        </w:rPr>
        <w:t>lite</w:t>
      </w:r>
      <w:proofErr w:type="spellEnd"/>
      <w:r w:rsidRPr="00430FBB">
        <w:rPr>
          <w:rFonts w:ascii="Calibri" w:hAnsi="Calibri" w:cs="Calibri"/>
          <w:iCs/>
          <w:color w:val="002060"/>
        </w:rPr>
        <w:t>. Scale bar: 10 µm.</w:t>
      </w:r>
    </w:p>
    <w:p w14:paraId="7A1EAE29" w14:textId="77777777" w:rsidR="00EA07BA" w:rsidRPr="002A1351" w:rsidRDefault="00EA07BA" w:rsidP="00EA07BA">
      <w:pPr>
        <w:spacing w:after="0" w:line="360" w:lineRule="auto"/>
        <w:rPr>
          <w:rFonts w:ascii="Calibri" w:hAnsi="Calibri" w:cs="Calibri"/>
          <w:b/>
          <w:bCs/>
          <w:color w:val="002060"/>
          <w:sz w:val="24"/>
          <w:szCs w:val="24"/>
        </w:rPr>
      </w:pPr>
    </w:p>
    <w:p w14:paraId="060C65E4" w14:textId="77777777" w:rsidR="00EA07BA" w:rsidRPr="002A1351" w:rsidRDefault="00EA07BA" w:rsidP="00EA07BA">
      <w:pPr>
        <w:spacing w:after="0" w:line="360" w:lineRule="auto"/>
        <w:rPr>
          <w:rFonts w:ascii="Calibri" w:hAnsi="Calibri" w:cs="Calibri"/>
          <w:b/>
          <w:bCs/>
          <w:color w:val="002060"/>
          <w:sz w:val="24"/>
          <w:szCs w:val="24"/>
        </w:rPr>
      </w:pPr>
      <w:r w:rsidRPr="002A1351">
        <w:rPr>
          <w:rFonts w:ascii="Calibri" w:hAnsi="Calibri" w:cs="Calibri"/>
          <w:b/>
          <w:bCs/>
          <w:color w:val="002060"/>
          <w:sz w:val="24"/>
          <w:szCs w:val="24"/>
        </w:rPr>
        <w:t xml:space="preserve">Cytotoxicity analysis for DNA inhibitors </w:t>
      </w:r>
    </w:p>
    <w:p w14:paraId="24AD8D35" w14:textId="77777777" w:rsidR="00EA07BA" w:rsidRPr="002A1351" w:rsidRDefault="00EA07BA" w:rsidP="00EA07BA">
      <w:pPr>
        <w:spacing w:after="0" w:line="360" w:lineRule="auto"/>
        <w:jc w:val="both"/>
        <w:rPr>
          <w:rFonts w:ascii="Calibri" w:hAnsi="Calibri" w:cs="Calibri"/>
          <w:color w:val="000000" w:themeColor="text1"/>
        </w:rPr>
      </w:pPr>
      <w:r w:rsidRPr="002A1351">
        <w:rPr>
          <w:rFonts w:ascii="Calibri" w:hAnsi="Calibri" w:cs="Calibri"/>
        </w:rPr>
        <w:t xml:space="preserve">To determine the dose of compounds/DNA repair inhibitors that is sufficient to induce DNA damage without significantly impairing cell viability or mitotic activity. HepG2-NTCP cells were seeded and treated with </w:t>
      </w:r>
      <w:r w:rsidRPr="002A1351">
        <w:rPr>
          <w:rFonts w:ascii="Calibri" w:hAnsi="Calibri" w:cs="Calibri"/>
          <w:color w:val="000000" w:themeColor="text1"/>
        </w:rPr>
        <w:t xml:space="preserve">ART558 (10, 20 or 40 </w:t>
      </w:r>
      <w:proofErr w:type="spellStart"/>
      <w:r w:rsidRPr="002A1351">
        <w:rPr>
          <w:rFonts w:ascii="Calibri" w:hAnsi="Calibri" w:cs="Calibri"/>
          <w:color w:val="000000" w:themeColor="text1"/>
        </w:rPr>
        <w:t>nM</w:t>
      </w:r>
      <w:proofErr w:type="spellEnd"/>
      <w:r w:rsidRPr="002A1351">
        <w:rPr>
          <w:rFonts w:ascii="Calibri" w:hAnsi="Calibri" w:cs="Calibri"/>
          <w:color w:val="000000" w:themeColor="text1"/>
        </w:rPr>
        <w:t xml:space="preserve">), AZD6738 (0.5, 1 or 2 µM), </w:t>
      </w:r>
      <w:proofErr w:type="gramStart"/>
      <w:r w:rsidRPr="002A1351">
        <w:rPr>
          <w:rFonts w:ascii="Calibri" w:hAnsi="Calibri" w:cs="Calibri"/>
          <w:color w:val="000000" w:themeColor="text1"/>
        </w:rPr>
        <w:t>NU7441(</w:t>
      </w:r>
      <w:proofErr w:type="gramEnd"/>
      <w:r w:rsidRPr="002A1351">
        <w:rPr>
          <w:rFonts w:ascii="Calibri" w:hAnsi="Calibri" w:cs="Calibri"/>
          <w:color w:val="000000" w:themeColor="text1"/>
        </w:rPr>
        <w:t xml:space="preserve">0.25, 0.5 or 1 µM) or VE822 (25, 50, 100, 200 or 400 </w:t>
      </w:r>
      <w:proofErr w:type="spellStart"/>
      <w:r w:rsidRPr="002A1351">
        <w:rPr>
          <w:rFonts w:ascii="Calibri" w:hAnsi="Calibri" w:cs="Calibri"/>
          <w:color w:val="000000" w:themeColor="text1"/>
        </w:rPr>
        <w:t>nM</w:t>
      </w:r>
      <w:proofErr w:type="spellEnd"/>
      <w:r w:rsidRPr="002A1351">
        <w:rPr>
          <w:rFonts w:ascii="Calibri" w:hAnsi="Calibri" w:cs="Calibri"/>
          <w:color w:val="000000" w:themeColor="text1"/>
        </w:rPr>
        <w:t xml:space="preserve">) on day 0, </w:t>
      </w:r>
      <w:r w:rsidRPr="002A1351">
        <w:rPr>
          <w:rFonts w:ascii="Calibri" w:hAnsi="Calibri" w:cs="Calibri"/>
        </w:rPr>
        <w:t xml:space="preserve">then wash and mock-infected 24 hours post compound treatment (day 1), re-seeded on day 4 (3 days post mock-infection). Cell viability was assessed on day 7 using </w:t>
      </w:r>
      <w:proofErr w:type="spellStart"/>
      <w:r w:rsidRPr="002A1351">
        <w:rPr>
          <w:rFonts w:ascii="Calibri" w:hAnsi="Calibri" w:cs="Calibri"/>
        </w:rPr>
        <w:t>CytoFLEX</w:t>
      </w:r>
      <w:proofErr w:type="spellEnd"/>
      <w:r w:rsidRPr="002A1351">
        <w:rPr>
          <w:rFonts w:ascii="Calibri" w:hAnsi="Calibri" w:cs="Calibri"/>
        </w:rPr>
        <w:t xml:space="preserve"> flow cytometry (</w:t>
      </w:r>
      <w:r w:rsidRPr="002A1351">
        <w:rPr>
          <w:rFonts w:ascii="Calibri" w:hAnsi="Calibri" w:cs="Calibri"/>
          <w:b/>
        </w:rPr>
        <w:t>Supplemental figure 2A</w:t>
      </w:r>
      <w:r w:rsidRPr="002A1351">
        <w:rPr>
          <w:rFonts w:ascii="Calibri" w:hAnsi="Calibri" w:cs="Calibri"/>
        </w:rPr>
        <w:t>).</w:t>
      </w:r>
    </w:p>
    <w:p w14:paraId="310EF8A1" w14:textId="77777777" w:rsidR="00EA07BA" w:rsidRPr="00430FBB" w:rsidRDefault="00EA07BA" w:rsidP="00EA07BA">
      <w:pPr>
        <w:spacing w:after="0" w:line="360" w:lineRule="auto"/>
        <w:jc w:val="both"/>
        <w:rPr>
          <w:rFonts w:ascii="Calibri" w:hAnsi="Calibri" w:cs="Calibri"/>
        </w:rPr>
      </w:pPr>
      <w:r w:rsidRPr="002A1351">
        <w:rPr>
          <w:rFonts w:ascii="Calibri" w:hAnsi="Calibri" w:cs="Calibri"/>
        </w:rPr>
        <w:t xml:space="preserve">As shown in </w:t>
      </w:r>
      <w:r w:rsidRPr="002A1351">
        <w:rPr>
          <w:rFonts w:ascii="Calibri" w:hAnsi="Calibri" w:cs="Calibri"/>
          <w:b/>
          <w:bCs/>
        </w:rPr>
        <w:t>Supplemental figure 2B-2E</w:t>
      </w:r>
      <w:r w:rsidRPr="002A1351">
        <w:rPr>
          <w:rFonts w:ascii="Calibri" w:hAnsi="Calibri" w:cs="Calibri"/>
        </w:rPr>
        <w:t xml:space="preserve">, increasing concentrations of the selected inhibitors progressively reduced HepG2-NTCP cell viability, with higher doses causing marked cytotoxicity. To identify doses that induce cellular stress or DNA damage without significantly impairing cell viability or mitotic activity, we evaluated viability 5–7 </w:t>
      </w:r>
      <w:proofErr w:type="gramStart"/>
      <w:r w:rsidRPr="002A1351">
        <w:rPr>
          <w:rFonts w:ascii="Calibri" w:hAnsi="Calibri" w:cs="Calibri"/>
        </w:rPr>
        <w:t>days</w:t>
      </w:r>
      <w:proofErr w:type="gramEnd"/>
      <w:r w:rsidRPr="002A1351">
        <w:rPr>
          <w:rFonts w:ascii="Calibri" w:hAnsi="Calibri" w:cs="Calibri"/>
        </w:rPr>
        <w:t xml:space="preserve"> post-treatment using </w:t>
      </w:r>
      <w:proofErr w:type="spellStart"/>
      <w:r w:rsidRPr="002A1351">
        <w:rPr>
          <w:rFonts w:ascii="Calibri" w:hAnsi="Calibri" w:cs="Calibri"/>
        </w:rPr>
        <w:t>CytoFLEX</w:t>
      </w:r>
      <w:proofErr w:type="spellEnd"/>
      <w:r w:rsidRPr="002A1351">
        <w:rPr>
          <w:rFonts w:ascii="Calibri" w:hAnsi="Calibri" w:cs="Calibri"/>
        </w:rPr>
        <w:t xml:space="preserve"> flow cytometry. Based on these results, the following concentrations were selected for subsequent experiments: ART558 (10 </w:t>
      </w:r>
      <w:proofErr w:type="spellStart"/>
      <w:r w:rsidRPr="002A1351">
        <w:rPr>
          <w:rFonts w:ascii="Calibri" w:hAnsi="Calibri" w:cs="Calibri"/>
        </w:rPr>
        <w:t>nM</w:t>
      </w:r>
      <w:proofErr w:type="spellEnd"/>
      <w:r w:rsidRPr="002A1351">
        <w:rPr>
          <w:rFonts w:ascii="Calibri" w:hAnsi="Calibri" w:cs="Calibri"/>
        </w:rPr>
        <w:t xml:space="preserve">), AZD6738 (0.5 µM), NU7441 (0.25 µM), and VE822 (50 </w:t>
      </w:r>
      <w:proofErr w:type="spellStart"/>
      <w:r w:rsidRPr="002A1351">
        <w:rPr>
          <w:rFonts w:ascii="Calibri" w:hAnsi="Calibri" w:cs="Calibri"/>
        </w:rPr>
        <w:t>nM</w:t>
      </w:r>
      <w:proofErr w:type="spellEnd"/>
      <w:r w:rsidRPr="002A1351">
        <w:rPr>
          <w:rFonts w:ascii="Calibri" w:hAnsi="Calibri" w:cs="Calibri"/>
        </w:rPr>
        <w:t>). At these doses, cells maintained viability comparable to untreated controls, providing suitable conditions for downstream experiments assessing the effects of DNA repair pathway inhibition on HBV DNA integration.</w:t>
      </w:r>
    </w:p>
    <w:p w14:paraId="2665122E" w14:textId="77777777" w:rsidR="00EA07BA" w:rsidRPr="00430FBB" w:rsidRDefault="00EA07BA" w:rsidP="00EA07BA">
      <w:pPr>
        <w:spacing w:after="240" w:line="276" w:lineRule="auto"/>
        <w:jc w:val="both"/>
      </w:pPr>
      <w:r w:rsidRPr="00430FBB">
        <w:rPr>
          <w:rFonts w:ascii="Calibri" w:hAnsi="Calibri" w:cs="Calibri"/>
          <w:b/>
          <w:bCs/>
          <w:noProof/>
          <w:lang w:val="en-US"/>
        </w:rPr>
        <w:drawing>
          <wp:inline distT="0" distB="0" distL="0" distR="0" wp14:anchorId="19498223" wp14:editId="341245BE">
            <wp:extent cx="3593123" cy="2033647"/>
            <wp:effectExtent l="0" t="0" r="762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3446" cy="2056469"/>
                    </a:xfrm>
                    <a:prstGeom prst="rect">
                      <a:avLst/>
                    </a:prstGeom>
                    <a:noFill/>
                  </pic:spPr>
                </pic:pic>
              </a:graphicData>
            </a:graphic>
          </wp:inline>
        </w:drawing>
      </w:r>
    </w:p>
    <w:p w14:paraId="0E773273" w14:textId="77777777" w:rsidR="00EA07BA" w:rsidRPr="00430FBB" w:rsidRDefault="00EA07BA" w:rsidP="00EA07BA">
      <w:pPr>
        <w:spacing w:after="240" w:line="276" w:lineRule="auto"/>
        <w:jc w:val="both"/>
      </w:pPr>
      <w:r w:rsidRPr="00430FBB">
        <w:rPr>
          <w:rFonts w:ascii="Calibri" w:hAnsi="Calibri" w:cs="Calibri"/>
          <w:b/>
          <w:bCs/>
          <w:noProof/>
          <w:lang w:val="en-US"/>
        </w:rPr>
        <w:lastRenderedPageBreak/>
        <w:drawing>
          <wp:inline distT="0" distB="0" distL="0" distR="0" wp14:anchorId="3C0A5960" wp14:editId="7413790F">
            <wp:extent cx="4964723" cy="2319757"/>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51758"/>
                    <a:stretch/>
                  </pic:blipFill>
                  <pic:spPr bwMode="auto">
                    <a:xfrm>
                      <a:off x="0" y="0"/>
                      <a:ext cx="4973809" cy="2324002"/>
                    </a:xfrm>
                    <a:prstGeom prst="rect">
                      <a:avLst/>
                    </a:prstGeom>
                    <a:noFill/>
                    <a:ln>
                      <a:noFill/>
                    </a:ln>
                    <a:extLst>
                      <a:ext uri="{53640926-AAD7-44D8-BBD7-CCE9431645EC}">
                        <a14:shadowObscured xmlns:a14="http://schemas.microsoft.com/office/drawing/2010/main"/>
                      </a:ext>
                    </a:extLst>
                  </pic:spPr>
                </pic:pic>
              </a:graphicData>
            </a:graphic>
          </wp:inline>
        </w:drawing>
      </w:r>
    </w:p>
    <w:p w14:paraId="0DD7210D" w14:textId="77777777" w:rsidR="00EA07BA" w:rsidRPr="00430FBB" w:rsidRDefault="00EA07BA" w:rsidP="00EA07BA">
      <w:pPr>
        <w:spacing w:after="240" w:line="276" w:lineRule="auto"/>
        <w:jc w:val="both"/>
      </w:pPr>
      <w:r w:rsidRPr="00430FBB">
        <w:rPr>
          <w:rFonts w:ascii="Calibri" w:hAnsi="Calibri" w:cs="Calibri"/>
          <w:b/>
          <w:bCs/>
          <w:noProof/>
          <w:lang w:val="en-US"/>
        </w:rPr>
        <w:drawing>
          <wp:inline distT="0" distB="0" distL="0" distR="0" wp14:anchorId="2A1835B4" wp14:editId="7DD0FA9A">
            <wp:extent cx="4836998" cy="2327031"/>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0329"/>
                    <a:stretch/>
                  </pic:blipFill>
                  <pic:spPr bwMode="auto">
                    <a:xfrm>
                      <a:off x="0" y="0"/>
                      <a:ext cx="4846231" cy="2331473"/>
                    </a:xfrm>
                    <a:prstGeom prst="rect">
                      <a:avLst/>
                    </a:prstGeom>
                    <a:noFill/>
                    <a:ln>
                      <a:noFill/>
                    </a:ln>
                    <a:extLst>
                      <a:ext uri="{53640926-AAD7-44D8-BBD7-CCE9431645EC}">
                        <a14:shadowObscured xmlns:a14="http://schemas.microsoft.com/office/drawing/2010/main"/>
                      </a:ext>
                    </a:extLst>
                  </pic:spPr>
                </pic:pic>
              </a:graphicData>
            </a:graphic>
          </wp:inline>
        </w:drawing>
      </w:r>
    </w:p>
    <w:p w14:paraId="4CB9C5A6" w14:textId="3A4C2FFD" w:rsidR="008B0471" w:rsidRPr="005F2263" w:rsidRDefault="00EA07BA" w:rsidP="005F2263">
      <w:pPr>
        <w:spacing w:after="0" w:line="360" w:lineRule="auto"/>
        <w:jc w:val="both"/>
        <w:rPr>
          <w:rFonts w:ascii="Calibri" w:hAnsi="Calibri" w:cs="Calibri"/>
          <w:iCs/>
          <w:color w:val="002060"/>
          <w:lang w:eastAsia="zh-CN"/>
        </w:rPr>
      </w:pPr>
      <w:proofErr w:type="gramStart"/>
      <w:r w:rsidRPr="00430FBB">
        <w:rPr>
          <w:rFonts w:ascii="Calibri" w:hAnsi="Calibri" w:cs="Calibri"/>
          <w:b/>
          <w:bCs/>
          <w:iCs/>
          <w:color w:val="002060"/>
        </w:rPr>
        <w:t>Supplemental Figure 2.</w:t>
      </w:r>
      <w:proofErr w:type="gramEnd"/>
      <w:r w:rsidRPr="00430FBB">
        <w:rPr>
          <w:rFonts w:ascii="Calibri" w:hAnsi="Calibri" w:cs="Calibri"/>
          <w:iCs/>
          <w:color w:val="002060"/>
          <w:lang w:eastAsia="zh-CN"/>
        </w:rPr>
        <w:t xml:space="preserve"> </w:t>
      </w:r>
      <w:proofErr w:type="gramStart"/>
      <w:r w:rsidRPr="00430FBB">
        <w:rPr>
          <w:rFonts w:ascii="Calibri" w:hAnsi="Calibri" w:cs="Calibri"/>
          <w:b/>
          <w:iCs/>
          <w:color w:val="002060"/>
          <w:lang w:eastAsia="zh-CN"/>
        </w:rPr>
        <w:t>Determination of tolerable concentrations of DNA repair</w:t>
      </w:r>
      <w:proofErr w:type="gramEnd"/>
      <w:r w:rsidRPr="00430FBB">
        <w:rPr>
          <w:rFonts w:ascii="Calibri" w:hAnsi="Calibri" w:cs="Calibri"/>
          <w:b/>
          <w:iCs/>
          <w:color w:val="002060"/>
          <w:lang w:eastAsia="zh-CN"/>
        </w:rPr>
        <w:t xml:space="preserve"> inhibitors in HepG2-NTCP cells.</w:t>
      </w:r>
      <w:r w:rsidRPr="00430FBB">
        <w:rPr>
          <w:rFonts w:ascii="Calibri" w:hAnsi="Calibri" w:cs="Calibri"/>
          <w:iCs/>
          <w:color w:val="002060"/>
        </w:rPr>
        <w:t xml:space="preserve"> </w:t>
      </w:r>
      <w:r w:rsidRPr="00430FBB">
        <w:rPr>
          <w:rFonts w:ascii="Calibri" w:hAnsi="Calibri" w:cs="Calibri"/>
          <w:b/>
          <w:iCs/>
          <w:color w:val="002060"/>
          <w:lang w:eastAsia="zh-CN"/>
        </w:rPr>
        <w:t>(</w:t>
      </w:r>
      <w:r w:rsidRPr="00430FBB">
        <w:rPr>
          <w:rFonts w:ascii="Calibri" w:hAnsi="Calibri" w:cs="Calibri"/>
          <w:b/>
          <w:iCs/>
          <w:color w:val="002060"/>
        </w:rPr>
        <w:t xml:space="preserve">A) Experimental outline. </w:t>
      </w:r>
      <w:r w:rsidRPr="00430FBB">
        <w:rPr>
          <w:rFonts w:ascii="Calibri" w:hAnsi="Calibri" w:cs="Calibri"/>
          <w:iCs/>
          <w:color w:val="002060"/>
        </w:rPr>
        <w:t xml:space="preserve">HepG2-NTCP cells were seeded and treated with compounds on day 0, then mock-infected on day 1, then re-seeded on day 4 (3 days post mock-infection). Cell viability was assessed on day 7 using </w:t>
      </w:r>
      <w:proofErr w:type="spellStart"/>
      <w:r w:rsidRPr="00430FBB">
        <w:rPr>
          <w:rFonts w:ascii="Calibri" w:hAnsi="Calibri" w:cs="Calibri"/>
          <w:iCs/>
          <w:color w:val="002060"/>
        </w:rPr>
        <w:t>CytoFLEX</w:t>
      </w:r>
      <w:proofErr w:type="spellEnd"/>
      <w:r w:rsidRPr="00430FBB">
        <w:rPr>
          <w:rFonts w:ascii="Calibri" w:hAnsi="Calibri" w:cs="Calibri"/>
          <w:iCs/>
          <w:color w:val="002060"/>
        </w:rPr>
        <w:t xml:space="preserve"> flow cytometry. </w:t>
      </w:r>
      <w:r w:rsidRPr="00430FBB">
        <w:rPr>
          <w:rFonts w:ascii="Calibri" w:hAnsi="Calibri" w:cs="Calibri"/>
          <w:b/>
          <w:iCs/>
          <w:color w:val="002060"/>
        </w:rPr>
        <w:t xml:space="preserve">(B-E) </w:t>
      </w:r>
      <w:r w:rsidRPr="002A1351">
        <w:rPr>
          <w:rFonts w:ascii="Calibri" w:hAnsi="Calibri" w:cs="Calibri"/>
          <w:b/>
          <w:bCs/>
          <w:color w:val="002060"/>
        </w:rPr>
        <w:t xml:space="preserve">Cell viability by </w:t>
      </w:r>
      <w:proofErr w:type="spellStart"/>
      <w:r w:rsidRPr="002A1351">
        <w:rPr>
          <w:rFonts w:ascii="Calibri" w:hAnsi="Calibri" w:cs="Calibri"/>
          <w:b/>
          <w:bCs/>
          <w:color w:val="002060"/>
        </w:rPr>
        <w:t>CytoFLEX</w:t>
      </w:r>
      <w:proofErr w:type="spellEnd"/>
      <w:r w:rsidRPr="002A1351">
        <w:rPr>
          <w:rFonts w:ascii="Calibri" w:hAnsi="Calibri" w:cs="Calibri"/>
          <w:b/>
          <w:bCs/>
          <w:color w:val="002060"/>
        </w:rPr>
        <w:t xml:space="preserve"> flow cytometry (5-7 days post compounds treatment)</w:t>
      </w:r>
      <w:r w:rsidRPr="00430FBB">
        <w:rPr>
          <w:rFonts w:ascii="Calibri" w:hAnsi="Calibri" w:cs="Calibri"/>
          <w:iCs/>
          <w:color w:val="002060"/>
          <w:lang w:eastAsia="zh-CN"/>
        </w:rPr>
        <w:t xml:space="preserve">, treatment with increasing concentrations of DNA repair inhibitors resulted in dose-dependent reductions in HepG2-NTCP cell viability. High doses of VE822 (≥200 </w:t>
      </w:r>
      <w:proofErr w:type="spellStart"/>
      <w:r w:rsidRPr="00430FBB">
        <w:rPr>
          <w:rFonts w:ascii="Calibri" w:hAnsi="Calibri" w:cs="Calibri"/>
          <w:iCs/>
          <w:color w:val="002060"/>
          <w:lang w:eastAsia="zh-CN"/>
        </w:rPr>
        <w:t>nM</w:t>
      </w:r>
      <w:proofErr w:type="spellEnd"/>
      <w:r w:rsidRPr="00430FBB">
        <w:rPr>
          <w:rFonts w:ascii="Calibri" w:hAnsi="Calibri" w:cs="Calibri"/>
          <w:iCs/>
          <w:color w:val="002060"/>
          <w:lang w:eastAsia="zh-CN"/>
        </w:rPr>
        <w:t xml:space="preserve">) and other compounds showed substantial cytotoxicity, while lower concentrations- ART558 (10 </w:t>
      </w:r>
      <w:proofErr w:type="spellStart"/>
      <w:r w:rsidRPr="00430FBB">
        <w:rPr>
          <w:rFonts w:ascii="Calibri" w:hAnsi="Calibri" w:cs="Calibri"/>
          <w:iCs/>
          <w:color w:val="002060"/>
          <w:lang w:eastAsia="zh-CN"/>
        </w:rPr>
        <w:t>nM</w:t>
      </w:r>
      <w:proofErr w:type="spellEnd"/>
      <w:r w:rsidRPr="00430FBB">
        <w:rPr>
          <w:rFonts w:ascii="Calibri" w:hAnsi="Calibri" w:cs="Calibri"/>
          <w:iCs/>
          <w:color w:val="002060"/>
          <w:lang w:eastAsia="zh-CN"/>
        </w:rPr>
        <w:t xml:space="preserve">), AZD6738 (0.5 µM), NU7441 (0.25 µM), and VE822 (50 </w:t>
      </w:r>
      <w:proofErr w:type="spellStart"/>
      <w:r w:rsidRPr="00430FBB">
        <w:rPr>
          <w:rFonts w:ascii="Calibri" w:hAnsi="Calibri" w:cs="Calibri"/>
          <w:iCs/>
          <w:color w:val="002060"/>
          <w:lang w:eastAsia="zh-CN"/>
        </w:rPr>
        <w:t>nM</w:t>
      </w:r>
      <w:proofErr w:type="spellEnd"/>
      <w:r w:rsidRPr="00430FBB">
        <w:rPr>
          <w:rFonts w:ascii="Calibri" w:hAnsi="Calibri" w:cs="Calibri"/>
          <w:iCs/>
          <w:color w:val="002060"/>
          <w:lang w:eastAsia="zh-CN"/>
        </w:rPr>
        <w:t>) had minimal effects on cell viability. These selected doses (highlighted in orange) were used for subsequent experiments, as they are well tolerated and allow investigation of DNA repair pathway modulation without confounding effects from excessive cytotoxicity.</w:t>
      </w:r>
      <w:bookmarkStart w:id="1" w:name="_GoBack"/>
      <w:bookmarkEnd w:id="1"/>
    </w:p>
    <w:sectPr w:rsidR="008B0471" w:rsidRPr="005F2263" w:rsidSect="000C4F65">
      <w:footerReference w:type="default" r:id="rId15"/>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252B3" w14:textId="77777777" w:rsidR="006642B6" w:rsidRDefault="006642B6" w:rsidP="004D6632">
      <w:pPr>
        <w:spacing w:after="0" w:line="240" w:lineRule="auto"/>
      </w:pPr>
      <w:r>
        <w:separator/>
      </w:r>
    </w:p>
  </w:endnote>
  <w:endnote w:type="continuationSeparator" w:id="0">
    <w:p w14:paraId="01AFA798" w14:textId="77777777" w:rsidR="006642B6" w:rsidRDefault="006642B6" w:rsidP="004D6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等线">
    <w:altName w:val="MS Gothic"/>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008577"/>
      <w:docPartObj>
        <w:docPartGallery w:val="Page Numbers (Bottom of Page)"/>
        <w:docPartUnique/>
      </w:docPartObj>
    </w:sdtPr>
    <w:sdtEndPr>
      <w:rPr>
        <w:rFonts w:ascii="Calibri" w:hAnsi="Calibri" w:cs="Calibri"/>
        <w:noProof/>
        <w:sz w:val="21"/>
      </w:rPr>
    </w:sdtEndPr>
    <w:sdtContent>
      <w:p w14:paraId="65ECBC84" w14:textId="05683231" w:rsidR="008F1E36" w:rsidRPr="0045557A" w:rsidRDefault="008F1E36">
        <w:pPr>
          <w:pStyle w:val="Footer"/>
          <w:jc w:val="right"/>
          <w:rPr>
            <w:rFonts w:ascii="Calibri" w:hAnsi="Calibri" w:cs="Calibri"/>
            <w:sz w:val="21"/>
          </w:rPr>
        </w:pPr>
        <w:r w:rsidRPr="0045557A">
          <w:rPr>
            <w:rFonts w:ascii="Calibri" w:hAnsi="Calibri" w:cs="Calibri"/>
            <w:sz w:val="21"/>
          </w:rPr>
          <w:fldChar w:fldCharType="begin"/>
        </w:r>
        <w:r w:rsidRPr="0045557A">
          <w:rPr>
            <w:rFonts w:ascii="Calibri" w:hAnsi="Calibri" w:cs="Calibri"/>
            <w:sz w:val="21"/>
          </w:rPr>
          <w:instrText xml:space="preserve"> PAGE   \* MERGEFORMAT </w:instrText>
        </w:r>
        <w:r w:rsidRPr="0045557A">
          <w:rPr>
            <w:rFonts w:ascii="Calibri" w:hAnsi="Calibri" w:cs="Calibri"/>
            <w:sz w:val="21"/>
          </w:rPr>
          <w:fldChar w:fldCharType="separate"/>
        </w:r>
        <w:r w:rsidR="005F2263">
          <w:rPr>
            <w:rFonts w:ascii="Calibri" w:hAnsi="Calibri" w:cs="Calibri"/>
            <w:noProof/>
            <w:sz w:val="21"/>
          </w:rPr>
          <w:t>5</w:t>
        </w:r>
        <w:r w:rsidRPr="0045557A">
          <w:rPr>
            <w:rFonts w:ascii="Calibri" w:hAnsi="Calibri" w:cs="Calibri"/>
            <w:noProof/>
            <w:sz w:val="21"/>
          </w:rPr>
          <w:fldChar w:fldCharType="end"/>
        </w:r>
      </w:p>
    </w:sdtContent>
  </w:sdt>
  <w:p w14:paraId="55AFAE8F" w14:textId="77777777" w:rsidR="008F1E36" w:rsidRDefault="008F1E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3515C" w14:textId="77777777" w:rsidR="006642B6" w:rsidRDefault="006642B6" w:rsidP="004D6632">
      <w:pPr>
        <w:spacing w:after="0" w:line="240" w:lineRule="auto"/>
      </w:pPr>
      <w:r>
        <w:separator/>
      </w:r>
    </w:p>
  </w:footnote>
  <w:footnote w:type="continuationSeparator" w:id="0">
    <w:p w14:paraId="787A6490" w14:textId="77777777" w:rsidR="006642B6" w:rsidRDefault="006642B6" w:rsidP="004D66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11B5"/>
    <w:multiLevelType w:val="hybridMultilevel"/>
    <w:tmpl w:val="3F88D0D6"/>
    <w:lvl w:ilvl="0" w:tplc="F1C4B388">
      <w:start w:val="1"/>
      <w:numFmt w:val="bullet"/>
      <w:lvlText w:val="̵"/>
      <w:lvlJc w:val="left"/>
      <w:pPr>
        <w:ind w:left="420" w:hanging="420"/>
      </w:pPr>
      <w:rPr>
        <w:rFonts w:ascii="Calibri" w:hAnsi="Calibri" w:hint="default"/>
      </w:rPr>
    </w:lvl>
    <w:lvl w:ilvl="1" w:tplc="F1C4B388">
      <w:start w:val="1"/>
      <w:numFmt w:val="bullet"/>
      <w:lvlText w:val="̵"/>
      <w:lvlJc w:val="left"/>
      <w:pPr>
        <w:ind w:left="840" w:hanging="420"/>
      </w:pPr>
      <w:rPr>
        <w:rFonts w:ascii="Calibri" w:hAnsi="Calibri"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65F202B"/>
    <w:multiLevelType w:val="hybridMultilevel"/>
    <w:tmpl w:val="86668AC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F722A3"/>
    <w:multiLevelType w:val="hybridMultilevel"/>
    <w:tmpl w:val="7D36F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D3B5067"/>
    <w:multiLevelType w:val="multilevel"/>
    <w:tmpl w:val="90FA42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0EA634C2"/>
    <w:multiLevelType w:val="multilevel"/>
    <w:tmpl w:val="4858C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C83EF3"/>
    <w:multiLevelType w:val="hybridMultilevel"/>
    <w:tmpl w:val="6352978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0F027BEA"/>
    <w:multiLevelType w:val="hybridMultilevel"/>
    <w:tmpl w:val="37DEA1E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1000086F"/>
    <w:multiLevelType w:val="hybridMultilevel"/>
    <w:tmpl w:val="7B5611D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24A4FB5"/>
    <w:multiLevelType w:val="hybridMultilevel"/>
    <w:tmpl w:val="7D36F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9381C77"/>
    <w:multiLevelType w:val="multilevel"/>
    <w:tmpl w:val="89E6DC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1B6479AF"/>
    <w:multiLevelType w:val="hybridMultilevel"/>
    <w:tmpl w:val="212ACF0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E055773"/>
    <w:multiLevelType w:val="multilevel"/>
    <w:tmpl w:val="2B62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563281"/>
    <w:multiLevelType w:val="hybridMultilevel"/>
    <w:tmpl w:val="707E08F2"/>
    <w:lvl w:ilvl="0" w:tplc="DD16427E">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4ED5A4E"/>
    <w:multiLevelType w:val="hybridMultilevel"/>
    <w:tmpl w:val="7B68BDC8"/>
    <w:lvl w:ilvl="0" w:tplc="3F76131C">
      <w:start w:val="1"/>
      <w:numFmt w:val="bullet"/>
      <w:lvlText w:val="-"/>
      <w:lvlJc w:val="left"/>
      <w:pPr>
        <w:ind w:left="360" w:hanging="360"/>
      </w:pPr>
      <w:rPr>
        <w:rFonts w:ascii="Aptos" w:eastAsiaTheme="minorEastAsia" w:hAnsi="Apto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25381A97"/>
    <w:multiLevelType w:val="hybridMultilevel"/>
    <w:tmpl w:val="97169C9C"/>
    <w:lvl w:ilvl="0" w:tplc="BDC4C3AE">
      <w:start w:val="10"/>
      <w:numFmt w:val="bullet"/>
      <w:lvlText w:val="-"/>
      <w:lvlJc w:val="left"/>
      <w:pPr>
        <w:ind w:left="420" w:hanging="420"/>
      </w:pPr>
      <w:rPr>
        <w:rFonts w:ascii="Calibri" w:eastAsiaTheme="minorHAnsi"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A1B05C2"/>
    <w:multiLevelType w:val="hybridMultilevel"/>
    <w:tmpl w:val="43988352"/>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2D45679B"/>
    <w:multiLevelType w:val="hybridMultilevel"/>
    <w:tmpl w:val="EA16D54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2DB07F3A"/>
    <w:multiLevelType w:val="hybridMultilevel"/>
    <w:tmpl w:val="751C39F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AC3716"/>
    <w:multiLevelType w:val="multilevel"/>
    <w:tmpl w:val="FEE66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CA27EA"/>
    <w:multiLevelType w:val="multilevel"/>
    <w:tmpl w:val="016C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516BDF"/>
    <w:multiLevelType w:val="hybridMultilevel"/>
    <w:tmpl w:val="4E40766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5390D9C"/>
    <w:multiLevelType w:val="multilevel"/>
    <w:tmpl w:val="8F7E6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DC2AF5"/>
    <w:multiLevelType w:val="multilevel"/>
    <w:tmpl w:val="8C9EF5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3DE121AF"/>
    <w:multiLevelType w:val="hybridMultilevel"/>
    <w:tmpl w:val="C228115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EC55396"/>
    <w:multiLevelType w:val="multilevel"/>
    <w:tmpl w:val="F072DC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nsid w:val="418372DB"/>
    <w:multiLevelType w:val="hybridMultilevel"/>
    <w:tmpl w:val="3B266E5C"/>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431075DF"/>
    <w:multiLevelType w:val="hybridMultilevel"/>
    <w:tmpl w:val="AEE4E77A"/>
    <w:lvl w:ilvl="0" w:tplc="87206F7E">
      <w:start w:val="1"/>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5D6204"/>
    <w:multiLevelType w:val="hybridMultilevel"/>
    <w:tmpl w:val="82DEFB34"/>
    <w:lvl w:ilvl="0" w:tplc="35686030">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0A7212"/>
    <w:multiLevelType w:val="multilevel"/>
    <w:tmpl w:val="B50C22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527E67C3"/>
    <w:multiLevelType w:val="hybridMultilevel"/>
    <w:tmpl w:val="7D36F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2850C9C"/>
    <w:multiLevelType w:val="hybridMultilevel"/>
    <w:tmpl w:val="5B5680C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E93BD0"/>
    <w:multiLevelType w:val="hybridMultilevel"/>
    <w:tmpl w:val="24925E76"/>
    <w:lvl w:ilvl="0" w:tplc="BDC4C3AE">
      <w:start w:val="10"/>
      <w:numFmt w:val="bullet"/>
      <w:lvlText w:val="-"/>
      <w:lvlJc w:val="left"/>
      <w:pPr>
        <w:ind w:left="420" w:hanging="420"/>
      </w:pPr>
      <w:rPr>
        <w:rFonts w:ascii="Calibri" w:eastAsiaTheme="minorHAnsi"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23854D3"/>
    <w:multiLevelType w:val="hybridMultilevel"/>
    <w:tmpl w:val="C46E23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53E5AC2"/>
    <w:multiLevelType w:val="hybridMultilevel"/>
    <w:tmpl w:val="3170F552"/>
    <w:lvl w:ilvl="0" w:tplc="BDC4C3AE">
      <w:start w:val="10"/>
      <w:numFmt w:val="bullet"/>
      <w:lvlText w:val="-"/>
      <w:lvlJc w:val="left"/>
      <w:pPr>
        <w:ind w:left="420" w:hanging="420"/>
      </w:pPr>
      <w:rPr>
        <w:rFonts w:ascii="Calibri" w:eastAsiaTheme="minorHAnsi"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65A9553A"/>
    <w:multiLevelType w:val="hybridMultilevel"/>
    <w:tmpl w:val="A42223C2"/>
    <w:lvl w:ilvl="0" w:tplc="C5D294D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217CCA"/>
    <w:multiLevelType w:val="hybridMultilevel"/>
    <w:tmpl w:val="3B9A0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325514"/>
    <w:multiLevelType w:val="hybridMultilevel"/>
    <w:tmpl w:val="6A1891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A3D03D1"/>
    <w:multiLevelType w:val="hybridMultilevel"/>
    <w:tmpl w:val="A022E1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6BE92102"/>
    <w:multiLevelType w:val="multilevel"/>
    <w:tmpl w:val="F9BE9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1E177C"/>
    <w:multiLevelType w:val="hybridMultilevel"/>
    <w:tmpl w:val="61BA8D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E2B37AC"/>
    <w:multiLevelType w:val="hybridMultilevel"/>
    <w:tmpl w:val="1F74F32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nsid w:val="70203D9C"/>
    <w:multiLevelType w:val="hybridMultilevel"/>
    <w:tmpl w:val="8368B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D514BA"/>
    <w:multiLevelType w:val="multilevel"/>
    <w:tmpl w:val="93C8F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343543"/>
    <w:multiLevelType w:val="hybridMultilevel"/>
    <w:tmpl w:val="11AC48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5367A19"/>
    <w:multiLevelType w:val="multilevel"/>
    <w:tmpl w:val="C17A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E74DE4"/>
    <w:multiLevelType w:val="multilevel"/>
    <w:tmpl w:val="E646A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2"/>
  </w:num>
  <w:num w:numId="3">
    <w:abstractNumId w:val="34"/>
  </w:num>
  <w:num w:numId="4">
    <w:abstractNumId w:val="29"/>
  </w:num>
  <w:num w:numId="5">
    <w:abstractNumId w:val="30"/>
  </w:num>
  <w:num w:numId="6">
    <w:abstractNumId w:val="8"/>
  </w:num>
  <w:num w:numId="7">
    <w:abstractNumId w:val="35"/>
  </w:num>
  <w:num w:numId="8">
    <w:abstractNumId w:val="27"/>
  </w:num>
  <w:num w:numId="9">
    <w:abstractNumId w:val="26"/>
  </w:num>
  <w:num w:numId="10">
    <w:abstractNumId w:val="37"/>
  </w:num>
  <w:num w:numId="11">
    <w:abstractNumId w:val="44"/>
  </w:num>
  <w:num w:numId="12">
    <w:abstractNumId w:val="19"/>
  </w:num>
  <w:num w:numId="13">
    <w:abstractNumId w:val="28"/>
  </w:num>
  <w:num w:numId="14">
    <w:abstractNumId w:val="22"/>
  </w:num>
  <w:num w:numId="15">
    <w:abstractNumId w:val="3"/>
  </w:num>
  <w:num w:numId="16">
    <w:abstractNumId w:val="24"/>
  </w:num>
  <w:num w:numId="17">
    <w:abstractNumId w:val="9"/>
  </w:num>
  <w:num w:numId="18">
    <w:abstractNumId w:val="45"/>
  </w:num>
  <w:num w:numId="19">
    <w:abstractNumId w:val="38"/>
  </w:num>
  <w:num w:numId="20">
    <w:abstractNumId w:val="4"/>
  </w:num>
  <w:num w:numId="21">
    <w:abstractNumId w:val="42"/>
  </w:num>
  <w:num w:numId="22">
    <w:abstractNumId w:val="18"/>
  </w:num>
  <w:num w:numId="23">
    <w:abstractNumId w:val="7"/>
  </w:num>
  <w:num w:numId="24">
    <w:abstractNumId w:val="5"/>
  </w:num>
  <w:num w:numId="25">
    <w:abstractNumId w:val="16"/>
  </w:num>
  <w:num w:numId="26">
    <w:abstractNumId w:val="6"/>
  </w:num>
  <w:num w:numId="27">
    <w:abstractNumId w:val="15"/>
  </w:num>
  <w:num w:numId="28">
    <w:abstractNumId w:val="20"/>
  </w:num>
  <w:num w:numId="29">
    <w:abstractNumId w:val="12"/>
  </w:num>
  <w:num w:numId="30">
    <w:abstractNumId w:val="25"/>
  </w:num>
  <w:num w:numId="31">
    <w:abstractNumId w:val="36"/>
  </w:num>
  <w:num w:numId="32">
    <w:abstractNumId w:val="40"/>
  </w:num>
  <w:num w:numId="33">
    <w:abstractNumId w:val="11"/>
  </w:num>
  <w:num w:numId="34">
    <w:abstractNumId w:val="23"/>
  </w:num>
  <w:num w:numId="35">
    <w:abstractNumId w:val="1"/>
  </w:num>
  <w:num w:numId="36">
    <w:abstractNumId w:val="43"/>
  </w:num>
  <w:num w:numId="37">
    <w:abstractNumId w:val="17"/>
  </w:num>
  <w:num w:numId="38">
    <w:abstractNumId w:val="10"/>
  </w:num>
  <w:num w:numId="39">
    <w:abstractNumId w:val="0"/>
  </w:num>
  <w:num w:numId="40">
    <w:abstractNumId w:val="31"/>
  </w:num>
  <w:num w:numId="41">
    <w:abstractNumId w:val="39"/>
  </w:num>
  <w:num w:numId="42">
    <w:abstractNumId w:val="33"/>
  </w:num>
  <w:num w:numId="43">
    <w:abstractNumId w:val="14"/>
  </w:num>
  <w:num w:numId="44">
    <w:abstractNumId w:val="21"/>
  </w:num>
  <w:num w:numId="45">
    <w:abstractNumId w:val="32"/>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vzxzesmdp5e0erpsvv9trh0vw9dw0pawxf&quot;&gt;My EndNote Library-HBV&lt;record-ids&gt;&lt;item&gt;18&lt;/item&gt;&lt;item&gt;38&lt;/item&gt;&lt;item&gt;46&lt;/item&gt;&lt;item&gt;47&lt;/item&gt;&lt;item&gt;54&lt;/item&gt;&lt;item&gt;70&lt;/item&gt;&lt;item&gt;72&lt;/item&gt;&lt;item&gt;130&lt;/item&gt;&lt;item&gt;139&lt;/item&gt;&lt;item&gt;166&lt;/item&gt;&lt;item&gt;167&lt;/item&gt;&lt;item&gt;171&lt;/item&gt;&lt;item&gt;173&lt;/item&gt;&lt;item&gt;174&lt;/item&gt;&lt;item&gt;175&lt;/item&gt;&lt;item&gt;179&lt;/item&gt;&lt;item&gt;181&lt;/item&gt;&lt;item&gt;304&lt;/item&gt;&lt;item&gt;308&lt;/item&gt;&lt;item&gt;336&lt;/item&gt;&lt;item&gt;347&lt;/item&gt;&lt;item&gt;355&lt;/item&gt;&lt;item&gt;362&lt;/item&gt;&lt;item&gt;365&lt;/item&gt;&lt;item&gt;376&lt;/item&gt;&lt;item&gt;483&lt;/item&gt;&lt;item&gt;542&lt;/item&gt;&lt;item&gt;544&lt;/item&gt;&lt;item&gt;545&lt;/item&gt;&lt;item&gt;546&lt;/item&gt;&lt;item&gt;551&lt;/item&gt;&lt;item&gt;558&lt;/item&gt;&lt;item&gt;559&lt;/item&gt;&lt;item&gt;560&lt;/item&gt;&lt;item&gt;561&lt;/item&gt;&lt;item&gt;567&lt;/item&gt;&lt;item&gt;569&lt;/item&gt;&lt;item&gt;570&lt;/item&gt;&lt;item&gt;581&lt;/item&gt;&lt;item&gt;584&lt;/item&gt;&lt;item&gt;585&lt;/item&gt;&lt;item&gt;586&lt;/item&gt;&lt;item&gt;587&lt;/item&gt;&lt;item&gt;589&lt;/item&gt;&lt;item&gt;592&lt;/item&gt;&lt;item&gt;600&lt;/item&gt;&lt;item&gt;609&lt;/item&gt;&lt;item&gt;611&lt;/item&gt;&lt;item&gt;624&lt;/item&gt;&lt;item&gt;625&lt;/item&gt;&lt;item&gt;649&lt;/item&gt;&lt;item&gt;655&lt;/item&gt;&lt;item&gt;656&lt;/item&gt;&lt;item&gt;657&lt;/item&gt;&lt;item&gt;658&lt;/item&gt;&lt;item&gt;659&lt;/item&gt;&lt;item&gt;700&lt;/item&gt;&lt;item&gt;701&lt;/item&gt;&lt;item&gt;702&lt;/item&gt;&lt;item&gt;729&lt;/item&gt;&lt;item&gt;730&lt;/item&gt;&lt;item&gt;781&lt;/item&gt;&lt;item&gt;801&lt;/item&gt;&lt;item&gt;802&lt;/item&gt;&lt;item&gt;810&lt;/item&gt;&lt;item&gt;812&lt;/item&gt;&lt;item&gt;813&lt;/item&gt;&lt;/record-ids&gt;&lt;/item&gt;&lt;/Libraries&gt;"/>
  </w:docVars>
  <w:rsids>
    <w:rsidRoot w:val="00CF5E9F"/>
    <w:rsid w:val="0000058C"/>
    <w:rsid w:val="00000811"/>
    <w:rsid w:val="0000087C"/>
    <w:rsid w:val="00000CFF"/>
    <w:rsid w:val="000015BA"/>
    <w:rsid w:val="000031DF"/>
    <w:rsid w:val="000052B5"/>
    <w:rsid w:val="00005AFA"/>
    <w:rsid w:val="00006584"/>
    <w:rsid w:val="0001006A"/>
    <w:rsid w:val="00010729"/>
    <w:rsid w:val="00010774"/>
    <w:rsid w:val="00013531"/>
    <w:rsid w:val="0001393D"/>
    <w:rsid w:val="00014610"/>
    <w:rsid w:val="00015044"/>
    <w:rsid w:val="00015A98"/>
    <w:rsid w:val="00015CB2"/>
    <w:rsid w:val="000200B1"/>
    <w:rsid w:val="000230CB"/>
    <w:rsid w:val="0002381E"/>
    <w:rsid w:val="00023C8B"/>
    <w:rsid w:val="00024CCD"/>
    <w:rsid w:val="00025CBE"/>
    <w:rsid w:val="00026427"/>
    <w:rsid w:val="00026F6C"/>
    <w:rsid w:val="000272D8"/>
    <w:rsid w:val="00027F30"/>
    <w:rsid w:val="000330AB"/>
    <w:rsid w:val="000335E8"/>
    <w:rsid w:val="000357AD"/>
    <w:rsid w:val="000357C1"/>
    <w:rsid w:val="00036D17"/>
    <w:rsid w:val="00037500"/>
    <w:rsid w:val="00040CA8"/>
    <w:rsid w:val="00041A3F"/>
    <w:rsid w:val="00041E2B"/>
    <w:rsid w:val="0004282F"/>
    <w:rsid w:val="0004285C"/>
    <w:rsid w:val="00042AB3"/>
    <w:rsid w:val="00044F36"/>
    <w:rsid w:val="00045B1C"/>
    <w:rsid w:val="00047245"/>
    <w:rsid w:val="0004790A"/>
    <w:rsid w:val="00050A2F"/>
    <w:rsid w:val="00053CD2"/>
    <w:rsid w:val="00054348"/>
    <w:rsid w:val="00054C28"/>
    <w:rsid w:val="00056183"/>
    <w:rsid w:val="00060016"/>
    <w:rsid w:val="00060E52"/>
    <w:rsid w:val="00061DEC"/>
    <w:rsid w:val="000630C2"/>
    <w:rsid w:val="00063E76"/>
    <w:rsid w:val="00065884"/>
    <w:rsid w:val="00065DD7"/>
    <w:rsid w:val="00066B6F"/>
    <w:rsid w:val="000721A6"/>
    <w:rsid w:val="00073DB8"/>
    <w:rsid w:val="000741B3"/>
    <w:rsid w:val="00074251"/>
    <w:rsid w:val="000761E4"/>
    <w:rsid w:val="00076226"/>
    <w:rsid w:val="000765DE"/>
    <w:rsid w:val="00076F1F"/>
    <w:rsid w:val="00077585"/>
    <w:rsid w:val="000830A9"/>
    <w:rsid w:val="00085AA6"/>
    <w:rsid w:val="0008609B"/>
    <w:rsid w:val="000869F6"/>
    <w:rsid w:val="00086D37"/>
    <w:rsid w:val="000920F3"/>
    <w:rsid w:val="0009451D"/>
    <w:rsid w:val="00094681"/>
    <w:rsid w:val="00094727"/>
    <w:rsid w:val="00095306"/>
    <w:rsid w:val="00095714"/>
    <w:rsid w:val="000A417C"/>
    <w:rsid w:val="000A7406"/>
    <w:rsid w:val="000B0040"/>
    <w:rsid w:val="000B122E"/>
    <w:rsid w:val="000B1904"/>
    <w:rsid w:val="000B1B5E"/>
    <w:rsid w:val="000B25E2"/>
    <w:rsid w:val="000B44AD"/>
    <w:rsid w:val="000B4ACE"/>
    <w:rsid w:val="000B6A95"/>
    <w:rsid w:val="000B6F39"/>
    <w:rsid w:val="000C0777"/>
    <w:rsid w:val="000C07D6"/>
    <w:rsid w:val="000C0826"/>
    <w:rsid w:val="000C0D1A"/>
    <w:rsid w:val="000C0DDF"/>
    <w:rsid w:val="000C119F"/>
    <w:rsid w:val="000C1EE3"/>
    <w:rsid w:val="000C28DF"/>
    <w:rsid w:val="000C2E71"/>
    <w:rsid w:val="000C2F38"/>
    <w:rsid w:val="000C3726"/>
    <w:rsid w:val="000C4868"/>
    <w:rsid w:val="000C4F65"/>
    <w:rsid w:val="000C5B07"/>
    <w:rsid w:val="000C5EA6"/>
    <w:rsid w:val="000C6087"/>
    <w:rsid w:val="000C683E"/>
    <w:rsid w:val="000C79CB"/>
    <w:rsid w:val="000D29A3"/>
    <w:rsid w:val="000D3852"/>
    <w:rsid w:val="000D3C55"/>
    <w:rsid w:val="000D40F1"/>
    <w:rsid w:val="000D5929"/>
    <w:rsid w:val="000E00CD"/>
    <w:rsid w:val="000E018D"/>
    <w:rsid w:val="000E2778"/>
    <w:rsid w:val="000E4CCF"/>
    <w:rsid w:val="000E4D6E"/>
    <w:rsid w:val="000E4E05"/>
    <w:rsid w:val="000E75E9"/>
    <w:rsid w:val="000F1010"/>
    <w:rsid w:val="000F2365"/>
    <w:rsid w:val="000F2BA2"/>
    <w:rsid w:val="000F2DAC"/>
    <w:rsid w:val="000F3C1E"/>
    <w:rsid w:val="000F3DFB"/>
    <w:rsid w:val="000F43B8"/>
    <w:rsid w:val="000F5E78"/>
    <w:rsid w:val="000F609B"/>
    <w:rsid w:val="000F6B98"/>
    <w:rsid w:val="000F6C64"/>
    <w:rsid w:val="000F73D4"/>
    <w:rsid w:val="000F76A5"/>
    <w:rsid w:val="000F7A30"/>
    <w:rsid w:val="001003EE"/>
    <w:rsid w:val="001015C8"/>
    <w:rsid w:val="00101932"/>
    <w:rsid w:val="00102607"/>
    <w:rsid w:val="00102A8C"/>
    <w:rsid w:val="00102BCE"/>
    <w:rsid w:val="00104675"/>
    <w:rsid w:val="0010580C"/>
    <w:rsid w:val="001078A3"/>
    <w:rsid w:val="00107C87"/>
    <w:rsid w:val="00110A6A"/>
    <w:rsid w:val="00112D43"/>
    <w:rsid w:val="0011397F"/>
    <w:rsid w:val="001163E3"/>
    <w:rsid w:val="00116AFE"/>
    <w:rsid w:val="00116EB1"/>
    <w:rsid w:val="00117452"/>
    <w:rsid w:val="001204AF"/>
    <w:rsid w:val="001206B7"/>
    <w:rsid w:val="00121E9D"/>
    <w:rsid w:val="0012630C"/>
    <w:rsid w:val="00126938"/>
    <w:rsid w:val="00130F64"/>
    <w:rsid w:val="001312E9"/>
    <w:rsid w:val="0013174F"/>
    <w:rsid w:val="001319A4"/>
    <w:rsid w:val="00131A27"/>
    <w:rsid w:val="00131B33"/>
    <w:rsid w:val="00133083"/>
    <w:rsid w:val="00134755"/>
    <w:rsid w:val="0013678A"/>
    <w:rsid w:val="001370D2"/>
    <w:rsid w:val="0014266F"/>
    <w:rsid w:val="001439B9"/>
    <w:rsid w:val="0014664C"/>
    <w:rsid w:val="00146A9D"/>
    <w:rsid w:val="0015020D"/>
    <w:rsid w:val="0015026F"/>
    <w:rsid w:val="00150EDF"/>
    <w:rsid w:val="00152385"/>
    <w:rsid w:val="00152A7C"/>
    <w:rsid w:val="001530D9"/>
    <w:rsid w:val="0015345D"/>
    <w:rsid w:val="001538ED"/>
    <w:rsid w:val="00154F9B"/>
    <w:rsid w:val="00155993"/>
    <w:rsid w:val="00155C11"/>
    <w:rsid w:val="001573EC"/>
    <w:rsid w:val="00157B41"/>
    <w:rsid w:val="00157C43"/>
    <w:rsid w:val="00160016"/>
    <w:rsid w:val="00163620"/>
    <w:rsid w:val="0016376B"/>
    <w:rsid w:val="00163996"/>
    <w:rsid w:val="00164749"/>
    <w:rsid w:val="00165032"/>
    <w:rsid w:val="001650E4"/>
    <w:rsid w:val="00166BA9"/>
    <w:rsid w:val="00167444"/>
    <w:rsid w:val="001704D6"/>
    <w:rsid w:val="00170D32"/>
    <w:rsid w:val="00170ED4"/>
    <w:rsid w:val="00171092"/>
    <w:rsid w:val="0017114B"/>
    <w:rsid w:val="00174406"/>
    <w:rsid w:val="00176CCC"/>
    <w:rsid w:val="001778E3"/>
    <w:rsid w:val="00177C84"/>
    <w:rsid w:val="00180909"/>
    <w:rsid w:val="00180F49"/>
    <w:rsid w:val="0018143D"/>
    <w:rsid w:val="00181E34"/>
    <w:rsid w:val="00181FFA"/>
    <w:rsid w:val="00182E5B"/>
    <w:rsid w:val="0018382A"/>
    <w:rsid w:val="001843B5"/>
    <w:rsid w:val="00184909"/>
    <w:rsid w:val="00186094"/>
    <w:rsid w:val="0018640C"/>
    <w:rsid w:val="001874D6"/>
    <w:rsid w:val="00187EE8"/>
    <w:rsid w:val="0019041F"/>
    <w:rsid w:val="0019070B"/>
    <w:rsid w:val="00191885"/>
    <w:rsid w:val="00191BF0"/>
    <w:rsid w:val="001953CF"/>
    <w:rsid w:val="0019625A"/>
    <w:rsid w:val="00196A63"/>
    <w:rsid w:val="001972A2"/>
    <w:rsid w:val="0019737D"/>
    <w:rsid w:val="001978F0"/>
    <w:rsid w:val="001A0145"/>
    <w:rsid w:val="001A0175"/>
    <w:rsid w:val="001A0307"/>
    <w:rsid w:val="001A0F66"/>
    <w:rsid w:val="001A1970"/>
    <w:rsid w:val="001A2A67"/>
    <w:rsid w:val="001A3362"/>
    <w:rsid w:val="001A3BE1"/>
    <w:rsid w:val="001A3F43"/>
    <w:rsid w:val="001A4AEA"/>
    <w:rsid w:val="001A5A16"/>
    <w:rsid w:val="001A63F0"/>
    <w:rsid w:val="001A6A80"/>
    <w:rsid w:val="001B00C0"/>
    <w:rsid w:val="001B02AB"/>
    <w:rsid w:val="001B11C7"/>
    <w:rsid w:val="001B16F1"/>
    <w:rsid w:val="001B1B5C"/>
    <w:rsid w:val="001B4751"/>
    <w:rsid w:val="001B47E7"/>
    <w:rsid w:val="001B48EA"/>
    <w:rsid w:val="001B607E"/>
    <w:rsid w:val="001B73AD"/>
    <w:rsid w:val="001C2202"/>
    <w:rsid w:val="001C345E"/>
    <w:rsid w:val="001C3BBB"/>
    <w:rsid w:val="001C44C0"/>
    <w:rsid w:val="001C7A7E"/>
    <w:rsid w:val="001D0378"/>
    <w:rsid w:val="001D0631"/>
    <w:rsid w:val="001D0CC0"/>
    <w:rsid w:val="001D1C55"/>
    <w:rsid w:val="001D3004"/>
    <w:rsid w:val="001D319F"/>
    <w:rsid w:val="001D3273"/>
    <w:rsid w:val="001D3D1F"/>
    <w:rsid w:val="001D5C40"/>
    <w:rsid w:val="001D6493"/>
    <w:rsid w:val="001D72A4"/>
    <w:rsid w:val="001D7621"/>
    <w:rsid w:val="001D7B8E"/>
    <w:rsid w:val="001D7D33"/>
    <w:rsid w:val="001E40DD"/>
    <w:rsid w:val="001E7D5D"/>
    <w:rsid w:val="001F0130"/>
    <w:rsid w:val="001F1F09"/>
    <w:rsid w:val="001F2660"/>
    <w:rsid w:val="001F2FAB"/>
    <w:rsid w:val="001F38C3"/>
    <w:rsid w:val="001F6300"/>
    <w:rsid w:val="001F6A32"/>
    <w:rsid w:val="001F6B33"/>
    <w:rsid w:val="001F773A"/>
    <w:rsid w:val="001F7AF6"/>
    <w:rsid w:val="001F7B0C"/>
    <w:rsid w:val="001F7EC1"/>
    <w:rsid w:val="002032BF"/>
    <w:rsid w:val="002033E6"/>
    <w:rsid w:val="00203515"/>
    <w:rsid w:val="00204B16"/>
    <w:rsid w:val="00207203"/>
    <w:rsid w:val="0020728F"/>
    <w:rsid w:val="0021111C"/>
    <w:rsid w:val="00211F6F"/>
    <w:rsid w:val="002133AE"/>
    <w:rsid w:val="00213864"/>
    <w:rsid w:val="0021490D"/>
    <w:rsid w:val="0021553B"/>
    <w:rsid w:val="0021574D"/>
    <w:rsid w:val="0021624B"/>
    <w:rsid w:val="0021772A"/>
    <w:rsid w:val="00217A5F"/>
    <w:rsid w:val="002217F8"/>
    <w:rsid w:val="00224619"/>
    <w:rsid w:val="00224A83"/>
    <w:rsid w:val="002250B4"/>
    <w:rsid w:val="00225792"/>
    <w:rsid w:val="00225E36"/>
    <w:rsid w:val="0022704D"/>
    <w:rsid w:val="00230CC5"/>
    <w:rsid w:val="00230DE7"/>
    <w:rsid w:val="002319C4"/>
    <w:rsid w:val="0023340A"/>
    <w:rsid w:val="00233C33"/>
    <w:rsid w:val="00233DEB"/>
    <w:rsid w:val="002345E6"/>
    <w:rsid w:val="00235AC7"/>
    <w:rsid w:val="00236A9E"/>
    <w:rsid w:val="0023776A"/>
    <w:rsid w:val="0024080C"/>
    <w:rsid w:val="002415D2"/>
    <w:rsid w:val="00242DF5"/>
    <w:rsid w:val="00243B2A"/>
    <w:rsid w:val="002449BA"/>
    <w:rsid w:val="00245620"/>
    <w:rsid w:val="002456E7"/>
    <w:rsid w:val="002457DB"/>
    <w:rsid w:val="00246871"/>
    <w:rsid w:val="00247200"/>
    <w:rsid w:val="0024724A"/>
    <w:rsid w:val="00247A0C"/>
    <w:rsid w:val="002501C1"/>
    <w:rsid w:val="00250431"/>
    <w:rsid w:val="002526ED"/>
    <w:rsid w:val="002539CC"/>
    <w:rsid w:val="00253C6C"/>
    <w:rsid w:val="002545C2"/>
    <w:rsid w:val="00254D5E"/>
    <w:rsid w:val="002551A5"/>
    <w:rsid w:val="00255283"/>
    <w:rsid w:val="002555DA"/>
    <w:rsid w:val="00256CE2"/>
    <w:rsid w:val="00257A7F"/>
    <w:rsid w:val="00257C37"/>
    <w:rsid w:val="0026032E"/>
    <w:rsid w:val="002604EF"/>
    <w:rsid w:val="0026054A"/>
    <w:rsid w:val="00261385"/>
    <w:rsid w:val="00261DBC"/>
    <w:rsid w:val="002655C9"/>
    <w:rsid w:val="00266B97"/>
    <w:rsid w:val="0027086A"/>
    <w:rsid w:val="0027090C"/>
    <w:rsid w:val="00271688"/>
    <w:rsid w:val="00271FD7"/>
    <w:rsid w:val="00272874"/>
    <w:rsid w:val="002730A0"/>
    <w:rsid w:val="002738EA"/>
    <w:rsid w:val="00273EA4"/>
    <w:rsid w:val="0027490F"/>
    <w:rsid w:val="00275C86"/>
    <w:rsid w:val="00281D71"/>
    <w:rsid w:val="002839B1"/>
    <w:rsid w:val="00283ED1"/>
    <w:rsid w:val="0028494F"/>
    <w:rsid w:val="00284CCC"/>
    <w:rsid w:val="002852FC"/>
    <w:rsid w:val="00287994"/>
    <w:rsid w:val="00291499"/>
    <w:rsid w:val="00292D6F"/>
    <w:rsid w:val="00293184"/>
    <w:rsid w:val="002936F0"/>
    <w:rsid w:val="00293B4D"/>
    <w:rsid w:val="00294899"/>
    <w:rsid w:val="00295911"/>
    <w:rsid w:val="00296951"/>
    <w:rsid w:val="002A0643"/>
    <w:rsid w:val="002A078C"/>
    <w:rsid w:val="002A0FB6"/>
    <w:rsid w:val="002A1275"/>
    <w:rsid w:val="002A1351"/>
    <w:rsid w:val="002A156A"/>
    <w:rsid w:val="002A1792"/>
    <w:rsid w:val="002A2452"/>
    <w:rsid w:val="002A333C"/>
    <w:rsid w:val="002A36BD"/>
    <w:rsid w:val="002A3874"/>
    <w:rsid w:val="002A40D1"/>
    <w:rsid w:val="002A4DDE"/>
    <w:rsid w:val="002A5F77"/>
    <w:rsid w:val="002A62CD"/>
    <w:rsid w:val="002A6931"/>
    <w:rsid w:val="002A6B63"/>
    <w:rsid w:val="002B07E9"/>
    <w:rsid w:val="002B0EAA"/>
    <w:rsid w:val="002B1173"/>
    <w:rsid w:val="002B1452"/>
    <w:rsid w:val="002B1A3B"/>
    <w:rsid w:val="002B1D9C"/>
    <w:rsid w:val="002B2602"/>
    <w:rsid w:val="002B3191"/>
    <w:rsid w:val="002B360A"/>
    <w:rsid w:val="002B5E8E"/>
    <w:rsid w:val="002C03AB"/>
    <w:rsid w:val="002C2352"/>
    <w:rsid w:val="002C4361"/>
    <w:rsid w:val="002D0D0C"/>
    <w:rsid w:val="002D21D1"/>
    <w:rsid w:val="002D5E6C"/>
    <w:rsid w:val="002D6031"/>
    <w:rsid w:val="002D6414"/>
    <w:rsid w:val="002D6CBC"/>
    <w:rsid w:val="002E1078"/>
    <w:rsid w:val="002E2184"/>
    <w:rsid w:val="002E4308"/>
    <w:rsid w:val="002E5F06"/>
    <w:rsid w:val="002E66AD"/>
    <w:rsid w:val="002E75DB"/>
    <w:rsid w:val="002E797A"/>
    <w:rsid w:val="002E7B12"/>
    <w:rsid w:val="002F179A"/>
    <w:rsid w:val="002F2558"/>
    <w:rsid w:val="002F2B35"/>
    <w:rsid w:val="002F2E35"/>
    <w:rsid w:val="002F34DF"/>
    <w:rsid w:val="002F72B6"/>
    <w:rsid w:val="002F7FA5"/>
    <w:rsid w:val="00301C92"/>
    <w:rsid w:val="003021F1"/>
    <w:rsid w:val="003040D5"/>
    <w:rsid w:val="0030596E"/>
    <w:rsid w:val="00306D33"/>
    <w:rsid w:val="003144FB"/>
    <w:rsid w:val="0031453D"/>
    <w:rsid w:val="00314DBF"/>
    <w:rsid w:val="003154C3"/>
    <w:rsid w:val="003169C0"/>
    <w:rsid w:val="003200A2"/>
    <w:rsid w:val="0032019F"/>
    <w:rsid w:val="0032111C"/>
    <w:rsid w:val="00321EAC"/>
    <w:rsid w:val="00322256"/>
    <w:rsid w:val="00324133"/>
    <w:rsid w:val="003244EE"/>
    <w:rsid w:val="00324BEE"/>
    <w:rsid w:val="003251F6"/>
    <w:rsid w:val="00325B41"/>
    <w:rsid w:val="0033037E"/>
    <w:rsid w:val="00330B87"/>
    <w:rsid w:val="0033113C"/>
    <w:rsid w:val="003311A0"/>
    <w:rsid w:val="003316CF"/>
    <w:rsid w:val="00333372"/>
    <w:rsid w:val="0033341E"/>
    <w:rsid w:val="00335148"/>
    <w:rsid w:val="00335890"/>
    <w:rsid w:val="00337273"/>
    <w:rsid w:val="00340459"/>
    <w:rsid w:val="00342119"/>
    <w:rsid w:val="0034392A"/>
    <w:rsid w:val="0034392B"/>
    <w:rsid w:val="00343AC1"/>
    <w:rsid w:val="00343E9E"/>
    <w:rsid w:val="003455A3"/>
    <w:rsid w:val="003469FD"/>
    <w:rsid w:val="00347355"/>
    <w:rsid w:val="0035085F"/>
    <w:rsid w:val="00352C07"/>
    <w:rsid w:val="00355CCE"/>
    <w:rsid w:val="00360305"/>
    <w:rsid w:val="00360AEB"/>
    <w:rsid w:val="00361762"/>
    <w:rsid w:val="00361FF8"/>
    <w:rsid w:val="00364436"/>
    <w:rsid w:val="003653F1"/>
    <w:rsid w:val="003669FD"/>
    <w:rsid w:val="0036765A"/>
    <w:rsid w:val="003677D2"/>
    <w:rsid w:val="00370E41"/>
    <w:rsid w:val="00371040"/>
    <w:rsid w:val="003717AE"/>
    <w:rsid w:val="003751F0"/>
    <w:rsid w:val="00376604"/>
    <w:rsid w:val="0037746C"/>
    <w:rsid w:val="003801A7"/>
    <w:rsid w:val="003809AB"/>
    <w:rsid w:val="00381F08"/>
    <w:rsid w:val="00383E30"/>
    <w:rsid w:val="00390D5B"/>
    <w:rsid w:val="003912A9"/>
    <w:rsid w:val="00391929"/>
    <w:rsid w:val="00391B11"/>
    <w:rsid w:val="003947A6"/>
    <w:rsid w:val="00394C3D"/>
    <w:rsid w:val="00394DF8"/>
    <w:rsid w:val="003956A3"/>
    <w:rsid w:val="00395D77"/>
    <w:rsid w:val="00396DA1"/>
    <w:rsid w:val="003972B6"/>
    <w:rsid w:val="003A0366"/>
    <w:rsid w:val="003A0B22"/>
    <w:rsid w:val="003A0E9E"/>
    <w:rsid w:val="003A2273"/>
    <w:rsid w:val="003A274D"/>
    <w:rsid w:val="003A399B"/>
    <w:rsid w:val="003A5BE6"/>
    <w:rsid w:val="003A68C5"/>
    <w:rsid w:val="003A705F"/>
    <w:rsid w:val="003B0834"/>
    <w:rsid w:val="003B1427"/>
    <w:rsid w:val="003B20B3"/>
    <w:rsid w:val="003B492A"/>
    <w:rsid w:val="003B498A"/>
    <w:rsid w:val="003B4A86"/>
    <w:rsid w:val="003B61B1"/>
    <w:rsid w:val="003B6BE3"/>
    <w:rsid w:val="003B7369"/>
    <w:rsid w:val="003C0516"/>
    <w:rsid w:val="003C12DD"/>
    <w:rsid w:val="003C22C2"/>
    <w:rsid w:val="003C3FE6"/>
    <w:rsid w:val="003C4998"/>
    <w:rsid w:val="003C541A"/>
    <w:rsid w:val="003C59C4"/>
    <w:rsid w:val="003C5E50"/>
    <w:rsid w:val="003C78A0"/>
    <w:rsid w:val="003D01A7"/>
    <w:rsid w:val="003D0699"/>
    <w:rsid w:val="003D1D6E"/>
    <w:rsid w:val="003D2F5D"/>
    <w:rsid w:val="003D4414"/>
    <w:rsid w:val="003D450A"/>
    <w:rsid w:val="003D5125"/>
    <w:rsid w:val="003D54B6"/>
    <w:rsid w:val="003D6C51"/>
    <w:rsid w:val="003E07D5"/>
    <w:rsid w:val="003E1A67"/>
    <w:rsid w:val="003E1F30"/>
    <w:rsid w:val="003E2A34"/>
    <w:rsid w:val="003E2DE9"/>
    <w:rsid w:val="003E60F2"/>
    <w:rsid w:val="003E6366"/>
    <w:rsid w:val="003F0574"/>
    <w:rsid w:val="003F0CF6"/>
    <w:rsid w:val="003F1757"/>
    <w:rsid w:val="003F29E3"/>
    <w:rsid w:val="003F2FF6"/>
    <w:rsid w:val="003F3EBE"/>
    <w:rsid w:val="003F688A"/>
    <w:rsid w:val="003F6ED7"/>
    <w:rsid w:val="003F770A"/>
    <w:rsid w:val="003F79B5"/>
    <w:rsid w:val="003F7C26"/>
    <w:rsid w:val="00400ED2"/>
    <w:rsid w:val="0040148D"/>
    <w:rsid w:val="00401755"/>
    <w:rsid w:val="0040348F"/>
    <w:rsid w:val="00403634"/>
    <w:rsid w:val="004037F1"/>
    <w:rsid w:val="004044E5"/>
    <w:rsid w:val="00404BA3"/>
    <w:rsid w:val="00404C5D"/>
    <w:rsid w:val="00404F1D"/>
    <w:rsid w:val="00405742"/>
    <w:rsid w:val="00407BE6"/>
    <w:rsid w:val="004107ED"/>
    <w:rsid w:val="00410DC1"/>
    <w:rsid w:val="0041623F"/>
    <w:rsid w:val="00417948"/>
    <w:rsid w:val="0042017B"/>
    <w:rsid w:val="004229FF"/>
    <w:rsid w:val="00422E4D"/>
    <w:rsid w:val="00423458"/>
    <w:rsid w:val="004236C0"/>
    <w:rsid w:val="00423EB2"/>
    <w:rsid w:val="00425F3B"/>
    <w:rsid w:val="00430045"/>
    <w:rsid w:val="00430FBB"/>
    <w:rsid w:val="004351CF"/>
    <w:rsid w:val="004355D9"/>
    <w:rsid w:val="00435D59"/>
    <w:rsid w:val="00436175"/>
    <w:rsid w:val="00436644"/>
    <w:rsid w:val="004367DA"/>
    <w:rsid w:val="004371AA"/>
    <w:rsid w:val="004411B6"/>
    <w:rsid w:val="0044133B"/>
    <w:rsid w:val="004424A4"/>
    <w:rsid w:val="00442E78"/>
    <w:rsid w:val="00443641"/>
    <w:rsid w:val="00445943"/>
    <w:rsid w:val="00447AD8"/>
    <w:rsid w:val="004511A1"/>
    <w:rsid w:val="004513E7"/>
    <w:rsid w:val="00453E09"/>
    <w:rsid w:val="00453E0D"/>
    <w:rsid w:val="00454707"/>
    <w:rsid w:val="0045557A"/>
    <w:rsid w:val="004559C7"/>
    <w:rsid w:val="00455D98"/>
    <w:rsid w:val="00456560"/>
    <w:rsid w:val="00457837"/>
    <w:rsid w:val="00460DFB"/>
    <w:rsid w:val="00461321"/>
    <w:rsid w:val="004622EC"/>
    <w:rsid w:val="00462ECA"/>
    <w:rsid w:val="004639F9"/>
    <w:rsid w:val="00463F16"/>
    <w:rsid w:val="004641C5"/>
    <w:rsid w:val="004643AC"/>
    <w:rsid w:val="0046581D"/>
    <w:rsid w:val="0046782F"/>
    <w:rsid w:val="0047003A"/>
    <w:rsid w:val="00470F1D"/>
    <w:rsid w:val="00472863"/>
    <w:rsid w:val="00472ACF"/>
    <w:rsid w:val="00472E72"/>
    <w:rsid w:val="00473378"/>
    <w:rsid w:val="004751F8"/>
    <w:rsid w:val="00475C1C"/>
    <w:rsid w:val="0047766C"/>
    <w:rsid w:val="0047791D"/>
    <w:rsid w:val="00477BDF"/>
    <w:rsid w:val="00480756"/>
    <w:rsid w:val="00482471"/>
    <w:rsid w:val="00483BAE"/>
    <w:rsid w:val="00484C7F"/>
    <w:rsid w:val="00485469"/>
    <w:rsid w:val="0048563A"/>
    <w:rsid w:val="00485727"/>
    <w:rsid w:val="00485CE9"/>
    <w:rsid w:val="004868E2"/>
    <w:rsid w:val="0048694D"/>
    <w:rsid w:val="004918BF"/>
    <w:rsid w:val="004927BA"/>
    <w:rsid w:val="004957D6"/>
    <w:rsid w:val="00495A53"/>
    <w:rsid w:val="004A054C"/>
    <w:rsid w:val="004A1A1A"/>
    <w:rsid w:val="004A205C"/>
    <w:rsid w:val="004A3989"/>
    <w:rsid w:val="004A3BD9"/>
    <w:rsid w:val="004A499D"/>
    <w:rsid w:val="004A658C"/>
    <w:rsid w:val="004B04A0"/>
    <w:rsid w:val="004B1029"/>
    <w:rsid w:val="004B1A06"/>
    <w:rsid w:val="004B1B3C"/>
    <w:rsid w:val="004B2728"/>
    <w:rsid w:val="004B3B00"/>
    <w:rsid w:val="004B4DFB"/>
    <w:rsid w:val="004B4DFF"/>
    <w:rsid w:val="004B580D"/>
    <w:rsid w:val="004B6ECC"/>
    <w:rsid w:val="004B70AF"/>
    <w:rsid w:val="004B730F"/>
    <w:rsid w:val="004B7B32"/>
    <w:rsid w:val="004C02AC"/>
    <w:rsid w:val="004C0D2F"/>
    <w:rsid w:val="004C10C5"/>
    <w:rsid w:val="004C136B"/>
    <w:rsid w:val="004C1B24"/>
    <w:rsid w:val="004C2266"/>
    <w:rsid w:val="004C2841"/>
    <w:rsid w:val="004C31AA"/>
    <w:rsid w:val="004C33AE"/>
    <w:rsid w:val="004C366E"/>
    <w:rsid w:val="004C4C17"/>
    <w:rsid w:val="004C6B7C"/>
    <w:rsid w:val="004C78E9"/>
    <w:rsid w:val="004C7F05"/>
    <w:rsid w:val="004D04A6"/>
    <w:rsid w:val="004D175E"/>
    <w:rsid w:val="004D3CCC"/>
    <w:rsid w:val="004D4AB7"/>
    <w:rsid w:val="004D6632"/>
    <w:rsid w:val="004D66CD"/>
    <w:rsid w:val="004D67F0"/>
    <w:rsid w:val="004E09D6"/>
    <w:rsid w:val="004E131B"/>
    <w:rsid w:val="004E29AA"/>
    <w:rsid w:val="004E3E52"/>
    <w:rsid w:val="004E4136"/>
    <w:rsid w:val="004E55D1"/>
    <w:rsid w:val="004E58A4"/>
    <w:rsid w:val="004E627F"/>
    <w:rsid w:val="004E6DD7"/>
    <w:rsid w:val="004F1237"/>
    <w:rsid w:val="004F1422"/>
    <w:rsid w:val="004F2AAC"/>
    <w:rsid w:val="004F38E5"/>
    <w:rsid w:val="004F3B44"/>
    <w:rsid w:val="004F44F2"/>
    <w:rsid w:val="004F4A11"/>
    <w:rsid w:val="004F5135"/>
    <w:rsid w:val="00503315"/>
    <w:rsid w:val="0050403C"/>
    <w:rsid w:val="005055FD"/>
    <w:rsid w:val="0050563D"/>
    <w:rsid w:val="00507D19"/>
    <w:rsid w:val="00511FF0"/>
    <w:rsid w:val="0051258B"/>
    <w:rsid w:val="00513B85"/>
    <w:rsid w:val="00514ED9"/>
    <w:rsid w:val="00515B87"/>
    <w:rsid w:val="0051620A"/>
    <w:rsid w:val="00523205"/>
    <w:rsid w:val="0052347D"/>
    <w:rsid w:val="0052349F"/>
    <w:rsid w:val="00523F09"/>
    <w:rsid w:val="00525CCF"/>
    <w:rsid w:val="00526A3D"/>
    <w:rsid w:val="00527067"/>
    <w:rsid w:val="0053283E"/>
    <w:rsid w:val="00532F61"/>
    <w:rsid w:val="00533F2C"/>
    <w:rsid w:val="00534DB7"/>
    <w:rsid w:val="00535BCA"/>
    <w:rsid w:val="00536730"/>
    <w:rsid w:val="00540471"/>
    <w:rsid w:val="00540AE9"/>
    <w:rsid w:val="00541369"/>
    <w:rsid w:val="0054190D"/>
    <w:rsid w:val="00541E1F"/>
    <w:rsid w:val="00542268"/>
    <w:rsid w:val="00542E0C"/>
    <w:rsid w:val="00543A82"/>
    <w:rsid w:val="00545F42"/>
    <w:rsid w:val="00546600"/>
    <w:rsid w:val="005509B0"/>
    <w:rsid w:val="00551B62"/>
    <w:rsid w:val="00551EBF"/>
    <w:rsid w:val="00554A85"/>
    <w:rsid w:val="00555F9A"/>
    <w:rsid w:val="0055629D"/>
    <w:rsid w:val="00556C05"/>
    <w:rsid w:val="00556C71"/>
    <w:rsid w:val="00557F57"/>
    <w:rsid w:val="00560D62"/>
    <w:rsid w:val="00562AA3"/>
    <w:rsid w:val="005632D5"/>
    <w:rsid w:val="0056352F"/>
    <w:rsid w:val="00563C3C"/>
    <w:rsid w:val="00565856"/>
    <w:rsid w:val="0056586E"/>
    <w:rsid w:val="00565D66"/>
    <w:rsid w:val="00566B8F"/>
    <w:rsid w:val="00572122"/>
    <w:rsid w:val="0057230F"/>
    <w:rsid w:val="00572E47"/>
    <w:rsid w:val="00575048"/>
    <w:rsid w:val="0057592F"/>
    <w:rsid w:val="005759F4"/>
    <w:rsid w:val="00576698"/>
    <w:rsid w:val="00577B1A"/>
    <w:rsid w:val="00577B77"/>
    <w:rsid w:val="00577BC2"/>
    <w:rsid w:val="00583171"/>
    <w:rsid w:val="005832BE"/>
    <w:rsid w:val="005854D2"/>
    <w:rsid w:val="005926ED"/>
    <w:rsid w:val="00592795"/>
    <w:rsid w:val="00594366"/>
    <w:rsid w:val="0059734E"/>
    <w:rsid w:val="0059751B"/>
    <w:rsid w:val="005A0DF8"/>
    <w:rsid w:val="005A2C93"/>
    <w:rsid w:val="005A3C35"/>
    <w:rsid w:val="005A474B"/>
    <w:rsid w:val="005A5A6F"/>
    <w:rsid w:val="005A7136"/>
    <w:rsid w:val="005A71DF"/>
    <w:rsid w:val="005A7E6A"/>
    <w:rsid w:val="005B246C"/>
    <w:rsid w:val="005B2628"/>
    <w:rsid w:val="005B2B5A"/>
    <w:rsid w:val="005B2B9D"/>
    <w:rsid w:val="005B3B88"/>
    <w:rsid w:val="005B3CEE"/>
    <w:rsid w:val="005B533D"/>
    <w:rsid w:val="005B5B11"/>
    <w:rsid w:val="005B7D14"/>
    <w:rsid w:val="005C16A4"/>
    <w:rsid w:val="005C1DEB"/>
    <w:rsid w:val="005C293A"/>
    <w:rsid w:val="005C2F6B"/>
    <w:rsid w:val="005C3B95"/>
    <w:rsid w:val="005C4076"/>
    <w:rsid w:val="005C46D5"/>
    <w:rsid w:val="005C4A90"/>
    <w:rsid w:val="005C51DB"/>
    <w:rsid w:val="005C5DCF"/>
    <w:rsid w:val="005C60F5"/>
    <w:rsid w:val="005C6835"/>
    <w:rsid w:val="005C6EBF"/>
    <w:rsid w:val="005C7DD8"/>
    <w:rsid w:val="005D0BA5"/>
    <w:rsid w:val="005D1D9D"/>
    <w:rsid w:val="005D2F22"/>
    <w:rsid w:val="005D36D6"/>
    <w:rsid w:val="005D4E11"/>
    <w:rsid w:val="005D4E8E"/>
    <w:rsid w:val="005D5C58"/>
    <w:rsid w:val="005D5DD8"/>
    <w:rsid w:val="005D69E2"/>
    <w:rsid w:val="005D74E2"/>
    <w:rsid w:val="005E009E"/>
    <w:rsid w:val="005E0651"/>
    <w:rsid w:val="005E0A3E"/>
    <w:rsid w:val="005E12CC"/>
    <w:rsid w:val="005E1D03"/>
    <w:rsid w:val="005E30E7"/>
    <w:rsid w:val="005E3D79"/>
    <w:rsid w:val="005E41AB"/>
    <w:rsid w:val="005E434D"/>
    <w:rsid w:val="005E5382"/>
    <w:rsid w:val="005E757D"/>
    <w:rsid w:val="005F04AB"/>
    <w:rsid w:val="005F0559"/>
    <w:rsid w:val="005F11A9"/>
    <w:rsid w:val="005F180B"/>
    <w:rsid w:val="005F2263"/>
    <w:rsid w:val="005F3DA0"/>
    <w:rsid w:val="005F53F3"/>
    <w:rsid w:val="005F5A36"/>
    <w:rsid w:val="005F62BD"/>
    <w:rsid w:val="005F6DF6"/>
    <w:rsid w:val="005F707D"/>
    <w:rsid w:val="005F7B16"/>
    <w:rsid w:val="006005E4"/>
    <w:rsid w:val="00601AD8"/>
    <w:rsid w:val="00604B23"/>
    <w:rsid w:val="0060596C"/>
    <w:rsid w:val="006073FC"/>
    <w:rsid w:val="00607458"/>
    <w:rsid w:val="006105D2"/>
    <w:rsid w:val="0061250A"/>
    <w:rsid w:val="00612CA3"/>
    <w:rsid w:val="006130A2"/>
    <w:rsid w:val="00613736"/>
    <w:rsid w:val="0061652F"/>
    <w:rsid w:val="00616761"/>
    <w:rsid w:val="00617D7A"/>
    <w:rsid w:val="00621DFE"/>
    <w:rsid w:val="0062245F"/>
    <w:rsid w:val="006250EF"/>
    <w:rsid w:val="00625AAE"/>
    <w:rsid w:val="00626920"/>
    <w:rsid w:val="00627381"/>
    <w:rsid w:val="0062754A"/>
    <w:rsid w:val="006276FB"/>
    <w:rsid w:val="0062790F"/>
    <w:rsid w:val="00627914"/>
    <w:rsid w:val="00627A3A"/>
    <w:rsid w:val="00627E11"/>
    <w:rsid w:val="006316F9"/>
    <w:rsid w:val="00633435"/>
    <w:rsid w:val="00633E3E"/>
    <w:rsid w:val="006355DB"/>
    <w:rsid w:val="00637B67"/>
    <w:rsid w:val="00640676"/>
    <w:rsid w:val="00640903"/>
    <w:rsid w:val="00640B8A"/>
    <w:rsid w:val="00642368"/>
    <w:rsid w:val="00642F78"/>
    <w:rsid w:val="0064521D"/>
    <w:rsid w:val="00647AC7"/>
    <w:rsid w:val="00650001"/>
    <w:rsid w:val="0065067A"/>
    <w:rsid w:val="0065248C"/>
    <w:rsid w:val="006527DE"/>
    <w:rsid w:val="00652D6A"/>
    <w:rsid w:val="00656817"/>
    <w:rsid w:val="00657847"/>
    <w:rsid w:val="00657B71"/>
    <w:rsid w:val="00660886"/>
    <w:rsid w:val="00660D6E"/>
    <w:rsid w:val="006618E5"/>
    <w:rsid w:val="0066216F"/>
    <w:rsid w:val="00662CD4"/>
    <w:rsid w:val="006642B6"/>
    <w:rsid w:val="00665073"/>
    <w:rsid w:val="006668B0"/>
    <w:rsid w:val="00666AE6"/>
    <w:rsid w:val="00666C29"/>
    <w:rsid w:val="00666CB7"/>
    <w:rsid w:val="00667187"/>
    <w:rsid w:val="0067039F"/>
    <w:rsid w:val="0067050C"/>
    <w:rsid w:val="0067306A"/>
    <w:rsid w:val="006757EA"/>
    <w:rsid w:val="00675DF3"/>
    <w:rsid w:val="006769CC"/>
    <w:rsid w:val="00677743"/>
    <w:rsid w:val="00681A09"/>
    <w:rsid w:val="00682573"/>
    <w:rsid w:val="006827C3"/>
    <w:rsid w:val="00683A5D"/>
    <w:rsid w:val="006844A5"/>
    <w:rsid w:val="00685CBC"/>
    <w:rsid w:val="00687B20"/>
    <w:rsid w:val="00690058"/>
    <w:rsid w:val="00690944"/>
    <w:rsid w:val="006928D0"/>
    <w:rsid w:val="00692E95"/>
    <w:rsid w:val="00692FAB"/>
    <w:rsid w:val="0069320F"/>
    <w:rsid w:val="0069364E"/>
    <w:rsid w:val="00695869"/>
    <w:rsid w:val="00695941"/>
    <w:rsid w:val="00697259"/>
    <w:rsid w:val="006978CB"/>
    <w:rsid w:val="00697A7A"/>
    <w:rsid w:val="00697CBA"/>
    <w:rsid w:val="006A0298"/>
    <w:rsid w:val="006A039D"/>
    <w:rsid w:val="006A0D68"/>
    <w:rsid w:val="006A1E53"/>
    <w:rsid w:val="006A2E76"/>
    <w:rsid w:val="006A3B71"/>
    <w:rsid w:val="006A4BC0"/>
    <w:rsid w:val="006A52EA"/>
    <w:rsid w:val="006A6CE6"/>
    <w:rsid w:val="006A6D6D"/>
    <w:rsid w:val="006A7A8A"/>
    <w:rsid w:val="006B0C2A"/>
    <w:rsid w:val="006B163E"/>
    <w:rsid w:val="006B16B5"/>
    <w:rsid w:val="006B19B1"/>
    <w:rsid w:val="006B1E21"/>
    <w:rsid w:val="006B2556"/>
    <w:rsid w:val="006B2578"/>
    <w:rsid w:val="006B4F6E"/>
    <w:rsid w:val="006C01AA"/>
    <w:rsid w:val="006C2F34"/>
    <w:rsid w:val="006C51D1"/>
    <w:rsid w:val="006C5E3B"/>
    <w:rsid w:val="006C652D"/>
    <w:rsid w:val="006C7977"/>
    <w:rsid w:val="006C7C95"/>
    <w:rsid w:val="006D0399"/>
    <w:rsid w:val="006D1375"/>
    <w:rsid w:val="006D306F"/>
    <w:rsid w:val="006D30B0"/>
    <w:rsid w:val="006D406B"/>
    <w:rsid w:val="006D514F"/>
    <w:rsid w:val="006D57F5"/>
    <w:rsid w:val="006D6903"/>
    <w:rsid w:val="006D6C28"/>
    <w:rsid w:val="006D748B"/>
    <w:rsid w:val="006D7823"/>
    <w:rsid w:val="006D7A2C"/>
    <w:rsid w:val="006D7A59"/>
    <w:rsid w:val="006E09DD"/>
    <w:rsid w:val="006E0F78"/>
    <w:rsid w:val="006E1562"/>
    <w:rsid w:val="006E2D66"/>
    <w:rsid w:val="006E60C2"/>
    <w:rsid w:val="006E6B08"/>
    <w:rsid w:val="006E6F20"/>
    <w:rsid w:val="006F0050"/>
    <w:rsid w:val="006F1271"/>
    <w:rsid w:val="006F1945"/>
    <w:rsid w:val="006F20A3"/>
    <w:rsid w:val="006F2A2A"/>
    <w:rsid w:val="006F399A"/>
    <w:rsid w:val="006F3AA8"/>
    <w:rsid w:val="006F60ED"/>
    <w:rsid w:val="006F68F4"/>
    <w:rsid w:val="006F6E13"/>
    <w:rsid w:val="00700859"/>
    <w:rsid w:val="00700980"/>
    <w:rsid w:val="00700A22"/>
    <w:rsid w:val="007014FE"/>
    <w:rsid w:val="00701DA3"/>
    <w:rsid w:val="007022A3"/>
    <w:rsid w:val="00702C9F"/>
    <w:rsid w:val="00703972"/>
    <w:rsid w:val="00703A32"/>
    <w:rsid w:val="007040FF"/>
    <w:rsid w:val="007055B1"/>
    <w:rsid w:val="00706743"/>
    <w:rsid w:val="00706EDE"/>
    <w:rsid w:val="00707153"/>
    <w:rsid w:val="00711489"/>
    <w:rsid w:val="007117A7"/>
    <w:rsid w:val="00711C64"/>
    <w:rsid w:val="00712AD0"/>
    <w:rsid w:val="0071310A"/>
    <w:rsid w:val="007147B6"/>
    <w:rsid w:val="00720BC2"/>
    <w:rsid w:val="00720F81"/>
    <w:rsid w:val="0072142C"/>
    <w:rsid w:val="00722274"/>
    <w:rsid w:val="00724093"/>
    <w:rsid w:val="007248BF"/>
    <w:rsid w:val="007323B8"/>
    <w:rsid w:val="00733B00"/>
    <w:rsid w:val="00733F84"/>
    <w:rsid w:val="0073640D"/>
    <w:rsid w:val="0073690C"/>
    <w:rsid w:val="00742323"/>
    <w:rsid w:val="00742BEB"/>
    <w:rsid w:val="0074311D"/>
    <w:rsid w:val="0074373D"/>
    <w:rsid w:val="00743B8E"/>
    <w:rsid w:val="0074434E"/>
    <w:rsid w:val="0074487B"/>
    <w:rsid w:val="0074555B"/>
    <w:rsid w:val="00745C7A"/>
    <w:rsid w:val="0074636E"/>
    <w:rsid w:val="0074677E"/>
    <w:rsid w:val="00746A96"/>
    <w:rsid w:val="007472AE"/>
    <w:rsid w:val="00747C9C"/>
    <w:rsid w:val="00747FAD"/>
    <w:rsid w:val="00750397"/>
    <w:rsid w:val="00750AB8"/>
    <w:rsid w:val="00751F31"/>
    <w:rsid w:val="00752C77"/>
    <w:rsid w:val="00752CA1"/>
    <w:rsid w:val="007533E9"/>
    <w:rsid w:val="00753A41"/>
    <w:rsid w:val="00753A96"/>
    <w:rsid w:val="00754B05"/>
    <w:rsid w:val="00755CB7"/>
    <w:rsid w:val="00756A67"/>
    <w:rsid w:val="00757CED"/>
    <w:rsid w:val="00760CDF"/>
    <w:rsid w:val="00762758"/>
    <w:rsid w:val="007673F2"/>
    <w:rsid w:val="007716CE"/>
    <w:rsid w:val="00772067"/>
    <w:rsid w:val="007722D9"/>
    <w:rsid w:val="00773FFE"/>
    <w:rsid w:val="0077492E"/>
    <w:rsid w:val="007749DC"/>
    <w:rsid w:val="007756D5"/>
    <w:rsid w:val="0078057D"/>
    <w:rsid w:val="00781FE0"/>
    <w:rsid w:val="0078237C"/>
    <w:rsid w:val="00782B75"/>
    <w:rsid w:val="0078340D"/>
    <w:rsid w:val="00784502"/>
    <w:rsid w:val="00785A35"/>
    <w:rsid w:val="00785B5D"/>
    <w:rsid w:val="0078703E"/>
    <w:rsid w:val="007872AD"/>
    <w:rsid w:val="00790F15"/>
    <w:rsid w:val="00791D6B"/>
    <w:rsid w:val="00792DF3"/>
    <w:rsid w:val="00793782"/>
    <w:rsid w:val="00793E29"/>
    <w:rsid w:val="00797707"/>
    <w:rsid w:val="007A05CD"/>
    <w:rsid w:val="007A18BA"/>
    <w:rsid w:val="007A25E8"/>
    <w:rsid w:val="007A2951"/>
    <w:rsid w:val="007A38FA"/>
    <w:rsid w:val="007A4557"/>
    <w:rsid w:val="007A4C7A"/>
    <w:rsid w:val="007B2550"/>
    <w:rsid w:val="007B28F0"/>
    <w:rsid w:val="007B2936"/>
    <w:rsid w:val="007B29ED"/>
    <w:rsid w:val="007B3D62"/>
    <w:rsid w:val="007B5770"/>
    <w:rsid w:val="007B5E5E"/>
    <w:rsid w:val="007B5FEA"/>
    <w:rsid w:val="007B6269"/>
    <w:rsid w:val="007B71C6"/>
    <w:rsid w:val="007C1494"/>
    <w:rsid w:val="007C262B"/>
    <w:rsid w:val="007C3406"/>
    <w:rsid w:val="007C5481"/>
    <w:rsid w:val="007D02A6"/>
    <w:rsid w:val="007D2129"/>
    <w:rsid w:val="007D319D"/>
    <w:rsid w:val="007D512E"/>
    <w:rsid w:val="007D5D1C"/>
    <w:rsid w:val="007D680B"/>
    <w:rsid w:val="007E07C1"/>
    <w:rsid w:val="007E17DE"/>
    <w:rsid w:val="007E294B"/>
    <w:rsid w:val="007E325C"/>
    <w:rsid w:val="007E417B"/>
    <w:rsid w:val="007E51B1"/>
    <w:rsid w:val="007E5E68"/>
    <w:rsid w:val="007E5EB2"/>
    <w:rsid w:val="007E675E"/>
    <w:rsid w:val="007E6D26"/>
    <w:rsid w:val="007F00A4"/>
    <w:rsid w:val="007F0137"/>
    <w:rsid w:val="007F0D9E"/>
    <w:rsid w:val="007F19AB"/>
    <w:rsid w:val="007F2F7E"/>
    <w:rsid w:val="007F51E5"/>
    <w:rsid w:val="007F5380"/>
    <w:rsid w:val="007F53AE"/>
    <w:rsid w:val="007F69A5"/>
    <w:rsid w:val="007F7B20"/>
    <w:rsid w:val="00801C4F"/>
    <w:rsid w:val="00801EA3"/>
    <w:rsid w:val="00802492"/>
    <w:rsid w:val="00802FCA"/>
    <w:rsid w:val="00803F23"/>
    <w:rsid w:val="008047B0"/>
    <w:rsid w:val="00804BFE"/>
    <w:rsid w:val="00804DB6"/>
    <w:rsid w:val="00804E82"/>
    <w:rsid w:val="0080516D"/>
    <w:rsid w:val="0080542B"/>
    <w:rsid w:val="00805E40"/>
    <w:rsid w:val="00805E42"/>
    <w:rsid w:val="00806561"/>
    <w:rsid w:val="00806D63"/>
    <w:rsid w:val="008114EA"/>
    <w:rsid w:val="008139D6"/>
    <w:rsid w:val="00814A7D"/>
    <w:rsid w:val="00815079"/>
    <w:rsid w:val="0081638B"/>
    <w:rsid w:val="00816966"/>
    <w:rsid w:val="00816E27"/>
    <w:rsid w:val="00817763"/>
    <w:rsid w:val="00820294"/>
    <w:rsid w:val="00820D8F"/>
    <w:rsid w:val="008221EC"/>
    <w:rsid w:val="00822750"/>
    <w:rsid w:val="00822C83"/>
    <w:rsid w:val="00825A89"/>
    <w:rsid w:val="0082627D"/>
    <w:rsid w:val="00826CEB"/>
    <w:rsid w:val="00832275"/>
    <w:rsid w:val="00832E8E"/>
    <w:rsid w:val="008343CF"/>
    <w:rsid w:val="00834E17"/>
    <w:rsid w:val="0083707C"/>
    <w:rsid w:val="0083725B"/>
    <w:rsid w:val="0083778A"/>
    <w:rsid w:val="008377EE"/>
    <w:rsid w:val="00840313"/>
    <w:rsid w:val="008412EC"/>
    <w:rsid w:val="008417B4"/>
    <w:rsid w:val="008418B6"/>
    <w:rsid w:val="00843392"/>
    <w:rsid w:val="00844445"/>
    <w:rsid w:val="00844873"/>
    <w:rsid w:val="00845EC5"/>
    <w:rsid w:val="008504A7"/>
    <w:rsid w:val="008506E3"/>
    <w:rsid w:val="00852210"/>
    <w:rsid w:val="00853ADB"/>
    <w:rsid w:val="00853D46"/>
    <w:rsid w:val="008542D9"/>
    <w:rsid w:val="00854909"/>
    <w:rsid w:val="00855366"/>
    <w:rsid w:val="0085634F"/>
    <w:rsid w:val="0085685B"/>
    <w:rsid w:val="008571D3"/>
    <w:rsid w:val="008577D0"/>
    <w:rsid w:val="00860787"/>
    <w:rsid w:val="00862C4B"/>
    <w:rsid w:val="008632A1"/>
    <w:rsid w:val="00864FB8"/>
    <w:rsid w:val="008653C3"/>
    <w:rsid w:val="008661E0"/>
    <w:rsid w:val="0086630E"/>
    <w:rsid w:val="008670AD"/>
    <w:rsid w:val="0086742A"/>
    <w:rsid w:val="00867C2E"/>
    <w:rsid w:val="008712AE"/>
    <w:rsid w:val="00871B40"/>
    <w:rsid w:val="0087324B"/>
    <w:rsid w:val="00873566"/>
    <w:rsid w:val="00873745"/>
    <w:rsid w:val="00877D7A"/>
    <w:rsid w:val="00880379"/>
    <w:rsid w:val="00880875"/>
    <w:rsid w:val="00882005"/>
    <w:rsid w:val="0088381D"/>
    <w:rsid w:val="0088513F"/>
    <w:rsid w:val="00886832"/>
    <w:rsid w:val="0088731B"/>
    <w:rsid w:val="00887547"/>
    <w:rsid w:val="00887C3B"/>
    <w:rsid w:val="00890463"/>
    <w:rsid w:val="00890717"/>
    <w:rsid w:val="00891A19"/>
    <w:rsid w:val="008934D2"/>
    <w:rsid w:val="00893EDF"/>
    <w:rsid w:val="00894C48"/>
    <w:rsid w:val="00895B42"/>
    <w:rsid w:val="00895DF5"/>
    <w:rsid w:val="00896594"/>
    <w:rsid w:val="00896ECB"/>
    <w:rsid w:val="008A215D"/>
    <w:rsid w:val="008A44B6"/>
    <w:rsid w:val="008A53B7"/>
    <w:rsid w:val="008A5DC7"/>
    <w:rsid w:val="008A5FA0"/>
    <w:rsid w:val="008A612B"/>
    <w:rsid w:val="008A67CD"/>
    <w:rsid w:val="008A6BFB"/>
    <w:rsid w:val="008A6E7A"/>
    <w:rsid w:val="008A7068"/>
    <w:rsid w:val="008A7323"/>
    <w:rsid w:val="008A7D06"/>
    <w:rsid w:val="008B041F"/>
    <w:rsid w:val="008B0471"/>
    <w:rsid w:val="008B071A"/>
    <w:rsid w:val="008B13C6"/>
    <w:rsid w:val="008B2EE8"/>
    <w:rsid w:val="008B3547"/>
    <w:rsid w:val="008B58FA"/>
    <w:rsid w:val="008B59A5"/>
    <w:rsid w:val="008B7C63"/>
    <w:rsid w:val="008C0082"/>
    <w:rsid w:val="008C44A9"/>
    <w:rsid w:val="008C489F"/>
    <w:rsid w:val="008C5C20"/>
    <w:rsid w:val="008C61C6"/>
    <w:rsid w:val="008D0398"/>
    <w:rsid w:val="008D1AE4"/>
    <w:rsid w:val="008D1B85"/>
    <w:rsid w:val="008D2BD1"/>
    <w:rsid w:val="008D4140"/>
    <w:rsid w:val="008D4CA2"/>
    <w:rsid w:val="008D54F6"/>
    <w:rsid w:val="008D63DF"/>
    <w:rsid w:val="008D6FAB"/>
    <w:rsid w:val="008D717C"/>
    <w:rsid w:val="008E0252"/>
    <w:rsid w:val="008E0362"/>
    <w:rsid w:val="008E0566"/>
    <w:rsid w:val="008E0EDA"/>
    <w:rsid w:val="008E2905"/>
    <w:rsid w:val="008E2910"/>
    <w:rsid w:val="008E2CCB"/>
    <w:rsid w:val="008E32D1"/>
    <w:rsid w:val="008E352C"/>
    <w:rsid w:val="008E3A73"/>
    <w:rsid w:val="008E4659"/>
    <w:rsid w:val="008E6387"/>
    <w:rsid w:val="008E696E"/>
    <w:rsid w:val="008E6AE1"/>
    <w:rsid w:val="008F0353"/>
    <w:rsid w:val="008F1197"/>
    <w:rsid w:val="008F1E36"/>
    <w:rsid w:val="008F1F9E"/>
    <w:rsid w:val="008F39B0"/>
    <w:rsid w:val="008F46E8"/>
    <w:rsid w:val="008F60DB"/>
    <w:rsid w:val="008F71C9"/>
    <w:rsid w:val="008F78E8"/>
    <w:rsid w:val="009004A5"/>
    <w:rsid w:val="009004E0"/>
    <w:rsid w:val="00900858"/>
    <w:rsid w:val="0090133A"/>
    <w:rsid w:val="00901EC7"/>
    <w:rsid w:val="0090264F"/>
    <w:rsid w:val="00902758"/>
    <w:rsid w:val="0090276B"/>
    <w:rsid w:val="009028F4"/>
    <w:rsid w:val="009029F8"/>
    <w:rsid w:val="009041F7"/>
    <w:rsid w:val="009052D1"/>
    <w:rsid w:val="00905A71"/>
    <w:rsid w:val="00906DEE"/>
    <w:rsid w:val="00907CB1"/>
    <w:rsid w:val="00907F19"/>
    <w:rsid w:val="00912DB1"/>
    <w:rsid w:val="00913FEF"/>
    <w:rsid w:val="00914EAE"/>
    <w:rsid w:val="00915E09"/>
    <w:rsid w:val="0092068A"/>
    <w:rsid w:val="00920729"/>
    <w:rsid w:val="0092087D"/>
    <w:rsid w:val="009211CB"/>
    <w:rsid w:val="00921AD0"/>
    <w:rsid w:val="00921B2B"/>
    <w:rsid w:val="00923C40"/>
    <w:rsid w:val="00925155"/>
    <w:rsid w:val="009254FE"/>
    <w:rsid w:val="00925BFA"/>
    <w:rsid w:val="00925DD6"/>
    <w:rsid w:val="009317B1"/>
    <w:rsid w:val="0093352F"/>
    <w:rsid w:val="0093360F"/>
    <w:rsid w:val="00933A78"/>
    <w:rsid w:val="00934C22"/>
    <w:rsid w:val="00934FAF"/>
    <w:rsid w:val="00935B59"/>
    <w:rsid w:val="00935C12"/>
    <w:rsid w:val="00936497"/>
    <w:rsid w:val="009364E6"/>
    <w:rsid w:val="00936769"/>
    <w:rsid w:val="00936C37"/>
    <w:rsid w:val="0094034F"/>
    <w:rsid w:val="00941378"/>
    <w:rsid w:val="00941D1E"/>
    <w:rsid w:val="009429FC"/>
    <w:rsid w:val="00942E2D"/>
    <w:rsid w:val="00942FAE"/>
    <w:rsid w:val="00943418"/>
    <w:rsid w:val="00943FE8"/>
    <w:rsid w:val="009469C3"/>
    <w:rsid w:val="00947F04"/>
    <w:rsid w:val="00947FB5"/>
    <w:rsid w:val="00947FC1"/>
    <w:rsid w:val="00951805"/>
    <w:rsid w:val="00955B5B"/>
    <w:rsid w:val="0095612B"/>
    <w:rsid w:val="0095661C"/>
    <w:rsid w:val="00957339"/>
    <w:rsid w:val="009573E5"/>
    <w:rsid w:val="00960940"/>
    <w:rsid w:val="00960A7C"/>
    <w:rsid w:val="00961DB9"/>
    <w:rsid w:val="009621B5"/>
    <w:rsid w:val="00962204"/>
    <w:rsid w:val="00962238"/>
    <w:rsid w:val="00962525"/>
    <w:rsid w:val="0096390A"/>
    <w:rsid w:val="00964A2B"/>
    <w:rsid w:val="00965256"/>
    <w:rsid w:val="009654BD"/>
    <w:rsid w:val="0097093D"/>
    <w:rsid w:val="00970D08"/>
    <w:rsid w:val="009717D0"/>
    <w:rsid w:val="009717EE"/>
    <w:rsid w:val="0097182B"/>
    <w:rsid w:val="00971BBB"/>
    <w:rsid w:val="00972137"/>
    <w:rsid w:val="009726F2"/>
    <w:rsid w:val="00972B4C"/>
    <w:rsid w:val="00973A5C"/>
    <w:rsid w:val="00975F16"/>
    <w:rsid w:val="009765C0"/>
    <w:rsid w:val="00981C56"/>
    <w:rsid w:val="00981F52"/>
    <w:rsid w:val="009832C9"/>
    <w:rsid w:val="00985953"/>
    <w:rsid w:val="00986219"/>
    <w:rsid w:val="009867C4"/>
    <w:rsid w:val="009901F3"/>
    <w:rsid w:val="0099064A"/>
    <w:rsid w:val="00992DB3"/>
    <w:rsid w:val="00993156"/>
    <w:rsid w:val="00994FA0"/>
    <w:rsid w:val="009968A9"/>
    <w:rsid w:val="009A0E6D"/>
    <w:rsid w:val="009A31D1"/>
    <w:rsid w:val="009A35AB"/>
    <w:rsid w:val="009A38F7"/>
    <w:rsid w:val="009A3EB5"/>
    <w:rsid w:val="009A4E8D"/>
    <w:rsid w:val="009A5C6F"/>
    <w:rsid w:val="009A5E31"/>
    <w:rsid w:val="009A7D60"/>
    <w:rsid w:val="009B01EC"/>
    <w:rsid w:val="009B12B0"/>
    <w:rsid w:val="009B1B45"/>
    <w:rsid w:val="009B442C"/>
    <w:rsid w:val="009B471B"/>
    <w:rsid w:val="009B480F"/>
    <w:rsid w:val="009B4A1A"/>
    <w:rsid w:val="009B538B"/>
    <w:rsid w:val="009B60C7"/>
    <w:rsid w:val="009B6F85"/>
    <w:rsid w:val="009B7397"/>
    <w:rsid w:val="009C08D2"/>
    <w:rsid w:val="009C0931"/>
    <w:rsid w:val="009C1CAA"/>
    <w:rsid w:val="009C2226"/>
    <w:rsid w:val="009C2253"/>
    <w:rsid w:val="009C442B"/>
    <w:rsid w:val="009C796F"/>
    <w:rsid w:val="009C7A19"/>
    <w:rsid w:val="009D12AA"/>
    <w:rsid w:val="009D1753"/>
    <w:rsid w:val="009D309C"/>
    <w:rsid w:val="009D3781"/>
    <w:rsid w:val="009D5593"/>
    <w:rsid w:val="009D5E92"/>
    <w:rsid w:val="009E08B6"/>
    <w:rsid w:val="009E1B21"/>
    <w:rsid w:val="009E3A07"/>
    <w:rsid w:val="009E4384"/>
    <w:rsid w:val="009E4E53"/>
    <w:rsid w:val="009E5A2C"/>
    <w:rsid w:val="009E5E33"/>
    <w:rsid w:val="009E6FAE"/>
    <w:rsid w:val="009F33F2"/>
    <w:rsid w:val="009F38F7"/>
    <w:rsid w:val="009F39EB"/>
    <w:rsid w:val="009F6A53"/>
    <w:rsid w:val="009F763F"/>
    <w:rsid w:val="009F7C87"/>
    <w:rsid w:val="00A00AA8"/>
    <w:rsid w:val="00A017BE"/>
    <w:rsid w:val="00A01F70"/>
    <w:rsid w:val="00A06311"/>
    <w:rsid w:val="00A076E5"/>
    <w:rsid w:val="00A07977"/>
    <w:rsid w:val="00A1120B"/>
    <w:rsid w:val="00A12D49"/>
    <w:rsid w:val="00A12E04"/>
    <w:rsid w:val="00A131B8"/>
    <w:rsid w:val="00A15C53"/>
    <w:rsid w:val="00A15E89"/>
    <w:rsid w:val="00A16EF2"/>
    <w:rsid w:val="00A20919"/>
    <w:rsid w:val="00A222ED"/>
    <w:rsid w:val="00A23EC1"/>
    <w:rsid w:val="00A24DA5"/>
    <w:rsid w:val="00A2523B"/>
    <w:rsid w:val="00A264FE"/>
    <w:rsid w:val="00A30226"/>
    <w:rsid w:val="00A30A2C"/>
    <w:rsid w:val="00A30EA5"/>
    <w:rsid w:val="00A3170B"/>
    <w:rsid w:val="00A34ADC"/>
    <w:rsid w:val="00A353FD"/>
    <w:rsid w:val="00A35736"/>
    <w:rsid w:val="00A406F5"/>
    <w:rsid w:val="00A42EE2"/>
    <w:rsid w:val="00A44290"/>
    <w:rsid w:val="00A44EE9"/>
    <w:rsid w:val="00A46F29"/>
    <w:rsid w:val="00A47860"/>
    <w:rsid w:val="00A50A65"/>
    <w:rsid w:val="00A50D2E"/>
    <w:rsid w:val="00A51ACB"/>
    <w:rsid w:val="00A52162"/>
    <w:rsid w:val="00A5505E"/>
    <w:rsid w:val="00A55745"/>
    <w:rsid w:val="00A56FAA"/>
    <w:rsid w:val="00A57CC4"/>
    <w:rsid w:val="00A601B8"/>
    <w:rsid w:val="00A6651F"/>
    <w:rsid w:val="00A66DB0"/>
    <w:rsid w:val="00A67A21"/>
    <w:rsid w:val="00A70B29"/>
    <w:rsid w:val="00A72FC8"/>
    <w:rsid w:val="00A7373B"/>
    <w:rsid w:val="00A74E8C"/>
    <w:rsid w:val="00A773EA"/>
    <w:rsid w:val="00A77CC5"/>
    <w:rsid w:val="00A77EEA"/>
    <w:rsid w:val="00A8183B"/>
    <w:rsid w:val="00A81FE2"/>
    <w:rsid w:val="00A826CA"/>
    <w:rsid w:val="00A82997"/>
    <w:rsid w:val="00A83626"/>
    <w:rsid w:val="00A84756"/>
    <w:rsid w:val="00A849D7"/>
    <w:rsid w:val="00A85775"/>
    <w:rsid w:val="00A8584D"/>
    <w:rsid w:val="00A85B9A"/>
    <w:rsid w:val="00A87FFC"/>
    <w:rsid w:val="00A90A05"/>
    <w:rsid w:val="00A90DCC"/>
    <w:rsid w:val="00A9272B"/>
    <w:rsid w:val="00A928AA"/>
    <w:rsid w:val="00A93026"/>
    <w:rsid w:val="00A93908"/>
    <w:rsid w:val="00A93E3C"/>
    <w:rsid w:val="00A9409B"/>
    <w:rsid w:val="00A96F0E"/>
    <w:rsid w:val="00A97432"/>
    <w:rsid w:val="00AA19BB"/>
    <w:rsid w:val="00AA1D92"/>
    <w:rsid w:val="00AA4881"/>
    <w:rsid w:val="00AA4C81"/>
    <w:rsid w:val="00AB0C44"/>
    <w:rsid w:val="00AB16F9"/>
    <w:rsid w:val="00AB2474"/>
    <w:rsid w:val="00AB2CB0"/>
    <w:rsid w:val="00AB41AB"/>
    <w:rsid w:val="00AB46F5"/>
    <w:rsid w:val="00AB477F"/>
    <w:rsid w:val="00AB4D82"/>
    <w:rsid w:val="00AB4F4D"/>
    <w:rsid w:val="00AB57FC"/>
    <w:rsid w:val="00AB6BEC"/>
    <w:rsid w:val="00AB7C40"/>
    <w:rsid w:val="00AC0347"/>
    <w:rsid w:val="00AC33C2"/>
    <w:rsid w:val="00AC47D6"/>
    <w:rsid w:val="00AC49FF"/>
    <w:rsid w:val="00AC58F7"/>
    <w:rsid w:val="00AC68E5"/>
    <w:rsid w:val="00AD074C"/>
    <w:rsid w:val="00AD1D43"/>
    <w:rsid w:val="00AD1F13"/>
    <w:rsid w:val="00AD36D8"/>
    <w:rsid w:val="00AD3F4B"/>
    <w:rsid w:val="00AD44A5"/>
    <w:rsid w:val="00AD5295"/>
    <w:rsid w:val="00AD5A16"/>
    <w:rsid w:val="00AD5F52"/>
    <w:rsid w:val="00AD6639"/>
    <w:rsid w:val="00AD740F"/>
    <w:rsid w:val="00AD7575"/>
    <w:rsid w:val="00AD788B"/>
    <w:rsid w:val="00AD7D59"/>
    <w:rsid w:val="00AE0E68"/>
    <w:rsid w:val="00AE13ED"/>
    <w:rsid w:val="00AE18BB"/>
    <w:rsid w:val="00AE199B"/>
    <w:rsid w:val="00AE202C"/>
    <w:rsid w:val="00AE207C"/>
    <w:rsid w:val="00AE27F7"/>
    <w:rsid w:val="00AE3F29"/>
    <w:rsid w:val="00AE4255"/>
    <w:rsid w:val="00AE45CD"/>
    <w:rsid w:val="00AE45F9"/>
    <w:rsid w:val="00AE6113"/>
    <w:rsid w:val="00AE7779"/>
    <w:rsid w:val="00AE7B97"/>
    <w:rsid w:val="00AF0847"/>
    <w:rsid w:val="00AF1AB8"/>
    <w:rsid w:val="00AF52DB"/>
    <w:rsid w:val="00AF62BA"/>
    <w:rsid w:val="00AF7EB5"/>
    <w:rsid w:val="00B016D6"/>
    <w:rsid w:val="00B020C8"/>
    <w:rsid w:val="00B03271"/>
    <w:rsid w:val="00B03DFD"/>
    <w:rsid w:val="00B040DB"/>
    <w:rsid w:val="00B06992"/>
    <w:rsid w:val="00B06DB2"/>
    <w:rsid w:val="00B105C6"/>
    <w:rsid w:val="00B112B6"/>
    <w:rsid w:val="00B11DA5"/>
    <w:rsid w:val="00B14573"/>
    <w:rsid w:val="00B14E49"/>
    <w:rsid w:val="00B151FE"/>
    <w:rsid w:val="00B1529A"/>
    <w:rsid w:val="00B1615D"/>
    <w:rsid w:val="00B16E86"/>
    <w:rsid w:val="00B16FF3"/>
    <w:rsid w:val="00B172CD"/>
    <w:rsid w:val="00B20340"/>
    <w:rsid w:val="00B20861"/>
    <w:rsid w:val="00B20D4E"/>
    <w:rsid w:val="00B21F66"/>
    <w:rsid w:val="00B22120"/>
    <w:rsid w:val="00B2585C"/>
    <w:rsid w:val="00B25B5E"/>
    <w:rsid w:val="00B2655D"/>
    <w:rsid w:val="00B26859"/>
    <w:rsid w:val="00B279F2"/>
    <w:rsid w:val="00B32AB8"/>
    <w:rsid w:val="00B335ED"/>
    <w:rsid w:val="00B33EFD"/>
    <w:rsid w:val="00B36519"/>
    <w:rsid w:val="00B365ED"/>
    <w:rsid w:val="00B366D7"/>
    <w:rsid w:val="00B36D79"/>
    <w:rsid w:val="00B41131"/>
    <w:rsid w:val="00B41945"/>
    <w:rsid w:val="00B430E6"/>
    <w:rsid w:val="00B43957"/>
    <w:rsid w:val="00B44E17"/>
    <w:rsid w:val="00B45289"/>
    <w:rsid w:val="00B472EF"/>
    <w:rsid w:val="00B505CC"/>
    <w:rsid w:val="00B51A23"/>
    <w:rsid w:val="00B51E58"/>
    <w:rsid w:val="00B52314"/>
    <w:rsid w:val="00B525C1"/>
    <w:rsid w:val="00B545CC"/>
    <w:rsid w:val="00B54BBA"/>
    <w:rsid w:val="00B55BD8"/>
    <w:rsid w:val="00B5647D"/>
    <w:rsid w:val="00B62CF7"/>
    <w:rsid w:val="00B6399D"/>
    <w:rsid w:val="00B648E7"/>
    <w:rsid w:val="00B64F47"/>
    <w:rsid w:val="00B65751"/>
    <w:rsid w:val="00B6670A"/>
    <w:rsid w:val="00B71A14"/>
    <w:rsid w:val="00B73F0C"/>
    <w:rsid w:val="00B750A1"/>
    <w:rsid w:val="00B76FE3"/>
    <w:rsid w:val="00B77410"/>
    <w:rsid w:val="00B8114D"/>
    <w:rsid w:val="00B81D88"/>
    <w:rsid w:val="00B8298E"/>
    <w:rsid w:val="00B82F14"/>
    <w:rsid w:val="00B82FE2"/>
    <w:rsid w:val="00B84503"/>
    <w:rsid w:val="00B85A01"/>
    <w:rsid w:val="00B86F41"/>
    <w:rsid w:val="00B87089"/>
    <w:rsid w:val="00B9069F"/>
    <w:rsid w:val="00B90E00"/>
    <w:rsid w:val="00B9179D"/>
    <w:rsid w:val="00B918B4"/>
    <w:rsid w:val="00B9229B"/>
    <w:rsid w:val="00B92463"/>
    <w:rsid w:val="00B929B8"/>
    <w:rsid w:val="00B94ABA"/>
    <w:rsid w:val="00B94CD6"/>
    <w:rsid w:val="00B953E0"/>
    <w:rsid w:val="00B967D9"/>
    <w:rsid w:val="00B96D65"/>
    <w:rsid w:val="00BA1B0A"/>
    <w:rsid w:val="00BA200A"/>
    <w:rsid w:val="00BA2F3C"/>
    <w:rsid w:val="00BA46D8"/>
    <w:rsid w:val="00BA644A"/>
    <w:rsid w:val="00BA7C40"/>
    <w:rsid w:val="00BA7D46"/>
    <w:rsid w:val="00BB03B1"/>
    <w:rsid w:val="00BB0963"/>
    <w:rsid w:val="00BB11D9"/>
    <w:rsid w:val="00BB1DFD"/>
    <w:rsid w:val="00BB20B2"/>
    <w:rsid w:val="00BB26DB"/>
    <w:rsid w:val="00BB32A0"/>
    <w:rsid w:val="00BB32F4"/>
    <w:rsid w:val="00BB40B3"/>
    <w:rsid w:val="00BB4384"/>
    <w:rsid w:val="00BB4A9D"/>
    <w:rsid w:val="00BB5666"/>
    <w:rsid w:val="00BB7551"/>
    <w:rsid w:val="00BC092A"/>
    <w:rsid w:val="00BC09F4"/>
    <w:rsid w:val="00BC1B5D"/>
    <w:rsid w:val="00BC200E"/>
    <w:rsid w:val="00BC2456"/>
    <w:rsid w:val="00BC2EF9"/>
    <w:rsid w:val="00BC3063"/>
    <w:rsid w:val="00BC3276"/>
    <w:rsid w:val="00BC34EA"/>
    <w:rsid w:val="00BC35CB"/>
    <w:rsid w:val="00BC4E6B"/>
    <w:rsid w:val="00BD07EE"/>
    <w:rsid w:val="00BD1F0A"/>
    <w:rsid w:val="00BD20E8"/>
    <w:rsid w:val="00BD3368"/>
    <w:rsid w:val="00BD58B7"/>
    <w:rsid w:val="00BD7D02"/>
    <w:rsid w:val="00BE0138"/>
    <w:rsid w:val="00BE1048"/>
    <w:rsid w:val="00BE108E"/>
    <w:rsid w:val="00BE17E0"/>
    <w:rsid w:val="00BE20D2"/>
    <w:rsid w:val="00BE2209"/>
    <w:rsid w:val="00BE33D4"/>
    <w:rsid w:val="00BE5A1D"/>
    <w:rsid w:val="00BE5F17"/>
    <w:rsid w:val="00BE6305"/>
    <w:rsid w:val="00BE7D11"/>
    <w:rsid w:val="00BF05AD"/>
    <w:rsid w:val="00BF1EEA"/>
    <w:rsid w:val="00BF3864"/>
    <w:rsid w:val="00C006C4"/>
    <w:rsid w:val="00C0389C"/>
    <w:rsid w:val="00C03A90"/>
    <w:rsid w:val="00C04D63"/>
    <w:rsid w:val="00C0581D"/>
    <w:rsid w:val="00C06B11"/>
    <w:rsid w:val="00C0717F"/>
    <w:rsid w:val="00C10E16"/>
    <w:rsid w:val="00C1175F"/>
    <w:rsid w:val="00C145F7"/>
    <w:rsid w:val="00C1650D"/>
    <w:rsid w:val="00C1781E"/>
    <w:rsid w:val="00C17C3D"/>
    <w:rsid w:val="00C21C78"/>
    <w:rsid w:val="00C2250D"/>
    <w:rsid w:val="00C22BC0"/>
    <w:rsid w:val="00C232E6"/>
    <w:rsid w:val="00C23B22"/>
    <w:rsid w:val="00C23BE6"/>
    <w:rsid w:val="00C23E6E"/>
    <w:rsid w:val="00C240DF"/>
    <w:rsid w:val="00C27A8B"/>
    <w:rsid w:val="00C308C4"/>
    <w:rsid w:val="00C31009"/>
    <w:rsid w:val="00C33204"/>
    <w:rsid w:val="00C33984"/>
    <w:rsid w:val="00C339E1"/>
    <w:rsid w:val="00C33FFD"/>
    <w:rsid w:val="00C34813"/>
    <w:rsid w:val="00C34C1B"/>
    <w:rsid w:val="00C352FF"/>
    <w:rsid w:val="00C35510"/>
    <w:rsid w:val="00C359F3"/>
    <w:rsid w:val="00C36F0B"/>
    <w:rsid w:val="00C37FDB"/>
    <w:rsid w:val="00C4015B"/>
    <w:rsid w:val="00C401C8"/>
    <w:rsid w:val="00C42855"/>
    <w:rsid w:val="00C45913"/>
    <w:rsid w:val="00C46866"/>
    <w:rsid w:val="00C46BB3"/>
    <w:rsid w:val="00C47070"/>
    <w:rsid w:val="00C51EBE"/>
    <w:rsid w:val="00C533B3"/>
    <w:rsid w:val="00C5383F"/>
    <w:rsid w:val="00C5386A"/>
    <w:rsid w:val="00C54495"/>
    <w:rsid w:val="00C552D2"/>
    <w:rsid w:val="00C61321"/>
    <w:rsid w:val="00C61D5B"/>
    <w:rsid w:val="00C6273C"/>
    <w:rsid w:val="00C649C1"/>
    <w:rsid w:val="00C67A9C"/>
    <w:rsid w:val="00C7184D"/>
    <w:rsid w:val="00C71969"/>
    <w:rsid w:val="00C71F56"/>
    <w:rsid w:val="00C755BC"/>
    <w:rsid w:val="00C7653E"/>
    <w:rsid w:val="00C766AA"/>
    <w:rsid w:val="00C774EA"/>
    <w:rsid w:val="00C803FF"/>
    <w:rsid w:val="00C808A4"/>
    <w:rsid w:val="00C81217"/>
    <w:rsid w:val="00C814A0"/>
    <w:rsid w:val="00C8252D"/>
    <w:rsid w:val="00C828C6"/>
    <w:rsid w:val="00C8321A"/>
    <w:rsid w:val="00C85DD5"/>
    <w:rsid w:val="00C87962"/>
    <w:rsid w:val="00C87A9D"/>
    <w:rsid w:val="00C904AF"/>
    <w:rsid w:val="00C9139D"/>
    <w:rsid w:val="00C913CE"/>
    <w:rsid w:val="00C91E50"/>
    <w:rsid w:val="00C920E8"/>
    <w:rsid w:val="00C92B0C"/>
    <w:rsid w:val="00C958A3"/>
    <w:rsid w:val="00C9591E"/>
    <w:rsid w:val="00C95A20"/>
    <w:rsid w:val="00C95D14"/>
    <w:rsid w:val="00C96509"/>
    <w:rsid w:val="00CA0229"/>
    <w:rsid w:val="00CA1689"/>
    <w:rsid w:val="00CA24B3"/>
    <w:rsid w:val="00CA40FD"/>
    <w:rsid w:val="00CA4CFC"/>
    <w:rsid w:val="00CA6CD3"/>
    <w:rsid w:val="00CA7EB2"/>
    <w:rsid w:val="00CB0615"/>
    <w:rsid w:val="00CB0BA9"/>
    <w:rsid w:val="00CB1AC1"/>
    <w:rsid w:val="00CB24FC"/>
    <w:rsid w:val="00CB25FF"/>
    <w:rsid w:val="00CB2B94"/>
    <w:rsid w:val="00CB3818"/>
    <w:rsid w:val="00CB5034"/>
    <w:rsid w:val="00CB698D"/>
    <w:rsid w:val="00CB7CA7"/>
    <w:rsid w:val="00CC0064"/>
    <w:rsid w:val="00CC206A"/>
    <w:rsid w:val="00CC4027"/>
    <w:rsid w:val="00CC5AAC"/>
    <w:rsid w:val="00CC5B3A"/>
    <w:rsid w:val="00CC6B64"/>
    <w:rsid w:val="00CC7709"/>
    <w:rsid w:val="00CD007C"/>
    <w:rsid w:val="00CD0FB2"/>
    <w:rsid w:val="00CD26D5"/>
    <w:rsid w:val="00CD2E5B"/>
    <w:rsid w:val="00CD2FB6"/>
    <w:rsid w:val="00CD4884"/>
    <w:rsid w:val="00CE1793"/>
    <w:rsid w:val="00CE2901"/>
    <w:rsid w:val="00CE2E6C"/>
    <w:rsid w:val="00CE4781"/>
    <w:rsid w:val="00CE5CC2"/>
    <w:rsid w:val="00CE5DDE"/>
    <w:rsid w:val="00CE7DAD"/>
    <w:rsid w:val="00CF28A4"/>
    <w:rsid w:val="00CF2DD9"/>
    <w:rsid w:val="00CF3068"/>
    <w:rsid w:val="00CF31F0"/>
    <w:rsid w:val="00CF562C"/>
    <w:rsid w:val="00CF5DBB"/>
    <w:rsid w:val="00CF5E9F"/>
    <w:rsid w:val="00CF6432"/>
    <w:rsid w:val="00D00065"/>
    <w:rsid w:val="00D00AD8"/>
    <w:rsid w:val="00D01187"/>
    <w:rsid w:val="00D01AC0"/>
    <w:rsid w:val="00D01D35"/>
    <w:rsid w:val="00D03064"/>
    <w:rsid w:val="00D04860"/>
    <w:rsid w:val="00D04CDF"/>
    <w:rsid w:val="00D074AD"/>
    <w:rsid w:val="00D07C3F"/>
    <w:rsid w:val="00D11741"/>
    <w:rsid w:val="00D126BE"/>
    <w:rsid w:val="00D13C1D"/>
    <w:rsid w:val="00D147F9"/>
    <w:rsid w:val="00D16A0D"/>
    <w:rsid w:val="00D16CA6"/>
    <w:rsid w:val="00D17550"/>
    <w:rsid w:val="00D17C5C"/>
    <w:rsid w:val="00D2082F"/>
    <w:rsid w:val="00D20E22"/>
    <w:rsid w:val="00D210FB"/>
    <w:rsid w:val="00D216B2"/>
    <w:rsid w:val="00D21873"/>
    <w:rsid w:val="00D23C14"/>
    <w:rsid w:val="00D24C0E"/>
    <w:rsid w:val="00D251F0"/>
    <w:rsid w:val="00D26CB3"/>
    <w:rsid w:val="00D26F0B"/>
    <w:rsid w:val="00D27C4C"/>
    <w:rsid w:val="00D3076D"/>
    <w:rsid w:val="00D30F45"/>
    <w:rsid w:val="00D3177C"/>
    <w:rsid w:val="00D324E8"/>
    <w:rsid w:val="00D333E2"/>
    <w:rsid w:val="00D3355F"/>
    <w:rsid w:val="00D3457B"/>
    <w:rsid w:val="00D34AB1"/>
    <w:rsid w:val="00D37CD1"/>
    <w:rsid w:val="00D41285"/>
    <w:rsid w:val="00D4190F"/>
    <w:rsid w:val="00D41DCA"/>
    <w:rsid w:val="00D42E81"/>
    <w:rsid w:val="00D453DC"/>
    <w:rsid w:val="00D462F8"/>
    <w:rsid w:val="00D46684"/>
    <w:rsid w:val="00D46747"/>
    <w:rsid w:val="00D46937"/>
    <w:rsid w:val="00D46F60"/>
    <w:rsid w:val="00D50465"/>
    <w:rsid w:val="00D5067D"/>
    <w:rsid w:val="00D50AAE"/>
    <w:rsid w:val="00D5162B"/>
    <w:rsid w:val="00D5228F"/>
    <w:rsid w:val="00D52A0C"/>
    <w:rsid w:val="00D52BCB"/>
    <w:rsid w:val="00D53F66"/>
    <w:rsid w:val="00D549B5"/>
    <w:rsid w:val="00D55741"/>
    <w:rsid w:val="00D60055"/>
    <w:rsid w:val="00D625BA"/>
    <w:rsid w:val="00D65AE8"/>
    <w:rsid w:val="00D67656"/>
    <w:rsid w:val="00D6796A"/>
    <w:rsid w:val="00D706A5"/>
    <w:rsid w:val="00D70C6C"/>
    <w:rsid w:val="00D70F44"/>
    <w:rsid w:val="00D721E4"/>
    <w:rsid w:val="00D728B4"/>
    <w:rsid w:val="00D73FA1"/>
    <w:rsid w:val="00D751A2"/>
    <w:rsid w:val="00D8126D"/>
    <w:rsid w:val="00D81EAB"/>
    <w:rsid w:val="00D82F22"/>
    <w:rsid w:val="00D83465"/>
    <w:rsid w:val="00D84804"/>
    <w:rsid w:val="00D864A7"/>
    <w:rsid w:val="00D874C8"/>
    <w:rsid w:val="00D874DC"/>
    <w:rsid w:val="00D87CB4"/>
    <w:rsid w:val="00D87E06"/>
    <w:rsid w:val="00D92432"/>
    <w:rsid w:val="00D9287B"/>
    <w:rsid w:val="00D9291F"/>
    <w:rsid w:val="00D92933"/>
    <w:rsid w:val="00D932BF"/>
    <w:rsid w:val="00D9432A"/>
    <w:rsid w:val="00D96026"/>
    <w:rsid w:val="00D971A6"/>
    <w:rsid w:val="00D976F3"/>
    <w:rsid w:val="00DA1008"/>
    <w:rsid w:val="00DA137E"/>
    <w:rsid w:val="00DA13F1"/>
    <w:rsid w:val="00DA2A8F"/>
    <w:rsid w:val="00DA39CF"/>
    <w:rsid w:val="00DA536B"/>
    <w:rsid w:val="00DB073E"/>
    <w:rsid w:val="00DB0F30"/>
    <w:rsid w:val="00DB1538"/>
    <w:rsid w:val="00DB1787"/>
    <w:rsid w:val="00DB3739"/>
    <w:rsid w:val="00DB508F"/>
    <w:rsid w:val="00DB5142"/>
    <w:rsid w:val="00DB566B"/>
    <w:rsid w:val="00DB6B53"/>
    <w:rsid w:val="00DB7244"/>
    <w:rsid w:val="00DC1746"/>
    <w:rsid w:val="00DC2C43"/>
    <w:rsid w:val="00DC39BD"/>
    <w:rsid w:val="00DC4880"/>
    <w:rsid w:val="00DD111A"/>
    <w:rsid w:val="00DD24E5"/>
    <w:rsid w:val="00DD33C8"/>
    <w:rsid w:val="00DD3D79"/>
    <w:rsid w:val="00DD49D8"/>
    <w:rsid w:val="00DD60CC"/>
    <w:rsid w:val="00DE076F"/>
    <w:rsid w:val="00DE0A32"/>
    <w:rsid w:val="00DE1183"/>
    <w:rsid w:val="00DE24AB"/>
    <w:rsid w:val="00DE367F"/>
    <w:rsid w:val="00DE42F6"/>
    <w:rsid w:val="00DE49D9"/>
    <w:rsid w:val="00DE5D28"/>
    <w:rsid w:val="00DF2967"/>
    <w:rsid w:val="00DF3B5B"/>
    <w:rsid w:val="00DF3BD0"/>
    <w:rsid w:val="00DF48A3"/>
    <w:rsid w:val="00DF4B66"/>
    <w:rsid w:val="00DF587A"/>
    <w:rsid w:val="00DF6118"/>
    <w:rsid w:val="00DF62D7"/>
    <w:rsid w:val="00E01190"/>
    <w:rsid w:val="00E0181D"/>
    <w:rsid w:val="00E01A8C"/>
    <w:rsid w:val="00E01EEE"/>
    <w:rsid w:val="00E02BDB"/>
    <w:rsid w:val="00E049E6"/>
    <w:rsid w:val="00E04C69"/>
    <w:rsid w:val="00E05EC8"/>
    <w:rsid w:val="00E070B4"/>
    <w:rsid w:val="00E1172E"/>
    <w:rsid w:val="00E1294A"/>
    <w:rsid w:val="00E13C18"/>
    <w:rsid w:val="00E147EC"/>
    <w:rsid w:val="00E1740B"/>
    <w:rsid w:val="00E17B4F"/>
    <w:rsid w:val="00E20134"/>
    <w:rsid w:val="00E201C7"/>
    <w:rsid w:val="00E215EE"/>
    <w:rsid w:val="00E22DC2"/>
    <w:rsid w:val="00E23625"/>
    <w:rsid w:val="00E23C61"/>
    <w:rsid w:val="00E26209"/>
    <w:rsid w:val="00E263DA"/>
    <w:rsid w:val="00E27473"/>
    <w:rsid w:val="00E2758F"/>
    <w:rsid w:val="00E309A4"/>
    <w:rsid w:val="00E32005"/>
    <w:rsid w:val="00E32757"/>
    <w:rsid w:val="00E32E9A"/>
    <w:rsid w:val="00E35769"/>
    <w:rsid w:val="00E35FE2"/>
    <w:rsid w:val="00E360A8"/>
    <w:rsid w:val="00E36290"/>
    <w:rsid w:val="00E36A80"/>
    <w:rsid w:val="00E36FA5"/>
    <w:rsid w:val="00E37C20"/>
    <w:rsid w:val="00E4087F"/>
    <w:rsid w:val="00E417FF"/>
    <w:rsid w:val="00E43E5C"/>
    <w:rsid w:val="00E44DED"/>
    <w:rsid w:val="00E456F5"/>
    <w:rsid w:val="00E45EE9"/>
    <w:rsid w:val="00E46050"/>
    <w:rsid w:val="00E46AFA"/>
    <w:rsid w:val="00E47133"/>
    <w:rsid w:val="00E47C56"/>
    <w:rsid w:val="00E5161F"/>
    <w:rsid w:val="00E518FD"/>
    <w:rsid w:val="00E52995"/>
    <w:rsid w:val="00E52BDB"/>
    <w:rsid w:val="00E52BF1"/>
    <w:rsid w:val="00E54006"/>
    <w:rsid w:val="00E54734"/>
    <w:rsid w:val="00E5509A"/>
    <w:rsid w:val="00E559A2"/>
    <w:rsid w:val="00E55CDA"/>
    <w:rsid w:val="00E567D3"/>
    <w:rsid w:val="00E56BFB"/>
    <w:rsid w:val="00E5776A"/>
    <w:rsid w:val="00E60448"/>
    <w:rsid w:val="00E60E99"/>
    <w:rsid w:val="00E61F6C"/>
    <w:rsid w:val="00E625B0"/>
    <w:rsid w:val="00E627F6"/>
    <w:rsid w:val="00E63B02"/>
    <w:rsid w:val="00E642BC"/>
    <w:rsid w:val="00E64C35"/>
    <w:rsid w:val="00E65CD3"/>
    <w:rsid w:val="00E66D60"/>
    <w:rsid w:val="00E7051C"/>
    <w:rsid w:val="00E70943"/>
    <w:rsid w:val="00E7100B"/>
    <w:rsid w:val="00E71483"/>
    <w:rsid w:val="00E72DE7"/>
    <w:rsid w:val="00E72EEC"/>
    <w:rsid w:val="00E7328A"/>
    <w:rsid w:val="00E7338E"/>
    <w:rsid w:val="00E74439"/>
    <w:rsid w:val="00E75045"/>
    <w:rsid w:val="00E75479"/>
    <w:rsid w:val="00E774C6"/>
    <w:rsid w:val="00E81E75"/>
    <w:rsid w:val="00E834BE"/>
    <w:rsid w:val="00E83E5B"/>
    <w:rsid w:val="00E84CF9"/>
    <w:rsid w:val="00E85335"/>
    <w:rsid w:val="00E853B0"/>
    <w:rsid w:val="00E870BD"/>
    <w:rsid w:val="00E87B1F"/>
    <w:rsid w:val="00E91206"/>
    <w:rsid w:val="00E922B2"/>
    <w:rsid w:val="00E9265F"/>
    <w:rsid w:val="00E9415E"/>
    <w:rsid w:val="00E95D4D"/>
    <w:rsid w:val="00E9611B"/>
    <w:rsid w:val="00E97F95"/>
    <w:rsid w:val="00EA07BA"/>
    <w:rsid w:val="00EA2BC4"/>
    <w:rsid w:val="00EA3264"/>
    <w:rsid w:val="00EA383A"/>
    <w:rsid w:val="00EA4DBC"/>
    <w:rsid w:val="00EA55E0"/>
    <w:rsid w:val="00EA5820"/>
    <w:rsid w:val="00EA692D"/>
    <w:rsid w:val="00EA75D7"/>
    <w:rsid w:val="00EA7991"/>
    <w:rsid w:val="00EA7FD6"/>
    <w:rsid w:val="00EB1339"/>
    <w:rsid w:val="00EB3D58"/>
    <w:rsid w:val="00EB4323"/>
    <w:rsid w:val="00EB43B0"/>
    <w:rsid w:val="00EB4AC5"/>
    <w:rsid w:val="00EB50BB"/>
    <w:rsid w:val="00EB52E6"/>
    <w:rsid w:val="00EB6BBF"/>
    <w:rsid w:val="00EB7F57"/>
    <w:rsid w:val="00EC097E"/>
    <w:rsid w:val="00EC0FAA"/>
    <w:rsid w:val="00EC15DF"/>
    <w:rsid w:val="00EC21A9"/>
    <w:rsid w:val="00EC352A"/>
    <w:rsid w:val="00EC3D37"/>
    <w:rsid w:val="00EC42D2"/>
    <w:rsid w:val="00EC4876"/>
    <w:rsid w:val="00EC4BD5"/>
    <w:rsid w:val="00EC4E20"/>
    <w:rsid w:val="00EC4EFE"/>
    <w:rsid w:val="00EC5699"/>
    <w:rsid w:val="00EC702A"/>
    <w:rsid w:val="00EC757E"/>
    <w:rsid w:val="00ED0349"/>
    <w:rsid w:val="00ED1C35"/>
    <w:rsid w:val="00ED21D6"/>
    <w:rsid w:val="00ED26F7"/>
    <w:rsid w:val="00ED2F03"/>
    <w:rsid w:val="00ED346A"/>
    <w:rsid w:val="00ED376C"/>
    <w:rsid w:val="00ED3A6E"/>
    <w:rsid w:val="00ED3F7C"/>
    <w:rsid w:val="00ED4019"/>
    <w:rsid w:val="00ED4042"/>
    <w:rsid w:val="00ED4689"/>
    <w:rsid w:val="00ED4A38"/>
    <w:rsid w:val="00ED4CE3"/>
    <w:rsid w:val="00ED726E"/>
    <w:rsid w:val="00ED780B"/>
    <w:rsid w:val="00ED7862"/>
    <w:rsid w:val="00ED7C07"/>
    <w:rsid w:val="00EE1DAF"/>
    <w:rsid w:val="00EE2EC5"/>
    <w:rsid w:val="00EE42A6"/>
    <w:rsid w:val="00EE4E04"/>
    <w:rsid w:val="00EE4F48"/>
    <w:rsid w:val="00EE59A9"/>
    <w:rsid w:val="00EF13D3"/>
    <w:rsid w:val="00EF2240"/>
    <w:rsid w:val="00EF267C"/>
    <w:rsid w:val="00EF26B1"/>
    <w:rsid w:val="00EF31C7"/>
    <w:rsid w:val="00EF3329"/>
    <w:rsid w:val="00EF4A2D"/>
    <w:rsid w:val="00EF6294"/>
    <w:rsid w:val="00EF62E4"/>
    <w:rsid w:val="00EF7170"/>
    <w:rsid w:val="00F00F03"/>
    <w:rsid w:val="00F02343"/>
    <w:rsid w:val="00F02B69"/>
    <w:rsid w:val="00F042F9"/>
    <w:rsid w:val="00F048BB"/>
    <w:rsid w:val="00F07238"/>
    <w:rsid w:val="00F07F04"/>
    <w:rsid w:val="00F10C5E"/>
    <w:rsid w:val="00F13E33"/>
    <w:rsid w:val="00F16D01"/>
    <w:rsid w:val="00F175EE"/>
    <w:rsid w:val="00F20144"/>
    <w:rsid w:val="00F22989"/>
    <w:rsid w:val="00F22FBE"/>
    <w:rsid w:val="00F230EB"/>
    <w:rsid w:val="00F236B1"/>
    <w:rsid w:val="00F2416E"/>
    <w:rsid w:val="00F2504C"/>
    <w:rsid w:val="00F250BD"/>
    <w:rsid w:val="00F262F1"/>
    <w:rsid w:val="00F26A82"/>
    <w:rsid w:val="00F27CF1"/>
    <w:rsid w:val="00F33AD2"/>
    <w:rsid w:val="00F33C84"/>
    <w:rsid w:val="00F35857"/>
    <w:rsid w:val="00F362C8"/>
    <w:rsid w:val="00F37A70"/>
    <w:rsid w:val="00F37BBC"/>
    <w:rsid w:val="00F4030B"/>
    <w:rsid w:val="00F406BA"/>
    <w:rsid w:val="00F41860"/>
    <w:rsid w:val="00F41A4D"/>
    <w:rsid w:val="00F4292B"/>
    <w:rsid w:val="00F42B5F"/>
    <w:rsid w:val="00F43987"/>
    <w:rsid w:val="00F43ECC"/>
    <w:rsid w:val="00F4515A"/>
    <w:rsid w:val="00F460BF"/>
    <w:rsid w:val="00F4798A"/>
    <w:rsid w:val="00F47AEE"/>
    <w:rsid w:val="00F50514"/>
    <w:rsid w:val="00F50F7D"/>
    <w:rsid w:val="00F52FAA"/>
    <w:rsid w:val="00F55DE4"/>
    <w:rsid w:val="00F562AB"/>
    <w:rsid w:val="00F562E8"/>
    <w:rsid w:val="00F56335"/>
    <w:rsid w:val="00F5675D"/>
    <w:rsid w:val="00F5769E"/>
    <w:rsid w:val="00F60617"/>
    <w:rsid w:val="00F60E3A"/>
    <w:rsid w:val="00F61F0A"/>
    <w:rsid w:val="00F62F69"/>
    <w:rsid w:val="00F63D6C"/>
    <w:rsid w:val="00F64CDC"/>
    <w:rsid w:val="00F653BA"/>
    <w:rsid w:val="00F6766E"/>
    <w:rsid w:val="00F70177"/>
    <w:rsid w:val="00F727DD"/>
    <w:rsid w:val="00F7289B"/>
    <w:rsid w:val="00F72E42"/>
    <w:rsid w:val="00F74623"/>
    <w:rsid w:val="00F75FA9"/>
    <w:rsid w:val="00F75FC2"/>
    <w:rsid w:val="00F76F27"/>
    <w:rsid w:val="00F804DC"/>
    <w:rsid w:val="00F80C22"/>
    <w:rsid w:val="00F8209B"/>
    <w:rsid w:val="00F8351A"/>
    <w:rsid w:val="00F83A0E"/>
    <w:rsid w:val="00F84076"/>
    <w:rsid w:val="00F86284"/>
    <w:rsid w:val="00F86289"/>
    <w:rsid w:val="00F86403"/>
    <w:rsid w:val="00F86406"/>
    <w:rsid w:val="00F902C9"/>
    <w:rsid w:val="00F90E8A"/>
    <w:rsid w:val="00F91362"/>
    <w:rsid w:val="00F91EAD"/>
    <w:rsid w:val="00F93903"/>
    <w:rsid w:val="00F94C30"/>
    <w:rsid w:val="00F95086"/>
    <w:rsid w:val="00F95DFF"/>
    <w:rsid w:val="00F96497"/>
    <w:rsid w:val="00F971F9"/>
    <w:rsid w:val="00F97BBA"/>
    <w:rsid w:val="00F97F19"/>
    <w:rsid w:val="00FA0E61"/>
    <w:rsid w:val="00FA23D4"/>
    <w:rsid w:val="00FA32BC"/>
    <w:rsid w:val="00FA3ED4"/>
    <w:rsid w:val="00FB178C"/>
    <w:rsid w:val="00FB1817"/>
    <w:rsid w:val="00FB1A7B"/>
    <w:rsid w:val="00FB20E9"/>
    <w:rsid w:val="00FB40BF"/>
    <w:rsid w:val="00FB7238"/>
    <w:rsid w:val="00FC0623"/>
    <w:rsid w:val="00FC2367"/>
    <w:rsid w:val="00FC2476"/>
    <w:rsid w:val="00FC3653"/>
    <w:rsid w:val="00FC409E"/>
    <w:rsid w:val="00FC45F2"/>
    <w:rsid w:val="00FC6F9D"/>
    <w:rsid w:val="00FC73D6"/>
    <w:rsid w:val="00FD0812"/>
    <w:rsid w:val="00FD0CB3"/>
    <w:rsid w:val="00FD1995"/>
    <w:rsid w:val="00FD21B0"/>
    <w:rsid w:val="00FD3C8C"/>
    <w:rsid w:val="00FD461E"/>
    <w:rsid w:val="00FD4AD3"/>
    <w:rsid w:val="00FD57BB"/>
    <w:rsid w:val="00FD636C"/>
    <w:rsid w:val="00FD738B"/>
    <w:rsid w:val="00FD754A"/>
    <w:rsid w:val="00FD7B38"/>
    <w:rsid w:val="00FE0204"/>
    <w:rsid w:val="00FE05AE"/>
    <w:rsid w:val="00FE1C8A"/>
    <w:rsid w:val="00FE1DB1"/>
    <w:rsid w:val="00FE23A3"/>
    <w:rsid w:val="00FE2AEF"/>
    <w:rsid w:val="00FE34B6"/>
    <w:rsid w:val="00FE61F8"/>
    <w:rsid w:val="00FE649F"/>
    <w:rsid w:val="00FE7715"/>
    <w:rsid w:val="00FF043D"/>
    <w:rsid w:val="00FF09CB"/>
    <w:rsid w:val="00FF0BFA"/>
    <w:rsid w:val="00FF14A2"/>
    <w:rsid w:val="00FF2ED1"/>
    <w:rsid w:val="00FF3CD7"/>
    <w:rsid w:val="00FF5A43"/>
    <w:rsid w:val="00FF6275"/>
    <w:rsid w:val="00FF643C"/>
    <w:rsid w:val="00FF784B"/>
    <w:rsid w:val="00FF7CB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16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5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E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E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E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E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E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E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E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E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E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E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E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E9F"/>
    <w:rPr>
      <w:rFonts w:eastAsiaTheme="majorEastAsia" w:cstheme="majorBidi"/>
      <w:color w:val="272727" w:themeColor="text1" w:themeTint="D8"/>
    </w:rPr>
  </w:style>
  <w:style w:type="paragraph" w:styleId="Title">
    <w:name w:val="Title"/>
    <w:basedOn w:val="Normal"/>
    <w:next w:val="Normal"/>
    <w:link w:val="TitleChar"/>
    <w:uiPriority w:val="10"/>
    <w:qFormat/>
    <w:rsid w:val="00CF5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E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E9F"/>
    <w:pPr>
      <w:spacing w:before="160"/>
      <w:jc w:val="center"/>
    </w:pPr>
    <w:rPr>
      <w:i/>
      <w:iCs/>
      <w:color w:val="404040" w:themeColor="text1" w:themeTint="BF"/>
    </w:rPr>
  </w:style>
  <w:style w:type="character" w:customStyle="1" w:styleId="QuoteChar">
    <w:name w:val="Quote Char"/>
    <w:basedOn w:val="DefaultParagraphFont"/>
    <w:link w:val="Quote"/>
    <w:uiPriority w:val="29"/>
    <w:rsid w:val="00CF5E9F"/>
    <w:rPr>
      <w:i/>
      <w:iCs/>
      <w:color w:val="404040" w:themeColor="text1" w:themeTint="BF"/>
    </w:rPr>
  </w:style>
  <w:style w:type="paragraph" w:styleId="ListParagraph">
    <w:name w:val="List Paragraph"/>
    <w:basedOn w:val="Normal"/>
    <w:uiPriority w:val="34"/>
    <w:qFormat/>
    <w:rsid w:val="00CF5E9F"/>
    <w:pPr>
      <w:ind w:left="720"/>
      <w:contextualSpacing/>
    </w:pPr>
  </w:style>
  <w:style w:type="character" w:styleId="IntenseEmphasis">
    <w:name w:val="Intense Emphasis"/>
    <w:basedOn w:val="DefaultParagraphFont"/>
    <w:uiPriority w:val="21"/>
    <w:qFormat/>
    <w:rsid w:val="00CF5E9F"/>
    <w:rPr>
      <w:i/>
      <w:iCs/>
      <w:color w:val="0F4761" w:themeColor="accent1" w:themeShade="BF"/>
    </w:rPr>
  </w:style>
  <w:style w:type="paragraph" w:styleId="IntenseQuote">
    <w:name w:val="Intense Quote"/>
    <w:basedOn w:val="Normal"/>
    <w:next w:val="Normal"/>
    <w:link w:val="IntenseQuoteChar"/>
    <w:uiPriority w:val="30"/>
    <w:qFormat/>
    <w:rsid w:val="00CF5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E9F"/>
    <w:rPr>
      <w:i/>
      <w:iCs/>
      <w:color w:val="0F4761" w:themeColor="accent1" w:themeShade="BF"/>
    </w:rPr>
  </w:style>
  <w:style w:type="character" w:styleId="IntenseReference">
    <w:name w:val="Intense Reference"/>
    <w:basedOn w:val="DefaultParagraphFont"/>
    <w:uiPriority w:val="32"/>
    <w:qFormat/>
    <w:rsid w:val="00CF5E9F"/>
    <w:rPr>
      <w:b/>
      <w:bCs/>
      <w:smallCaps/>
      <w:color w:val="0F4761" w:themeColor="accent1" w:themeShade="BF"/>
      <w:spacing w:val="5"/>
    </w:rPr>
  </w:style>
  <w:style w:type="character" w:customStyle="1" w:styleId="relative">
    <w:name w:val="relative"/>
    <w:basedOn w:val="DefaultParagraphFont"/>
    <w:rsid w:val="00941378"/>
  </w:style>
  <w:style w:type="character" w:styleId="Hyperlink">
    <w:name w:val="Hyperlink"/>
    <w:basedOn w:val="DefaultParagraphFont"/>
    <w:uiPriority w:val="99"/>
    <w:unhideWhenUsed/>
    <w:rsid w:val="00C06B11"/>
    <w:rPr>
      <w:color w:val="0000FF"/>
      <w:u w:val="single"/>
    </w:rPr>
  </w:style>
  <w:style w:type="paragraph" w:styleId="NormalWeb">
    <w:name w:val="Normal (Web)"/>
    <w:basedOn w:val="Normal"/>
    <w:uiPriority w:val="99"/>
    <w:unhideWhenUsed/>
    <w:rsid w:val="004751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762758"/>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757EA"/>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6757EA"/>
    <w:rPr>
      <w:rFonts w:ascii="Aptos" w:hAnsi="Aptos"/>
      <w:noProof/>
      <w:lang w:val="en-US"/>
    </w:rPr>
  </w:style>
  <w:style w:type="paragraph" w:customStyle="1" w:styleId="EndNoteBibliography">
    <w:name w:val="EndNote Bibliography"/>
    <w:basedOn w:val="Normal"/>
    <w:link w:val="EndNoteBibliographyChar"/>
    <w:rsid w:val="006757EA"/>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6757EA"/>
    <w:rPr>
      <w:rFonts w:ascii="Aptos" w:hAnsi="Aptos"/>
      <w:noProof/>
      <w:lang w:val="en-US"/>
    </w:rPr>
  </w:style>
  <w:style w:type="character" w:customStyle="1" w:styleId="UnresolvedMention1">
    <w:name w:val="Unresolved Mention1"/>
    <w:basedOn w:val="DefaultParagraphFont"/>
    <w:uiPriority w:val="99"/>
    <w:semiHidden/>
    <w:unhideWhenUsed/>
    <w:rsid w:val="007055B1"/>
    <w:rPr>
      <w:color w:val="605E5C"/>
      <w:shd w:val="clear" w:color="auto" w:fill="E1DFDD"/>
    </w:rPr>
  </w:style>
  <w:style w:type="paragraph" w:styleId="Header">
    <w:name w:val="header"/>
    <w:basedOn w:val="Normal"/>
    <w:link w:val="HeaderChar"/>
    <w:uiPriority w:val="99"/>
    <w:unhideWhenUsed/>
    <w:rsid w:val="004D6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632"/>
  </w:style>
  <w:style w:type="paragraph" w:styleId="Footer">
    <w:name w:val="footer"/>
    <w:basedOn w:val="Normal"/>
    <w:link w:val="FooterChar"/>
    <w:uiPriority w:val="99"/>
    <w:unhideWhenUsed/>
    <w:rsid w:val="004D6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632"/>
  </w:style>
  <w:style w:type="character" w:styleId="FollowedHyperlink">
    <w:name w:val="FollowedHyperlink"/>
    <w:basedOn w:val="DefaultParagraphFont"/>
    <w:uiPriority w:val="99"/>
    <w:semiHidden/>
    <w:unhideWhenUsed/>
    <w:rsid w:val="003D6C51"/>
    <w:rPr>
      <w:color w:val="96607D" w:themeColor="followedHyperlink"/>
      <w:u w:val="single"/>
    </w:rPr>
  </w:style>
  <w:style w:type="character" w:customStyle="1" w:styleId="UnresolvedMention2">
    <w:name w:val="Unresolved Mention2"/>
    <w:basedOn w:val="DefaultParagraphFont"/>
    <w:uiPriority w:val="99"/>
    <w:semiHidden/>
    <w:unhideWhenUsed/>
    <w:rsid w:val="003947A6"/>
    <w:rPr>
      <w:color w:val="605E5C"/>
      <w:shd w:val="clear" w:color="auto" w:fill="E1DFDD"/>
    </w:rPr>
  </w:style>
  <w:style w:type="character" w:styleId="CommentReference">
    <w:name w:val="annotation reference"/>
    <w:basedOn w:val="DefaultParagraphFont"/>
    <w:uiPriority w:val="99"/>
    <w:semiHidden/>
    <w:unhideWhenUsed/>
    <w:rsid w:val="001F7AF6"/>
    <w:rPr>
      <w:sz w:val="16"/>
      <w:szCs w:val="16"/>
    </w:rPr>
  </w:style>
  <w:style w:type="paragraph" w:styleId="CommentText">
    <w:name w:val="annotation text"/>
    <w:basedOn w:val="Normal"/>
    <w:link w:val="CommentTextChar"/>
    <w:uiPriority w:val="99"/>
    <w:unhideWhenUsed/>
    <w:rsid w:val="001F7AF6"/>
    <w:pPr>
      <w:spacing w:line="240" w:lineRule="auto"/>
    </w:pPr>
    <w:rPr>
      <w:sz w:val="20"/>
      <w:szCs w:val="20"/>
    </w:rPr>
  </w:style>
  <w:style w:type="character" w:customStyle="1" w:styleId="CommentTextChar">
    <w:name w:val="Comment Text Char"/>
    <w:basedOn w:val="DefaultParagraphFont"/>
    <w:link w:val="CommentText"/>
    <w:uiPriority w:val="99"/>
    <w:rsid w:val="001F7AF6"/>
    <w:rPr>
      <w:sz w:val="20"/>
      <w:szCs w:val="20"/>
    </w:rPr>
  </w:style>
  <w:style w:type="paragraph" w:styleId="CommentSubject">
    <w:name w:val="annotation subject"/>
    <w:basedOn w:val="CommentText"/>
    <w:next w:val="CommentText"/>
    <w:link w:val="CommentSubjectChar"/>
    <w:uiPriority w:val="99"/>
    <w:semiHidden/>
    <w:unhideWhenUsed/>
    <w:rsid w:val="001F7AF6"/>
    <w:rPr>
      <w:b/>
      <w:bCs/>
    </w:rPr>
  </w:style>
  <w:style w:type="character" w:customStyle="1" w:styleId="CommentSubjectChar">
    <w:name w:val="Comment Subject Char"/>
    <w:basedOn w:val="CommentTextChar"/>
    <w:link w:val="CommentSubject"/>
    <w:uiPriority w:val="99"/>
    <w:semiHidden/>
    <w:rsid w:val="001F7AF6"/>
    <w:rPr>
      <w:b/>
      <w:bCs/>
      <w:sz w:val="20"/>
      <w:szCs w:val="20"/>
    </w:rPr>
  </w:style>
  <w:style w:type="paragraph" w:styleId="Revision">
    <w:name w:val="Revision"/>
    <w:hidden/>
    <w:uiPriority w:val="99"/>
    <w:semiHidden/>
    <w:rsid w:val="0051620A"/>
    <w:pPr>
      <w:spacing w:after="0" w:line="240" w:lineRule="auto"/>
    </w:pPr>
  </w:style>
  <w:style w:type="character" w:customStyle="1" w:styleId="UnresolvedMention3">
    <w:name w:val="Unresolved Mention3"/>
    <w:basedOn w:val="DefaultParagraphFont"/>
    <w:uiPriority w:val="99"/>
    <w:semiHidden/>
    <w:unhideWhenUsed/>
    <w:rsid w:val="0051620A"/>
    <w:rPr>
      <w:color w:val="605E5C"/>
      <w:shd w:val="clear" w:color="auto" w:fill="E1DFDD"/>
    </w:rPr>
  </w:style>
  <w:style w:type="character" w:customStyle="1" w:styleId="cf01">
    <w:name w:val="cf01"/>
    <w:basedOn w:val="DefaultParagraphFont"/>
    <w:rsid w:val="00472863"/>
    <w:rPr>
      <w:rFonts w:ascii="Segoe UI" w:hAnsi="Segoe UI" w:cs="Segoe UI" w:hint="default"/>
      <w:sz w:val="18"/>
      <w:szCs w:val="18"/>
    </w:rPr>
  </w:style>
  <w:style w:type="character" w:styleId="Strong">
    <w:name w:val="Strong"/>
    <w:basedOn w:val="DefaultParagraphFont"/>
    <w:uiPriority w:val="22"/>
    <w:qFormat/>
    <w:rsid w:val="00891A19"/>
    <w:rPr>
      <w:b/>
      <w:bCs/>
    </w:rPr>
  </w:style>
  <w:style w:type="paragraph" w:styleId="BalloonText">
    <w:name w:val="Balloon Text"/>
    <w:basedOn w:val="Normal"/>
    <w:link w:val="BalloonTextChar"/>
    <w:uiPriority w:val="99"/>
    <w:semiHidden/>
    <w:unhideWhenUsed/>
    <w:rsid w:val="00B016D6"/>
    <w:pPr>
      <w:spacing w:after="0" w:line="240" w:lineRule="auto"/>
    </w:pPr>
    <w:rPr>
      <w:sz w:val="18"/>
      <w:szCs w:val="18"/>
    </w:rPr>
  </w:style>
  <w:style w:type="character" w:customStyle="1" w:styleId="BalloonTextChar">
    <w:name w:val="Balloon Text Char"/>
    <w:basedOn w:val="DefaultParagraphFont"/>
    <w:link w:val="BalloonText"/>
    <w:uiPriority w:val="99"/>
    <w:semiHidden/>
    <w:rsid w:val="00B016D6"/>
    <w:rPr>
      <w:sz w:val="18"/>
      <w:szCs w:val="18"/>
    </w:rPr>
  </w:style>
  <w:style w:type="character" w:customStyle="1" w:styleId="UnresolvedMention4">
    <w:name w:val="Unresolved Mention4"/>
    <w:basedOn w:val="DefaultParagraphFont"/>
    <w:uiPriority w:val="99"/>
    <w:semiHidden/>
    <w:unhideWhenUsed/>
    <w:rsid w:val="008E352C"/>
    <w:rPr>
      <w:color w:val="605E5C"/>
      <w:shd w:val="clear" w:color="auto" w:fill="E1DFDD"/>
    </w:rPr>
  </w:style>
  <w:style w:type="character" w:customStyle="1" w:styleId="UnresolvedMention5">
    <w:name w:val="Unresolved Mention5"/>
    <w:basedOn w:val="DefaultParagraphFont"/>
    <w:uiPriority w:val="99"/>
    <w:semiHidden/>
    <w:unhideWhenUsed/>
    <w:rsid w:val="00D126BE"/>
    <w:rPr>
      <w:color w:val="605E5C"/>
      <w:shd w:val="clear" w:color="auto" w:fill="E1DFDD"/>
    </w:rPr>
  </w:style>
  <w:style w:type="paragraph" w:customStyle="1" w:styleId="Default">
    <w:name w:val="Default"/>
    <w:rsid w:val="008A5DC7"/>
    <w:pPr>
      <w:autoSpaceDE w:val="0"/>
      <w:autoSpaceDN w:val="0"/>
      <w:adjustRightInd w:val="0"/>
      <w:spacing w:after="0" w:line="240" w:lineRule="auto"/>
    </w:pPr>
    <w:rPr>
      <w:rFonts w:ascii="Arial" w:eastAsia="SimSun" w:hAnsi="Arial" w:cs="Arial"/>
      <w:color w:val="000000"/>
      <w:kern w:val="0"/>
      <w:sz w:val="24"/>
      <w:szCs w:val="24"/>
      <w14:ligatures w14:val="none"/>
    </w:rPr>
  </w:style>
  <w:style w:type="table" w:customStyle="1" w:styleId="1">
    <w:name w:val="网格型1"/>
    <w:basedOn w:val="TableNormal"/>
    <w:next w:val="TableGrid"/>
    <w:uiPriority w:val="39"/>
    <w:rsid w:val="00755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834E17"/>
    <w:rPr>
      <w:color w:val="605E5C"/>
      <w:shd w:val="clear" w:color="auto" w:fill="E1DFDD"/>
    </w:rPr>
  </w:style>
  <w:style w:type="character" w:customStyle="1" w:styleId="UnresolvedMention7">
    <w:name w:val="Unresolved Mention7"/>
    <w:basedOn w:val="DefaultParagraphFont"/>
    <w:uiPriority w:val="99"/>
    <w:semiHidden/>
    <w:unhideWhenUsed/>
    <w:rsid w:val="00A264FE"/>
    <w:rPr>
      <w:color w:val="605E5C"/>
      <w:shd w:val="clear" w:color="auto" w:fill="E1DFDD"/>
    </w:rPr>
  </w:style>
  <w:style w:type="paragraph" w:customStyle="1" w:styleId="ds-markdown-paragraph">
    <w:name w:val="ds-markdown-paragraph"/>
    <w:basedOn w:val="Normal"/>
    <w:rsid w:val="00BB4384"/>
    <w:pPr>
      <w:spacing w:before="100" w:beforeAutospacing="1" w:after="100" w:afterAutospacing="1" w:line="240" w:lineRule="auto"/>
    </w:pPr>
    <w:rPr>
      <w:rFonts w:ascii="SimSun" w:eastAsia="SimSun" w:hAnsi="SimSun" w:cs="SimSun"/>
      <w:kern w:val="0"/>
      <w:sz w:val="24"/>
      <w:szCs w:val="24"/>
      <w:lang w:val="en-US" w:eastAsia="zh-CN"/>
      <w14:ligatures w14:val="none"/>
    </w:rPr>
  </w:style>
  <w:style w:type="character" w:customStyle="1" w:styleId="UnresolvedMention8">
    <w:name w:val="Unresolved Mention8"/>
    <w:basedOn w:val="DefaultParagraphFont"/>
    <w:uiPriority w:val="99"/>
    <w:semiHidden/>
    <w:unhideWhenUsed/>
    <w:rsid w:val="00832E8E"/>
    <w:rPr>
      <w:color w:val="605E5C"/>
      <w:shd w:val="clear" w:color="auto" w:fill="E1DFDD"/>
    </w:rPr>
  </w:style>
  <w:style w:type="character" w:styleId="Emphasis">
    <w:name w:val="Emphasis"/>
    <w:basedOn w:val="DefaultParagraphFont"/>
    <w:uiPriority w:val="20"/>
    <w:qFormat/>
    <w:rsid w:val="00542E0C"/>
    <w:rPr>
      <w:i/>
      <w:iCs/>
    </w:rPr>
  </w:style>
  <w:style w:type="character" w:customStyle="1" w:styleId="UnresolvedMention9">
    <w:name w:val="Unresolved Mention9"/>
    <w:basedOn w:val="DefaultParagraphFont"/>
    <w:uiPriority w:val="99"/>
    <w:semiHidden/>
    <w:unhideWhenUsed/>
    <w:rsid w:val="00A9272B"/>
    <w:rPr>
      <w:color w:val="605E5C"/>
      <w:shd w:val="clear" w:color="auto" w:fill="E1DFDD"/>
    </w:rPr>
  </w:style>
  <w:style w:type="character" w:customStyle="1" w:styleId="UnresolvedMention10">
    <w:name w:val="Unresolved Mention10"/>
    <w:basedOn w:val="DefaultParagraphFont"/>
    <w:uiPriority w:val="99"/>
    <w:semiHidden/>
    <w:unhideWhenUsed/>
    <w:rsid w:val="005E0651"/>
    <w:rPr>
      <w:color w:val="605E5C"/>
      <w:shd w:val="clear" w:color="auto" w:fill="E1DFDD"/>
    </w:rPr>
  </w:style>
  <w:style w:type="character" w:customStyle="1" w:styleId="UnresolvedMention11">
    <w:name w:val="Unresolved Mention11"/>
    <w:basedOn w:val="DefaultParagraphFont"/>
    <w:uiPriority w:val="99"/>
    <w:semiHidden/>
    <w:unhideWhenUsed/>
    <w:rsid w:val="0073690C"/>
    <w:rPr>
      <w:color w:val="605E5C"/>
      <w:shd w:val="clear" w:color="auto" w:fill="E1DFDD"/>
    </w:rPr>
  </w:style>
  <w:style w:type="character" w:styleId="LineNumber">
    <w:name w:val="line number"/>
    <w:basedOn w:val="DefaultParagraphFont"/>
    <w:uiPriority w:val="99"/>
    <w:semiHidden/>
    <w:unhideWhenUsed/>
    <w:rsid w:val="007369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5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E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E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E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E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E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E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E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E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E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E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E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E9F"/>
    <w:rPr>
      <w:rFonts w:eastAsiaTheme="majorEastAsia" w:cstheme="majorBidi"/>
      <w:color w:val="272727" w:themeColor="text1" w:themeTint="D8"/>
    </w:rPr>
  </w:style>
  <w:style w:type="paragraph" w:styleId="Title">
    <w:name w:val="Title"/>
    <w:basedOn w:val="Normal"/>
    <w:next w:val="Normal"/>
    <w:link w:val="TitleChar"/>
    <w:uiPriority w:val="10"/>
    <w:qFormat/>
    <w:rsid w:val="00CF5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E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E9F"/>
    <w:pPr>
      <w:spacing w:before="160"/>
      <w:jc w:val="center"/>
    </w:pPr>
    <w:rPr>
      <w:i/>
      <w:iCs/>
      <w:color w:val="404040" w:themeColor="text1" w:themeTint="BF"/>
    </w:rPr>
  </w:style>
  <w:style w:type="character" w:customStyle="1" w:styleId="QuoteChar">
    <w:name w:val="Quote Char"/>
    <w:basedOn w:val="DefaultParagraphFont"/>
    <w:link w:val="Quote"/>
    <w:uiPriority w:val="29"/>
    <w:rsid w:val="00CF5E9F"/>
    <w:rPr>
      <w:i/>
      <w:iCs/>
      <w:color w:val="404040" w:themeColor="text1" w:themeTint="BF"/>
    </w:rPr>
  </w:style>
  <w:style w:type="paragraph" w:styleId="ListParagraph">
    <w:name w:val="List Paragraph"/>
    <w:basedOn w:val="Normal"/>
    <w:uiPriority w:val="34"/>
    <w:qFormat/>
    <w:rsid w:val="00CF5E9F"/>
    <w:pPr>
      <w:ind w:left="720"/>
      <w:contextualSpacing/>
    </w:pPr>
  </w:style>
  <w:style w:type="character" w:styleId="IntenseEmphasis">
    <w:name w:val="Intense Emphasis"/>
    <w:basedOn w:val="DefaultParagraphFont"/>
    <w:uiPriority w:val="21"/>
    <w:qFormat/>
    <w:rsid w:val="00CF5E9F"/>
    <w:rPr>
      <w:i/>
      <w:iCs/>
      <w:color w:val="0F4761" w:themeColor="accent1" w:themeShade="BF"/>
    </w:rPr>
  </w:style>
  <w:style w:type="paragraph" w:styleId="IntenseQuote">
    <w:name w:val="Intense Quote"/>
    <w:basedOn w:val="Normal"/>
    <w:next w:val="Normal"/>
    <w:link w:val="IntenseQuoteChar"/>
    <w:uiPriority w:val="30"/>
    <w:qFormat/>
    <w:rsid w:val="00CF5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E9F"/>
    <w:rPr>
      <w:i/>
      <w:iCs/>
      <w:color w:val="0F4761" w:themeColor="accent1" w:themeShade="BF"/>
    </w:rPr>
  </w:style>
  <w:style w:type="character" w:styleId="IntenseReference">
    <w:name w:val="Intense Reference"/>
    <w:basedOn w:val="DefaultParagraphFont"/>
    <w:uiPriority w:val="32"/>
    <w:qFormat/>
    <w:rsid w:val="00CF5E9F"/>
    <w:rPr>
      <w:b/>
      <w:bCs/>
      <w:smallCaps/>
      <w:color w:val="0F4761" w:themeColor="accent1" w:themeShade="BF"/>
      <w:spacing w:val="5"/>
    </w:rPr>
  </w:style>
  <w:style w:type="character" w:customStyle="1" w:styleId="relative">
    <w:name w:val="relative"/>
    <w:basedOn w:val="DefaultParagraphFont"/>
    <w:rsid w:val="00941378"/>
  </w:style>
  <w:style w:type="character" w:styleId="Hyperlink">
    <w:name w:val="Hyperlink"/>
    <w:basedOn w:val="DefaultParagraphFont"/>
    <w:uiPriority w:val="99"/>
    <w:unhideWhenUsed/>
    <w:rsid w:val="00C06B11"/>
    <w:rPr>
      <w:color w:val="0000FF"/>
      <w:u w:val="single"/>
    </w:rPr>
  </w:style>
  <w:style w:type="paragraph" w:styleId="NormalWeb">
    <w:name w:val="Normal (Web)"/>
    <w:basedOn w:val="Normal"/>
    <w:uiPriority w:val="99"/>
    <w:unhideWhenUsed/>
    <w:rsid w:val="004751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762758"/>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757EA"/>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6757EA"/>
    <w:rPr>
      <w:rFonts w:ascii="Aptos" w:hAnsi="Aptos"/>
      <w:noProof/>
      <w:lang w:val="en-US"/>
    </w:rPr>
  </w:style>
  <w:style w:type="paragraph" w:customStyle="1" w:styleId="EndNoteBibliography">
    <w:name w:val="EndNote Bibliography"/>
    <w:basedOn w:val="Normal"/>
    <w:link w:val="EndNoteBibliographyChar"/>
    <w:rsid w:val="006757EA"/>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6757EA"/>
    <w:rPr>
      <w:rFonts w:ascii="Aptos" w:hAnsi="Aptos"/>
      <w:noProof/>
      <w:lang w:val="en-US"/>
    </w:rPr>
  </w:style>
  <w:style w:type="character" w:customStyle="1" w:styleId="UnresolvedMention1">
    <w:name w:val="Unresolved Mention1"/>
    <w:basedOn w:val="DefaultParagraphFont"/>
    <w:uiPriority w:val="99"/>
    <w:semiHidden/>
    <w:unhideWhenUsed/>
    <w:rsid w:val="007055B1"/>
    <w:rPr>
      <w:color w:val="605E5C"/>
      <w:shd w:val="clear" w:color="auto" w:fill="E1DFDD"/>
    </w:rPr>
  </w:style>
  <w:style w:type="paragraph" w:styleId="Header">
    <w:name w:val="header"/>
    <w:basedOn w:val="Normal"/>
    <w:link w:val="HeaderChar"/>
    <w:uiPriority w:val="99"/>
    <w:unhideWhenUsed/>
    <w:rsid w:val="004D6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632"/>
  </w:style>
  <w:style w:type="paragraph" w:styleId="Footer">
    <w:name w:val="footer"/>
    <w:basedOn w:val="Normal"/>
    <w:link w:val="FooterChar"/>
    <w:uiPriority w:val="99"/>
    <w:unhideWhenUsed/>
    <w:rsid w:val="004D6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632"/>
  </w:style>
  <w:style w:type="character" w:styleId="FollowedHyperlink">
    <w:name w:val="FollowedHyperlink"/>
    <w:basedOn w:val="DefaultParagraphFont"/>
    <w:uiPriority w:val="99"/>
    <w:semiHidden/>
    <w:unhideWhenUsed/>
    <w:rsid w:val="003D6C51"/>
    <w:rPr>
      <w:color w:val="96607D" w:themeColor="followedHyperlink"/>
      <w:u w:val="single"/>
    </w:rPr>
  </w:style>
  <w:style w:type="character" w:customStyle="1" w:styleId="UnresolvedMention2">
    <w:name w:val="Unresolved Mention2"/>
    <w:basedOn w:val="DefaultParagraphFont"/>
    <w:uiPriority w:val="99"/>
    <w:semiHidden/>
    <w:unhideWhenUsed/>
    <w:rsid w:val="003947A6"/>
    <w:rPr>
      <w:color w:val="605E5C"/>
      <w:shd w:val="clear" w:color="auto" w:fill="E1DFDD"/>
    </w:rPr>
  </w:style>
  <w:style w:type="character" w:styleId="CommentReference">
    <w:name w:val="annotation reference"/>
    <w:basedOn w:val="DefaultParagraphFont"/>
    <w:uiPriority w:val="99"/>
    <w:semiHidden/>
    <w:unhideWhenUsed/>
    <w:rsid w:val="001F7AF6"/>
    <w:rPr>
      <w:sz w:val="16"/>
      <w:szCs w:val="16"/>
    </w:rPr>
  </w:style>
  <w:style w:type="paragraph" w:styleId="CommentText">
    <w:name w:val="annotation text"/>
    <w:basedOn w:val="Normal"/>
    <w:link w:val="CommentTextChar"/>
    <w:uiPriority w:val="99"/>
    <w:unhideWhenUsed/>
    <w:rsid w:val="001F7AF6"/>
    <w:pPr>
      <w:spacing w:line="240" w:lineRule="auto"/>
    </w:pPr>
    <w:rPr>
      <w:sz w:val="20"/>
      <w:szCs w:val="20"/>
    </w:rPr>
  </w:style>
  <w:style w:type="character" w:customStyle="1" w:styleId="CommentTextChar">
    <w:name w:val="Comment Text Char"/>
    <w:basedOn w:val="DefaultParagraphFont"/>
    <w:link w:val="CommentText"/>
    <w:uiPriority w:val="99"/>
    <w:rsid w:val="001F7AF6"/>
    <w:rPr>
      <w:sz w:val="20"/>
      <w:szCs w:val="20"/>
    </w:rPr>
  </w:style>
  <w:style w:type="paragraph" w:styleId="CommentSubject">
    <w:name w:val="annotation subject"/>
    <w:basedOn w:val="CommentText"/>
    <w:next w:val="CommentText"/>
    <w:link w:val="CommentSubjectChar"/>
    <w:uiPriority w:val="99"/>
    <w:semiHidden/>
    <w:unhideWhenUsed/>
    <w:rsid w:val="001F7AF6"/>
    <w:rPr>
      <w:b/>
      <w:bCs/>
    </w:rPr>
  </w:style>
  <w:style w:type="character" w:customStyle="1" w:styleId="CommentSubjectChar">
    <w:name w:val="Comment Subject Char"/>
    <w:basedOn w:val="CommentTextChar"/>
    <w:link w:val="CommentSubject"/>
    <w:uiPriority w:val="99"/>
    <w:semiHidden/>
    <w:rsid w:val="001F7AF6"/>
    <w:rPr>
      <w:b/>
      <w:bCs/>
      <w:sz w:val="20"/>
      <w:szCs w:val="20"/>
    </w:rPr>
  </w:style>
  <w:style w:type="paragraph" w:styleId="Revision">
    <w:name w:val="Revision"/>
    <w:hidden/>
    <w:uiPriority w:val="99"/>
    <w:semiHidden/>
    <w:rsid w:val="0051620A"/>
    <w:pPr>
      <w:spacing w:after="0" w:line="240" w:lineRule="auto"/>
    </w:pPr>
  </w:style>
  <w:style w:type="character" w:customStyle="1" w:styleId="UnresolvedMention3">
    <w:name w:val="Unresolved Mention3"/>
    <w:basedOn w:val="DefaultParagraphFont"/>
    <w:uiPriority w:val="99"/>
    <w:semiHidden/>
    <w:unhideWhenUsed/>
    <w:rsid w:val="0051620A"/>
    <w:rPr>
      <w:color w:val="605E5C"/>
      <w:shd w:val="clear" w:color="auto" w:fill="E1DFDD"/>
    </w:rPr>
  </w:style>
  <w:style w:type="character" w:customStyle="1" w:styleId="cf01">
    <w:name w:val="cf01"/>
    <w:basedOn w:val="DefaultParagraphFont"/>
    <w:rsid w:val="00472863"/>
    <w:rPr>
      <w:rFonts w:ascii="Segoe UI" w:hAnsi="Segoe UI" w:cs="Segoe UI" w:hint="default"/>
      <w:sz w:val="18"/>
      <w:szCs w:val="18"/>
    </w:rPr>
  </w:style>
  <w:style w:type="character" w:styleId="Strong">
    <w:name w:val="Strong"/>
    <w:basedOn w:val="DefaultParagraphFont"/>
    <w:uiPriority w:val="22"/>
    <w:qFormat/>
    <w:rsid w:val="00891A19"/>
    <w:rPr>
      <w:b/>
      <w:bCs/>
    </w:rPr>
  </w:style>
  <w:style w:type="paragraph" w:styleId="BalloonText">
    <w:name w:val="Balloon Text"/>
    <w:basedOn w:val="Normal"/>
    <w:link w:val="BalloonTextChar"/>
    <w:uiPriority w:val="99"/>
    <w:semiHidden/>
    <w:unhideWhenUsed/>
    <w:rsid w:val="00B016D6"/>
    <w:pPr>
      <w:spacing w:after="0" w:line="240" w:lineRule="auto"/>
    </w:pPr>
    <w:rPr>
      <w:sz w:val="18"/>
      <w:szCs w:val="18"/>
    </w:rPr>
  </w:style>
  <w:style w:type="character" w:customStyle="1" w:styleId="BalloonTextChar">
    <w:name w:val="Balloon Text Char"/>
    <w:basedOn w:val="DefaultParagraphFont"/>
    <w:link w:val="BalloonText"/>
    <w:uiPriority w:val="99"/>
    <w:semiHidden/>
    <w:rsid w:val="00B016D6"/>
    <w:rPr>
      <w:sz w:val="18"/>
      <w:szCs w:val="18"/>
    </w:rPr>
  </w:style>
  <w:style w:type="character" w:customStyle="1" w:styleId="UnresolvedMention4">
    <w:name w:val="Unresolved Mention4"/>
    <w:basedOn w:val="DefaultParagraphFont"/>
    <w:uiPriority w:val="99"/>
    <w:semiHidden/>
    <w:unhideWhenUsed/>
    <w:rsid w:val="008E352C"/>
    <w:rPr>
      <w:color w:val="605E5C"/>
      <w:shd w:val="clear" w:color="auto" w:fill="E1DFDD"/>
    </w:rPr>
  </w:style>
  <w:style w:type="character" w:customStyle="1" w:styleId="UnresolvedMention5">
    <w:name w:val="Unresolved Mention5"/>
    <w:basedOn w:val="DefaultParagraphFont"/>
    <w:uiPriority w:val="99"/>
    <w:semiHidden/>
    <w:unhideWhenUsed/>
    <w:rsid w:val="00D126BE"/>
    <w:rPr>
      <w:color w:val="605E5C"/>
      <w:shd w:val="clear" w:color="auto" w:fill="E1DFDD"/>
    </w:rPr>
  </w:style>
  <w:style w:type="paragraph" w:customStyle="1" w:styleId="Default">
    <w:name w:val="Default"/>
    <w:rsid w:val="008A5DC7"/>
    <w:pPr>
      <w:autoSpaceDE w:val="0"/>
      <w:autoSpaceDN w:val="0"/>
      <w:adjustRightInd w:val="0"/>
      <w:spacing w:after="0" w:line="240" w:lineRule="auto"/>
    </w:pPr>
    <w:rPr>
      <w:rFonts w:ascii="Arial" w:eastAsia="SimSun" w:hAnsi="Arial" w:cs="Arial"/>
      <w:color w:val="000000"/>
      <w:kern w:val="0"/>
      <w:sz w:val="24"/>
      <w:szCs w:val="24"/>
      <w14:ligatures w14:val="none"/>
    </w:rPr>
  </w:style>
  <w:style w:type="table" w:customStyle="1" w:styleId="1">
    <w:name w:val="网格型1"/>
    <w:basedOn w:val="TableNormal"/>
    <w:next w:val="TableGrid"/>
    <w:uiPriority w:val="39"/>
    <w:rsid w:val="00755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834E17"/>
    <w:rPr>
      <w:color w:val="605E5C"/>
      <w:shd w:val="clear" w:color="auto" w:fill="E1DFDD"/>
    </w:rPr>
  </w:style>
  <w:style w:type="character" w:customStyle="1" w:styleId="UnresolvedMention7">
    <w:name w:val="Unresolved Mention7"/>
    <w:basedOn w:val="DefaultParagraphFont"/>
    <w:uiPriority w:val="99"/>
    <w:semiHidden/>
    <w:unhideWhenUsed/>
    <w:rsid w:val="00A264FE"/>
    <w:rPr>
      <w:color w:val="605E5C"/>
      <w:shd w:val="clear" w:color="auto" w:fill="E1DFDD"/>
    </w:rPr>
  </w:style>
  <w:style w:type="paragraph" w:customStyle="1" w:styleId="ds-markdown-paragraph">
    <w:name w:val="ds-markdown-paragraph"/>
    <w:basedOn w:val="Normal"/>
    <w:rsid w:val="00BB4384"/>
    <w:pPr>
      <w:spacing w:before="100" w:beforeAutospacing="1" w:after="100" w:afterAutospacing="1" w:line="240" w:lineRule="auto"/>
    </w:pPr>
    <w:rPr>
      <w:rFonts w:ascii="SimSun" w:eastAsia="SimSun" w:hAnsi="SimSun" w:cs="SimSun"/>
      <w:kern w:val="0"/>
      <w:sz w:val="24"/>
      <w:szCs w:val="24"/>
      <w:lang w:val="en-US" w:eastAsia="zh-CN"/>
      <w14:ligatures w14:val="none"/>
    </w:rPr>
  </w:style>
  <w:style w:type="character" w:customStyle="1" w:styleId="UnresolvedMention8">
    <w:name w:val="Unresolved Mention8"/>
    <w:basedOn w:val="DefaultParagraphFont"/>
    <w:uiPriority w:val="99"/>
    <w:semiHidden/>
    <w:unhideWhenUsed/>
    <w:rsid w:val="00832E8E"/>
    <w:rPr>
      <w:color w:val="605E5C"/>
      <w:shd w:val="clear" w:color="auto" w:fill="E1DFDD"/>
    </w:rPr>
  </w:style>
  <w:style w:type="character" w:styleId="Emphasis">
    <w:name w:val="Emphasis"/>
    <w:basedOn w:val="DefaultParagraphFont"/>
    <w:uiPriority w:val="20"/>
    <w:qFormat/>
    <w:rsid w:val="00542E0C"/>
    <w:rPr>
      <w:i/>
      <w:iCs/>
    </w:rPr>
  </w:style>
  <w:style w:type="character" w:customStyle="1" w:styleId="UnresolvedMention9">
    <w:name w:val="Unresolved Mention9"/>
    <w:basedOn w:val="DefaultParagraphFont"/>
    <w:uiPriority w:val="99"/>
    <w:semiHidden/>
    <w:unhideWhenUsed/>
    <w:rsid w:val="00A9272B"/>
    <w:rPr>
      <w:color w:val="605E5C"/>
      <w:shd w:val="clear" w:color="auto" w:fill="E1DFDD"/>
    </w:rPr>
  </w:style>
  <w:style w:type="character" w:customStyle="1" w:styleId="UnresolvedMention10">
    <w:name w:val="Unresolved Mention10"/>
    <w:basedOn w:val="DefaultParagraphFont"/>
    <w:uiPriority w:val="99"/>
    <w:semiHidden/>
    <w:unhideWhenUsed/>
    <w:rsid w:val="005E0651"/>
    <w:rPr>
      <w:color w:val="605E5C"/>
      <w:shd w:val="clear" w:color="auto" w:fill="E1DFDD"/>
    </w:rPr>
  </w:style>
  <w:style w:type="character" w:customStyle="1" w:styleId="UnresolvedMention11">
    <w:name w:val="Unresolved Mention11"/>
    <w:basedOn w:val="DefaultParagraphFont"/>
    <w:uiPriority w:val="99"/>
    <w:semiHidden/>
    <w:unhideWhenUsed/>
    <w:rsid w:val="0073690C"/>
    <w:rPr>
      <w:color w:val="605E5C"/>
      <w:shd w:val="clear" w:color="auto" w:fill="E1DFDD"/>
    </w:rPr>
  </w:style>
  <w:style w:type="character" w:styleId="LineNumber">
    <w:name w:val="line number"/>
    <w:basedOn w:val="DefaultParagraphFont"/>
    <w:uiPriority w:val="99"/>
    <w:semiHidden/>
    <w:unhideWhenUsed/>
    <w:rsid w:val="00736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725">
      <w:bodyDiv w:val="1"/>
      <w:marLeft w:val="0"/>
      <w:marRight w:val="0"/>
      <w:marTop w:val="0"/>
      <w:marBottom w:val="0"/>
      <w:divBdr>
        <w:top w:val="none" w:sz="0" w:space="0" w:color="auto"/>
        <w:left w:val="none" w:sz="0" w:space="0" w:color="auto"/>
        <w:bottom w:val="none" w:sz="0" w:space="0" w:color="auto"/>
        <w:right w:val="none" w:sz="0" w:space="0" w:color="auto"/>
      </w:divBdr>
      <w:divsChild>
        <w:div w:id="160587783">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59472055">
      <w:bodyDiv w:val="1"/>
      <w:marLeft w:val="0"/>
      <w:marRight w:val="0"/>
      <w:marTop w:val="0"/>
      <w:marBottom w:val="0"/>
      <w:divBdr>
        <w:top w:val="none" w:sz="0" w:space="0" w:color="auto"/>
        <w:left w:val="none" w:sz="0" w:space="0" w:color="auto"/>
        <w:bottom w:val="none" w:sz="0" w:space="0" w:color="auto"/>
        <w:right w:val="none" w:sz="0" w:space="0" w:color="auto"/>
      </w:divBdr>
    </w:div>
    <w:div w:id="202791081">
      <w:bodyDiv w:val="1"/>
      <w:marLeft w:val="0"/>
      <w:marRight w:val="0"/>
      <w:marTop w:val="0"/>
      <w:marBottom w:val="0"/>
      <w:divBdr>
        <w:top w:val="none" w:sz="0" w:space="0" w:color="auto"/>
        <w:left w:val="none" w:sz="0" w:space="0" w:color="auto"/>
        <w:bottom w:val="none" w:sz="0" w:space="0" w:color="auto"/>
        <w:right w:val="none" w:sz="0" w:space="0" w:color="auto"/>
      </w:divBdr>
    </w:div>
    <w:div w:id="208565990">
      <w:bodyDiv w:val="1"/>
      <w:marLeft w:val="0"/>
      <w:marRight w:val="0"/>
      <w:marTop w:val="0"/>
      <w:marBottom w:val="0"/>
      <w:divBdr>
        <w:top w:val="none" w:sz="0" w:space="0" w:color="auto"/>
        <w:left w:val="none" w:sz="0" w:space="0" w:color="auto"/>
        <w:bottom w:val="none" w:sz="0" w:space="0" w:color="auto"/>
        <w:right w:val="none" w:sz="0" w:space="0" w:color="auto"/>
      </w:divBdr>
    </w:div>
    <w:div w:id="280456898">
      <w:bodyDiv w:val="1"/>
      <w:marLeft w:val="0"/>
      <w:marRight w:val="0"/>
      <w:marTop w:val="0"/>
      <w:marBottom w:val="0"/>
      <w:divBdr>
        <w:top w:val="none" w:sz="0" w:space="0" w:color="auto"/>
        <w:left w:val="none" w:sz="0" w:space="0" w:color="auto"/>
        <w:bottom w:val="none" w:sz="0" w:space="0" w:color="auto"/>
        <w:right w:val="none" w:sz="0" w:space="0" w:color="auto"/>
      </w:divBdr>
    </w:div>
    <w:div w:id="367030939">
      <w:bodyDiv w:val="1"/>
      <w:marLeft w:val="0"/>
      <w:marRight w:val="0"/>
      <w:marTop w:val="0"/>
      <w:marBottom w:val="0"/>
      <w:divBdr>
        <w:top w:val="none" w:sz="0" w:space="0" w:color="auto"/>
        <w:left w:val="none" w:sz="0" w:space="0" w:color="auto"/>
        <w:bottom w:val="none" w:sz="0" w:space="0" w:color="auto"/>
        <w:right w:val="none" w:sz="0" w:space="0" w:color="auto"/>
      </w:divBdr>
    </w:div>
    <w:div w:id="481845920">
      <w:bodyDiv w:val="1"/>
      <w:marLeft w:val="0"/>
      <w:marRight w:val="0"/>
      <w:marTop w:val="0"/>
      <w:marBottom w:val="0"/>
      <w:divBdr>
        <w:top w:val="none" w:sz="0" w:space="0" w:color="auto"/>
        <w:left w:val="none" w:sz="0" w:space="0" w:color="auto"/>
        <w:bottom w:val="none" w:sz="0" w:space="0" w:color="auto"/>
        <w:right w:val="none" w:sz="0" w:space="0" w:color="auto"/>
      </w:divBdr>
    </w:div>
    <w:div w:id="560484917">
      <w:bodyDiv w:val="1"/>
      <w:marLeft w:val="0"/>
      <w:marRight w:val="0"/>
      <w:marTop w:val="0"/>
      <w:marBottom w:val="0"/>
      <w:divBdr>
        <w:top w:val="none" w:sz="0" w:space="0" w:color="auto"/>
        <w:left w:val="none" w:sz="0" w:space="0" w:color="auto"/>
        <w:bottom w:val="none" w:sz="0" w:space="0" w:color="auto"/>
        <w:right w:val="none" w:sz="0" w:space="0" w:color="auto"/>
      </w:divBdr>
    </w:div>
    <w:div w:id="732703003">
      <w:bodyDiv w:val="1"/>
      <w:marLeft w:val="0"/>
      <w:marRight w:val="0"/>
      <w:marTop w:val="0"/>
      <w:marBottom w:val="0"/>
      <w:divBdr>
        <w:top w:val="none" w:sz="0" w:space="0" w:color="auto"/>
        <w:left w:val="none" w:sz="0" w:space="0" w:color="auto"/>
        <w:bottom w:val="none" w:sz="0" w:space="0" w:color="auto"/>
        <w:right w:val="none" w:sz="0" w:space="0" w:color="auto"/>
      </w:divBdr>
    </w:div>
    <w:div w:id="818036692">
      <w:bodyDiv w:val="1"/>
      <w:marLeft w:val="0"/>
      <w:marRight w:val="0"/>
      <w:marTop w:val="0"/>
      <w:marBottom w:val="0"/>
      <w:divBdr>
        <w:top w:val="none" w:sz="0" w:space="0" w:color="auto"/>
        <w:left w:val="none" w:sz="0" w:space="0" w:color="auto"/>
        <w:bottom w:val="none" w:sz="0" w:space="0" w:color="auto"/>
        <w:right w:val="none" w:sz="0" w:space="0" w:color="auto"/>
      </w:divBdr>
    </w:div>
    <w:div w:id="840660842">
      <w:bodyDiv w:val="1"/>
      <w:marLeft w:val="0"/>
      <w:marRight w:val="0"/>
      <w:marTop w:val="0"/>
      <w:marBottom w:val="0"/>
      <w:divBdr>
        <w:top w:val="none" w:sz="0" w:space="0" w:color="auto"/>
        <w:left w:val="none" w:sz="0" w:space="0" w:color="auto"/>
        <w:bottom w:val="none" w:sz="0" w:space="0" w:color="auto"/>
        <w:right w:val="none" w:sz="0" w:space="0" w:color="auto"/>
      </w:divBdr>
    </w:div>
    <w:div w:id="927152178">
      <w:bodyDiv w:val="1"/>
      <w:marLeft w:val="0"/>
      <w:marRight w:val="0"/>
      <w:marTop w:val="0"/>
      <w:marBottom w:val="0"/>
      <w:divBdr>
        <w:top w:val="none" w:sz="0" w:space="0" w:color="auto"/>
        <w:left w:val="none" w:sz="0" w:space="0" w:color="auto"/>
        <w:bottom w:val="none" w:sz="0" w:space="0" w:color="auto"/>
        <w:right w:val="none" w:sz="0" w:space="0" w:color="auto"/>
      </w:divBdr>
    </w:div>
    <w:div w:id="989093162">
      <w:bodyDiv w:val="1"/>
      <w:marLeft w:val="0"/>
      <w:marRight w:val="0"/>
      <w:marTop w:val="0"/>
      <w:marBottom w:val="0"/>
      <w:divBdr>
        <w:top w:val="none" w:sz="0" w:space="0" w:color="auto"/>
        <w:left w:val="none" w:sz="0" w:space="0" w:color="auto"/>
        <w:bottom w:val="none" w:sz="0" w:space="0" w:color="auto"/>
        <w:right w:val="none" w:sz="0" w:space="0" w:color="auto"/>
      </w:divBdr>
    </w:div>
    <w:div w:id="994449932">
      <w:bodyDiv w:val="1"/>
      <w:marLeft w:val="0"/>
      <w:marRight w:val="0"/>
      <w:marTop w:val="0"/>
      <w:marBottom w:val="0"/>
      <w:divBdr>
        <w:top w:val="none" w:sz="0" w:space="0" w:color="auto"/>
        <w:left w:val="none" w:sz="0" w:space="0" w:color="auto"/>
        <w:bottom w:val="none" w:sz="0" w:space="0" w:color="auto"/>
        <w:right w:val="none" w:sz="0" w:space="0" w:color="auto"/>
      </w:divBdr>
    </w:div>
    <w:div w:id="1006176906">
      <w:bodyDiv w:val="1"/>
      <w:marLeft w:val="0"/>
      <w:marRight w:val="0"/>
      <w:marTop w:val="0"/>
      <w:marBottom w:val="0"/>
      <w:divBdr>
        <w:top w:val="none" w:sz="0" w:space="0" w:color="auto"/>
        <w:left w:val="none" w:sz="0" w:space="0" w:color="auto"/>
        <w:bottom w:val="none" w:sz="0" w:space="0" w:color="auto"/>
        <w:right w:val="none" w:sz="0" w:space="0" w:color="auto"/>
      </w:divBdr>
    </w:div>
    <w:div w:id="1007246060">
      <w:bodyDiv w:val="1"/>
      <w:marLeft w:val="0"/>
      <w:marRight w:val="0"/>
      <w:marTop w:val="0"/>
      <w:marBottom w:val="0"/>
      <w:divBdr>
        <w:top w:val="none" w:sz="0" w:space="0" w:color="auto"/>
        <w:left w:val="none" w:sz="0" w:space="0" w:color="auto"/>
        <w:bottom w:val="none" w:sz="0" w:space="0" w:color="auto"/>
        <w:right w:val="none" w:sz="0" w:space="0" w:color="auto"/>
      </w:divBdr>
    </w:div>
    <w:div w:id="1037194997">
      <w:bodyDiv w:val="1"/>
      <w:marLeft w:val="0"/>
      <w:marRight w:val="0"/>
      <w:marTop w:val="0"/>
      <w:marBottom w:val="0"/>
      <w:divBdr>
        <w:top w:val="none" w:sz="0" w:space="0" w:color="auto"/>
        <w:left w:val="none" w:sz="0" w:space="0" w:color="auto"/>
        <w:bottom w:val="none" w:sz="0" w:space="0" w:color="auto"/>
        <w:right w:val="none" w:sz="0" w:space="0" w:color="auto"/>
      </w:divBdr>
    </w:div>
    <w:div w:id="1087464659">
      <w:bodyDiv w:val="1"/>
      <w:marLeft w:val="0"/>
      <w:marRight w:val="0"/>
      <w:marTop w:val="0"/>
      <w:marBottom w:val="0"/>
      <w:divBdr>
        <w:top w:val="none" w:sz="0" w:space="0" w:color="auto"/>
        <w:left w:val="none" w:sz="0" w:space="0" w:color="auto"/>
        <w:bottom w:val="none" w:sz="0" w:space="0" w:color="auto"/>
        <w:right w:val="none" w:sz="0" w:space="0" w:color="auto"/>
      </w:divBdr>
    </w:div>
    <w:div w:id="1162046659">
      <w:bodyDiv w:val="1"/>
      <w:marLeft w:val="0"/>
      <w:marRight w:val="0"/>
      <w:marTop w:val="0"/>
      <w:marBottom w:val="0"/>
      <w:divBdr>
        <w:top w:val="none" w:sz="0" w:space="0" w:color="auto"/>
        <w:left w:val="none" w:sz="0" w:space="0" w:color="auto"/>
        <w:bottom w:val="none" w:sz="0" w:space="0" w:color="auto"/>
        <w:right w:val="none" w:sz="0" w:space="0" w:color="auto"/>
      </w:divBdr>
    </w:div>
    <w:div w:id="1207991033">
      <w:bodyDiv w:val="1"/>
      <w:marLeft w:val="0"/>
      <w:marRight w:val="0"/>
      <w:marTop w:val="0"/>
      <w:marBottom w:val="0"/>
      <w:divBdr>
        <w:top w:val="none" w:sz="0" w:space="0" w:color="auto"/>
        <w:left w:val="none" w:sz="0" w:space="0" w:color="auto"/>
        <w:bottom w:val="none" w:sz="0" w:space="0" w:color="auto"/>
        <w:right w:val="none" w:sz="0" w:space="0" w:color="auto"/>
      </w:divBdr>
    </w:div>
    <w:div w:id="1211962549">
      <w:bodyDiv w:val="1"/>
      <w:marLeft w:val="0"/>
      <w:marRight w:val="0"/>
      <w:marTop w:val="0"/>
      <w:marBottom w:val="0"/>
      <w:divBdr>
        <w:top w:val="none" w:sz="0" w:space="0" w:color="auto"/>
        <w:left w:val="none" w:sz="0" w:space="0" w:color="auto"/>
        <w:bottom w:val="none" w:sz="0" w:space="0" w:color="auto"/>
        <w:right w:val="none" w:sz="0" w:space="0" w:color="auto"/>
      </w:divBdr>
    </w:div>
    <w:div w:id="1238398360">
      <w:bodyDiv w:val="1"/>
      <w:marLeft w:val="0"/>
      <w:marRight w:val="0"/>
      <w:marTop w:val="0"/>
      <w:marBottom w:val="0"/>
      <w:divBdr>
        <w:top w:val="none" w:sz="0" w:space="0" w:color="auto"/>
        <w:left w:val="none" w:sz="0" w:space="0" w:color="auto"/>
        <w:bottom w:val="none" w:sz="0" w:space="0" w:color="auto"/>
        <w:right w:val="none" w:sz="0" w:space="0" w:color="auto"/>
      </w:divBdr>
    </w:div>
    <w:div w:id="1320769188">
      <w:bodyDiv w:val="1"/>
      <w:marLeft w:val="0"/>
      <w:marRight w:val="0"/>
      <w:marTop w:val="0"/>
      <w:marBottom w:val="0"/>
      <w:divBdr>
        <w:top w:val="none" w:sz="0" w:space="0" w:color="auto"/>
        <w:left w:val="none" w:sz="0" w:space="0" w:color="auto"/>
        <w:bottom w:val="none" w:sz="0" w:space="0" w:color="auto"/>
        <w:right w:val="none" w:sz="0" w:space="0" w:color="auto"/>
      </w:divBdr>
    </w:div>
    <w:div w:id="1770152161">
      <w:bodyDiv w:val="1"/>
      <w:marLeft w:val="0"/>
      <w:marRight w:val="0"/>
      <w:marTop w:val="0"/>
      <w:marBottom w:val="0"/>
      <w:divBdr>
        <w:top w:val="none" w:sz="0" w:space="0" w:color="auto"/>
        <w:left w:val="none" w:sz="0" w:space="0" w:color="auto"/>
        <w:bottom w:val="none" w:sz="0" w:space="0" w:color="auto"/>
        <w:right w:val="none" w:sz="0" w:space="0" w:color="auto"/>
      </w:divBdr>
    </w:div>
    <w:div w:id="1770196118">
      <w:bodyDiv w:val="1"/>
      <w:marLeft w:val="0"/>
      <w:marRight w:val="0"/>
      <w:marTop w:val="0"/>
      <w:marBottom w:val="0"/>
      <w:divBdr>
        <w:top w:val="none" w:sz="0" w:space="0" w:color="auto"/>
        <w:left w:val="none" w:sz="0" w:space="0" w:color="auto"/>
        <w:bottom w:val="none" w:sz="0" w:space="0" w:color="auto"/>
        <w:right w:val="none" w:sz="0" w:space="0" w:color="auto"/>
      </w:divBdr>
    </w:div>
    <w:div w:id="1777409639">
      <w:bodyDiv w:val="1"/>
      <w:marLeft w:val="0"/>
      <w:marRight w:val="0"/>
      <w:marTop w:val="0"/>
      <w:marBottom w:val="0"/>
      <w:divBdr>
        <w:top w:val="none" w:sz="0" w:space="0" w:color="auto"/>
        <w:left w:val="none" w:sz="0" w:space="0" w:color="auto"/>
        <w:bottom w:val="none" w:sz="0" w:space="0" w:color="auto"/>
        <w:right w:val="none" w:sz="0" w:space="0" w:color="auto"/>
      </w:divBdr>
    </w:div>
    <w:div w:id="1975400679">
      <w:bodyDiv w:val="1"/>
      <w:marLeft w:val="0"/>
      <w:marRight w:val="0"/>
      <w:marTop w:val="0"/>
      <w:marBottom w:val="0"/>
      <w:divBdr>
        <w:top w:val="none" w:sz="0" w:space="0" w:color="auto"/>
        <w:left w:val="none" w:sz="0" w:space="0" w:color="auto"/>
        <w:bottom w:val="none" w:sz="0" w:space="0" w:color="auto"/>
        <w:right w:val="none" w:sz="0" w:space="0" w:color="auto"/>
      </w:divBdr>
    </w:div>
    <w:div w:id="1990330679">
      <w:bodyDiv w:val="1"/>
      <w:marLeft w:val="0"/>
      <w:marRight w:val="0"/>
      <w:marTop w:val="0"/>
      <w:marBottom w:val="0"/>
      <w:divBdr>
        <w:top w:val="none" w:sz="0" w:space="0" w:color="auto"/>
        <w:left w:val="none" w:sz="0" w:space="0" w:color="auto"/>
        <w:bottom w:val="none" w:sz="0" w:space="0" w:color="auto"/>
        <w:right w:val="none" w:sz="0" w:space="0" w:color="auto"/>
      </w:divBdr>
    </w:div>
    <w:div w:id="2035887656">
      <w:bodyDiv w:val="1"/>
      <w:marLeft w:val="0"/>
      <w:marRight w:val="0"/>
      <w:marTop w:val="0"/>
      <w:marBottom w:val="0"/>
      <w:divBdr>
        <w:top w:val="none" w:sz="0" w:space="0" w:color="auto"/>
        <w:left w:val="none" w:sz="0" w:space="0" w:color="auto"/>
        <w:bottom w:val="none" w:sz="0" w:space="0" w:color="auto"/>
        <w:right w:val="none" w:sz="0" w:space="0" w:color="auto"/>
      </w:divBdr>
    </w:div>
    <w:div w:id="2132435136">
      <w:bodyDiv w:val="1"/>
      <w:marLeft w:val="0"/>
      <w:marRight w:val="0"/>
      <w:marTop w:val="0"/>
      <w:marBottom w:val="0"/>
      <w:divBdr>
        <w:top w:val="none" w:sz="0" w:space="0" w:color="auto"/>
        <w:left w:val="none" w:sz="0" w:space="0" w:color="auto"/>
        <w:bottom w:val="none" w:sz="0" w:space="0" w:color="auto"/>
        <w:right w:val="none" w:sz="0" w:space="0" w:color="auto"/>
      </w:divBdr>
    </w:div>
    <w:div w:id="213486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90C46-46B1-4740-8A16-B18CD7C85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5</Pages>
  <Words>1324</Words>
  <Characters>7548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Tu</dc:creator>
  <cp:keywords/>
  <dc:description/>
  <cp:lastModifiedBy>Selvam Chellamuthu</cp:lastModifiedBy>
  <cp:revision>49</cp:revision>
  <cp:lastPrinted>2025-06-16T03:41:00Z</cp:lastPrinted>
  <dcterms:created xsi:type="dcterms:W3CDTF">2025-11-14T03:17:00Z</dcterms:created>
  <dcterms:modified xsi:type="dcterms:W3CDTF">2025-11-27T21:59:00Z</dcterms:modified>
</cp:coreProperties>
</file>