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C2EB5" w14:textId="63DB18B5" w:rsidR="006B5CC0" w:rsidRPr="00F45FAA" w:rsidRDefault="006B5CC0" w:rsidP="009058A4">
      <w:pPr>
        <w:pStyle w:val="EndNoteCategoryHeading"/>
        <w:spacing w:line="480" w:lineRule="auto"/>
        <w:rPr>
          <w:bCs/>
        </w:rPr>
      </w:pPr>
      <w:r w:rsidRPr="00F45FAA">
        <w:rPr>
          <w:bCs/>
        </w:rPr>
        <w:t>Supplement</w:t>
      </w:r>
      <w:r w:rsidR="00A15FC5" w:rsidRPr="00F45FAA">
        <w:rPr>
          <w:bCs/>
        </w:rPr>
        <w:t xml:space="preserve"> </w:t>
      </w:r>
      <w:r w:rsidRPr="00F45FAA">
        <w:rPr>
          <w:bCs/>
        </w:rPr>
        <w:t>Table</w:t>
      </w:r>
      <w:r w:rsidR="00552D7B">
        <w:rPr>
          <w:bCs/>
        </w:rPr>
        <w:t>s and F</w:t>
      </w:r>
      <w:r w:rsidRPr="00F45FAA">
        <w:rPr>
          <w:bCs/>
        </w:rPr>
        <w:t>igures</w:t>
      </w:r>
    </w:p>
    <w:p w14:paraId="2005ADDD" w14:textId="3EE71FF9" w:rsidR="005626F4" w:rsidRPr="00F45FAA" w:rsidRDefault="005626F4" w:rsidP="005626F4">
      <w:pPr>
        <w:pStyle w:val="EndNoteCategoryHeading"/>
        <w:spacing w:line="480" w:lineRule="auto"/>
        <w:rPr>
          <w:b w:val="0"/>
        </w:rPr>
      </w:pPr>
      <w:r w:rsidRPr="00F45FAA">
        <w:rPr>
          <w:bCs/>
        </w:rPr>
        <w:t xml:space="preserve">Table S1 </w:t>
      </w:r>
      <w:r w:rsidRPr="00F45FAA">
        <w:rPr>
          <w:b w:val="0"/>
        </w:rPr>
        <w:t>Patient’s radiotherapy treatment characteristics</w:t>
      </w:r>
    </w:p>
    <w:p w14:paraId="781E468A"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Patients</w:t>
      </w:r>
      <w:r w:rsidRPr="00F45FAA">
        <w:rPr>
          <w:lang w:val="en-US"/>
        </w:rPr>
        <w:tab/>
        <w:t>Tumor</w:t>
      </w:r>
      <w:r w:rsidRPr="00F45FAA">
        <w:rPr>
          <w:lang w:val="en-US"/>
        </w:rPr>
        <w:tab/>
        <w:t>Radiotherapy (based on PVT)</w:t>
      </w:r>
      <w:r w:rsidRPr="00F45FAA">
        <w:rPr>
          <w:lang w:val="en-US"/>
        </w:rPr>
        <w:tab/>
      </w:r>
      <w:r w:rsidRPr="00F45FAA">
        <w:rPr>
          <w:lang w:val="en-US"/>
        </w:rPr>
        <w:tab/>
        <w:t>Chemotherapy</w:t>
      </w:r>
    </w:p>
    <w:p w14:paraId="3C8525B4" w14:textId="0AA47FB1"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ab/>
        <w:t xml:space="preserve">PTV / </w:t>
      </w:r>
      <w:r w:rsidR="00317552" w:rsidRPr="00F45FAA">
        <w:rPr>
          <w:lang w:val="en-US"/>
        </w:rPr>
        <w:t>ENIV</w:t>
      </w:r>
      <w:r w:rsidRPr="00F45FAA">
        <w:rPr>
          <w:lang w:val="en-US"/>
        </w:rPr>
        <w:tab/>
        <w:t>PT (Gy)</w:t>
      </w:r>
      <w:r w:rsidRPr="00F45FAA">
        <w:rPr>
          <w:lang w:val="en-US"/>
        </w:rPr>
        <w:tab/>
        <w:t>LN (Gy)</w:t>
      </w:r>
      <w:r w:rsidRPr="00F45FAA">
        <w:rPr>
          <w:lang w:val="en-US"/>
        </w:rPr>
        <w:tab/>
      </w:r>
      <w:r w:rsidR="00317552" w:rsidRPr="00F45FAA">
        <w:rPr>
          <w:lang w:val="en-US"/>
        </w:rPr>
        <w:t>ENIV (Gy)</w:t>
      </w:r>
    </w:p>
    <w:p w14:paraId="5B0430BF"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noProof/>
          <w:lang w:val="en-US"/>
          <w14:ligatures w14:val="standardContextual"/>
        </w:rPr>
        <mc:AlternateContent>
          <mc:Choice Requires="wps">
            <w:drawing>
              <wp:anchor distT="0" distB="0" distL="114300" distR="114300" simplePos="0" relativeHeight="251662336" behindDoc="0" locked="0" layoutInCell="1" allowOverlap="1" wp14:anchorId="38473E9D" wp14:editId="0D23E35F">
                <wp:simplePos x="0" y="0"/>
                <wp:positionH relativeFrom="column">
                  <wp:posOffset>-5715</wp:posOffset>
                </wp:positionH>
                <wp:positionV relativeFrom="paragraph">
                  <wp:posOffset>177800</wp:posOffset>
                </wp:positionV>
                <wp:extent cx="5762625" cy="0"/>
                <wp:effectExtent l="0" t="0" r="0" b="0"/>
                <wp:wrapNone/>
                <wp:docPr id="502485435" name="Gerader Verbinder 1"/>
                <wp:cNvGraphicFramePr/>
                <a:graphic xmlns:a="http://schemas.openxmlformats.org/drawingml/2006/main">
                  <a:graphicData uri="http://schemas.microsoft.com/office/word/2010/wordprocessingShape">
                    <wps:wsp>
                      <wps:cNvCnPr/>
                      <wps:spPr>
                        <a:xfrm>
                          <a:off x="0" y="0"/>
                          <a:ext cx="5762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1AB9F8C9" id="Gerader Verbinde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4pt" to="45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" strokecolor="black [3213]" strokeweight="1pt">
                <v:stroke joinstyle="miter"/>
              </v:line>
            </w:pict>
          </mc:Fallback>
        </mc:AlternateContent>
      </w:r>
      <w:r w:rsidRPr="00F45FAA">
        <w:rPr>
          <w:lang w:val="en-US"/>
        </w:rPr>
        <w:tab/>
        <w:t>(ml)</w:t>
      </w:r>
      <w:r w:rsidRPr="00F45FAA">
        <w:rPr>
          <w:lang w:val="en-US"/>
        </w:rPr>
        <w:tab/>
        <w:t>tD / sD</w:t>
      </w:r>
      <w:r w:rsidRPr="00F45FAA">
        <w:rPr>
          <w:lang w:val="en-US"/>
        </w:rPr>
        <w:tab/>
        <w:t>tD / sD</w:t>
      </w:r>
      <w:r w:rsidRPr="00F45FAA">
        <w:rPr>
          <w:lang w:val="en-US"/>
        </w:rPr>
        <w:tab/>
        <w:t>tD / sD</w:t>
      </w:r>
    </w:p>
    <w:p w14:paraId="4ACEFEBB"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B-001</w:t>
      </w:r>
      <w:r w:rsidRPr="00F45FAA">
        <w:rPr>
          <w:lang w:val="en-US"/>
        </w:rPr>
        <w:tab/>
        <w:t>91.5 / 1013.7</w:t>
      </w:r>
      <w:r w:rsidRPr="00F45FAA">
        <w:rPr>
          <w:lang w:val="en-US"/>
        </w:rPr>
        <w:tab/>
        <w:t>63.00 / 2.10</w:t>
      </w:r>
      <w:r w:rsidRPr="00F45FAA">
        <w:rPr>
          <w:lang w:val="en-US"/>
        </w:rPr>
        <w:tab/>
        <w:t>60.0 0/ 2.00</w:t>
      </w:r>
      <w:r w:rsidRPr="00F45FAA">
        <w:rPr>
          <w:lang w:val="en-US"/>
        </w:rPr>
        <w:tab/>
        <w:t>51.00 / 1.70</w:t>
      </w:r>
      <w:r w:rsidRPr="00F45FAA">
        <w:rPr>
          <w:lang w:val="en-US"/>
        </w:rPr>
        <w:tab/>
        <w:t>CiP / Vino</w:t>
      </w:r>
    </w:p>
    <w:p w14:paraId="020F22A1"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B-002</w:t>
      </w:r>
      <w:r w:rsidRPr="00F45FAA">
        <w:rPr>
          <w:lang w:val="en-US"/>
        </w:rPr>
        <w:tab/>
        <w:t>419.8 / 1102.7</w:t>
      </w:r>
      <w:r w:rsidRPr="00F45FAA">
        <w:rPr>
          <w:lang w:val="en-US"/>
        </w:rPr>
        <w:tab/>
        <w:t>63.00 / 2.10</w:t>
      </w:r>
      <w:r w:rsidRPr="00F45FAA">
        <w:rPr>
          <w:lang w:val="en-US"/>
        </w:rPr>
        <w:tab/>
        <w:t>63.00 / 2.10</w:t>
      </w:r>
      <w:r w:rsidRPr="00F45FAA">
        <w:rPr>
          <w:lang w:val="en-US"/>
        </w:rPr>
        <w:tab/>
        <w:t>51.00 / 1.70</w:t>
      </w:r>
      <w:r w:rsidRPr="00F45FAA">
        <w:rPr>
          <w:lang w:val="en-US"/>
        </w:rPr>
        <w:tab/>
        <w:t>CiP / Ptx</w:t>
      </w:r>
    </w:p>
    <w:p w14:paraId="19B03409"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B-003</w:t>
      </w:r>
      <w:r w:rsidRPr="00F45FAA">
        <w:rPr>
          <w:lang w:val="en-US"/>
        </w:rPr>
        <w:tab/>
        <w:t>281.5 / 581.2</w:t>
      </w:r>
      <w:r w:rsidRPr="00F45FAA">
        <w:rPr>
          <w:lang w:val="en-US"/>
        </w:rPr>
        <w:tab/>
        <w:t>63.00 / 2.10</w:t>
      </w:r>
      <w:r w:rsidRPr="00F45FAA">
        <w:rPr>
          <w:lang w:val="en-US"/>
        </w:rPr>
        <w:tab/>
        <w:t>63.00 / 2.10</w:t>
      </w:r>
      <w:r w:rsidRPr="00F45FAA">
        <w:rPr>
          <w:lang w:val="en-US"/>
        </w:rPr>
        <w:tab/>
        <w:t>51.00 / 1.70</w:t>
      </w:r>
      <w:r w:rsidRPr="00F45FAA">
        <w:rPr>
          <w:lang w:val="en-US"/>
        </w:rPr>
        <w:tab/>
        <w:t>CbP / Vino</w:t>
      </w:r>
    </w:p>
    <w:p w14:paraId="17C903EF"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B-004</w:t>
      </w:r>
      <w:r w:rsidRPr="00F45FAA">
        <w:rPr>
          <w:lang w:val="en-US"/>
        </w:rPr>
        <w:tab/>
        <w:t>114.5 / 889.2</w:t>
      </w:r>
      <w:r w:rsidRPr="00F45FAA">
        <w:rPr>
          <w:lang w:val="en-US"/>
        </w:rPr>
        <w:tab/>
        <w:t>60.20 / 2.15</w:t>
      </w:r>
      <w:r w:rsidRPr="00F45FAA">
        <w:rPr>
          <w:lang w:val="en-US"/>
        </w:rPr>
        <w:tab/>
        <w:t>56.00 / 2.00</w:t>
      </w:r>
      <w:r w:rsidRPr="00F45FAA">
        <w:rPr>
          <w:lang w:val="en-US"/>
        </w:rPr>
        <w:tab/>
        <w:t>47.60 / 1.70</w:t>
      </w:r>
      <w:r w:rsidRPr="00F45FAA">
        <w:rPr>
          <w:lang w:val="en-US"/>
        </w:rPr>
        <w:tab/>
        <w:t>CiP / Ptx</w:t>
      </w:r>
    </w:p>
    <w:p w14:paraId="15A896F5"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B-005</w:t>
      </w:r>
      <w:r w:rsidRPr="00F45FAA">
        <w:rPr>
          <w:lang w:val="en-US"/>
        </w:rPr>
        <w:tab/>
        <w:t>401.4 / 1189.2</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7FB3F224"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B-006</w:t>
      </w:r>
      <w:r w:rsidRPr="00F45FAA">
        <w:rPr>
          <w:lang w:val="en-US"/>
        </w:rPr>
        <w:tab/>
        <w:t>296.9 / 561.4</w:t>
      </w:r>
      <w:r w:rsidRPr="00F45FAA">
        <w:rPr>
          <w:lang w:val="en-US"/>
        </w:rPr>
        <w:tab/>
        <w:t>48.00 / 3.00</w:t>
      </w:r>
      <w:r w:rsidRPr="00F45FAA">
        <w:rPr>
          <w:lang w:val="en-US"/>
        </w:rPr>
        <w:tab/>
        <w:t>–––</w:t>
      </w:r>
      <w:r w:rsidRPr="00F45FAA">
        <w:rPr>
          <w:lang w:val="en-US"/>
        </w:rPr>
        <w:tab/>
        <w:t>40.00 / 2.50</w:t>
      </w:r>
      <w:r w:rsidRPr="00F45FAA">
        <w:rPr>
          <w:lang w:val="en-US"/>
        </w:rPr>
        <w:tab/>
        <w:t>–––</w:t>
      </w:r>
    </w:p>
    <w:p w14:paraId="355D57AC"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B-007</w:t>
      </w:r>
      <w:r w:rsidRPr="00F45FAA">
        <w:rPr>
          <w:lang w:val="en-US"/>
        </w:rPr>
        <w:tab/>
        <w:t>59.0 / 433.6</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58F9406B"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B-009</w:t>
      </w:r>
      <w:r w:rsidRPr="00F45FAA">
        <w:rPr>
          <w:lang w:val="en-US"/>
        </w:rPr>
        <w:tab/>
        <w:t>166.4 / 533.9</w:t>
      </w:r>
      <w:r w:rsidRPr="00F45FAA">
        <w:rPr>
          <w:lang w:val="en-US"/>
        </w:rPr>
        <w:tab/>
        <w:t>63.60 / 2.12</w:t>
      </w:r>
      <w:r w:rsidRPr="00F45FAA">
        <w:rPr>
          <w:lang w:val="en-US"/>
        </w:rPr>
        <w:tab/>
        <w:t>60.00 / 2.00</w:t>
      </w:r>
      <w:r w:rsidRPr="00F45FAA">
        <w:rPr>
          <w:lang w:val="en-US"/>
        </w:rPr>
        <w:tab/>
        <w:t>51.00 / 1.70</w:t>
      </w:r>
      <w:r w:rsidRPr="00F45FAA">
        <w:rPr>
          <w:lang w:val="en-US"/>
        </w:rPr>
        <w:tab/>
        <w:t>CbP / Ptx</w:t>
      </w:r>
    </w:p>
    <w:p w14:paraId="6D292807"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B-010</w:t>
      </w:r>
      <w:r w:rsidRPr="00F45FAA">
        <w:rPr>
          <w:lang w:val="en-US"/>
        </w:rPr>
        <w:tab/>
        <w:t>196.4 / 585.4</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5EF1889B"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B-011</w:t>
      </w:r>
      <w:r w:rsidRPr="00F45FAA">
        <w:rPr>
          <w:lang w:val="en-US"/>
        </w:rPr>
        <w:tab/>
        <w:t>95.4 / 895.5</w:t>
      </w:r>
      <w:r w:rsidRPr="00F45FAA">
        <w:rPr>
          <w:lang w:val="en-US"/>
        </w:rPr>
        <w:tab/>
        <w:t>63.60 / 2.12</w:t>
      </w:r>
      <w:r w:rsidRPr="00F45FAA">
        <w:rPr>
          <w:lang w:val="en-US"/>
        </w:rPr>
        <w:tab/>
        <w:t>60.00 / 2.00</w:t>
      </w:r>
      <w:r w:rsidRPr="00F45FAA">
        <w:rPr>
          <w:lang w:val="en-US"/>
        </w:rPr>
        <w:tab/>
        <w:t>51.00 / 1.70</w:t>
      </w:r>
      <w:r w:rsidRPr="00F45FAA">
        <w:rPr>
          <w:lang w:val="en-US"/>
        </w:rPr>
        <w:tab/>
        <w:t>CbP / Vino</w:t>
      </w:r>
    </w:p>
    <w:p w14:paraId="73128A15"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B-012</w:t>
      </w:r>
      <w:r w:rsidRPr="00F45FAA">
        <w:rPr>
          <w:lang w:val="en-US"/>
        </w:rPr>
        <w:tab/>
        <w:t>14.1 / 485.6</w:t>
      </w:r>
      <w:r w:rsidRPr="00F45FAA">
        <w:rPr>
          <w:lang w:val="en-US"/>
        </w:rPr>
        <w:tab/>
        <w:t>48.00 / 3.00</w:t>
      </w:r>
      <w:r w:rsidRPr="00F45FAA">
        <w:rPr>
          <w:lang w:val="en-US"/>
        </w:rPr>
        <w:tab/>
        <w:t>–––</w:t>
      </w:r>
      <w:r w:rsidRPr="00F45FAA">
        <w:rPr>
          <w:lang w:val="en-US"/>
        </w:rPr>
        <w:tab/>
        <w:t>40.00 / 2.50</w:t>
      </w:r>
      <w:r w:rsidRPr="00F45FAA">
        <w:rPr>
          <w:lang w:val="en-US"/>
        </w:rPr>
        <w:tab/>
        <w:t>–––</w:t>
      </w:r>
    </w:p>
    <w:p w14:paraId="2948376C"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B-013</w:t>
      </w:r>
      <w:r w:rsidRPr="00F45FAA">
        <w:rPr>
          <w:lang w:val="en-US"/>
        </w:rPr>
        <w:tab/>
        <w:t>563.9 / 1217.5</w:t>
      </w:r>
      <w:r w:rsidRPr="00F45FAA">
        <w:rPr>
          <w:lang w:val="en-US"/>
        </w:rPr>
        <w:tab/>
        <w:t>63.00 / 2.10</w:t>
      </w:r>
      <w:r w:rsidRPr="00F45FAA">
        <w:rPr>
          <w:lang w:val="en-US"/>
        </w:rPr>
        <w:tab/>
        <w:t>60.0 0/ 2.00</w:t>
      </w:r>
      <w:r w:rsidRPr="00F45FAA">
        <w:rPr>
          <w:lang w:val="en-US"/>
        </w:rPr>
        <w:tab/>
        <w:t>51.00 / 1.70</w:t>
      </w:r>
      <w:r w:rsidRPr="00F45FAA">
        <w:rPr>
          <w:lang w:val="en-US"/>
        </w:rPr>
        <w:tab/>
        <w:t>CiP / Ptx</w:t>
      </w:r>
    </w:p>
    <w:p w14:paraId="5283045F" w14:textId="6220D6A5"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B-014</w:t>
      </w:r>
      <w:r w:rsidRPr="00F45FAA">
        <w:rPr>
          <w:lang w:val="en-US"/>
        </w:rPr>
        <w:tab/>
        <w:t>82.9 / 622.3</w:t>
      </w:r>
      <w:r w:rsidRPr="00F45FAA">
        <w:rPr>
          <w:lang w:val="en-US"/>
        </w:rPr>
        <w:tab/>
      </w:r>
      <w:r w:rsidR="0075436B" w:rsidRPr="00F45FAA">
        <w:rPr>
          <w:lang w:val="en-US"/>
        </w:rPr>
        <w:t>61.60 / 2.20</w:t>
      </w:r>
      <w:r w:rsidR="0075436B" w:rsidRPr="00F45FAA">
        <w:rPr>
          <w:lang w:val="en-US"/>
        </w:rPr>
        <w:tab/>
        <w:t>61.60 / 2.20</w:t>
      </w:r>
      <w:r w:rsidR="0075436B" w:rsidRPr="00F45FAA">
        <w:rPr>
          <w:lang w:val="en-US"/>
        </w:rPr>
        <w:tab/>
        <w:t>50.40 / 1.80</w:t>
      </w:r>
      <w:r w:rsidRPr="00F45FAA">
        <w:rPr>
          <w:lang w:val="en-US"/>
        </w:rPr>
        <w:tab/>
        <w:t>CiP / Vino</w:t>
      </w:r>
    </w:p>
    <w:p w14:paraId="074B9E10"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B-016</w:t>
      </w:r>
      <w:r w:rsidRPr="00F45FAA">
        <w:rPr>
          <w:lang w:val="en-US"/>
        </w:rPr>
        <w:tab/>
        <w:t>27.2 / 867.4</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7AFB6E5A" w14:textId="1C0FCB7C"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B-017</w:t>
      </w:r>
      <w:r w:rsidRPr="00F45FAA">
        <w:rPr>
          <w:lang w:val="en-US"/>
        </w:rPr>
        <w:tab/>
        <w:t>43.9 / 494.8</w:t>
      </w:r>
      <w:r w:rsidRPr="00F45FAA">
        <w:rPr>
          <w:lang w:val="en-US"/>
        </w:rPr>
        <w:tab/>
      </w:r>
      <w:r w:rsidR="0075436B" w:rsidRPr="00F45FAA">
        <w:rPr>
          <w:lang w:val="en-US"/>
        </w:rPr>
        <w:t>64.48 / 2.08</w:t>
      </w:r>
      <w:r w:rsidR="0075436B" w:rsidRPr="00F45FAA">
        <w:rPr>
          <w:lang w:val="en-US"/>
        </w:rPr>
        <w:tab/>
        <w:t>62.00 / 2.00</w:t>
      </w:r>
      <w:r w:rsidR="0075436B" w:rsidRPr="00F45FAA">
        <w:rPr>
          <w:lang w:val="en-US"/>
        </w:rPr>
        <w:tab/>
        <w:t>52.70 / 1.70</w:t>
      </w:r>
      <w:r w:rsidRPr="00F45FAA">
        <w:rPr>
          <w:lang w:val="en-US"/>
        </w:rPr>
        <w:tab/>
      </w:r>
      <w:r w:rsidRPr="00F45FAA">
        <w:rPr>
          <w:lang w:val="en-US"/>
        </w:rPr>
        <w:tab/>
        <w:t>CiP / Ptx</w:t>
      </w:r>
    </w:p>
    <w:p w14:paraId="1AC568C9"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B-019</w:t>
      </w:r>
      <w:r w:rsidRPr="00F45FAA">
        <w:rPr>
          <w:lang w:val="en-US"/>
        </w:rPr>
        <w:tab/>
        <w:t>135.6 / 495.8</w:t>
      </w:r>
      <w:r w:rsidRPr="00F45FAA">
        <w:rPr>
          <w:lang w:val="en-US"/>
        </w:rPr>
        <w:tab/>
        <w:t>63.60 / 2.12</w:t>
      </w:r>
      <w:r w:rsidRPr="00F45FAA">
        <w:rPr>
          <w:lang w:val="en-US"/>
        </w:rPr>
        <w:tab/>
        <w:t>60.00 / 2.00</w:t>
      </w:r>
      <w:r w:rsidRPr="00F45FAA">
        <w:rPr>
          <w:lang w:val="en-US"/>
        </w:rPr>
        <w:tab/>
        <w:t>51.00 / 1.70</w:t>
      </w:r>
      <w:r w:rsidRPr="00F45FAA">
        <w:rPr>
          <w:lang w:val="en-US"/>
        </w:rPr>
        <w:tab/>
        <w:t>CbP / Vino</w:t>
      </w:r>
    </w:p>
    <w:p w14:paraId="2251A4B0"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B-021</w:t>
      </w:r>
      <w:r w:rsidRPr="00F45FAA">
        <w:rPr>
          <w:lang w:val="en-US"/>
        </w:rPr>
        <w:tab/>
        <w:t>191.8 / 620.8</w:t>
      </w:r>
      <w:r w:rsidRPr="00F45FAA">
        <w:rPr>
          <w:lang w:val="en-US"/>
        </w:rPr>
        <w:tab/>
        <w:t>63.60 / 2.12</w:t>
      </w:r>
      <w:r w:rsidRPr="00F45FAA">
        <w:rPr>
          <w:lang w:val="en-US"/>
        </w:rPr>
        <w:tab/>
        <w:t>60.00 / 2.00</w:t>
      </w:r>
      <w:r w:rsidRPr="00F45FAA">
        <w:rPr>
          <w:lang w:val="en-US"/>
        </w:rPr>
        <w:tab/>
        <w:t>51.00 / 1.70</w:t>
      </w:r>
      <w:r w:rsidRPr="00F45FAA">
        <w:rPr>
          <w:lang w:val="en-US"/>
        </w:rPr>
        <w:tab/>
        <w:t>CiP / Ptx</w:t>
      </w:r>
    </w:p>
    <w:p w14:paraId="3127BA39"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B-022</w:t>
      </w:r>
      <w:r w:rsidRPr="00F45FAA">
        <w:rPr>
          <w:lang w:val="en-US"/>
        </w:rPr>
        <w:tab/>
        <w:t>120.9 / 437.4</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5C1FDEB8" w14:textId="45363A84"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B-023</w:t>
      </w:r>
      <w:r w:rsidRPr="00F45FAA">
        <w:rPr>
          <w:lang w:val="en-US"/>
        </w:rPr>
        <w:tab/>
        <w:t>1444.8 / 2293.2</w:t>
      </w:r>
      <w:r w:rsidRPr="00F45FAA">
        <w:rPr>
          <w:lang w:val="en-US"/>
        </w:rPr>
        <w:tab/>
      </w:r>
      <w:r w:rsidR="0075436B" w:rsidRPr="00F45FAA">
        <w:rPr>
          <w:lang w:val="en-US"/>
        </w:rPr>
        <w:t>63.60 / 2.12</w:t>
      </w:r>
      <w:r w:rsidR="0075436B" w:rsidRPr="00F45FAA">
        <w:rPr>
          <w:lang w:val="en-US"/>
        </w:rPr>
        <w:tab/>
        <w:t>60.00 / 2.00</w:t>
      </w:r>
      <w:r w:rsidR="0075436B" w:rsidRPr="00F45FAA">
        <w:rPr>
          <w:lang w:val="en-US"/>
        </w:rPr>
        <w:tab/>
        <w:t>51.00 / 1.70</w:t>
      </w:r>
      <w:r w:rsidRPr="00F45FAA">
        <w:rPr>
          <w:lang w:val="en-US"/>
        </w:rPr>
        <w:tab/>
      </w:r>
      <w:r w:rsidRPr="00F45FAA">
        <w:rPr>
          <w:lang w:val="en-US"/>
        </w:rPr>
        <w:tab/>
        <w:t>CiP / Vino</w:t>
      </w:r>
    </w:p>
    <w:p w14:paraId="4DB013A8"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r w:rsidRPr="00F45FAA">
        <w:rPr>
          <w:lang w:val="en-US"/>
        </w:rPr>
        <w:t>B-024</w:t>
      </w:r>
      <w:r w:rsidRPr="00F45FAA">
        <w:rPr>
          <w:lang w:val="en-US"/>
        </w:rPr>
        <w:tab/>
        <w:t>116.4 / 683.0</w:t>
      </w:r>
      <w:r w:rsidRPr="00F45FAA">
        <w:rPr>
          <w:lang w:val="en-US"/>
        </w:rPr>
        <w:tab/>
        <w:t>63.60 / 2.12</w:t>
      </w:r>
      <w:r w:rsidRPr="00F45FAA">
        <w:rPr>
          <w:lang w:val="en-US"/>
        </w:rPr>
        <w:tab/>
        <w:t>60.00 / 2.00</w:t>
      </w:r>
      <w:r w:rsidRPr="00F45FAA">
        <w:rPr>
          <w:lang w:val="en-US"/>
        </w:rPr>
        <w:tab/>
        <w:t>51.00 / 1.70</w:t>
      </w:r>
      <w:r w:rsidRPr="00F45FAA">
        <w:rPr>
          <w:lang w:val="en-US"/>
        </w:rPr>
        <w:tab/>
        <w:t>CiP / Vino</w:t>
      </w:r>
    </w:p>
    <w:p w14:paraId="76EEF390" w14:textId="77777777" w:rsidR="005626F4" w:rsidRPr="00F45FAA" w:rsidRDefault="005626F4" w:rsidP="005626F4">
      <w:pPr>
        <w:pStyle w:val="KeinLeerraum"/>
        <w:tabs>
          <w:tab w:val="left" w:pos="993"/>
          <w:tab w:val="left" w:pos="2694"/>
          <w:tab w:val="left" w:pos="4395"/>
          <w:tab w:val="left" w:pos="6096"/>
          <w:tab w:val="left" w:pos="7655"/>
        </w:tabs>
        <w:spacing w:line="276" w:lineRule="auto"/>
        <w:rPr>
          <w:lang w:val="en-US"/>
        </w:rPr>
      </w:pPr>
    </w:p>
    <w:p w14:paraId="42C5FE95" w14:textId="771A2DB7" w:rsidR="005626F4" w:rsidRPr="00F45FAA" w:rsidRDefault="005626F4" w:rsidP="005626F4">
      <w:pPr>
        <w:pStyle w:val="KeinLeerraum"/>
        <w:spacing w:line="276" w:lineRule="auto"/>
        <w:rPr>
          <w:lang w:val="en-US"/>
        </w:rPr>
      </w:pPr>
      <w:r w:rsidRPr="00F45FAA">
        <w:rPr>
          <w:lang w:val="en-US"/>
        </w:rPr>
        <w:t xml:space="preserve">Planning tumor volume (PTV), </w:t>
      </w:r>
      <w:r w:rsidR="00317552" w:rsidRPr="00F45FAA">
        <w:rPr>
          <w:lang w:val="en-US"/>
        </w:rPr>
        <w:t>(elective nodal irradiation volume ENIV)</w:t>
      </w:r>
      <w:r w:rsidRPr="00F45FAA">
        <w:rPr>
          <w:lang w:val="en-US"/>
        </w:rPr>
        <w:t>, lymph nodes metastases (LN), single integrated boost (SIB),</w:t>
      </w:r>
    </w:p>
    <w:p w14:paraId="40C46DC0" w14:textId="77777777" w:rsidR="005626F4" w:rsidRPr="00F45FAA" w:rsidRDefault="005626F4" w:rsidP="005626F4">
      <w:pPr>
        <w:pStyle w:val="KeinLeerraum"/>
        <w:spacing w:line="276" w:lineRule="auto"/>
        <w:rPr>
          <w:lang w:val="en-US"/>
        </w:rPr>
      </w:pPr>
      <w:r w:rsidRPr="00F45FAA">
        <w:rPr>
          <w:lang w:val="en-US"/>
        </w:rPr>
        <w:t>Total dose (tD), single dose per fraction (sD), organ at risk (OAR)</w:t>
      </w:r>
    </w:p>
    <w:p w14:paraId="77ACBE74" w14:textId="6A9E2A17" w:rsidR="005626F4" w:rsidRPr="00F45FAA" w:rsidRDefault="005626F4" w:rsidP="002F2FAA">
      <w:pPr>
        <w:pStyle w:val="KeinLeerraum"/>
        <w:spacing w:line="276" w:lineRule="auto"/>
        <w:rPr>
          <w:lang w:val="en-US"/>
        </w:rPr>
      </w:pPr>
      <w:r w:rsidRPr="00F45FAA">
        <w:rPr>
          <w:lang w:val="en-US"/>
        </w:rPr>
        <w:t>Carboplatin (CbP), Cisplatin (CiP), Pemetrexed (Ptx), Vinorelbin (Vino)</w:t>
      </w:r>
    </w:p>
    <w:p w14:paraId="74425708" w14:textId="77777777" w:rsidR="005626F4" w:rsidRPr="00F45FAA" w:rsidRDefault="005626F4" w:rsidP="009058A4">
      <w:pPr>
        <w:pStyle w:val="EndNoteCategoryHeading"/>
        <w:spacing w:line="480" w:lineRule="auto"/>
        <w:rPr>
          <w:bCs/>
        </w:rPr>
        <w:sectPr w:rsidR="005626F4" w:rsidRPr="00F45FAA" w:rsidSect="00552D7B">
          <w:footerReference w:type="default" r:id="rId6"/>
          <w:pgSz w:w="16838" w:h="11906" w:orient="landscape"/>
          <w:pgMar w:top="709" w:right="1417" w:bottom="1417" w:left="1560" w:header="708" w:footer="708" w:gutter="0"/>
          <w:cols w:space="708"/>
          <w:docGrid w:linePitch="360"/>
        </w:sectPr>
      </w:pPr>
    </w:p>
    <w:p w14:paraId="2075B865" w14:textId="394AEC5A" w:rsidR="00375A8D" w:rsidRPr="00F45FAA" w:rsidRDefault="00375A8D" w:rsidP="009058A4">
      <w:pPr>
        <w:pStyle w:val="EndNoteCategoryHeading"/>
        <w:spacing w:line="480" w:lineRule="auto"/>
        <w:rPr>
          <w:b w:val="0"/>
        </w:rPr>
      </w:pPr>
      <w:r w:rsidRPr="00F45FAA">
        <w:rPr>
          <w:bCs/>
        </w:rPr>
        <w:lastRenderedPageBreak/>
        <w:t>Tab. S</w:t>
      </w:r>
      <w:r w:rsidR="00622F34" w:rsidRPr="00F45FAA">
        <w:rPr>
          <w:bCs/>
        </w:rPr>
        <w:t>2</w:t>
      </w:r>
      <w:r w:rsidRPr="00F45FAA">
        <w:rPr>
          <w:bCs/>
        </w:rPr>
        <w:t xml:space="preserve"> </w:t>
      </w:r>
      <w:r w:rsidRPr="00F45FAA">
        <w:rPr>
          <w:b w:val="0"/>
        </w:rPr>
        <w:t>Specifications of antibodies used for identification of leukocyte subpopulations</w:t>
      </w:r>
    </w:p>
    <w:p w14:paraId="23EFC068" w14:textId="77777777" w:rsidR="00566F10" w:rsidRPr="00F45FAA" w:rsidRDefault="00566F10" w:rsidP="00566F10">
      <w:pPr>
        <w:pStyle w:val="StandardWeb"/>
        <w:spacing w:before="0" w:beforeAutospacing="0" w:after="0" w:afterAutospacing="0"/>
        <w:rPr>
          <w:lang w:val="en-US"/>
        </w:rPr>
      </w:pPr>
      <w:r w:rsidRPr="00F45FAA">
        <w:rPr>
          <w:rFonts w:ascii="Calibri" w:hAnsi="Calibri"/>
          <w:b/>
          <w:bCs/>
          <w:color w:val="000000"/>
          <w:kern w:val="24"/>
          <w:sz w:val="22"/>
          <w:szCs w:val="22"/>
          <w:lang w:val="en-US"/>
        </w:rPr>
        <w:t>Antibody Staining Panel (surface marker)</w:t>
      </w:r>
    </w:p>
    <w:p w14:paraId="3FB518EB"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u w:val="single"/>
          <w:lang w:val="en-US"/>
        </w:rPr>
        <w:t>Marker</w:t>
      </w:r>
      <w:r w:rsidRPr="00F45FAA">
        <w:rPr>
          <w:rFonts w:ascii="Calibri" w:hAnsi="Calibri"/>
          <w:color w:val="000000"/>
          <w:kern w:val="24"/>
          <w:sz w:val="22"/>
          <w:szCs w:val="22"/>
          <w:u w:val="single"/>
          <w:lang w:val="en-US"/>
        </w:rPr>
        <w:tab/>
      </w:r>
      <w:r w:rsidRPr="00F45FAA">
        <w:rPr>
          <w:rFonts w:ascii="Calibri" w:hAnsi="Calibri"/>
          <w:color w:val="000000"/>
          <w:kern w:val="24"/>
          <w:sz w:val="22"/>
          <w:szCs w:val="22"/>
          <w:u w:val="single"/>
          <w:lang w:val="en-US"/>
        </w:rPr>
        <w:tab/>
        <w:t>FL</w:t>
      </w:r>
      <w:r w:rsidRPr="00F45FAA">
        <w:rPr>
          <w:rFonts w:ascii="Calibri" w:hAnsi="Calibri"/>
          <w:color w:val="000000"/>
          <w:kern w:val="24"/>
          <w:sz w:val="22"/>
          <w:szCs w:val="22"/>
          <w:u w:val="single"/>
          <w:lang w:val="en-US"/>
        </w:rPr>
        <w:tab/>
      </w:r>
      <w:r w:rsidRPr="00F45FAA">
        <w:rPr>
          <w:rFonts w:ascii="Calibri" w:hAnsi="Calibri"/>
          <w:color w:val="000000"/>
          <w:kern w:val="24"/>
          <w:sz w:val="22"/>
          <w:szCs w:val="22"/>
          <w:u w:val="single"/>
          <w:lang w:val="en-US"/>
        </w:rPr>
        <w:tab/>
        <w:t>Clone</w:t>
      </w:r>
      <w:r w:rsidRPr="00F45FAA">
        <w:rPr>
          <w:rFonts w:ascii="Calibri" w:hAnsi="Calibri"/>
          <w:color w:val="000000"/>
          <w:kern w:val="24"/>
          <w:sz w:val="22"/>
          <w:szCs w:val="22"/>
          <w:u w:val="single"/>
          <w:lang w:val="en-US"/>
        </w:rPr>
        <w:tab/>
      </w:r>
      <w:r w:rsidRPr="00F45FAA">
        <w:rPr>
          <w:rFonts w:ascii="Calibri" w:hAnsi="Calibri"/>
          <w:color w:val="000000"/>
          <w:kern w:val="24"/>
          <w:sz w:val="22"/>
          <w:szCs w:val="22"/>
          <w:u w:val="single"/>
          <w:lang w:val="en-US"/>
        </w:rPr>
        <w:tab/>
        <w:t>Conc.</w:t>
      </w:r>
      <w:r w:rsidRPr="00F45FAA">
        <w:rPr>
          <w:rFonts w:ascii="Calibri" w:hAnsi="Calibri"/>
          <w:color w:val="000000"/>
          <w:kern w:val="24"/>
          <w:sz w:val="22"/>
          <w:szCs w:val="22"/>
          <w:u w:val="single"/>
          <w:lang w:val="en-US"/>
        </w:rPr>
        <w:tab/>
        <w:t>Vendor</w:t>
      </w:r>
      <w:r w:rsidRPr="00F45FAA">
        <w:rPr>
          <w:rFonts w:ascii="Calibri" w:hAnsi="Calibri"/>
          <w:color w:val="000000"/>
          <w:kern w:val="24"/>
          <w:sz w:val="22"/>
          <w:szCs w:val="22"/>
          <w:u w:val="single"/>
          <w:lang w:val="en-US"/>
        </w:rPr>
        <w:tab/>
      </w:r>
    </w:p>
    <w:p w14:paraId="2189BF9F"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CD3</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PerCP-Cy5.5</w:t>
      </w:r>
      <w:r w:rsidRPr="00F45FAA">
        <w:rPr>
          <w:rFonts w:ascii="Calibri" w:hAnsi="Calibri"/>
          <w:color w:val="000000"/>
          <w:kern w:val="24"/>
          <w:sz w:val="22"/>
          <w:szCs w:val="22"/>
          <w:lang w:val="en-US"/>
        </w:rPr>
        <w:tab/>
        <w:t>SK7</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1:33</w:t>
      </w:r>
      <w:r w:rsidRPr="00F45FAA">
        <w:rPr>
          <w:rFonts w:ascii="Calibri" w:hAnsi="Calibri"/>
          <w:color w:val="000000"/>
          <w:kern w:val="24"/>
          <w:sz w:val="22"/>
          <w:szCs w:val="22"/>
          <w:lang w:val="en-US"/>
        </w:rPr>
        <w:tab/>
        <w:t>eBioscience</w:t>
      </w:r>
    </w:p>
    <w:p w14:paraId="3C88FED8"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CD4</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APC-H7</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RPA-T4</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1:33</w:t>
      </w:r>
      <w:r w:rsidRPr="00F45FAA">
        <w:rPr>
          <w:rFonts w:ascii="Calibri" w:hAnsi="Calibri"/>
          <w:color w:val="000000"/>
          <w:kern w:val="24"/>
          <w:sz w:val="22"/>
          <w:szCs w:val="22"/>
          <w:lang w:val="en-US"/>
        </w:rPr>
        <w:tab/>
        <w:t>BD</w:t>
      </w:r>
    </w:p>
    <w:p w14:paraId="6EA57444" w14:textId="77777777" w:rsidR="00566F10" w:rsidRPr="00F45FAA" w:rsidRDefault="00566F10" w:rsidP="00566F10">
      <w:pPr>
        <w:pStyle w:val="StandardWeb"/>
        <w:spacing w:before="0" w:beforeAutospacing="0" w:after="0" w:afterAutospacing="0"/>
        <w:rPr>
          <w:rFonts w:ascii="Calibri" w:hAnsi="Calibri"/>
          <w:color w:val="000000"/>
          <w:kern w:val="24"/>
          <w:sz w:val="22"/>
          <w:szCs w:val="22"/>
        </w:rPr>
      </w:pPr>
      <w:r w:rsidRPr="00F45FAA">
        <w:rPr>
          <w:rFonts w:ascii="Calibri" w:hAnsi="Calibri"/>
          <w:color w:val="000000"/>
          <w:kern w:val="24"/>
          <w:sz w:val="22"/>
          <w:szCs w:val="22"/>
        </w:rPr>
        <w:t>CD8</w:t>
      </w:r>
      <w:r w:rsidRPr="00F45FAA">
        <w:rPr>
          <w:rFonts w:ascii="Calibri" w:hAnsi="Calibri"/>
          <w:color w:val="000000"/>
          <w:kern w:val="24"/>
          <w:sz w:val="22"/>
          <w:szCs w:val="22"/>
        </w:rPr>
        <w:tab/>
      </w:r>
      <w:r w:rsidRPr="00F45FAA">
        <w:rPr>
          <w:rFonts w:ascii="Calibri" w:hAnsi="Calibri"/>
          <w:color w:val="000000"/>
          <w:kern w:val="24"/>
          <w:sz w:val="22"/>
          <w:szCs w:val="22"/>
        </w:rPr>
        <w:tab/>
        <w:t>BV496</w:t>
      </w:r>
      <w:r w:rsidRPr="00F45FAA">
        <w:rPr>
          <w:rFonts w:ascii="Calibri" w:hAnsi="Calibri"/>
          <w:color w:val="000000"/>
          <w:kern w:val="24"/>
          <w:sz w:val="22"/>
          <w:szCs w:val="22"/>
        </w:rPr>
        <w:tab/>
      </w:r>
      <w:r w:rsidRPr="00F45FAA">
        <w:rPr>
          <w:rFonts w:ascii="Calibri" w:hAnsi="Calibri"/>
          <w:color w:val="000000"/>
          <w:kern w:val="24"/>
          <w:sz w:val="22"/>
          <w:szCs w:val="22"/>
        </w:rPr>
        <w:tab/>
        <w:t>RPA-T8</w:t>
      </w:r>
      <w:r w:rsidRPr="00F45FAA">
        <w:rPr>
          <w:rFonts w:ascii="Calibri" w:hAnsi="Calibri"/>
          <w:color w:val="000000"/>
          <w:kern w:val="24"/>
          <w:sz w:val="22"/>
          <w:szCs w:val="22"/>
        </w:rPr>
        <w:tab/>
      </w:r>
      <w:r w:rsidRPr="00F45FAA">
        <w:rPr>
          <w:rFonts w:ascii="Calibri" w:hAnsi="Calibri"/>
          <w:color w:val="000000"/>
          <w:kern w:val="24"/>
          <w:sz w:val="22"/>
          <w:szCs w:val="22"/>
        </w:rPr>
        <w:tab/>
        <w:t>1:50</w:t>
      </w:r>
      <w:r w:rsidRPr="00F45FAA">
        <w:rPr>
          <w:rFonts w:ascii="Calibri" w:hAnsi="Calibri"/>
          <w:color w:val="000000"/>
          <w:kern w:val="24"/>
          <w:sz w:val="22"/>
          <w:szCs w:val="22"/>
        </w:rPr>
        <w:tab/>
        <w:t>BD</w:t>
      </w:r>
    </w:p>
    <w:p w14:paraId="5C6A3FB3" w14:textId="77777777" w:rsidR="00566F10" w:rsidRPr="00F45FAA" w:rsidRDefault="00566F10" w:rsidP="00566F10">
      <w:pPr>
        <w:pStyle w:val="StandardWeb"/>
        <w:spacing w:before="0" w:beforeAutospacing="0" w:after="0" w:afterAutospacing="0"/>
      </w:pPr>
      <w:r w:rsidRPr="00F45FAA">
        <w:rPr>
          <w:rFonts w:ascii="Calibri" w:hAnsi="Calibri"/>
          <w:color w:val="000000"/>
          <w:kern w:val="24"/>
          <w:sz w:val="22"/>
          <w:szCs w:val="22"/>
        </w:rPr>
        <w:t>CD14</w:t>
      </w:r>
      <w:r w:rsidRPr="00F45FAA">
        <w:rPr>
          <w:rFonts w:ascii="Calibri" w:hAnsi="Calibri"/>
          <w:color w:val="000000"/>
          <w:kern w:val="24"/>
          <w:sz w:val="22"/>
          <w:szCs w:val="22"/>
        </w:rPr>
        <w:tab/>
      </w:r>
      <w:r w:rsidRPr="00F45FAA">
        <w:rPr>
          <w:rFonts w:ascii="Calibri" w:hAnsi="Calibri"/>
          <w:color w:val="000000"/>
          <w:kern w:val="24"/>
          <w:sz w:val="22"/>
          <w:szCs w:val="22"/>
        </w:rPr>
        <w:tab/>
        <w:t>BV421</w:t>
      </w:r>
      <w:r w:rsidRPr="00F45FAA">
        <w:rPr>
          <w:rFonts w:ascii="Calibri" w:hAnsi="Calibri"/>
          <w:color w:val="000000"/>
          <w:kern w:val="24"/>
          <w:sz w:val="22"/>
          <w:szCs w:val="22"/>
        </w:rPr>
        <w:tab/>
      </w:r>
      <w:r w:rsidRPr="00F45FAA">
        <w:rPr>
          <w:rFonts w:ascii="Calibri" w:hAnsi="Calibri"/>
          <w:color w:val="000000"/>
          <w:kern w:val="24"/>
          <w:sz w:val="22"/>
          <w:szCs w:val="22"/>
        </w:rPr>
        <w:tab/>
        <w:t>M5E2</w:t>
      </w:r>
      <w:r w:rsidRPr="00F45FAA">
        <w:rPr>
          <w:rFonts w:ascii="Calibri" w:hAnsi="Calibri"/>
          <w:color w:val="000000"/>
          <w:kern w:val="24"/>
          <w:sz w:val="22"/>
          <w:szCs w:val="22"/>
        </w:rPr>
        <w:tab/>
      </w:r>
      <w:r w:rsidRPr="00F45FAA">
        <w:rPr>
          <w:rFonts w:ascii="Calibri" w:hAnsi="Calibri"/>
          <w:color w:val="000000"/>
          <w:kern w:val="24"/>
          <w:sz w:val="22"/>
          <w:szCs w:val="22"/>
        </w:rPr>
        <w:tab/>
        <w:t>1:40</w:t>
      </w:r>
      <w:r w:rsidRPr="00F45FAA">
        <w:rPr>
          <w:rFonts w:ascii="Calibri" w:hAnsi="Calibri"/>
          <w:color w:val="000000"/>
          <w:kern w:val="24"/>
          <w:sz w:val="22"/>
          <w:szCs w:val="22"/>
        </w:rPr>
        <w:tab/>
        <w:t>BD</w:t>
      </w:r>
    </w:p>
    <w:p w14:paraId="731A9E8D"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CD16</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PE-CF594</w:t>
      </w:r>
      <w:r w:rsidRPr="00F45FAA">
        <w:rPr>
          <w:rFonts w:ascii="Calibri" w:hAnsi="Calibri"/>
          <w:color w:val="000000"/>
          <w:kern w:val="24"/>
          <w:sz w:val="22"/>
          <w:szCs w:val="22"/>
          <w:lang w:val="en-US"/>
        </w:rPr>
        <w:tab/>
        <w:t>3G8</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1:67</w:t>
      </w:r>
      <w:r w:rsidRPr="00F45FAA">
        <w:rPr>
          <w:rFonts w:ascii="Calibri" w:hAnsi="Calibri"/>
          <w:color w:val="000000"/>
          <w:kern w:val="24"/>
          <w:sz w:val="22"/>
          <w:szCs w:val="22"/>
          <w:lang w:val="en-US"/>
        </w:rPr>
        <w:tab/>
        <w:t>BD</w:t>
      </w:r>
    </w:p>
    <w:p w14:paraId="5F416FF9"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CD19</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A700</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HIB19</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1:50</w:t>
      </w:r>
      <w:r w:rsidRPr="00F45FAA">
        <w:rPr>
          <w:rFonts w:ascii="Calibri" w:hAnsi="Calibri"/>
          <w:color w:val="000000"/>
          <w:kern w:val="24"/>
          <w:sz w:val="22"/>
          <w:szCs w:val="22"/>
          <w:lang w:val="en-US"/>
        </w:rPr>
        <w:tab/>
        <w:t>BioLegend</w:t>
      </w:r>
    </w:p>
    <w:p w14:paraId="6C717AE5"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CD20</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A700</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2H7</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1:50</w:t>
      </w:r>
      <w:r w:rsidRPr="00F45FAA">
        <w:rPr>
          <w:rFonts w:ascii="Calibri" w:hAnsi="Calibri"/>
          <w:color w:val="000000"/>
          <w:kern w:val="24"/>
          <w:sz w:val="22"/>
          <w:szCs w:val="22"/>
          <w:lang w:val="en-US"/>
        </w:rPr>
        <w:tab/>
        <w:t>BioLegend</w:t>
      </w:r>
    </w:p>
    <w:p w14:paraId="5884A26B" w14:textId="77777777" w:rsidR="00566F10" w:rsidRPr="00F45FAA" w:rsidRDefault="00566F10" w:rsidP="00566F10">
      <w:pPr>
        <w:pStyle w:val="StandardWeb"/>
        <w:spacing w:before="0" w:beforeAutospacing="0" w:after="0" w:afterAutospacing="0"/>
        <w:rPr>
          <w:lang w:val="en-US"/>
        </w:rPr>
      </w:pPr>
      <w:r w:rsidRPr="00F45FAA">
        <w:rPr>
          <w:rFonts w:ascii="Calibri" w:hAnsi="Calibri"/>
          <w:color w:val="000000"/>
          <w:kern w:val="24"/>
          <w:sz w:val="22"/>
          <w:szCs w:val="22"/>
          <w:lang w:val="en-US"/>
        </w:rPr>
        <w:t>CD56</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APC</w:t>
      </w:r>
      <w:r w:rsidRPr="00F45FAA">
        <w:rPr>
          <w:rFonts w:ascii="Calibri" w:hAnsi="Calibri"/>
          <w:color w:val="000000"/>
          <w:kern w:val="24"/>
          <w:sz w:val="22"/>
          <w:szCs w:val="22"/>
          <w:lang w:val="en-US"/>
        </w:rPr>
        <w:tab/>
      </w:r>
      <w:r w:rsidRPr="00F45FAA">
        <w:rPr>
          <w:rFonts w:ascii="Calibri" w:hAnsi="Calibri"/>
          <w:color w:val="000000"/>
          <w:kern w:val="24"/>
          <w:sz w:val="22"/>
          <w:szCs w:val="22"/>
          <w:lang w:val="en-US"/>
        </w:rPr>
        <w:tab/>
        <w:t>N901 (NKH-1)</w:t>
      </w:r>
      <w:r w:rsidRPr="00F45FAA">
        <w:rPr>
          <w:rFonts w:ascii="Calibri" w:hAnsi="Calibri"/>
          <w:color w:val="000000"/>
          <w:kern w:val="24"/>
          <w:sz w:val="22"/>
          <w:szCs w:val="22"/>
          <w:lang w:val="en-US"/>
        </w:rPr>
        <w:tab/>
        <w:t>1:20</w:t>
      </w:r>
      <w:r w:rsidRPr="00F45FAA">
        <w:rPr>
          <w:rFonts w:ascii="Calibri" w:hAnsi="Calibri"/>
          <w:color w:val="000000"/>
          <w:kern w:val="24"/>
          <w:sz w:val="22"/>
          <w:szCs w:val="22"/>
          <w:lang w:val="en-US"/>
        </w:rPr>
        <w:tab/>
        <w:t>Coulter</w:t>
      </w:r>
    </w:p>
    <w:p w14:paraId="161F6B39" w14:textId="7EF8763E" w:rsidR="00023682" w:rsidRPr="0038306F" w:rsidRDefault="00566F10" w:rsidP="0038306F">
      <w:pPr>
        <w:pStyle w:val="StandardWeb"/>
        <w:spacing w:before="0" w:beforeAutospacing="0" w:after="0" w:afterAutospacing="0"/>
        <w:rPr>
          <w:lang w:val="en-US"/>
        </w:rPr>
        <w:sectPr w:rsidR="00023682" w:rsidRPr="0038306F" w:rsidSect="0038306F">
          <w:pgSz w:w="11906" w:h="16838"/>
          <w:pgMar w:top="1417" w:right="1417" w:bottom="851" w:left="1417" w:header="708" w:footer="708" w:gutter="0"/>
          <w:cols w:space="708"/>
          <w:docGrid w:linePitch="360"/>
        </w:sectPr>
      </w:pPr>
      <w:r w:rsidRPr="00F45FAA">
        <w:rPr>
          <w:rFonts w:ascii="Calibri" w:hAnsi="Calibri"/>
          <w:color w:val="000000"/>
          <w:kern w:val="24"/>
          <w:sz w:val="22"/>
          <w:szCs w:val="22"/>
          <w:lang w:val="en-US"/>
        </w:rPr>
        <w:t>in 50 µl Brilliant Staining Buffer (BD)</w:t>
      </w:r>
    </w:p>
    <w:p w14:paraId="01C82561" w14:textId="3A739273" w:rsidR="004F3083" w:rsidRDefault="006B5CC0" w:rsidP="004F3083">
      <w:pPr>
        <w:rPr>
          <w:rFonts w:cs="Calibri"/>
          <w:color w:val="000000"/>
          <w:lang w:val="en-US" w:eastAsia="de-DE"/>
        </w:rPr>
      </w:pPr>
      <w:r w:rsidRPr="00F45FAA">
        <w:rPr>
          <w:b/>
          <w:lang w:val="en-US"/>
        </w:rPr>
        <w:lastRenderedPageBreak/>
        <w:t>Tab. S</w:t>
      </w:r>
      <w:r w:rsidR="001E10AD" w:rsidRPr="00F45FAA">
        <w:rPr>
          <w:b/>
          <w:lang w:val="en-US"/>
        </w:rPr>
        <w:t>3</w:t>
      </w:r>
      <w:r w:rsidRPr="00F45FAA">
        <w:rPr>
          <w:b/>
          <w:lang w:val="en-US"/>
        </w:rPr>
        <w:t xml:space="preserve"> </w:t>
      </w:r>
      <w:bookmarkStart w:id="0" w:name="_Hlk185252963"/>
      <w:r w:rsidR="004F3083" w:rsidRPr="00F45FAA">
        <w:rPr>
          <w:rFonts w:cs="Calibri"/>
          <w:color w:val="000000"/>
          <w:lang w:val="en-US" w:eastAsia="de-DE"/>
        </w:rPr>
        <w:t>Medians of absolute cell counts (</w:t>
      </w:r>
      <w:r w:rsidR="005F6016" w:rsidRPr="00F45FAA">
        <w:rPr>
          <w:rFonts w:cs="Calibri"/>
          <w:color w:val="000000"/>
          <w:lang w:val="en-US" w:eastAsia="de-DE"/>
        </w:rPr>
        <w:t>10</w:t>
      </w:r>
      <w:r w:rsidR="005F6016" w:rsidRPr="00F45FAA">
        <w:rPr>
          <w:rFonts w:cs="Calibri"/>
          <w:color w:val="000000"/>
          <w:vertAlign w:val="superscript"/>
          <w:lang w:val="en-US" w:eastAsia="de-DE"/>
        </w:rPr>
        <w:t>9</w:t>
      </w:r>
      <w:r w:rsidR="005F6016" w:rsidRPr="00F45FAA">
        <w:rPr>
          <w:rFonts w:cs="Calibri"/>
          <w:color w:val="000000"/>
          <w:lang w:val="en-US" w:eastAsia="de-DE"/>
        </w:rPr>
        <w:t xml:space="preserve"> </w:t>
      </w:r>
      <w:r w:rsidR="004F3083" w:rsidRPr="00F45FAA">
        <w:rPr>
          <w:rFonts w:cs="Calibri"/>
          <w:color w:val="000000"/>
          <w:lang w:val="en-US" w:eastAsia="de-DE"/>
        </w:rPr>
        <w:t>cells / L) of leukocytes at time points RTend, C.1, C.2, and C.3 within the favorable PFS group (PFS ≥12 mo</w:t>
      </w:r>
      <w:r w:rsidR="005F6016" w:rsidRPr="00F45FAA">
        <w:rPr>
          <w:rFonts w:cs="Calibri"/>
          <w:color w:val="000000"/>
          <w:lang w:val="en-US" w:eastAsia="de-DE"/>
        </w:rPr>
        <w:t>nths</w:t>
      </w:r>
      <w:r w:rsidR="004F3083" w:rsidRPr="00F45FAA">
        <w:rPr>
          <w:rFonts w:cs="Calibri"/>
          <w:color w:val="000000"/>
          <w:lang w:val="en-US" w:eastAsia="de-DE"/>
        </w:rPr>
        <w:t>). Median; RTend n=8, C.1, C.2, C.3 n=9; Student’s t-test, * p&lt;0.05, ** p&lt;0.01.</w:t>
      </w:r>
    </w:p>
    <w:p w14:paraId="1319C60F" w14:textId="77777777" w:rsidR="0038306F" w:rsidRPr="00F45FAA" w:rsidRDefault="0038306F" w:rsidP="004F3083">
      <w:pPr>
        <w:rPr>
          <w:rFonts w:cs="Calibri"/>
          <w:color w:val="000000"/>
          <w:lang w:val="en-US" w:eastAsia="de-DE"/>
        </w:rPr>
      </w:pPr>
    </w:p>
    <w:bookmarkEnd w:id="0"/>
    <w:p w14:paraId="2AB53A4E" w14:textId="50CD550D" w:rsidR="00073F7B" w:rsidRPr="00F45FAA" w:rsidRDefault="00073F7B" w:rsidP="004F3083">
      <w:pPr>
        <w:spacing w:line="480" w:lineRule="auto"/>
        <w:rPr>
          <w:rFonts w:cs="Calibri"/>
          <w:color w:val="000000"/>
          <w:lang w:val="en-US" w:eastAsia="de-DE"/>
        </w:rPr>
      </w:pPr>
      <w:r w:rsidRPr="00F45FAA">
        <w:rPr>
          <w:rFonts w:cs="Calibri"/>
          <w:noProof/>
          <w:color w:val="000000"/>
          <w:lang w:eastAsia="de-DE"/>
          <w14:ligatures w14:val="standardContextual"/>
        </w:rPr>
        <mc:AlternateContent>
          <mc:Choice Requires="wps">
            <w:drawing>
              <wp:anchor distT="0" distB="0" distL="114300" distR="114300" simplePos="0" relativeHeight="251660288" behindDoc="0" locked="0" layoutInCell="1" allowOverlap="1" wp14:anchorId="515727A5" wp14:editId="1798CBE5">
                <wp:simplePos x="0" y="0"/>
                <wp:positionH relativeFrom="column">
                  <wp:posOffset>1167075</wp:posOffset>
                </wp:positionH>
                <wp:positionV relativeFrom="paragraph">
                  <wp:posOffset>232356</wp:posOffset>
                </wp:positionV>
                <wp:extent cx="7480543" cy="0"/>
                <wp:effectExtent l="0" t="0" r="0" b="0"/>
                <wp:wrapNone/>
                <wp:docPr id="2121401913" name="Gerader Verbinder 2"/>
                <wp:cNvGraphicFramePr/>
                <a:graphic xmlns:a="http://schemas.openxmlformats.org/drawingml/2006/main">
                  <a:graphicData uri="http://schemas.microsoft.com/office/word/2010/wordprocessingShape">
                    <wps:wsp>
                      <wps:cNvCnPr/>
                      <wps:spPr>
                        <a:xfrm>
                          <a:off x="0" y="0"/>
                          <a:ext cx="74805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FD38FB8" id="Gerader Verbinde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1.9pt,18.3pt" to="680.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" strokecolor="black [3213]" strokeweight=".5pt">
                <v:stroke joinstyle="miter"/>
              </v:line>
            </w:pict>
          </mc:Fallback>
        </mc:AlternateContent>
      </w:r>
      <w:r w:rsidRPr="00F45FAA">
        <w:rPr>
          <w:rFonts w:cs="Calibri"/>
          <w:color w:val="000000"/>
          <w:lang w:val="en-US" w:eastAsia="de-DE"/>
        </w:rPr>
        <w:t>ALC</w:t>
      </w:r>
      <w:r w:rsidR="005F6016" w:rsidRPr="00F45FAA">
        <w:rPr>
          <w:rFonts w:cs="Calibri"/>
          <w:color w:val="000000"/>
          <w:lang w:val="en-US" w:eastAsia="de-DE"/>
        </w:rPr>
        <w:t xml:space="preserve">  </w:t>
      </w:r>
      <w:r w:rsidRPr="00F45FAA">
        <w:rPr>
          <w:rFonts w:cs="Calibri"/>
          <w:color w:val="000000"/>
          <w:lang w:val="en-US" w:eastAsia="de-DE"/>
        </w:rPr>
        <w:t>PFS ≥12 mo</w:t>
      </w:r>
      <w:r w:rsidR="005F6016" w:rsidRPr="00F45FAA">
        <w:rPr>
          <w:rFonts w:cs="Calibri"/>
          <w:color w:val="000000"/>
          <w:lang w:val="en-US" w:eastAsia="de-DE"/>
        </w:rPr>
        <w:t>nths</w:t>
      </w:r>
      <w:r w:rsidRPr="00F45FAA">
        <w:rPr>
          <w:rFonts w:cs="Calibri"/>
          <w:color w:val="000000"/>
          <w:lang w:val="en-US" w:eastAsia="de-DE"/>
        </w:rPr>
        <w:tab/>
      </w:r>
      <w:r w:rsidRPr="00F45FAA">
        <w:rPr>
          <w:rFonts w:cs="Calibri"/>
          <w:color w:val="000000"/>
          <w:lang w:val="en-US" w:eastAsia="de-DE"/>
        </w:rPr>
        <w:tab/>
      </w:r>
      <w:r w:rsidR="005F6016" w:rsidRPr="00F45FAA">
        <w:rPr>
          <w:rFonts w:cs="Calibri"/>
          <w:color w:val="000000"/>
          <w:lang w:val="en-US" w:eastAsia="de-DE"/>
        </w:rPr>
        <w:t>10</w:t>
      </w:r>
      <w:r w:rsidR="005F6016" w:rsidRPr="00F45FAA">
        <w:rPr>
          <w:rFonts w:cs="Calibri"/>
          <w:color w:val="000000"/>
          <w:vertAlign w:val="superscript"/>
          <w:lang w:val="en-US" w:eastAsia="de-DE"/>
        </w:rPr>
        <w:t>9</w:t>
      </w:r>
      <w:r w:rsidR="005F6016" w:rsidRPr="00F45FAA">
        <w:rPr>
          <w:rFonts w:cs="Calibri"/>
          <w:color w:val="000000"/>
          <w:lang w:val="en-US" w:eastAsia="de-DE"/>
        </w:rPr>
        <w:t xml:space="preserve"> cells / L</w:t>
      </w:r>
      <w:r w:rsidRPr="00F45FAA">
        <w:rPr>
          <w:rFonts w:cs="Calibri"/>
          <w:color w:val="000000"/>
          <w:lang w:val="en-US" w:eastAsia="de-DE"/>
        </w:rPr>
        <w:tab/>
      </w:r>
      <w:r w:rsidRPr="00F45FAA">
        <w:rPr>
          <w:rFonts w:cs="Calibri"/>
          <w:color w:val="000000"/>
          <w:lang w:val="en-US" w:eastAsia="de-DE"/>
        </w:rPr>
        <w:tab/>
      </w:r>
      <w:r w:rsidR="005F6016" w:rsidRPr="00F45FAA">
        <w:rPr>
          <w:rFonts w:cs="Calibri"/>
          <w:color w:val="000000"/>
          <w:lang w:val="en-US" w:eastAsia="de-DE"/>
        </w:rPr>
        <w:tab/>
      </w:r>
      <w:r w:rsidR="005F6016" w:rsidRPr="00F45FAA">
        <w:rPr>
          <w:rFonts w:cs="Calibri"/>
          <w:color w:val="000000"/>
          <w:lang w:val="en-US" w:eastAsia="de-DE"/>
        </w:rPr>
        <w:tab/>
      </w:r>
      <w:r w:rsidR="005F6016" w:rsidRPr="00F45FAA">
        <w:rPr>
          <w:rFonts w:cs="Calibri"/>
          <w:color w:val="000000"/>
          <w:lang w:val="en-US" w:eastAsia="de-DE"/>
        </w:rPr>
        <w:tab/>
      </w:r>
      <w:r w:rsidR="005F6016" w:rsidRPr="00F45FAA">
        <w:rPr>
          <w:rFonts w:cs="Calibri"/>
          <w:color w:val="000000"/>
          <w:lang w:val="en-US" w:eastAsia="de-DE"/>
        </w:rPr>
        <w:tab/>
      </w:r>
      <w:r w:rsidR="005F6016" w:rsidRPr="00F45FAA">
        <w:rPr>
          <w:rFonts w:cs="Calibri"/>
          <w:color w:val="000000"/>
          <w:lang w:val="en-US" w:eastAsia="de-DE"/>
        </w:rPr>
        <w:tab/>
      </w:r>
      <w:r w:rsidR="005F6016" w:rsidRPr="00F45FAA">
        <w:rPr>
          <w:rFonts w:cs="Calibri"/>
          <w:color w:val="000000"/>
          <w:lang w:val="en-US" w:eastAsia="de-DE"/>
        </w:rPr>
        <w:tab/>
      </w:r>
      <w:r w:rsidRPr="00F45FAA">
        <w:rPr>
          <w:rFonts w:cs="Calibri"/>
          <w:color w:val="000000"/>
          <w:lang w:val="en-US" w:eastAsia="de-DE"/>
        </w:rPr>
        <w:t>p</w:t>
      </w:r>
      <w:r w:rsidRPr="00F45FAA">
        <w:rPr>
          <w:rFonts w:cs="Calibri"/>
          <w:color w:val="000000"/>
          <w:lang w:val="en-US" w:eastAsia="de-DE"/>
        </w:rPr>
        <w:tab/>
      </w:r>
      <w:r w:rsidRPr="00F45FAA">
        <w:rPr>
          <w:rFonts w:cs="Calibri"/>
          <w:color w:val="000000"/>
          <w:lang w:val="en-US" w:eastAsia="de-DE"/>
        </w:rPr>
        <w:tab/>
      </w:r>
      <w:r w:rsidRPr="00F45FAA">
        <w:rPr>
          <w:rFonts w:cs="Calibri"/>
          <w:color w:val="000000"/>
          <w:lang w:val="en-US" w:eastAsia="de-DE"/>
        </w:rPr>
        <w:tab/>
      </w:r>
      <w:r w:rsidRPr="00F45FAA">
        <w:rPr>
          <w:rFonts w:cs="Calibri"/>
          <w:color w:val="000000"/>
          <w:lang w:val="en-US" w:eastAsia="de-DE"/>
        </w:rPr>
        <w:tab/>
      </w:r>
      <w:r w:rsidRPr="00F45FAA">
        <w:rPr>
          <w:rFonts w:cs="Calibri"/>
          <w:color w:val="000000"/>
          <w:lang w:val="en-US" w:eastAsia="de-DE"/>
        </w:rPr>
        <w:tab/>
      </w:r>
    </w:p>
    <w:p w14:paraId="058A8A32" w14:textId="77777777" w:rsidR="00073F7B" w:rsidRPr="00F45FAA" w:rsidRDefault="00073F7B" w:rsidP="00073F7B">
      <w:pPr>
        <w:tabs>
          <w:tab w:val="left" w:pos="1843"/>
        </w:tabs>
        <w:rPr>
          <w:rFonts w:cs="Calibri"/>
          <w:color w:val="000000"/>
          <w:lang w:eastAsia="de-DE"/>
        </w:rPr>
      </w:pPr>
      <w:r w:rsidRPr="00F45FAA">
        <w:rPr>
          <w:rFonts w:cs="Calibri"/>
          <w:noProof/>
          <w:color w:val="000000"/>
          <w:lang w:eastAsia="de-DE"/>
          <w14:ligatures w14:val="standardContextual"/>
        </w:rPr>
        <mc:AlternateContent>
          <mc:Choice Requires="wps">
            <w:drawing>
              <wp:anchor distT="0" distB="0" distL="114300" distR="114300" simplePos="0" relativeHeight="251659264" behindDoc="0" locked="0" layoutInCell="1" allowOverlap="1" wp14:anchorId="5BD2D9B2" wp14:editId="42F662C5">
                <wp:simplePos x="0" y="0"/>
                <wp:positionH relativeFrom="column">
                  <wp:posOffset>-10160</wp:posOffset>
                </wp:positionH>
                <wp:positionV relativeFrom="paragraph">
                  <wp:posOffset>250622</wp:posOffset>
                </wp:positionV>
                <wp:extent cx="8657590" cy="0"/>
                <wp:effectExtent l="0" t="0" r="0" b="0"/>
                <wp:wrapNone/>
                <wp:docPr id="1505109417" name="Gerader Verbinder 1"/>
                <wp:cNvGraphicFramePr/>
                <a:graphic xmlns:a="http://schemas.openxmlformats.org/drawingml/2006/main">
                  <a:graphicData uri="http://schemas.microsoft.com/office/word/2010/wordprocessingShape">
                    <wps:wsp>
                      <wps:cNvCnPr/>
                      <wps:spPr>
                        <a:xfrm>
                          <a:off x="0" y="0"/>
                          <a:ext cx="8657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6AE0B0B"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19.75pt" to="680.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" strokecolor="black [3213]" strokeweight=".5pt">
                <v:stroke joinstyle="miter"/>
              </v:line>
            </w:pict>
          </mc:Fallback>
        </mc:AlternateContent>
      </w:r>
      <w:r w:rsidRPr="00552D7B">
        <w:rPr>
          <w:rFonts w:cs="Calibri"/>
          <w:color w:val="000000"/>
          <w:lang w:eastAsia="de-DE"/>
        </w:rPr>
        <w:tab/>
      </w:r>
      <w:r w:rsidRPr="00F45FAA">
        <w:rPr>
          <w:rFonts w:cs="Calibri"/>
          <w:color w:val="000000"/>
          <w:lang w:eastAsia="de-DE"/>
        </w:rPr>
        <w:t>RTend</w:t>
      </w:r>
      <w:r w:rsidRPr="00F45FAA">
        <w:rPr>
          <w:rFonts w:cs="Calibri"/>
          <w:color w:val="000000"/>
          <w:lang w:eastAsia="de-DE"/>
        </w:rPr>
        <w:tab/>
        <w:t>C.1</w:t>
      </w:r>
      <w:r w:rsidRPr="00F45FAA">
        <w:rPr>
          <w:rFonts w:cs="Calibri"/>
          <w:color w:val="000000"/>
          <w:lang w:eastAsia="de-DE"/>
        </w:rPr>
        <w:tab/>
        <w:t>C.2</w:t>
      </w:r>
      <w:r w:rsidRPr="00F45FAA">
        <w:rPr>
          <w:rFonts w:cs="Calibri"/>
          <w:color w:val="000000"/>
          <w:lang w:eastAsia="de-DE"/>
        </w:rPr>
        <w:tab/>
        <w:t>C.3</w:t>
      </w:r>
      <w:r w:rsidRPr="00F45FAA">
        <w:rPr>
          <w:rFonts w:cs="Calibri"/>
          <w:color w:val="000000"/>
          <w:lang w:eastAsia="de-DE"/>
        </w:rPr>
        <w:tab/>
      </w:r>
      <w:r w:rsidRPr="00F45FAA">
        <w:rPr>
          <w:rFonts w:cs="Calibri"/>
          <w:color w:val="000000"/>
          <w:lang w:eastAsia="de-DE"/>
        </w:rPr>
        <w:tab/>
        <w:t>RTend - C.1</w:t>
      </w:r>
      <w:r w:rsidRPr="00F45FAA">
        <w:rPr>
          <w:rFonts w:cs="Calibri"/>
          <w:color w:val="000000"/>
          <w:lang w:eastAsia="de-DE"/>
        </w:rPr>
        <w:tab/>
        <w:t>RTend - C.2</w:t>
      </w:r>
      <w:r w:rsidRPr="00F45FAA">
        <w:rPr>
          <w:rFonts w:cs="Calibri"/>
          <w:color w:val="000000"/>
          <w:lang w:eastAsia="de-DE"/>
        </w:rPr>
        <w:tab/>
        <w:t>RTend - C.3</w:t>
      </w:r>
      <w:r w:rsidRPr="00F45FAA">
        <w:rPr>
          <w:rFonts w:cs="Calibri"/>
          <w:color w:val="000000"/>
          <w:lang w:eastAsia="de-DE"/>
        </w:rPr>
        <w:tab/>
        <w:t>C.1 - C.2</w:t>
      </w:r>
      <w:r w:rsidRPr="00F45FAA">
        <w:rPr>
          <w:rFonts w:cs="Calibri"/>
          <w:color w:val="000000"/>
          <w:lang w:eastAsia="de-DE"/>
        </w:rPr>
        <w:tab/>
        <w:t>C.1 - C.3</w:t>
      </w:r>
      <w:r w:rsidRPr="00F45FAA">
        <w:rPr>
          <w:rFonts w:cs="Calibri"/>
          <w:color w:val="000000"/>
          <w:lang w:eastAsia="de-DE"/>
        </w:rPr>
        <w:tab/>
        <w:t>C.2 - C.3</w:t>
      </w:r>
    </w:p>
    <w:p w14:paraId="2EE45B0F"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Lymphocytes</w:t>
      </w:r>
      <w:r w:rsidRPr="00F45FAA">
        <w:rPr>
          <w:rFonts w:cs="Calibri"/>
          <w:color w:val="000000"/>
          <w:lang w:val="en-US" w:eastAsia="de-DE"/>
        </w:rPr>
        <w:tab/>
        <w:t>0.451</w:t>
      </w:r>
      <w:r w:rsidRPr="00F45FAA">
        <w:rPr>
          <w:rFonts w:cs="Calibri"/>
          <w:color w:val="000000"/>
          <w:lang w:val="en-US" w:eastAsia="de-DE"/>
        </w:rPr>
        <w:tab/>
        <w:t>1.180</w:t>
      </w:r>
      <w:r w:rsidRPr="00F45FAA">
        <w:rPr>
          <w:rFonts w:cs="Calibri"/>
          <w:color w:val="000000"/>
          <w:lang w:val="en-US" w:eastAsia="de-DE"/>
        </w:rPr>
        <w:tab/>
        <w:t>1.980</w:t>
      </w:r>
      <w:r w:rsidRPr="00F45FAA">
        <w:rPr>
          <w:rFonts w:cs="Calibri"/>
          <w:color w:val="000000"/>
          <w:lang w:val="en-US" w:eastAsia="de-DE"/>
        </w:rPr>
        <w:tab/>
        <w:t>1.010</w:t>
      </w:r>
      <w:r w:rsidRPr="00F45FAA">
        <w:rPr>
          <w:rFonts w:cs="Calibri"/>
          <w:color w:val="000000"/>
          <w:lang w:val="en-US" w:eastAsia="de-DE"/>
        </w:rPr>
        <w:tab/>
      </w:r>
      <w:r w:rsidRPr="00F45FAA">
        <w:rPr>
          <w:rFonts w:cs="Calibri"/>
          <w:color w:val="000000"/>
          <w:lang w:val="en-US" w:eastAsia="de-DE"/>
        </w:rPr>
        <w:tab/>
        <w:t>0.0294*</w:t>
      </w:r>
      <w:r w:rsidRPr="00F45FAA">
        <w:rPr>
          <w:rFonts w:cs="Calibri"/>
          <w:color w:val="000000"/>
          <w:lang w:val="en-US" w:eastAsia="de-DE"/>
        </w:rPr>
        <w:tab/>
        <w:t>0.0073**</w:t>
      </w:r>
      <w:r w:rsidRPr="00F45FAA">
        <w:rPr>
          <w:rFonts w:cs="Calibri"/>
          <w:color w:val="000000"/>
          <w:lang w:val="en-US" w:eastAsia="de-DE"/>
        </w:rPr>
        <w:tab/>
        <w:t>0.0130*</w:t>
      </w:r>
      <w:r w:rsidRPr="00F45FAA">
        <w:rPr>
          <w:rFonts w:cs="Calibri"/>
          <w:color w:val="000000"/>
          <w:lang w:val="en-US" w:eastAsia="de-DE"/>
        </w:rPr>
        <w:tab/>
        <w:t>0.2089</w:t>
      </w:r>
      <w:r w:rsidRPr="00F45FAA">
        <w:rPr>
          <w:rFonts w:cs="Calibri"/>
          <w:color w:val="000000"/>
          <w:lang w:val="en-US" w:eastAsia="de-DE"/>
        </w:rPr>
        <w:tab/>
      </w:r>
      <w:r w:rsidRPr="00F45FAA">
        <w:rPr>
          <w:rFonts w:cs="Calibri"/>
          <w:color w:val="000000"/>
          <w:lang w:val="en-US" w:eastAsia="de-DE"/>
        </w:rPr>
        <w:tab/>
        <w:t>0.1588</w:t>
      </w:r>
      <w:r w:rsidRPr="00F45FAA">
        <w:rPr>
          <w:rFonts w:cs="Calibri"/>
          <w:color w:val="000000"/>
          <w:lang w:val="en-US" w:eastAsia="de-DE"/>
        </w:rPr>
        <w:tab/>
      </w:r>
      <w:r w:rsidRPr="00F45FAA">
        <w:rPr>
          <w:rFonts w:cs="Calibri"/>
          <w:color w:val="000000"/>
          <w:lang w:val="en-US" w:eastAsia="de-DE"/>
        </w:rPr>
        <w:tab/>
        <w:t>0.3680</w:t>
      </w:r>
    </w:p>
    <w:p w14:paraId="09861F73"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total CD3+ T cells</w:t>
      </w:r>
      <w:r w:rsidRPr="00F45FAA">
        <w:rPr>
          <w:rFonts w:cs="Calibri"/>
          <w:color w:val="000000"/>
          <w:lang w:val="en-US" w:eastAsia="de-DE"/>
        </w:rPr>
        <w:tab/>
        <w:t>0.449</w:t>
      </w:r>
      <w:r w:rsidRPr="00F45FAA">
        <w:rPr>
          <w:rFonts w:cs="Calibri"/>
          <w:color w:val="000000"/>
          <w:lang w:val="en-US" w:eastAsia="de-DE"/>
        </w:rPr>
        <w:tab/>
        <w:t>1.080</w:t>
      </w:r>
      <w:r w:rsidRPr="00F45FAA">
        <w:rPr>
          <w:rFonts w:cs="Calibri"/>
          <w:color w:val="000000"/>
          <w:lang w:val="en-US" w:eastAsia="de-DE"/>
        </w:rPr>
        <w:tab/>
        <w:t>1.450</w:t>
      </w:r>
      <w:r w:rsidRPr="00F45FAA">
        <w:rPr>
          <w:rFonts w:cs="Calibri"/>
          <w:color w:val="000000"/>
          <w:lang w:val="en-US" w:eastAsia="de-DE"/>
        </w:rPr>
        <w:tab/>
        <w:t>0.786</w:t>
      </w:r>
      <w:r w:rsidRPr="00F45FAA">
        <w:rPr>
          <w:rFonts w:cs="Calibri"/>
          <w:color w:val="000000"/>
          <w:lang w:val="en-US" w:eastAsia="de-DE"/>
        </w:rPr>
        <w:tab/>
      </w:r>
      <w:r w:rsidRPr="00F45FAA">
        <w:rPr>
          <w:rFonts w:cs="Calibri"/>
          <w:color w:val="000000"/>
          <w:lang w:val="en-US" w:eastAsia="de-DE"/>
        </w:rPr>
        <w:tab/>
        <w:t>0.0411*</w:t>
      </w:r>
      <w:r w:rsidRPr="00F45FAA">
        <w:rPr>
          <w:rFonts w:cs="Calibri"/>
          <w:color w:val="000000"/>
          <w:lang w:val="en-US" w:eastAsia="de-DE"/>
        </w:rPr>
        <w:tab/>
        <w:t>0.0109*</w:t>
      </w:r>
      <w:r w:rsidRPr="00F45FAA">
        <w:rPr>
          <w:rFonts w:cs="Calibri"/>
          <w:color w:val="000000"/>
          <w:lang w:val="en-US" w:eastAsia="de-DE"/>
        </w:rPr>
        <w:tab/>
        <w:t>0.0314*</w:t>
      </w:r>
      <w:r w:rsidRPr="00F45FAA">
        <w:rPr>
          <w:rFonts w:cs="Calibri"/>
          <w:color w:val="000000"/>
          <w:lang w:val="en-US" w:eastAsia="de-DE"/>
        </w:rPr>
        <w:tab/>
        <w:t>0.2303</w:t>
      </w:r>
      <w:r w:rsidRPr="00F45FAA">
        <w:rPr>
          <w:rFonts w:cs="Calibri"/>
          <w:color w:val="000000"/>
          <w:lang w:val="en-US" w:eastAsia="de-DE"/>
        </w:rPr>
        <w:tab/>
      </w:r>
      <w:r w:rsidRPr="00F45FAA">
        <w:rPr>
          <w:rFonts w:cs="Calibri"/>
          <w:color w:val="000000"/>
          <w:lang w:val="en-US" w:eastAsia="de-DE"/>
        </w:rPr>
        <w:tab/>
        <w:t>0.2616</w:t>
      </w:r>
      <w:r w:rsidRPr="00F45FAA">
        <w:rPr>
          <w:rFonts w:cs="Calibri"/>
          <w:color w:val="000000"/>
          <w:lang w:val="en-US" w:eastAsia="de-DE"/>
        </w:rPr>
        <w:tab/>
      </w:r>
      <w:r w:rsidRPr="00F45FAA">
        <w:rPr>
          <w:rFonts w:cs="Calibri"/>
          <w:color w:val="000000"/>
          <w:lang w:val="en-US" w:eastAsia="de-DE"/>
        </w:rPr>
        <w:tab/>
        <w:t>0.4904</w:t>
      </w:r>
    </w:p>
    <w:p w14:paraId="79713FD0" w14:textId="77777777" w:rsidR="00073F7B" w:rsidRPr="00F45FAA" w:rsidRDefault="00073F7B" w:rsidP="00073F7B">
      <w:pPr>
        <w:tabs>
          <w:tab w:val="left" w:pos="1843"/>
        </w:tabs>
        <w:rPr>
          <w:rFonts w:cs="Calibri"/>
          <w:color w:val="000000"/>
          <w:lang w:eastAsia="de-DE"/>
        </w:rPr>
      </w:pPr>
      <w:r w:rsidRPr="00F45FAA">
        <w:rPr>
          <w:rFonts w:cs="Calibri"/>
          <w:color w:val="000000"/>
          <w:lang w:eastAsia="de-DE"/>
        </w:rPr>
        <w:t>CD4+ T cells</w:t>
      </w:r>
      <w:r w:rsidRPr="00F45FAA">
        <w:rPr>
          <w:rFonts w:cs="Calibri"/>
          <w:color w:val="000000"/>
          <w:lang w:eastAsia="de-DE"/>
        </w:rPr>
        <w:tab/>
        <w:t>0.236</w:t>
      </w:r>
      <w:r w:rsidRPr="00F45FAA">
        <w:rPr>
          <w:rFonts w:cs="Calibri"/>
          <w:color w:val="000000"/>
          <w:lang w:eastAsia="de-DE"/>
        </w:rPr>
        <w:tab/>
        <w:t>0.309</w:t>
      </w:r>
      <w:r w:rsidRPr="00F45FAA">
        <w:rPr>
          <w:rFonts w:cs="Calibri"/>
          <w:color w:val="000000"/>
          <w:lang w:eastAsia="de-DE"/>
        </w:rPr>
        <w:tab/>
        <w:t>0.524</w:t>
      </w:r>
      <w:r w:rsidRPr="00F45FAA">
        <w:rPr>
          <w:rFonts w:cs="Calibri"/>
          <w:color w:val="000000"/>
          <w:lang w:eastAsia="de-DE"/>
        </w:rPr>
        <w:tab/>
        <w:t>0.516</w:t>
      </w:r>
      <w:r w:rsidRPr="00F45FAA">
        <w:rPr>
          <w:rFonts w:cs="Calibri"/>
          <w:color w:val="000000"/>
          <w:lang w:eastAsia="de-DE"/>
        </w:rPr>
        <w:tab/>
      </w:r>
      <w:r w:rsidRPr="00F45FAA">
        <w:rPr>
          <w:rFonts w:cs="Calibri"/>
          <w:color w:val="000000"/>
          <w:lang w:eastAsia="de-DE"/>
        </w:rPr>
        <w:tab/>
        <w:t>0.2300</w:t>
      </w:r>
      <w:r w:rsidRPr="00F45FAA">
        <w:rPr>
          <w:rFonts w:cs="Calibri"/>
          <w:color w:val="000000"/>
          <w:lang w:eastAsia="de-DE"/>
        </w:rPr>
        <w:tab/>
      </w:r>
      <w:r w:rsidRPr="00F45FAA">
        <w:rPr>
          <w:rFonts w:cs="Calibri"/>
          <w:color w:val="000000"/>
          <w:lang w:eastAsia="de-DE"/>
        </w:rPr>
        <w:tab/>
        <w:t>0.1094</w:t>
      </w:r>
      <w:r w:rsidRPr="00F45FAA">
        <w:rPr>
          <w:rFonts w:cs="Calibri"/>
          <w:color w:val="000000"/>
          <w:lang w:eastAsia="de-DE"/>
        </w:rPr>
        <w:tab/>
      </w:r>
      <w:r w:rsidRPr="00F45FAA">
        <w:rPr>
          <w:rFonts w:cs="Calibri"/>
          <w:color w:val="000000"/>
          <w:lang w:eastAsia="de-DE"/>
        </w:rPr>
        <w:tab/>
        <w:t>0.0877</w:t>
      </w:r>
      <w:r w:rsidRPr="00F45FAA">
        <w:rPr>
          <w:rFonts w:cs="Calibri"/>
          <w:color w:val="000000"/>
          <w:lang w:eastAsia="de-DE"/>
        </w:rPr>
        <w:tab/>
      </w:r>
      <w:r w:rsidRPr="00F45FAA">
        <w:rPr>
          <w:rFonts w:cs="Calibri"/>
          <w:color w:val="000000"/>
          <w:lang w:eastAsia="de-DE"/>
        </w:rPr>
        <w:tab/>
        <w:t>0.2329</w:t>
      </w:r>
      <w:r w:rsidRPr="00F45FAA">
        <w:rPr>
          <w:rFonts w:cs="Calibri"/>
          <w:color w:val="000000"/>
          <w:lang w:eastAsia="de-DE"/>
        </w:rPr>
        <w:tab/>
      </w:r>
      <w:r w:rsidRPr="00F45FAA">
        <w:rPr>
          <w:rFonts w:cs="Calibri"/>
          <w:color w:val="000000"/>
          <w:lang w:eastAsia="de-DE"/>
        </w:rPr>
        <w:tab/>
        <w:t>0.2290</w:t>
      </w:r>
      <w:r w:rsidRPr="00F45FAA">
        <w:rPr>
          <w:rFonts w:cs="Calibri"/>
          <w:color w:val="000000"/>
          <w:lang w:eastAsia="de-DE"/>
        </w:rPr>
        <w:tab/>
      </w:r>
      <w:r w:rsidRPr="00F45FAA">
        <w:rPr>
          <w:rFonts w:cs="Calibri"/>
          <w:color w:val="000000"/>
          <w:lang w:eastAsia="de-DE"/>
        </w:rPr>
        <w:tab/>
        <w:t>0.4554</w:t>
      </w:r>
    </w:p>
    <w:p w14:paraId="08AA01E1" w14:textId="77777777" w:rsidR="00073F7B" w:rsidRPr="00F45FAA" w:rsidRDefault="00073F7B" w:rsidP="00073F7B">
      <w:pPr>
        <w:tabs>
          <w:tab w:val="left" w:pos="1843"/>
        </w:tabs>
        <w:rPr>
          <w:rFonts w:cs="Calibri"/>
          <w:color w:val="000000"/>
          <w:lang w:eastAsia="de-DE"/>
        </w:rPr>
      </w:pPr>
      <w:r w:rsidRPr="00F45FAA">
        <w:rPr>
          <w:rFonts w:cs="Calibri"/>
          <w:color w:val="000000"/>
          <w:lang w:eastAsia="de-DE"/>
        </w:rPr>
        <w:t>CD8+ T cells</w:t>
      </w:r>
      <w:r w:rsidRPr="00F45FAA">
        <w:rPr>
          <w:rFonts w:cs="Calibri"/>
          <w:color w:val="000000"/>
          <w:lang w:eastAsia="de-DE"/>
        </w:rPr>
        <w:tab/>
        <w:t>0.116</w:t>
      </w:r>
      <w:r w:rsidRPr="00F45FAA">
        <w:rPr>
          <w:rFonts w:cs="Calibri"/>
          <w:color w:val="000000"/>
          <w:lang w:eastAsia="de-DE"/>
        </w:rPr>
        <w:tab/>
        <w:t>0.290</w:t>
      </w:r>
      <w:r w:rsidRPr="00F45FAA">
        <w:rPr>
          <w:rFonts w:cs="Calibri"/>
          <w:color w:val="000000"/>
          <w:lang w:eastAsia="de-DE"/>
        </w:rPr>
        <w:tab/>
        <w:t>0.799</w:t>
      </w:r>
      <w:r w:rsidRPr="00F45FAA">
        <w:rPr>
          <w:rFonts w:cs="Calibri"/>
          <w:color w:val="000000"/>
          <w:lang w:eastAsia="de-DE"/>
        </w:rPr>
        <w:tab/>
        <w:t>0.427</w:t>
      </w:r>
      <w:r w:rsidRPr="00F45FAA">
        <w:rPr>
          <w:rFonts w:cs="Calibri"/>
          <w:color w:val="000000"/>
          <w:lang w:eastAsia="de-DE"/>
        </w:rPr>
        <w:tab/>
      </w:r>
      <w:r w:rsidRPr="00F45FAA">
        <w:rPr>
          <w:rFonts w:cs="Calibri"/>
          <w:color w:val="000000"/>
          <w:lang w:eastAsia="de-DE"/>
        </w:rPr>
        <w:tab/>
        <w:t>0.0160*</w:t>
      </w:r>
      <w:r w:rsidRPr="00F45FAA">
        <w:rPr>
          <w:rFonts w:cs="Calibri"/>
          <w:color w:val="000000"/>
          <w:lang w:eastAsia="de-DE"/>
        </w:rPr>
        <w:tab/>
        <w:t>0.0039**</w:t>
      </w:r>
      <w:r w:rsidRPr="00F45FAA">
        <w:rPr>
          <w:rFonts w:cs="Calibri"/>
          <w:color w:val="000000"/>
          <w:lang w:eastAsia="de-DE"/>
        </w:rPr>
        <w:tab/>
        <w:t>0.0192*</w:t>
      </w:r>
      <w:r w:rsidRPr="00F45FAA">
        <w:rPr>
          <w:rFonts w:cs="Calibri"/>
          <w:color w:val="000000"/>
          <w:lang w:eastAsia="de-DE"/>
        </w:rPr>
        <w:tab/>
        <w:t>0.3073</w:t>
      </w:r>
      <w:r w:rsidRPr="00F45FAA">
        <w:rPr>
          <w:rFonts w:cs="Calibri"/>
          <w:color w:val="000000"/>
          <w:lang w:eastAsia="de-DE"/>
        </w:rPr>
        <w:tab/>
      </w:r>
      <w:r w:rsidRPr="00F45FAA">
        <w:rPr>
          <w:rFonts w:cs="Calibri"/>
          <w:color w:val="000000"/>
          <w:lang w:eastAsia="de-DE"/>
        </w:rPr>
        <w:tab/>
        <w:t>0.2473</w:t>
      </w:r>
      <w:r w:rsidRPr="00F45FAA">
        <w:rPr>
          <w:rFonts w:cs="Calibri"/>
          <w:color w:val="000000"/>
          <w:lang w:eastAsia="de-DE"/>
        </w:rPr>
        <w:tab/>
      </w:r>
      <w:r w:rsidRPr="00F45FAA">
        <w:rPr>
          <w:rFonts w:cs="Calibri"/>
          <w:color w:val="000000"/>
          <w:lang w:eastAsia="de-DE"/>
        </w:rPr>
        <w:tab/>
        <w:t>0.3776</w:t>
      </w:r>
    </w:p>
    <w:p w14:paraId="7D16DD31"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B cells</w:t>
      </w:r>
      <w:r w:rsidRPr="00F45FAA">
        <w:rPr>
          <w:rFonts w:cs="Calibri"/>
          <w:color w:val="000000"/>
          <w:lang w:val="en-US" w:eastAsia="de-DE"/>
        </w:rPr>
        <w:tab/>
        <w:t>0.005</w:t>
      </w:r>
      <w:r w:rsidRPr="00F45FAA">
        <w:rPr>
          <w:rFonts w:cs="Calibri"/>
          <w:color w:val="000000"/>
          <w:lang w:val="en-US" w:eastAsia="de-DE"/>
        </w:rPr>
        <w:tab/>
        <w:t>0.006</w:t>
      </w:r>
      <w:r w:rsidRPr="00F45FAA">
        <w:rPr>
          <w:rFonts w:cs="Calibri"/>
          <w:color w:val="000000"/>
          <w:lang w:val="en-US" w:eastAsia="de-DE"/>
        </w:rPr>
        <w:tab/>
        <w:t>0.071</w:t>
      </w:r>
      <w:r w:rsidRPr="00F45FAA">
        <w:rPr>
          <w:rFonts w:cs="Calibri"/>
          <w:color w:val="000000"/>
          <w:lang w:val="en-US" w:eastAsia="de-DE"/>
        </w:rPr>
        <w:tab/>
        <w:t>0.071</w:t>
      </w:r>
      <w:r w:rsidRPr="00F45FAA">
        <w:rPr>
          <w:rFonts w:cs="Calibri"/>
          <w:color w:val="000000"/>
          <w:lang w:val="en-US" w:eastAsia="de-DE"/>
        </w:rPr>
        <w:tab/>
      </w:r>
      <w:r w:rsidRPr="00F45FAA">
        <w:rPr>
          <w:rFonts w:cs="Calibri"/>
          <w:color w:val="000000"/>
          <w:lang w:val="en-US" w:eastAsia="de-DE"/>
        </w:rPr>
        <w:tab/>
        <w:t>0.1301</w:t>
      </w:r>
      <w:r w:rsidRPr="00F45FAA">
        <w:rPr>
          <w:rFonts w:cs="Calibri"/>
          <w:color w:val="000000"/>
          <w:lang w:val="en-US" w:eastAsia="de-DE"/>
        </w:rPr>
        <w:tab/>
      </w:r>
      <w:r w:rsidRPr="00F45FAA">
        <w:rPr>
          <w:rFonts w:cs="Calibri"/>
          <w:color w:val="000000"/>
          <w:lang w:val="en-US" w:eastAsia="de-DE"/>
        </w:rPr>
        <w:tab/>
        <w:t>0.0107*</w:t>
      </w:r>
      <w:r w:rsidRPr="00F45FAA">
        <w:rPr>
          <w:rFonts w:cs="Calibri"/>
          <w:color w:val="000000"/>
          <w:lang w:val="en-US" w:eastAsia="de-DE"/>
        </w:rPr>
        <w:tab/>
        <w:t>0.0085**</w:t>
      </w:r>
      <w:r w:rsidRPr="00F45FAA">
        <w:rPr>
          <w:rFonts w:cs="Calibri"/>
          <w:color w:val="000000"/>
          <w:lang w:val="en-US" w:eastAsia="de-DE"/>
        </w:rPr>
        <w:tab/>
        <w:t>0.0113*</w:t>
      </w:r>
      <w:r w:rsidRPr="00F45FAA">
        <w:rPr>
          <w:rFonts w:cs="Calibri"/>
          <w:color w:val="000000"/>
          <w:lang w:val="en-US" w:eastAsia="de-DE"/>
        </w:rPr>
        <w:tab/>
        <w:t>0.0078**</w:t>
      </w:r>
      <w:r w:rsidRPr="00F45FAA">
        <w:rPr>
          <w:rFonts w:cs="Calibri"/>
          <w:color w:val="000000"/>
          <w:lang w:val="en-US" w:eastAsia="de-DE"/>
        </w:rPr>
        <w:tab/>
        <w:t>0.2422</w:t>
      </w:r>
    </w:p>
    <w:p w14:paraId="71309370"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NK cells</w:t>
      </w:r>
      <w:r w:rsidRPr="00F45FAA">
        <w:rPr>
          <w:rFonts w:cs="Calibri"/>
          <w:color w:val="000000"/>
          <w:lang w:val="en-US" w:eastAsia="de-DE"/>
        </w:rPr>
        <w:tab/>
        <w:t>0.048</w:t>
      </w:r>
      <w:r w:rsidRPr="00F45FAA">
        <w:rPr>
          <w:rFonts w:cs="Calibri"/>
          <w:color w:val="000000"/>
          <w:lang w:val="en-US" w:eastAsia="de-DE"/>
        </w:rPr>
        <w:tab/>
        <w:t>0.261</w:t>
      </w:r>
      <w:r w:rsidRPr="00F45FAA">
        <w:rPr>
          <w:rFonts w:cs="Calibri"/>
          <w:color w:val="000000"/>
          <w:lang w:val="en-US" w:eastAsia="de-DE"/>
        </w:rPr>
        <w:tab/>
        <w:t>0.174</w:t>
      </w:r>
      <w:r w:rsidRPr="00F45FAA">
        <w:rPr>
          <w:rFonts w:cs="Calibri"/>
          <w:color w:val="000000"/>
          <w:lang w:val="en-US" w:eastAsia="de-DE"/>
        </w:rPr>
        <w:tab/>
        <w:t>0.213</w:t>
      </w:r>
      <w:r w:rsidRPr="00F45FAA">
        <w:rPr>
          <w:rFonts w:cs="Calibri"/>
          <w:color w:val="000000"/>
          <w:lang w:val="en-US" w:eastAsia="de-DE"/>
        </w:rPr>
        <w:tab/>
      </w:r>
      <w:r w:rsidRPr="00F45FAA">
        <w:rPr>
          <w:rFonts w:cs="Calibri"/>
          <w:color w:val="000000"/>
          <w:lang w:val="en-US" w:eastAsia="de-DE"/>
        </w:rPr>
        <w:tab/>
        <w:t>0.0660</w:t>
      </w:r>
      <w:r w:rsidRPr="00F45FAA">
        <w:rPr>
          <w:rFonts w:cs="Calibri"/>
          <w:color w:val="000000"/>
          <w:lang w:val="en-US" w:eastAsia="de-DE"/>
        </w:rPr>
        <w:tab/>
      </w:r>
      <w:r w:rsidRPr="00F45FAA">
        <w:rPr>
          <w:rFonts w:cs="Calibri"/>
          <w:color w:val="000000"/>
          <w:lang w:val="en-US" w:eastAsia="de-DE"/>
        </w:rPr>
        <w:tab/>
        <w:t>0.0846</w:t>
      </w:r>
      <w:r w:rsidRPr="00F45FAA">
        <w:rPr>
          <w:rFonts w:cs="Calibri"/>
          <w:color w:val="000000"/>
          <w:lang w:val="en-US" w:eastAsia="de-DE"/>
        </w:rPr>
        <w:tab/>
      </w:r>
      <w:r w:rsidRPr="00F45FAA">
        <w:rPr>
          <w:rFonts w:cs="Calibri"/>
          <w:color w:val="000000"/>
          <w:lang w:val="en-US" w:eastAsia="de-DE"/>
        </w:rPr>
        <w:tab/>
        <w:t>0.0110*</w:t>
      </w:r>
      <w:r w:rsidRPr="00F45FAA">
        <w:rPr>
          <w:rFonts w:cs="Calibri"/>
          <w:color w:val="000000"/>
          <w:lang w:val="en-US" w:eastAsia="de-DE"/>
        </w:rPr>
        <w:tab/>
        <w:t>0.3462</w:t>
      </w:r>
      <w:r w:rsidRPr="00F45FAA">
        <w:rPr>
          <w:rFonts w:cs="Calibri"/>
          <w:color w:val="000000"/>
          <w:lang w:val="en-US" w:eastAsia="de-DE"/>
        </w:rPr>
        <w:tab/>
      </w:r>
      <w:r w:rsidRPr="00F45FAA">
        <w:rPr>
          <w:rFonts w:cs="Calibri"/>
          <w:color w:val="000000"/>
          <w:lang w:val="en-US" w:eastAsia="de-DE"/>
        </w:rPr>
        <w:tab/>
        <w:t>0.2932</w:t>
      </w:r>
      <w:r w:rsidRPr="00F45FAA">
        <w:rPr>
          <w:rFonts w:cs="Calibri"/>
          <w:color w:val="000000"/>
          <w:lang w:val="en-US" w:eastAsia="de-DE"/>
        </w:rPr>
        <w:tab/>
      </w:r>
      <w:r w:rsidRPr="00F45FAA">
        <w:rPr>
          <w:rFonts w:cs="Calibri"/>
          <w:color w:val="000000"/>
          <w:lang w:val="en-US" w:eastAsia="de-DE"/>
        </w:rPr>
        <w:tab/>
        <w:t>0.1415</w:t>
      </w:r>
    </w:p>
    <w:p w14:paraId="6F952C97"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Eosinophils</w:t>
      </w:r>
      <w:r w:rsidRPr="00F45FAA">
        <w:rPr>
          <w:rFonts w:cs="Calibri"/>
          <w:color w:val="000000"/>
          <w:lang w:val="en-US" w:eastAsia="de-DE"/>
        </w:rPr>
        <w:tab/>
        <w:t>0.080</w:t>
      </w:r>
      <w:r w:rsidRPr="00F45FAA">
        <w:rPr>
          <w:rFonts w:cs="Calibri"/>
          <w:color w:val="000000"/>
          <w:lang w:val="en-US" w:eastAsia="de-DE"/>
        </w:rPr>
        <w:tab/>
        <w:t>0.100</w:t>
      </w:r>
      <w:r w:rsidRPr="00F45FAA">
        <w:rPr>
          <w:rFonts w:cs="Calibri"/>
          <w:color w:val="000000"/>
          <w:lang w:val="en-US" w:eastAsia="de-DE"/>
        </w:rPr>
        <w:tab/>
        <w:t>0.190</w:t>
      </w:r>
      <w:r w:rsidRPr="00F45FAA">
        <w:rPr>
          <w:rFonts w:cs="Calibri"/>
          <w:color w:val="000000"/>
          <w:lang w:val="en-US" w:eastAsia="de-DE"/>
        </w:rPr>
        <w:tab/>
        <w:t>0.011</w:t>
      </w:r>
      <w:r w:rsidRPr="00F45FAA">
        <w:rPr>
          <w:rFonts w:cs="Calibri"/>
          <w:color w:val="000000"/>
          <w:lang w:val="en-US" w:eastAsia="de-DE"/>
        </w:rPr>
        <w:tab/>
      </w:r>
      <w:r w:rsidRPr="00F45FAA">
        <w:rPr>
          <w:rFonts w:cs="Calibri"/>
          <w:color w:val="000000"/>
          <w:lang w:val="en-US" w:eastAsia="de-DE"/>
        </w:rPr>
        <w:tab/>
        <w:t>0.2714</w:t>
      </w:r>
      <w:r w:rsidRPr="00F45FAA">
        <w:rPr>
          <w:rFonts w:cs="Calibri"/>
          <w:color w:val="000000"/>
          <w:lang w:val="en-US" w:eastAsia="de-DE"/>
        </w:rPr>
        <w:tab/>
      </w:r>
      <w:r w:rsidRPr="00F45FAA">
        <w:rPr>
          <w:rFonts w:cs="Calibri"/>
          <w:color w:val="000000"/>
          <w:lang w:val="en-US" w:eastAsia="de-DE"/>
        </w:rPr>
        <w:tab/>
        <w:t>0.0247*</w:t>
      </w:r>
      <w:r w:rsidRPr="00F45FAA">
        <w:rPr>
          <w:rFonts w:cs="Calibri"/>
          <w:color w:val="000000"/>
          <w:lang w:val="en-US" w:eastAsia="de-DE"/>
        </w:rPr>
        <w:tab/>
        <w:t>0.2902</w:t>
      </w:r>
      <w:r w:rsidRPr="00F45FAA">
        <w:rPr>
          <w:rFonts w:cs="Calibri"/>
          <w:color w:val="000000"/>
          <w:lang w:val="en-US" w:eastAsia="de-DE"/>
        </w:rPr>
        <w:tab/>
      </w:r>
      <w:r w:rsidRPr="00F45FAA">
        <w:rPr>
          <w:rFonts w:cs="Calibri"/>
          <w:color w:val="000000"/>
          <w:lang w:val="en-US" w:eastAsia="de-DE"/>
        </w:rPr>
        <w:tab/>
        <w:t>0.1019</w:t>
      </w:r>
      <w:r w:rsidRPr="00F45FAA">
        <w:rPr>
          <w:rFonts w:cs="Calibri"/>
          <w:color w:val="000000"/>
          <w:lang w:val="en-US" w:eastAsia="de-DE"/>
        </w:rPr>
        <w:tab/>
      </w:r>
      <w:r w:rsidRPr="00F45FAA">
        <w:rPr>
          <w:rFonts w:cs="Calibri"/>
          <w:color w:val="000000"/>
          <w:lang w:val="en-US" w:eastAsia="de-DE"/>
        </w:rPr>
        <w:tab/>
        <w:t>0.4487</w:t>
      </w:r>
      <w:r w:rsidRPr="00F45FAA">
        <w:rPr>
          <w:rFonts w:cs="Calibri"/>
          <w:color w:val="000000"/>
          <w:lang w:val="en-US" w:eastAsia="de-DE"/>
        </w:rPr>
        <w:tab/>
      </w:r>
      <w:r w:rsidRPr="00F45FAA">
        <w:rPr>
          <w:rFonts w:cs="Calibri"/>
          <w:color w:val="000000"/>
          <w:lang w:val="en-US" w:eastAsia="de-DE"/>
        </w:rPr>
        <w:tab/>
        <w:t>0.0556</w:t>
      </w:r>
    </w:p>
    <w:p w14:paraId="48DC9544" w14:textId="77777777" w:rsidR="00073F7B" w:rsidRPr="00F45FAA" w:rsidRDefault="00073F7B" w:rsidP="00073F7B">
      <w:pPr>
        <w:tabs>
          <w:tab w:val="left" w:pos="1843"/>
        </w:tabs>
        <w:rPr>
          <w:rFonts w:cs="Calibri"/>
          <w:color w:val="000000"/>
          <w:lang w:val="en-US" w:eastAsia="de-DE"/>
        </w:rPr>
      </w:pPr>
      <w:r w:rsidRPr="00F45FAA">
        <w:rPr>
          <w:rFonts w:cs="Calibri"/>
          <w:color w:val="000000"/>
          <w:lang w:val="en-US" w:eastAsia="de-DE"/>
        </w:rPr>
        <w:t>Neutrophils</w:t>
      </w:r>
      <w:r w:rsidRPr="00F45FAA">
        <w:rPr>
          <w:rFonts w:cs="Calibri"/>
          <w:color w:val="000000"/>
          <w:lang w:val="en-US" w:eastAsia="de-DE"/>
        </w:rPr>
        <w:tab/>
        <w:t>2.240</w:t>
      </w:r>
      <w:r w:rsidRPr="00F45FAA">
        <w:rPr>
          <w:rFonts w:cs="Calibri"/>
          <w:color w:val="000000"/>
          <w:lang w:val="en-US" w:eastAsia="de-DE"/>
        </w:rPr>
        <w:tab/>
        <w:t>3.700</w:t>
      </w:r>
      <w:r w:rsidRPr="00F45FAA">
        <w:rPr>
          <w:rFonts w:cs="Calibri"/>
          <w:color w:val="000000"/>
          <w:lang w:val="en-US" w:eastAsia="de-DE"/>
        </w:rPr>
        <w:tab/>
        <w:t>4.710</w:t>
      </w:r>
      <w:r w:rsidRPr="00F45FAA">
        <w:rPr>
          <w:rFonts w:cs="Calibri"/>
          <w:color w:val="000000"/>
          <w:lang w:val="en-US" w:eastAsia="de-DE"/>
        </w:rPr>
        <w:tab/>
        <w:t>5.650</w:t>
      </w:r>
      <w:r w:rsidRPr="00F45FAA">
        <w:rPr>
          <w:rFonts w:cs="Calibri"/>
          <w:color w:val="000000"/>
          <w:lang w:val="en-US" w:eastAsia="de-DE"/>
        </w:rPr>
        <w:tab/>
      </w:r>
      <w:r w:rsidRPr="00F45FAA">
        <w:rPr>
          <w:rFonts w:cs="Calibri"/>
          <w:color w:val="000000"/>
          <w:lang w:val="en-US" w:eastAsia="de-DE"/>
        </w:rPr>
        <w:tab/>
        <w:t>0.2413</w:t>
      </w:r>
      <w:r w:rsidRPr="00F45FAA">
        <w:rPr>
          <w:rFonts w:cs="Calibri"/>
          <w:color w:val="000000"/>
          <w:lang w:val="en-US" w:eastAsia="de-DE"/>
        </w:rPr>
        <w:tab/>
      </w:r>
      <w:r w:rsidRPr="00F45FAA">
        <w:rPr>
          <w:rFonts w:cs="Calibri"/>
          <w:color w:val="000000"/>
          <w:lang w:val="en-US" w:eastAsia="de-DE"/>
        </w:rPr>
        <w:tab/>
        <w:t>0.0442*</w:t>
      </w:r>
      <w:r w:rsidRPr="00F45FAA">
        <w:rPr>
          <w:rFonts w:cs="Calibri"/>
          <w:color w:val="000000"/>
          <w:lang w:val="en-US" w:eastAsia="de-DE"/>
        </w:rPr>
        <w:tab/>
        <w:t>0.0164*</w:t>
      </w:r>
      <w:r w:rsidRPr="00F45FAA">
        <w:rPr>
          <w:rFonts w:cs="Calibri"/>
          <w:color w:val="000000"/>
          <w:lang w:val="en-US" w:eastAsia="de-DE"/>
        </w:rPr>
        <w:tab/>
        <w:t>0.0521</w:t>
      </w:r>
      <w:r w:rsidRPr="00F45FAA">
        <w:rPr>
          <w:rFonts w:cs="Calibri"/>
          <w:color w:val="000000"/>
          <w:lang w:val="en-US" w:eastAsia="de-DE"/>
        </w:rPr>
        <w:tab/>
      </w:r>
      <w:r w:rsidRPr="00F45FAA">
        <w:rPr>
          <w:rFonts w:cs="Calibri"/>
          <w:color w:val="000000"/>
          <w:lang w:val="en-US" w:eastAsia="de-DE"/>
        </w:rPr>
        <w:tab/>
        <w:t>0.0152*</w:t>
      </w:r>
      <w:r w:rsidRPr="00F45FAA">
        <w:rPr>
          <w:rFonts w:cs="Calibri"/>
          <w:color w:val="000000"/>
          <w:lang w:val="en-US" w:eastAsia="de-DE"/>
        </w:rPr>
        <w:tab/>
        <w:t>0.1217</w:t>
      </w:r>
    </w:p>
    <w:p w14:paraId="1EC063E3" w14:textId="77777777" w:rsidR="005E2987" w:rsidRPr="00F45FAA" w:rsidRDefault="005E2987">
      <w:pPr>
        <w:rPr>
          <w:b/>
          <w:lang w:val="en-US"/>
        </w:rPr>
        <w:sectPr w:rsidR="005E2987" w:rsidRPr="00F45FAA" w:rsidSect="0038306F">
          <w:pgSz w:w="16838" w:h="11906" w:orient="landscape"/>
          <w:pgMar w:top="1417" w:right="1417" w:bottom="1417" w:left="851" w:header="708" w:footer="708" w:gutter="0"/>
          <w:cols w:space="708"/>
          <w:docGrid w:linePitch="360"/>
        </w:sectPr>
      </w:pPr>
    </w:p>
    <w:p w14:paraId="358B9FB4" w14:textId="5C54DB20" w:rsidR="001E10AD" w:rsidRDefault="001E10AD" w:rsidP="001E10AD">
      <w:pPr>
        <w:rPr>
          <w:noProof/>
          <w:lang w:val="en-US"/>
        </w:rPr>
      </w:pPr>
      <w:r w:rsidRPr="00F45FAA">
        <w:rPr>
          <w:b/>
          <w:bCs/>
          <w:noProof/>
          <w:lang w:val="en-US"/>
        </w:rPr>
        <w:lastRenderedPageBreak/>
        <w:t xml:space="preserve">Tab. S4 </w:t>
      </w:r>
      <w:r w:rsidRPr="00F45FAA">
        <w:rPr>
          <w:noProof/>
          <w:lang w:val="en-US"/>
        </w:rPr>
        <w:t>Spearman correlation analysis between PFS categories (PFS &lt; 6 mo</w:t>
      </w:r>
      <w:r w:rsidR="00764940" w:rsidRPr="00F45FAA">
        <w:rPr>
          <w:noProof/>
          <w:lang w:val="en-US"/>
        </w:rPr>
        <w:t>nths</w:t>
      </w:r>
      <w:r w:rsidRPr="00F45FAA">
        <w:rPr>
          <w:noProof/>
          <w:lang w:val="en-US"/>
        </w:rPr>
        <w:t>, ≥6 &lt;12 mo</w:t>
      </w:r>
      <w:r w:rsidR="00764940" w:rsidRPr="00F45FAA">
        <w:rPr>
          <w:noProof/>
          <w:lang w:val="en-US"/>
        </w:rPr>
        <w:t>nths</w:t>
      </w:r>
      <w:r w:rsidRPr="00F45FAA">
        <w:rPr>
          <w:noProof/>
          <w:lang w:val="en-US"/>
        </w:rPr>
        <w:t>, ≥12 mo</w:t>
      </w:r>
      <w:r w:rsidR="00764940" w:rsidRPr="00F45FAA">
        <w:rPr>
          <w:noProof/>
          <w:lang w:val="en-US"/>
        </w:rPr>
        <w:t>nths</w:t>
      </w:r>
      <w:r w:rsidRPr="00F45FAA">
        <w:rPr>
          <w:noProof/>
          <w:lang w:val="en-US"/>
        </w:rPr>
        <w:t>) and AUC of blood cell populations using Spearman’s correlation test (* p&lt;0.05, ** p&lt;0.01, *** p&lt;0.001).</w:t>
      </w:r>
    </w:p>
    <w:tbl>
      <w:tblPr>
        <w:tblW w:w="4400" w:type="dxa"/>
        <w:tblCellMar>
          <w:left w:w="70" w:type="dxa"/>
          <w:right w:w="70" w:type="dxa"/>
        </w:tblCellMar>
        <w:tblLook w:val="04A0" w:firstRow="1" w:lastRow="0" w:firstColumn="1" w:lastColumn="0" w:noHBand="0" w:noVBand="1"/>
      </w:tblPr>
      <w:tblGrid>
        <w:gridCol w:w="2420"/>
        <w:gridCol w:w="1980"/>
      </w:tblGrid>
      <w:tr w:rsidR="001E10AD" w:rsidRPr="00F45FAA" w14:paraId="3722B8EF" w14:textId="77777777" w:rsidTr="00EA248F">
        <w:trPr>
          <w:trHeight w:val="439"/>
        </w:trPr>
        <w:tc>
          <w:tcPr>
            <w:tcW w:w="2420" w:type="dxa"/>
            <w:tcBorders>
              <w:top w:val="nil"/>
              <w:left w:val="nil"/>
              <w:bottom w:val="single" w:sz="4" w:space="0" w:color="auto"/>
              <w:right w:val="nil"/>
            </w:tcBorders>
            <w:shd w:val="clear" w:color="auto" w:fill="auto"/>
            <w:noWrap/>
            <w:vAlign w:val="center"/>
            <w:hideMark/>
          </w:tcPr>
          <w:p w14:paraId="487A945B" w14:textId="4EA52E40" w:rsidR="001E10AD" w:rsidRPr="00F45FAA" w:rsidRDefault="0038306F" w:rsidP="00EA248F">
            <w:pPr>
              <w:spacing w:after="0" w:line="240" w:lineRule="auto"/>
              <w:rPr>
                <w:rFonts w:eastAsia="Times New Roman" w:cs="Calibri"/>
                <w:color w:val="000000"/>
                <w:lang w:eastAsia="de-DE"/>
              </w:rPr>
            </w:pPr>
            <w:r>
              <w:rPr>
                <w:rFonts w:eastAsia="Times New Roman" w:cs="Calibri"/>
                <w:color w:val="000000"/>
                <w:lang w:eastAsia="de-DE"/>
              </w:rPr>
              <w:br/>
            </w:r>
            <w:r w:rsidR="001E10AD" w:rsidRPr="00F45FAA">
              <w:rPr>
                <w:rFonts w:eastAsia="Times New Roman" w:cs="Calibri"/>
                <w:color w:val="000000"/>
                <w:lang w:eastAsia="de-DE"/>
              </w:rPr>
              <w:t>AUC</w:t>
            </w:r>
          </w:p>
        </w:tc>
        <w:tc>
          <w:tcPr>
            <w:tcW w:w="1980" w:type="dxa"/>
            <w:tcBorders>
              <w:top w:val="nil"/>
              <w:left w:val="nil"/>
              <w:bottom w:val="single" w:sz="4" w:space="0" w:color="auto"/>
              <w:right w:val="nil"/>
            </w:tcBorders>
            <w:shd w:val="clear" w:color="auto" w:fill="auto"/>
            <w:noWrap/>
            <w:vAlign w:val="center"/>
            <w:hideMark/>
          </w:tcPr>
          <w:p w14:paraId="219A4A57"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p</w:t>
            </w:r>
          </w:p>
        </w:tc>
      </w:tr>
      <w:tr w:rsidR="001E10AD" w:rsidRPr="00F45FAA" w14:paraId="0249D4F8" w14:textId="77777777" w:rsidTr="00EA248F">
        <w:trPr>
          <w:trHeight w:val="439"/>
        </w:trPr>
        <w:tc>
          <w:tcPr>
            <w:tcW w:w="2420" w:type="dxa"/>
            <w:tcBorders>
              <w:top w:val="nil"/>
              <w:left w:val="nil"/>
              <w:bottom w:val="nil"/>
              <w:right w:val="nil"/>
            </w:tcBorders>
            <w:shd w:val="clear" w:color="auto" w:fill="auto"/>
            <w:noWrap/>
            <w:vAlign w:val="center"/>
            <w:hideMark/>
          </w:tcPr>
          <w:p w14:paraId="4A1D6DAF"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Lymphocytes</w:t>
            </w:r>
          </w:p>
        </w:tc>
        <w:tc>
          <w:tcPr>
            <w:tcW w:w="1980" w:type="dxa"/>
            <w:tcBorders>
              <w:top w:val="nil"/>
              <w:left w:val="nil"/>
              <w:bottom w:val="nil"/>
              <w:right w:val="nil"/>
            </w:tcBorders>
            <w:shd w:val="clear" w:color="auto" w:fill="auto"/>
            <w:noWrap/>
            <w:vAlign w:val="center"/>
            <w:hideMark/>
          </w:tcPr>
          <w:p w14:paraId="6605A9A4"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0.040*</w:t>
            </w:r>
          </w:p>
        </w:tc>
      </w:tr>
      <w:tr w:rsidR="001E10AD" w:rsidRPr="00F45FAA" w14:paraId="7055AD96" w14:textId="77777777" w:rsidTr="00EA248F">
        <w:trPr>
          <w:trHeight w:val="439"/>
        </w:trPr>
        <w:tc>
          <w:tcPr>
            <w:tcW w:w="2420" w:type="dxa"/>
            <w:tcBorders>
              <w:top w:val="nil"/>
              <w:left w:val="nil"/>
              <w:bottom w:val="nil"/>
              <w:right w:val="nil"/>
            </w:tcBorders>
            <w:shd w:val="clear" w:color="auto" w:fill="auto"/>
            <w:noWrap/>
            <w:vAlign w:val="center"/>
            <w:hideMark/>
          </w:tcPr>
          <w:p w14:paraId="657BE025"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total CD3+ T cells</w:t>
            </w:r>
          </w:p>
        </w:tc>
        <w:tc>
          <w:tcPr>
            <w:tcW w:w="1980" w:type="dxa"/>
            <w:tcBorders>
              <w:top w:val="nil"/>
              <w:left w:val="nil"/>
              <w:bottom w:val="nil"/>
              <w:right w:val="nil"/>
            </w:tcBorders>
            <w:shd w:val="clear" w:color="auto" w:fill="auto"/>
            <w:noWrap/>
            <w:vAlign w:val="center"/>
            <w:hideMark/>
          </w:tcPr>
          <w:p w14:paraId="5C52D22B"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0.011*</w:t>
            </w:r>
          </w:p>
        </w:tc>
      </w:tr>
      <w:tr w:rsidR="001E10AD" w:rsidRPr="00F45FAA" w14:paraId="42DC3832" w14:textId="77777777" w:rsidTr="00EA248F">
        <w:trPr>
          <w:trHeight w:val="439"/>
        </w:trPr>
        <w:tc>
          <w:tcPr>
            <w:tcW w:w="2420" w:type="dxa"/>
            <w:tcBorders>
              <w:top w:val="nil"/>
              <w:left w:val="nil"/>
              <w:bottom w:val="nil"/>
              <w:right w:val="nil"/>
            </w:tcBorders>
            <w:shd w:val="clear" w:color="auto" w:fill="auto"/>
            <w:noWrap/>
            <w:vAlign w:val="center"/>
            <w:hideMark/>
          </w:tcPr>
          <w:p w14:paraId="21F137E6"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CD4+ T cells</w:t>
            </w:r>
          </w:p>
        </w:tc>
        <w:tc>
          <w:tcPr>
            <w:tcW w:w="1980" w:type="dxa"/>
            <w:tcBorders>
              <w:top w:val="nil"/>
              <w:left w:val="nil"/>
              <w:bottom w:val="nil"/>
              <w:right w:val="nil"/>
            </w:tcBorders>
            <w:shd w:val="clear" w:color="auto" w:fill="auto"/>
            <w:noWrap/>
            <w:vAlign w:val="center"/>
            <w:hideMark/>
          </w:tcPr>
          <w:p w14:paraId="3DFA3551"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0.001***</w:t>
            </w:r>
          </w:p>
        </w:tc>
      </w:tr>
      <w:tr w:rsidR="001E10AD" w:rsidRPr="00F45FAA" w14:paraId="2C063281" w14:textId="77777777" w:rsidTr="00EA248F">
        <w:trPr>
          <w:trHeight w:val="439"/>
        </w:trPr>
        <w:tc>
          <w:tcPr>
            <w:tcW w:w="2420" w:type="dxa"/>
            <w:tcBorders>
              <w:top w:val="nil"/>
              <w:left w:val="nil"/>
              <w:bottom w:val="nil"/>
              <w:right w:val="nil"/>
            </w:tcBorders>
            <w:shd w:val="clear" w:color="auto" w:fill="auto"/>
            <w:noWrap/>
            <w:vAlign w:val="center"/>
            <w:hideMark/>
          </w:tcPr>
          <w:p w14:paraId="1564B2DA"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CD8+ T cells</w:t>
            </w:r>
          </w:p>
        </w:tc>
        <w:tc>
          <w:tcPr>
            <w:tcW w:w="1980" w:type="dxa"/>
            <w:tcBorders>
              <w:top w:val="nil"/>
              <w:left w:val="nil"/>
              <w:bottom w:val="nil"/>
              <w:right w:val="nil"/>
            </w:tcBorders>
            <w:shd w:val="clear" w:color="auto" w:fill="auto"/>
            <w:noWrap/>
            <w:vAlign w:val="center"/>
            <w:hideMark/>
          </w:tcPr>
          <w:p w14:paraId="532E231F"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0.096</w:t>
            </w:r>
          </w:p>
        </w:tc>
      </w:tr>
      <w:tr w:rsidR="001E10AD" w:rsidRPr="00F45FAA" w14:paraId="3DAF9060" w14:textId="77777777" w:rsidTr="00EA248F">
        <w:trPr>
          <w:trHeight w:val="439"/>
        </w:trPr>
        <w:tc>
          <w:tcPr>
            <w:tcW w:w="2420" w:type="dxa"/>
            <w:tcBorders>
              <w:top w:val="nil"/>
              <w:left w:val="nil"/>
              <w:bottom w:val="nil"/>
              <w:right w:val="nil"/>
            </w:tcBorders>
            <w:shd w:val="clear" w:color="auto" w:fill="auto"/>
            <w:noWrap/>
            <w:vAlign w:val="center"/>
            <w:hideMark/>
          </w:tcPr>
          <w:p w14:paraId="04CC5B54"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B cells</w:t>
            </w:r>
          </w:p>
        </w:tc>
        <w:tc>
          <w:tcPr>
            <w:tcW w:w="1980" w:type="dxa"/>
            <w:tcBorders>
              <w:top w:val="nil"/>
              <w:left w:val="nil"/>
              <w:bottom w:val="nil"/>
              <w:right w:val="nil"/>
            </w:tcBorders>
            <w:shd w:val="clear" w:color="auto" w:fill="auto"/>
            <w:noWrap/>
            <w:vAlign w:val="center"/>
            <w:hideMark/>
          </w:tcPr>
          <w:p w14:paraId="2ED85E8A"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0.221</w:t>
            </w:r>
          </w:p>
        </w:tc>
      </w:tr>
      <w:tr w:rsidR="001E10AD" w:rsidRPr="00F45FAA" w14:paraId="4401695F" w14:textId="77777777" w:rsidTr="00EA248F">
        <w:trPr>
          <w:trHeight w:val="439"/>
        </w:trPr>
        <w:tc>
          <w:tcPr>
            <w:tcW w:w="2420" w:type="dxa"/>
            <w:tcBorders>
              <w:top w:val="nil"/>
              <w:left w:val="nil"/>
              <w:bottom w:val="nil"/>
              <w:right w:val="nil"/>
            </w:tcBorders>
            <w:shd w:val="clear" w:color="auto" w:fill="auto"/>
            <w:noWrap/>
            <w:vAlign w:val="center"/>
            <w:hideMark/>
          </w:tcPr>
          <w:p w14:paraId="13428E37"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NK cells</w:t>
            </w:r>
          </w:p>
        </w:tc>
        <w:tc>
          <w:tcPr>
            <w:tcW w:w="1980" w:type="dxa"/>
            <w:tcBorders>
              <w:top w:val="nil"/>
              <w:left w:val="nil"/>
              <w:bottom w:val="nil"/>
              <w:right w:val="nil"/>
            </w:tcBorders>
            <w:shd w:val="clear" w:color="auto" w:fill="auto"/>
            <w:noWrap/>
            <w:vAlign w:val="center"/>
            <w:hideMark/>
          </w:tcPr>
          <w:p w14:paraId="7B569790"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0.0002***</w:t>
            </w:r>
          </w:p>
        </w:tc>
      </w:tr>
      <w:tr w:rsidR="001E10AD" w:rsidRPr="00F45FAA" w14:paraId="42F44271" w14:textId="77777777" w:rsidTr="00EA248F">
        <w:trPr>
          <w:trHeight w:val="439"/>
        </w:trPr>
        <w:tc>
          <w:tcPr>
            <w:tcW w:w="2420" w:type="dxa"/>
            <w:tcBorders>
              <w:top w:val="nil"/>
              <w:left w:val="nil"/>
              <w:bottom w:val="nil"/>
              <w:right w:val="nil"/>
            </w:tcBorders>
            <w:shd w:val="clear" w:color="auto" w:fill="auto"/>
            <w:noWrap/>
            <w:vAlign w:val="center"/>
            <w:hideMark/>
          </w:tcPr>
          <w:p w14:paraId="0534374F"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Eosinophils</w:t>
            </w:r>
          </w:p>
        </w:tc>
        <w:tc>
          <w:tcPr>
            <w:tcW w:w="1980" w:type="dxa"/>
            <w:tcBorders>
              <w:top w:val="nil"/>
              <w:left w:val="nil"/>
              <w:bottom w:val="nil"/>
              <w:right w:val="nil"/>
            </w:tcBorders>
            <w:shd w:val="clear" w:color="auto" w:fill="auto"/>
            <w:noWrap/>
            <w:vAlign w:val="center"/>
            <w:hideMark/>
          </w:tcPr>
          <w:p w14:paraId="3F3A845A"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0.297</w:t>
            </w:r>
          </w:p>
        </w:tc>
      </w:tr>
      <w:tr w:rsidR="001E10AD" w:rsidRPr="00F45FAA" w14:paraId="75E6E260" w14:textId="77777777" w:rsidTr="00EA248F">
        <w:trPr>
          <w:trHeight w:val="439"/>
        </w:trPr>
        <w:tc>
          <w:tcPr>
            <w:tcW w:w="2420" w:type="dxa"/>
            <w:tcBorders>
              <w:top w:val="nil"/>
              <w:left w:val="nil"/>
              <w:bottom w:val="nil"/>
              <w:right w:val="nil"/>
            </w:tcBorders>
            <w:shd w:val="clear" w:color="auto" w:fill="auto"/>
            <w:noWrap/>
            <w:vAlign w:val="center"/>
            <w:hideMark/>
          </w:tcPr>
          <w:p w14:paraId="2FA5C969"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Neutrophils</w:t>
            </w:r>
          </w:p>
        </w:tc>
        <w:tc>
          <w:tcPr>
            <w:tcW w:w="1980" w:type="dxa"/>
            <w:tcBorders>
              <w:top w:val="nil"/>
              <w:left w:val="nil"/>
              <w:bottom w:val="nil"/>
              <w:right w:val="nil"/>
            </w:tcBorders>
            <w:shd w:val="clear" w:color="auto" w:fill="auto"/>
            <w:noWrap/>
            <w:vAlign w:val="center"/>
            <w:hideMark/>
          </w:tcPr>
          <w:p w14:paraId="062C8B41"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0.638</w:t>
            </w:r>
          </w:p>
        </w:tc>
      </w:tr>
      <w:tr w:rsidR="001E10AD" w:rsidRPr="00F45FAA" w14:paraId="2AAC6ED1" w14:textId="77777777" w:rsidTr="00EA248F">
        <w:trPr>
          <w:trHeight w:val="439"/>
        </w:trPr>
        <w:tc>
          <w:tcPr>
            <w:tcW w:w="2420" w:type="dxa"/>
            <w:tcBorders>
              <w:top w:val="nil"/>
              <w:left w:val="nil"/>
              <w:bottom w:val="nil"/>
              <w:right w:val="nil"/>
            </w:tcBorders>
            <w:shd w:val="clear" w:color="auto" w:fill="auto"/>
            <w:noWrap/>
            <w:vAlign w:val="center"/>
            <w:hideMark/>
          </w:tcPr>
          <w:p w14:paraId="35876BB2"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NLR</w:t>
            </w:r>
          </w:p>
        </w:tc>
        <w:tc>
          <w:tcPr>
            <w:tcW w:w="1980" w:type="dxa"/>
            <w:tcBorders>
              <w:top w:val="nil"/>
              <w:left w:val="nil"/>
              <w:bottom w:val="nil"/>
              <w:right w:val="nil"/>
            </w:tcBorders>
            <w:shd w:val="clear" w:color="auto" w:fill="auto"/>
            <w:noWrap/>
            <w:vAlign w:val="center"/>
            <w:hideMark/>
          </w:tcPr>
          <w:p w14:paraId="273B5805" w14:textId="77777777" w:rsidR="001E10AD" w:rsidRPr="00F45FAA" w:rsidRDefault="001E10AD" w:rsidP="00EA248F">
            <w:pPr>
              <w:spacing w:after="0" w:line="240" w:lineRule="auto"/>
              <w:rPr>
                <w:rFonts w:eastAsia="Times New Roman" w:cs="Calibri"/>
                <w:color w:val="000000"/>
                <w:lang w:eastAsia="de-DE"/>
              </w:rPr>
            </w:pPr>
            <w:r w:rsidRPr="00F45FAA">
              <w:rPr>
                <w:rFonts w:eastAsia="Times New Roman" w:cs="Calibri"/>
                <w:color w:val="000000"/>
                <w:lang w:eastAsia="de-DE"/>
              </w:rPr>
              <w:t>0.226</w:t>
            </w:r>
          </w:p>
        </w:tc>
      </w:tr>
    </w:tbl>
    <w:p w14:paraId="342407D7" w14:textId="77777777" w:rsidR="001E10AD" w:rsidRPr="00F45FAA" w:rsidRDefault="001E10AD" w:rsidP="001E10AD">
      <w:pPr>
        <w:pStyle w:val="KeinLeerraum"/>
        <w:rPr>
          <w:lang w:val="en-US"/>
        </w:rPr>
      </w:pPr>
    </w:p>
    <w:p w14:paraId="4577A50D" w14:textId="77777777" w:rsidR="000770D3" w:rsidRPr="00F45FAA" w:rsidRDefault="000770D3">
      <w:pPr>
        <w:rPr>
          <w:b/>
          <w:lang w:val="en-US"/>
        </w:rPr>
      </w:pPr>
    </w:p>
    <w:p w14:paraId="66604A42" w14:textId="31EC2571" w:rsidR="00DC7368" w:rsidRPr="00F45FAA" w:rsidRDefault="000770D3">
      <w:pPr>
        <w:rPr>
          <w:rFonts w:asciiTheme="minorHAnsi" w:eastAsiaTheme="minorHAnsi" w:hAnsiTheme="minorHAnsi" w:cstheme="minorBidi"/>
          <w:kern w:val="2"/>
          <w:lang w:val="en-US"/>
          <w14:ligatures w14:val="standardContextual"/>
        </w:rPr>
      </w:pPr>
      <w:bookmarkStart w:id="1" w:name="_Hlk185602122"/>
      <w:bookmarkStart w:id="2" w:name="_Hlk185602016"/>
      <w:r w:rsidRPr="00F45FAA">
        <w:rPr>
          <w:b/>
          <w:lang w:val="en-US"/>
        </w:rPr>
        <w:t xml:space="preserve">Tab. </w:t>
      </w:r>
      <w:r w:rsidR="00434F37" w:rsidRPr="00F45FAA">
        <w:rPr>
          <w:b/>
          <w:lang w:val="en-US"/>
        </w:rPr>
        <w:t xml:space="preserve">S5 </w:t>
      </w:r>
      <w:r w:rsidR="00B85369" w:rsidRPr="00F45FAA">
        <w:rPr>
          <w:bCs/>
          <w:lang w:val="en-US"/>
        </w:rPr>
        <w:t xml:space="preserve">Plasma IL-6 concentrations (pg/ml) </w:t>
      </w:r>
      <w:r w:rsidR="001F7D85" w:rsidRPr="00F45FAA">
        <w:rPr>
          <w:bCs/>
          <w:lang w:val="en-US"/>
        </w:rPr>
        <w:t xml:space="preserve">for the patients </w:t>
      </w:r>
      <w:r w:rsidR="0033402C" w:rsidRPr="00F45FAA">
        <w:rPr>
          <w:bCs/>
          <w:lang w:val="en-US"/>
        </w:rPr>
        <w:t>before treatment begin (A.1) and during recovery phase (</w:t>
      </w:r>
      <w:r w:rsidR="001F7D85" w:rsidRPr="00F45FAA">
        <w:rPr>
          <w:bCs/>
          <w:lang w:val="en-US"/>
        </w:rPr>
        <w:t>R</w:t>
      </w:r>
      <w:r w:rsidR="0033402C" w:rsidRPr="00F45FAA">
        <w:rPr>
          <w:bCs/>
          <w:lang w:val="en-US"/>
        </w:rPr>
        <w:t>T</w:t>
      </w:r>
      <w:r w:rsidR="001F7D85" w:rsidRPr="00F45FAA">
        <w:rPr>
          <w:bCs/>
          <w:lang w:val="en-US"/>
        </w:rPr>
        <w:t>end</w:t>
      </w:r>
      <w:r w:rsidR="002B3A71">
        <w:rPr>
          <w:bCs/>
          <w:lang w:val="en-US"/>
        </w:rPr>
        <w:t>-</w:t>
      </w:r>
      <w:r w:rsidR="001F7D85" w:rsidRPr="00F45FAA">
        <w:rPr>
          <w:bCs/>
          <w:lang w:val="en-US"/>
        </w:rPr>
        <w:t>C.3</w:t>
      </w:r>
      <w:r w:rsidR="0033402C" w:rsidRPr="00F45FAA">
        <w:rPr>
          <w:bCs/>
          <w:lang w:val="en-US"/>
        </w:rPr>
        <w:t>)</w:t>
      </w:r>
      <w:r w:rsidR="00F6387F">
        <w:rPr>
          <w:bCs/>
          <w:lang w:val="en-US"/>
        </w:rPr>
        <w:t xml:space="preserve"> </w:t>
      </w:r>
      <w:bookmarkStart w:id="3" w:name="_Hlk185837624"/>
      <w:r w:rsidR="00F6387F" w:rsidRPr="00F45FAA">
        <w:rPr>
          <w:noProof/>
          <w:lang w:val="en-US"/>
        </w:rPr>
        <w:t>(</w:t>
      </w:r>
      <w:r w:rsidR="00F6387F">
        <w:rPr>
          <w:noProof/>
          <w:lang w:val="en-US"/>
        </w:rPr>
        <w:t xml:space="preserve">red: </w:t>
      </w:r>
      <w:r w:rsidR="00F6387F" w:rsidRPr="00F45FAA">
        <w:rPr>
          <w:noProof/>
          <w:lang w:val="en-US"/>
        </w:rPr>
        <w:t xml:space="preserve">PFS &lt; 6 months, </w:t>
      </w:r>
      <w:r w:rsidR="00F6387F">
        <w:rPr>
          <w:noProof/>
          <w:lang w:val="en-US"/>
        </w:rPr>
        <w:t xml:space="preserve">grey: </w:t>
      </w:r>
      <w:r w:rsidR="00F6387F" w:rsidRPr="00F45FAA">
        <w:rPr>
          <w:noProof/>
          <w:lang w:val="en-US"/>
        </w:rPr>
        <w:t>≥6 &lt;12 months,</w:t>
      </w:r>
      <w:r w:rsidR="00F6387F">
        <w:rPr>
          <w:noProof/>
          <w:lang w:val="en-US"/>
        </w:rPr>
        <w:t xml:space="preserve"> green:</w:t>
      </w:r>
      <w:r w:rsidR="00F6387F" w:rsidRPr="00F45FAA">
        <w:rPr>
          <w:noProof/>
          <w:lang w:val="en-US"/>
        </w:rPr>
        <w:t xml:space="preserve"> ≥12 months)</w:t>
      </w:r>
      <w:r w:rsidR="00F6387F">
        <w:rPr>
          <w:noProof/>
          <w:lang w:val="en-US"/>
        </w:rPr>
        <w:t>.</w:t>
      </w:r>
      <w:bookmarkEnd w:id="3"/>
      <w:r w:rsidR="0038306F">
        <w:rPr>
          <w:noProof/>
          <w:lang w:val="en-US"/>
        </w:rPr>
        <w:br/>
      </w:r>
      <w:r w:rsidR="00DC7368" w:rsidRPr="00F45FAA">
        <w:rPr>
          <w:lang w:val="en-US"/>
        </w:rPr>
        <w:fldChar w:fldCharType="begin"/>
      </w:r>
      <w:r w:rsidR="00DC7368" w:rsidRPr="00F45FAA">
        <w:rPr>
          <w:lang w:val="en-US"/>
        </w:rPr>
        <w:instrText xml:space="preserve"> LINK </w:instrText>
      </w:r>
      <w:r w:rsidR="00552D7B">
        <w:rPr>
          <w:lang w:val="en-US"/>
        </w:rPr>
        <w:instrText xml:space="preserve">Excel.Sheet.12 "D:\\RIL\\RIL T-B-NK-cell Paper\\submit 7 Radiation Oncology\\revision\\2023-12-11 Blutwerte Il-6 isoliert_update_JG CAVE korrigierte Werte.xlsx" STR-RIL-B-001!Z92S1:Z112S8 </w:instrText>
      </w:r>
      <w:r w:rsidR="00DC7368" w:rsidRPr="00F45FAA">
        <w:rPr>
          <w:lang w:val="en-US"/>
        </w:rPr>
        <w:instrText xml:space="preserve">\a \f 4 \h  \* MERGEFORMAT </w:instrText>
      </w:r>
      <w:r w:rsidR="00DC7368" w:rsidRPr="00F45FAA">
        <w:rPr>
          <w:lang w:val="en-US"/>
        </w:rPr>
        <w:fldChar w:fldCharType="separate"/>
      </w:r>
    </w:p>
    <w:tbl>
      <w:tblPr>
        <w:tblW w:w="8166" w:type="dxa"/>
        <w:tblCellMar>
          <w:left w:w="70" w:type="dxa"/>
          <w:right w:w="70" w:type="dxa"/>
        </w:tblCellMar>
        <w:tblLook w:val="04A0" w:firstRow="1" w:lastRow="0" w:firstColumn="1" w:lastColumn="0" w:noHBand="0" w:noVBand="1"/>
      </w:tblPr>
      <w:tblGrid>
        <w:gridCol w:w="1042"/>
        <w:gridCol w:w="1008"/>
        <w:gridCol w:w="973"/>
        <w:gridCol w:w="973"/>
        <w:gridCol w:w="973"/>
        <w:gridCol w:w="973"/>
        <w:gridCol w:w="973"/>
        <w:gridCol w:w="1251"/>
      </w:tblGrid>
      <w:tr w:rsidR="00DC7368" w:rsidRPr="00F45FAA" w14:paraId="75CCB3DA" w14:textId="77777777" w:rsidTr="00DC7368">
        <w:trPr>
          <w:trHeight w:val="268"/>
        </w:trPr>
        <w:tc>
          <w:tcPr>
            <w:tcW w:w="1042" w:type="dxa"/>
            <w:tcBorders>
              <w:top w:val="nil"/>
              <w:left w:val="nil"/>
              <w:bottom w:val="nil"/>
              <w:right w:val="nil"/>
            </w:tcBorders>
            <w:shd w:val="clear" w:color="auto" w:fill="auto"/>
            <w:noWrap/>
            <w:vAlign w:val="bottom"/>
            <w:hideMark/>
          </w:tcPr>
          <w:p w14:paraId="70DD7ADD" w14:textId="06E3A5E7" w:rsidR="00DC7368" w:rsidRPr="00F45FAA" w:rsidRDefault="00DC7368" w:rsidP="00DC7368">
            <w:pPr>
              <w:spacing w:after="0" w:line="240" w:lineRule="auto"/>
              <w:rPr>
                <w:rFonts w:eastAsia="Times New Roman" w:cs="Calibri"/>
                <w:b/>
                <w:bCs/>
                <w:color w:val="000000"/>
                <w:lang w:eastAsia="de-DE"/>
              </w:rPr>
            </w:pPr>
            <w:r w:rsidRPr="00F45FAA">
              <w:rPr>
                <w:rFonts w:eastAsia="Times New Roman" w:cs="Calibri"/>
                <w:b/>
                <w:bCs/>
                <w:color w:val="000000"/>
                <w:lang w:eastAsia="de-DE"/>
              </w:rPr>
              <w:t>IL-6 (pg/ml)</w:t>
            </w:r>
          </w:p>
        </w:tc>
        <w:tc>
          <w:tcPr>
            <w:tcW w:w="1008" w:type="dxa"/>
            <w:tcBorders>
              <w:top w:val="nil"/>
              <w:left w:val="nil"/>
              <w:bottom w:val="nil"/>
              <w:right w:val="nil"/>
            </w:tcBorders>
            <w:shd w:val="clear" w:color="auto" w:fill="auto"/>
            <w:noWrap/>
            <w:vAlign w:val="bottom"/>
            <w:hideMark/>
          </w:tcPr>
          <w:p w14:paraId="7BBF640C" w14:textId="77777777" w:rsidR="00DC7368" w:rsidRPr="00F45FAA" w:rsidRDefault="00DC7368" w:rsidP="00DC7368">
            <w:pPr>
              <w:spacing w:after="0" w:line="240" w:lineRule="auto"/>
              <w:rPr>
                <w:rFonts w:eastAsia="Times New Roman" w:cs="Calibri"/>
                <w:b/>
                <w:bCs/>
                <w:color w:val="000000"/>
                <w:lang w:eastAsia="de-DE"/>
              </w:rPr>
            </w:pPr>
          </w:p>
        </w:tc>
        <w:tc>
          <w:tcPr>
            <w:tcW w:w="973" w:type="dxa"/>
            <w:tcBorders>
              <w:top w:val="nil"/>
              <w:left w:val="nil"/>
              <w:bottom w:val="nil"/>
              <w:right w:val="nil"/>
            </w:tcBorders>
            <w:shd w:val="clear" w:color="auto" w:fill="auto"/>
            <w:noWrap/>
            <w:vAlign w:val="bottom"/>
            <w:hideMark/>
          </w:tcPr>
          <w:p w14:paraId="786E129F" w14:textId="77777777" w:rsidR="00DC7368" w:rsidRPr="00F45FAA" w:rsidRDefault="00DC7368" w:rsidP="00DC7368">
            <w:pPr>
              <w:spacing w:after="0" w:line="240" w:lineRule="auto"/>
              <w:rPr>
                <w:rFonts w:ascii="Times New Roman" w:eastAsia="Times New Roman" w:hAnsi="Times New Roman"/>
                <w:sz w:val="20"/>
                <w:szCs w:val="20"/>
                <w:lang w:eastAsia="de-DE"/>
              </w:rPr>
            </w:pPr>
          </w:p>
        </w:tc>
        <w:tc>
          <w:tcPr>
            <w:tcW w:w="973" w:type="dxa"/>
            <w:tcBorders>
              <w:top w:val="nil"/>
              <w:left w:val="nil"/>
              <w:bottom w:val="nil"/>
              <w:right w:val="nil"/>
            </w:tcBorders>
            <w:shd w:val="clear" w:color="auto" w:fill="auto"/>
            <w:noWrap/>
            <w:vAlign w:val="bottom"/>
            <w:hideMark/>
          </w:tcPr>
          <w:p w14:paraId="31CD5E1D" w14:textId="77777777" w:rsidR="00DC7368" w:rsidRPr="00F45FAA" w:rsidRDefault="00DC7368" w:rsidP="00DC7368">
            <w:pPr>
              <w:spacing w:after="0" w:line="240" w:lineRule="auto"/>
              <w:rPr>
                <w:rFonts w:ascii="Times New Roman" w:eastAsia="Times New Roman" w:hAnsi="Times New Roman"/>
                <w:sz w:val="20"/>
                <w:szCs w:val="20"/>
                <w:lang w:eastAsia="de-DE"/>
              </w:rPr>
            </w:pPr>
          </w:p>
        </w:tc>
        <w:tc>
          <w:tcPr>
            <w:tcW w:w="973" w:type="dxa"/>
            <w:tcBorders>
              <w:top w:val="nil"/>
              <w:left w:val="nil"/>
              <w:bottom w:val="nil"/>
              <w:right w:val="nil"/>
            </w:tcBorders>
            <w:shd w:val="clear" w:color="auto" w:fill="auto"/>
            <w:noWrap/>
            <w:vAlign w:val="bottom"/>
            <w:hideMark/>
          </w:tcPr>
          <w:p w14:paraId="2EA05E38" w14:textId="77777777" w:rsidR="00DC7368" w:rsidRPr="00F45FAA" w:rsidRDefault="00DC7368" w:rsidP="00DC7368">
            <w:pPr>
              <w:spacing w:after="0" w:line="240" w:lineRule="auto"/>
              <w:rPr>
                <w:rFonts w:ascii="Times New Roman" w:eastAsia="Times New Roman" w:hAnsi="Times New Roman"/>
                <w:sz w:val="20"/>
                <w:szCs w:val="20"/>
                <w:lang w:eastAsia="de-DE"/>
              </w:rPr>
            </w:pPr>
          </w:p>
        </w:tc>
        <w:tc>
          <w:tcPr>
            <w:tcW w:w="973" w:type="dxa"/>
            <w:tcBorders>
              <w:top w:val="nil"/>
              <w:left w:val="nil"/>
              <w:bottom w:val="nil"/>
              <w:right w:val="nil"/>
            </w:tcBorders>
            <w:shd w:val="clear" w:color="auto" w:fill="auto"/>
            <w:noWrap/>
            <w:vAlign w:val="bottom"/>
            <w:hideMark/>
          </w:tcPr>
          <w:p w14:paraId="594B6275" w14:textId="77777777" w:rsidR="00DC7368" w:rsidRPr="00F45FAA" w:rsidRDefault="00DC7368" w:rsidP="00DC7368">
            <w:pPr>
              <w:spacing w:after="0" w:line="240" w:lineRule="auto"/>
              <w:rPr>
                <w:rFonts w:ascii="Times New Roman" w:eastAsia="Times New Roman" w:hAnsi="Times New Roman"/>
                <w:sz w:val="20"/>
                <w:szCs w:val="20"/>
                <w:lang w:eastAsia="de-DE"/>
              </w:rPr>
            </w:pPr>
          </w:p>
        </w:tc>
        <w:tc>
          <w:tcPr>
            <w:tcW w:w="973" w:type="dxa"/>
            <w:tcBorders>
              <w:top w:val="nil"/>
              <w:left w:val="nil"/>
              <w:bottom w:val="nil"/>
              <w:right w:val="nil"/>
            </w:tcBorders>
            <w:shd w:val="clear" w:color="auto" w:fill="auto"/>
            <w:noWrap/>
            <w:vAlign w:val="bottom"/>
            <w:hideMark/>
          </w:tcPr>
          <w:p w14:paraId="3C0D13B9" w14:textId="77777777" w:rsidR="00DC7368" w:rsidRPr="00F45FAA" w:rsidRDefault="00DC7368" w:rsidP="00DC7368">
            <w:pPr>
              <w:spacing w:after="0" w:line="240" w:lineRule="auto"/>
              <w:rPr>
                <w:rFonts w:ascii="Times New Roman" w:eastAsia="Times New Roman" w:hAnsi="Times New Roman"/>
                <w:sz w:val="20"/>
                <w:szCs w:val="20"/>
                <w:lang w:eastAsia="de-DE"/>
              </w:rPr>
            </w:pPr>
          </w:p>
        </w:tc>
        <w:tc>
          <w:tcPr>
            <w:tcW w:w="1251" w:type="dxa"/>
            <w:tcBorders>
              <w:top w:val="nil"/>
              <w:left w:val="nil"/>
              <w:bottom w:val="nil"/>
              <w:right w:val="nil"/>
            </w:tcBorders>
            <w:shd w:val="clear" w:color="auto" w:fill="auto"/>
            <w:noWrap/>
            <w:vAlign w:val="bottom"/>
            <w:hideMark/>
          </w:tcPr>
          <w:p w14:paraId="5CBA654A" w14:textId="77777777" w:rsidR="00DC7368" w:rsidRPr="00F45FAA" w:rsidRDefault="00DC7368" w:rsidP="00DC7368">
            <w:pPr>
              <w:spacing w:after="0" w:line="240" w:lineRule="auto"/>
              <w:rPr>
                <w:rFonts w:ascii="Times New Roman" w:eastAsia="Times New Roman" w:hAnsi="Times New Roman"/>
                <w:sz w:val="20"/>
                <w:szCs w:val="20"/>
                <w:lang w:eastAsia="de-DE"/>
              </w:rPr>
            </w:pPr>
          </w:p>
        </w:tc>
      </w:tr>
      <w:tr w:rsidR="00DC7368" w:rsidRPr="00F45FAA" w14:paraId="1855F4DF" w14:textId="77777777" w:rsidTr="00DC7368">
        <w:trPr>
          <w:trHeight w:val="268"/>
        </w:trPr>
        <w:tc>
          <w:tcPr>
            <w:tcW w:w="1042" w:type="dxa"/>
            <w:tcBorders>
              <w:top w:val="nil"/>
              <w:left w:val="nil"/>
              <w:bottom w:val="single" w:sz="4" w:space="0" w:color="auto"/>
              <w:right w:val="nil"/>
            </w:tcBorders>
            <w:shd w:val="clear" w:color="auto" w:fill="auto"/>
            <w:noWrap/>
            <w:vAlign w:val="bottom"/>
            <w:hideMark/>
          </w:tcPr>
          <w:p w14:paraId="491CA895"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 </w:t>
            </w:r>
          </w:p>
        </w:tc>
        <w:tc>
          <w:tcPr>
            <w:tcW w:w="1008" w:type="dxa"/>
            <w:tcBorders>
              <w:top w:val="nil"/>
              <w:left w:val="nil"/>
              <w:bottom w:val="single" w:sz="4" w:space="0" w:color="auto"/>
              <w:right w:val="nil"/>
            </w:tcBorders>
            <w:shd w:val="clear" w:color="auto" w:fill="auto"/>
            <w:noWrap/>
            <w:vAlign w:val="bottom"/>
            <w:hideMark/>
          </w:tcPr>
          <w:p w14:paraId="6B7C35AA"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PFS group</w:t>
            </w:r>
          </w:p>
        </w:tc>
        <w:tc>
          <w:tcPr>
            <w:tcW w:w="973" w:type="dxa"/>
            <w:tcBorders>
              <w:top w:val="nil"/>
              <w:left w:val="nil"/>
              <w:bottom w:val="single" w:sz="4" w:space="0" w:color="auto"/>
              <w:right w:val="nil"/>
            </w:tcBorders>
            <w:shd w:val="clear" w:color="auto" w:fill="auto"/>
            <w:noWrap/>
            <w:vAlign w:val="bottom"/>
            <w:hideMark/>
          </w:tcPr>
          <w:p w14:paraId="1723BD4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A.1</w:t>
            </w:r>
          </w:p>
        </w:tc>
        <w:tc>
          <w:tcPr>
            <w:tcW w:w="973" w:type="dxa"/>
            <w:tcBorders>
              <w:top w:val="nil"/>
              <w:left w:val="nil"/>
              <w:bottom w:val="single" w:sz="4" w:space="0" w:color="auto"/>
              <w:right w:val="nil"/>
            </w:tcBorders>
            <w:shd w:val="clear" w:color="auto" w:fill="auto"/>
            <w:noWrap/>
            <w:vAlign w:val="bottom"/>
            <w:hideMark/>
          </w:tcPr>
          <w:p w14:paraId="51215D2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RTend</w:t>
            </w:r>
          </w:p>
        </w:tc>
        <w:tc>
          <w:tcPr>
            <w:tcW w:w="973" w:type="dxa"/>
            <w:tcBorders>
              <w:top w:val="nil"/>
              <w:left w:val="nil"/>
              <w:bottom w:val="single" w:sz="4" w:space="0" w:color="auto"/>
              <w:right w:val="nil"/>
            </w:tcBorders>
            <w:shd w:val="clear" w:color="auto" w:fill="auto"/>
            <w:noWrap/>
            <w:vAlign w:val="bottom"/>
            <w:hideMark/>
          </w:tcPr>
          <w:p w14:paraId="08008861"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C.1</w:t>
            </w:r>
          </w:p>
        </w:tc>
        <w:tc>
          <w:tcPr>
            <w:tcW w:w="973" w:type="dxa"/>
            <w:tcBorders>
              <w:top w:val="nil"/>
              <w:left w:val="nil"/>
              <w:bottom w:val="single" w:sz="4" w:space="0" w:color="auto"/>
              <w:right w:val="nil"/>
            </w:tcBorders>
            <w:shd w:val="clear" w:color="auto" w:fill="auto"/>
            <w:noWrap/>
            <w:vAlign w:val="bottom"/>
            <w:hideMark/>
          </w:tcPr>
          <w:p w14:paraId="177C9C7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C.2</w:t>
            </w:r>
          </w:p>
        </w:tc>
        <w:tc>
          <w:tcPr>
            <w:tcW w:w="973" w:type="dxa"/>
            <w:tcBorders>
              <w:top w:val="nil"/>
              <w:left w:val="nil"/>
              <w:bottom w:val="single" w:sz="4" w:space="0" w:color="auto"/>
              <w:right w:val="nil"/>
            </w:tcBorders>
            <w:shd w:val="clear" w:color="auto" w:fill="auto"/>
            <w:noWrap/>
            <w:vAlign w:val="bottom"/>
            <w:hideMark/>
          </w:tcPr>
          <w:p w14:paraId="228BA061"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C.3</w:t>
            </w:r>
          </w:p>
        </w:tc>
        <w:tc>
          <w:tcPr>
            <w:tcW w:w="1251" w:type="dxa"/>
            <w:tcBorders>
              <w:top w:val="nil"/>
              <w:left w:val="nil"/>
              <w:bottom w:val="single" w:sz="4" w:space="0" w:color="auto"/>
              <w:right w:val="nil"/>
            </w:tcBorders>
            <w:shd w:val="clear" w:color="auto" w:fill="auto"/>
            <w:noWrap/>
            <w:vAlign w:val="bottom"/>
            <w:hideMark/>
          </w:tcPr>
          <w:p w14:paraId="61947B95"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SD RTend-C.3</w:t>
            </w:r>
          </w:p>
        </w:tc>
      </w:tr>
      <w:tr w:rsidR="00DC7368" w:rsidRPr="00F45FAA" w14:paraId="73308854" w14:textId="77777777" w:rsidTr="00DC7368">
        <w:trPr>
          <w:trHeight w:val="268"/>
        </w:trPr>
        <w:tc>
          <w:tcPr>
            <w:tcW w:w="1042" w:type="dxa"/>
            <w:tcBorders>
              <w:top w:val="nil"/>
              <w:left w:val="nil"/>
              <w:bottom w:val="nil"/>
              <w:right w:val="nil"/>
            </w:tcBorders>
            <w:shd w:val="clear" w:color="auto" w:fill="auto"/>
            <w:noWrap/>
            <w:vAlign w:val="bottom"/>
            <w:hideMark/>
          </w:tcPr>
          <w:p w14:paraId="349FDE83"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B-001</w:t>
            </w:r>
          </w:p>
        </w:tc>
        <w:tc>
          <w:tcPr>
            <w:tcW w:w="1008" w:type="dxa"/>
            <w:tcBorders>
              <w:top w:val="nil"/>
              <w:left w:val="nil"/>
              <w:bottom w:val="nil"/>
              <w:right w:val="nil"/>
            </w:tcBorders>
            <w:shd w:val="clear" w:color="000000" w:fill="FCE4D6"/>
            <w:noWrap/>
            <w:vAlign w:val="bottom"/>
            <w:hideMark/>
          </w:tcPr>
          <w:p w14:paraId="742816B6"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&lt;6</w:t>
            </w:r>
          </w:p>
        </w:tc>
        <w:tc>
          <w:tcPr>
            <w:tcW w:w="973" w:type="dxa"/>
            <w:tcBorders>
              <w:top w:val="nil"/>
              <w:left w:val="nil"/>
              <w:bottom w:val="nil"/>
              <w:right w:val="nil"/>
            </w:tcBorders>
            <w:shd w:val="clear" w:color="auto" w:fill="auto"/>
            <w:noWrap/>
            <w:vAlign w:val="bottom"/>
            <w:hideMark/>
          </w:tcPr>
          <w:p w14:paraId="40FC3D2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33,3</w:t>
            </w:r>
          </w:p>
        </w:tc>
        <w:tc>
          <w:tcPr>
            <w:tcW w:w="973" w:type="dxa"/>
            <w:tcBorders>
              <w:top w:val="nil"/>
              <w:left w:val="nil"/>
              <w:bottom w:val="nil"/>
              <w:right w:val="nil"/>
            </w:tcBorders>
            <w:shd w:val="clear" w:color="auto" w:fill="auto"/>
            <w:noWrap/>
            <w:vAlign w:val="bottom"/>
            <w:hideMark/>
          </w:tcPr>
          <w:p w14:paraId="27C1DBF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11,6</w:t>
            </w:r>
          </w:p>
        </w:tc>
        <w:tc>
          <w:tcPr>
            <w:tcW w:w="973" w:type="dxa"/>
            <w:tcBorders>
              <w:top w:val="nil"/>
              <w:left w:val="nil"/>
              <w:bottom w:val="nil"/>
              <w:right w:val="nil"/>
            </w:tcBorders>
            <w:shd w:val="clear" w:color="auto" w:fill="auto"/>
            <w:noWrap/>
            <w:vAlign w:val="bottom"/>
            <w:hideMark/>
          </w:tcPr>
          <w:p w14:paraId="531FE59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11,5</w:t>
            </w:r>
          </w:p>
        </w:tc>
        <w:tc>
          <w:tcPr>
            <w:tcW w:w="973" w:type="dxa"/>
            <w:tcBorders>
              <w:top w:val="nil"/>
              <w:left w:val="nil"/>
              <w:bottom w:val="nil"/>
              <w:right w:val="nil"/>
            </w:tcBorders>
            <w:shd w:val="clear" w:color="auto" w:fill="auto"/>
            <w:noWrap/>
            <w:vAlign w:val="bottom"/>
            <w:hideMark/>
          </w:tcPr>
          <w:p w14:paraId="09B8F7A1"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51,8</w:t>
            </w:r>
          </w:p>
        </w:tc>
        <w:tc>
          <w:tcPr>
            <w:tcW w:w="973" w:type="dxa"/>
            <w:tcBorders>
              <w:top w:val="nil"/>
              <w:left w:val="nil"/>
              <w:bottom w:val="nil"/>
              <w:right w:val="nil"/>
            </w:tcBorders>
            <w:shd w:val="clear" w:color="auto" w:fill="auto"/>
            <w:noWrap/>
            <w:vAlign w:val="bottom"/>
            <w:hideMark/>
          </w:tcPr>
          <w:p w14:paraId="1800A06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108</w:t>
            </w:r>
          </w:p>
        </w:tc>
        <w:tc>
          <w:tcPr>
            <w:tcW w:w="1251" w:type="dxa"/>
            <w:tcBorders>
              <w:top w:val="nil"/>
              <w:left w:val="nil"/>
              <w:bottom w:val="nil"/>
              <w:right w:val="nil"/>
            </w:tcBorders>
            <w:shd w:val="clear" w:color="auto" w:fill="auto"/>
            <w:noWrap/>
            <w:vAlign w:val="bottom"/>
            <w:hideMark/>
          </w:tcPr>
          <w:p w14:paraId="6B172D4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45,65</w:t>
            </w:r>
          </w:p>
        </w:tc>
      </w:tr>
      <w:tr w:rsidR="00DC7368" w:rsidRPr="00F45FAA" w14:paraId="5D39A34E" w14:textId="77777777" w:rsidTr="00DC7368">
        <w:trPr>
          <w:trHeight w:val="268"/>
        </w:trPr>
        <w:tc>
          <w:tcPr>
            <w:tcW w:w="1042" w:type="dxa"/>
            <w:tcBorders>
              <w:top w:val="nil"/>
              <w:left w:val="nil"/>
              <w:bottom w:val="nil"/>
              <w:right w:val="nil"/>
            </w:tcBorders>
            <w:shd w:val="clear" w:color="auto" w:fill="auto"/>
            <w:noWrap/>
            <w:vAlign w:val="bottom"/>
            <w:hideMark/>
          </w:tcPr>
          <w:p w14:paraId="27EAFDD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B-002</w:t>
            </w:r>
          </w:p>
        </w:tc>
        <w:tc>
          <w:tcPr>
            <w:tcW w:w="1008" w:type="dxa"/>
            <w:tcBorders>
              <w:top w:val="nil"/>
              <w:left w:val="nil"/>
              <w:bottom w:val="nil"/>
              <w:right w:val="nil"/>
            </w:tcBorders>
            <w:shd w:val="clear" w:color="000000" w:fill="FCE4D6"/>
            <w:noWrap/>
            <w:vAlign w:val="bottom"/>
            <w:hideMark/>
          </w:tcPr>
          <w:p w14:paraId="7D182C24"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&lt;6</w:t>
            </w:r>
          </w:p>
        </w:tc>
        <w:tc>
          <w:tcPr>
            <w:tcW w:w="973" w:type="dxa"/>
            <w:tcBorders>
              <w:top w:val="nil"/>
              <w:left w:val="nil"/>
              <w:bottom w:val="nil"/>
              <w:right w:val="nil"/>
            </w:tcBorders>
            <w:shd w:val="clear" w:color="auto" w:fill="auto"/>
            <w:noWrap/>
            <w:vAlign w:val="bottom"/>
            <w:hideMark/>
          </w:tcPr>
          <w:p w14:paraId="23624C8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22,4</w:t>
            </w:r>
          </w:p>
        </w:tc>
        <w:tc>
          <w:tcPr>
            <w:tcW w:w="973" w:type="dxa"/>
            <w:tcBorders>
              <w:top w:val="nil"/>
              <w:left w:val="nil"/>
              <w:bottom w:val="nil"/>
              <w:right w:val="nil"/>
            </w:tcBorders>
            <w:shd w:val="clear" w:color="auto" w:fill="auto"/>
            <w:noWrap/>
            <w:vAlign w:val="bottom"/>
            <w:hideMark/>
          </w:tcPr>
          <w:p w14:paraId="0D1E9CC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73,4</w:t>
            </w:r>
          </w:p>
        </w:tc>
        <w:tc>
          <w:tcPr>
            <w:tcW w:w="973" w:type="dxa"/>
            <w:tcBorders>
              <w:top w:val="nil"/>
              <w:left w:val="nil"/>
              <w:bottom w:val="nil"/>
              <w:right w:val="nil"/>
            </w:tcBorders>
            <w:shd w:val="clear" w:color="auto" w:fill="auto"/>
            <w:noWrap/>
            <w:vAlign w:val="bottom"/>
            <w:hideMark/>
          </w:tcPr>
          <w:p w14:paraId="6A72426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17,9</w:t>
            </w:r>
          </w:p>
        </w:tc>
        <w:tc>
          <w:tcPr>
            <w:tcW w:w="973" w:type="dxa"/>
            <w:tcBorders>
              <w:top w:val="nil"/>
              <w:left w:val="nil"/>
              <w:bottom w:val="nil"/>
              <w:right w:val="nil"/>
            </w:tcBorders>
            <w:shd w:val="clear" w:color="auto" w:fill="auto"/>
            <w:noWrap/>
            <w:vAlign w:val="bottom"/>
            <w:hideMark/>
          </w:tcPr>
          <w:p w14:paraId="3C6B6D9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21,1</w:t>
            </w:r>
          </w:p>
        </w:tc>
        <w:tc>
          <w:tcPr>
            <w:tcW w:w="973" w:type="dxa"/>
            <w:tcBorders>
              <w:top w:val="nil"/>
              <w:left w:val="nil"/>
              <w:bottom w:val="nil"/>
              <w:right w:val="nil"/>
            </w:tcBorders>
            <w:shd w:val="clear" w:color="auto" w:fill="auto"/>
            <w:noWrap/>
            <w:vAlign w:val="bottom"/>
            <w:hideMark/>
          </w:tcPr>
          <w:p w14:paraId="005949AD" w14:textId="77777777" w:rsidR="00DC7368" w:rsidRPr="00F45FAA" w:rsidRDefault="00DC7368" w:rsidP="00DC7368">
            <w:pPr>
              <w:spacing w:after="0" w:line="240" w:lineRule="auto"/>
              <w:jc w:val="center"/>
              <w:rPr>
                <w:rFonts w:eastAsia="Times New Roman" w:cs="Calibri"/>
                <w:color w:val="000000"/>
                <w:lang w:eastAsia="de-DE"/>
              </w:rPr>
            </w:pPr>
          </w:p>
        </w:tc>
        <w:tc>
          <w:tcPr>
            <w:tcW w:w="1251" w:type="dxa"/>
            <w:tcBorders>
              <w:top w:val="nil"/>
              <w:left w:val="nil"/>
              <w:bottom w:val="nil"/>
              <w:right w:val="nil"/>
            </w:tcBorders>
            <w:shd w:val="clear" w:color="auto" w:fill="auto"/>
            <w:noWrap/>
            <w:vAlign w:val="bottom"/>
            <w:hideMark/>
          </w:tcPr>
          <w:p w14:paraId="7C6C2E5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31,16</w:t>
            </w:r>
          </w:p>
        </w:tc>
      </w:tr>
      <w:tr w:rsidR="00DC7368" w:rsidRPr="00F45FAA" w14:paraId="78D8B7B4" w14:textId="77777777" w:rsidTr="00DC7368">
        <w:trPr>
          <w:trHeight w:val="268"/>
        </w:trPr>
        <w:tc>
          <w:tcPr>
            <w:tcW w:w="1042" w:type="dxa"/>
            <w:tcBorders>
              <w:top w:val="nil"/>
              <w:left w:val="nil"/>
              <w:bottom w:val="nil"/>
              <w:right w:val="nil"/>
            </w:tcBorders>
            <w:shd w:val="clear" w:color="auto" w:fill="auto"/>
            <w:noWrap/>
            <w:vAlign w:val="bottom"/>
            <w:hideMark/>
          </w:tcPr>
          <w:p w14:paraId="073AD350"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B-003</w:t>
            </w:r>
          </w:p>
        </w:tc>
        <w:tc>
          <w:tcPr>
            <w:tcW w:w="1008" w:type="dxa"/>
            <w:tcBorders>
              <w:top w:val="nil"/>
              <w:left w:val="nil"/>
              <w:bottom w:val="nil"/>
              <w:right w:val="nil"/>
            </w:tcBorders>
            <w:shd w:val="clear" w:color="000000" w:fill="FCE4D6"/>
            <w:noWrap/>
            <w:vAlign w:val="bottom"/>
            <w:hideMark/>
          </w:tcPr>
          <w:p w14:paraId="76C94DB8"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&lt;6</w:t>
            </w:r>
          </w:p>
        </w:tc>
        <w:tc>
          <w:tcPr>
            <w:tcW w:w="973" w:type="dxa"/>
            <w:tcBorders>
              <w:top w:val="nil"/>
              <w:left w:val="nil"/>
              <w:bottom w:val="nil"/>
              <w:right w:val="nil"/>
            </w:tcBorders>
            <w:shd w:val="clear" w:color="auto" w:fill="auto"/>
            <w:noWrap/>
            <w:vAlign w:val="bottom"/>
            <w:hideMark/>
          </w:tcPr>
          <w:p w14:paraId="23B78BC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647</w:t>
            </w:r>
          </w:p>
        </w:tc>
        <w:tc>
          <w:tcPr>
            <w:tcW w:w="973" w:type="dxa"/>
            <w:tcBorders>
              <w:top w:val="nil"/>
              <w:left w:val="nil"/>
              <w:bottom w:val="nil"/>
              <w:right w:val="nil"/>
            </w:tcBorders>
            <w:shd w:val="clear" w:color="auto" w:fill="auto"/>
            <w:noWrap/>
            <w:vAlign w:val="bottom"/>
            <w:hideMark/>
          </w:tcPr>
          <w:p w14:paraId="5378FA9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521</w:t>
            </w:r>
          </w:p>
        </w:tc>
        <w:tc>
          <w:tcPr>
            <w:tcW w:w="973" w:type="dxa"/>
            <w:tcBorders>
              <w:top w:val="nil"/>
              <w:left w:val="nil"/>
              <w:bottom w:val="nil"/>
              <w:right w:val="nil"/>
            </w:tcBorders>
            <w:shd w:val="clear" w:color="auto" w:fill="auto"/>
            <w:noWrap/>
            <w:vAlign w:val="bottom"/>
            <w:hideMark/>
          </w:tcPr>
          <w:p w14:paraId="6333969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669</w:t>
            </w:r>
          </w:p>
        </w:tc>
        <w:tc>
          <w:tcPr>
            <w:tcW w:w="973" w:type="dxa"/>
            <w:tcBorders>
              <w:top w:val="nil"/>
              <w:left w:val="nil"/>
              <w:bottom w:val="nil"/>
              <w:right w:val="nil"/>
            </w:tcBorders>
            <w:shd w:val="clear" w:color="auto" w:fill="auto"/>
            <w:noWrap/>
            <w:vAlign w:val="bottom"/>
            <w:hideMark/>
          </w:tcPr>
          <w:p w14:paraId="4D2580E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319</w:t>
            </w:r>
          </w:p>
        </w:tc>
        <w:tc>
          <w:tcPr>
            <w:tcW w:w="973" w:type="dxa"/>
            <w:tcBorders>
              <w:top w:val="nil"/>
              <w:left w:val="nil"/>
              <w:bottom w:val="nil"/>
              <w:right w:val="nil"/>
            </w:tcBorders>
            <w:shd w:val="clear" w:color="auto" w:fill="auto"/>
            <w:noWrap/>
            <w:vAlign w:val="bottom"/>
            <w:hideMark/>
          </w:tcPr>
          <w:p w14:paraId="32CF6B39" w14:textId="77777777" w:rsidR="00DC7368" w:rsidRPr="00F45FAA" w:rsidRDefault="00DC7368" w:rsidP="00DC7368">
            <w:pPr>
              <w:spacing w:after="0" w:line="240" w:lineRule="auto"/>
              <w:jc w:val="center"/>
              <w:rPr>
                <w:rFonts w:eastAsia="Times New Roman" w:cs="Calibri"/>
                <w:color w:val="000000"/>
                <w:lang w:eastAsia="de-DE"/>
              </w:rPr>
            </w:pPr>
          </w:p>
        </w:tc>
        <w:tc>
          <w:tcPr>
            <w:tcW w:w="1251" w:type="dxa"/>
            <w:tcBorders>
              <w:top w:val="nil"/>
              <w:left w:val="nil"/>
              <w:bottom w:val="nil"/>
              <w:right w:val="nil"/>
            </w:tcBorders>
            <w:shd w:val="clear" w:color="auto" w:fill="auto"/>
            <w:noWrap/>
            <w:vAlign w:val="bottom"/>
            <w:hideMark/>
          </w:tcPr>
          <w:p w14:paraId="5A5137D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175,69</w:t>
            </w:r>
          </w:p>
        </w:tc>
      </w:tr>
      <w:tr w:rsidR="00DC7368" w:rsidRPr="00F45FAA" w14:paraId="2893F3A1" w14:textId="77777777" w:rsidTr="00DC7368">
        <w:trPr>
          <w:trHeight w:val="268"/>
        </w:trPr>
        <w:tc>
          <w:tcPr>
            <w:tcW w:w="1042" w:type="dxa"/>
            <w:tcBorders>
              <w:top w:val="nil"/>
              <w:left w:val="nil"/>
              <w:bottom w:val="nil"/>
              <w:right w:val="nil"/>
            </w:tcBorders>
            <w:shd w:val="clear" w:color="auto" w:fill="auto"/>
            <w:noWrap/>
            <w:vAlign w:val="bottom"/>
            <w:hideMark/>
          </w:tcPr>
          <w:p w14:paraId="2D0C6ADB"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B-004</w:t>
            </w:r>
          </w:p>
        </w:tc>
        <w:tc>
          <w:tcPr>
            <w:tcW w:w="1008" w:type="dxa"/>
            <w:tcBorders>
              <w:top w:val="nil"/>
              <w:left w:val="nil"/>
              <w:bottom w:val="nil"/>
              <w:right w:val="nil"/>
            </w:tcBorders>
            <w:shd w:val="clear" w:color="000000" w:fill="C6E0B4"/>
            <w:noWrap/>
            <w:vAlign w:val="bottom"/>
            <w:hideMark/>
          </w:tcPr>
          <w:p w14:paraId="506C0DC7"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&gt;12</w:t>
            </w:r>
          </w:p>
        </w:tc>
        <w:tc>
          <w:tcPr>
            <w:tcW w:w="973" w:type="dxa"/>
            <w:tcBorders>
              <w:top w:val="nil"/>
              <w:left w:val="nil"/>
              <w:bottom w:val="nil"/>
              <w:right w:val="nil"/>
            </w:tcBorders>
            <w:shd w:val="clear" w:color="auto" w:fill="auto"/>
            <w:noWrap/>
            <w:vAlign w:val="bottom"/>
            <w:hideMark/>
          </w:tcPr>
          <w:p w14:paraId="5C596A4D" w14:textId="77777777" w:rsidR="00DC7368" w:rsidRPr="00F45FAA" w:rsidRDefault="00DC7368" w:rsidP="00DC7368">
            <w:pPr>
              <w:spacing w:after="0" w:line="240" w:lineRule="auto"/>
              <w:jc w:val="center"/>
              <w:rPr>
                <w:rFonts w:eastAsia="Times New Roman" w:cs="Calibri"/>
                <w:lang w:eastAsia="de-DE"/>
              </w:rPr>
            </w:pPr>
            <w:r w:rsidRPr="00F45FAA">
              <w:rPr>
                <w:rFonts w:eastAsia="Times New Roman" w:cs="Calibri"/>
                <w:lang w:eastAsia="de-DE"/>
              </w:rPr>
              <w:t>4,2</w:t>
            </w:r>
          </w:p>
        </w:tc>
        <w:tc>
          <w:tcPr>
            <w:tcW w:w="973" w:type="dxa"/>
            <w:tcBorders>
              <w:top w:val="nil"/>
              <w:left w:val="nil"/>
              <w:bottom w:val="nil"/>
              <w:right w:val="nil"/>
            </w:tcBorders>
            <w:shd w:val="clear" w:color="auto" w:fill="auto"/>
            <w:noWrap/>
            <w:vAlign w:val="bottom"/>
            <w:hideMark/>
          </w:tcPr>
          <w:p w14:paraId="6D4FF21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8,7</w:t>
            </w:r>
          </w:p>
        </w:tc>
        <w:tc>
          <w:tcPr>
            <w:tcW w:w="973" w:type="dxa"/>
            <w:tcBorders>
              <w:top w:val="nil"/>
              <w:left w:val="nil"/>
              <w:bottom w:val="nil"/>
              <w:right w:val="nil"/>
            </w:tcBorders>
            <w:shd w:val="clear" w:color="auto" w:fill="auto"/>
            <w:noWrap/>
            <w:vAlign w:val="bottom"/>
            <w:hideMark/>
          </w:tcPr>
          <w:p w14:paraId="2F07990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6,1</w:t>
            </w:r>
          </w:p>
        </w:tc>
        <w:tc>
          <w:tcPr>
            <w:tcW w:w="973" w:type="dxa"/>
            <w:tcBorders>
              <w:top w:val="nil"/>
              <w:left w:val="nil"/>
              <w:bottom w:val="nil"/>
              <w:right w:val="nil"/>
            </w:tcBorders>
            <w:shd w:val="clear" w:color="auto" w:fill="auto"/>
            <w:noWrap/>
            <w:vAlign w:val="bottom"/>
            <w:hideMark/>
          </w:tcPr>
          <w:p w14:paraId="5186636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3,1</w:t>
            </w:r>
          </w:p>
        </w:tc>
        <w:tc>
          <w:tcPr>
            <w:tcW w:w="973" w:type="dxa"/>
            <w:tcBorders>
              <w:top w:val="nil"/>
              <w:left w:val="nil"/>
              <w:bottom w:val="nil"/>
              <w:right w:val="nil"/>
            </w:tcBorders>
            <w:shd w:val="clear" w:color="auto" w:fill="auto"/>
            <w:noWrap/>
            <w:vAlign w:val="bottom"/>
            <w:hideMark/>
          </w:tcPr>
          <w:p w14:paraId="2BA059A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4,2</w:t>
            </w:r>
          </w:p>
        </w:tc>
        <w:tc>
          <w:tcPr>
            <w:tcW w:w="1251" w:type="dxa"/>
            <w:tcBorders>
              <w:top w:val="nil"/>
              <w:left w:val="nil"/>
              <w:bottom w:val="nil"/>
              <w:right w:val="nil"/>
            </w:tcBorders>
            <w:shd w:val="clear" w:color="auto" w:fill="auto"/>
            <w:noWrap/>
            <w:vAlign w:val="bottom"/>
            <w:hideMark/>
          </w:tcPr>
          <w:p w14:paraId="419C69C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2,45</w:t>
            </w:r>
          </w:p>
        </w:tc>
      </w:tr>
      <w:tr w:rsidR="00DC7368" w:rsidRPr="00F45FAA" w14:paraId="7E3D2539" w14:textId="77777777" w:rsidTr="00DC7368">
        <w:trPr>
          <w:trHeight w:val="268"/>
        </w:trPr>
        <w:tc>
          <w:tcPr>
            <w:tcW w:w="1042" w:type="dxa"/>
            <w:tcBorders>
              <w:top w:val="nil"/>
              <w:left w:val="nil"/>
              <w:bottom w:val="nil"/>
              <w:right w:val="nil"/>
            </w:tcBorders>
            <w:shd w:val="clear" w:color="auto" w:fill="auto"/>
            <w:noWrap/>
            <w:vAlign w:val="bottom"/>
            <w:hideMark/>
          </w:tcPr>
          <w:p w14:paraId="4EF641A0"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B-005</w:t>
            </w:r>
          </w:p>
        </w:tc>
        <w:tc>
          <w:tcPr>
            <w:tcW w:w="1008" w:type="dxa"/>
            <w:tcBorders>
              <w:top w:val="nil"/>
              <w:left w:val="nil"/>
              <w:bottom w:val="nil"/>
              <w:right w:val="nil"/>
            </w:tcBorders>
            <w:shd w:val="clear" w:color="000000" w:fill="D9D9D9"/>
            <w:noWrap/>
            <w:vAlign w:val="bottom"/>
            <w:hideMark/>
          </w:tcPr>
          <w:p w14:paraId="584084AB"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≥6&gt;12</w:t>
            </w:r>
          </w:p>
        </w:tc>
        <w:tc>
          <w:tcPr>
            <w:tcW w:w="973" w:type="dxa"/>
            <w:tcBorders>
              <w:top w:val="nil"/>
              <w:left w:val="nil"/>
              <w:bottom w:val="nil"/>
              <w:right w:val="nil"/>
            </w:tcBorders>
            <w:shd w:val="clear" w:color="auto" w:fill="auto"/>
            <w:noWrap/>
            <w:vAlign w:val="bottom"/>
            <w:hideMark/>
          </w:tcPr>
          <w:p w14:paraId="3E2E836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15,8</w:t>
            </w:r>
          </w:p>
        </w:tc>
        <w:tc>
          <w:tcPr>
            <w:tcW w:w="973" w:type="dxa"/>
            <w:tcBorders>
              <w:top w:val="nil"/>
              <w:left w:val="nil"/>
              <w:bottom w:val="nil"/>
              <w:right w:val="nil"/>
            </w:tcBorders>
            <w:shd w:val="clear" w:color="auto" w:fill="auto"/>
            <w:noWrap/>
            <w:vAlign w:val="bottom"/>
            <w:hideMark/>
          </w:tcPr>
          <w:p w14:paraId="1973630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25</w:t>
            </w:r>
          </w:p>
        </w:tc>
        <w:tc>
          <w:tcPr>
            <w:tcW w:w="973" w:type="dxa"/>
            <w:tcBorders>
              <w:top w:val="nil"/>
              <w:left w:val="nil"/>
              <w:bottom w:val="nil"/>
              <w:right w:val="nil"/>
            </w:tcBorders>
            <w:shd w:val="clear" w:color="auto" w:fill="auto"/>
            <w:noWrap/>
            <w:vAlign w:val="bottom"/>
            <w:hideMark/>
          </w:tcPr>
          <w:p w14:paraId="7AABCDC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6,2</w:t>
            </w:r>
          </w:p>
        </w:tc>
        <w:tc>
          <w:tcPr>
            <w:tcW w:w="973" w:type="dxa"/>
            <w:tcBorders>
              <w:top w:val="nil"/>
              <w:left w:val="nil"/>
              <w:bottom w:val="nil"/>
              <w:right w:val="nil"/>
            </w:tcBorders>
            <w:shd w:val="clear" w:color="auto" w:fill="auto"/>
            <w:noWrap/>
            <w:vAlign w:val="bottom"/>
            <w:hideMark/>
          </w:tcPr>
          <w:p w14:paraId="2C012B6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3,6</w:t>
            </w:r>
          </w:p>
        </w:tc>
        <w:tc>
          <w:tcPr>
            <w:tcW w:w="973" w:type="dxa"/>
            <w:tcBorders>
              <w:top w:val="nil"/>
              <w:left w:val="nil"/>
              <w:bottom w:val="nil"/>
              <w:right w:val="nil"/>
            </w:tcBorders>
            <w:shd w:val="clear" w:color="auto" w:fill="auto"/>
            <w:noWrap/>
            <w:vAlign w:val="bottom"/>
            <w:hideMark/>
          </w:tcPr>
          <w:p w14:paraId="43EAAA3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13,6</w:t>
            </w:r>
          </w:p>
        </w:tc>
        <w:tc>
          <w:tcPr>
            <w:tcW w:w="1251" w:type="dxa"/>
            <w:tcBorders>
              <w:top w:val="nil"/>
              <w:left w:val="nil"/>
              <w:bottom w:val="nil"/>
              <w:right w:val="nil"/>
            </w:tcBorders>
            <w:shd w:val="clear" w:color="auto" w:fill="auto"/>
            <w:noWrap/>
            <w:vAlign w:val="bottom"/>
            <w:hideMark/>
          </w:tcPr>
          <w:p w14:paraId="1C90E8BC"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9,59</w:t>
            </w:r>
          </w:p>
        </w:tc>
      </w:tr>
      <w:tr w:rsidR="00DC7368" w:rsidRPr="00F45FAA" w14:paraId="0F35AE02" w14:textId="77777777" w:rsidTr="00DC7368">
        <w:trPr>
          <w:trHeight w:val="268"/>
        </w:trPr>
        <w:tc>
          <w:tcPr>
            <w:tcW w:w="1042" w:type="dxa"/>
            <w:tcBorders>
              <w:top w:val="nil"/>
              <w:left w:val="nil"/>
              <w:bottom w:val="nil"/>
              <w:right w:val="nil"/>
            </w:tcBorders>
            <w:shd w:val="clear" w:color="auto" w:fill="auto"/>
            <w:noWrap/>
            <w:vAlign w:val="bottom"/>
            <w:hideMark/>
          </w:tcPr>
          <w:p w14:paraId="0AC9ED01"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B-006</w:t>
            </w:r>
          </w:p>
        </w:tc>
        <w:tc>
          <w:tcPr>
            <w:tcW w:w="1008" w:type="dxa"/>
            <w:tcBorders>
              <w:top w:val="nil"/>
              <w:left w:val="nil"/>
              <w:bottom w:val="nil"/>
              <w:right w:val="nil"/>
            </w:tcBorders>
            <w:shd w:val="clear" w:color="000000" w:fill="D9D9D9"/>
            <w:noWrap/>
            <w:vAlign w:val="bottom"/>
            <w:hideMark/>
          </w:tcPr>
          <w:p w14:paraId="7F95E50C"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≥6&gt;12</w:t>
            </w:r>
          </w:p>
        </w:tc>
        <w:tc>
          <w:tcPr>
            <w:tcW w:w="973" w:type="dxa"/>
            <w:tcBorders>
              <w:top w:val="nil"/>
              <w:left w:val="nil"/>
              <w:bottom w:val="nil"/>
              <w:right w:val="nil"/>
            </w:tcBorders>
            <w:shd w:val="clear" w:color="auto" w:fill="auto"/>
            <w:noWrap/>
            <w:vAlign w:val="bottom"/>
            <w:hideMark/>
          </w:tcPr>
          <w:p w14:paraId="34810B93"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11,5</w:t>
            </w:r>
          </w:p>
        </w:tc>
        <w:tc>
          <w:tcPr>
            <w:tcW w:w="973" w:type="dxa"/>
            <w:tcBorders>
              <w:top w:val="nil"/>
              <w:left w:val="nil"/>
              <w:bottom w:val="nil"/>
              <w:right w:val="nil"/>
            </w:tcBorders>
            <w:shd w:val="clear" w:color="auto" w:fill="auto"/>
            <w:noWrap/>
            <w:vAlign w:val="bottom"/>
            <w:hideMark/>
          </w:tcPr>
          <w:p w14:paraId="55A5D6F3" w14:textId="77777777" w:rsidR="00DC7368" w:rsidRPr="00F45FAA" w:rsidRDefault="00DC7368" w:rsidP="00DC7368">
            <w:pPr>
              <w:spacing w:after="0" w:line="240" w:lineRule="auto"/>
              <w:jc w:val="center"/>
              <w:rPr>
                <w:rFonts w:eastAsia="Times New Roman" w:cs="Calibri"/>
                <w:color w:val="000000"/>
                <w:lang w:eastAsia="de-DE"/>
              </w:rPr>
            </w:pPr>
          </w:p>
        </w:tc>
        <w:tc>
          <w:tcPr>
            <w:tcW w:w="973" w:type="dxa"/>
            <w:tcBorders>
              <w:top w:val="nil"/>
              <w:left w:val="nil"/>
              <w:bottom w:val="nil"/>
              <w:right w:val="nil"/>
            </w:tcBorders>
            <w:shd w:val="clear" w:color="auto" w:fill="auto"/>
            <w:noWrap/>
            <w:vAlign w:val="bottom"/>
            <w:hideMark/>
          </w:tcPr>
          <w:p w14:paraId="56340C3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30,3</w:t>
            </w:r>
          </w:p>
        </w:tc>
        <w:tc>
          <w:tcPr>
            <w:tcW w:w="973" w:type="dxa"/>
            <w:tcBorders>
              <w:top w:val="nil"/>
              <w:left w:val="nil"/>
              <w:bottom w:val="nil"/>
              <w:right w:val="nil"/>
            </w:tcBorders>
            <w:shd w:val="clear" w:color="auto" w:fill="auto"/>
            <w:noWrap/>
            <w:vAlign w:val="bottom"/>
            <w:hideMark/>
          </w:tcPr>
          <w:p w14:paraId="25C6191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40,5</w:t>
            </w:r>
          </w:p>
        </w:tc>
        <w:tc>
          <w:tcPr>
            <w:tcW w:w="973" w:type="dxa"/>
            <w:tcBorders>
              <w:top w:val="nil"/>
              <w:left w:val="nil"/>
              <w:bottom w:val="nil"/>
              <w:right w:val="nil"/>
            </w:tcBorders>
            <w:shd w:val="clear" w:color="auto" w:fill="auto"/>
            <w:noWrap/>
            <w:vAlign w:val="bottom"/>
            <w:hideMark/>
          </w:tcPr>
          <w:p w14:paraId="3BBE33A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27,3</w:t>
            </w:r>
          </w:p>
        </w:tc>
        <w:tc>
          <w:tcPr>
            <w:tcW w:w="1251" w:type="dxa"/>
            <w:tcBorders>
              <w:top w:val="nil"/>
              <w:left w:val="nil"/>
              <w:bottom w:val="nil"/>
              <w:right w:val="nil"/>
            </w:tcBorders>
            <w:shd w:val="clear" w:color="auto" w:fill="auto"/>
            <w:noWrap/>
            <w:vAlign w:val="bottom"/>
            <w:hideMark/>
          </w:tcPr>
          <w:p w14:paraId="0AD1019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6,92</w:t>
            </w:r>
          </w:p>
        </w:tc>
      </w:tr>
      <w:tr w:rsidR="00DC7368" w:rsidRPr="00F45FAA" w14:paraId="3FC25C2D" w14:textId="77777777" w:rsidTr="00DC7368">
        <w:trPr>
          <w:trHeight w:val="268"/>
        </w:trPr>
        <w:tc>
          <w:tcPr>
            <w:tcW w:w="1042" w:type="dxa"/>
            <w:tcBorders>
              <w:top w:val="nil"/>
              <w:left w:val="nil"/>
              <w:bottom w:val="nil"/>
              <w:right w:val="nil"/>
            </w:tcBorders>
            <w:shd w:val="clear" w:color="auto" w:fill="auto"/>
            <w:noWrap/>
            <w:vAlign w:val="bottom"/>
            <w:hideMark/>
          </w:tcPr>
          <w:p w14:paraId="19613B26"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B-009</w:t>
            </w:r>
          </w:p>
        </w:tc>
        <w:tc>
          <w:tcPr>
            <w:tcW w:w="1008" w:type="dxa"/>
            <w:tcBorders>
              <w:top w:val="nil"/>
              <w:left w:val="nil"/>
              <w:bottom w:val="nil"/>
              <w:right w:val="nil"/>
            </w:tcBorders>
            <w:shd w:val="clear" w:color="000000" w:fill="C6E0B4"/>
            <w:noWrap/>
            <w:vAlign w:val="bottom"/>
            <w:hideMark/>
          </w:tcPr>
          <w:p w14:paraId="4226F207"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&gt;12</w:t>
            </w:r>
          </w:p>
        </w:tc>
        <w:tc>
          <w:tcPr>
            <w:tcW w:w="973" w:type="dxa"/>
            <w:tcBorders>
              <w:top w:val="nil"/>
              <w:left w:val="nil"/>
              <w:bottom w:val="nil"/>
              <w:right w:val="nil"/>
            </w:tcBorders>
            <w:shd w:val="clear" w:color="auto" w:fill="auto"/>
            <w:noWrap/>
            <w:vAlign w:val="bottom"/>
            <w:hideMark/>
          </w:tcPr>
          <w:p w14:paraId="6B1FCC7C" w14:textId="77777777" w:rsidR="00DC7368" w:rsidRPr="00F45FAA" w:rsidRDefault="00DC7368" w:rsidP="00DC7368">
            <w:pPr>
              <w:spacing w:after="0" w:line="240" w:lineRule="auto"/>
              <w:jc w:val="center"/>
              <w:rPr>
                <w:rFonts w:eastAsia="Times New Roman" w:cs="Calibri"/>
                <w:lang w:eastAsia="de-DE"/>
              </w:rPr>
            </w:pPr>
            <w:r w:rsidRPr="00F45FAA">
              <w:rPr>
                <w:rFonts w:eastAsia="Times New Roman" w:cs="Calibri"/>
                <w:lang w:eastAsia="de-DE"/>
              </w:rPr>
              <w:t>9,7</w:t>
            </w:r>
          </w:p>
        </w:tc>
        <w:tc>
          <w:tcPr>
            <w:tcW w:w="973" w:type="dxa"/>
            <w:tcBorders>
              <w:top w:val="nil"/>
              <w:left w:val="nil"/>
              <w:bottom w:val="nil"/>
              <w:right w:val="nil"/>
            </w:tcBorders>
            <w:shd w:val="clear" w:color="auto" w:fill="auto"/>
            <w:noWrap/>
            <w:vAlign w:val="bottom"/>
            <w:hideMark/>
          </w:tcPr>
          <w:p w14:paraId="3DF49800" w14:textId="77777777" w:rsidR="00DC7368" w:rsidRPr="00F45FAA" w:rsidRDefault="00DC7368" w:rsidP="00DC7368">
            <w:pPr>
              <w:spacing w:after="0" w:line="240" w:lineRule="auto"/>
              <w:jc w:val="center"/>
              <w:rPr>
                <w:rFonts w:eastAsia="Times New Roman" w:cs="Calibri"/>
                <w:lang w:eastAsia="de-DE"/>
              </w:rPr>
            </w:pPr>
            <w:r w:rsidRPr="00F45FAA">
              <w:rPr>
                <w:rFonts w:eastAsia="Times New Roman" w:cs="Calibri"/>
                <w:lang w:eastAsia="de-DE"/>
              </w:rPr>
              <w:t>8,2</w:t>
            </w:r>
          </w:p>
        </w:tc>
        <w:tc>
          <w:tcPr>
            <w:tcW w:w="973" w:type="dxa"/>
            <w:tcBorders>
              <w:top w:val="nil"/>
              <w:left w:val="nil"/>
              <w:bottom w:val="nil"/>
              <w:right w:val="nil"/>
            </w:tcBorders>
            <w:shd w:val="clear" w:color="auto" w:fill="auto"/>
            <w:noWrap/>
            <w:vAlign w:val="bottom"/>
            <w:hideMark/>
          </w:tcPr>
          <w:p w14:paraId="6B7801A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13,7</w:t>
            </w:r>
          </w:p>
        </w:tc>
        <w:tc>
          <w:tcPr>
            <w:tcW w:w="973" w:type="dxa"/>
            <w:tcBorders>
              <w:top w:val="nil"/>
              <w:left w:val="nil"/>
              <w:bottom w:val="nil"/>
              <w:right w:val="nil"/>
            </w:tcBorders>
            <w:shd w:val="clear" w:color="auto" w:fill="auto"/>
            <w:noWrap/>
            <w:vAlign w:val="bottom"/>
            <w:hideMark/>
          </w:tcPr>
          <w:p w14:paraId="75E452B5" w14:textId="77777777" w:rsidR="00DC7368" w:rsidRPr="00F45FAA" w:rsidRDefault="00DC7368" w:rsidP="00DC7368">
            <w:pPr>
              <w:spacing w:after="0" w:line="240" w:lineRule="auto"/>
              <w:jc w:val="center"/>
              <w:rPr>
                <w:rFonts w:eastAsia="Times New Roman" w:cs="Calibri"/>
                <w:lang w:eastAsia="de-DE"/>
              </w:rPr>
            </w:pPr>
            <w:r w:rsidRPr="00F45FAA">
              <w:rPr>
                <w:rFonts w:eastAsia="Times New Roman" w:cs="Calibri"/>
                <w:lang w:eastAsia="de-DE"/>
              </w:rPr>
              <w:t>9,1</w:t>
            </w:r>
          </w:p>
        </w:tc>
        <w:tc>
          <w:tcPr>
            <w:tcW w:w="973" w:type="dxa"/>
            <w:tcBorders>
              <w:top w:val="nil"/>
              <w:left w:val="nil"/>
              <w:bottom w:val="nil"/>
              <w:right w:val="nil"/>
            </w:tcBorders>
            <w:shd w:val="clear" w:color="auto" w:fill="auto"/>
            <w:noWrap/>
            <w:vAlign w:val="bottom"/>
            <w:hideMark/>
          </w:tcPr>
          <w:p w14:paraId="5345F173"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2,5</w:t>
            </w:r>
          </w:p>
        </w:tc>
        <w:tc>
          <w:tcPr>
            <w:tcW w:w="1251" w:type="dxa"/>
            <w:tcBorders>
              <w:top w:val="nil"/>
              <w:left w:val="nil"/>
              <w:bottom w:val="nil"/>
              <w:right w:val="nil"/>
            </w:tcBorders>
            <w:shd w:val="clear" w:color="auto" w:fill="auto"/>
            <w:noWrap/>
            <w:vAlign w:val="bottom"/>
            <w:hideMark/>
          </w:tcPr>
          <w:p w14:paraId="3D4CA0D2"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4,60</w:t>
            </w:r>
          </w:p>
        </w:tc>
      </w:tr>
      <w:tr w:rsidR="00DC7368" w:rsidRPr="00F45FAA" w14:paraId="126D9F7F" w14:textId="77777777" w:rsidTr="00DC7368">
        <w:trPr>
          <w:trHeight w:val="268"/>
        </w:trPr>
        <w:tc>
          <w:tcPr>
            <w:tcW w:w="1042" w:type="dxa"/>
            <w:tcBorders>
              <w:top w:val="nil"/>
              <w:left w:val="nil"/>
              <w:bottom w:val="nil"/>
              <w:right w:val="nil"/>
            </w:tcBorders>
            <w:shd w:val="clear" w:color="auto" w:fill="auto"/>
            <w:noWrap/>
            <w:vAlign w:val="bottom"/>
            <w:hideMark/>
          </w:tcPr>
          <w:p w14:paraId="1E56F38E"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B-010</w:t>
            </w:r>
          </w:p>
        </w:tc>
        <w:tc>
          <w:tcPr>
            <w:tcW w:w="1008" w:type="dxa"/>
            <w:tcBorders>
              <w:top w:val="nil"/>
              <w:left w:val="nil"/>
              <w:bottom w:val="nil"/>
              <w:right w:val="nil"/>
            </w:tcBorders>
            <w:shd w:val="clear" w:color="000000" w:fill="FCE4D6"/>
            <w:noWrap/>
            <w:vAlign w:val="bottom"/>
            <w:hideMark/>
          </w:tcPr>
          <w:p w14:paraId="08CA53D3"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&lt;6</w:t>
            </w:r>
          </w:p>
        </w:tc>
        <w:tc>
          <w:tcPr>
            <w:tcW w:w="973" w:type="dxa"/>
            <w:tcBorders>
              <w:top w:val="nil"/>
              <w:left w:val="nil"/>
              <w:bottom w:val="nil"/>
              <w:right w:val="nil"/>
            </w:tcBorders>
            <w:shd w:val="clear" w:color="auto" w:fill="auto"/>
            <w:noWrap/>
            <w:vAlign w:val="bottom"/>
            <w:hideMark/>
          </w:tcPr>
          <w:p w14:paraId="54FE72D5"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9,8</w:t>
            </w:r>
          </w:p>
        </w:tc>
        <w:tc>
          <w:tcPr>
            <w:tcW w:w="973" w:type="dxa"/>
            <w:tcBorders>
              <w:top w:val="nil"/>
              <w:left w:val="nil"/>
              <w:bottom w:val="nil"/>
              <w:right w:val="nil"/>
            </w:tcBorders>
            <w:shd w:val="clear" w:color="auto" w:fill="auto"/>
            <w:noWrap/>
            <w:vAlign w:val="bottom"/>
            <w:hideMark/>
          </w:tcPr>
          <w:p w14:paraId="4088438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6,5</w:t>
            </w:r>
          </w:p>
        </w:tc>
        <w:tc>
          <w:tcPr>
            <w:tcW w:w="973" w:type="dxa"/>
            <w:tcBorders>
              <w:top w:val="nil"/>
              <w:left w:val="nil"/>
              <w:bottom w:val="nil"/>
              <w:right w:val="nil"/>
            </w:tcBorders>
            <w:shd w:val="clear" w:color="auto" w:fill="auto"/>
            <w:noWrap/>
            <w:vAlign w:val="bottom"/>
            <w:hideMark/>
          </w:tcPr>
          <w:p w14:paraId="469345F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51,7</w:t>
            </w:r>
          </w:p>
        </w:tc>
        <w:tc>
          <w:tcPr>
            <w:tcW w:w="973" w:type="dxa"/>
            <w:tcBorders>
              <w:top w:val="nil"/>
              <w:left w:val="nil"/>
              <w:bottom w:val="nil"/>
              <w:right w:val="nil"/>
            </w:tcBorders>
            <w:shd w:val="clear" w:color="auto" w:fill="auto"/>
            <w:noWrap/>
            <w:vAlign w:val="bottom"/>
            <w:hideMark/>
          </w:tcPr>
          <w:p w14:paraId="1AF0103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22,4</w:t>
            </w:r>
          </w:p>
        </w:tc>
        <w:tc>
          <w:tcPr>
            <w:tcW w:w="973" w:type="dxa"/>
            <w:tcBorders>
              <w:top w:val="nil"/>
              <w:left w:val="nil"/>
              <w:bottom w:val="nil"/>
              <w:right w:val="nil"/>
            </w:tcBorders>
            <w:shd w:val="clear" w:color="auto" w:fill="auto"/>
            <w:noWrap/>
            <w:vAlign w:val="bottom"/>
            <w:hideMark/>
          </w:tcPr>
          <w:p w14:paraId="06AACEA6" w14:textId="77777777" w:rsidR="00DC7368" w:rsidRPr="00F45FAA" w:rsidRDefault="00DC7368" w:rsidP="00DC7368">
            <w:pPr>
              <w:spacing w:after="0" w:line="240" w:lineRule="auto"/>
              <w:jc w:val="center"/>
              <w:rPr>
                <w:rFonts w:eastAsia="Times New Roman" w:cs="Calibri"/>
                <w:color w:val="000000"/>
                <w:lang w:eastAsia="de-DE"/>
              </w:rPr>
            </w:pPr>
          </w:p>
        </w:tc>
        <w:tc>
          <w:tcPr>
            <w:tcW w:w="1251" w:type="dxa"/>
            <w:tcBorders>
              <w:top w:val="nil"/>
              <w:left w:val="nil"/>
              <w:bottom w:val="nil"/>
              <w:right w:val="nil"/>
            </w:tcBorders>
            <w:shd w:val="clear" w:color="auto" w:fill="auto"/>
            <w:noWrap/>
            <w:vAlign w:val="bottom"/>
            <w:hideMark/>
          </w:tcPr>
          <w:p w14:paraId="61C6606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22,93</w:t>
            </w:r>
          </w:p>
        </w:tc>
      </w:tr>
      <w:tr w:rsidR="00DC7368" w:rsidRPr="00F45FAA" w14:paraId="701B102C" w14:textId="77777777" w:rsidTr="00DC7368">
        <w:trPr>
          <w:trHeight w:val="268"/>
        </w:trPr>
        <w:tc>
          <w:tcPr>
            <w:tcW w:w="1042" w:type="dxa"/>
            <w:tcBorders>
              <w:top w:val="nil"/>
              <w:left w:val="nil"/>
              <w:bottom w:val="nil"/>
              <w:right w:val="nil"/>
            </w:tcBorders>
            <w:shd w:val="clear" w:color="auto" w:fill="auto"/>
            <w:noWrap/>
            <w:vAlign w:val="bottom"/>
            <w:hideMark/>
          </w:tcPr>
          <w:p w14:paraId="128C8E93"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B-011</w:t>
            </w:r>
          </w:p>
        </w:tc>
        <w:tc>
          <w:tcPr>
            <w:tcW w:w="1008" w:type="dxa"/>
            <w:tcBorders>
              <w:top w:val="nil"/>
              <w:left w:val="nil"/>
              <w:bottom w:val="nil"/>
              <w:right w:val="nil"/>
            </w:tcBorders>
            <w:shd w:val="clear" w:color="000000" w:fill="D9D9D9"/>
            <w:noWrap/>
            <w:vAlign w:val="bottom"/>
            <w:hideMark/>
          </w:tcPr>
          <w:p w14:paraId="35466329"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≥6&gt;12</w:t>
            </w:r>
          </w:p>
        </w:tc>
        <w:tc>
          <w:tcPr>
            <w:tcW w:w="973" w:type="dxa"/>
            <w:tcBorders>
              <w:top w:val="nil"/>
              <w:left w:val="nil"/>
              <w:bottom w:val="nil"/>
              <w:right w:val="nil"/>
            </w:tcBorders>
            <w:shd w:val="clear" w:color="auto" w:fill="auto"/>
            <w:noWrap/>
            <w:vAlign w:val="bottom"/>
            <w:hideMark/>
          </w:tcPr>
          <w:p w14:paraId="6856F9D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28,4</w:t>
            </w:r>
          </w:p>
        </w:tc>
        <w:tc>
          <w:tcPr>
            <w:tcW w:w="973" w:type="dxa"/>
            <w:tcBorders>
              <w:top w:val="nil"/>
              <w:left w:val="nil"/>
              <w:bottom w:val="nil"/>
              <w:right w:val="nil"/>
            </w:tcBorders>
            <w:shd w:val="clear" w:color="auto" w:fill="auto"/>
            <w:noWrap/>
            <w:vAlign w:val="bottom"/>
            <w:hideMark/>
          </w:tcPr>
          <w:p w14:paraId="6BBC17D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24,3</w:t>
            </w:r>
          </w:p>
        </w:tc>
        <w:tc>
          <w:tcPr>
            <w:tcW w:w="973" w:type="dxa"/>
            <w:tcBorders>
              <w:top w:val="nil"/>
              <w:left w:val="nil"/>
              <w:bottom w:val="nil"/>
              <w:right w:val="nil"/>
            </w:tcBorders>
            <w:shd w:val="clear" w:color="auto" w:fill="auto"/>
            <w:noWrap/>
            <w:vAlign w:val="bottom"/>
            <w:hideMark/>
          </w:tcPr>
          <w:p w14:paraId="29EC097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8,8</w:t>
            </w:r>
          </w:p>
        </w:tc>
        <w:tc>
          <w:tcPr>
            <w:tcW w:w="973" w:type="dxa"/>
            <w:tcBorders>
              <w:top w:val="nil"/>
              <w:left w:val="nil"/>
              <w:bottom w:val="nil"/>
              <w:right w:val="nil"/>
            </w:tcBorders>
            <w:shd w:val="clear" w:color="auto" w:fill="auto"/>
            <w:noWrap/>
            <w:vAlign w:val="bottom"/>
            <w:hideMark/>
          </w:tcPr>
          <w:p w14:paraId="5F34236C"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18,7</w:t>
            </w:r>
          </w:p>
        </w:tc>
        <w:tc>
          <w:tcPr>
            <w:tcW w:w="973" w:type="dxa"/>
            <w:tcBorders>
              <w:top w:val="nil"/>
              <w:left w:val="nil"/>
              <w:bottom w:val="nil"/>
              <w:right w:val="nil"/>
            </w:tcBorders>
            <w:shd w:val="clear" w:color="auto" w:fill="auto"/>
            <w:noWrap/>
            <w:vAlign w:val="bottom"/>
            <w:hideMark/>
          </w:tcPr>
          <w:p w14:paraId="6E3FD67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w:t>
            </w:r>
          </w:p>
        </w:tc>
        <w:tc>
          <w:tcPr>
            <w:tcW w:w="1251" w:type="dxa"/>
            <w:tcBorders>
              <w:top w:val="nil"/>
              <w:left w:val="nil"/>
              <w:bottom w:val="nil"/>
              <w:right w:val="nil"/>
            </w:tcBorders>
            <w:shd w:val="clear" w:color="auto" w:fill="auto"/>
            <w:noWrap/>
            <w:vAlign w:val="bottom"/>
            <w:hideMark/>
          </w:tcPr>
          <w:p w14:paraId="2213E3E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8,80</w:t>
            </w:r>
          </w:p>
        </w:tc>
      </w:tr>
      <w:tr w:rsidR="00DC7368" w:rsidRPr="00F45FAA" w14:paraId="67CC556F" w14:textId="77777777" w:rsidTr="00DC7368">
        <w:trPr>
          <w:trHeight w:val="268"/>
        </w:trPr>
        <w:tc>
          <w:tcPr>
            <w:tcW w:w="1042" w:type="dxa"/>
            <w:tcBorders>
              <w:top w:val="nil"/>
              <w:left w:val="nil"/>
              <w:bottom w:val="nil"/>
              <w:right w:val="nil"/>
            </w:tcBorders>
            <w:shd w:val="clear" w:color="auto" w:fill="auto"/>
            <w:noWrap/>
            <w:vAlign w:val="bottom"/>
            <w:hideMark/>
          </w:tcPr>
          <w:p w14:paraId="59486078"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B-012</w:t>
            </w:r>
          </w:p>
        </w:tc>
        <w:tc>
          <w:tcPr>
            <w:tcW w:w="1008" w:type="dxa"/>
            <w:tcBorders>
              <w:top w:val="nil"/>
              <w:left w:val="nil"/>
              <w:bottom w:val="nil"/>
              <w:right w:val="nil"/>
            </w:tcBorders>
            <w:shd w:val="clear" w:color="000000" w:fill="D9D9D9"/>
            <w:noWrap/>
            <w:vAlign w:val="bottom"/>
            <w:hideMark/>
          </w:tcPr>
          <w:p w14:paraId="48A9B86E"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≥6&gt;12</w:t>
            </w:r>
          </w:p>
        </w:tc>
        <w:tc>
          <w:tcPr>
            <w:tcW w:w="973" w:type="dxa"/>
            <w:tcBorders>
              <w:top w:val="nil"/>
              <w:left w:val="nil"/>
              <w:bottom w:val="nil"/>
              <w:right w:val="nil"/>
            </w:tcBorders>
            <w:shd w:val="clear" w:color="auto" w:fill="auto"/>
            <w:noWrap/>
            <w:vAlign w:val="bottom"/>
            <w:hideMark/>
          </w:tcPr>
          <w:p w14:paraId="32152FD3"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4,1</w:t>
            </w:r>
          </w:p>
        </w:tc>
        <w:tc>
          <w:tcPr>
            <w:tcW w:w="973" w:type="dxa"/>
            <w:tcBorders>
              <w:top w:val="nil"/>
              <w:left w:val="nil"/>
              <w:bottom w:val="nil"/>
              <w:right w:val="nil"/>
            </w:tcBorders>
            <w:shd w:val="clear" w:color="auto" w:fill="auto"/>
            <w:noWrap/>
            <w:vAlign w:val="bottom"/>
            <w:hideMark/>
          </w:tcPr>
          <w:p w14:paraId="71D87FA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22,5</w:t>
            </w:r>
          </w:p>
        </w:tc>
        <w:tc>
          <w:tcPr>
            <w:tcW w:w="973" w:type="dxa"/>
            <w:tcBorders>
              <w:top w:val="nil"/>
              <w:left w:val="nil"/>
              <w:bottom w:val="nil"/>
              <w:right w:val="nil"/>
            </w:tcBorders>
            <w:shd w:val="clear" w:color="auto" w:fill="auto"/>
            <w:noWrap/>
            <w:vAlign w:val="bottom"/>
            <w:hideMark/>
          </w:tcPr>
          <w:p w14:paraId="19A606E2"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28,9</w:t>
            </w:r>
          </w:p>
        </w:tc>
        <w:tc>
          <w:tcPr>
            <w:tcW w:w="973" w:type="dxa"/>
            <w:tcBorders>
              <w:top w:val="nil"/>
              <w:left w:val="nil"/>
              <w:bottom w:val="nil"/>
              <w:right w:val="nil"/>
            </w:tcBorders>
            <w:shd w:val="clear" w:color="auto" w:fill="auto"/>
            <w:noWrap/>
            <w:vAlign w:val="bottom"/>
            <w:hideMark/>
          </w:tcPr>
          <w:p w14:paraId="1162BE15"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w:t>
            </w:r>
          </w:p>
        </w:tc>
        <w:tc>
          <w:tcPr>
            <w:tcW w:w="973" w:type="dxa"/>
            <w:tcBorders>
              <w:top w:val="nil"/>
              <w:left w:val="nil"/>
              <w:bottom w:val="nil"/>
              <w:right w:val="nil"/>
            </w:tcBorders>
            <w:shd w:val="clear" w:color="auto" w:fill="auto"/>
            <w:noWrap/>
            <w:vAlign w:val="bottom"/>
            <w:hideMark/>
          </w:tcPr>
          <w:p w14:paraId="1422E50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4,5</w:t>
            </w:r>
          </w:p>
        </w:tc>
        <w:tc>
          <w:tcPr>
            <w:tcW w:w="1251" w:type="dxa"/>
            <w:tcBorders>
              <w:top w:val="nil"/>
              <w:left w:val="nil"/>
              <w:bottom w:val="nil"/>
              <w:right w:val="nil"/>
            </w:tcBorders>
            <w:shd w:val="clear" w:color="auto" w:fill="auto"/>
            <w:noWrap/>
            <w:vAlign w:val="bottom"/>
            <w:hideMark/>
          </w:tcPr>
          <w:p w14:paraId="19B8F64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12,32</w:t>
            </w:r>
          </w:p>
        </w:tc>
      </w:tr>
      <w:tr w:rsidR="00DC7368" w:rsidRPr="00F45FAA" w14:paraId="5C483B51" w14:textId="77777777" w:rsidTr="00DC7368">
        <w:trPr>
          <w:trHeight w:val="268"/>
        </w:trPr>
        <w:tc>
          <w:tcPr>
            <w:tcW w:w="1042" w:type="dxa"/>
            <w:tcBorders>
              <w:top w:val="nil"/>
              <w:left w:val="nil"/>
              <w:bottom w:val="nil"/>
              <w:right w:val="nil"/>
            </w:tcBorders>
            <w:shd w:val="clear" w:color="auto" w:fill="auto"/>
            <w:noWrap/>
            <w:vAlign w:val="bottom"/>
            <w:hideMark/>
          </w:tcPr>
          <w:p w14:paraId="24F66F26"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B-013</w:t>
            </w:r>
          </w:p>
        </w:tc>
        <w:tc>
          <w:tcPr>
            <w:tcW w:w="1008" w:type="dxa"/>
            <w:tcBorders>
              <w:top w:val="nil"/>
              <w:left w:val="nil"/>
              <w:bottom w:val="nil"/>
              <w:right w:val="nil"/>
            </w:tcBorders>
            <w:shd w:val="clear" w:color="000000" w:fill="FCE4D6"/>
            <w:noWrap/>
            <w:vAlign w:val="bottom"/>
            <w:hideMark/>
          </w:tcPr>
          <w:p w14:paraId="1D12C6E5"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&lt;6</w:t>
            </w:r>
          </w:p>
        </w:tc>
        <w:tc>
          <w:tcPr>
            <w:tcW w:w="973" w:type="dxa"/>
            <w:tcBorders>
              <w:top w:val="nil"/>
              <w:left w:val="nil"/>
              <w:bottom w:val="nil"/>
              <w:right w:val="nil"/>
            </w:tcBorders>
            <w:shd w:val="clear" w:color="auto" w:fill="auto"/>
            <w:noWrap/>
            <w:vAlign w:val="bottom"/>
            <w:hideMark/>
          </w:tcPr>
          <w:p w14:paraId="7464FA9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8,2</w:t>
            </w:r>
          </w:p>
        </w:tc>
        <w:tc>
          <w:tcPr>
            <w:tcW w:w="973" w:type="dxa"/>
            <w:tcBorders>
              <w:top w:val="nil"/>
              <w:left w:val="nil"/>
              <w:bottom w:val="nil"/>
              <w:right w:val="nil"/>
            </w:tcBorders>
            <w:shd w:val="clear" w:color="auto" w:fill="auto"/>
            <w:noWrap/>
            <w:vAlign w:val="bottom"/>
            <w:hideMark/>
          </w:tcPr>
          <w:p w14:paraId="60EF0E15"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6,5</w:t>
            </w:r>
          </w:p>
        </w:tc>
        <w:tc>
          <w:tcPr>
            <w:tcW w:w="973" w:type="dxa"/>
            <w:tcBorders>
              <w:top w:val="nil"/>
              <w:left w:val="nil"/>
              <w:bottom w:val="nil"/>
              <w:right w:val="nil"/>
            </w:tcBorders>
            <w:shd w:val="clear" w:color="auto" w:fill="auto"/>
            <w:noWrap/>
            <w:vAlign w:val="bottom"/>
            <w:hideMark/>
          </w:tcPr>
          <w:p w14:paraId="4DFC2C8C"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w:t>
            </w:r>
          </w:p>
        </w:tc>
        <w:tc>
          <w:tcPr>
            <w:tcW w:w="973" w:type="dxa"/>
            <w:tcBorders>
              <w:top w:val="nil"/>
              <w:left w:val="nil"/>
              <w:bottom w:val="nil"/>
              <w:right w:val="nil"/>
            </w:tcBorders>
            <w:shd w:val="clear" w:color="auto" w:fill="auto"/>
            <w:noWrap/>
            <w:vAlign w:val="bottom"/>
            <w:hideMark/>
          </w:tcPr>
          <w:p w14:paraId="5E45C66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16,5</w:t>
            </w:r>
          </w:p>
        </w:tc>
        <w:tc>
          <w:tcPr>
            <w:tcW w:w="973" w:type="dxa"/>
            <w:tcBorders>
              <w:top w:val="nil"/>
              <w:left w:val="nil"/>
              <w:bottom w:val="nil"/>
              <w:right w:val="nil"/>
            </w:tcBorders>
            <w:shd w:val="clear" w:color="auto" w:fill="auto"/>
            <w:noWrap/>
            <w:vAlign w:val="bottom"/>
            <w:hideMark/>
          </w:tcPr>
          <w:p w14:paraId="35DA666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6,6</w:t>
            </w:r>
          </w:p>
        </w:tc>
        <w:tc>
          <w:tcPr>
            <w:tcW w:w="1251" w:type="dxa"/>
            <w:tcBorders>
              <w:top w:val="nil"/>
              <w:left w:val="nil"/>
              <w:bottom w:val="nil"/>
              <w:right w:val="nil"/>
            </w:tcBorders>
            <w:shd w:val="clear" w:color="auto" w:fill="auto"/>
            <w:noWrap/>
            <w:vAlign w:val="bottom"/>
            <w:hideMark/>
          </w:tcPr>
          <w:p w14:paraId="1697E56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5,24</w:t>
            </w:r>
          </w:p>
        </w:tc>
      </w:tr>
      <w:tr w:rsidR="00DC7368" w:rsidRPr="00F45FAA" w14:paraId="47D0E7F7" w14:textId="77777777" w:rsidTr="00DC7368">
        <w:trPr>
          <w:trHeight w:val="268"/>
        </w:trPr>
        <w:tc>
          <w:tcPr>
            <w:tcW w:w="1042" w:type="dxa"/>
            <w:tcBorders>
              <w:top w:val="nil"/>
              <w:left w:val="nil"/>
              <w:bottom w:val="nil"/>
              <w:right w:val="nil"/>
            </w:tcBorders>
            <w:shd w:val="clear" w:color="auto" w:fill="auto"/>
            <w:noWrap/>
            <w:vAlign w:val="bottom"/>
            <w:hideMark/>
          </w:tcPr>
          <w:p w14:paraId="5A187448"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B-014</w:t>
            </w:r>
          </w:p>
        </w:tc>
        <w:tc>
          <w:tcPr>
            <w:tcW w:w="1008" w:type="dxa"/>
            <w:tcBorders>
              <w:top w:val="nil"/>
              <w:left w:val="nil"/>
              <w:bottom w:val="nil"/>
              <w:right w:val="nil"/>
            </w:tcBorders>
            <w:shd w:val="clear" w:color="000000" w:fill="C6E0B4"/>
            <w:noWrap/>
            <w:vAlign w:val="bottom"/>
            <w:hideMark/>
          </w:tcPr>
          <w:p w14:paraId="7731D089"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4D1A0491"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w:t>
            </w:r>
          </w:p>
        </w:tc>
        <w:tc>
          <w:tcPr>
            <w:tcW w:w="973" w:type="dxa"/>
            <w:tcBorders>
              <w:top w:val="nil"/>
              <w:left w:val="nil"/>
              <w:bottom w:val="nil"/>
              <w:right w:val="nil"/>
            </w:tcBorders>
            <w:shd w:val="clear" w:color="auto" w:fill="auto"/>
            <w:noWrap/>
            <w:vAlign w:val="bottom"/>
            <w:hideMark/>
          </w:tcPr>
          <w:p w14:paraId="7A2DFE9F" w14:textId="77777777" w:rsidR="00DC7368" w:rsidRPr="00F45FAA" w:rsidRDefault="00DC7368" w:rsidP="00DC7368">
            <w:pPr>
              <w:spacing w:after="0" w:line="240" w:lineRule="auto"/>
              <w:jc w:val="center"/>
              <w:rPr>
                <w:rFonts w:eastAsia="Times New Roman" w:cs="Calibri"/>
                <w:color w:val="000000"/>
                <w:lang w:eastAsia="de-DE"/>
              </w:rPr>
            </w:pPr>
          </w:p>
        </w:tc>
        <w:tc>
          <w:tcPr>
            <w:tcW w:w="973" w:type="dxa"/>
            <w:tcBorders>
              <w:top w:val="nil"/>
              <w:left w:val="nil"/>
              <w:bottom w:val="nil"/>
              <w:right w:val="nil"/>
            </w:tcBorders>
            <w:shd w:val="clear" w:color="auto" w:fill="auto"/>
            <w:noWrap/>
            <w:vAlign w:val="bottom"/>
            <w:hideMark/>
          </w:tcPr>
          <w:p w14:paraId="518E12B2"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w:t>
            </w:r>
          </w:p>
        </w:tc>
        <w:tc>
          <w:tcPr>
            <w:tcW w:w="973" w:type="dxa"/>
            <w:tcBorders>
              <w:top w:val="nil"/>
              <w:left w:val="nil"/>
              <w:bottom w:val="nil"/>
              <w:right w:val="nil"/>
            </w:tcBorders>
            <w:shd w:val="clear" w:color="auto" w:fill="auto"/>
            <w:noWrap/>
            <w:vAlign w:val="bottom"/>
            <w:hideMark/>
          </w:tcPr>
          <w:p w14:paraId="5270171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3,4</w:t>
            </w:r>
          </w:p>
        </w:tc>
        <w:tc>
          <w:tcPr>
            <w:tcW w:w="973" w:type="dxa"/>
            <w:tcBorders>
              <w:top w:val="nil"/>
              <w:left w:val="nil"/>
              <w:bottom w:val="nil"/>
              <w:right w:val="nil"/>
            </w:tcBorders>
            <w:shd w:val="clear" w:color="auto" w:fill="auto"/>
            <w:noWrap/>
            <w:vAlign w:val="bottom"/>
            <w:hideMark/>
          </w:tcPr>
          <w:p w14:paraId="3132EB2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2,6</w:t>
            </w:r>
          </w:p>
        </w:tc>
        <w:tc>
          <w:tcPr>
            <w:tcW w:w="1251" w:type="dxa"/>
            <w:tcBorders>
              <w:top w:val="nil"/>
              <w:left w:val="nil"/>
              <w:bottom w:val="nil"/>
              <w:right w:val="nil"/>
            </w:tcBorders>
            <w:shd w:val="clear" w:color="auto" w:fill="auto"/>
            <w:noWrap/>
            <w:vAlign w:val="bottom"/>
            <w:hideMark/>
          </w:tcPr>
          <w:p w14:paraId="0974258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0,70</w:t>
            </w:r>
          </w:p>
        </w:tc>
      </w:tr>
      <w:tr w:rsidR="00DC7368" w:rsidRPr="00F45FAA" w14:paraId="65886E56" w14:textId="77777777" w:rsidTr="00DC7368">
        <w:trPr>
          <w:trHeight w:val="268"/>
        </w:trPr>
        <w:tc>
          <w:tcPr>
            <w:tcW w:w="1042" w:type="dxa"/>
            <w:tcBorders>
              <w:top w:val="nil"/>
              <w:left w:val="nil"/>
              <w:bottom w:val="nil"/>
              <w:right w:val="nil"/>
            </w:tcBorders>
            <w:shd w:val="clear" w:color="auto" w:fill="auto"/>
            <w:noWrap/>
            <w:vAlign w:val="bottom"/>
            <w:hideMark/>
          </w:tcPr>
          <w:p w14:paraId="345FB77D"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B-016</w:t>
            </w:r>
          </w:p>
        </w:tc>
        <w:tc>
          <w:tcPr>
            <w:tcW w:w="1008" w:type="dxa"/>
            <w:tcBorders>
              <w:top w:val="nil"/>
              <w:left w:val="nil"/>
              <w:bottom w:val="nil"/>
              <w:right w:val="nil"/>
            </w:tcBorders>
            <w:shd w:val="clear" w:color="000000" w:fill="C6E0B4"/>
            <w:noWrap/>
            <w:vAlign w:val="bottom"/>
            <w:hideMark/>
          </w:tcPr>
          <w:p w14:paraId="570EF83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7454826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9,5</w:t>
            </w:r>
          </w:p>
        </w:tc>
        <w:tc>
          <w:tcPr>
            <w:tcW w:w="973" w:type="dxa"/>
            <w:tcBorders>
              <w:top w:val="nil"/>
              <w:left w:val="nil"/>
              <w:bottom w:val="nil"/>
              <w:right w:val="nil"/>
            </w:tcBorders>
            <w:shd w:val="clear" w:color="auto" w:fill="auto"/>
            <w:noWrap/>
            <w:vAlign w:val="bottom"/>
            <w:hideMark/>
          </w:tcPr>
          <w:p w14:paraId="691CC83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8,2</w:t>
            </w:r>
          </w:p>
        </w:tc>
        <w:tc>
          <w:tcPr>
            <w:tcW w:w="973" w:type="dxa"/>
            <w:tcBorders>
              <w:top w:val="nil"/>
              <w:left w:val="nil"/>
              <w:bottom w:val="nil"/>
              <w:right w:val="nil"/>
            </w:tcBorders>
            <w:shd w:val="clear" w:color="auto" w:fill="auto"/>
            <w:noWrap/>
            <w:vAlign w:val="bottom"/>
            <w:hideMark/>
          </w:tcPr>
          <w:p w14:paraId="1039FBC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4,1</w:t>
            </w:r>
          </w:p>
        </w:tc>
        <w:tc>
          <w:tcPr>
            <w:tcW w:w="973" w:type="dxa"/>
            <w:tcBorders>
              <w:top w:val="nil"/>
              <w:left w:val="nil"/>
              <w:bottom w:val="nil"/>
              <w:right w:val="nil"/>
            </w:tcBorders>
            <w:shd w:val="clear" w:color="auto" w:fill="auto"/>
            <w:noWrap/>
            <w:vAlign w:val="bottom"/>
            <w:hideMark/>
          </w:tcPr>
          <w:p w14:paraId="1B7C4581"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5,2</w:t>
            </w:r>
          </w:p>
        </w:tc>
        <w:tc>
          <w:tcPr>
            <w:tcW w:w="973" w:type="dxa"/>
            <w:tcBorders>
              <w:top w:val="nil"/>
              <w:left w:val="nil"/>
              <w:bottom w:val="nil"/>
              <w:right w:val="nil"/>
            </w:tcBorders>
            <w:shd w:val="clear" w:color="auto" w:fill="auto"/>
            <w:noWrap/>
            <w:vAlign w:val="bottom"/>
            <w:hideMark/>
          </w:tcPr>
          <w:p w14:paraId="09831B4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7,2</w:t>
            </w:r>
          </w:p>
        </w:tc>
        <w:tc>
          <w:tcPr>
            <w:tcW w:w="1251" w:type="dxa"/>
            <w:tcBorders>
              <w:top w:val="nil"/>
              <w:left w:val="nil"/>
              <w:bottom w:val="nil"/>
              <w:right w:val="nil"/>
            </w:tcBorders>
            <w:shd w:val="clear" w:color="auto" w:fill="auto"/>
            <w:noWrap/>
            <w:vAlign w:val="bottom"/>
            <w:hideMark/>
          </w:tcPr>
          <w:p w14:paraId="05BAACE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1,86</w:t>
            </w:r>
          </w:p>
        </w:tc>
      </w:tr>
      <w:tr w:rsidR="00DC7368" w:rsidRPr="00F45FAA" w14:paraId="1FB8442D" w14:textId="77777777" w:rsidTr="00DC7368">
        <w:trPr>
          <w:trHeight w:val="268"/>
        </w:trPr>
        <w:tc>
          <w:tcPr>
            <w:tcW w:w="1042" w:type="dxa"/>
            <w:tcBorders>
              <w:top w:val="nil"/>
              <w:left w:val="nil"/>
              <w:bottom w:val="nil"/>
              <w:right w:val="nil"/>
            </w:tcBorders>
            <w:shd w:val="clear" w:color="auto" w:fill="auto"/>
            <w:noWrap/>
            <w:vAlign w:val="bottom"/>
            <w:hideMark/>
          </w:tcPr>
          <w:p w14:paraId="3DFDD79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B-017</w:t>
            </w:r>
          </w:p>
        </w:tc>
        <w:tc>
          <w:tcPr>
            <w:tcW w:w="1008" w:type="dxa"/>
            <w:tcBorders>
              <w:top w:val="nil"/>
              <w:left w:val="nil"/>
              <w:bottom w:val="nil"/>
              <w:right w:val="nil"/>
            </w:tcBorders>
            <w:shd w:val="clear" w:color="000000" w:fill="C6E0B4"/>
            <w:noWrap/>
            <w:vAlign w:val="bottom"/>
            <w:hideMark/>
          </w:tcPr>
          <w:p w14:paraId="4E43DF5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1CDB1A1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6,1</w:t>
            </w:r>
          </w:p>
        </w:tc>
        <w:tc>
          <w:tcPr>
            <w:tcW w:w="973" w:type="dxa"/>
            <w:tcBorders>
              <w:top w:val="nil"/>
              <w:left w:val="nil"/>
              <w:bottom w:val="nil"/>
              <w:right w:val="nil"/>
            </w:tcBorders>
            <w:shd w:val="clear" w:color="auto" w:fill="auto"/>
            <w:noWrap/>
            <w:vAlign w:val="bottom"/>
            <w:hideMark/>
          </w:tcPr>
          <w:p w14:paraId="1C85B5C3"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18,6</w:t>
            </w:r>
          </w:p>
        </w:tc>
        <w:tc>
          <w:tcPr>
            <w:tcW w:w="973" w:type="dxa"/>
            <w:tcBorders>
              <w:top w:val="nil"/>
              <w:left w:val="nil"/>
              <w:bottom w:val="nil"/>
              <w:right w:val="nil"/>
            </w:tcBorders>
            <w:shd w:val="clear" w:color="auto" w:fill="auto"/>
            <w:noWrap/>
            <w:vAlign w:val="bottom"/>
            <w:hideMark/>
          </w:tcPr>
          <w:p w14:paraId="509AAA8B"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3,7</w:t>
            </w:r>
          </w:p>
        </w:tc>
        <w:tc>
          <w:tcPr>
            <w:tcW w:w="973" w:type="dxa"/>
            <w:tcBorders>
              <w:top w:val="nil"/>
              <w:left w:val="nil"/>
              <w:bottom w:val="nil"/>
              <w:right w:val="nil"/>
            </w:tcBorders>
            <w:shd w:val="clear" w:color="auto" w:fill="auto"/>
            <w:noWrap/>
            <w:vAlign w:val="bottom"/>
            <w:hideMark/>
          </w:tcPr>
          <w:p w14:paraId="588D72E2"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7,2</w:t>
            </w:r>
          </w:p>
        </w:tc>
        <w:tc>
          <w:tcPr>
            <w:tcW w:w="973" w:type="dxa"/>
            <w:tcBorders>
              <w:top w:val="nil"/>
              <w:left w:val="nil"/>
              <w:bottom w:val="nil"/>
              <w:right w:val="nil"/>
            </w:tcBorders>
            <w:shd w:val="clear" w:color="auto" w:fill="auto"/>
            <w:noWrap/>
            <w:vAlign w:val="bottom"/>
            <w:hideMark/>
          </w:tcPr>
          <w:p w14:paraId="457D208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6,1</w:t>
            </w:r>
          </w:p>
        </w:tc>
        <w:tc>
          <w:tcPr>
            <w:tcW w:w="1251" w:type="dxa"/>
            <w:tcBorders>
              <w:top w:val="nil"/>
              <w:left w:val="nil"/>
              <w:bottom w:val="nil"/>
              <w:right w:val="nil"/>
            </w:tcBorders>
            <w:shd w:val="clear" w:color="auto" w:fill="auto"/>
            <w:noWrap/>
            <w:vAlign w:val="bottom"/>
            <w:hideMark/>
          </w:tcPr>
          <w:p w14:paraId="6C554EA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6,63</w:t>
            </w:r>
          </w:p>
        </w:tc>
      </w:tr>
      <w:tr w:rsidR="00DC7368" w:rsidRPr="00F45FAA" w14:paraId="63FCF0EE" w14:textId="77777777" w:rsidTr="00DC7368">
        <w:trPr>
          <w:trHeight w:val="268"/>
        </w:trPr>
        <w:tc>
          <w:tcPr>
            <w:tcW w:w="1042" w:type="dxa"/>
            <w:tcBorders>
              <w:top w:val="nil"/>
              <w:left w:val="nil"/>
              <w:bottom w:val="nil"/>
              <w:right w:val="nil"/>
            </w:tcBorders>
            <w:shd w:val="clear" w:color="auto" w:fill="auto"/>
            <w:noWrap/>
            <w:vAlign w:val="bottom"/>
            <w:hideMark/>
          </w:tcPr>
          <w:p w14:paraId="7B1C399A"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B-019</w:t>
            </w:r>
          </w:p>
        </w:tc>
        <w:tc>
          <w:tcPr>
            <w:tcW w:w="1008" w:type="dxa"/>
            <w:tcBorders>
              <w:top w:val="nil"/>
              <w:left w:val="nil"/>
              <w:bottom w:val="nil"/>
              <w:right w:val="nil"/>
            </w:tcBorders>
            <w:shd w:val="clear" w:color="000000" w:fill="C6E0B4"/>
            <w:noWrap/>
            <w:vAlign w:val="bottom"/>
            <w:hideMark/>
          </w:tcPr>
          <w:p w14:paraId="04DABF30"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56E539D3"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2,7</w:t>
            </w:r>
          </w:p>
        </w:tc>
        <w:tc>
          <w:tcPr>
            <w:tcW w:w="973" w:type="dxa"/>
            <w:tcBorders>
              <w:top w:val="nil"/>
              <w:left w:val="nil"/>
              <w:bottom w:val="nil"/>
              <w:right w:val="nil"/>
            </w:tcBorders>
            <w:shd w:val="clear" w:color="auto" w:fill="auto"/>
            <w:noWrap/>
            <w:vAlign w:val="bottom"/>
            <w:hideMark/>
          </w:tcPr>
          <w:p w14:paraId="32E845FE" w14:textId="77777777" w:rsidR="00DC7368" w:rsidRPr="00F45FAA" w:rsidRDefault="00DC7368" w:rsidP="00DC7368">
            <w:pPr>
              <w:spacing w:after="0" w:line="240" w:lineRule="auto"/>
              <w:jc w:val="center"/>
              <w:rPr>
                <w:rFonts w:eastAsia="Times New Roman" w:cs="Calibri"/>
                <w:color w:val="000000"/>
                <w:lang w:eastAsia="de-DE"/>
              </w:rPr>
            </w:pPr>
          </w:p>
        </w:tc>
        <w:tc>
          <w:tcPr>
            <w:tcW w:w="973" w:type="dxa"/>
            <w:tcBorders>
              <w:top w:val="nil"/>
              <w:left w:val="nil"/>
              <w:bottom w:val="nil"/>
              <w:right w:val="nil"/>
            </w:tcBorders>
            <w:shd w:val="clear" w:color="auto" w:fill="auto"/>
            <w:noWrap/>
            <w:vAlign w:val="bottom"/>
            <w:hideMark/>
          </w:tcPr>
          <w:p w14:paraId="13D20229"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3,3</w:t>
            </w:r>
          </w:p>
        </w:tc>
        <w:tc>
          <w:tcPr>
            <w:tcW w:w="973" w:type="dxa"/>
            <w:tcBorders>
              <w:top w:val="nil"/>
              <w:left w:val="nil"/>
              <w:bottom w:val="nil"/>
              <w:right w:val="nil"/>
            </w:tcBorders>
            <w:shd w:val="clear" w:color="auto" w:fill="auto"/>
            <w:noWrap/>
            <w:vAlign w:val="bottom"/>
            <w:hideMark/>
          </w:tcPr>
          <w:p w14:paraId="7AA98D0C"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1,5</w:t>
            </w:r>
          </w:p>
        </w:tc>
        <w:tc>
          <w:tcPr>
            <w:tcW w:w="973" w:type="dxa"/>
            <w:tcBorders>
              <w:top w:val="nil"/>
              <w:left w:val="nil"/>
              <w:bottom w:val="nil"/>
              <w:right w:val="nil"/>
            </w:tcBorders>
            <w:shd w:val="clear" w:color="auto" w:fill="auto"/>
            <w:noWrap/>
            <w:vAlign w:val="bottom"/>
            <w:hideMark/>
          </w:tcPr>
          <w:p w14:paraId="5595015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1,7</w:t>
            </w:r>
          </w:p>
        </w:tc>
        <w:tc>
          <w:tcPr>
            <w:tcW w:w="1251" w:type="dxa"/>
            <w:tcBorders>
              <w:top w:val="nil"/>
              <w:left w:val="nil"/>
              <w:bottom w:val="nil"/>
              <w:right w:val="nil"/>
            </w:tcBorders>
            <w:shd w:val="clear" w:color="auto" w:fill="auto"/>
            <w:noWrap/>
            <w:vAlign w:val="bottom"/>
            <w:hideMark/>
          </w:tcPr>
          <w:p w14:paraId="50623E4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0,99</w:t>
            </w:r>
          </w:p>
        </w:tc>
      </w:tr>
      <w:tr w:rsidR="00DC7368" w:rsidRPr="00F45FAA" w14:paraId="7A57234E" w14:textId="77777777" w:rsidTr="00DC7368">
        <w:trPr>
          <w:trHeight w:val="268"/>
        </w:trPr>
        <w:tc>
          <w:tcPr>
            <w:tcW w:w="1042" w:type="dxa"/>
            <w:tcBorders>
              <w:top w:val="nil"/>
              <w:left w:val="nil"/>
              <w:bottom w:val="nil"/>
              <w:right w:val="nil"/>
            </w:tcBorders>
            <w:shd w:val="clear" w:color="auto" w:fill="auto"/>
            <w:noWrap/>
            <w:vAlign w:val="bottom"/>
            <w:hideMark/>
          </w:tcPr>
          <w:p w14:paraId="79B3B5F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B-021</w:t>
            </w:r>
          </w:p>
        </w:tc>
        <w:tc>
          <w:tcPr>
            <w:tcW w:w="1008" w:type="dxa"/>
            <w:tcBorders>
              <w:top w:val="nil"/>
              <w:left w:val="nil"/>
              <w:bottom w:val="nil"/>
              <w:right w:val="nil"/>
            </w:tcBorders>
            <w:shd w:val="clear" w:color="000000" w:fill="D9D9D9"/>
            <w:noWrap/>
            <w:vAlign w:val="bottom"/>
            <w:hideMark/>
          </w:tcPr>
          <w:p w14:paraId="7E57FCCC"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≥6&gt;12</w:t>
            </w:r>
          </w:p>
        </w:tc>
        <w:tc>
          <w:tcPr>
            <w:tcW w:w="973" w:type="dxa"/>
            <w:tcBorders>
              <w:top w:val="nil"/>
              <w:left w:val="nil"/>
              <w:bottom w:val="nil"/>
              <w:right w:val="nil"/>
            </w:tcBorders>
            <w:shd w:val="clear" w:color="auto" w:fill="auto"/>
            <w:noWrap/>
            <w:vAlign w:val="bottom"/>
            <w:hideMark/>
          </w:tcPr>
          <w:p w14:paraId="108A0FE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18,4</w:t>
            </w:r>
          </w:p>
        </w:tc>
        <w:tc>
          <w:tcPr>
            <w:tcW w:w="973" w:type="dxa"/>
            <w:tcBorders>
              <w:top w:val="nil"/>
              <w:left w:val="nil"/>
              <w:bottom w:val="nil"/>
              <w:right w:val="nil"/>
            </w:tcBorders>
            <w:shd w:val="clear" w:color="auto" w:fill="auto"/>
            <w:noWrap/>
            <w:vAlign w:val="bottom"/>
            <w:hideMark/>
          </w:tcPr>
          <w:p w14:paraId="1B91CDA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10,1</w:t>
            </w:r>
          </w:p>
        </w:tc>
        <w:tc>
          <w:tcPr>
            <w:tcW w:w="973" w:type="dxa"/>
            <w:tcBorders>
              <w:top w:val="nil"/>
              <w:left w:val="nil"/>
              <w:bottom w:val="nil"/>
              <w:right w:val="nil"/>
            </w:tcBorders>
            <w:shd w:val="clear" w:color="auto" w:fill="auto"/>
            <w:noWrap/>
            <w:vAlign w:val="bottom"/>
            <w:hideMark/>
          </w:tcPr>
          <w:p w14:paraId="438ADE8D"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1,5</w:t>
            </w:r>
          </w:p>
        </w:tc>
        <w:tc>
          <w:tcPr>
            <w:tcW w:w="973" w:type="dxa"/>
            <w:tcBorders>
              <w:top w:val="nil"/>
              <w:left w:val="nil"/>
              <w:bottom w:val="nil"/>
              <w:right w:val="nil"/>
            </w:tcBorders>
            <w:shd w:val="clear" w:color="auto" w:fill="auto"/>
            <w:noWrap/>
            <w:vAlign w:val="bottom"/>
            <w:hideMark/>
          </w:tcPr>
          <w:p w14:paraId="4188961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3,3</w:t>
            </w:r>
          </w:p>
        </w:tc>
        <w:tc>
          <w:tcPr>
            <w:tcW w:w="973" w:type="dxa"/>
            <w:tcBorders>
              <w:top w:val="nil"/>
              <w:left w:val="nil"/>
              <w:bottom w:val="nil"/>
              <w:right w:val="nil"/>
            </w:tcBorders>
            <w:shd w:val="clear" w:color="auto" w:fill="auto"/>
            <w:noWrap/>
            <w:vAlign w:val="bottom"/>
            <w:hideMark/>
          </w:tcPr>
          <w:p w14:paraId="2FF4075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1,7</w:t>
            </w:r>
          </w:p>
        </w:tc>
        <w:tc>
          <w:tcPr>
            <w:tcW w:w="1251" w:type="dxa"/>
            <w:tcBorders>
              <w:top w:val="nil"/>
              <w:left w:val="nil"/>
              <w:bottom w:val="nil"/>
              <w:right w:val="nil"/>
            </w:tcBorders>
            <w:shd w:val="clear" w:color="auto" w:fill="auto"/>
            <w:noWrap/>
            <w:vAlign w:val="bottom"/>
            <w:hideMark/>
          </w:tcPr>
          <w:p w14:paraId="3FCB6E6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4,05</w:t>
            </w:r>
          </w:p>
        </w:tc>
      </w:tr>
      <w:tr w:rsidR="00DC7368" w:rsidRPr="00F45FAA" w14:paraId="1A80E7A8" w14:textId="77777777" w:rsidTr="00DC7368">
        <w:trPr>
          <w:trHeight w:val="268"/>
        </w:trPr>
        <w:tc>
          <w:tcPr>
            <w:tcW w:w="1042" w:type="dxa"/>
            <w:tcBorders>
              <w:top w:val="nil"/>
              <w:left w:val="nil"/>
              <w:bottom w:val="nil"/>
              <w:right w:val="nil"/>
            </w:tcBorders>
            <w:shd w:val="clear" w:color="auto" w:fill="auto"/>
            <w:noWrap/>
            <w:vAlign w:val="bottom"/>
            <w:hideMark/>
          </w:tcPr>
          <w:p w14:paraId="7BF268E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B-022</w:t>
            </w:r>
          </w:p>
        </w:tc>
        <w:tc>
          <w:tcPr>
            <w:tcW w:w="1008" w:type="dxa"/>
            <w:tcBorders>
              <w:top w:val="nil"/>
              <w:left w:val="nil"/>
              <w:bottom w:val="nil"/>
              <w:right w:val="nil"/>
            </w:tcBorders>
            <w:shd w:val="clear" w:color="000000" w:fill="C6E0B4"/>
            <w:noWrap/>
            <w:vAlign w:val="bottom"/>
            <w:hideMark/>
          </w:tcPr>
          <w:p w14:paraId="1DAEA88E"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50850C34"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w:t>
            </w:r>
          </w:p>
        </w:tc>
        <w:tc>
          <w:tcPr>
            <w:tcW w:w="973" w:type="dxa"/>
            <w:tcBorders>
              <w:top w:val="nil"/>
              <w:left w:val="nil"/>
              <w:bottom w:val="nil"/>
              <w:right w:val="nil"/>
            </w:tcBorders>
            <w:shd w:val="clear" w:color="auto" w:fill="auto"/>
            <w:noWrap/>
            <w:vAlign w:val="bottom"/>
            <w:hideMark/>
          </w:tcPr>
          <w:p w14:paraId="1B31FEB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8,2</w:t>
            </w:r>
          </w:p>
        </w:tc>
        <w:tc>
          <w:tcPr>
            <w:tcW w:w="973" w:type="dxa"/>
            <w:tcBorders>
              <w:top w:val="nil"/>
              <w:left w:val="nil"/>
              <w:bottom w:val="nil"/>
              <w:right w:val="nil"/>
            </w:tcBorders>
            <w:shd w:val="clear" w:color="auto" w:fill="auto"/>
            <w:noWrap/>
            <w:vAlign w:val="bottom"/>
            <w:hideMark/>
          </w:tcPr>
          <w:p w14:paraId="68053B1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4,9</w:t>
            </w:r>
          </w:p>
        </w:tc>
        <w:tc>
          <w:tcPr>
            <w:tcW w:w="973" w:type="dxa"/>
            <w:tcBorders>
              <w:top w:val="nil"/>
              <w:left w:val="nil"/>
              <w:bottom w:val="nil"/>
              <w:right w:val="nil"/>
            </w:tcBorders>
            <w:shd w:val="clear" w:color="auto" w:fill="auto"/>
            <w:noWrap/>
            <w:vAlign w:val="bottom"/>
            <w:hideMark/>
          </w:tcPr>
          <w:p w14:paraId="2BB903A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w:t>
            </w:r>
          </w:p>
        </w:tc>
        <w:tc>
          <w:tcPr>
            <w:tcW w:w="973" w:type="dxa"/>
            <w:tcBorders>
              <w:top w:val="nil"/>
              <w:left w:val="nil"/>
              <w:bottom w:val="nil"/>
              <w:right w:val="nil"/>
            </w:tcBorders>
            <w:shd w:val="clear" w:color="auto" w:fill="auto"/>
            <w:noWrap/>
            <w:vAlign w:val="bottom"/>
            <w:hideMark/>
          </w:tcPr>
          <w:p w14:paraId="73CDE1C6"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2,9</w:t>
            </w:r>
          </w:p>
        </w:tc>
        <w:tc>
          <w:tcPr>
            <w:tcW w:w="1251" w:type="dxa"/>
            <w:tcBorders>
              <w:top w:val="nil"/>
              <w:left w:val="nil"/>
              <w:bottom w:val="nil"/>
              <w:right w:val="nil"/>
            </w:tcBorders>
            <w:shd w:val="clear" w:color="auto" w:fill="auto"/>
            <w:noWrap/>
            <w:vAlign w:val="bottom"/>
            <w:hideMark/>
          </w:tcPr>
          <w:p w14:paraId="3C5B6D6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2,48</w:t>
            </w:r>
          </w:p>
        </w:tc>
      </w:tr>
      <w:tr w:rsidR="00DC7368" w:rsidRPr="00F45FAA" w14:paraId="45D1EB06" w14:textId="77777777" w:rsidTr="00DC7368">
        <w:trPr>
          <w:trHeight w:val="268"/>
        </w:trPr>
        <w:tc>
          <w:tcPr>
            <w:tcW w:w="1042" w:type="dxa"/>
            <w:tcBorders>
              <w:top w:val="nil"/>
              <w:left w:val="nil"/>
              <w:bottom w:val="nil"/>
              <w:right w:val="nil"/>
            </w:tcBorders>
            <w:shd w:val="clear" w:color="auto" w:fill="auto"/>
            <w:noWrap/>
            <w:vAlign w:val="bottom"/>
            <w:hideMark/>
          </w:tcPr>
          <w:p w14:paraId="5E43C656"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B-023</w:t>
            </w:r>
          </w:p>
        </w:tc>
        <w:tc>
          <w:tcPr>
            <w:tcW w:w="1008" w:type="dxa"/>
            <w:tcBorders>
              <w:top w:val="nil"/>
              <w:left w:val="nil"/>
              <w:bottom w:val="nil"/>
              <w:right w:val="nil"/>
            </w:tcBorders>
            <w:shd w:val="clear" w:color="000000" w:fill="C6E0B4"/>
            <w:noWrap/>
            <w:vAlign w:val="bottom"/>
            <w:hideMark/>
          </w:tcPr>
          <w:p w14:paraId="691CB4D2"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0D51C57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60,1</w:t>
            </w:r>
          </w:p>
        </w:tc>
        <w:tc>
          <w:tcPr>
            <w:tcW w:w="973" w:type="dxa"/>
            <w:tcBorders>
              <w:top w:val="nil"/>
              <w:left w:val="nil"/>
              <w:bottom w:val="nil"/>
              <w:right w:val="nil"/>
            </w:tcBorders>
            <w:shd w:val="clear" w:color="auto" w:fill="auto"/>
            <w:noWrap/>
            <w:vAlign w:val="bottom"/>
            <w:hideMark/>
          </w:tcPr>
          <w:p w14:paraId="1512272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21,5</w:t>
            </w:r>
          </w:p>
        </w:tc>
        <w:tc>
          <w:tcPr>
            <w:tcW w:w="973" w:type="dxa"/>
            <w:tcBorders>
              <w:top w:val="nil"/>
              <w:left w:val="nil"/>
              <w:bottom w:val="nil"/>
              <w:right w:val="nil"/>
            </w:tcBorders>
            <w:shd w:val="clear" w:color="auto" w:fill="auto"/>
            <w:noWrap/>
            <w:vAlign w:val="bottom"/>
            <w:hideMark/>
          </w:tcPr>
          <w:p w14:paraId="7474B55E"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16,4</w:t>
            </w:r>
          </w:p>
        </w:tc>
        <w:tc>
          <w:tcPr>
            <w:tcW w:w="973" w:type="dxa"/>
            <w:tcBorders>
              <w:top w:val="nil"/>
              <w:left w:val="nil"/>
              <w:bottom w:val="nil"/>
              <w:right w:val="nil"/>
            </w:tcBorders>
            <w:shd w:val="clear" w:color="auto" w:fill="auto"/>
            <w:noWrap/>
            <w:vAlign w:val="bottom"/>
            <w:hideMark/>
          </w:tcPr>
          <w:p w14:paraId="3C5ECBD0"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11,3</w:t>
            </w:r>
          </w:p>
        </w:tc>
        <w:tc>
          <w:tcPr>
            <w:tcW w:w="973" w:type="dxa"/>
            <w:tcBorders>
              <w:top w:val="nil"/>
              <w:left w:val="nil"/>
              <w:bottom w:val="nil"/>
              <w:right w:val="nil"/>
            </w:tcBorders>
            <w:shd w:val="clear" w:color="auto" w:fill="auto"/>
            <w:noWrap/>
            <w:vAlign w:val="bottom"/>
            <w:hideMark/>
          </w:tcPr>
          <w:p w14:paraId="1BBDBD5C"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6,7</w:t>
            </w:r>
          </w:p>
        </w:tc>
        <w:tc>
          <w:tcPr>
            <w:tcW w:w="1251" w:type="dxa"/>
            <w:tcBorders>
              <w:top w:val="nil"/>
              <w:left w:val="nil"/>
              <w:bottom w:val="nil"/>
              <w:right w:val="nil"/>
            </w:tcBorders>
            <w:shd w:val="clear" w:color="auto" w:fill="auto"/>
            <w:noWrap/>
            <w:vAlign w:val="bottom"/>
            <w:hideMark/>
          </w:tcPr>
          <w:p w14:paraId="5916413F"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6,39</w:t>
            </w:r>
          </w:p>
        </w:tc>
      </w:tr>
      <w:tr w:rsidR="00DC7368" w:rsidRPr="00F45FAA" w14:paraId="456536FC" w14:textId="77777777" w:rsidTr="00DC7368">
        <w:trPr>
          <w:trHeight w:val="268"/>
        </w:trPr>
        <w:tc>
          <w:tcPr>
            <w:tcW w:w="1042" w:type="dxa"/>
            <w:tcBorders>
              <w:top w:val="nil"/>
              <w:left w:val="nil"/>
              <w:bottom w:val="nil"/>
              <w:right w:val="nil"/>
            </w:tcBorders>
            <w:shd w:val="clear" w:color="auto" w:fill="auto"/>
            <w:noWrap/>
            <w:vAlign w:val="bottom"/>
            <w:hideMark/>
          </w:tcPr>
          <w:p w14:paraId="2132168E"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B-024</w:t>
            </w:r>
          </w:p>
        </w:tc>
        <w:tc>
          <w:tcPr>
            <w:tcW w:w="1008" w:type="dxa"/>
            <w:tcBorders>
              <w:top w:val="nil"/>
              <w:left w:val="nil"/>
              <w:bottom w:val="nil"/>
              <w:right w:val="nil"/>
            </w:tcBorders>
            <w:shd w:val="clear" w:color="000000" w:fill="C6E0B4"/>
            <w:noWrap/>
            <w:vAlign w:val="bottom"/>
            <w:hideMark/>
          </w:tcPr>
          <w:p w14:paraId="1998031B" w14:textId="77777777" w:rsidR="00DC7368" w:rsidRPr="00F45FAA" w:rsidRDefault="00DC7368" w:rsidP="00DC7368">
            <w:pPr>
              <w:spacing w:after="0" w:line="240" w:lineRule="auto"/>
              <w:rPr>
                <w:rFonts w:eastAsia="Times New Roman" w:cs="Calibri"/>
                <w:color w:val="000000"/>
                <w:lang w:eastAsia="de-DE"/>
              </w:rPr>
            </w:pPr>
            <w:r w:rsidRPr="00F45FAA">
              <w:rPr>
                <w:rFonts w:eastAsia="Times New Roman" w:cs="Calibri"/>
                <w:color w:val="000000"/>
                <w:lang w:eastAsia="de-DE"/>
              </w:rPr>
              <w:t>≥12</w:t>
            </w:r>
          </w:p>
        </w:tc>
        <w:tc>
          <w:tcPr>
            <w:tcW w:w="973" w:type="dxa"/>
            <w:tcBorders>
              <w:top w:val="nil"/>
              <w:left w:val="nil"/>
              <w:bottom w:val="nil"/>
              <w:right w:val="nil"/>
            </w:tcBorders>
            <w:shd w:val="clear" w:color="auto" w:fill="auto"/>
            <w:noWrap/>
            <w:vAlign w:val="bottom"/>
            <w:hideMark/>
          </w:tcPr>
          <w:p w14:paraId="77BBDB27"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50,3</w:t>
            </w:r>
          </w:p>
        </w:tc>
        <w:tc>
          <w:tcPr>
            <w:tcW w:w="973" w:type="dxa"/>
            <w:tcBorders>
              <w:top w:val="nil"/>
              <w:left w:val="nil"/>
              <w:bottom w:val="nil"/>
              <w:right w:val="nil"/>
            </w:tcBorders>
            <w:shd w:val="clear" w:color="auto" w:fill="auto"/>
            <w:noWrap/>
            <w:vAlign w:val="bottom"/>
            <w:hideMark/>
          </w:tcPr>
          <w:p w14:paraId="7CD357C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19,2</w:t>
            </w:r>
          </w:p>
        </w:tc>
        <w:tc>
          <w:tcPr>
            <w:tcW w:w="973" w:type="dxa"/>
            <w:tcBorders>
              <w:top w:val="nil"/>
              <w:left w:val="nil"/>
              <w:bottom w:val="nil"/>
              <w:right w:val="nil"/>
            </w:tcBorders>
            <w:shd w:val="clear" w:color="auto" w:fill="auto"/>
            <w:noWrap/>
            <w:vAlign w:val="bottom"/>
            <w:hideMark/>
          </w:tcPr>
          <w:p w14:paraId="52DB9428"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14,1</w:t>
            </w:r>
          </w:p>
        </w:tc>
        <w:tc>
          <w:tcPr>
            <w:tcW w:w="973" w:type="dxa"/>
            <w:tcBorders>
              <w:top w:val="nil"/>
              <w:left w:val="nil"/>
              <w:bottom w:val="nil"/>
              <w:right w:val="nil"/>
            </w:tcBorders>
            <w:shd w:val="clear" w:color="auto" w:fill="auto"/>
            <w:noWrap/>
            <w:vAlign w:val="bottom"/>
            <w:hideMark/>
          </w:tcPr>
          <w:p w14:paraId="4CCFB027" w14:textId="77777777" w:rsidR="00DC7368" w:rsidRPr="00F45FAA" w:rsidRDefault="00DC7368" w:rsidP="00DC7368">
            <w:pPr>
              <w:spacing w:after="0" w:line="240" w:lineRule="auto"/>
              <w:jc w:val="center"/>
              <w:rPr>
                <w:rFonts w:eastAsia="Times New Roman" w:cs="Calibri"/>
                <w:color w:val="000000"/>
                <w:lang w:eastAsia="de-DE"/>
              </w:rPr>
            </w:pPr>
          </w:p>
        </w:tc>
        <w:tc>
          <w:tcPr>
            <w:tcW w:w="973" w:type="dxa"/>
            <w:tcBorders>
              <w:top w:val="nil"/>
              <w:left w:val="nil"/>
              <w:bottom w:val="nil"/>
              <w:right w:val="nil"/>
            </w:tcBorders>
            <w:shd w:val="clear" w:color="auto" w:fill="auto"/>
            <w:noWrap/>
            <w:vAlign w:val="bottom"/>
            <w:hideMark/>
          </w:tcPr>
          <w:p w14:paraId="56A5980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19,9</w:t>
            </w:r>
          </w:p>
        </w:tc>
        <w:tc>
          <w:tcPr>
            <w:tcW w:w="1251" w:type="dxa"/>
            <w:tcBorders>
              <w:top w:val="nil"/>
              <w:left w:val="nil"/>
              <w:bottom w:val="nil"/>
              <w:right w:val="nil"/>
            </w:tcBorders>
            <w:shd w:val="clear" w:color="auto" w:fill="auto"/>
            <w:noWrap/>
            <w:vAlign w:val="bottom"/>
            <w:hideMark/>
          </w:tcPr>
          <w:p w14:paraId="29C6A99A" w14:textId="77777777" w:rsidR="00DC7368" w:rsidRPr="00F45FAA" w:rsidRDefault="00DC7368" w:rsidP="00DC7368">
            <w:pPr>
              <w:spacing w:after="0" w:line="240" w:lineRule="auto"/>
              <w:jc w:val="center"/>
              <w:rPr>
                <w:rFonts w:eastAsia="Times New Roman" w:cs="Calibri"/>
                <w:color w:val="000000"/>
                <w:lang w:eastAsia="de-DE"/>
              </w:rPr>
            </w:pPr>
            <w:r w:rsidRPr="00F45FAA">
              <w:rPr>
                <w:rFonts w:eastAsia="Times New Roman" w:cs="Calibri"/>
                <w:color w:val="000000"/>
                <w:lang w:eastAsia="de-DE"/>
              </w:rPr>
              <w:t>3,17</w:t>
            </w:r>
          </w:p>
        </w:tc>
      </w:tr>
    </w:tbl>
    <w:p w14:paraId="43EC37A7" w14:textId="77777777" w:rsidR="00A33AB2" w:rsidRPr="00F45FAA" w:rsidRDefault="00DC7368" w:rsidP="003F6613">
      <w:pPr>
        <w:rPr>
          <w:b/>
          <w:lang w:val="en-US"/>
        </w:rPr>
      </w:pPr>
      <w:r w:rsidRPr="00F45FAA">
        <w:rPr>
          <w:b/>
          <w:lang w:val="en-US"/>
        </w:rPr>
        <w:fldChar w:fldCharType="end"/>
      </w:r>
      <w:bookmarkEnd w:id="1"/>
      <w:bookmarkEnd w:id="2"/>
    </w:p>
    <w:p w14:paraId="629A9AF7" w14:textId="1394862D" w:rsidR="006B5CC0" w:rsidRPr="00F45FAA" w:rsidRDefault="005A47C7" w:rsidP="003F6613">
      <w:pPr>
        <w:rPr>
          <w:b/>
          <w:lang w:val="en-US"/>
        </w:rPr>
      </w:pPr>
      <w:r w:rsidRPr="00F45FAA">
        <w:rPr>
          <w:b/>
          <w:lang w:val="en-US"/>
        </w:rPr>
        <w:lastRenderedPageBreak/>
        <w:t>Figure S1</w:t>
      </w:r>
    </w:p>
    <w:p w14:paraId="61A61278" w14:textId="77777777" w:rsidR="005A47C7" w:rsidRPr="00F45FAA" w:rsidRDefault="005A47C7" w:rsidP="009058A4">
      <w:pPr>
        <w:spacing w:line="480" w:lineRule="auto"/>
        <w:rPr>
          <w:b/>
          <w:lang w:val="en-US"/>
        </w:rPr>
      </w:pPr>
      <w:r w:rsidRPr="00F45FAA">
        <w:rPr>
          <w:b/>
          <w:lang w:val="en-US"/>
        </w:rPr>
        <w:t>Patient characteristics, study design, data collection</w:t>
      </w:r>
    </w:p>
    <w:p w14:paraId="181D106E" w14:textId="2C2D08CA" w:rsidR="009D0781" w:rsidRPr="00F45FAA" w:rsidRDefault="00216D29" w:rsidP="009058A4">
      <w:pPr>
        <w:pStyle w:val="KeinLeerraum"/>
        <w:spacing w:line="480" w:lineRule="auto"/>
        <w:rPr>
          <w:lang w:val="en-US"/>
        </w:rPr>
      </w:pPr>
      <w:r w:rsidRPr="00F45FAA">
        <w:rPr>
          <w:lang w:val="en-US"/>
        </w:rPr>
        <w:t>20 patients were included in this trial.</w:t>
      </w:r>
      <w:r w:rsidR="009D0781" w:rsidRPr="00F45FAA">
        <w:rPr>
          <w:lang w:val="en-US"/>
        </w:rPr>
        <w:t xml:space="preserve"> Two patients received RT alone, 18 patients were treated with platinum-based concurrent cCRT, and 7 patients received additional ICI either concurrently (nivolumab, 480 mg every </w:t>
      </w:r>
      <w:r w:rsidR="003C421D" w:rsidRPr="00F45FAA">
        <w:rPr>
          <w:lang w:val="en-US"/>
        </w:rPr>
        <w:t>3</w:t>
      </w:r>
      <w:r w:rsidR="009D0781" w:rsidRPr="00F45FAA">
        <w:rPr>
          <w:lang w:val="en-US"/>
        </w:rPr>
        <w:t xml:space="preserve"> weeks</w:t>
      </w:r>
      <w:r w:rsidR="003C421D" w:rsidRPr="00F45FAA">
        <w:rPr>
          <w:lang w:val="en-US"/>
        </w:rPr>
        <w:t xml:space="preserve"> up to one y</w:t>
      </w:r>
      <w:r w:rsidR="009D0781" w:rsidRPr="00F45FAA">
        <w:rPr>
          <w:lang w:val="en-US"/>
        </w:rPr>
        <w:t xml:space="preserve">, </w:t>
      </w:r>
      <w:r w:rsidR="003C421D" w:rsidRPr="00F45FAA">
        <w:rPr>
          <w:lang w:val="en-US"/>
        </w:rPr>
        <w:t xml:space="preserve">including </w:t>
      </w:r>
      <w:r w:rsidR="009D0781" w:rsidRPr="00F45FAA">
        <w:rPr>
          <w:lang w:val="en-US"/>
        </w:rPr>
        <w:t xml:space="preserve">induction therapy with nivolumab prior to </w:t>
      </w:r>
      <w:r w:rsidR="003C421D" w:rsidRPr="00F45FAA">
        <w:rPr>
          <w:lang w:val="en-US"/>
        </w:rPr>
        <w:t xml:space="preserve">and during </w:t>
      </w:r>
      <w:r w:rsidR="009D0781" w:rsidRPr="00F45FAA">
        <w:rPr>
          <w:lang w:val="en-US"/>
        </w:rPr>
        <w:t>cCRT) or sequentially (durvalumab, 10 mg per kg body weight every 2 weeks for up to 1 y) to cCRT. In all patients, RT was applied with a median cumulative dose in equivalent 2 Gy fractions (EQD2) of 64 Gy (range 52</w:t>
      </w:r>
      <w:r w:rsidR="00A15213" w:rsidRPr="00F45FAA">
        <w:rPr>
          <w:lang w:val="en-US"/>
        </w:rPr>
        <w:t>-</w:t>
      </w:r>
      <w:r w:rsidR="009D0781" w:rsidRPr="00F45FAA">
        <w:rPr>
          <w:lang w:val="en-US"/>
        </w:rPr>
        <w:t xml:space="preserve">65 Gy). Two patients treated with cCRT received pembrolizumab salvage therapy after time points C.1 and C.2, respectively. Thus, subsequent time points of these patients were excluded from the analysis. One RT alone patient received a tyrosine kinase inhibitor between C.4 and C.5 for 8 weeks. </w:t>
      </w:r>
    </w:p>
    <w:p w14:paraId="50D487E1" w14:textId="331A6016" w:rsidR="00216D29" w:rsidRPr="00F45FAA" w:rsidRDefault="00216D29" w:rsidP="009058A4">
      <w:pPr>
        <w:pStyle w:val="KeinLeerraum"/>
        <w:spacing w:line="480" w:lineRule="auto"/>
        <w:rPr>
          <w:lang w:val="en-US"/>
        </w:rPr>
      </w:pPr>
      <w:r w:rsidRPr="00F45FAA">
        <w:rPr>
          <w:lang w:val="en-US"/>
        </w:rPr>
        <w:t>During treatment, 6 patients developed distant metastases (DM) while 9 had local recurrences (LR). Seven patients died during follow-up (within 1 y after the end of RT), 18 patients survived at least 6 months (mo), 14 patients at least 12 mo</w:t>
      </w:r>
      <w:r w:rsidR="005F6016" w:rsidRPr="00F45FAA">
        <w:rPr>
          <w:lang w:val="en-US"/>
        </w:rPr>
        <w:t>nths</w:t>
      </w:r>
      <w:r w:rsidRPr="00F45FAA">
        <w:rPr>
          <w:lang w:val="en-US"/>
        </w:rPr>
        <w:t xml:space="preserve">. </w:t>
      </w:r>
    </w:p>
    <w:p w14:paraId="3B1F6AD3" w14:textId="1A7FD3A2" w:rsidR="005A47C7" w:rsidRPr="00F45FAA" w:rsidRDefault="005A47C7" w:rsidP="009058A4">
      <w:pPr>
        <w:spacing w:line="480" w:lineRule="auto"/>
        <w:rPr>
          <w:lang w:val="en-US"/>
        </w:rPr>
      </w:pPr>
      <w:r w:rsidRPr="00F45FAA">
        <w:rPr>
          <w:lang w:val="en-US"/>
        </w:rPr>
        <w:t xml:space="preserve">Blood was drawn on different time points before, during and after treatment up to 1y follow up, indicated below </w:t>
      </w:r>
      <w:r w:rsidR="003C421D" w:rsidRPr="00F45FAA">
        <w:rPr>
          <w:lang w:val="en-US"/>
        </w:rPr>
        <w:t xml:space="preserve">in </w:t>
      </w:r>
      <w:r w:rsidRPr="00F45FAA">
        <w:rPr>
          <w:lang w:val="en-US"/>
        </w:rPr>
        <w:t xml:space="preserve">the timeline. For seven patients, blood of all time points could be collected. Others either missed a time point, revoked consent, or suffered from fatal disease progression. If not stated otherwise, B-010 and B-013 were excluded from analysis examining impact of ICI-treatment because they received salvage therapy using pembrolizumab. </w:t>
      </w:r>
    </w:p>
    <w:p w14:paraId="4C3B8CAB" w14:textId="17DCE7F3" w:rsidR="009D0781" w:rsidRPr="00F45FAA" w:rsidRDefault="007C05A6" w:rsidP="009058A4">
      <w:pPr>
        <w:spacing w:line="480" w:lineRule="auto"/>
        <w:rPr>
          <w:b/>
          <w:lang w:val="en-US"/>
        </w:rPr>
      </w:pPr>
      <w:r w:rsidRPr="00F45FAA">
        <w:rPr>
          <w:b/>
          <w:noProof/>
          <w:lang w:val="en-US"/>
        </w:rPr>
        <w:lastRenderedPageBreak/>
        <w:drawing>
          <wp:inline distT="0" distB="0" distL="0" distR="0" wp14:anchorId="58330D86" wp14:editId="1C703639">
            <wp:extent cx="5753100" cy="3810000"/>
            <wp:effectExtent l="0" t="0" r="0" b="0"/>
            <wp:docPr id="75841444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14:paraId="6037EF56" w14:textId="2C90DB58" w:rsidR="006B5CC0" w:rsidRPr="00F45FAA" w:rsidRDefault="006B5CC0" w:rsidP="009058A4">
      <w:pPr>
        <w:spacing w:line="480" w:lineRule="auto"/>
        <w:rPr>
          <w:b/>
          <w:lang w:val="en-US"/>
        </w:rPr>
      </w:pPr>
      <w:r w:rsidRPr="00F45FAA">
        <w:rPr>
          <w:b/>
          <w:lang w:val="en-US"/>
        </w:rPr>
        <w:t xml:space="preserve">Fig. S1 </w:t>
      </w:r>
      <w:r w:rsidRPr="00F45FAA">
        <w:rPr>
          <w:lang w:val="en-US"/>
        </w:rPr>
        <w:t>Summary view showing 20 patients (vertically on the left), the timeline of treatment, medication, progression free survival, and overall survival (horizontally to the right).</w:t>
      </w:r>
    </w:p>
    <w:p w14:paraId="5CE5AEE0" w14:textId="77777777" w:rsidR="006B5CC0" w:rsidRPr="00F45FAA" w:rsidRDefault="006B5CC0" w:rsidP="009058A4">
      <w:pPr>
        <w:pStyle w:val="EndNoteCategoryHeading"/>
        <w:spacing w:line="480" w:lineRule="auto"/>
        <w:rPr>
          <w:b w:val="0"/>
        </w:rPr>
      </w:pPr>
    </w:p>
    <w:p w14:paraId="654AA06E" w14:textId="77777777" w:rsidR="00346F7A" w:rsidRPr="00F45FAA" w:rsidRDefault="00346F7A" w:rsidP="009058A4">
      <w:pPr>
        <w:pStyle w:val="EndNoteCategoryHeading"/>
        <w:spacing w:line="480" w:lineRule="auto"/>
        <w:rPr>
          <w:bCs/>
        </w:rPr>
      </w:pPr>
    </w:p>
    <w:p w14:paraId="04771EBF" w14:textId="0F5FB25F" w:rsidR="005A47C7" w:rsidRPr="00F45FAA" w:rsidRDefault="005A47C7" w:rsidP="009058A4">
      <w:pPr>
        <w:pStyle w:val="EndNoteCategoryHeading"/>
        <w:spacing w:line="480" w:lineRule="auto"/>
        <w:rPr>
          <w:bCs/>
        </w:rPr>
      </w:pPr>
      <w:r w:rsidRPr="00F45FAA">
        <w:rPr>
          <w:bCs/>
        </w:rPr>
        <w:t>Figure S2</w:t>
      </w:r>
    </w:p>
    <w:p w14:paraId="77854852" w14:textId="19FB1A64" w:rsidR="005A47C7" w:rsidRPr="00F45FAA" w:rsidRDefault="001433A6" w:rsidP="009058A4">
      <w:pPr>
        <w:spacing w:line="480" w:lineRule="auto"/>
        <w:rPr>
          <w:b/>
          <w:lang w:val="en-US"/>
        </w:rPr>
      </w:pPr>
      <w:r w:rsidRPr="00F45FAA">
        <w:rPr>
          <w:b/>
          <w:lang w:val="en-US"/>
        </w:rPr>
        <w:t xml:space="preserve">Sample Preparation and </w:t>
      </w:r>
      <w:r w:rsidR="005A47C7" w:rsidRPr="00F45FAA">
        <w:rPr>
          <w:b/>
          <w:lang w:val="en-US"/>
        </w:rPr>
        <w:t>Gating Strategy</w:t>
      </w:r>
    </w:p>
    <w:p w14:paraId="2C06E7CD" w14:textId="453814BC" w:rsidR="001433A6" w:rsidRPr="00F45FAA" w:rsidRDefault="001433A6" w:rsidP="009058A4">
      <w:pPr>
        <w:pStyle w:val="KeinLeerraum"/>
        <w:spacing w:line="480" w:lineRule="auto"/>
        <w:rPr>
          <w:lang w:val="en-US"/>
        </w:rPr>
      </w:pPr>
      <w:r w:rsidRPr="00F45FAA">
        <w:rPr>
          <w:lang w:val="en-US"/>
        </w:rPr>
        <w:t>Blood was collected using 3K</w:t>
      </w:r>
      <w:r w:rsidR="00A15213" w:rsidRPr="00F45FAA">
        <w:rPr>
          <w:lang w:val="en-US"/>
        </w:rPr>
        <w:t>-</w:t>
      </w:r>
      <w:r w:rsidRPr="00F45FAA">
        <w:rPr>
          <w:lang w:val="en-US"/>
        </w:rPr>
        <w:t>EDTA S-Monovette tubes (Sarstedt, Germany) and samples were analyzed within 3 hours. Using 100 µl of whole blood, erythrocytes were lysed using Q-Prep Workstation (Coulter, Germany). Cells were washed in 1 ml and resuspended in 100 µl FCM-Buffer (PBS without Ca</w:t>
      </w:r>
      <w:r w:rsidRPr="00F45FAA">
        <w:rPr>
          <w:vertAlign w:val="superscript"/>
          <w:lang w:val="en-US"/>
        </w:rPr>
        <w:t xml:space="preserve">2+ </w:t>
      </w:r>
      <w:r w:rsidRPr="00F45FAA">
        <w:rPr>
          <w:lang w:val="en-US"/>
        </w:rPr>
        <w:t>and Mg</w:t>
      </w:r>
      <w:r w:rsidRPr="00F45FAA">
        <w:rPr>
          <w:vertAlign w:val="superscript"/>
          <w:lang w:val="en-US"/>
        </w:rPr>
        <w:t>2+</w:t>
      </w:r>
      <w:r w:rsidRPr="00F45FAA">
        <w:rPr>
          <w:lang w:val="en-US"/>
        </w:rPr>
        <w:t>, supplemented with 2 mM EDTA and 2% FCS). For immuno-phenotyping, blood cells were stained on ice in the dark with a surface marker antibody panel to assess main blood cell subpopulations (Tab. S</w:t>
      </w:r>
      <w:r w:rsidR="00622F34" w:rsidRPr="00F45FAA">
        <w:rPr>
          <w:lang w:val="en-US"/>
        </w:rPr>
        <w:t>2</w:t>
      </w:r>
      <w:r w:rsidRPr="00F45FAA">
        <w:rPr>
          <w:lang w:val="en-US"/>
        </w:rPr>
        <w:t>). Cells were suspended in 250 µl FCM-Buffer, 50 µl (half the volume of blood) Flow</w:t>
      </w:r>
      <w:r w:rsidR="00556989" w:rsidRPr="00F45FAA">
        <w:rPr>
          <w:lang w:val="en-US"/>
        </w:rPr>
        <w:t>-</w:t>
      </w:r>
      <w:r w:rsidRPr="00F45FAA">
        <w:rPr>
          <w:lang w:val="en-US"/>
        </w:rPr>
        <w:t xml:space="preserve">Count </w:t>
      </w:r>
      <w:r w:rsidR="00556989" w:rsidRPr="00F45FAA">
        <w:rPr>
          <w:lang w:val="en-US"/>
        </w:rPr>
        <w:t>F</w:t>
      </w:r>
      <w:r w:rsidRPr="00F45FAA">
        <w:rPr>
          <w:lang w:val="en-US"/>
        </w:rPr>
        <w:t>luorospheres (Beckman Coulter</w:t>
      </w:r>
      <w:r w:rsidR="00556989" w:rsidRPr="00F45FAA">
        <w:rPr>
          <w:lang w:val="en-US"/>
        </w:rPr>
        <w:t>, Germany</w:t>
      </w:r>
      <w:r w:rsidRPr="00F45FAA">
        <w:rPr>
          <w:lang w:val="en-US"/>
        </w:rPr>
        <w:t xml:space="preserve">) were added for absolute cell count </w:t>
      </w:r>
      <w:r w:rsidRPr="00F45FAA">
        <w:rPr>
          <w:lang w:val="en-US"/>
        </w:rPr>
        <w:lastRenderedPageBreak/>
        <w:t>determination and analyzed on a Beckton Dickinson LSR II flow cytometer with Diva Software (version 8). A compensation matrix was generated using BD CompBeads, for flow data analysis FlowJo Software (version 10) was used. The staining protocols were established prior to the experiments, the formula for calculating the absolute cell numbers was (specified count of Flow</w:t>
      </w:r>
      <w:r w:rsidR="00556989" w:rsidRPr="00F45FAA">
        <w:rPr>
          <w:lang w:val="en-US"/>
        </w:rPr>
        <w:t>-</w:t>
      </w:r>
      <w:r w:rsidRPr="00F45FAA">
        <w:rPr>
          <w:lang w:val="en-US"/>
        </w:rPr>
        <w:t>Count beads (/µl) * cell count in assay) / (count of Flow</w:t>
      </w:r>
      <w:r w:rsidR="00556989" w:rsidRPr="00F45FAA">
        <w:rPr>
          <w:lang w:val="en-US"/>
        </w:rPr>
        <w:t>-</w:t>
      </w:r>
      <w:r w:rsidRPr="00F45FAA">
        <w:rPr>
          <w:lang w:val="en-US"/>
        </w:rPr>
        <w:t>Count beads in assay * 2).</w:t>
      </w:r>
      <w:r w:rsidRPr="00F45FAA">
        <w:rPr>
          <w:color w:val="FF0000"/>
          <w:lang w:val="en-US"/>
        </w:rPr>
        <w:t xml:space="preserve"> </w:t>
      </w:r>
    </w:p>
    <w:p w14:paraId="7A79541D" w14:textId="77777777" w:rsidR="001433A6" w:rsidRPr="00F45FAA" w:rsidRDefault="001433A6" w:rsidP="009058A4">
      <w:pPr>
        <w:spacing w:line="480" w:lineRule="auto"/>
        <w:rPr>
          <w:bCs/>
          <w:lang w:val="en-US"/>
        </w:rPr>
      </w:pPr>
    </w:p>
    <w:p w14:paraId="05F4E7A8" w14:textId="41D473BD" w:rsidR="000073E8" w:rsidRPr="00F45FAA" w:rsidRDefault="005A47C7" w:rsidP="00A85D47">
      <w:pPr>
        <w:pStyle w:val="KeinLeerraum"/>
        <w:spacing w:line="480" w:lineRule="auto"/>
        <w:rPr>
          <w:bCs/>
          <w:lang w:val="en-US"/>
        </w:rPr>
      </w:pPr>
      <w:r w:rsidRPr="00F45FAA">
        <w:rPr>
          <w:bCs/>
          <w:lang w:val="en-US"/>
        </w:rPr>
        <w:t xml:space="preserve">To identify immunocyte subpopulations, </w:t>
      </w:r>
      <w:r w:rsidR="001433A6" w:rsidRPr="00F45FAA">
        <w:rPr>
          <w:bCs/>
          <w:lang w:val="en-US"/>
        </w:rPr>
        <w:t>leukocytes were gated within FSC-A vs. SSC-A to exclude debris. T-cells were defined as CD3+</w:t>
      </w:r>
      <w:r w:rsidR="00FA120C" w:rsidRPr="00F45FAA">
        <w:rPr>
          <w:bCs/>
          <w:lang w:val="en-US"/>
        </w:rPr>
        <w:t xml:space="preserve"> </w:t>
      </w:r>
      <w:r w:rsidR="001433A6" w:rsidRPr="00F45FAA">
        <w:rPr>
          <w:bCs/>
          <w:lang w:val="en-US"/>
        </w:rPr>
        <w:t>CD14-</w:t>
      </w:r>
      <w:r w:rsidR="00FA120C" w:rsidRPr="00F45FAA">
        <w:rPr>
          <w:bCs/>
          <w:lang w:val="en-US"/>
        </w:rPr>
        <w:t xml:space="preserve"> </w:t>
      </w:r>
      <w:r w:rsidR="001433A6" w:rsidRPr="00F45FAA">
        <w:rPr>
          <w:bCs/>
          <w:lang w:val="en-US"/>
        </w:rPr>
        <w:t>CD16-</w:t>
      </w:r>
      <w:r w:rsidR="00FA120C" w:rsidRPr="00F45FAA">
        <w:rPr>
          <w:bCs/>
          <w:lang w:val="en-US"/>
        </w:rPr>
        <w:t xml:space="preserve"> </w:t>
      </w:r>
      <w:r w:rsidR="001433A6" w:rsidRPr="00F45FAA">
        <w:rPr>
          <w:bCs/>
          <w:lang w:val="en-US"/>
        </w:rPr>
        <w:t xml:space="preserve">CD19/20- single </w:t>
      </w:r>
      <w:r w:rsidR="006F3732" w:rsidRPr="00F45FAA">
        <w:rPr>
          <w:bCs/>
          <w:lang w:val="en-US"/>
        </w:rPr>
        <w:t xml:space="preserve">cells </w:t>
      </w:r>
      <w:r w:rsidR="001433A6" w:rsidRPr="00F45FAA">
        <w:rPr>
          <w:bCs/>
          <w:lang w:val="en-US"/>
        </w:rPr>
        <w:t>(FSC-A vs. FSC-H) and subsequently subdivided into CD4+ and CD8+ T-cell populations (Fig. S2). B-cells were identified as CD19/20+ CD14- CD56- CD16- single</w:t>
      </w:r>
      <w:r w:rsidR="006F3732" w:rsidRPr="00F45FAA">
        <w:rPr>
          <w:bCs/>
          <w:lang w:val="en-US"/>
        </w:rPr>
        <w:t xml:space="preserve"> cells</w:t>
      </w:r>
      <w:r w:rsidR="001433A6" w:rsidRPr="00F45FAA">
        <w:rPr>
          <w:bCs/>
          <w:lang w:val="en-US"/>
        </w:rPr>
        <w:t xml:space="preserve">. </w:t>
      </w:r>
      <w:bookmarkStart w:id="4" w:name="_Hlk185766459"/>
    </w:p>
    <w:p w14:paraId="575673D6" w14:textId="77777777" w:rsidR="00A85D47" w:rsidRPr="00F45FAA" w:rsidRDefault="00A85D47" w:rsidP="00A85D47">
      <w:pPr>
        <w:pStyle w:val="KeinLeerraum"/>
        <w:spacing w:line="480" w:lineRule="auto"/>
        <w:rPr>
          <w:bCs/>
          <w:lang w:val="en-US"/>
        </w:rPr>
      </w:pPr>
      <w:r w:rsidRPr="00F45FAA">
        <w:rPr>
          <w:bCs/>
          <w:lang w:val="en-US"/>
        </w:rPr>
        <w:t>To gate for NK-cells, we excluded highly CD16 positive neutrophils in the CD16 vs CD3 pre-gate. Then CD3+, CD19+20+ and CD14+ cells were excluded, and the remaining single cells cell population was gated for CD56+ CD16+. We excluded highly CD16 positive neutrophils at an early stage for increased clarity and overview. In our flow data analysis, CD16-expression of blood cell subsets other than neutrophils, including the NK-cells or CD16+ monocytes, were in each sample consistently well-separable. In case CD3-positive events were included in the pre-gate, they are excluded in the subsequent gate of the CD16 vs CD56 dot plot as far as these events are not CD56+ and CD3+. Latter cell population accounts for max. 20% of the CD3-positive cells which, for this analysis, has a minimal potential to alter defining the NK-cell population and the cell counts.</w:t>
      </w:r>
    </w:p>
    <w:p w14:paraId="2AA6C278" w14:textId="77777777" w:rsidR="00A85D47" w:rsidRPr="00F45FAA" w:rsidRDefault="00A85D47" w:rsidP="00A85D47">
      <w:pPr>
        <w:pStyle w:val="KeinLeerraum"/>
        <w:spacing w:line="480" w:lineRule="auto"/>
        <w:rPr>
          <w:bCs/>
          <w:lang w:val="en-US"/>
        </w:rPr>
      </w:pPr>
      <w:r w:rsidRPr="00F45FAA">
        <w:rPr>
          <w:bCs/>
          <w:lang w:val="en-US"/>
        </w:rPr>
        <w:t>We noted a high autofluorescence spill of the neutrophil granulocytes into the emission channel used to identify CD3+ T-cells (ex 488 nm, em 695/40 nm) (Fig. S2). Neutrophils were identified by their high SSC and high expression of CD16 (not shown). CD3+ T-cells remained well definable within the SSC vs. CD3-PerCP-Cy5.5 dot plot. In the experiments shown, no live dead stain was used. Blood was analyzed within 1-2 hours after withdrawal, not expecting significant quantities of dead cells. Furthermore, additional experiments confirmed minimal amount of dead cells and viability of CD3+ T-cells.</w:t>
      </w:r>
    </w:p>
    <w:bookmarkEnd w:id="4"/>
    <w:p w14:paraId="7ACA6BF2" w14:textId="4E0DE41C" w:rsidR="001433A6" w:rsidRPr="00F45FAA" w:rsidRDefault="001433A6" w:rsidP="009058A4">
      <w:pPr>
        <w:pStyle w:val="KeinLeerraum"/>
        <w:spacing w:line="480" w:lineRule="auto"/>
        <w:rPr>
          <w:bCs/>
          <w:lang w:val="en-US"/>
        </w:rPr>
      </w:pPr>
      <w:r w:rsidRPr="00F45FAA">
        <w:rPr>
          <w:bCs/>
          <w:lang w:val="en-US"/>
        </w:rPr>
        <w:lastRenderedPageBreak/>
        <w:t>FlowCount (Beckman Coulter) counting beads were gated within FSC-A vs. SSC-A and subsequent event count was determined within 695nm emission channel (PerCP-Cy5.5) vs. SSC-H dot plot.</w:t>
      </w:r>
      <w:r w:rsidRPr="00F45FAA">
        <w:rPr>
          <w:color w:val="FF0000"/>
          <w:lang w:val="en-US"/>
        </w:rPr>
        <w:t xml:space="preserve"> </w:t>
      </w:r>
    </w:p>
    <w:p w14:paraId="427F2147" w14:textId="3290F817" w:rsidR="005A47C7" w:rsidRPr="00F45FAA" w:rsidRDefault="002F2FAA" w:rsidP="009058A4">
      <w:pPr>
        <w:spacing w:line="480" w:lineRule="auto"/>
        <w:rPr>
          <w:b/>
          <w:lang w:val="en-US"/>
        </w:rPr>
      </w:pPr>
      <w:r w:rsidRPr="00F45FAA">
        <w:rPr>
          <w:b/>
          <w:noProof/>
          <w:lang w:val="en-US"/>
        </w:rPr>
        <w:drawing>
          <wp:anchor distT="0" distB="0" distL="114300" distR="114300" simplePos="0" relativeHeight="251663360" behindDoc="0" locked="0" layoutInCell="1" allowOverlap="1" wp14:anchorId="30AA840C" wp14:editId="4DECA903">
            <wp:simplePos x="0" y="0"/>
            <wp:positionH relativeFrom="column">
              <wp:posOffset>-2980</wp:posOffset>
            </wp:positionH>
            <wp:positionV relativeFrom="paragraph">
              <wp:posOffset>195</wp:posOffset>
            </wp:positionV>
            <wp:extent cx="5758815" cy="4835525"/>
            <wp:effectExtent l="0" t="0" r="0" b="3175"/>
            <wp:wrapTopAndBottom/>
            <wp:docPr id="50305177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815" cy="4835525"/>
                    </a:xfrm>
                    <a:prstGeom prst="rect">
                      <a:avLst/>
                    </a:prstGeom>
                    <a:noFill/>
                    <a:ln>
                      <a:noFill/>
                    </a:ln>
                  </pic:spPr>
                </pic:pic>
              </a:graphicData>
            </a:graphic>
          </wp:anchor>
        </w:drawing>
      </w:r>
    </w:p>
    <w:p w14:paraId="7272B225" w14:textId="7A6CFEFD" w:rsidR="006B5CC0" w:rsidRPr="00F45FAA" w:rsidRDefault="006B5CC0" w:rsidP="009058A4">
      <w:pPr>
        <w:spacing w:line="480" w:lineRule="auto"/>
        <w:rPr>
          <w:b/>
          <w:lang w:val="en-US"/>
        </w:rPr>
      </w:pPr>
      <w:r w:rsidRPr="00F45FAA">
        <w:rPr>
          <w:b/>
          <w:lang w:val="en-US"/>
        </w:rPr>
        <w:t xml:space="preserve">Fig. S2 </w:t>
      </w:r>
      <w:r w:rsidRPr="00F45FAA">
        <w:rPr>
          <w:lang w:val="en-US"/>
        </w:rPr>
        <w:t xml:space="preserve">Gating strategy for the determination of the different cell population in peripheral venous blood. In each run counting beads were included as internal standard to calculate absolute cell counts. </w:t>
      </w:r>
    </w:p>
    <w:p w14:paraId="438BFE84" w14:textId="77777777" w:rsidR="005A47C7" w:rsidRPr="00F45FAA" w:rsidRDefault="005A47C7" w:rsidP="009058A4">
      <w:pPr>
        <w:spacing w:line="480" w:lineRule="auto"/>
        <w:rPr>
          <w:b/>
          <w:lang w:val="en-US"/>
        </w:rPr>
      </w:pPr>
    </w:p>
    <w:p w14:paraId="11797B85" w14:textId="77777777" w:rsidR="00657C45" w:rsidRDefault="00657C45">
      <w:pPr>
        <w:rPr>
          <w:b/>
          <w:lang w:val="en-US"/>
        </w:rPr>
      </w:pPr>
      <w:r>
        <w:rPr>
          <w:b/>
          <w:lang w:val="en-US"/>
        </w:rPr>
        <w:br w:type="page"/>
      </w:r>
    </w:p>
    <w:p w14:paraId="7F30FB77" w14:textId="3DAC2E50" w:rsidR="00A4157D" w:rsidRPr="00F45FAA" w:rsidRDefault="005A47C7" w:rsidP="009058A4">
      <w:pPr>
        <w:spacing w:after="0" w:line="480" w:lineRule="auto"/>
        <w:rPr>
          <w:b/>
          <w:lang w:val="en-US"/>
        </w:rPr>
      </w:pPr>
      <w:r w:rsidRPr="00F45FAA">
        <w:rPr>
          <w:b/>
          <w:lang w:val="en-US"/>
        </w:rPr>
        <w:lastRenderedPageBreak/>
        <w:t>Figure S</w:t>
      </w:r>
      <w:r w:rsidR="00A15213" w:rsidRPr="00F45FAA">
        <w:rPr>
          <w:b/>
          <w:lang w:val="en-US"/>
        </w:rPr>
        <w:t>3</w:t>
      </w:r>
    </w:p>
    <w:p w14:paraId="2FAB5C2C" w14:textId="34BA17DC" w:rsidR="005A47C7" w:rsidRPr="00F45FAA" w:rsidRDefault="00D775C9" w:rsidP="009058A4">
      <w:pPr>
        <w:spacing w:line="480" w:lineRule="auto"/>
        <w:rPr>
          <w:b/>
          <w:lang w:val="en-US"/>
        </w:rPr>
      </w:pPr>
      <w:r w:rsidRPr="00F45FAA">
        <w:rPr>
          <w:b/>
          <w:lang w:val="en-US"/>
        </w:rPr>
        <w:t>P</w:t>
      </w:r>
      <w:r w:rsidR="006F3732" w:rsidRPr="00F45FAA">
        <w:rPr>
          <w:b/>
          <w:lang w:val="en-US"/>
        </w:rPr>
        <w:t>rogression Free</w:t>
      </w:r>
      <w:r w:rsidRPr="00F45FAA">
        <w:rPr>
          <w:b/>
          <w:lang w:val="en-US"/>
        </w:rPr>
        <w:t xml:space="preserve"> &amp; </w:t>
      </w:r>
      <w:r w:rsidR="005A47C7" w:rsidRPr="00F45FAA">
        <w:rPr>
          <w:b/>
          <w:lang w:val="en-US"/>
        </w:rPr>
        <w:t>Overall Survival</w:t>
      </w:r>
      <w:r w:rsidRPr="00F45FAA">
        <w:rPr>
          <w:b/>
          <w:lang w:val="en-US"/>
        </w:rPr>
        <w:t xml:space="preserve"> </w:t>
      </w:r>
      <w:r w:rsidR="005A47C7" w:rsidRPr="00F45FAA">
        <w:rPr>
          <w:b/>
          <w:lang w:val="en-US"/>
        </w:rPr>
        <w:t>of patients with high, medium and low (UQR, IQR, LQR) lymphocyte cell counts at time point A.1 or C.3 as well as treatment groups</w:t>
      </w:r>
    </w:p>
    <w:p w14:paraId="5BFBC16D" w14:textId="2701B5ED" w:rsidR="005A47C7" w:rsidRPr="00F45FAA" w:rsidRDefault="005A47C7" w:rsidP="009058A4">
      <w:pPr>
        <w:spacing w:line="480" w:lineRule="auto"/>
        <w:rPr>
          <w:lang w:val="en-US"/>
        </w:rPr>
      </w:pPr>
      <w:r w:rsidRPr="00F45FAA">
        <w:rPr>
          <w:lang w:val="en-US"/>
        </w:rPr>
        <w:t>Absolute lymphocyte counts (ALC) at A.1 trend to predict OS (b) but not PFS (a) (positive correlation). At time point C.3 (6 mo</w:t>
      </w:r>
      <w:r w:rsidR="005F6016" w:rsidRPr="00F45FAA">
        <w:rPr>
          <w:lang w:val="en-US"/>
        </w:rPr>
        <w:t>nths</w:t>
      </w:r>
      <w:r w:rsidRPr="00F45FAA">
        <w:rPr>
          <w:lang w:val="en-US"/>
        </w:rPr>
        <w:t xml:space="preserve"> post-RT/cCRT) higher ALC trend to predict a longer OS (d). Looking at treatment groups (e, f) addition of ICI is beneficial for PFS and OS. </w:t>
      </w:r>
    </w:p>
    <w:p w14:paraId="79BEBE3B" w14:textId="6D4DF2AE" w:rsidR="005A47C7" w:rsidRPr="00F45FAA" w:rsidRDefault="00B23308" w:rsidP="009058A4">
      <w:pPr>
        <w:spacing w:line="480" w:lineRule="auto"/>
        <w:rPr>
          <w:b/>
          <w:lang w:val="en-US"/>
        </w:rPr>
      </w:pPr>
      <w:r w:rsidRPr="00F45FAA">
        <w:rPr>
          <w:b/>
          <w:noProof/>
          <w:lang w:val="en-US"/>
        </w:rPr>
        <w:drawing>
          <wp:inline distT="0" distB="0" distL="0" distR="0" wp14:anchorId="1085292B" wp14:editId="34F9C6D7">
            <wp:extent cx="5762625" cy="5076825"/>
            <wp:effectExtent l="0" t="0" r="9525" b="9525"/>
            <wp:docPr id="10035247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5076825"/>
                    </a:xfrm>
                    <a:prstGeom prst="rect">
                      <a:avLst/>
                    </a:prstGeom>
                    <a:noFill/>
                    <a:ln>
                      <a:noFill/>
                    </a:ln>
                  </pic:spPr>
                </pic:pic>
              </a:graphicData>
            </a:graphic>
          </wp:inline>
        </w:drawing>
      </w:r>
    </w:p>
    <w:p w14:paraId="73252EFE" w14:textId="464C1E42" w:rsidR="006B5CC0" w:rsidRPr="00F45FAA" w:rsidRDefault="006B5CC0" w:rsidP="009058A4">
      <w:pPr>
        <w:spacing w:line="480" w:lineRule="auto"/>
        <w:rPr>
          <w:lang w:val="en-US"/>
        </w:rPr>
      </w:pPr>
      <w:r w:rsidRPr="00F45FAA">
        <w:rPr>
          <w:b/>
          <w:lang w:val="en-US"/>
        </w:rPr>
        <w:t>Fig. S</w:t>
      </w:r>
      <w:r w:rsidR="00A15213" w:rsidRPr="00F45FAA">
        <w:rPr>
          <w:b/>
          <w:lang w:val="en-US"/>
        </w:rPr>
        <w:t>3</w:t>
      </w:r>
      <w:r w:rsidRPr="00F45FAA">
        <w:rPr>
          <w:lang w:val="en-US"/>
        </w:rPr>
        <w:t xml:space="preserve"> Survival Analysis (PFS, OS) of patients grouped according to the LQR, IQR, and UPR of the ALC at time point A.1 (a,b), and C.3 (c,d) as well as treatment group (e,f). For statistical analysis Logrank test </w:t>
      </w:r>
      <w:r w:rsidR="009373F2" w:rsidRPr="00F45FAA">
        <w:rPr>
          <w:lang w:val="en-US"/>
        </w:rPr>
        <w:t>(Mantel Cox)</w:t>
      </w:r>
      <w:r w:rsidRPr="00F45FAA">
        <w:rPr>
          <w:lang w:val="en-US"/>
        </w:rPr>
        <w:t xml:space="preserve"> was performed, </w:t>
      </w:r>
      <w:r w:rsidR="009373F2" w:rsidRPr="00F45FAA">
        <w:rPr>
          <w:lang w:val="en-US"/>
        </w:rPr>
        <w:t>all not significant.</w:t>
      </w:r>
      <w:r w:rsidRPr="00F45FAA">
        <w:rPr>
          <w:lang w:val="en-US"/>
        </w:rPr>
        <w:t xml:space="preserve"> </w:t>
      </w:r>
      <w:r w:rsidR="00D775C9" w:rsidRPr="00F45FAA">
        <w:rPr>
          <w:lang w:val="en-US"/>
        </w:rPr>
        <w:t>Numbers of total patients at risk see legend.</w:t>
      </w:r>
    </w:p>
    <w:p w14:paraId="7488A9DA" w14:textId="77777777" w:rsidR="006B5CC0" w:rsidRPr="00F45FAA" w:rsidRDefault="006B5CC0" w:rsidP="009058A4">
      <w:pPr>
        <w:spacing w:after="0" w:line="480" w:lineRule="auto"/>
        <w:rPr>
          <w:b/>
          <w:lang w:val="en-US"/>
        </w:rPr>
      </w:pPr>
    </w:p>
    <w:p w14:paraId="5E88B9FB" w14:textId="68B40F6D" w:rsidR="005A47C7" w:rsidRPr="00F45FAA" w:rsidRDefault="005A47C7" w:rsidP="009058A4">
      <w:pPr>
        <w:spacing w:after="0" w:line="480" w:lineRule="auto"/>
        <w:rPr>
          <w:b/>
          <w:lang w:val="en-US"/>
        </w:rPr>
      </w:pPr>
      <w:bookmarkStart w:id="5" w:name="_Hlk150157631"/>
      <w:r w:rsidRPr="00F45FAA">
        <w:rPr>
          <w:b/>
          <w:lang w:val="en-US"/>
        </w:rPr>
        <w:lastRenderedPageBreak/>
        <w:t>Figure S</w:t>
      </w:r>
      <w:r w:rsidR="00A15213" w:rsidRPr="00F45FAA">
        <w:rPr>
          <w:b/>
          <w:lang w:val="en-US"/>
        </w:rPr>
        <w:t>4</w:t>
      </w:r>
    </w:p>
    <w:p w14:paraId="74B1FE7B" w14:textId="517C4A71" w:rsidR="005A47C7" w:rsidRPr="00F45FAA" w:rsidRDefault="005A47C7" w:rsidP="009058A4">
      <w:pPr>
        <w:spacing w:line="480" w:lineRule="auto"/>
        <w:rPr>
          <w:b/>
          <w:lang w:val="en-US"/>
        </w:rPr>
      </w:pPr>
      <w:r w:rsidRPr="00F45FAA">
        <w:rPr>
          <w:b/>
          <w:lang w:val="en-US"/>
        </w:rPr>
        <w:t xml:space="preserve">Dynamics of leukocyte subpopulations after RT </w:t>
      </w:r>
    </w:p>
    <w:p w14:paraId="6B7CB5A2" w14:textId="554B671C" w:rsidR="005A47C7" w:rsidRPr="00F45FAA" w:rsidRDefault="005A47C7" w:rsidP="009058A4">
      <w:pPr>
        <w:spacing w:line="480" w:lineRule="auto"/>
        <w:rPr>
          <w:lang w:val="en-US"/>
        </w:rPr>
      </w:pPr>
      <w:r w:rsidRPr="00F45FAA">
        <w:rPr>
          <w:lang w:val="en-US"/>
        </w:rPr>
        <w:t xml:space="preserve">Exploring the predictive value of </w:t>
      </w:r>
      <w:r w:rsidR="00321495" w:rsidRPr="00F45FAA">
        <w:rPr>
          <w:lang w:val="en-US"/>
        </w:rPr>
        <w:t>absolute count (</w:t>
      </w:r>
      <w:r w:rsidRPr="00F45FAA">
        <w:rPr>
          <w:lang w:val="en-US"/>
        </w:rPr>
        <w:t>A</w:t>
      </w:r>
      <w:r w:rsidR="00AF6CC2" w:rsidRPr="00F45FAA">
        <w:rPr>
          <w:lang w:val="en-US"/>
        </w:rPr>
        <w:t>L</w:t>
      </w:r>
      <w:r w:rsidRPr="00F45FAA">
        <w:rPr>
          <w:lang w:val="en-US"/>
        </w:rPr>
        <w:t>C</w:t>
      </w:r>
      <w:r w:rsidR="00321495" w:rsidRPr="00F45FAA">
        <w:rPr>
          <w:lang w:val="en-US"/>
        </w:rPr>
        <w:t>) in lymphocyte subpopulations</w:t>
      </w:r>
      <w:r w:rsidRPr="00F45FAA">
        <w:rPr>
          <w:lang w:val="en-US"/>
        </w:rPr>
        <w:t xml:space="preserve"> at the time point RTend and time points during follow-up revealed that the favorable PFS group (</w:t>
      </w:r>
      <w:r w:rsidRPr="00F45FAA">
        <w:rPr>
          <w:rFonts w:cs="Calibri"/>
          <w:sz w:val="24"/>
          <w:szCs w:val="24"/>
          <w:lang w:val="en-US"/>
        </w:rPr>
        <w:t>≥</w:t>
      </w:r>
      <w:r w:rsidRPr="00F45FAA">
        <w:rPr>
          <w:lang w:val="en-US"/>
        </w:rPr>
        <w:t>12 mo</w:t>
      </w:r>
      <w:r w:rsidR="005F6016" w:rsidRPr="00F45FAA">
        <w:rPr>
          <w:lang w:val="en-US"/>
        </w:rPr>
        <w:t>nths</w:t>
      </w:r>
      <w:r w:rsidRPr="00F45FAA">
        <w:rPr>
          <w:lang w:val="en-US"/>
        </w:rPr>
        <w:t>) showed significant increase in AC from RTend to C.2 (3 mo after treatment end) for B cells, eosinophils, and neutrophils. From RTend</w:t>
      </w:r>
      <w:r w:rsidR="002B3A71">
        <w:rPr>
          <w:lang w:val="en-US"/>
        </w:rPr>
        <w:t>-</w:t>
      </w:r>
      <w:r w:rsidRPr="00F45FAA">
        <w:rPr>
          <w:lang w:val="en-US"/>
        </w:rPr>
        <w:t>C.3 (6 mo</w:t>
      </w:r>
      <w:r w:rsidR="005F6016" w:rsidRPr="00F45FAA">
        <w:rPr>
          <w:lang w:val="en-US"/>
        </w:rPr>
        <w:t>nths</w:t>
      </w:r>
      <w:r w:rsidRPr="00F45FAA">
        <w:rPr>
          <w:lang w:val="en-US"/>
        </w:rPr>
        <w:t xml:space="preserve"> after treatment end) B cells, NK cells and neutrophils were significant (p&gt;0.05).</w:t>
      </w:r>
    </w:p>
    <w:p w14:paraId="7F6A2CF4" w14:textId="0A65B4ED" w:rsidR="005A47C7" w:rsidRPr="00F45FAA" w:rsidRDefault="00B23308" w:rsidP="009058A4">
      <w:pPr>
        <w:autoSpaceDE w:val="0"/>
        <w:autoSpaceDN w:val="0"/>
        <w:adjustRightInd w:val="0"/>
        <w:spacing w:after="0" w:line="480" w:lineRule="auto"/>
        <w:rPr>
          <w:b/>
          <w:lang w:val="en-US"/>
        </w:rPr>
      </w:pPr>
      <w:r w:rsidRPr="00F45FAA">
        <w:rPr>
          <w:b/>
          <w:noProof/>
          <w:lang w:val="en-US"/>
        </w:rPr>
        <w:drawing>
          <wp:inline distT="0" distB="0" distL="0" distR="0" wp14:anchorId="74CB5239" wp14:editId="5B4BEA3B">
            <wp:extent cx="5762625" cy="3857625"/>
            <wp:effectExtent l="0" t="0" r="9525" b="9525"/>
            <wp:docPr id="139353419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857625"/>
                    </a:xfrm>
                    <a:prstGeom prst="rect">
                      <a:avLst/>
                    </a:prstGeom>
                    <a:noFill/>
                    <a:ln>
                      <a:noFill/>
                    </a:ln>
                  </pic:spPr>
                </pic:pic>
              </a:graphicData>
            </a:graphic>
          </wp:inline>
        </w:drawing>
      </w:r>
    </w:p>
    <w:p w14:paraId="39E8F978" w14:textId="2C37A77B" w:rsidR="006B5CC0" w:rsidRPr="00F45FAA" w:rsidRDefault="006B5CC0" w:rsidP="009058A4">
      <w:pPr>
        <w:autoSpaceDE w:val="0"/>
        <w:autoSpaceDN w:val="0"/>
        <w:adjustRightInd w:val="0"/>
        <w:spacing w:after="0" w:line="480" w:lineRule="auto"/>
        <w:rPr>
          <w:lang w:val="en-US"/>
        </w:rPr>
      </w:pPr>
      <w:r w:rsidRPr="00F45FAA">
        <w:rPr>
          <w:b/>
          <w:lang w:val="en-US"/>
        </w:rPr>
        <w:t>Fig. S</w:t>
      </w:r>
      <w:r w:rsidR="00A15213" w:rsidRPr="00F45FAA">
        <w:rPr>
          <w:b/>
          <w:lang w:val="en-US"/>
        </w:rPr>
        <w:t>4</w:t>
      </w:r>
      <w:r w:rsidRPr="00F45FAA">
        <w:rPr>
          <w:lang w:val="en-US"/>
        </w:rPr>
        <w:t xml:space="preserve"> Absolute counts of lymphocytes and lymphocyte subpopulations at the time points RTend, C.1, C.2, and C.3 for the PFS groups (red PFS&lt;6 mo, gray PFS</w:t>
      </w:r>
      <w:r w:rsidR="005F6016" w:rsidRPr="00F45FAA">
        <w:rPr>
          <w:lang w:val="en-US"/>
        </w:rPr>
        <w:t xml:space="preserve"> </w:t>
      </w:r>
      <w:r w:rsidRPr="00F45FAA">
        <w:rPr>
          <w:lang w:val="en-US"/>
        </w:rPr>
        <w:t>≥6&lt;12 mo</w:t>
      </w:r>
      <w:r w:rsidR="005F6016" w:rsidRPr="00F45FAA">
        <w:rPr>
          <w:lang w:val="en-US"/>
        </w:rPr>
        <w:t>nths</w:t>
      </w:r>
      <w:r w:rsidRPr="00F45FAA">
        <w:rPr>
          <w:lang w:val="en-US"/>
        </w:rPr>
        <w:t>, green ≥12 mo</w:t>
      </w:r>
      <w:r w:rsidR="005F6016" w:rsidRPr="00F45FAA">
        <w:rPr>
          <w:lang w:val="en-US"/>
        </w:rPr>
        <w:t>nths</w:t>
      </w:r>
      <w:r w:rsidRPr="00F45FAA">
        <w:rPr>
          <w:lang w:val="en-US"/>
        </w:rPr>
        <w:t>). Each dot represents an individual</w:t>
      </w:r>
      <w:bookmarkStart w:id="6" w:name="OLE_LINK6"/>
      <w:r w:rsidRPr="00F45FAA">
        <w:rPr>
          <w:lang w:val="en-US"/>
        </w:rPr>
        <w:t>. Comparison was made between the abs. cell counts at the different time points within each PFS group. Cell counts were derived from flow cytometry (gating strategy in Fig. S2), neutrophil and eosinophil counts were determined by clinical chemistry routine lab (clCh). Bold dashed line in the violins indicate the median, the light dotted lines the lower and upper quartile. Student’s t test, * p&lt;0.05, ** p&lt;0.01.</w:t>
      </w:r>
    </w:p>
    <w:p w14:paraId="32C0EF67" w14:textId="15B26582" w:rsidR="005A47C7" w:rsidRPr="00F45FAA" w:rsidRDefault="005A47C7" w:rsidP="009058A4">
      <w:pPr>
        <w:spacing w:after="0" w:line="480" w:lineRule="auto"/>
        <w:rPr>
          <w:b/>
          <w:lang w:val="en-US"/>
        </w:rPr>
      </w:pPr>
      <w:bookmarkStart w:id="7" w:name="_Hlk150157677"/>
      <w:bookmarkEnd w:id="5"/>
      <w:bookmarkEnd w:id="6"/>
      <w:r w:rsidRPr="00F45FAA">
        <w:rPr>
          <w:b/>
          <w:lang w:val="en-US"/>
        </w:rPr>
        <w:lastRenderedPageBreak/>
        <w:t>Figure S</w:t>
      </w:r>
      <w:r w:rsidR="00A15213" w:rsidRPr="00F45FAA">
        <w:rPr>
          <w:b/>
          <w:lang w:val="en-US"/>
        </w:rPr>
        <w:t>5</w:t>
      </w:r>
    </w:p>
    <w:p w14:paraId="4DBA63AF" w14:textId="77777777" w:rsidR="005A47C7" w:rsidRPr="00F45FAA" w:rsidRDefault="005A47C7" w:rsidP="009058A4">
      <w:pPr>
        <w:spacing w:line="480" w:lineRule="auto"/>
        <w:rPr>
          <w:b/>
          <w:lang w:val="en-US"/>
        </w:rPr>
      </w:pPr>
      <w:r w:rsidRPr="00F45FAA">
        <w:rPr>
          <w:b/>
          <w:lang w:val="en-US"/>
        </w:rPr>
        <w:t>LDA using blood cell subpopulations separates patients according to PFS</w:t>
      </w:r>
    </w:p>
    <w:p w14:paraId="028F1EA6" w14:textId="77777777" w:rsidR="005A47C7" w:rsidRPr="00F45FAA" w:rsidRDefault="005A47C7" w:rsidP="009058A4">
      <w:pPr>
        <w:spacing w:line="480" w:lineRule="auto"/>
        <w:rPr>
          <w:bCs/>
          <w:lang w:val="en-US"/>
        </w:rPr>
      </w:pPr>
      <w:r w:rsidRPr="00F45FAA">
        <w:rPr>
          <w:bCs/>
          <w:lang w:val="en-US"/>
        </w:rPr>
        <w:t>Partition plots of all predictor variable combinations are shown for a more detailed information on their discriminant contribution towards the PFS groups.</w:t>
      </w:r>
    </w:p>
    <w:p w14:paraId="48E0084A" w14:textId="415705E8" w:rsidR="006B5CC0" w:rsidRPr="00F45FAA" w:rsidRDefault="00B23308" w:rsidP="009058A4">
      <w:pPr>
        <w:spacing w:after="0" w:line="480" w:lineRule="auto"/>
        <w:rPr>
          <w:b/>
          <w:lang w:val="en-US"/>
        </w:rPr>
      </w:pPr>
      <w:r w:rsidRPr="00F45FAA">
        <w:rPr>
          <w:b/>
          <w:noProof/>
          <w:lang w:val="en-US"/>
        </w:rPr>
        <w:drawing>
          <wp:inline distT="0" distB="0" distL="0" distR="0" wp14:anchorId="220B9685" wp14:editId="4EC39C7B">
            <wp:extent cx="5753100" cy="6705600"/>
            <wp:effectExtent l="0" t="0" r="0" b="0"/>
            <wp:docPr id="174315743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705600"/>
                    </a:xfrm>
                    <a:prstGeom prst="rect">
                      <a:avLst/>
                    </a:prstGeom>
                    <a:noFill/>
                    <a:ln>
                      <a:noFill/>
                    </a:ln>
                  </pic:spPr>
                </pic:pic>
              </a:graphicData>
            </a:graphic>
          </wp:inline>
        </w:drawing>
      </w:r>
    </w:p>
    <w:p w14:paraId="73B5AE97" w14:textId="76EFB414" w:rsidR="00DB56D5" w:rsidRPr="00BD1077" w:rsidRDefault="006B5CC0" w:rsidP="009058A4">
      <w:pPr>
        <w:spacing w:line="480" w:lineRule="auto"/>
        <w:rPr>
          <w:lang w:val="en-US"/>
        </w:rPr>
      </w:pPr>
      <w:r w:rsidRPr="00F45FAA">
        <w:rPr>
          <w:b/>
          <w:lang w:val="en-US"/>
        </w:rPr>
        <w:t>Fig. S</w:t>
      </w:r>
      <w:r w:rsidR="00A15213" w:rsidRPr="00F45FAA">
        <w:rPr>
          <w:b/>
          <w:lang w:val="en-US"/>
        </w:rPr>
        <w:t>5</w:t>
      </w:r>
      <w:r w:rsidRPr="00F45FAA">
        <w:rPr>
          <w:b/>
          <w:lang w:val="en-US"/>
        </w:rPr>
        <w:t xml:space="preserve"> </w:t>
      </w:r>
      <w:r w:rsidRPr="00F45FAA">
        <w:rPr>
          <w:lang w:val="en-US"/>
        </w:rPr>
        <w:t>Partition plot of linear discriminant analysis including discrimination error rates of the different cell subtype combinations. AUC of cell counts of the interval from RTend</w:t>
      </w:r>
      <w:r w:rsidR="002B3A71">
        <w:rPr>
          <w:lang w:val="en-US"/>
        </w:rPr>
        <w:t>-</w:t>
      </w:r>
      <w:r w:rsidRPr="00F45FAA">
        <w:rPr>
          <w:lang w:val="en-US"/>
        </w:rPr>
        <w:t>C.3 (6 mo</w:t>
      </w:r>
      <w:r w:rsidR="005F6016" w:rsidRPr="00F45FAA">
        <w:rPr>
          <w:lang w:val="en-US"/>
        </w:rPr>
        <w:t>nths</w:t>
      </w:r>
      <w:r w:rsidRPr="00F45FAA">
        <w:rPr>
          <w:lang w:val="en-US"/>
        </w:rPr>
        <w:t xml:space="preserve"> </w:t>
      </w:r>
      <w:r w:rsidRPr="00F45FAA">
        <w:rPr>
          <w:lang w:val="en-US"/>
        </w:rPr>
        <w:lastRenderedPageBreak/>
        <w:t>after RT) were used and Z-score normalized. 1 represents PFS &lt; 6 mo</w:t>
      </w:r>
      <w:r w:rsidR="005F6016" w:rsidRPr="00F45FAA">
        <w:rPr>
          <w:lang w:val="en-US"/>
        </w:rPr>
        <w:t>nths</w:t>
      </w:r>
      <w:r w:rsidRPr="00F45FAA">
        <w:rPr>
          <w:lang w:val="en-US"/>
        </w:rPr>
        <w:t>, 2 represents PFS</w:t>
      </w:r>
      <w:r w:rsidR="005F6016" w:rsidRPr="00F45FAA">
        <w:rPr>
          <w:lang w:val="en-US"/>
        </w:rPr>
        <w:t xml:space="preserve"> </w:t>
      </w:r>
      <w:r w:rsidRPr="00F45FAA">
        <w:rPr>
          <w:rFonts w:cs="Calibri"/>
          <w:sz w:val="24"/>
          <w:szCs w:val="24"/>
          <w:lang w:val="en-US"/>
        </w:rPr>
        <w:t>≥</w:t>
      </w:r>
      <w:r w:rsidRPr="00F45FAA">
        <w:rPr>
          <w:lang w:val="en-US"/>
        </w:rPr>
        <w:t>6&lt;12</w:t>
      </w:r>
      <w:r w:rsidR="00A15213" w:rsidRPr="00F45FAA">
        <w:rPr>
          <w:lang w:val="en-US"/>
        </w:rPr>
        <w:t xml:space="preserve"> </w:t>
      </w:r>
      <w:r w:rsidRPr="00F45FAA">
        <w:rPr>
          <w:lang w:val="en-US"/>
        </w:rPr>
        <w:t>mo</w:t>
      </w:r>
      <w:r w:rsidR="005F6016" w:rsidRPr="00F45FAA">
        <w:rPr>
          <w:lang w:val="en-US"/>
        </w:rPr>
        <w:t>nths</w:t>
      </w:r>
      <w:r w:rsidRPr="00F45FAA">
        <w:rPr>
          <w:lang w:val="en-US"/>
        </w:rPr>
        <w:t>, and 3 represents PFS</w:t>
      </w:r>
      <w:r w:rsidR="005F6016" w:rsidRPr="00F45FAA">
        <w:rPr>
          <w:lang w:val="en-US"/>
        </w:rPr>
        <w:t xml:space="preserve"> </w:t>
      </w:r>
      <w:r w:rsidRPr="00F45FAA">
        <w:rPr>
          <w:rFonts w:cs="Calibri"/>
          <w:sz w:val="24"/>
          <w:szCs w:val="24"/>
          <w:lang w:val="en-US"/>
        </w:rPr>
        <w:t>≥</w:t>
      </w:r>
      <w:r w:rsidRPr="00F45FAA">
        <w:rPr>
          <w:lang w:val="en-US"/>
        </w:rPr>
        <w:t>12mo</w:t>
      </w:r>
      <w:r w:rsidR="005F6016" w:rsidRPr="00F45FAA">
        <w:rPr>
          <w:lang w:val="en-US"/>
        </w:rPr>
        <w:t>ths</w:t>
      </w:r>
      <w:r w:rsidRPr="00F45FAA">
        <w:rPr>
          <w:lang w:val="en-US"/>
        </w:rPr>
        <w:t>.</w:t>
      </w:r>
      <w:bookmarkEnd w:id="7"/>
    </w:p>
    <w:sectPr w:rsidR="00DB56D5" w:rsidRPr="00BD1077" w:rsidSect="0038306F">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5E76" w14:textId="77777777" w:rsidR="00C050C2" w:rsidRDefault="00C050C2">
      <w:pPr>
        <w:spacing w:after="0" w:line="240" w:lineRule="auto"/>
      </w:pPr>
      <w:r>
        <w:separator/>
      </w:r>
    </w:p>
  </w:endnote>
  <w:endnote w:type="continuationSeparator" w:id="0">
    <w:p w14:paraId="48D6C60F" w14:textId="77777777" w:rsidR="00C050C2" w:rsidRDefault="00C05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336992"/>
      <w:docPartObj>
        <w:docPartGallery w:val="Page Numbers (Bottom of Page)"/>
        <w:docPartUnique/>
      </w:docPartObj>
    </w:sdtPr>
    <w:sdtContent>
      <w:p w14:paraId="318576FD" w14:textId="76A294E1" w:rsidR="00427ACA" w:rsidRDefault="00427ACA">
        <w:pPr>
          <w:pStyle w:val="Fuzeile"/>
          <w:jc w:val="right"/>
        </w:pPr>
        <w:r>
          <w:fldChar w:fldCharType="begin"/>
        </w:r>
        <w:r>
          <w:instrText>PAGE   \* MERGEFORMAT</w:instrText>
        </w:r>
        <w:r>
          <w:fldChar w:fldCharType="separate"/>
        </w:r>
        <w:r>
          <w:t>2</w:t>
        </w:r>
        <w:r>
          <w:fldChar w:fldCharType="end"/>
        </w:r>
      </w:p>
    </w:sdtContent>
  </w:sdt>
  <w:p w14:paraId="277F15DA" w14:textId="77777777" w:rsidR="00564C24" w:rsidRDefault="00564C2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FA6BE" w14:textId="77777777" w:rsidR="00C050C2" w:rsidRDefault="00C050C2">
      <w:pPr>
        <w:spacing w:after="0" w:line="240" w:lineRule="auto"/>
      </w:pPr>
      <w:r>
        <w:separator/>
      </w:r>
    </w:p>
  </w:footnote>
  <w:footnote w:type="continuationSeparator" w:id="0">
    <w:p w14:paraId="09F58FA6" w14:textId="77777777" w:rsidR="00C050C2" w:rsidRDefault="00C050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AFC"/>
    <w:rsid w:val="00003711"/>
    <w:rsid w:val="000073E8"/>
    <w:rsid w:val="000156C8"/>
    <w:rsid w:val="00023682"/>
    <w:rsid w:val="00023E4C"/>
    <w:rsid w:val="000370C9"/>
    <w:rsid w:val="00073F7B"/>
    <w:rsid w:val="000770D3"/>
    <w:rsid w:val="00084635"/>
    <w:rsid w:val="000903C0"/>
    <w:rsid w:val="000D776D"/>
    <w:rsid w:val="00127A44"/>
    <w:rsid w:val="001420F3"/>
    <w:rsid w:val="001433A6"/>
    <w:rsid w:val="00190C4F"/>
    <w:rsid w:val="001C5357"/>
    <w:rsid w:val="001D6B3C"/>
    <w:rsid w:val="001E10AD"/>
    <w:rsid w:val="001F7D85"/>
    <w:rsid w:val="00200685"/>
    <w:rsid w:val="00206B18"/>
    <w:rsid w:val="002123E5"/>
    <w:rsid w:val="00216D29"/>
    <w:rsid w:val="002177CB"/>
    <w:rsid w:val="00252FD6"/>
    <w:rsid w:val="002A77A7"/>
    <w:rsid w:val="002B0B96"/>
    <w:rsid w:val="002B3A71"/>
    <w:rsid w:val="002D1656"/>
    <w:rsid w:val="002E7FEF"/>
    <w:rsid w:val="002F2FAA"/>
    <w:rsid w:val="00310046"/>
    <w:rsid w:val="00317552"/>
    <w:rsid w:val="00320EC1"/>
    <w:rsid w:val="00321495"/>
    <w:rsid w:val="0033402C"/>
    <w:rsid w:val="00346F7A"/>
    <w:rsid w:val="00375A8D"/>
    <w:rsid w:val="0038306F"/>
    <w:rsid w:val="0039158E"/>
    <w:rsid w:val="003A718D"/>
    <w:rsid w:val="003B3446"/>
    <w:rsid w:val="003C421D"/>
    <w:rsid w:val="003C7905"/>
    <w:rsid w:val="003F6613"/>
    <w:rsid w:val="00427ACA"/>
    <w:rsid w:val="00434F37"/>
    <w:rsid w:val="00454AF3"/>
    <w:rsid w:val="00454CB4"/>
    <w:rsid w:val="004D60B5"/>
    <w:rsid w:val="004F1C4E"/>
    <w:rsid w:val="004F3083"/>
    <w:rsid w:val="005450E8"/>
    <w:rsid w:val="00552D7B"/>
    <w:rsid w:val="00556989"/>
    <w:rsid w:val="005626F4"/>
    <w:rsid w:val="00564C24"/>
    <w:rsid w:val="00566F10"/>
    <w:rsid w:val="005A47C7"/>
    <w:rsid w:val="005B4953"/>
    <w:rsid w:val="005D0313"/>
    <w:rsid w:val="005E2987"/>
    <w:rsid w:val="005F6016"/>
    <w:rsid w:val="00622F34"/>
    <w:rsid w:val="00657C45"/>
    <w:rsid w:val="00670E30"/>
    <w:rsid w:val="00674D2E"/>
    <w:rsid w:val="0068635C"/>
    <w:rsid w:val="006B5CC0"/>
    <w:rsid w:val="006F3732"/>
    <w:rsid w:val="0075436B"/>
    <w:rsid w:val="0075529C"/>
    <w:rsid w:val="00764940"/>
    <w:rsid w:val="007712EB"/>
    <w:rsid w:val="00771A72"/>
    <w:rsid w:val="00777F14"/>
    <w:rsid w:val="0079399A"/>
    <w:rsid w:val="007C05A6"/>
    <w:rsid w:val="007C31E7"/>
    <w:rsid w:val="007C39CB"/>
    <w:rsid w:val="007F6703"/>
    <w:rsid w:val="00817F6D"/>
    <w:rsid w:val="00832DA1"/>
    <w:rsid w:val="00856C77"/>
    <w:rsid w:val="008B6118"/>
    <w:rsid w:val="008C7150"/>
    <w:rsid w:val="008C7F80"/>
    <w:rsid w:val="009058A4"/>
    <w:rsid w:val="009373F2"/>
    <w:rsid w:val="00943CCE"/>
    <w:rsid w:val="00964994"/>
    <w:rsid w:val="00970CF1"/>
    <w:rsid w:val="009D0781"/>
    <w:rsid w:val="009F4C13"/>
    <w:rsid w:val="00A15213"/>
    <w:rsid w:val="00A15FC5"/>
    <w:rsid w:val="00A25BA9"/>
    <w:rsid w:val="00A278F0"/>
    <w:rsid w:val="00A33AB2"/>
    <w:rsid w:val="00A4157D"/>
    <w:rsid w:val="00A459C8"/>
    <w:rsid w:val="00A77C00"/>
    <w:rsid w:val="00A80916"/>
    <w:rsid w:val="00A85D47"/>
    <w:rsid w:val="00AC002E"/>
    <w:rsid w:val="00AE7C17"/>
    <w:rsid w:val="00AF6CC2"/>
    <w:rsid w:val="00B051B4"/>
    <w:rsid w:val="00B14F24"/>
    <w:rsid w:val="00B23308"/>
    <w:rsid w:val="00B406B5"/>
    <w:rsid w:val="00B83120"/>
    <w:rsid w:val="00B85369"/>
    <w:rsid w:val="00BA5B90"/>
    <w:rsid w:val="00BD1077"/>
    <w:rsid w:val="00C050C2"/>
    <w:rsid w:val="00C07855"/>
    <w:rsid w:val="00C8472B"/>
    <w:rsid w:val="00C965B8"/>
    <w:rsid w:val="00D20ABA"/>
    <w:rsid w:val="00D559BA"/>
    <w:rsid w:val="00D775C9"/>
    <w:rsid w:val="00D81FC5"/>
    <w:rsid w:val="00DB56D5"/>
    <w:rsid w:val="00DC7368"/>
    <w:rsid w:val="00DE2F66"/>
    <w:rsid w:val="00E35CCE"/>
    <w:rsid w:val="00E70ED6"/>
    <w:rsid w:val="00E7571C"/>
    <w:rsid w:val="00EC5794"/>
    <w:rsid w:val="00EC5B6A"/>
    <w:rsid w:val="00F2294D"/>
    <w:rsid w:val="00F23A6C"/>
    <w:rsid w:val="00F45FAA"/>
    <w:rsid w:val="00F6387F"/>
    <w:rsid w:val="00F70AFC"/>
    <w:rsid w:val="00F947E8"/>
    <w:rsid w:val="00F9768C"/>
    <w:rsid w:val="00FA120C"/>
    <w:rsid w:val="00FA1D78"/>
    <w:rsid w:val="00FD77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7B476"/>
  <w15:chartTrackingRefBased/>
  <w15:docId w15:val="{60E75DDC-7B65-431C-A9B8-45A332F3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5CC0"/>
    <w:rPr>
      <w:rFonts w:ascii="Calibri" w:eastAsia="Calibri" w:hAnsi="Calibri"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6B5C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5CC0"/>
    <w:rPr>
      <w:rFonts w:ascii="Calibri" w:eastAsia="Calibri" w:hAnsi="Calibri" w:cs="Times New Roman"/>
      <w:kern w:val="0"/>
      <w14:ligatures w14:val="none"/>
    </w:rPr>
  </w:style>
  <w:style w:type="paragraph" w:customStyle="1" w:styleId="EndNoteCategoryHeading">
    <w:name w:val="EndNote Category Heading"/>
    <w:basedOn w:val="Standard"/>
    <w:link w:val="EndNoteCategoryHeadingZchn"/>
    <w:rsid w:val="006B5CC0"/>
    <w:pPr>
      <w:spacing w:before="120" w:after="120"/>
    </w:pPr>
    <w:rPr>
      <w:b/>
      <w:noProof/>
      <w:lang w:val="en-US"/>
    </w:rPr>
  </w:style>
  <w:style w:type="character" w:customStyle="1" w:styleId="EndNoteCategoryHeadingZchn">
    <w:name w:val="EndNote Category Heading Zchn"/>
    <w:link w:val="EndNoteCategoryHeading"/>
    <w:rsid w:val="006B5CC0"/>
    <w:rPr>
      <w:rFonts w:ascii="Calibri" w:eastAsia="Calibri" w:hAnsi="Calibri" w:cs="Times New Roman"/>
      <w:b/>
      <w:noProof/>
      <w:kern w:val="0"/>
      <w:lang w:val="en-US"/>
      <w14:ligatures w14:val="none"/>
    </w:rPr>
  </w:style>
  <w:style w:type="paragraph" w:styleId="KeinLeerraum">
    <w:name w:val="No Spacing"/>
    <w:uiPriority w:val="1"/>
    <w:qFormat/>
    <w:rsid w:val="00216D29"/>
    <w:pPr>
      <w:spacing w:after="0" w:line="240" w:lineRule="auto"/>
    </w:pPr>
    <w:rPr>
      <w:rFonts w:ascii="Calibri" w:eastAsia="Calibri" w:hAnsi="Calibri" w:cs="Times New Roman"/>
      <w:kern w:val="0"/>
      <w14:ligatures w14:val="none"/>
    </w:rPr>
  </w:style>
  <w:style w:type="character" w:styleId="Kommentarzeichen">
    <w:name w:val="annotation reference"/>
    <w:uiPriority w:val="99"/>
    <w:semiHidden/>
    <w:unhideWhenUsed/>
    <w:rsid w:val="00216D29"/>
    <w:rPr>
      <w:sz w:val="16"/>
      <w:szCs w:val="16"/>
    </w:rPr>
  </w:style>
  <w:style w:type="paragraph" w:styleId="Kommentartext">
    <w:name w:val="annotation text"/>
    <w:basedOn w:val="Standard"/>
    <w:link w:val="KommentartextZchn"/>
    <w:uiPriority w:val="99"/>
    <w:unhideWhenUsed/>
    <w:rsid w:val="00216D29"/>
    <w:pPr>
      <w:spacing w:line="240" w:lineRule="auto"/>
    </w:pPr>
    <w:rPr>
      <w:sz w:val="20"/>
      <w:szCs w:val="20"/>
    </w:rPr>
  </w:style>
  <w:style w:type="character" w:customStyle="1" w:styleId="KommentartextZchn">
    <w:name w:val="Kommentartext Zchn"/>
    <w:basedOn w:val="Absatz-Standardschriftart"/>
    <w:link w:val="Kommentartext"/>
    <w:uiPriority w:val="99"/>
    <w:rsid w:val="00216D29"/>
    <w:rPr>
      <w:rFonts w:ascii="Calibri" w:eastAsia="Calibri" w:hAnsi="Calibri" w:cs="Times New Roman"/>
      <w:kern w:val="0"/>
      <w:sz w:val="20"/>
      <w:szCs w:val="20"/>
      <w14:ligatures w14:val="none"/>
    </w:rPr>
  </w:style>
  <w:style w:type="paragraph" w:styleId="Kopfzeile">
    <w:name w:val="header"/>
    <w:basedOn w:val="Standard"/>
    <w:link w:val="KopfzeileZchn"/>
    <w:uiPriority w:val="99"/>
    <w:unhideWhenUsed/>
    <w:rsid w:val="00427A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7ACA"/>
    <w:rPr>
      <w:rFonts w:ascii="Calibri" w:eastAsia="Calibri" w:hAnsi="Calibri" w:cs="Times New Roman"/>
      <w:kern w:val="0"/>
      <w14:ligatures w14:val="none"/>
    </w:rPr>
  </w:style>
  <w:style w:type="character" w:styleId="Zeilennummer">
    <w:name w:val="line number"/>
    <w:basedOn w:val="Absatz-Standardschriftart"/>
    <w:uiPriority w:val="99"/>
    <w:semiHidden/>
    <w:unhideWhenUsed/>
    <w:rsid w:val="00427ACA"/>
  </w:style>
  <w:style w:type="paragraph" w:styleId="StandardWeb">
    <w:name w:val="Normal (Web)"/>
    <w:basedOn w:val="Standard"/>
    <w:uiPriority w:val="99"/>
    <w:unhideWhenUsed/>
    <w:rsid w:val="00566F10"/>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2B0B96"/>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851262">
      <w:bodyDiv w:val="1"/>
      <w:marLeft w:val="0"/>
      <w:marRight w:val="0"/>
      <w:marTop w:val="0"/>
      <w:marBottom w:val="0"/>
      <w:divBdr>
        <w:top w:val="none" w:sz="0" w:space="0" w:color="auto"/>
        <w:left w:val="none" w:sz="0" w:space="0" w:color="auto"/>
        <w:bottom w:val="none" w:sz="0" w:space="0" w:color="auto"/>
        <w:right w:val="none" w:sz="0" w:space="0" w:color="auto"/>
      </w:divBdr>
    </w:div>
    <w:div w:id="107991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1713</Words>
  <Characters>10793</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Hofer</dc:creator>
  <cp:keywords/>
  <dc:description/>
  <cp:lastModifiedBy>Thomas Hofer</cp:lastModifiedBy>
  <cp:revision>4</cp:revision>
  <dcterms:created xsi:type="dcterms:W3CDTF">2025-03-13T15:27:00Z</dcterms:created>
  <dcterms:modified xsi:type="dcterms:W3CDTF">2025-03-13T15:31:00Z</dcterms:modified>
</cp:coreProperties>
</file>