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23BF09" w14:textId="77777777" w:rsidR="005E423A" w:rsidRPr="00D21F7C" w:rsidRDefault="005E423A" w:rsidP="00D44875">
      <w:pPr>
        <w:tabs>
          <w:tab w:val="right" w:pos="9066"/>
        </w:tabs>
        <w:spacing w:line="360" w:lineRule="auto"/>
        <w:rPr>
          <w:rFonts w:ascii="Times New Roman" w:hAnsi="Times New Roman" w:cs="Times New Roman"/>
          <w:b/>
          <w:sz w:val="20"/>
          <w:szCs w:val="20"/>
        </w:rPr>
      </w:pPr>
      <w:r w:rsidRPr="00D21F7C">
        <w:rPr>
          <w:rFonts w:ascii="Times New Roman" w:hAnsi="Times New Roman" w:cs="Times New Roman"/>
          <w:b/>
          <w:sz w:val="20"/>
          <w:szCs w:val="20"/>
        </w:rPr>
        <w:t>Supplementary Information</w:t>
      </w:r>
    </w:p>
    <w:p w14:paraId="3364B402" w14:textId="77777777" w:rsidR="005E423A" w:rsidRPr="00D21F7C" w:rsidRDefault="005E423A" w:rsidP="00D44875">
      <w:pPr>
        <w:spacing w:line="360" w:lineRule="exact"/>
        <w:jc w:val="center"/>
        <w:rPr>
          <w:rFonts w:ascii="Times New Roman" w:hAnsi="Times New Roman" w:cs="Times New Roman"/>
          <w:b/>
          <w:bCs/>
          <w:sz w:val="20"/>
          <w:szCs w:val="20"/>
        </w:rPr>
      </w:pPr>
      <w:r w:rsidRPr="00D21F7C">
        <w:rPr>
          <w:rFonts w:ascii="Times New Roman" w:hAnsi="Times New Roman" w:cs="Times New Roman"/>
          <w:b/>
          <w:bCs/>
          <w:sz w:val="20"/>
          <w:szCs w:val="20"/>
        </w:rPr>
        <w:t>Galectin-1 induces macrophage immunometabolic reprogramming, modulates T cell immunity and attenuates atherosclerotic plaque formation</w:t>
      </w:r>
    </w:p>
    <w:p w14:paraId="395A6E3E" w14:textId="77777777" w:rsidR="005E423A" w:rsidRPr="00D21F7C" w:rsidRDefault="005E423A" w:rsidP="00D44875">
      <w:pPr>
        <w:spacing w:line="360" w:lineRule="exact"/>
        <w:rPr>
          <w:rFonts w:ascii="Times New Roman" w:hAnsi="Times New Roman" w:cs="Times New Roman"/>
          <w:sz w:val="20"/>
          <w:szCs w:val="20"/>
        </w:rPr>
      </w:pPr>
    </w:p>
    <w:p w14:paraId="5D441F3B" w14:textId="77777777" w:rsidR="005E423A" w:rsidRPr="00D21F7C" w:rsidRDefault="005E423A" w:rsidP="00D44875">
      <w:pPr>
        <w:spacing w:line="360" w:lineRule="auto"/>
        <w:rPr>
          <w:rFonts w:ascii="Times New Roman" w:hAnsi="Times New Roman" w:cs="Times New Roman"/>
          <w:sz w:val="20"/>
          <w:szCs w:val="20"/>
        </w:rPr>
      </w:pPr>
    </w:p>
    <w:p w14:paraId="196F0B0E" w14:textId="77777777" w:rsidR="005E423A" w:rsidRPr="00D21F7C" w:rsidRDefault="005E423A" w:rsidP="00D44875">
      <w:pPr>
        <w:spacing w:line="360" w:lineRule="auto"/>
        <w:rPr>
          <w:rFonts w:ascii="Times New Roman" w:hAnsi="Times New Roman" w:cs="Times New Roman"/>
          <w:sz w:val="20"/>
          <w:szCs w:val="20"/>
        </w:rPr>
      </w:pPr>
    </w:p>
    <w:p w14:paraId="5407CBC9" w14:textId="77777777" w:rsidR="005E423A" w:rsidRPr="00D21F7C" w:rsidRDefault="005E423A" w:rsidP="00D44875">
      <w:pPr>
        <w:spacing w:line="360" w:lineRule="auto"/>
        <w:rPr>
          <w:rFonts w:ascii="Times New Roman" w:hAnsi="Times New Roman" w:cs="Times New Roman"/>
          <w:b/>
          <w:bCs/>
          <w:sz w:val="20"/>
          <w:szCs w:val="20"/>
        </w:rPr>
      </w:pPr>
      <w:r w:rsidRPr="00D21F7C">
        <w:rPr>
          <w:rFonts w:ascii="Times New Roman" w:hAnsi="Times New Roman" w:cs="Times New Roman"/>
          <w:b/>
          <w:bCs/>
          <w:sz w:val="20"/>
          <w:szCs w:val="20"/>
        </w:rPr>
        <w:t>Content</w:t>
      </w:r>
    </w:p>
    <w:p w14:paraId="4A21C499" w14:textId="77777777" w:rsidR="005E423A" w:rsidRPr="00D21F7C" w:rsidRDefault="005E423A" w:rsidP="00D44875">
      <w:pPr>
        <w:spacing w:line="360" w:lineRule="exact"/>
        <w:rPr>
          <w:rFonts w:ascii="Times New Roman" w:hAnsi="Times New Roman" w:cs="Times New Roman"/>
          <w:color w:val="1A1A1A"/>
          <w:sz w:val="20"/>
          <w:szCs w:val="20"/>
        </w:rPr>
      </w:pPr>
      <w:r w:rsidRPr="00D21F7C">
        <w:rPr>
          <w:rFonts w:ascii="Times New Roman" w:hAnsi="Times New Roman" w:cs="Times New Roman"/>
          <w:color w:val="1A1A1A"/>
          <w:sz w:val="20"/>
          <w:szCs w:val="20"/>
        </w:rPr>
        <w:t>Supplemental Methods</w:t>
      </w:r>
    </w:p>
    <w:p w14:paraId="0C7FEE9D" w14:textId="77777777" w:rsidR="005E423A" w:rsidRPr="00D21F7C" w:rsidRDefault="005E423A" w:rsidP="00D44875">
      <w:pPr>
        <w:spacing w:line="360" w:lineRule="exact"/>
        <w:rPr>
          <w:rFonts w:ascii="Times New Roman" w:hAnsi="Times New Roman" w:cs="Times New Roman"/>
          <w:color w:val="1A1A1A"/>
          <w:sz w:val="20"/>
          <w:szCs w:val="20"/>
        </w:rPr>
      </w:pPr>
      <w:r w:rsidRPr="00D21F7C">
        <w:rPr>
          <w:rFonts w:ascii="Times New Roman" w:hAnsi="Times New Roman" w:cs="Times New Roman"/>
          <w:color w:val="1A1A1A"/>
          <w:sz w:val="20"/>
          <w:szCs w:val="20"/>
        </w:rPr>
        <w:t>Major Resources Tables S1-S3</w:t>
      </w:r>
    </w:p>
    <w:p w14:paraId="22F1A606" w14:textId="77777777" w:rsidR="005E423A" w:rsidRPr="00D21F7C" w:rsidRDefault="005E423A" w:rsidP="00D44875">
      <w:pPr>
        <w:spacing w:line="360" w:lineRule="exact"/>
        <w:rPr>
          <w:rFonts w:ascii="Times New Roman" w:hAnsi="Times New Roman" w:cs="Times New Roman"/>
          <w:color w:val="1A1A1A"/>
          <w:sz w:val="20"/>
          <w:szCs w:val="20"/>
        </w:rPr>
      </w:pPr>
      <w:r w:rsidRPr="00D21F7C">
        <w:rPr>
          <w:rFonts w:ascii="Times New Roman" w:hAnsi="Times New Roman" w:cs="Times New Roman"/>
          <w:color w:val="1A1A1A"/>
          <w:sz w:val="20"/>
          <w:szCs w:val="20"/>
        </w:rPr>
        <w:t>Figure S1-S6</w:t>
      </w:r>
    </w:p>
    <w:p w14:paraId="2B7AF55E" w14:textId="77777777" w:rsidR="005E423A" w:rsidRPr="00D21F7C" w:rsidRDefault="005E423A" w:rsidP="001535A0">
      <w:pPr>
        <w:shd w:val="clear" w:color="auto" w:fill="FFFFFF" w:themeFill="background1"/>
        <w:spacing w:line="360" w:lineRule="exact"/>
        <w:rPr>
          <w:rFonts w:ascii="Times New Roman" w:hAnsi="Times New Roman" w:cs="Times New Roman"/>
          <w:sz w:val="20"/>
          <w:szCs w:val="20"/>
        </w:rPr>
      </w:pPr>
      <w:r w:rsidRPr="00D21F7C">
        <w:rPr>
          <w:rFonts w:ascii="Times New Roman" w:hAnsi="Times New Roman" w:cs="Times New Roman"/>
          <w:color w:val="1A1A1A"/>
          <w:sz w:val="20"/>
          <w:szCs w:val="20"/>
        </w:rPr>
        <w:t>Supplementary References</w:t>
      </w:r>
      <w:r w:rsidRPr="00D21F7C">
        <w:rPr>
          <w:rFonts w:ascii="Times New Roman" w:hAnsi="Times New Roman" w:cs="Times New Roman"/>
          <w:sz w:val="20"/>
          <w:szCs w:val="20"/>
        </w:rPr>
        <w:tab/>
      </w:r>
    </w:p>
    <w:p w14:paraId="2723F20A" w14:textId="77777777" w:rsidR="005E423A" w:rsidRPr="00D21F7C" w:rsidRDefault="005E423A" w:rsidP="00D44875">
      <w:pPr>
        <w:widowControl/>
        <w:jc w:val="left"/>
        <w:rPr>
          <w:rFonts w:ascii="Times New Roman" w:hAnsi="Times New Roman" w:cs="Times New Roman"/>
          <w:b/>
          <w:bCs/>
          <w:color w:val="000000"/>
          <w:sz w:val="20"/>
          <w:szCs w:val="20"/>
        </w:rPr>
      </w:pPr>
      <w:r w:rsidRPr="00D21F7C">
        <w:rPr>
          <w:rFonts w:ascii="Times New Roman" w:hAnsi="Times New Roman" w:cs="Times New Roman"/>
          <w:b/>
          <w:bCs/>
          <w:color w:val="000000"/>
          <w:sz w:val="20"/>
          <w:szCs w:val="20"/>
        </w:rPr>
        <w:br w:type="page"/>
      </w:r>
    </w:p>
    <w:p w14:paraId="290929C6" w14:textId="77777777" w:rsidR="005E423A" w:rsidRPr="00D21F7C" w:rsidRDefault="005E423A" w:rsidP="00D44875">
      <w:pPr>
        <w:spacing w:line="360" w:lineRule="auto"/>
        <w:rPr>
          <w:rFonts w:ascii="Times New Roman" w:hAnsi="Times New Roman" w:cs="Times New Roman"/>
          <w:b/>
          <w:bCs/>
          <w:sz w:val="20"/>
          <w:szCs w:val="20"/>
        </w:rPr>
      </w:pPr>
      <w:r w:rsidRPr="00D21F7C">
        <w:rPr>
          <w:rFonts w:ascii="Times New Roman" w:hAnsi="Times New Roman" w:cs="Times New Roman"/>
          <w:b/>
          <w:bCs/>
          <w:sz w:val="20"/>
          <w:szCs w:val="20"/>
        </w:rPr>
        <w:lastRenderedPageBreak/>
        <w:t>Supplemental Methods</w:t>
      </w:r>
    </w:p>
    <w:p w14:paraId="5F9456FC" w14:textId="77777777" w:rsidR="005E423A" w:rsidRPr="00D21F7C" w:rsidRDefault="005E423A" w:rsidP="00D44875">
      <w:pPr>
        <w:widowControl/>
        <w:autoSpaceDE w:val="0"/>
        <w:autoSpaceDN w:val="0"/>
        <w:adjustRightInd w:val="0"/>
        <w:spacing w:before="240" w:line="360" w:lineRule="auto"/>
        <w:rPr>
          <w:rFonts w:ascii="Times New Roman" w:eastAsia="Times New Roman" w:hAnsi="Times New Roman" w:cs="Times New Roman"/>
          <w:b/>
          <w:bCs/>
          <w:kern w:val="0"/>
          <w:sz w:val="20"/>
          <w:szCs w:val="20"/>
          <w:vertAlign w:val="superscript"/>
          <w:lang w:eastAsia="de-DE"/>
        </w:rPr>
      </w:pPr>
      <w:r w:rsidRPr="00D21F7C">
        <w:rPr>
          <w:rFonts w:ascii="Times New Roman" w:eastAsia="Times New Roman" w:hAnsi="Times New Roman" w:cs="Times New Roman"/>
          <w:b/>
          <w:bCs/>
          <w:kern w:val="0"/>
          <w:sz w:val="20"/>
          <w:szCs w:val="20"/>
          <w:lang w:eastAsia="de-DE"/>
        </w:rPr>
        <w:t>Expression and purification of Gal-1 and Gal-1</w:t>
      </w:r>
      <w:r w:rsidRPr="00D21F7C">
        <w:rPr>
          <w:rFonts w:ascii="Times New Roman" w:eastAsia="Times New Roman" w:hAnsi="Times New Roman" w:cs="Times New Roman"/>
          <w:b/>
          <w:bCs/>
          <w:kern w:val="0"/>
          <w:sz w:val="20"/>
          <w:szCs w:val="20"/>
          <w:vertAlign w:val="superscript"/>
          <w:lang w:eastAsia="de-DE"/>
        </w:rPr>
        <w:t>E71Q</w:t>
      </w:r>
    </w:p>
    <w:p w14:paraId="58D9FB61" w14:textId="77777777" w:rsidR="005E423A" w:rsidRPr="00D21F7C" w:rsidRDefault="005E423A" w:rsidP="00D44875">
      <w:pPr>
        <w:widowControl/>
        <w:autoSpaceDE w:val="0"/>
        <w:autoSpaceDN w:val="0"/>
        <w:adjustRightInd w:val="0"/>
        <w:spacing w:line="360" w:lineRule="auto"/>
        <w:rPr>
          <w:rFonts w:ascii="Times New Roman" w:eastAsia="Times New Roman" w:hAnsi="Times New Roman" w:cs="Times New Roman"/>
          <w:kern w:val="0"/>
          <w:sz w:val="20"/>
          <w:szCs w:val="20"/>
          <w:lang w:eastAsia="de-DE"/>
        </w:rPr>
      </w:pPr>
      <w:r w:rsidRPr="00D21F7C">
        <w:rPr>
          <w:rFonts w:ascii="Times New Roman" w:eastAsia="Times New Roman" w:hAnsi="Times New Roman" w:cs="Times New Roman"/>
          <w:kern w:val="0"/>
          <w:sz w:val="20"/>
          <w:szCs w:val="20"/>
          <w:lang w:eastAsia="de-DE"/>
        </w:rPr>
        <w:t>For recombinant protein expression the pGEMEX-1 expression plasmid and the pGEX-6p2 were used for Gal-1 and its mutant variants Gal-1</w:t>
      </w:r>
      <w:r w:rsidRPr="00D21F7C">
        <w:rPr>
          <w:rFonts w:ascii="Times New Roman" w:eastAsia="Times New Roman" w:hAnsi="Times New Roman" w:cs="Times New Roman"/>
          <w:kern w:val="0"/>
          <w:sz w:val="20"/>
          <w:szCs w:val="20"/>
          <w:vertAlign w:val="superscript"/>
          <w:lang w:eastAsia="de-DE"/>
        </w:rPr>
        <w:t>E71Q</w:t>
      </w:r>
      <w:r w:rsidRPr="00D21F7C">
        <w:rPr>
          <w:rFonts w:ascii="Times New Roman" w:eastAsia="Times New Roman" w:hAnsi="Times New Roman" w:cs="Times New Roman"/>
          <w:kern w:val="0"/>
          <w:sz w:val="20"/>
          <w:szCs w:val="20"/>
          <w:lang w:eastAsia="de-DE"/>
        </w:rPr>
        <w:t>, respectively. The pGEMEX-Gal-1 or the pGEX-Gal1</w:t>
      </w:r>
      <w:r w:rsidRPr="00D21F7C">
        <w:rPr>
          <w:rFonts w:ascii="Times New Roman" w:eastAsia="Times New Roman" w:hAnsi="Times New Roman" w:cs="Times New Roman"/>
          <w:kern w:val="0"/>
          <w:sz w:val="20"/>
          <w:szCs w:val="20"/>
          <w:vertAlign w:val="superscript"/>
          <w:lang w:eastAsia="de-DE"/>
        </w:rPr>
        <w:t>E71Q</w:t>
      </w:r>
      <w:r w:rsidRPr="00D21F7C">
        <w:rPr>
          <w:rFonts w:ascii="Times New Roman" w:eastAsia="Times New Roman" w:hAnsi="Times New Roman" w:cs="Times New Roman"/>
          <w:kern w:val="0"/>
          <w:sz w:val="20"/>
          <w:szCs w:val="20"/>
          <w:lang w:eastAsia="de-DE"/>
        </w:rPr>
        <w:t xml:space="preserve"> plasmid was transformed into Escherichia coli BL21 (DE3)-pLysS (Promega) for recombinant production. Cells were grown in LB (Roth, Karlsruhe, Germany) medium containing the appropriate antibiotic for 16 h at 37 °C and then transferred to TB (Roth) medium. After initial growth for 2-3 h at 37 °C up to an OD600nm of 0.6-0.8, gene expression was induced using 100 µM β-1-thio-D-galactopyranoside (IPTG), and bacteria were cultured at 37 °C (Gal-1) or 22°C (Gal-1</w:t>
      </w:r>
      <w:r w:rsidRPr="00D21F7C">
        <w:rPr>
          <w:rFonts w:ascii="Times New Roman" w:eastAsia="Times New Roman" w:hAnsi="Times New Roman" w:cs="Times New Roman"/>
          <w:kern w:val="0"/>
          <w:sz w:val="20"/>
          <w:szCs w:val="20"/>
          <w:vertAlign w:val="superscript"/>
          <w:lang w:eastAsia="de-DE"/>
        </w:rPr>
        <w:t>E71Q</w:t>
      </w:r>
      <w:r w:rsidRPr="00D21F7C">
        <w:rPr>
          <w:rFonts w:ascii="Times New Roman" w:eastAsia="Times New Roman" w:hAnsi="Times New Roman" w:cs="Times New Roman"/>
          <w:kern w:val="0"/>
          <w:sz w:val="20"/>
          <w:szCs w:val="20"/>
          <w:lang w:eastAsia="de-DE"/>
        </w:rPr>
        <w:t>) for additional 16 h. The protein was purified from bacterial extracts by affinity chromatography on lactosylated Sepharose 4B (Gal-1) or glutathione Sepharose (Gal-1</w:t>
      </w:r>
      <w:r w:rsidRPr="00D21F7C">
        <w:rPr>
          <w:rFonts w:ascii="Times New Roman" w:eastAsia="Times New Roman" w:hAnsi="Times New Roman" w:cs="Times New Roman"/>
          <w:kern w:val="0"/>
          <w:sz w:val="20"/>
          <w:szCs w:val="20"/>
          <w:vertAlign w:val="superscript"/>
          <w:lang w:eastAsia="de-DE"/>
        </w:rPr>
        <w:t>E71Q</w:t>
      </w:r>
      <w:r w:rsidRPr="00D21F7C">
        <w:rPr>
          <w:rFonts w:ascii="Times New Roman" w:eastAsia="Times New Roman" w:hAnsi="Times New Roman" w:cs="Times New Roman"/>
          <w:kern w:val="0"/>
          <w:sz w:val="20"/>
          <w:szCs w:val="20"/>
          <w:lang w:eastAsia="de-DE"/>
        </w:rPr>
        <w:t xml:space="preserve">, Cytiva, Dreieich, Germany) as described before </w:t>
      </w:r>
      <w:r w:rsidRPr="00D21F7C">
        <w:rPr>
          <w:rFonts w:ascii="Times New Roman" w:eastAsia="Times New Roman" w:hAnsi="Times New Roman" w:cs="Times New Roman"/>
          <w:noProof/>
          <w:kern w:val="0"/>
          <w:sz w:val="20"/>
          <w:szCs w:val="20"/>
          <w:lang w:eastAsia="de-DE"/>
        </w:rPr>
        <w:t>[1]</w:t>
      </w:r>
      <w:r w:rsidRPr="00D21F7C">
        <w:rPr>
          <w:rFonts w:ascii="Times New Roman" w:eastAsia="Times New Roman" w:hAnsi="Times New Roman" w:cs="Times New Roman"/>
          <w:kern w:val="0"/>
          <w:sz w:val="20"/>
          <w:szCs w:val="20"/>
          <w:lang w:eastAsia="de-DE"/>
        </w:rPr>
        <w:t xml:space="preserve">. After chromatographic purification the buffer was exchanged to 10 mM PBS pH 7.2 via PD10 columns (Cytiva, Dreieich, Germany). Purity was ascertained by one-dimensional gel electrophoresis under denaturing conditions. </w:t>
      </w:r>
    </w:p>
    <w:p w14:paraId="3D8D9F6A" w14:textId="77777777" w:rsidR="005E423A" w:rsidRPr="00D21F7C" w:rsidRDefault="005E423A" w:rsidP="00D44875">
      <w:pPr>
        <w:spacing w:before="240" w:line="360" w:lineRule="auto"/>
        <w:rPr>
          <w:rFonts w:ascii="Times New Roman" w:hAnsi="Times New Roman" w:cs="Times New Roman"/>
          <w:b/>
          <w:sz w:val="20"/>
          <w:szCs w:val="20"/>
        </w:rPr>
      </w:pPr>
      <w:r w:rsidRPr="00D21F7C">
        <w:rPr>
          <w:rFonts w:ascii="Times New Roman" w:hAnsi="Times New Roman" w:cs="Times New Roman"/>
          <w:b/>
          <w:sz w:val="20"/>
          <w:szCs w:val="20"/>
        </w:rPr>
        <w:t>Multiplex immunoassays</w:t>
      </w:r>
    </w:p>
    <w:p w14:paraId="7D2983EA" w14:textId="77777777" w:rsidR="005E423A" w:rsidRPr="00D21F7C" w:rsidRDefault="005E423A" w:rsidP="00D44875">
      <w:pPr>
        <w:spacing w:line="360" w:lineRule="auto"/>
        <w:rPr>
          <w:rFonts w:ascii="Times New Roman" w:hAnsi="Times New Roman" w:cs="Times New Roman"/>
          <w:sz w:val="20"/>
          <w:szCs w:val="20"/>
        </w:rPr>
      </w:pPr>
      <w:r w:rsidRPr="00D21F7C">
        <w:rPr>
          <w:rFonts w:ascii="Times New Roman" w:hAnsi="Times New Roman" w:cs="Times New Roman"/>
          <w:sz w:val="20"/>
          <w:szCs w:val="20"/>
        </w:rPr>
        <w:t>The ProcartaPlex™ Mouse Cytokine Kit (Invitrogen™, EPX170-26087-901) was used to quantify cytokines in plasma according to the manufacturer’s protocol. Cytokine levels were measured using the Luminex™ xMAP platform, and data were analyzed with ProcartaPlex™ Analyst software (Thermo Fisher Scientific).</w:t>
      </w:r>
    </w:p>
    <w:p w14:paraId="3CB6A31E" w14:textId="77777777" w:rsidR="005E423A" w:rsidRPr="00D21F7C" w:rsidRDefault="005E423A" w:rsidP="00D44875">
      <w:pPr>
        <w:spacing w:before="240" w:line="360" w:lineRule="auto"/>
        <w:rPr>
          <w:rFonts w:ascii="Times New Roman" w:hAnsi="Times New Roman" w:cs="Times New Roman"/>
          <w:b/>
          <w:sz w:val="20"/>
          <w:szCs w:val="20"/>
        </w:rPr>
      </w:pPr>
      <w:r w:rsidRPr="00D21F7C">
        <w:rPr>
          <w:rFonts w:ascii="Times New Roman" w:hAnsi="Times New Roman" w:cs="Times New Roman"/>
          <w:b/>
          <w:sz w:val="20"/>
          <w:szCs w:val="20"/>
        </w:rPr>
        <w:t>In vitro CD4+ T cell differentiation</w:t>
      </w:r>
    </w:p>
    <w:p w14:paraId="459C7A28" w14:textId="77777777" w:rsidR="005E423A" w:rsidRPr="00D21F7C" w:rsidRDefault="005E423A" w:rsidP="00D44875">
      <w:pPr>
        <w:spacing w:line="360" w:lineRule="auto"/>
        <w:rPr>
          <w:rFonts w:ascii="Times New Roman" w:hAnsi="Times New Roman" w:cs="Times New Roman"/>
          <w:sz w:val="20"/>
          <w:szCs w:val="20"/>
        </w:rPr>
      </w:pPr>
      <w:r w:rsidRPr="00D21F7C">
        <w:rPr>
          <w:rFonts w:ascii="Times New Roman" w:hAnsi="Times New Roman" w:cs="Times New Roman"/>
          <w:sz w:val="20"/>
          <w:szCs w:val="20"/>
        </w:rPr>
        <w:t>Untouched CD4</w:t>
      </w:r>
      <w:r w:rsidRPr="00D21F7C">
        <w:rPr>
          <w:rFonts w:ascii="Times New Roman" w:hAnsi="Times New Roman" w:cs="Times New Roman"/>
          <w:sz w:val="20"/>
          <w:szCs w:val="20"/>
          <w:vertAlign w:val="superscript"/>
        </w:rPr>
        <w:t>+</w:t>
      </w:r>
      <w:r w:rsidRPr="00D21F7C">
        <w:rPr>
          <w:rFonts w:ascii="Times New Roman" w:hAnsi="Times New Roman" w:cs="Times New Roman"/>
          <w:sz w:val="20"/>
          <w:szCs w:val="20"/>
        </w:rPr>
        <w:t xml:space="preserve"> T cells were isolated from the spleen of </w:t>
      </w:r>
      <w:r w:rsidRPr="00D21F7C">
        <w:rPr>
          <w:rFonts w:ascii="Times New Roman" w:hAnsi="Times New Roman" w:cs="Times New Roman"/>
          <w:i/>
          <w:iCs/>
          <w:sz w:val="20"/>
          <w:szCs w:val="20"/>
        </w:rPr>
        <w:t>Apoe</w:t>
      </w:r>
      <w:r w:rsidRPr="00D21F7C">
        <w:rPr>
          <w:rFonts w:ascii="Times New Roman" w:hAnsi="Times New Roman" w:cs="Times New Roman"/>
          <w:sz w:val="20"/>
          <w:szCs w:val="20"/>
          <w:vertAlign w:val="superscript"/>
        </w:rPr>
        <w:t>-/-</w:t>
      </w:r>
      <w:r w:rsidRPr="00D21F7C">
        <w:rPr>
          <w:rFonts w:ascii="Times New Roman" w:hAnsi="Times New Roman" w:cs="Times New Roman"/>
          <w:sz w:val="20"/>
          <w:szCs w:val="20"/>
        </w:rPr>
        <w:t xml:space="preserve"> mice by depleting non-target cells using magnetic beads (Miltenyi Biotec) and seeded at 1 × 10</w:t>
      </w:r>
      <w:r w:rsidRPr="00D21F7C">
        <w:rPr>
          <w:rFonts w:ascii="Times New Roman" w:hAnsi="Times New Roman" w:cs="Times New Roman"/>
          <w:sz w:val="20"/>
          <w:szCs w:val="20"/>
          <w:vertAlign w:val="superscript"/>
        </w:rPr>
        <w:t>5</w:t>
      </w:r>
      <w:r w:rsidRPr="00D21F7C">
        <w:rPr>
          <w:rFonts w:ascii="Times New Roman" w:hAnsi="Times New Roman" w:cs="Times New Roman"/>
          <w:sz w:val="20"/>
          <w:szCs w:val="20"/>
        </w:rPr>
        <w:t xml:space="preserve"> cells/well. Cells were stimulated with Dynabeads™ Mouse T-Activator CD3/CD28 (Invitrogen) at a 1:1 bead-to-cell ratio, with or without 50 nM Gal-1, in RPMI-1640 medium supplemented with 10% FBS, 2 mM L-glutamine, 1% Penicillin/Streptomycin, 10 mM HEPES, 1% MEM non-essential amino acids, 1 mM sodium pyruvate, and 50 µM beta-mercaptoethanol (all Gibco). After three days, supernatants were collected for IL-17 and IL-10 measurement (DuoSet ELISA, R&amp;D Systems), and cell pellets were analyzed by flow cytometry following bead removal.</w:t>
      </w:r>
    </w:p>
    <w:p w14:paraId="1F073C95" w14:textId="77777777" w:rsidR="005E423A" w:rsidRPr="00D21F7C" w:rsidRDefault="005E423A" w:rsidP="00D44875">
      <w:pPr>
        <w:spacing w:before="240" w:line="360" w:lineRule="auto"/>
        <w:rPr>
          <w:rFonts w:ascii="Times New Roman" w:hAnsi="Times New Roman" w:cs="Times New Roman"/>
          <w:b/>
          <w:sz w:val="20"/>
          <w:szCs w:val="20"/>
        </w:rPr>
      </w:pPr>
      <w:r w:rsidRPr="00D21F7C">
        <w:rPr>
          <w:rFonts w:ascii="Times New Roman" w:hAnsi="Times New Roman" w:cs="Times New Roman"/>
          <w:b/>
          <w:sz w:val="20"/>
          <w:szCs w:val="20"/>
        </w:rPr>
        <w:t>Histology and immunofluorescence</w:t>
      </w:r>
    </w:p>
    <w:p w14:paraId="73ABD0C1" w14:textId="77777777" w:rsidR="005E423A" w:rsidRPr="00D21F7C" w:rsidRDefault="005E423A" w:rsidP="00D44875">
      <w:pPr>
        <w:widowControl/>
        <w:spacing w:line="360" w:lineRule="auto"/>
        <w:rPr>
          <w:rFonts w:ascii="Times New Roman" w:eastAsia="Times New Roman" w:hAnsi="Times New Roman" w:cs="Times New Roman"/>
          <w:kern w:val="0"/>
          <w:sz w:val="20"/>
          <w:szCs w:val="20"/>
          <w:lang w:eastAsia="de-DE"/>
        </w:rPr>
      </w:pPr>
      <w:r w:rsidRPr="00D21F7C">
        <w:rPr>
          <w:rFonts w:ascii="Times New Roman" w:eastAsia="Times New Roman" w:hAnsi="Times New Roman" w:cs="Times New Roman"/>
          <w:kern w:val="0"/>
          <w:sz w:val="20"/>
          <w:szCs w:val="20"/>
          <w:lang w:eastAsia="de-DE"/>
        </w:rPr>
        <w:t xml:space="preserve">Hearts, including the aortic roots and aortic arches with the main branch points (brachiocephalic artery, left subclavian artery, and left common carotid artery), were dissected and fixed in 4% paraformaldehyde (PFA). After fixation, samples were embedded in paraffin and sectioned at 4 µm thickness. Slides were deparaffinized and stained using an Elastin/van Gieson (EVG) staining kit (Morphisto, 12739) to assess lesion size and necrotic core. </w:t>
      </w:r>
    </w:p>
    <w:p w14:paraId="217477E6" w14:textId="77777777" w:rsidR="005E423A" w:rsidRPr="00D21F7C" w:rsidRDefault="005E423A" w:rsidP="00D44875">
      <w:pPr>
        <w:widowControl/>
        <w:spacing w:line="360" w:lineRule="auto"/>
        <w:rPr>
          <w:rFonts w:ascii="Times New Roman" w:hAnsi="Times New Roman" w:cs="Times New Roman"/>
          <w:kern w:val="0"/>
          <w:sz w:val="20"/>
          <w:szCs w:val="20"/>
        </w:rPr>
      </w:pPr>
      <w:r w:rsidRPr="00D21F7C">
        <w:rPr>
          <w:rFonts w:ascii="Times New Roman" w:hAnsi="Times New Roman" w:cs="Times New Roman"/>
          <w:kern w:val="0"/>
          <w:sz w:val="20"/>
          <w:szCs w:val="20"/>
        </w:rPr>
        <w:t xml:space="preserve">Fibrous cap was defined as the eosinophilic layer overlaying the necrotic core of the plaque. Ten equally dispersed measurements of cap thickness were taken from the most vulnerable necrotic core of each plaque section, and the averages were calculated for each mouse. </w:t>
      </w:r>
      <w:r w:rsidRPr="00D21F7C">
        <w:rPr>
          <w:rFonts w:ascii="Times New Roman" w:eastAsia="Times New Roman" w:hAnsi="Times New Roman" w:cs="Times New Roman"/>
          <w:kern w:val="0"/>
          <w:sz w:val="20"/>
          <w:szCs w:val="20"/>
          <w:lang w:eastAsia="de-DE"/>
        </w:rPr>
        <w:t xml:space="preserve">For the aortic roots, serial sections from the proximal to distal portions were used to evaluate plaque formation. Lesion size in the aortic arches was quantified after EVG staining of 4 µm transverse sections, and averages were calculated from 3-4 sections. Plaque collagen content was evaluated using Picro Sirius Red staining (Sigma-Aldrich, P6744-1GA), with averages calculated from 3 sections. Neutral lipid accumulation in the liver was assessed using Oil-Red-O (ORO) staining on cryosections. Liver tissue was </w:t>
      </w:r>
      <w:r w:rsidRPr="00D21F7C">
        <w:rPr>
          <w:rFonts w:ascii="Times New Roman" w:eastAsia="Times New Roman" w:hAnsi="Times New Roman" w:cs="Times New Roman"/>
          <w:kern w:val="0"/>
          <w:sz w:val="20"/>
          <w:szCs w:val="20"/>
          <w:lang w:eastAsia="de-DE"/>
        </w:rPr>
        <w:lastRenderedPageBreak/>
        <w:t>embedded in Tissue-Tek O.C.T. compound (Sakura) for cryosectioning. ORO-positive areas were quantified in 6 µm sections, and averages were calculated from 3 sections.</w:t>
      </w:r>
    </w:p>
    <w:p w14:paraId="0C2868BB" w14:textId="5839FEDB" w:rsidR="005E423A" w:rsidRPr="00D21F7C" w:rsidRDefault="005E423A" w:rsidP="00D44875">
      <w:pPr>
        <w:widowControl/>
        <w:spacing w:before="100" w:beforeAutospacing="1" w:after="100" w:afterAutospacing="1" w:line="360" w:lineRule="auto"/>
        <w:rPr>
          <w:rFonts w:ascii="Times New Roman" w:eastAsia="Times New Roman" w:hAnsi="Times New Roman" w:cs="Times New Roman"/>
          <w:kern w:val="0"/>
          <w:sz w:val="20"/>
          <w:szCs w:val="20"/>
          <w:lang w:eastAsia="de-DE"/>
        </w:rPr>
      </w:pPr>
      <w:r w:rsidRPr="00D21F7C">
        <w:rPr>
          <w:rFonts w:ascii="Times New Roman" w:eastAsia="Times New Roman" w:hAnsi="Times New Roman" w:cs="Times New Roman"/>
          <w:kern w:val="0"/>
          <w:sz w:val="20"/>
          <w:szCs w:val="20"/>
          <w:lang w:eastAsia="de-DE"/>
        </w:rPr>
        <w:t>For immunofluorescence staining, aortic root sections were dewaxed and rehydrated, followed by antigen retrieval and blocking with either 10% goat serum or 5% BSA. Sections were incubated overnight at 4 °C with primary antibodies against Mac-2, CD206, CD3, and perilipin-2. After washing, sections were incubated with secondary antibodies conjugated with 4’,6-diamidino-2-phenylindole (DAPI) for nuclear staining in the dark for 1 hour at room temperature (</w:t>
      </w:r>
      <w:r w:rsidRPr="00D21F7C">
        <w:rPr>
          <w:rFonts w:ascii="Times New Roman" w:eastAsia="Times New Roman" w:hAnsi="Times New Roman" w:cs="Times New Roman"/>
          <w:b/>
          <w:kern w:val="0"/>
          <w:sz w:val="20"/>
          <w:szCs w:val="20"/>
          <w:lang w:eastAsia="de-DE"/>
        </w:rPr>
        <w:t>antibodies listed in Major Resources table S1</w:t>
      </w:r>
      <w:r w:rsidRPr="00D21F7C">
        <w:rPr>
          <w:rFonts w:ascii="Times New Roman" w:eastAsia="Times New Roman" w:hAnsi="Times New Roman" w:cs="Times New Roman"/>
          <w:kern w:val="0"/>
          <w:sz w:val="20"/>
          <w:szCs w:val="20"/>
          <w:lang w:eastAsia="de-DE"/>
        </w:rPr>
        <w:t>). Slides were washed and mounted with DAKO fluorescence mounting medium (S3023, Agilent) for microscopy.</w:t>
      </w:r>
    </w:p>
    <w:p w14:paraId="05468DED" w14:textId="77777777" w:rsidR="005E423A" w:rsidRPr="00D21F7C" w:rsidRDefault="005E423A" w:rsidP="00D44875">
      <w:pPr>
        <w:widowControl/>
        <w:spacing w:before="100" w:beforeAutospacing="1" w:after="100" w:afterAutospacing="1" w:line="360" w:lineRule="auto"/>
        <w:rPr>
          <w:rFonts w:ascii="Times New Roman" w:eastAsia="Times New Roman" w:hAnsi="Times New Roman" w:cs="Times New Roman"/>
          <w:kern w:val="0"/>
          <w:sz w:val="20"/>
          <w:szCs w:val="20"/>
          <w:lang w:eastAsia="de-DE"/>
        </w:rPr>
      </w:pPr>
      <w:r w:rsidRPr="00D21F7C">
        <w:rPr>
          <w:rFonts w:ascii="Times New Roman" w:eastAsia="Times New Roman" w:hAnsi="Times New Roman" w:cs="Times New Roman"/>
          <w:kern w:val="0"/>
          <w:sz w:val="20"/>
          <w:szCs w:val="20"/>
          <w:lang w:eastAsia="de-DE"/>
        </w:rPr>
        <w:t>Digital images were captured using a Leica microscope (Leica, Germany). Image analysis was performed in a blinded manner using Leica Application Suite LAS V4.3 software and ImageJ software. For each marker, 3 to 5 cross-sections per mouse were quantified, and the average was calculated.</w:t>
      </w:r>
    </w:p>
    <w:p w14:paraId="7EBF7537" w14:textId="77777777" w:rsidR="005E423A" w:rsidRPr="00D21F7C" w:rsidRDefault="005E423A" w:rsidP="00D44875">
      <w:pPr>
        <w:spacing w:line="360" w:lineRule="auto"/>
        <w:rPr>
          <w:rFonts w:ascii="Times New Roman" w:hAnsi="Times New Roman" w:cs="Times New Roman"/>
          <w:sz w:val="20"/>
          <w:szCs w:val="20"/>
        </w:rPr>
      </w:pPr>
      <w:r w:rsidRPr="00D21F7C">
        <w:rPr>
          <w:rFonts w:ascii="Times New Roman" w:hAnsi="Times New Roman" w:cs="Times New Roman"/>
          <w:b/>
          <w:sz w:val="20"/>
          <w:szCs w:val="20"/>
        </w:rPr>
        <w:t xml:space="preserve">Flow cytometry </w:t>
      </w:r>
    </w:p>
    <w:p w14:paraId="1200C10F" w14:textId="77777777" w:rsidR="005E423A" w:rsidRPr="00D21F7C" w:rsidRDefault="005E423A" w:rsidP="00D44875">
      <w:pPr>
        <w:widowControl/>
        <w:spacing w:line="360" w:lineRule="auto"/>
        <w:rPr>
          <w:rFonts w:ascii="Times New Roman" w:hAnsi="Times New Roman" w:cs="Times New Roman"/>
          <w:sz w:val="20"/>
          <w:szCs w:val="20"/>
        </w:rPr>
      </w:pPr>
      <w:r w:rsidRPr="00D21F7C">
        <w:rPr>
          <w:rFonts w:ascii="Times New Roman" w:hAnsi="Times New Roman" w:cs="Times New Roman"/>
          <w:sz w:val="20"/>
          <w:szCs w:val="20"/>
        </w:rPr>
        <w:t>Blood was collected from the posterior orbital vein into citrate tubes, and inguinal lymph nodes, bones, and spleen were harvested in PBS and kept on ice. The spleen and lymph nodes were mechanically mashed using a 50 µm cell strainer (Cell-Trics, Partec) with FACS buffer (2% FBS in PBS), and bone marrow cells were flushed out. The cell pellets from the spleen, bone marrow, peritoneal lavage, and blood were lysed with ACK buffer (0.15 mM NH</w:t>
      </w:r>
      <w:r w:rsidRPr="00D21F7C">
        <w:rPr>
          <w:rFonts w:ascii="Times New Roman" w:hAnsi="Times New Roman" w:cs="Times New Roman"/>
          <w:sz w:val="20"/>
          <w:szCs w:val="20"/>
          <w:vertAlign w:val="subscript"/>
        </w:rPr>
        <w:t>4</w:t>
      </w:r>
      <w:r w:rsidRPr="00D21F7C">
        <w:rPr>
          <w:rFonts w:ascii="Times New Roman" w:hAnsi="Times New Roman" w:cs="Times New Roman"/>
          <w:sz w:val="20"/>
          <w:szCs w:val="20"/>
        </w:rPr>
        <w:t>Cl, 1mM KHCO</w:t>
      </w:r>
      <w:r w:rsidRPr="00D21F7C">
        <w:rPr>
          <w:rFonts w:ascii="Times New Roman" w:hAnsi="Times New Roman" w:cs="Times New Roman"/>
          <w:sz w:val="20"/>
          <w:szCs w:val="20"/>
          <w:vertAlign w:val="subscript"/>
        </w:rPr>
        <w:t>3</w:t>
      </w:r>
      <w:r w:rsidRPr="00D21F7C">
        <w:rPr>
          <w:rFonts w:ascii="Times New Roman" w:hAnsi="Times New Roman" w:cs="Times New Roman"/>
          <w:sz w:val="20"/>
          <w:szCs w:val="20"/>
        </w:rPr>
        <w:t>, 0.1 mM Na</w:t>
      </w:r>
      <w:r w:rsidRPr="00D21F7C">
        <w:rPr>
          <w:rFonts w:ascii="Times New Roman" w:hAnsi="Times New Roman" w:cs="Times New Roman"/>
          <w:sz w:val="20"/>
          <w:szCs w:val="20"/>
          <w:vertAlign w:val="subscript"/>
        </w:rPr>
        <w:t>2</w:t>
      </w:r>
      <w:r w:rsidRPr="00D21F7C">
        <w:rPr>
          <w:rFonts w:ascii="Times New Roman" w:hAnsi="Times New Roman" w:cs="Times New Roman"/>
          <w:sz w:val="20"/>
          <w:szCs w:val="20"/>
        </w:rPr>
        <w:t>EDTA, pH 7.2-7.4) to eliminate red blood cells. The remaining cell suspensions were stained with live/dead fixable viability dyes (Invitrogen) for 10 minutes, followed by Fc blocker (anti-CD16/CD32, 1:200, Biolegend) for 10 minutes. After a wash with FACS buffer, the cells were stained with surface antibodies (</w:t>
      </w:r>
      <w:r w:rsidRPr="00D21F7C">
        <w:rPr>
          <w:rFonts w:ascii="Times New Roman" w:eastAsia="Times New Roman" w:hAnsi="Times New Roman" w:cs="Times New Roman"/>
          <w:b/>
          <w:kern w:val="0"/>
          <w:sz w:val="20"/>
          <w:szCs w:val="20"/>
          <w:lang w:eastAsia="de-DE"/>
        </w:rPr>
        <w:t>Major Resources table S2</w:t>
      </w:r>
      <w:r w:rsidRPr="00D21F7C">
        <w:rPr>
          <w:rFonts w:ascii="Times New Roman" w:hAnsi="Times New Roman" w:cs="Times New Roman"/>
          <w:sz w:val="20"/>
          <w:szCs w:val="20"/>
        </w:rPr>
        <w:t>) for 45 minutes in the dark at 4 °C. Peritoneal lavage samples were analyzed using a BD FACSAria III Cell Sorter (BD Biosciences) to isolate inflammatory peritoneal macrophages (CD45</w:t>
      </w:r>
      <w:r w:rsidRPr="00D21F7C">
        <w:rPr>
          <w:rFonts w:ascii="Times New Roman" w:hAnsi="Times New Roman" w:cs="Times New Roman"/>
          <w:sz w:val="20"/>
          <w:szCs w:val="20"/>
          <w:vertAlign w:val="superscript"/>
        </w:rPr>
        <w:t>+</w:t>
      </w:r>
      <w:r w:rsidRPr="00D21F7C">
        <w:rPr>
          <w:rFonts w:ascii="Times New Roman" w:hAnsi="Times New Roman" w:cs="Times New Roman"/>
          <w:sz w:val="20"/>
          <w:szCs w:val="20"/>
        </w:rPr>
        <w:t>CD11b</w:t>
      </w:r>
      <w:r w:rsidRPr="00D21F7C">
        <w:rPr>
          <w:rFonts w:ascii="Times New Roman" w:hAnsi="Times New Roman" w:cs="Times New Roman"/>
          <w:sz w:val="20"/>
          <w:szCs w:val="20"/>
          <w:vertAlign w:val="superscript"/>
        </w:rPr>
        <w:t>+</w:t>
      </w:r>
      <w:r w:rsidRPr="00D21F7C">
        <w:rPr>
          <w:rFonts w:ascii="Times New Roman" w:hAnsi="Times New Roman" w:cs="Times New Roman"/>
          <w:sz w:val="20"/>
          <w:szCs w:val="20"/>
        </w:rPr>
        <w:t>F4/80</w:t>
      </w:r>
      <w:r w:rsidRPr="00D21F7C">
        <w:rPr>
          <w:rFonts w:ascii="Times New Roman" w:hAnsi="Times New Roman" w:cs="Times New Roman"/>
          <w:sz w:val="20"/>
          <w:szCs w:val="20"/>
          <w:vertAlign w:val="superscript"/>
        </w:rPr>
        <w:t>+</w:t>
      </w:r>
      <w:r w:rsidRPr="00D21F7C">
        <w:rPr>
          <w:rFonts w:ascii="Times New Roman" w:hAnsi="Times New Roman" w:cs="Times New Roman"/>
          <w:sz w:val="20"/>
          <w:szCs w:val="20"/>
        </w:rPr>
        <w:t>MHC-II</w:t>
      </w:r>
      <w:r w:rsidRPr="00D21F7C">
        <w:rPr>
          <w:rFonts w:ascii="Times New Roman" w:hAnsi="Times New Roman" w:cs="Times New Roman"/>
          <w:sz w:val="20"/>
          <w:szCs w:val="20"/>
          <w:vertAlign w:val="superscript"/>
        </w:rPr>
        <w:t>+</w:t>
      </w:r>
      <w:r w:rsidRPr="00D21F7C">
        <w:rPr>
          <w:rFonts w:ascii="Times New Roman" w:hAnsi="Times New Roman" w:cs="Times New Roman"/>
          <w:sz w:val="20"/>
          <w:szCs w:val="20"/>
        </w:rPr>
        <w:t>). Sorted cells were stored in RLT buffer (Qiagen) with 1% beta-mercaptoethanol at -80 °C.</w:t>
      </w:r>
    </w:p>
    <w:p w14:paraId="41FB1C83" w14:textId="77777777" w:rsidR="005E423A" w:rsidRPr="00D21F7C" w:rsidRDefault="005E423A" w:rsidP="00D44875">
      <w:pPr>
        <w:widowControl/>
        <w:spacing w:before="240" w:line="360" w:lineRule="auto"/>
        <w:rPr>
          <w:rFonts w:ascii="Times New Roman" w:hAnsi="Times New Roman" w:cs="Times New Roman"/>
          <w:sz w:val="20"/>
          <w:szCs w:val="20"/>
        </w:rPr>
      </w:pPr>
      <w:r w:rsidRPr="00D21F7C">
        <w:rPr>
          <w:rFonts w:ascii="Times New Roman" w:hAnsi="Times New Roman" w:cs="Times New Roman"/>
          <w:sz w:val="20"/>
          <w:szCs w:val="20"/>
        </w:rPr>
        <w:t>For intracellular staining, cells were permeabilized using the permeabilization buffer (eBioscience, 00-5521-00) according to the manufacturer’s instructions before antibody staining. Apoptosis was analyzed using the Apoptosis Detection Kit (Biolegend, 640934).</w:t>
      </w:r>
    </w:p>
    <w:p w14:paraId="5981B30B" w14:textId="77777777" w:rsidR="005E423A" w:rsidRPr="00D21F7C" w:rsidRDefault="005E423A" w:rsidP="00D44875">
      <w:pPr>
        <w:widowControl/>
        <w:spacing w:before="240" w:line="360" w:lineRule="auto"/>
        <w:rPr>
          <w:rFonts w:ascii="Times New Roman" w:hAnsi="Times New Roman" w:cs="Times New Roman"/>
          <w:sz w:val="20"/>
          <w:szCs w:val="20"/>
        </w:rPr>
      </w:pPr>
      <w:r w:rsidRPr="00D21F7C">
        <w:rPr>
          <w:rFonts w:ascii="Times New Roman" w:hAnsi="Times New Roman" w:cs="Times New Roman"/>
          <w:sz w:val="20"/>
          <w:szCs w:val="20"/>
        </w:rPr>
        <w:t>For intracellular cytokine staining (IL-10, INF-γ, IL-4, and IL-17), single-cell suspensions from blood, spleen, and lymph nodes were incubated with Cell Stimulation Cocktail (1:500 dilution, eBioscience) and Brefeldin A (1:1000 dilution, Biolegend) in 200 µL of T-cell culture medium (RPMI-1640 with 10% FBS, 2 mM L-glutamine, and 1% Penicillin/Streptomycin, all from Gibco by Life Technologies) for 5 hours at 37 °C. The cell suspensions were then washed with PBS, followed by Fc blocker incubation (anti-CD16/CD32, 1:200, Biolegend) for 10 minutes. Cells were stained with surface antibodies for 45 minutes in the dark at 4 °C. After a wash, live/dead staining was performed using Fixable Viability Dyes (Invitrogen) in the dark for 20 minutes at 4 °C. The cells were washed again, resuspended in FACS buffer, and analyzed by flow cytometry.</w:t>
      </w:r>
    </w:p>
    <w:p w14:paraId="5FBE8496" w14:textId="77777777" w:rsidR="005E423A" w:rsidRPr="00D21F7C" w:rsidRDefault="005E423A" w:rsidP="00D44875">
      <w:pPr>
        <w:widowControl/>
        <w:spacing w:before="240" w:line="360" w:lineRule="auto"/>
        <w:rPr>
          <w:rFonts w:ascii="Times New Roman" w:hAnsi="Times New Roman" w:cs="Times New Roman"/>
          <w:sz w:val="20"/>
          <w:szCs w:val="20"/>
        </w:rPr>
      </w:pPr>
      <w:r w:rsidRPr="00D21F7C">
        <w:rPr>
          <w:rFonts w:ascii="Times New Roman" w:hAnsi="Times New Roman" w:cs="Times New Roman"/>
          <w:sz w:val="20"/>
          <w:szCs w:val="20"/>
        </w:rPr>
        <w:t>For intracellular lipid measurement in peritoneal macrophages, isolated cells were fixed with 2% PFA at room temperature for 20 minutes, washed with PBS, and stained with 10 µM BODIPY™ 493/503 (Invitrogen) at room temperature for 30 minutes. After washing, cells were analyzed by flow cytometry.</w:t>
      </w:r>
    </w:p>
    <w:p w14:paraId="2AF1554C" w14:textId="77777777" w:rsidR="005E423A" w:rsidRPr="00D21F7C" w:rsidRDefault="005E423A" w:rsidP="00D44875">
      <w:pPr>
        <w:widowControl/>
        <w:spacing w:before="240" w:line="360" w:lineRule="auto"/>
        <w:rPr>
          <w:rFonts w:ascii="Times New Roman" w:eastAsia="Times New Roman" w:hAnsi="Times New Roman" w:cs="Times New Roman"/>
          <w:kern w:val="0"/>
          <w:sz w:val="20"/>
          <w:szCs w:val="20"/>
          <w:lang w:eastAsia="de-DE"/>
        </w:rPr>
      </w:pPr>
      <w:r w:rsidRPr="00D21F7C">
        <w:rPr>
          <w:rFonts w:ascii="Times New Roman" w:hAnsi="Times New Roman" w:cs="Times New Roman"/>
          <w:sz w:val="20"/>
          <w:szCs w:val="20"/>
        </w:rPr>
        <w:lastRenderedPageBreak/>
        <w:t>Flow cytometry measurements were performed using a BD FACS Canto II (BD Biosciences) and BD LSRFortessa (BD Biosciences). Data were analyzed with FlowJo v10.6.2 software (Tree Star, Inc). Absolute cell counts were determined using CountBright absolute counting beads (Invitrogen, C36950).</w:t>
      </w:r>
    </w:p>
    <w:p w14:paraId="0762002E" w14:textId="77777777" w:rsidR="005E423A" w:rsidRPr="00D21F7C" w:rsidRDefault="005E423A" w:rsidP="00D44875">
      <w:pPr>
        <w:spacing w:before="240" w:line="360" w:lineRule="auto"/>
        <w:rPr>
          <w:rFonts w:ascii="Times New Roman" w:hAnsi="Times New Roman" w:cs="Times New Roman"/>
          <w:b/>
          <w:bCs/>
          <w:sz w:val="20"/>
          <w:szCs w:val="20"/>
        </w:rPr>
      </w:pPr>
      <w:r w:rsidRPr="00D21F7C">
        <w:rPr>
          <w:rFonts w:ascii="Times New Roman" w:hAnsi="Times New Roman" w:cs="Times New Roman"/>
          <w:b/>
          <w:bCs/>
          <w:sz w:val="20"/>
          <w:szCs w:val="20"/>
        </w:rPr>
        <w:t xml:space="preserve">Bone marrow-derived macrophage (BMDM) experiments </w:t>
      </w:r>
    </w:p>
    <w:p w14:paraId="55ADA7B2" w14:textId="77777777" w:rsidR="005E423A" w:rsidRPr="00D21F7C" w:rsidRDefault="005E423A" w:rsidP="00D44875">
      <w:pPr>
        <w:pStyle w:val="xmsonormal"/>
        <w:shd w:val="clear" w:color="auto" w:fill="FFFFFF"/>
        <w:spacing w:before="0" w:beforeAutospacing="0" w:after="0" w:afterAutospacing="0" w:line="360" w:lineRule="auto"/>
        <w:jc w:val="both"/>
        <w:rPr>
          <w:rFonts w:ascii="Times New Roman" w:hAnsi="Times New Roman" w:cs="Times New Roman"/>
          <w:color w:val="212121"/>
          <w:sz w:val="20"/>
          <w:szCs w:val="20"/>
        </w:rPr>
      </w:pPr>
      <w:r w:rsidRPr="00D21F7C">
        <w:rPr>
          <w:rFonts w:ascii="Times New Roman" w:hAnsi="Times New Roman" w:cs="Times New Roman"/>
          <w:color w:val="212121"/>
          <w:sz w:val="20"/>
          <w:szCs w:val="20"/>
        </w:rPr>
        <w:t>Bone marrow cells were flushed from the femur or tibia using cold PBS, and the total bone marrow progenitors were counted. The cells (1.5 x 10</w:t>
      </w:r>
      <w:r w:rsidRPr="00D21F7C">
        <w:rPr>
          <w:rFonts w:ascii="Times New Roman" w:hAnsi="Times New Roman" w:cs="Times New Roman"/>
          <w:color w:val="212121"/>
          <w:sz w:val="20"/>
          <w:szCs w:val="20"/>
          <w:vertAlign w:val="superscript"/>
        </w:rPr>
        <w:t>5</w:t>
      </w:r>
      <w:r w:rsidRPr="00D21F7C">
        <w:rPr>
          <w:rFonts w:ascii="Times New Roman" w:hAnsi="Times New Roman" w:cs="Times New Roman"/>
          <w:color w:val="212121"/>
          <w:sz w:val="20"/>
          <w:szCs w:val="20"/>
        </w:rPr>
        <w:t xml:space="preserve"> cells/mL) were then seeded into culture plates containing macrophage complete medium (DMEM/F12-10 medium, 10% FBS, 10% L929-conditioned medium, 50 µg/mL Gentamicin). On day 4, the medium was replaced with a 40% old medium and 60% fresh medium mixture, and the cells were cultured until day 7 to allow for differentiation into BMDMs.</w:t>
      </w:r>
    </w:p>
    <w:p w14:paraId="02074058" w14:textId="77777777" w:rsidR="005E423A" w:rsidRPr="00D21F7C" w:rsidRDefault="005E423A" w:rsidP="00D44875">
      <w:pPr>
        <w:pStyle w:val="xmsonormal"/>
        <w:shd w:val="clear" w:color="auto" w:fill="FFFFFF"/>
        <w:spacing w:before="240" w:beforeAutospacing="0" w:after="0" w:afterAutospacing="0" w:line="360" w:lineRule="auto"/>
        <w:jc w:val="both"/>
        <w:rPr>
          <w:rFonts w:ascii="Times New Roman" w:hAnsi="Times New Roman" w:cs="Times New Roman"/>
          <w:color w:val="212121"/>
          <w:sz w:val="20"/>
          <w:szCs w:val="20"/>
        </w:rPr>
      </w:pPr>
      <w:r w:rsidRPr="00D21F7C">
        <w:rPr>
          <w:rFonts w:ascii="Times New Roman" w:hAnsi="Times New Roman" w:cs="Times New Roman"/>
          <w:color w:val="212121"/>
          <w:sz w:val="20"/>
          <w:szCs w:val="20"/>
        </w:rPr>
        <w:t>For oxLDL uptake experiments, BMDMs (1 × 10</w:t>
      </w:r>
      <w:r w:rsidRPr="00D21F7C">
        <w:rPr>
          <w:rFonts w:ascii="Times New Roman" w:hAnsi="Times New Roman" w:cs="Times New Roman"/>
          <w:color w:val="212121"/>
          <w:sz w:val="20"/>
          <w:szCs w:val="20"/>
          <w:vertAlign w:val="superscript"/>
        </w:rPr>
        <w:t>5</w:t>
      </w:r>
      <w:r w:rsidRPr="00D21F7C">
        <w:rPr>
          <w:rFonts w:ascii="Times New Roman" w:hAnsi="Times New Roman" w:cs="Times New Roman"/>
          <w:color w:val="212121"/>
          <w:sz w:val="20"/>
          <w:szCs w:val="20"/>
        </w:rPr>
        <w:t xml:space="preserve"> cells/well) were seeded onto chamber slides (Ibidi, 80427) and incubated with 50 µg/mL oxLDL (Invitrogen™, L34357), with or without 100 nM Gal-1 for either 4 hours or 24 hours at 37 °C. After washing with cold PBS, intracellular oxLDL was stained with LipidSpot™ 610 (Biotium, 70069) for 20 minutes, fixed with 2% PFA for 15 minutes. Confocal microscopy was used to capture five random fields per sample, ensuring consistent cell density across samples. The average area of LipidSpot-positive staining was analyzed using ImageJ. Polarization of BMDMs was assessed by flow cytometry.</w:t>
      </w:r>
    </w:p>
    <w:p w14:paraId="6B3C19ED" w14:textId="77777777" w:rsidR="005E423A" w:rsidRPr="00D21F7C" w:rsidRDefault="005E423A" w:rsidP="00D44875">
      <w:pPr>
        <w:spacing w:before="240" w:line="360" w:lineRule="auto"/>
        <w:rPr>
          <w:rFonts w:ascii="Times New Roman" w:hAnsi="Times New Roman" w:cs="Times New Roman"/>
          <w:b/>
          <w:sz w:val="20"/>
          <w:szCs w:val="20"/>
        </w:rPr>
      </w:pPr>
      <w:r w:rsidRPr="00D21F7C">
        <w:rPr>
          <w:rFonts w:ascii="Times New Roman" w:hAnsi="Times New Roman" w:cs="Times New Roman"/>
          <w:b/>
          <w:sz w:val="20"/>
          <w:szCs w:val="20"/>
        </w:rPr>
        <w:t>Extracellular flux analysis</w:t>
      </w:r>
    </w:p>
    <w:p w14:paraId="7BBB8E82" w14:textId="77777777" w:rsidR="005E423A" w:rsidRPr="00D21F7C" w:rsidRDefault="005E423A" w:rsidP="00D44875">
      <w:pPr>
        <w:pStyle w:val="xmsonormal"/>
        <w:shd w:val="clear" w:color="auto" w:fill="FFFFFF"/>
        <w:spacing w:before="0" w:beforeAutospacing="0" w:after="0" w:afterAutospacing="0" w:line="360" w:lineRule="auto"/>
        <w:jc w:val="both"/>
        <w:rPr>
          <w:rFonts w:ascii="Times New Roman" w:hAnsi="Times New Roman" w:cs="Times New Roman"/>
          <w:color w:val="212121"/>
          <w:sz w:val="20"/>
          <w:szCs w:val="20"/>
        </w:rPr>
      </w:pPr>
      <w:r w:rsidRPr="00D21F7C">
        <w:rPr>
          <w:rFonts w:ascii="Times New Roman" w:hAnsi="Times New Roman" w:cs="Times New Roman"/>
          <w:color w:val="212121"/>
          <w:sz w:val="20"/>
          <w:szCs w:val="20"/>
        </w:rPr>
        <w:t>Oxygen consumption rate (OCR) and extracellular acidification rate (ECAR) were measured using the Seahorse Cell Mito Stress and Glycolysis Stress Tests on an XF-24 Extracellular Flux Analyzer (Agilent). Briefly, BMDMs (1 × 10</w:t>
      </w:r>
      <w:r w:rsidRPr="00D21F7C">
        <w:rPr>
          <w:rFonts w:ascii="Times New Roman" w:hAnsi="Times New Roman" w:cs="Times New Roman"/>
          <w:color w:val="212121"/>
          <w:sz w:val="20"/>
          <w:szCs w:val="20"/>
          <w:vertAlign w:val="superscript"/>
        </w:rPr>
        <w:t>5</w:t>
      </w:r>
      <w:r w:rsidRPr="00D21F7C">
        <w:rPr>
          <w:rFonts w:ascii="Times New Roman" w:hAnsi="Times New Roman" w:cs="Times New Roman"/>
          <w:color w:val="212121"/>
          <w:sz w:val="20"/>
          <w:szCs w:val="20"/>
        </w:rPr>
        <w:t xml:space="preserve"> cells/well) were seeded into 24-well seahorse cell culture plate after 7 days of differentiation.</w:t>
      </w:r>
      <w:r w:rsidRPr="00D21F7C">
        <w:rPr>
          <w:rFonts w:ascii="Times New Roman" w:hAnsi="Times New Roman" w:cs="Times New Roman"/>
          <w:sz w:val="20"/>
          <w:szCs w:val="20"/>
        </w:rPr>
        <w:t xml:space="preserve"> </w:t>
      </w:r>
      <w:r w:rsidRPr="00D21F7C">
        <w:rPr>
          <w:rFonts w:ascii="Times New Roman" w:hAnsi="Times New Roman" w:cs="Times New Roman"/>
          <w:color w:val="212121"/>
          <w:sz w:val="20"/>
          <w:szCs w:val="20"/>
        </w:rPr>
        <w:t>Subsequently, the cells were treated with 100 nM Gal-1 alone or in combination with 50 µg/mL ox-LDL for 24 hours. Prior to measurement, the cells were treated and washed according to the manufacturer’s protocol. For Mito Stress Test, three replicates of data were obtained under basal conditions and on addition of oligomycin (1.5 µM), fluoro carbonyl cyanide phenylhydrazone (FCCP, 1.5 µM), and rotenone + antimycin A (Rtn/AA, 2.5 µM) (Sigma-Aldrich). For glycolysis test, three replicates of data were obtained under basal conditions and on addition of glucose (10 mM), oligomycin (1.5 µM), and 2-Deoxy-D-glucose (2-DG, 50 µM). After the measurement, cells were lysed, and protein concentrations were determined using the BCA Protein Assay Kit (Thermo Scientific™ 23225). All metabolic rates were normalized to total protein levels.</w:t>
      </w:r>
    </w:p>
    <w:p w14:paraId="65571A45" w14:textId="77777777" w:rsidR="005E423A" w:rsidRPr="00D21F7C" w:rsidRDefault="005E423A" w:rsidP="00D44875">
      <w:pPr>
        <w:pStyle w:val="xmsonormal"/>
        <w:shd w:val="clear" w:color="auto" w:fill="FFFFFF"/>
        <w:spacing w:before="240" w:beforeAutospacing="0" w:after="0" w:afterAutospacing="0" w:line="360" w:lineRule="auto"/>
        <w:jc w:val="both"/>
        <w:rPr>
          <w:rFonts w:ascii="Times New Roman" w:hAnsi="Times New Roman" w:cs="Times New Roman"/>
          <w:color w:val="212121"/>
          <w:sz w:val="20"/>
          <w:szCs w:val="20"/>
        </w:rPr>
      </w:pPr>
      <w:r w:rsidRPr="00D21F7C">
        <w:rPr>
          <w:rFonts w:ascii="Times New Roman" w:hAnsi="Times New Roman" w:cs="Times New Roman"/>
          <w:color w:val="212121"/>
          <w:sz w:val="20"/>
          <w:szCs w:val="20"/>
        </w:rPr>
        <w:t>For peritoneal foamy macrophage Mito Stress Test, peritoneal lavage was collected, and erythrocytes were removed by ACK buffer. B cells were then depleted using mouse CD19 MicroBeads Isolation Kit (Miltenyi Biotec), followed by neutrophil depletion with anti-mouse Ly6G Dynabeads™ (Thermo Fisher). Seahorse plates were pre-coated with Poly-D-Lysine (Sigma) (1:10 dilution) for 1 hour at RT, then rinsed and dried. After isolation, 1 × 10</w:t>
      </w:r>
      <w:r w:rsidRPr="00D21F7C">
        <w:rPr>
          <w:rFonts w:ascii="Times New Roman" w:hAnsi="Times New Roman" w:cs="Times New Roman"/>
          <w:color w:val="212121"/>
          <w:sz w:val="20"/>
          <w:szCs w:val="20"/>
          <w:vertAlign w:val="superscript"/>
        </w:rPr>
        <w:t>5</w:t>
      </w:r>
      <w:r w:rsidRPr="00D21F7C">
        <w:rPr>
          <w:rFonts w:ascii="Times New Roman" w:hAnsi="Times New Roman" w:cs="Times New Roman"/>
          <w:color w:val="212121"/>
          <w:sz w:val="20"/>
          <w:szCs w:val="20"/>
        </w:rPr>
        <w:t xml:space="preserve"> cells/well were seeded in 24-well Seahorse plates (Agilent) in RPMI-1640 (10% FBS, 2 mM L-glutamine, 1% Penicillin/Streptomycin) (all Gibco) and incubated for 4 hours at 37 °C prior to Seahorse measurements. Triplicates of data were taken under basal conditions and on addition of oligomycin (1.5 µM), FCCP (1.5 µM), and Rtn/AA (2.5 µM) (Sigma-Aldrich). After the readout, all metabolic rates were normalized to cell numbers.</w:t>
      </w:r>
    </w:p>
    <w:p w14:paraId="5997AB72" w14:textId="77777777" w:rsidR="005E423A" w:rsidRPr="00D21F7C" w:rsidRDefault="005E423A" w:rsidP="00D44875">
      <w:pPr>
        <w:spacing w:before="240" w:line="360" w:lineRule="auto"/>
        <w:rPr>
          <w:rFonts w:ascii="Times New Roman" w:hAnsi="Times New Roman" w:cs="Times New Roman"/>
          <w:b/>
          <w:sz w:val="20"/>
          <w:szCs w:val="20"/>
        </w:rPr>
      </w:pPr>
      <w:r w:rsidRPr="00D21F7C">
        <w:rPr>
          <w:rFonts w:ascii="Times New Roman" w:hAnsi="Times New Roman" w:cs="Times New Roman"/>
          <w:b/>
          <w:sz w:val="20"/>
          <w:szCs w:val="20"/>
        </w:rPr>
        <w:t>Gene expression analyses</w:t>
      </w:r>
    </w:p>
    <w:p w14:paraId="2A992136" w14:textId="77777777" w:rsidR="005E423A" w:rsidRPr="00D21F7C" w:rsidRDefault="005E423A" w:rsidP="00D44875">
      <w:pPr>
        <w:spacing w:line="360" w:lineRule="auto"/>
        <w:rPr>
          <w:rFonts w:ascii="Times New Roman" w:hAnsi="Times New Roman" w:cs="Times New Roman"/>
          <w:sz w:val="20"/>
          <w:szCs w:val="20"/>
        </w:rPr>
      </w:pPr>
      <w:r w:rsidRPr="00D21F7C">
        <w:rPr>
          <w:rFonts w:ascii="Times New Roman" w:hAnsi="Times New Roman" w:cs="Times New Roman"/>
          <w:sz w:val="20"/>
          <w:szCs w:val="20"/>
        </w:rPr>
        <w:t xml:space="preserve">Total RNA was extracted using RNeasy mini kit (Qiagen) and reverse transcribed (Applied Biosystems™, 4368814) according to the manufacturer's instructions. Real-time quantitative PCR (qPCR) was performed on the </w:t>
      </w:r>
      <w:r w:rsidRPr="00D21F7C">
        <w:rPr>
          <w:rFonts w:ascii="Times New Roman" w:hAnsi="Times New Roman" w:cs="Times New Roman"/>
          <w:sz w:val="20"/>
          <w:szCs w:val="20"/>
        </w:rPr>
        <w:lastRenderedPageBreak/>
        <w:t xml:space="preserve">QuantStudio™ 7 Pro Real-Time PCR System (Thermo Fisher) using the TaqMan™ Gene Expression Master Mix (Applied Biosystems™, 4369016). Primers and probes were purchased from Integrated DNA Technologies (IDT) and TaqMan </w:t>
      </w:r>
      <w:r w:rsidRPr="00D21F7C">
        <w:rPr>
          <w:rFonts w:ascii="Times New Roman" w:hAnsi="Times New Roman" w:cs="Times New Roman"/>
          <w:b/>
          <w:bCs/>
          <w:sz w:val="20"/>
          <w:szCs w:val="20"/>
        </w:rPr>
        <w:t>(</w:t>
      </w:r>
      <w:r w:rsidRPr="00D21F7C">
        <w:rPr>
          <w:rFonts w:ascii="Times New Roman" w:eastAsia="Times New Roman" w:hAnsi="Times New Roman" w:cs="Times New Roman"/>
          <w:b/>
          <w:kern w:val="0"/>
          <w:sz w:val="20"/>
          <w:szCs w:val="20"/>
          <w:lang w:eastAsia="de-DE"/>
        </w:rPr>
        <w:t>Major Resources table S</w:t>
      </w:r>
      <w:r w:rsidRPr="00D21F7C">
        <w:rPr>
          <w:rFonts w:ascii="Times New Roman" w:hAnsi="Times New Roman" w:cs="Times New Roman"/>
          <w:b/>
          <w:bCs/>
          <w:sz w:val="20"/>
          <w:szCs w:val="20"/>
        </w:rPr>
        <w:t>3)</w:t>
      </w:r>
      <w:r w:rsidRPr="00D21F7C">
        <w:rPr>
          <w:rFonts w:ascii="Times New Roman" w:hAnsi="Times New Roman" w:cs="Times New Roman"/>
          <w:sz w:val="20"/>
          <w:szCs w:val="20"/>
        </w:rPr>
        <w:t>. Target gene expression was normalized to 18S ribosomal RNA (Applied Biosystems™, 4332641) gene expression and represented as fold change relative to the control group.</w:t>
      </w:r>
    </w:p>
    <w:p w14:paraId="4F9BE491" w14:textId="77777777" w:rsidR="005E423A" w:rsidRPr="00D21F7C" w:rsidRDefault="005E423A" w:rsidP="00D44875">
      <w:pPr>
        <w:spacing w:before="240" w:line="360" w:lineRule="auto"/>
        <w:rPr>
          <w:rFonts w:ascii="Times New Roman" w:hAnsi="Times New Roman" w:cs="Times New Roman"/>
          <w:b/>
          <w:sz w:val="20"/>
          <w:szCs w:val="20"/>
        </w:rPr>
      </w:pPr>
      <w:r w:rsidRPr="00D21F7C">
        <w:rPr>
          <w:rFonts w:ascii="Times New Roman" w:hAnsi="Times New Roman" w:cs="Times New Roman"/>
          <w:b/>
          <w:sz w:val="20"/>
          <w:szCs w:val="20"/>
        </w:rPr>
        <w:t xml:space="preserve">RNA sequencing and data analysis </w:t>
      </w:r>
    </w:p>
    <w:p w14:paraId="2A9C6140" w14:textId="77777777" w:rsidR="005E423A" w:rsidRPr="00D21F7C" w:rsidRDefault="005E423A" w:rsidP="00D44875">
      <w:pPr>
        <w:spacing w:line="360" w:lineRule="auto"/>
        <w:rPr>
          <w:rFonts w:ascii="Times New Roman" w:hAnsi="Times New Roman" w:cs="Times New Roman"/>
          <w:bCs/>
          <w:sz w:val="20"/>
          <w:szCs w:val="20"/>
        </w:rPr>
      </w:pPr>
      <w:r w:rsidRPr="00D21F7C">
        <w:rPr>
          <w:rFonts w:ascii="Times New Roman" w:hAnsi="Times New Roman" w:cs="Times New Roman"/>
          <w:bCs/>
          <w:sz w:val="20"/>
          <w:szCs w:val="20"/>
        </w:rPr>
        <w:t xml:space="preserve">Inflammatory peritoneal macrophages were sorted from mice as described above. RNA-sequencing was conducted using the prime-seq method developed by Janjic et al. (2022) </w:t>
      </w:r>
      <w:r w:rsidRPr="00D21F7C">
        <w:rPr>
          <w:rFonts w:ascii="Times New Roman" w:hAnsi="Times New Roman" w:cs="Times New Roman"/>
          <w:bCs/>
          <w:noProof/>
          <w:sz w:val="20"/>
          <w:szCs w:val="20"/>
        </w:rPr>
        <w:t>[2]</w:t>
      </w:r>
      <w:r w:rsidRPr="00D21F7C">
        <w:rPr>
          <w:rFonts w:ascii="Times New Roman" w:hAnsi="Times New Roman" w:cs="Times New Roman"/>
          <w:bCs/>
          <w:sz w:val="20"/>
          <w:szCs w:val="20"/>
        </w:rPr>
        <w:t>. The complete protocol for prime-seq, including primer sequences, is available at protocols.io (</w:t>
      </w:r>
      <w:hyperlink r:id="rId7" w:history="1">
        <w:r w:rsidRPr="00D21F7C">
          <w:rPr>
            <w:rStyle w:val="Hyperlink"/>
            <w:rFonts w:ascii="Times New Roman" w:hAnsi="Times New Roman" w:cs="Times New Roman"/>
            <w:sz w:val="20"/>
            <w:szCs w:val="20"/>
          </w:rPr>
          <w:t>prime-seq (protocols.io)</w:t>
        </w:r>
      </w:hyperlink>
      <w:r w:rsidRPr="00D21F7C">
        <w:rPr>
          <w:rFonts w:ascii="Times New Roman" w:hAnsi="Times New Roman" w:cs="Times New Roman"/>
          <w:bCs/>
          <w:sz w:val="20"/>
          <w:szCs w:val="20"/>
        </w:rPr>
        <w:t>). Briefly, cDNA synthesis was performed using Maxima H Minus reverse transcriptase, oligo-dT primer E3V7NEXT, and template switching oligo. After pooling, remaining primers were removed with Exonuclease I. Subsequently, cDNAs were pre-amplified using KAPA HiFi HotStart polymerase. Libraries were prepared using the NEBNext Ultra II FS DNA Library Prep Kit for Illumina (New England Biolabs, E7805S) with a custom ligation adapter, and dual indexing with TruSeq i5 and Nextera i7 index primers. Library concentrations were quantified before sequencing utilizing an Agilent 2100 Bioanalyzer instrument. Sequencing was performed on an Illumina NextSeq 1000/2000 instrument, with read lengths of 28 bases (read 1), 8 bases (read 2), 8 bases (read 3), and 93 bases (read 4). Quality assessment of the fastq data files was conducted using fastqc (v0.11.5), followed by polyA trimming using cutadapt (v 4.1). Subsequent read filtering, mapping, and counting were performed using the zUMIs pipeline (v 2.9.7), with reads mapped to the mouse genome (mm10).</w:t>
      </w:r>
      <w:r w:rsidRPr="00D21F7C">
        <w:rPr>
          <w:rFonts w:ascii="Times New Roman" w:hAnsi="Times New Roman" w:cs="Times New Roman"/>
          <w:sz w:val="20"/>
          <w:szCs w:val="20"/>
        </w:rPr>
        <w:t xml:space="preserve"> </w:t>
      </w:r>
      <w:r w:rsidRPr="00D21F7C">
        <w:rPr>
          <w:rFonts w:ascii="Times New Roman" w:hAnsi="Times New Roman" w:cs="Times New Roman"/>
          <w:bCs/>
          <w:sz w:val="20"/>
          <w:szCs w:val="20"/>
        </w:rPr>
        <w:t xml:space="preserve">Differential gene expression analysis (DEA) was calculated using DESeq2 (v. 1.44.0), a Bioconductor package in R (v. 4.4.2). Differentially expressed genes (DEGs) were identified by criteria: adjusted two-tailed </w:t>
      </w:r>
      <w:r w:rsidRPr="00D21F7C">
        <w:rPr>
          <w:rFonts w:ascii="Times New Roman" w:hAnsi="Times New Roman" w:cs="Times New Roman"/>
          <w:bCs/>
          <w:i/>
          <w:iCs/>
          <w:sz w:val="20"/>
          <w:szCs w:val="20"/>
        </w:rPr>
        <w:t>P</w:t>
      </w:r>
      <w:r w:rsidRPr="00D21F7C">
        <w:rPr>
          <w:rFonts w:ascii="Times New Roman" w:hAnsi="Times New Roman" w:cs="Times New Roman"/>
          <w:bCs/>
          <w:sz w:val="20"/>
          <w:szCs w:val="20"/>
        </w:rPr>
        <w:t xml:space="preserve"> value &lt; 0.05 and log</w:t>
      </w:r>
      <w:r w:rsidRPr="00D21F7C">
        <w:rPr>
          <w:rFonts w:ascii="Times New Roman" w:hAnsi="Times New Roman" w:cs="Times New Roman"/>
          <w:bCs/>
          <w:sz w:val="20"/>
          <w:szCs w:val="20"/>
          <w:vertAlign w:val="subscript"/>
        </w:rPr>
        <w:t>2</w:t>
      </w:r>
      <w:r w:rsidRPr="00D21F7C">
        <w:rPr>
          <w:rFonts w:ascii="Times New Roman" w:hAnsi="Times New Roman" w:cs="Times New Roman"/>
          <w:bCs/>
          <w:sz w:val="20"/>
          <w:szCs w:val="20"/>
        </w:rPr>
        <w:t>fold change(FC)</w:t>
      </w:r>
      <w:r w:rsidRPr="00D21F7C">
        <w:rPr>
          <w:rFonts w:ascii="Times New Roman" w:eastAsia="MS Mincho" w:hAnsi="Times New Roman" w:cs="Times New Roman"/>
          <w:bCs/>
          <w:sz w:val="20"/>
          <w:szCs w:val="20"/>
        </w:rPr>
        <w:t>＞</w:t>
      </w:r>
      <w:r w:rsidRPr="00D21F7C">
        <w:rPr>
          <w:rFonts w:ascii="Times New Roman" w:hAnsi="Times New Roman" w:cs="Times New Roman"/>
          <w:bCs/>
          <w:sz w:val="20"/>
          <w:szCs w:val="20"/>
        </w:rPr>
        <w:t xml:space="preserve">|1|, based on DESeq2 results </w:t>
      </w:r>
      <w:r w:rsidRPr="00D21F7C">
        <w:rPr>
          <w:rFonts w:ascii="Times New Roman" w:hAnsi="Times New Roman" w:cs="Times New Roman"/>
          <w:bCs/>
          <w:noProof/>
          <w:sz w:val="20"/>
          <w:szCs w:val="20"/>
        </w:rPr>
        <w:t>[3]</w:t>
      </w:r>
      <w:r w:rsidRPr="00D21F7C">
        <w:rPr>
          <w:rFonts w:ascii="Times New Roman" w:hAnsi="Times New Roman" w:cs="Times New Roman"/>
          <w:bCs/>
          <w:sz w:val="20"/>
          <w:szCs w:val="20"/>
        </w:rPr>
        <w:t xml:space="preserve">. The Python (v. 3.12.2) libraries seaborn (v. 0.13.2) and matplotlib (v. 3.8.0) were used for the visualization of the results in volcano plots, Venn’s diagrams, and heatmaps. Gene ontology enrichment analysis was performed using the EnrichR website </w:t>
      </w:r>
      <w:r w:rsidRPr="00D21F7C">
        <w:rPr>
          <w:rFonts w:ascii="Times New Roman" w:hAnsi="Times New Roman" w:cs="Times New Roman"/>
          <w:bCs/>
          <w:noProof/>
          <w:sz w:val="20"/>
          <w:szCs w:val="20"/>
        </w:rPr>
        <w:t>[4]</w:t>
      </w:r>
      <w:r w:rsidRPr="00D21F7C">
        <w:rPr>
          <w:rFonts w:ascii="Times New Roman" w:hAnsi="Times New Roman" w:cs="Times New Roman"/>
          <w:bCs/>
          <w:sz w:val="20"/>
          <w:szCs w:val="20"/>
        </w:rPr>
        <w:t xml:space="preserve"> with upregulated and downregulated DEGs as calculated by DESeq2.</w:t>
      </w:r>
    </w:p>
    <w:p w14:paraId="4C4B8E2B" w14:textId="77777777" w:rsidR="005E423A" w:rsidRPr="00D21F7C" w:rsidRDefault="005E423A" w:rsidP="00D44875">
      <w:pPr>
        <w:spacing w:before="240" w:line="360" w:lineRule="auto"/>
        <w:rPr>
          <w:rFonts w:ascii="Times New Roman" w:hAnsi="Times New Roman" w:cs="Times New Roman"/>
          <w:b/>
          <w:sz w:val="20"/>
          <w:szCs w:val="20"/>
        </w:rPr>
      </w:pPr>
      <w:r w:rsidRPr="00D21F7C">
        <w:rPr>
          <w:rFonts w:ascii="Times New Roman" w:hAnsi="Times New Roman" w:cs="Times New Roman"/>
          <w:b/>
          <w:sz w:val="20"/>
          <w:szCs w:val="20"/>
        </w:rPr>
        <w:t>Human plaque collection and ex vivo culture</w:t>
      </w:r>
    </w:p>
    <w:p w14:paraId="0999F120" w14:textId="77777777" w:rsidR="005E423A" w:rsidRPr="00D21F7C" w:rsidRDefault="005E423A" w:rsidP="00D44875">
      <w:pPr>
        <w:spacing w:line="360" w:lineRule="auto"/>
        <w:rPr>
          <w:rFonts w:ascii="Times New Roman" w:hAnsi="Times New Roman" w:cs="Times New Roman"/>
          <w:bCs/>
          <w:sz w:val="20"/>
          <w:szCs w:val="20"/>
        </w:rPr>
      </w:pPr>
      <w:r w:rsidRPr="00D21F7C">
        <w:rPr>
          <w:rFonts w:ascii="Times New Roman" w:hAnsi="Times New Roman" w:cs="Times New Roman"/>
          <w:bCs/>
          <w:sz w:val="20"/>
          <w:szCs w:val="20"/>
        </w:rPr>
        <w:t xml:space="preserve">Human atherosclerotic plaques were collected from patients with carotid or femoral artery disease undergoing endarterectomy. Plaques were sliced into 2 mm sections, and two structurally similar pieces were placed on a moistened gelatin sponge (Spongostan Standard, Ethicon) at the medium-air interface in 6-well plates, as previously described </w:t>
      </w:r>
      <w:r w:rsidRPr="00D21F7C">
        <w:rPr>
          <w:rFonts w:ascii="Times New Roman" w:hAnsi="Times New Roman" w:cs="Times New Roman"/>
          <w:bCs/>
          <w:noProof/>
          <w:sz w:val="20"/>
          <w:szCs w:val="20"/>
        </w:rPr>
        <w:t>[5]</w:t>
      </w:r>
      <w:r w:rsidRPr="00D21F7C">
        <w:rPr>
          <w:rFonts w:ascii="Times New Roman" w:hAnsi="Times New Roman" w:cs="Times New Roman"/>
          <w:bCs/>
          <w:sz w:val="20"/>
          <w:szCs w:val="20"/>
        </w:rPr>
        <w:t>.</w:t>
      </w:r>
      <w:r w:rsidRPr="00D21F7C">
        <w:rPr>
          <w:rFonts w:ascii="Times New Roman" w:hAnsi="Times New Roman" w:cs="Times New Roman"/>
          <w:bCs/>
          <w:color w:val="000000"/>
          <w:sz w:val="20"/>
          <w:szCs w:val="20"/>
          <w:vertAlign w:val="superscript"/>
        </w:rPr>
        <w:t xml:space="preserve"> </w:t>
      </w:r>
      <w:r w:rsidRPr="00D21F7C">
        <w:rPr>
          <w:rFonts w:ascii="Times New Roman" w:hAnsi="Times New Roman" w:cs="Times New Roman"/>
          <w:bCs/>
          <w:sz w:val="20"/>
          <w:szCs w:val="20"/>
        </w:rPr>
        <w:t>Samples were treated with 100 nM Gal-1 or PBS in Advanced RPMI 1640 medium supplemented with antimycotic and Penicillin-Streptomycin (all Gibco) for 24 h at 37 °C, 5% CO₂. After incubation, plaques were digested in Advanced RPMI containing 1.25 mg/mL collagenase XI and 0.2 mg/mL DNase I (both Sigma-Aldrich) for 30 min at 37 °C, then passed through a 70 μm filter. Cells were stained with fixable viability dye (Invitrogen), blocked with anti-CD16/CD32 (BioLegend, 1:200), stained with surface antibodies, and then analyzed by flow cytometry.</w:t>
      </w:r>
    </w:p>
    <w:p w14:paraId="71C40282" w14:textId="77777777" w:rsidR="005E423A" w:rsidRPr="00D21F7C" w:rsidRDefault="005E423A" w:rsidP="00D44875">
      <w:pPr>
        <w:spacing w:line="360" w:lineRule="auto"/>
        <w:rPr>
          <w:rFonts w:ascii="Times New Roman" w:hAnsi="Times New Roman" w:cs="Times New Roman"/>
          <w:bCs/>
          <w:sz w:val="20"/>
          <w:szCs w:val="20"/>
        </w:rPr>
      </w:pPr>
      <w:r w:rsidRPr="00D21F7C">
        <w:rPr>
          <w:rFonts w:ascii="Times New Roman" w:hAnsi="Times New Roman" w:cs="Times New Roman"/>
          <w:sz w:val="20"/>
          <w:szCs w:val="20"/>
        </w:rPr>
        <w:br w:type="page"/>
      </w:r>
    </w:p>
    <w:p w14:paraId="07A123AD" w14:textId="77777777" w:rsidR="005E423A" w:rsidRPr="00D21F7C" w:rsidRDefault="005E423A" w:rsidP="00D44875">
      <w:pPr>
        <w:rPr>
          <w:rFonts w:ascii="Times New Roman" w:hAnsi="Times New Roman" w:cs="Times New Roman"/>
          <w:sz w:val="20"/>
          <w:szCs w:val="20"/>
        </w:rPr>
      </w:pPr>
      <w:r w:rsidRPr="00D21F7C">
        <w:rPr>
          <w:rFonts w:ascii="Times New Roman" w:eastAsia="Times New Roman" w:hAnsi="Times New Roman" w:cs="Times New Roman"/>
          <w:b/>
          <w:kern w:val="0"/>
          <w:sz w:val="20"/>
          <w:szCs w:val="20"/>
          <w:lang w:eastAsia="de-DE"/>
        </w:rPr>
        <w:lastRenderedPageBreak/>
        <w:t>Major Resources table S1</w:t>
      </w:r>
      <w:r w:rsidRPr="00D21F7C">
        <w:rPr>
          <w:rFonts w:ascii="Times New Roman" w:hAnsi="Times New Roman" w:cs="Times New Roman"/>
          <w:sz w:val="20"/>
          <w:szCs w:val="20"/>
        </w:rPr>
        <w:t>: Antibodies used for immunofluorescence staining</w:t>
      </w:r>
    </w:p>
    <w:tbl>
      <w:tblPr>
        <w:tblStyle w:val="Tabellenraster"/>
        <w:tblpPr w:leftFromText="180" w:rightFromText="180" w:vertAnchor="text" w:horzAnchor="margin" w:tblpY="160"/>
        <w:tblOverlap w:val="nev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1026"/>
        <w:gridCol w:w="1582"/>
        <w:gridCol w:w="2671"/>
      </w:tblGrid>
      <w:tr w:rsidR="005E423A" w:rsidRPr="00D21F7C" w14:paraId="1630F1C1" w14:textId="77777777" w:rsidTr="006F4C6F">
        <w:tc>
          <w:tcPr>
            <w:tcW w:w="2943" w:type="dxa"/>
            <w:tcBorders>
              <w:top w:val="single" w:sz="4" w:space="0" w:color="auto"/>
              <w:bottom w:val="single" w:sz="4" w:space="0" w:color="auto"/>
              <w:right w:val="nil"/>
            </w:tcBorders>
          </w:tcPr>
          <w:p w14:paraId="4BE24D6F"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Primary antibodies</w:t>
            </w:r>
          </w:p>
        </w:tc>
        <w:tc>
          <w:tcPr>
            <w:tcW w:w="1026" w:type="dxa"/>
            <w:tcBorders>
              <w:top w:val="single" w:sz="4" w:space="0" w:color="auto"/>
              <w:left w:val="nil"/>
              <w:bottom w:val="single" w:sz="4" w:space="0" w:color="auto"/>
              <w:right w:val="nil"/>
            </w:tcBorders>
          </w:tcPr>
          <w:p w14:paraId="43C16DE5"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Dilution</w:t>
            </w:r>
          </w:p>
        </w:tc>
        <w:tc>
          <w:tcPr>
            <w:tcW w:w="1582" w:type="dxa"/>
            <w:tcBorders>
              <w:top w:val="single" w:sz="4" w:space="0" w:color="auto"/>
              <w:left w:val="nil"/>
              <w:bottom w:val="single" w:sz="4" w:space="0" w:color="auto"/>
            </w:tcBorders>
          </w:tcPr>
          <w:p w14:paraId="6EA1CA79"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Cat Nr</w:t>
            </w:r>
          </w:p>
        </w:tc>
        <w:tc>
          <w:tcPr>
            <w:tcW w:w="2671" w:type="dxa"/>
            <w:tcBorders>
              <w:top w:val="single" w:sz="4" w:space="0" w:color="auto"/>
              <w:bottom w:val="single" w:sz="4" w:space="0" w:color="auto"/>
              <w:right w:val="nil"/>
            </w:tcBorders>
          </w:tcPr>
          <w:p w14:paraId="4FE16D75"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Company</w:t>
            </w:r>
          </w:p>
        </w:tc>
      </w:tr>
      <w:tr w:rsidR="005E423A" w:rsidRPr="00D21F7C" w14:paraId="4A3E3B57" w14:textId="77777777" w:rsidTr="006F4C6F">
        <w:tc>
          <w:tcPr>
            <w:tcW w:w="2943" w:type="dxa"/>
            <w:tcBorders>
              <w:top w:val="single" w:sz="4" w:space="0" w:color="auto"/>
              <w:right w:val="nil"/>
            </w:tcBorders>
          </w:tcPr>
          <w:p w14:paraId="6EB7413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Mac-2</w:t>
            </w:r>
          </w:p>
        </w:tc>
        <w:tc>
          <w:tcPr>
            <w:tcW w:w="1026" w:type="dxa"/>
            <w:tcBorders>
              <w:top w:val="single" w:sz="4" w:space="0" w:color="auto"/>
              <w:left w:val="nil"/>
              <w:right w:val="nil"/>
            </w:tcBorders>
          </w:tcPr>
          <w:p w14:paraId="074CEAF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82" w:type="dxa"/>
            <w:tcBorders>
              <w:top w:val="single" w:sz="4" w:space="0" w:color="auto"/>
              <w:left w:val="nil"/>
            </w:tcBorders>
          </w:tcPr>
          <w:p w14:paraId="2CDECA7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CL8942AP</w:t>
            </w:r>
          </w:p>
        </w:tc>
        <w:tc>
          <w:tcPr>
            <w:tcW w:w="2671" w:type="dxa"/>
            <w:tcBorders>
              <w:top w:val="single" w:sz="4" w:space="0" w:color="auto"/>
              <w:right w:val="nil"/>
            </w:tcBorders>
          </w:tcPr>
          <w:p w14:paraId="7A091A2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Cedarlane</w:t>
            </w:r>
          </w:p>
        </w:tc>
      </w:tr>
      <w:tr w:rsidR="005E423A" w:rsidRPr="00D21F7C" w14:paraId="5192ED6F" w14:textId="77777777" w:rsidTr="006F4C6F">
        <w:tc>
          <w:tcPr>
            <w:tcW w:w="2943" w:type="dxa"/>
            <w:tcBorders>
              <w:right w:val="nil"/>
            </w:tcBorders>
          </w:tcPr>
          <w:p w14:paraId="5077505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Hamster anti-Mouse CD3e</w:t>
            </w:r>
          </w:p>
        </w:tc>
        <w:tc>
          <w:tcPr>
            <w:tcW w:w="1026" w:type="dxa"/>
            <w:tcBorders>
              <w:left w:val="nil"/>
              <w:right w:val="nil"/>
            </w:tcBorders>
          </w:tcPr>
          <w:p w14:paraId="0C5234B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1:100</w:t>
            </w:r>
          </w:p>
        </w:tc>
        <w:tc>
          <w:tcPr>
            <w:tcW w:w="1582" w:type="dxa"/>
            <w:tcBorders>
              <w:left w:val="nil"/>
            </w:tcBorders>
          </w:tcPr>
          <w:p w14:paraId="48BCDD7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553058</w:t>
            </w:r>
          </w:p>
        </w:tc>
        <w:tc>
          <w:tcPr>
            <w:tcW w:w="2671" w:type="dxa"/>
            <w:tcBorders>
              <w:right w:val="nil"/>
            </w:tcBorders>
          </w:tcPr>
          <w:p w14:paraId="1088222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BD Bioscience</w:t>
            </w:r>
          </w:p>
        </w:tc>
      </w:tr>
      <w:tr w:rsidR="005E423A" w:rsidRPr="00D21F7C" w14:paraId="7BB34326" w14:textId="77777777" w:rsidTr="006F4C6F">
        <w:tc>
          <w:tcPr>
            <w:tcW w:w="2943" w:type="dxa"/>
            <w:tcBorders>
              <w:right w:val="nil"/>
            </w:tcBorders>
          </w:tcPr>
          <w:p w14:paraId="48E8956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Rabbit anti-Mouse Perilipin-2</w:t>
            </w:r>
          </w:p>
        </w:tc>
        <w:tc>
          <w:tcPr>
            <w:tcW w:w="1026" w:type="dxa"/>
            <w:tcBorders>
              <w:left w:val="nil"/>
              <w:right w:val="nil"/>
            </w:tcBorders>
          </w:tcPr>
          <w:p w14:paraId="1DB92EF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82" w:type="dxa"/>
            <w:tcBorders>
              <w:left w:val="nil"/>
            </w:tcBorders>
          </w:tcPr>
          <w:p w14:paraId="644AC42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NB110-40877</w:t>
            </w:r>
          </w:p>
        </w:tc>
        <w:tc>
          <w:tcPr>
            <w:tcW w:w="2671" w:type="dxa"/>
            <w:tcBorders>
              <w:right w:val="nil"/>
            </w:tcBorders>
          </w:tcPr>
          <w:p w14:paraId="23547FB0"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Novus</w:t>
            </w:r>
          </w:p>
        </w:tc>
      </w:tr>
      <w:tr w:rsidR="005E423A" w:rsidRPr="00D21F7C" w14:paraId="782F9B3B" w14:textId="77777777" w:rsidTr="006F4C6F">
        <w:tc>
          <w:tcPr>
            <w:tcW w:w="2943" w:type="dxa"/>
            <w:tcBorders>
              <w:right w:val="nil"/>
            </w:tcBorders>
          </w:tcPr>
          <w:p w14:paraId="2723FC3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Goat anti-Mouse CD206</w:t>
            </w:r>
          </w:p>
        </w:tc>
        <w:tc>
          <w:tcPr>
            <w:tcW w:w="1026" w:type="dxa"/>
            <w:tcBorders>
              <w:left w:val="nil"/>
              <w:right w:val="nil"/>
            </w:tcBorders>
          </w:tcPr>
          <w:p w14:paraId="2A8ED98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82" w:type="dxa"/>
            <w:tcBorders>
              <w:left w:val="nil"/>
            </w:tcBorders>
          </w:tcPr>
          <w:p w14:paraId="453B5E2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AF2535</w:t>
            </w:r>
          </w:p>
        </w:tc>
        <w:tc>
          <w:tcPr>
            <w:tcW w:w="2671" w:type="dxa"/>
            <w:tcBorders>
              <w:right w:val="nil"/>
            </w:tcBorders>
          </w:tcPr>
          <w:p w14:paraId="119765F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 &amp; D systems</w:t>
            </w:r>
          </w:p>
        </w:tc>
      </w:tr>
      <w:tr w:rsidR="005E423A" w:rsidRPr="00D21F7C" w14:paraId="5620A58F" w14:textId="77777777" w:rsidTr="006F4C6F">
        <w:tc>
          <w:tcPr>
            <w:tcW w:w="2943" w:type="dxa"/>
            <w:tcBorders>
              <w:right w:val="nil"/>
            </w:tcBorders>
          </w:tcPr>
          <w:p w14:paraId="556312DB"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Secondary antibodies</w:t>
            </w:r>
          </w:p>
        </w:tc>
        <w:tc>
          <w:tcPr>
            <w:tcW w:w="1026" w:type="dxa"/>
            <w:tcBorders>
              <w:left w:val="nil"/>
              <w:right w:val="nil"/>
            </w:tcBorders>
          </w:tcPr>
          <w:p w14:paraId="54D72F1A" w14:textId="77777777" w:rsidR="005E423A" w:rsidRPr="00D21F7C" w:rsidRDefault="005E423A" w:rsidP="006F4C6F">
            <w:pPr>
              <w:rPr>
                <w:rFonts w:ascii="Times New Roman" w:hAnsi="Times New Roman" w:cs="Times New Roman"/>
                <w:sz w:val="20"/>
                <w:szCs w:val="20"/>
              </w:rPr>
            </w:pPr>
          </w:p>
        </w:tc>
        <w:tc>
          <w:tcPr>
            <w:tcW w:w="1582" w:type="dxa"/>
            <w:tcBorders>
              <w:left w:val="nil"/>
            </w:tcBorders>
          </w:tcPr>
          <w:p w14:paraId="5E36E697" w14:textId="77777777" w:rsidR="005E423A" w:rsidRPr="00D21F7C" w:rsidRDefault="005E423A" w:rsidP="006F4C6F">
            <w:pPr>
              <w:rPr>
                <w:rFonts w:ascii="Times New Roman" w:hAnsi="Times New Roman" w:cs="Times New Roman"/>
                <w:sz w:val="20"/>
                <w:szCs w:val="20"/>
              </w:rPr>
            </w:pPr>
          </w:p>
        </w:tc>
        <w:tc>
          <w:tcPr>
            <w:tcW w:w="2671" w:type="dxa"/>
            <w:tcBorders>
              <w:right w:val="nil"/>
            </w:tcBorders>
          </w:tcPr>
          <w:p w14:paraId="7B390924" w14:textId="77777777" w:rsidR="005E423A" w:rsidRPr="00D21F7C" w:rsidRDefault="005E423A" w:rsidP="006F4C6F">
            <w:pPr>
              <w:rPr>
                <w:rFonts w:ascii="Times New Roman" w:hAnsi="Times New Roman" w:cs="Times New Roman"/>
                <w:sz w:val="20"/>
                <w:szCs w:val="20"/>
              </w:rPr>
            </w:pPr>
          </w:p>
        </w:tc>
      </w:tr>
      <w:tr w:rsidR="005E423A" w:rsidRPr="00D21F7C" w14:paraId="2CAADF8C" w14:textId="77777777" w:rsidTr="006F4C6F">
        <w:tc>
          <w:tcPr>
            <w:tcW w:w="2943" w:type="dxa"/>
            <w:tcBorders>
              <w:right w:val="nil"/>
            </w:tcBorders>
          </w:tcPr>
          <w:p w14:paraId="3D7C45F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Donkey anti Goat IgG </w:t>
            </w:r>
          </w:p>
          <w:p w14:paraId="6395584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Dylight 488</w:t>
            </w:r>
          </w:p>
        </w:tc>
        <w:tc>
          <w:tcPr>
            <w:tcW w:w="1026" w:type="dxa"/>
            <w:tcBorders>
              <w:left w:val="nil"/>
              <w:right w:val="nil"/>
            </w:tcBorders>
          </w:tcPr>
          <w:p w14:paraId="7369123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82" w:type="dxa"/>
            <w:tcBorders>
              <w:left w:val="nil"/>
            </w:tcBorders>
          </w:tcPr>
          <w:p w14:paraId="20ED4B3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ab96935</w:t>
            </w:r>
          </w:p>
        </w:tc>
        <w:tc>
          <w:tcPr>
            <w:tcW w:w="2671" w:type="dxa"/>
            <w:tcBorders>
              <w:right w:val="nil"/>
            </w:tcBorders>
          </w:tcPr>
          <w:p w14:paraId="4A6C028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Abcam</w:t>
            </w:r>
          </w:p>
        </w:tc>
      </w:tr>
      <w:tr w:rsidR="005E423A" w:rsidRPr="00D21F7C" w14:paraId="0FBB84C6" w14:textId="77777777" w:rsidTr="006F4C6F">
        <w:tc>
          <w:tcPr>
            <w:tcW w:w="2943" w:type="dxa"/>
            <w:tcBorders>
              <w:right w:val="nil"/>
            </w:tcBorders>
          </w:tcPr>
          <w:p w14:paraId="324ECF2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Donkey anti rabbit Cy3</w:t>
            </w:r>
          </w:p>
        </w:tc>
        <w:tc>
          <w:tcPr>
            <w:tcW w:w="1026" w:type="dxa"/>
            <w:tcBorders>
              <w:left w:val="nil"/>
              <w:right w:val="nil"/>
            </w:tcBorders>
          </w:tcPr>
          <w:p w14:paraId="146E0E7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1:300</w:t>
            </w:r>
          </w:p>
        </w:tc>
        <w:tc>
          <w:tcPr>
            <w:tcW w:w="1582" w:type="dxa"/>
            <w:tcBorders>
              <w:left w:val="nil"/>
            </w:tcBorders>
          </w:tcPr>
          <w:p w14:paraId="5D2CE7E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711-165-152</w:t>
            </w:r>
          </w:p>
        </w:tc>
        <w:tc>
          <w:tcPr>
            <w:tcW w:w="2671" w:type="dxa"/>
            <w:tcBorders>
              <w:right w:val="nil"/>
            </w:tcBorders>
          </w:tcPr>
          <w:p w14:paraId="1EC892F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Jackson ImmunoResearch</w:t>
            </w:r>
          </w:p>
        </w:tc>
      </w:tr>
      <w:tr w:rsidR="005E423A" w:rsidRPr="00D21F7C" w14:paraId="7CBFE0E1" w14:textId="77777777" w:rsidTr="006F4C6F">
        <w:tc>
          <w:tcPr>
            <w:tcW w:w="2943" w:type="dxa"/>
            <w:tcBorders>
              <w:right w:val="nil"/>
            </w:tcBorders>
          </w:tcPr>
          <w:p w14:paraId="27E14E6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Donkey anti Rat Cy5</w:t>
            </w:r>
          </w:p>
        </w:tc>
        <w:tc>
          <w:tcPr>
            <w:tcW w:w="1026" w:type="dxa"/>
            <w:tcBorders>
              <w:left w:val="nil"/>
              <w:right w:val="nil"/>
            </w:tcBorders>
          </w:tcPr>
          <w:p w14:paraId="0988F71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1:300</w:t>
            </w:r>
          </w:p>
        </w:tc>
        <w:tc>
          <w:tcPr>
            <w:tcW w:w="1582" w:type="dxa"/>
            <w:tcBorders>
              <w:left w:val="nil"/>
            </w:tcBorders>
          </w:tcPr>
          <w:p w14:paraId="667D1AD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712-175-153</w:t>
            </w:r>
          </w:p>
        </w:tc>
        <w:tc>
          <w:tcPr>
            <w:tcW w:w="2671" w:type="dxa"/>
            <w:tcBorders>
              <w:right w:val="nil"/>
            </w:tcBorders>
          </w:tcPr>
          <w:p w14:paraId="687C1F0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Dianova</w:t>
            </w:r>
          </w:p>
        </w:tc>
      </w:tr>
      <w:tr w:rsidR="005E423A" w:rsidRPr="00D21F7C" w14:paraId="3C2AC473" w14:textId="77777777" w:rsidTr="006F4C6F">
        <w:tc>
          <w:tcPr>
            <w:tcW w:w="2943" w:type="dxa"/>
            <w:tcBorders>
              <w:right w:val="nil"/>
            </w:tcBorders>
          </w:tcPr>
          <w:p w14:paraId="6823098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sheep anti rabbit IgG </w:t>
            </w:r>
          </w:p>
          <w:p w14:paraId="2332632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Dylight 650</w:t>
            </w:r>
          </w:p>
        </w:tc>
        <w:tc>
          <w:tcPr>
            <w:tcW w:w="1026" w:type="dxa"/>
            <w:tcBorders>
              <w:left w:val="nil"/>
              <w:right w:val="nil"/>
            </w:tcBorders>
          </w:tcPr>
          <w:p w14:paraId="5F11BAF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82" w:type="dxa"/>
            <w:tcBorders>
              <w:left w:val="nil"/>
            </w:tcBorders>
          </w:tcPr>
          <w:p w14:paraId="463E3E4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ab96926</w:t>
            </w:r>
          </w:p>
        </w:tc>
        <w:tc>
          <w:tcPr>
            <w:tcW w:w="2671" w:type="dxa"/>
            <w:tcBorders>
              <w:right w:val="nil"/>
            </w:tcBorders>
          </w:tcPr>
          <w:p w14:paraId="5CE79AC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Abcam</w:t>
            </w:r>
          </w:p>
        </w:tc>
      </w:tr>
      <w:tr w:rsidR="005E423A" w:rsidRPr="00D21F7C" w14:paraId="1E32EAFC" w14:textId="77777777" w:rsidTr="006F4C6F">
        <w:tc>
          <w:tcPr>
            <w:tcW w:w="2943" w:type="dxa"/>
            <w:tcBorders>
              <w:right w:val="nil"/>
            </w:tcBorders>
          </w:tcPr>
          <w:p w14:paraId="4FBF540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Goat anti Rat IgG Dylight 488</w:t>
            </w:r>
          </w:p>
        </w:tc>
        <w:tc>
          <w:tcPr>
            <w:tcW w:w="1026" w:type="dxa"/>
            <w:tcBorders>
              <w:left w:val="nil"/>
              <w:right w:val="nil"/>
            </w:tcBorders>
          </w:tcPr>
          <w:p w14:paraId="7A07921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82" w:type="dxa"/>
            <w:tcBorders>
              <w:left w:val="nil"/>
            </w:tcBorders>
          </w:tcPr>
          <w:p w14:paraId="0F7C7EB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ab96887</w:t>
            </w:r>
          </w:p>
        </w:tc>
        <w:tc>
          <w:tcPr>
            <w:tcW w:w="2671" w:type="dxa"/>
            <w:tcBorders>
              <w:right w:val="nil"/>
            </w:tcBorders>
          </w:tcPr>
          <w:p w14:paraId="3616A7D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Abcam</w:t>
            </w:r>
          </w:p>
        </w:tc>
      </w:tr>
      <w:tr w:rsidR="005E423A" w:rsidRPr="00D21F7C" w14:paraId="38DD1CE8" w14:textId="77777777" w:rsidTr="006F4C6F">
        <w:tc>
          <w:tcPr>
            <w:tcW w:w="2943" w:type="dxa"/>
            <w:tcBorders>
              <w:right w:val="nil"/>
            </w:tcBorders>
          </w:tcPr>
          <w:p w14:paraId="226D784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Goat anti Hamster Cy3</w:t>
            </w:r>
          </w:p>
        </w:tc>
        <w:tc>
          <w:tcPr>
            <w:tcW w:w="1026" w:type="dxa"/>
            <w:tcBorders>
              <w:left w:val="nil"/>
              <w:right w:val="nil"/>
            </w:tcBorders>
          </w:tcPr>
          <w:p w14:paraId="5CABEE2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1:300</w:t>
            </w:r>
          </w:p>
        </w:tc>
        <w:tc>
          <w:tcPr>
            <w:tcW w:w="1582" w:type="dxa"/>
            <w:tcBorders>
              <w:left w:val="nil"/>
            </w:tcBorders>
          </w:tcPr>
          <w:p w14:paraId="4ADBDDA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127-165-160</w:t>
            </w:r>
          </w:p>
        </w:tc>
        <w:tc>
          <w:tcPr>
            <w:tcW w:w="2671" w:type="dxa"/>
            <w:tcBorders>
              <w:right w:val="nil"/>
            </w:tcBorders>
          </w:tcPr>
          <w:p w14:paraId="6FD426B0"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Jackson ImmunoResearch</w:t>
            </w:r>
          </w:p>
        </w:tc>
      </w:tr>
    </w:tbl>
    <w:p w14:paraId="15AACA93" w14:textId="77777777" w:rsidR="005E423A" w:rsidRPr="00D21F7C" w:rsidRDefault="005E423A" w:rsidP="00D44875">
      <w:pPr>
        <w:rPr>
          <w:rFonts w:ascii="Times New Roman" w:hAnsi="Times New Roman" w:cs="Times New Roman"/>
          <w:sz w:val="20"/>
          <w:szCs w:val="20"/>
        </w:rPr>
      </w:pPr>
    </w:p>
    <w:p w14:paraId="542A1828" w14:textId="77777777" w:rsidR="005E423A" w:rsidRPr="00D21F7C" w:rsidRDefault="005E423A" w:rsidP="00D44875">
      <w:pPr>
        <w:rPr>
          <w:rFonts w:ascii="Times New Roman" w:hAnsi="Times New Roman" w:cs="Times New Roman"/>
          <w:sz w:val="20"/>
          <w:szCs w:val="20"/>
        </w:rPr>
      </w:pPr>
    </w:p>
    <w:p w14:paraId="6DED9D8E" w14:textId="77777777" w:rsidR="005E423A" w:rsidRPr="00D21F7C" w:rsidRDefault="005E423A" w:rsidP="00D44875">
      <w:pPr>
        <w:rPr>
          <w:rFonts w:ascii="Times New Roman" w:hAnsi="Times New Roman" w:cs="Times New Roman"/>
          <w:sz w:val="20"/>
          <w:szCs w:val="20"/>
        </w:rPr>
      </w:pPr>
    </w:p>
    <w:p w14:paraId="4FC2476C" w14:textId="77777777" w:rsidR="005E423A" w:rsidRPr="00D21F7C" w:rsidRDefault="005E423A" w:rsidP="00D44875">
      <w:pPr>
        <w:rPr>
          <w:rFonts w:ascii="Times New Roman" w:hAnsi="Times New Roman" w:cs="Times New Roman"/>
          <w:sz w:val="20"/>
          <w:szCs w:val="20"/>
        </w:rPr>
      </w:pPr>
    </w:p>
    <w:p w14:paraId="6B3AD75E" w14:textId="77777777" w:rsidR="005E423A" w:rsidRPr="00D21F7C" w:rsidRDefault="005E423A" w:rsidP="00D44875">
      <w:pPr>
        <w:rPr>
          <w:rFonts w:ascii="Times New Roman" w:hAnsi="Times New Roman" w:cs="Times New Roman"/>
          <w:sz w:val="20"/>
          <w:szCs w:val="20"/>
        </w:rPr>
      </w:pPr>
    </w:p>
    <w:p w14:paraId="4B6528E2" w14:textId="77777777" w:rsidR="005E423A" w:rsidRPr="00D21F7C" w:rsidRDefault="005E423A" w:rsidP="00D44875">
      <w:pPr>
        <w:rPr>
          <w:rFonts w:ascii="Times New Roman" w:hAnsi="Times New Roman" w:cs="Times New Roman"/>
          <w:sz w:val="20"/>
          <w:szCs w:val="20"/>
        </w:rPr>
      </w:pPr>
    </w:p>
    <w:p w14:paraId="02DE4A23" w14:textId="77777777" w:rsidR="005E423A" w:rsidRPr="00D21F7C" w:rsidRDefault="005E423A" w:rsidP="00D44875">
      <w:pPr>
        <w:rPr>
          <w:rFonts w:ascii="Times New Roman" w:hAnsi="Times New Roman" w:cs="Times New Roman"/>
          <w:sz w:val="20"/>
          <w:szCs w:val="20"/>
        </w:rPr>
      </w:pPr>
    </w:p>
    <w:p w14:paraId="24CEC0A3" w14:textId="77777777" w:rsidR="005E423A" w:rsidRPr="00D21F7C" w:rsidRDefault="005E423A" w:rsidP="00D44875">
      <w:pPr>
        <w:rPr>
          <w:rFonts w:ascii="Times New Roman" w:hAnsi="Times New Roman" w:cs="Times New Roman"/>
          <w:sz w:val="20"/>
          <w:szCs w:val="20"/>
        </w:rPr>
      </w:pPr>
    </w:p>
    <w:p w14:paraId="2AC0EF3B" w14:textId="77777777" w:rsidR="005E423A" w:rsidRPr="00D21F7C" w:rsidRDefault="005E423A" w:rsidP="00D44875">
      <w:pPr>
        <w:rPr>
          <w:rFonts w:ascii="Times New Roman" w:hAnsi="Times New Roman" w:cs="Times New Roman"/>
          <w:sz w:val="20"/>
          <w:szCs w:val="20"/>
        </w:rPr>
      </w:pPr>
    </w:p>
    <w:p w14:paraId="46A675E3" w14:textId="77777777" w:rsidR="005E423A" w:rsidRPr="00D21F7C" w:rsidRDefault="005E423A" w:rsidP="00D44875">
      <w:pPr>
        <w:rPr>
          <w:rFonts w:ascii="Times New Roman" w:hAnsi="Times New Roman" w:cs="Times New Roman"/>
          <w:sz w:val="20"/>
          <w:szCs w:val="20"/>
        </w:rPr>
      </w:pPr>
    </w:p>
    <w:p w14:paraId="7B055BEE" w14:textId="77777777" w:rsidR="005E423A" w:rsidRPr="00D21F7C" w:rsidRDefault="005E423A" w:rsidP="00D44875">
      <w:pPr>
        <w:rPr>
          <w:rFonts w:ascii="Times New Roman" w:hAnsi="Times New Roman" w:cs="Times New Roman"/>
          <w:sz w:val="20"/>
          <w:szCs w:val="20"/>
        </w:rPr>
      </w:pPr>
    </w:p>
    <w:p w14:paraId="17A4AAD5" w14:textId="77777777" w:rsidR="005E423A" w:rsidRPr="00D21F7C" w:rsidRDefault="005E423A" w:rsidP="00D44875">
      <w:pPr>
        <w:rPr>
          <w:rFonts w:ascii="Times New Roman" w:hAnsi="Times New Roman" w:cs="Times New Roman"/>
          <w:sz w:val="20"/>
          <w:szCs w:val="20"/>
        </w:rPr>
      </w:pPr>
    </w:p>
    <w:p w14:paraId="233A5A1D" w14:textId="77777777" w:rsidR="005E423A" w:rsidRPr="00D21F7C" w:rsidRDefault="005E423A" w:rsidP="00D44875">
      <w:pPr>
        <w:rPr>
          <w:rFonts w:ascii="Times New Roman" w:hAnsi="Times New Roman" w:cs="Times New Roman"/>
          <w:sz w:val="20"/>
          <w:szCs w:val="20"/>
        </w:rPr>
      </w:pPr>
    </w:p>
    <w:p w14:paraId="109FCEDF" w14:textId="77777777" w:rsidR="005E423A" w:rsidRPr="00D21F7C" w:rsidRDefault="005E423A" w:rsidP="00D44875">
      <w:pPr>
        <w:rPr>
          <w:rFonts w:ascii="Times New Roman" w:hAnsi="Times New Roman" w:cs="Times New Roman"/>
          <w:sz w:val="20"/>
          <w:szCs w:val="20"/>
        </w:rPr>
      </w:pPr>
    </w:p>
    <w:p w14:paraId="5DD00DA9" w14:textId="77777777" w:rsidR="005E423A" w:rsidRPr="00D21F7C" w:rsidRDefault="005E423A" w:rsidP="00D44875">
      <w:pPr>
        <w:rPr>
          <w:rFonts w:ascii="Times New Roman" w:hAnsi="Times New Roman" w:cs="Times New Roman"/>
          <w:sz w:val="20"/>
          <w:szCs w:val="20"/>
        </w:rPr>
      </w:pPr>
    </w:p>
    <w:p w14:paraId="11A905A2" w14:textId="77777777" w:rsidR="005E423A" w:rsidRPr="00D21F7C" w:rsidRDefault="005E423A" w:rsidP="00D44875">
      <w:pPr>
        <w:rPr>
          <w:rFonts w:ascii="Times New Roman" w:hAnsi="Times New Roman" w:cs="Times New Roman"/>
          <w:b/>
          <w:bCs/>
          <w:sz w:val="20"/>
          <w:szCs w:val="20"/>
        </w:rPr>
      </w:pPr>
    </w:p>
    <w:p w14:paraId="556EEE2C" w14:textId="77777777" w:rsidR="005E423A" w:rsidRPr="00D21F7C" w:rsidRDefault="005E423A" w:rsidP="00D44875">
      <w:pPr>
        <w:rPr>
          <w:rFonts w:ascii="Times New Roman" w:hAnsi="Times New Roman" w:cs="Times New Roman"/>
          <w:sz w:val="20"/>
          <w:szCs w:val="20"/>
        </w:rPr>
      </w:pPr>
      <w:r w:rsidRPr="00D21F7C">
        <w:rPr>
          <w:rFonts w:ascii="Times New Roman" w:eastAsia="Times New Roman" w:hAnsi="Times New Roman" w:cs="Times New Roman"/>
          <w:b/>
          <w:kern w:val="0"/>
          <w:sz w:val="20"/>
          <w:szCs w:val="20"/>
          <w:lang w:eastAsia="de-DE"/>
        </w:rPr>
        <w:t>Major Resources table S2:</w:t>
      </w:r>
      <w:r w:rsidRPr="00D21F7C">
        <w:rPr>
          <w:rFonts w:ascii="Times New Roman" w:hAnsi="Times New Roman" w:cs="Times New Roman"/>
          <w:sz w:val="20"/>
          <w:szCs w:val="20"/>
        </w:rPr>
        <w:t xml:space="preserve"> Antibodies used for flow cytometry</w:t>
      </w:r>
    </w:p>
    <w:tbl>
      <w:tblPr>
        <w:tblStyle w:val="Tabellenraster"/>
        <w:tblpPr w:leftFromText="180" w:rightFromText="180" w:vertAnchor="text" w:horzAnchor="margin" w:tblpY="160"/>
        <w:tblOverlap w:val="nev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1701"/>
        <w:gridCol w:w="987"/>
        <w:gridCol w:w="1567"/>
        <w:gridCol w:w="2373"/>
      </w:tblGrid>
      <w:tr w:rsidR="005E423A" w:rsidRPr="00D21F7C" w14:paraId="3A6E4D73" w14:textId="77777777" w:rsidTr="006F4C6F">
        <w:tc>
          <w:tcPr>
            <w:tcW w:w="2410" w:type="dxa"/>
            <w:tcBorders>
              <w:top w:val="single" w:sz="4" w:space="0" w:color="auto"/>
              <w:bottom w:val="single" w:sz="4" w:space="0" w:color="auto"/>
              <w:right w:val="nil"/>
            </w:tcBorders>
          </w:tcPr>
          <w:p w14:paraId="1BB3DFBC"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Antibodies</w:t>
            </w:r>
          </w:p>
        </w:tc>
        <w:tc>
          <w:tcPr>
            <w:tcW w:w="1701" w:type="dxa"/>
            <w:tcBorders>
              <w:top w:val="single" w:sz="4" w:space="0" w:color="auto"/>
              <w:bottom w:val="single" w:sz="4" w:space="0" w:color="auto"/>
              <w:right w:val="nil"/>
            </w:tcBorders>
          </w:tcPr>
          <w:p w14:paraId="5E9AE94A"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Conjugate</w:t>
            </w:r>
          </w:p>
        </w:tc>
        <w:tc>
          <w:tcPr>
            <w:tcW w:w="987" w:type="dxa"/>
            <w:tcBorders>
              <w:top w:val="single" w:sz="4" w:space="0" w:color="auto"/>
              <w:left w:val="nil"/>
              <w:bottom w:val="single" w:sz="4" w:space="0" w:color="auto"/>
              <w:right w:val="nil"/>
            </w:tcBorders>
          </w:tcPr>
          <w:p w14:paraId="77F4AC59"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Dilution</w:t>
            </w:r>
          </w:p>
        </w:tc>
        <w:tc>
          <w:tcPr>
            <w:tcW w:w="1567" w:type="dxa"/>
            <w:tcBorders>
              <w:top w:val="single" w:sz="4" w:space="0" w:color="auto"/>
              <w:left w:val="nil"/>
              <w:bottom w:val="single" w:sz="4" w:space="0" w:color="auto"/>
            </w:tcBorders>
          </w:tcPr>
          <w:p w14:paraId="0084C4D4"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Cat Nr</w:t>
            </w:r>
          </w:p>
        </w:tc>
        <w:tc>
          <w:tcPr>
            <w:tcW w:w="2373" w:type="dxa"/>
            <w:tcBorders>
              <w:top w:val="single" w:sz="4" w:space="0" w:color="auto"/>
              <w:bottom w:val="single" w:sz="4" w:space="0" w:color="auto"/>
              <w:right w:val="nil"/>
            </w:tcBorders>
          </w:tcPr>
          <w:p w14:paraId="007F9B1D"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Company</w:t>
            </w:r>
          </w:p>
        </w:tc>
      </w:tr>
      <w:tr w:rsidR="005E423A" w:rsidRPr="00D21F7C" w14:paraId="2B2EC320" w14:textId="77777777" w:rsidTr="006F4C6F">
        <w:tc>
          <w:tcPr>
            <w:tcW w:w="2410" w:type="dxa"/>
            <w:tcBorders>
              <w:top w:val="single" w:sz="4" w:space="0" w:color="auto"/>
              <w:bottom w:val="nil"/>
              <w:right w:val="nil"/>
            </w:tcBorders>
          </w:tcPr>
          <w:p w14:paraId="349E16A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CD45</w:t>
            </w:r>
          </w:p>
        </w:tc>
        <w:tc>
          <w:tcPr>
            <w:tcW w:w="1701" w:type="dxa"/>
            <w:tcBorders>
              <w:top w:val="single" w:sz="4" w:space="0" w:color="auto"/>
              <w:bottom w:val="nil"/>
              <w:right w:val="nil"/>
            </w:tcBorders>
          </w:tcPr>
          <w:p w14:paraId="2FD8803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Percp cy5.5</w:t>
            </w:r>
          </w:p>
        </w:tc>
        <w:tc>
          <w:tcPr>
            <w:tcW w:w="987" w:type="dxa"/>
            <w:tcBorders>
              <w:top w:val="single" w:sz="4" w:space="0" w:color="auto"/>
              <w:left w:val="nil"/>
              <w:bottom w:val="nil"/>
              <w:right w:val="nil"/>
            </w:tcBorders>
          </w:tcPr>
          <w:p w14:paraId="1FBB1BD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single" w:sz="4" w:space="0" w:color="auto"/>
              <w:left w:val="nil"/>
              <w:bottom w:val="nil"/>
            </w:tcBorders>
          </w:tcPr>
          <w:p w14:paraId="6826DAF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45-0451-82</w:t>
            </w:r>
          </w:p>
        </w:tc>
        <w:tc>
          <w:tcPr>
            <w:tcW w:w="2373" w:type="dxa"/>
            <w:tcBorders>
              <w:top w:val="single" w:sz="4" w:space="0" w:color="auto"/>
              <w:bottom w:val="nil"/>
              <w:right w:val="nil"/>
            </w:tcBorders>
          </w:tcPr>
          <w:p w14:paraId="35AC39B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eBioscience</w:t>
            </w:r>
          </w:p>
        </w:tc>
      </w:tr>
      <w:tr w:rsidR="005E423A" w:rsidRPr="00D21F7C" w14:paraId="3EF81331" w14:textId="77777777" w:rsidTr="006F4C6F">
        <w:tc>
          <w:tcPr>
            <w:tcW w:w="2410" w:type="dxa"/>
            <w:tcBorders>
              <w:top w:val="nil"/>
              <w:bottom w:val="nil"/>
              <w:right w:val="nil"/>
            </w:tcBorders>
          </w:tcPr>
          <w:p w14:paraId="3C006B7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Rat anti-Mouse CD45 </w:t>
            </w:r>
          </w:p>
        </w:tc>
        <w:tc>
          <w:tcPr>
            <w:tcW w:w="1701" w:type="dxa"/>
            <w:tcBorders>
              <w:top w:val="nil"/>
              <w:bottom w:val="nil"/>
              <w:right w:val="nil"/>
            </w:tcBorders>
          </w:tcPr>
          <w:p w14:paraId="7727304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Pacific blue</w:t>
            </w:r>
          </w:p>
        </w:tc>
        <w:tc>
          <w:tcPr>
            <w:tcW w:w="987" w:type="dxa"/>
            <w:tcBorders>
              <w:top w:val="nil"/>
              <w:left w:val="nil"/>
              <w:bottom w:val="nil"/>
              <w:right w:val="nil"/>
            </w:tcBorders>
          </w:tcPr>
          <w:p w14:paraId="35733C2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20D6840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103125</w:t>
            </w:r>
          </w:p>
        </w:tc>
        <w:tc>
          <w:tcPr>
            <w:tcW w:w="2373" w:type="dxa"/>
            <w:tcBorders>
              <w:top w:val="nil"/>
              <w:bottom w:val="nil"/>
              <w:right w:val="nil"/>
            </w:tcBorders>
          </w:tcPr>
          <w:p w14:paraId="609493D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7A02261F" w14:textId="77777777" w:rsidTr="006F4C6F">
        <w:tc>
          <w:tcPr>
            <w:tcW w:w="2410" w:type="dxa"/>
            <w:tcBorders>
              <w:top w:val="nil"/>
              <w:bottom w:val="nil"/>
              <w:right w:val="nil"/>
            </w:tcBorders>
          </w:tcPr>
          <w:p w14:paraId="4E051D3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Rat anti-Mouse CD11b </w:t>
            </w:r>
          </w:p>
        </w:tc>
        <w:tc>
          <w:tcPr>
            <w:tcW w:w="1701" w:type="dxa"/>
            <w:tcBorders>
              <w:top w:val="nil"/>
              <w:bottom w:val="nil"/>
              <w:right w:val="nil"/>
            </w:tcBorders>
          </w:tcPr>
          <w:p w14:paraId="353E755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APC</w:t>
            </w:r>
          </w:p>
        </w:tc>
        <w:tc>
          <w:tcPr>
            <w:tcW w:w="987" w:type="dxa"/>
            <w:tcBorders>
              <w:top w:val="nil"/>
              <w:left w:val="nil"/>
              <w:bottom w:val="nil"/>
              <w:right w:val="nil"/>
            </w:tcBorders>
          </w:tcPr>
          <w:p w14:paraId="382934F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1FE1F32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101212</w:t>
            </w:r>
          </w:p>
        </w:tc>
        <w:tc>
          <w:tcPr>
            <w:tcW w:w="2373" w:type="dxa"/>
            <w:tcBorders>
              <w:top w:val="nil"/>
              <w:bottom w:val="nil"/>
              <w:right w:val="nil"/>
            </w:tcBorders>
          </w:tcPr>
          <w:p w14:paraId="3A3ABA1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7D969E24" w14:textId="77777777" w:rsidTr="006F4C6F">
        <w:tc>
          <w:tcPr>
            <w:tcW w:w="2410" w:type="dxa"/>
            <w:tcBorders>
              <w:top w:val="nil"/>
              <w:bottom w:val="nil"/>
              <w:right w:val="nil"/>
            </w:tcBorders>
          </w:tcPr>
          <w:p w14:paraId="3F7D79A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Rat anti-Mouse CD11b </w:t>
            </w:r>
          </w:p>
        </w:tc>
        <w:tc>
          <w:tcPr>
            <w:tcW w:w="1701" w:type="dxa"/>
            <w:tcBorders>
              <w:top w:val="nil"/>
              <w:bottom w:val="nil"/>
              <w:right w:val="nil"/>
            </w:tcBorders>
          </w:tcPr>
          <w:p w14:paraId="4BB2035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BV711</w:t>
            </w:r>
          </w:p>
        </w:tc>
        <w:tc>
          <w:tcPr>
            <w:tcW w:w="987" w:type="dxa"/>
            <w:tcBorders>
              <w:top w:val="nil"/>
              <w:left w:val="nil"/>
              <w:bottom w:val="nil"/>
              <w:right w:val="nil"/>
            </w:tcBorders>
          </w:tcPr>
          <w:p w14:paraId="073624F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4335498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101242</w:t>
            </w:r>
          </w:p>
        </w:tc>
        <w:tc>
          <w:tcPr>
            <w:tcW w:w="2373" w:type="dxa"/>
            <w:tcBorders>
              <w:top w:val="nil"/>
              <w:bottom w:val="nil"/>
              <w:right w:val="nil"/>
            </w:tcBorders>
          </w:tcPr>
          <w:p w14:paraId="6E52E7E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10F8D22D" w14:textId="77777777" w:rsidTr="006F4C6F">
        <w:tc>
          <w:tcPr>
            <w:tcW w:w="2410" w:type="dxa"/>
            <w:tcBorders>
              <w:top w:val="nil"/>
              <w:bottom w:val="nil"/>
              <w:right w:val="nil"/>
            </w:tcBorders>
          </w:tcPr>
          <w:p w14:paraId="163DD19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Rat anti-Mouse Ly6G </w:t>
            </w:r>
          </w:p>
        </w:tc>
        <w:tc>
          <w:tcPr>
            <w:tcW w:w="1701" w:type="dxa"/>
            <w:tcBorders>
              <w:top w:val="nil"/>
              <w:bottom w:val="nil"/>
              <w:right w:val="nil"/>
            </w:tcBorders>
          </w:tcPr>
          <w:p w14:paraId="5C9DD00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FITC</w:t>
            </w:r>
          </w:p>
        </w:tc>
        <w:tc>
          <w:tcPr>
            <w:tcW w:w="987" w:type="dxa"/>
            <w:tcBorders>
              <w:top w:val="nil"/>
              <w:left w:val="nil"/>
              <w:bottom w:val="nil"/>
              <w:right w:val="nil"/>
            </w:tcBorders>
          </w:tcPr>
          <w:p w14:paraId="2D42EF1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7BDB2EE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127606</w:t>
            </w:r>
          </w:p>
        </w:tc>
        <w:tc>
          <w:tcPr>
            <w:tcW w:w="2373" w:type="dxa"/>
            <w:tcBorders>
              <w:top w:val="nil"/>
              <w:bottom w:val="nil"/>
              <w:right w:val="nil"/>
            </w:tcBorders>
          </w:tcPr>
          <w:p w14:paraId="22A437A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17C2146B" w14:textId="77777777" w:rsidTr="006F4C6F">
        <w:tc>
          <w:tcPr>
            <w:tcW w:w="2410" w:type="dxa"/>
            <w:tcBorders>
              <w:top w:val="nil"/>
              <w:bottom w:val="nil"/>
              <w:right w:val="nil"/>
            </w:tcBorders>
          </w:tcPr>
          <w:p w14:paraId="34A3B22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Ly6G</w:t>
            </w:r>
          </w:p>
        </w:tc>
        <w:tc>
          <w:tcPr>
            <w:tcW w:w="1701" w:type="dxa"/>
            <w:tcBorders>
              <w:top w:val="nil"/>
              <w:bottom w:val="nil"/>
              <w:right w:val="nil"/>
            </w:tcBorders>
          </w:tcPr>
          <w:p w14:paraId="06F6900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APC cy7</w:t>
            </w:r>
          </w:p>
        </w:tc>
        <w:tc>
          <w:tcPr>
            <w:tcW w:w="987" w:type="dxa"/>
            <w:tcBorders>
              <w:top w:val="nil"/>
              <w:left w:val="nil"/>
              <w:bottom w:val="nil"/>
              <w:right w:val="nil"/>
            </w:tcBorders>
          </w:tcPr>
          <w:p w14:paraId="3BFF70A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51915490"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127624</w:t>
            </w:r>
          </w:p>
        </w:tc>
        <w:tc>
          <w:tcPr>
            <w:tcW w:w="2373" w:type="dxa"/>
            <w:tcBorders>
              <w:top w:val="nil"/>
              <w:bottom w:val="nil"/>
              <w:right w:val="nil"/>
            </w:tcBorders>
          </w:tcPr>
          <w:p w14:paraId="4F66045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656837EB" w14:textId="77777777" w:rsidTr="006F4C6F">
        <w:tc>
          <w:tcPr>
            <w:tcW w:w="2410" w:type="dxa"/>
            <w:tcBorders>
              <w:top w:val="nil"/>
              <w:bottom w:val="nil"/>
              <w:right w:val="nil"/>
            </w:tcBorders>
          </w:tcPr>
          <w:p w14:paraId="0B95FBE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Rat anti-Mouse Ly6C </w:t>
            </w:r>
          </w:p>
        </w:tc>
        <w:tc>
          <w:tcPr>
            <w:tcW w:w="1701" w:type="dxa"/>
            <w:tcBorders>
              <w:top w:val="nil"/>
              <w:bottom w:val="nil"/>
              <w:right w:val="nil"/>
            </w:tcBorders>
          </w:tcPr>
          <w:p w14:paraId="13EE8FA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AF700</w:t>
            </w:r>
          </w:p>
        </w:tc>
        <w:tc>
          <w:tcPr>
            <w:tcW w:w="987" w:type="dxa"/>
            <w:tcBorders>
              <w:top w:val="nil"/>
              <w:left w:val="nil"/>
              <w:bottom w:val="nil"/>
              <w:right w:val="nil"/>
            </w:tcBorders>
          </w:tcPr>
          <w:p w14:paraId="4209203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7325495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128023</w:t>
            </w:r>
          </w:p>
        </w:tc>
        <w:tc>
          <w:tcPr>
            <w:tcW w:w="2373" w:type="dxa"/>
            <w:tcBorders>
              <w:top w:val="nil"/>
              <w:bottom w:val="nil"/>
              <w:right w:val="nil"/>
            </w:tcBorders>
          </w:tcPr>
          <w:p w14:paraId="787CC39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0361B068" w14:textId="77777777" w:rsidTr="006F4C6F">
        <w:tc>
          <w:tcPr>
            <w:tcW w:w="2410" w:type="dxa"/>
            <w:tcBorders>
              <w:top w:val="nil"/>
              <w:bottom w:val="nil"/>
              <w:right w:val="nil"/>
            </w:tcBorders>
          </w:tcPr>
          <w:p w14:paraId="6A3617E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Rat anti-Mouse CD115 </w:t>
            </w:r>
          </w:p>
        </w:tc>
        <w:tc>
          <w:tcPr>
            <w:tcW w:w="1701" w:type="dxa"/>
            <w:tcBorders>
              <w:top w:val="nil"/>
              <w:bottom w:val="nil"/>
              <w:right w:val="nil"/>
            </w:tcBorders>
          </w:tcPr>
          <w:p w14:paraId="383FB11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BV421</w:t>
            </w:r>
          </w:p>
        </w:tc>
        <w:tc>
          <w:tcPr>
            <w:tcW w:w="987" w:type="dxa"/>
            <w:tcBorders>
              <w:top w:val="nil"/>
              <w:left w:val="nil"/>
              <w:bottom w:val="nil"/>
              <w:right w:val="nil"/>
            </w:tcBorders>
          </w:tcPr>
          <w:p w14:paraId="7E7A883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3DC8884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135513</w:t>
            </w:r>
          </w:p>
        </w:tc>
        <w:tc>
          <w:tcPr>
            <w:tcW w:w="2373" w:type="dxa"/>
            <w:tcBorders>
              <w:top w:val="nil"/>
              <w:bottom w:val="nil"/>
              <w:right w:val="nil"/>
            </w:tcBorders>
          </w:tcPr>
          <w:p w14:paraId="51213E5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14058665" w14:textId="77777777" w:rsidTr="006F4C6F">
        <w:tc>
          <w:tcPr>
            <w:tcW w:w="2410" w:type="dxa"/>
            <w:tcBorders>
              <w:top w:val="nil"/>
              <w:bottom w:val="nil"/>
              <w:right w:val="nil"/>
            </w:tcBorders>
          </w:tcPr>
          <w:p w14:paraId="55B9319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CD115</w:t>
            </w:r>
          </w:p>
        </w:tc>
        <w:tc>
          <w:tcPr>
            <w:tcW w:w="1701" w:type="dxa"/>
            <w:tcBorders>
              <w:top w:val="nil"/>
              <w:bottom w:val="nil"/>
              <w:right w:val="nil"/>
            </w:tcBorders>
          </w:tcPr>
          <w:p w14:paraId="3CB137D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BV605</w:t>
            </w:r>
          </w:p>
        </w:tc>
        <w:tc>
          <w:tcPr>
            <w:tcW w:w="987" w:type="dxa"/>
            <w:tcBorders>
              <w:top w:val="nil"/>
              <w:left w:val="nil"/>
              <w:bottom w:val="nil"/>
              <w:right w:val="nil"/>
            </w:tcBorders>
          </w:tcPr>
          <w:p w14:paraId="75B80AD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3084F53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135517</w:t>
            </w:r>
          </w:p>
        </w:tc>
        <w:tc>
          <w:tcPr>
            <w:tcW w:w="2373" w:type="dxa"/>
            <w:tcBorders>
              <w:top w:val="nil"/>
              <w:bottom w:val="nil"/>
              <w:right w:val="nil"/>
            </w:tcBorders>
          </w:tcPr>
          <w:p w14:paraId="77BFCC1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5173D930" w14:textId="77777777" w:rsidTr="006F4C6F">
        <w:tc>
          <w:tcPr>
            <w:tcW w:w="2410" w:type="dxa"/>
            <w:tcBorders>
              <w:top w:val="nil"/>
              <w:bottom w:val="nil"/>
              <w:right w:val="nil"/>
            </w:tcBorders>
          </w:tcPr>
          <w:p w14:paraId="330183D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Rat anti-Mouse F4/80 </w:t>
            </w:r>
          </w:p>
        </w:tc>
        <w:tc>
          <w:tcPr>
            <w:tcW w:w="1701" w:type="dxa"/>
            <w:tcBorders>
              <w:top w:val="nil"/>
              <w:bottom w:val="nil"/>
              <w:right w:val="nil"/>
            </w:tcBorders>
          </w:tcPr>
          <w:p w14:paraId="5C2CB7C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w:t>
            </w:r>
          </w:p>
        </w:tc>
        <w:tc>
          <w:tcPr>
            <w:tcW w:w="987" w:type="dxa"/>
            <w:tcBorders>
              <w:top w:val="nil"/>
              <w:left w:val="nil"/>
              <w:bottom w:val="nil"/>
              <w:right w:val="nil"/>
            </w:tcBorders>
          </w:tcPr>
          <w:p w14:paraId="3A946A1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6AB627A0"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123110</w:t>
            </w:r>
          </w:p>
        </w:tc>
        <w:tc>
          <w:tcPr>
            <w:tcW w:w="2373" w:type="dxa"/>
            <w:tcBorders>
              <w:top w:val="nil"/>
              <w:bottom w:val="nil"/>
              <w:right w:val="nil"/>
            </w:tcBorders>
          </w:tcPr>
          <w:p w14:paraId="691B255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77AF294B" w14:textId="77777777" w:rsidTr="006F4C6F">
        <w:tc>
          <w:tcPr>
            <w:tcW w:w="2410" w:type="dxa"/>
            <w:tcBorders>
              <w:top w:val="nil"/>
              <w:bottom w:val="nil"/>
              <w:right w:val="nil"/>
            </w:tcBorders>
          </w:tcPr>
          <w:p w14:paraId="645FDFD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F4/80</w:t>
            </w:r>
          </w:p>
        </w:tc>
        <w:tc>
          <w:tcPr>
            <w:tcW w:w="1701" w:type="dxa"/>
            <w:tcBorders>
              <w:top w:val="nil"/>
              <w:bottom w:val="nil"/>
              <w:right w:val="nil"/>
            </w:tcBorders>
          </w:tcPr>
          <w:p w14:paraId="4D1A963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PE/Cyanine7</w:t>
            </w:r>
          </w:p>
        </w:tc>
        <w:tc>
          <w:tcPr>
            <w:tcW w:w="987" w:type="dxa"/>
            <w:tcBorders>
              <w:top w:val="nil"/>
              <w:left w:val="nil"/>
              <w:bottom w:val="nil"/>
              <w:right w:val="nil"/>
            </w:tcBorders>
          </w:tcPr>
          <w:p w14:paraId="1002944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4DFF33C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123113</w:t>
            </w:r>
          </w:p>
        </w:tc>
        <w:tc>
          <w:tcPr>
            <w:tcW w:w="2373" w:type="dxa"/>
            <w:tcBorders>
              <w:top w:val="nil"/>
              <w:bottom w:val="nil"/>
              <w:right w:val="nil"/>
            </w:tcBorders>
          </w:tcPr>
          <w:p w14:paraId="5271ED7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439E1A07" w14:textId="77777777" w:rsidTr="006F4C6F">
        <w:tc>
          <w:tcPr>
            <w:tcW w:w="2410" w:type="dxa"/>
            <w:tcBorders>
              <w:top w:val="nil"/>
              <w:bottom w:val="nil"/>
              <w:right w:val="nil"/>
            </w:tcBorders>
          </w:tcPr>
          <w:p w14:paraId="15D01E4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B220</w:t>
            </w:r>
          </w:p>
        </w:tc>
        <w:tc>
          <w:tcPr>
            <w:tcW w:w="1701" w:type="dxa"/>
            <w:tcBorders>
              <w:top w:val="nil"/>
              <w:bottom w:val="nil"/>
              <w:right w:val="nil"/>
            </w:tcBorders>
          </w:tcPr>
          <w:p w14:paraId="6C256EC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PE-TR</w:t>
            </w:r>
          </w:p>
          <w:p w14:paraId="7317362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(Dazzle™ 594)</w:t>
            </w:r>
          </w:p>
        </w:tc>
        <w:tc>
          <w:tcPr>
            <w:tcW w:w="987" w:type="dxa"/>
            <w:tcBorders>
              <w:top w:val="nil"/>
              <w:left w:val="nil"/>
              <w:bottom w:val="nil"/>
              <w:right w:val="nil"/>
            </w:tcBorders>
          </w:tcPr>
          <w:p w14:paraId="5C859E8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0D1FA6F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103258</w:t>
            </w:r>
          </w:p>
        </w:tc>
        <w:tc>
          <w:tcPr>
            <w:tcW w:w="2373" w:type="dxa"/>
            <w:tcBorders>
              <w:top w:val="nil"/>
              <w:bottom w:val="nil"/>
              <w:right w:val="nil"/>
            </w:tcBorders>
          </w:tcPr>
          <w:p w14:paraId="125435B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4A778DAE" w14:textId="77777777" w:rsidTr="006F4C6F">
        <w:tc>
          <w:tcPr>
            <w:tcW w:w="2410" w:type="dxa"/>
            <w:tcBorders>
              <w:top w:val="nil"/>
              <w:bottom w:val="nil"/>
              <w:right w:val="nil"/>
            </w:tcBorders>
          </w:tcPr>
          <w:p w14:paraId="2359693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MHC-II</w:t>
            </w:r>
          </w:p>
        </w:tc>
        <w:tc>
          <w:tcPr>
            <w:tcW w:w="1701" w:type="dxa"/>
            <w:tcBorders>
              <w:top w:val="nil"/>
              <w:bottom w:val="nil"/>
              <w:right w:val="nil"/>
            </w:tcBorders>
          </w:tcPr>
          <w:p w14:paraId="38273C2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BV605</w:t>
            </w:r>
          </w:p>
        </w:tc>
        <w:tc>
          <w:tcPr>
            <w:tcW w:w="987" w:type="dxa"/>
            <w:tcBorders>
              <w:top w:val="nil"/>
              <w:left w:val="nil"/>
              <w:bottom w:val="nil"/>
              <w:right w:val="nil"/>
            </w:tcBorders>
          </w:tcPr>
          <w:p w14:paraId="543C5D3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2AD1032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107639</w:t>
            </w:r>
          </w:p>
        </w:tc>
        <w:tc>
          <w:tcPr>
            <w:tcW w:w="2373" w:type="dxa"/>
            <w:tcBorders>
              <w:top w:val="nil"/>
              <w:bottom w:val="nil"/>
              <w:right w:val="nil"/>
            </w:tcBorders>
          </w:tcPr>
          <w:p w14:paraId="2F722EB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464E77E6" w14:textId="77777777" w:rsidTr="006F4C6F">
        <w:tc>
          <w:tcPr>
            <w:tcW w:w="2410" w:type="dxa"/>
            <w:tcBorders>
              <w:top w:val="nil"/>
              <w:bottom w:val="nil"/>
              <w:right w:val="nil"/>
            </w:tcBorders>
          </w:tcPr>
          <w:p w14:paraId="67832C9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MHC-II</w:t>
            </w:r>
          </w:p>
        </w:tc>
        <w:tc>
          <w:tcPr>
            <w:tcW w:w="1701" w:type="dxa"/>
            <w:tcBorders>
              <w:top w:val="nil"/>
              <w:bottom w:val="nil"/>
              <w:right w:val="nil"/>
            </w:tcBorders>
          </w:tcPr>
          <w:p w14:paraId="2E51A72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PE/Cyanine7</w:t>
            </w:r>
          </w:p>
        </w:tc>
        <w:tc>
          <w:tcPr>
            <w:tcW w:w="987" w:type="dxa"/>
            <w:tcBorders>
              <w:top w:val="nil"/>
              <w:left w:val="nil"/>
              <w:bottom w:val="nil"/>
              <w:right w:val="nil"/>
            </w:tcBorders>
          </w:tcPr>
          <w:p w14:paraId="0D86029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691D637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107630</w:t>
            </w:r>
          </w:p>
        </w:tc>
        <w:tc>
          <w:tcPr>
            <w:tcW w:w="2373" w:type="dxa"/>
            <w:tcBorders>
              <w:top w:val="nil"/>
              <w:bottom w:val="nil"/>
              <w:right w:val="nil"/>
            </w:tcBorders>
          </w:tcPr>
          <w:p w14:paraId="277ECB6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4DB850A6" w14:textId="77777777" w:rsidTr="006F4C6F">
        <w:tc>
          <w:tcPr>
            <w:tcW w:w="2410" w:type="dxa"/>
            <w:tcBorders>
              <w:top w:val="nil"/>
              <w:bottom w:val="nil"/>
              <w:right w:val="nil"/>
            </w:tcBorders>
          </w:tcPr>
          <w:p w14:paraId="4B5A9CF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Armenian Hamster </w:t>
            </w:r>
          </w:p>
          <w:p w14:paraId="6E4413C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anti-Mouse CD11c</w:t>
            </w:r>
          </w:p>
        </w:tc>
        <w:tc>
          <w:tcPr>
            <w:tcW w:w="1701" w:type="dxa"/>
            <w:tcBorders>
              <w:top w:val="nil"/>
              <w:bottom w:val="nil"/>
              <w:right w:val="nil"/>
            </w:tcBorders>
          </w:tcPr>
          <w:p w14:paraId="44B7C30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BD Horizon BUV395</w:t>
            </w:r>
          </w:p>
        </w:tc>
        <w:tc>
          <w:tcPr>
            <w:tcW w:w="987" w:type="dxa"/>
            <w:tcBorders>
              <w:top w:val="nil"/>
              <w:left w:val="nil"/>
              <w:bottom w:val="nil"/>
              <w:right w:val="nil"/>
            </w:tcBorders>
          </w:tcPr>
          <w:p w14:paraId="58C11E8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03BD3C7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744180</w:t>
            </w:r>
          </w:p>
        </w:tc>
        <w:tc>
          <w:tcPr>
            <w:tcW w:w="2373" w:type="dxa"/>
            <w:tcBorders>
              <w:top w:val="nil"/>
              <w:bottom w:val="nil"/>
              <w:right w:val="nil"/>
            </w:tcBorders>
          </w:tcPr>
          <w:p w14:paraId="0DC4B09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BD Bioscience</w:t>
            </w:r>
          </w:p>
        </w:tc>
      </w:tr>
      <w:tr w:rsidR="005E423A" w:rsidRPr="00D21F7C" w14:paraId="09D4E904" w14:textId="77777777" w:rsidTr="006F4C6F">
        <w:tc>
          <w:tcPr>
            <w:tcW w:w="2410" w:type="dxa"/>
            <w:tcBorders>
              <w:top w:val="nil"/>
              <w:bottom w:val="nil"/>
              <w:right w:val="nil"/>
            </w:tcBorders>
          </w:tcPr>
          <w:p w14:paraId="32FAD370"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Armenian Hamster </w:t>
            </w:r>
          </w:p>
          <w:p w14:paraId="5B8E2F1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anti-Mouse CD11c</w:t>
            </w:r>
          </w:p>
        </w:tc>
        <w:tc>
          <w:tcPr>
            <w:tcW w:w="1701" w:type="dxa"/>
            <w:tcBorders>
              <w:top w:val="nil"/>
              <w:bottom w:val="nil"/>
              <w:right w:val="nil"/>
            </w:tcBorders>
          </w:tcPr>
          <w:p w14:paraId="78B0DF5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FITC</w:t>
            </w:r>
          </w:p>
        </w:tc>
        <w:tc>
          <w:tcPr>
            <w:tcW w:w="987" w:type="dxa"/>
            <w:tcBorders>
              <w:top w:val="nil"/>
              <w:left w:val="nil"/>
              <w:bottom w:val="nil"/>
              <w:right w:val="nil"/>
            </w:tcBorders>
          </w:tcPr>
          <w:p w14:paraId="3475EF7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2B708BA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117305</w:t>
            </w:r>
          </w:p>
        </w:tc>
        <w:tc>
          <w:tcPr>
            <w:tcW w:w="2373" w:type="dxa"/>
            <w:tcBorders>
              <w:top w:val="nil"/>
              <w:bottom w:val="nil"/>
              <w:right w:val="nil"/>
            </w:tcBorders>
          </w:tcPr>
          <w:p w14:paraId="17AAADA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4240A7DE" w14:textId="77777777" w:rsidTr="006F4C6F">
        <w:tc>
          <w:tcPr>
            <w:tcW w:w="2410" w:type="dxa"/>
            <w:tcBorders>
              <w:top w:val="nil"/>
              <w:bottom w:val="nil"/>
              <w:right w:val="nil"/>
            </w:tcBorders>
          </w:tcPr>
          <w:p w14:paraId="47FBEFE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CD3</w:t>
            </w:r>
          </w:p>
        </w:tc>
        <w:tc>
          <w:tcPr>
            <w:tcW w:w="1701" w:type="dxa"/>
            <w:tcBorders>
              <w:top w:val="nil"/>
              <w:bottom w:val="nil"/>
              <w:right w:val="nil"/>
            </w:tcBorders>
          </w:tcPr>
          <w:p w14:paraId="272F6CA0"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BV510</w:t>
            </w:r>
          </w:p>
        </w:tc>
        <w:tc>
          <w:tcPr>
            <w:tcW w:w="987" w:type="dxa"/>
            <w:tcBorders>
              <w:top w:val="nil"/>
              <w:left w:val="nil"/>
              <w:bottom w:val="nil"/>
              <w:right w:val="nil"/>
            </w:tcBorders>
          </w:tcPr>
          <w:p w14:paraId="61670BB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1:100</w:t>
            </w:r>
          </w:p>
        </w:tc>
        <w:tc>
          <w:tcPr>
            <w:tcW w:w="1567" w:type="dxa"/>
            <w:tcBorders>
              <w:top w:val="nil"/>
              <w:left w:val="nil"/>
              <w:bottom w:val="nil"/>
            </w:tcBorders>
          </w:tcPr>
          <w:p w14:paraId="49386FC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100234</w:t>
            </w:r>
          </w:p>
        </w:tc>
        <w:tc>
          <w:tcPr>
            <w:tcW w:w="2373" w:type="dxa"/>
            <w:tcBorders>
              <w:top w:val="nil"/>
              <w:bottom w:val="nil"/>
              <w:right w:val="nil"/>
            </w:tcBorders>
          </w:tcPr>
          <w:p w14:paraId="1524DD0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1AD84156" w14:textId="77777777" w:rsidTr="006F4C6F">
        <w:tc>
          <w:tcPr>
            <w:tcW w:w="2410" w:type="dxa"/>
            <w:tcBorders>
              <w:top w:val="nil"/>
              <w:bottom w:val="nil"/>
              <w:right w:val="nil"/>
            </w:tcBorders>
          </w:tcPr>
          <w:p w14:paraId="4574C45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CD4</w:t>
            </w:r>
          </w:p>
        </w:tc>
        <w:tc>
          <w:tcPr>
            <w:tcW w:w="1701" w:type="dxa"/>
            <w:tcBorders>
              <w:top w:val="nil"/>
              <w:bottom w:val="nil"/>
              <w:right w:val="nil"/>
            </w:tcBorders>
          </w:tcPr>
          <w:p w14:paraId="2B9C3B0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Pacific blue</w:t>
            </w:r>
          </w:p>
        </w:tc>
        <w:tc>
          <w:tcPr>
            <w:tcW w:w="987" w:type="dxa"/>
            <w:tcBorders>
              <w:top w:val="nil"/>
              <w:left w:val="nil"/>
              <w:bottom w:val="nil"/>
              <w:right w:val="nil"/>
            </w:tcBorders>
          </w:tcPr>
          <w:p w14:paraId="23907E9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7954350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100428</w:t>
            </w:r>
          </w:p>
        </w:tc>
        <w:tc>
          <w:tcPr>
            <w:tcW w:w="2373" w:type="dxa"/>
            <w:tcBorders>
              <w:top w:val="nil"/>
              <w:bottom w:val="nil"/>
              <w:right w:val="nil"/>
            </w:tcBorders>
          </w:tcPr>
          <w:p w14:paraId="2E840C4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2EA678EE" w14:textId="77777777" w:rsidTr="006F4C6F">
        <w:tc>
          <w:tcPr>
            <w:tcW w:w="2410" w:type="dxa"/>
            <w:tcBorders>
              <w:top w:val="nil"/>
              <w:bottom w:val="nil"/>
              <w:right w:val="nil"/>
            </w:tcBorders>
          </w:tcPr>
          <w:p w14:paraId="754F3A8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CD8</w:t>
            </w:r>
          </w:p>
        </w:tc>
        <w:tc>
          <w:tcPr>
            <w:tcW w:w="1701" w:type="dxa"/>
            <w:tcBorders>
              <w:top w:val="nil"/>
              <w:bottom w:val="nil"/>
              <w:right w:val="nil"/>
            </w:tcBorders>
          </w:tcPr>
          <w:p w14:paraId="7B857FB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FITC</w:t>
            </w:r>
          </w:p>
        </w:tc>
        <w:tc>
          <w:tcPr>
            <w:tcW w:w="987" w:type="dxa"/>
            <w:tcBorders>
              <w:top w:val="nil"/>
              <w:left w:val="nil"/>
              <w:bottom w:val="nil"/>
              <w:right w:val="nil"/>
            </w:tcBorders>
          </w:tcPr>
          <w:p w14:paraId="4B82A47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6DEC609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100705</w:t>
            </w:r>
          </w:p>
        </w:tc>
        <w:tc>
          <w:tcPr>
            <w:tcW w:w="2373" w:type="dxa"/>
            <w:tcBorders>
              <w:top w:val="nil"/>
              <w:bottom w:val="nil"/>
              <w:right w:val="nil"/>
            </w:tcBorders>
          </w:tcPr>
          <w:p w14:paraId="2042684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6673CF3D" w14:textId="77777777" w:rsidTr="006F4C6F">
        <w:tc>
          <w:tcPr>
            <w:tcW w:w="2410" w:type="dxa"/>
            <w:tcBorders>
              <w:top w:val="nil"/>
              <w:bottom w:val="nil"/>
              <w:right w:val="nil"/>
            </w:tcBorders>
          </w:tcPr>
          <w:p w14:paraId="437A0AD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CD62L</w:t>
            </w:r>
          </w:p>
        </w:tc>
        <w:tc>
          <w:tcPr>
            <w:tcW w:w="1701" w:type="dxa"/>
            <w:tcBorders>
              <w:top w:val="nil"/>
              <w:bottom w:val="nil"/>
              <w:right w:val="nil"/>
            </w:tcBorders>
          </w:tcPr>
          <w:p w14:paraId="3BFEC5C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PE/Cyanine7</w:t>
            </w:r>
          </w:p>
        </w:tc>
        <w:tc>
          <w:tcPr>
            <w:tcW w:w="987" w:type="dxa"/>
            <w:tcBorders>
              <w:top w:val="nil"/>
              <w:left w:val="nil"/>
              <w:bottom w:val="nil"/>
              <w:right w:val="nil"/>
            </w:tcBorders>
          </w:tcPr>
          <w:p w14:paraId="37F63DC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7CADF1D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25-0621-82</w:t>
            </w:r>
          </w:p>
        </w:tc>
        <w:tc>
          <w:tcPr>
            <w:tcW w:w="2373" w:type="dxa"/>
            <w:tcBorders>
              <w:top w:val="nil"/>
              <w:bottom w:val="nil"/>
              <w:right w:val="nil"/>
            </w:tcBorders>
          </w:tcPr>
          <w:p w14:paraId="38245F9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eBioscience</w:t>
            </w:r>
          </w:p>
        </w:tc>
      </w:tr>
      <w:tr w:rsidR="005E423A" w:rsidRPr="00D21F7C" w14:paraId="7A800EDD" w14:textId="77777777" w:rsidTr="006F4C6F">
        <w:tc>
          <w:tcPr>
            <w:tcW w:w="2410" w:type="dxa"/>
            <w:tcBorders>
              <w:top w:val="nil"/>
              <w:bottom w:val="nil"/>
              <w:right w:val="nil"/>
            </w:tcBorders>
          </w:tcPr>
          <w:p w14:paraId="03E2378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CD44</w:t>
            </w:r>
          </w:p>
        </w:tc>
        <w:tc>
          <w:tcPr>
            <w:tcW w:w="1701" w:type="dxa"/>
            <w:tcBorders>
              <w:top w:val="nil"/>
              <w:bottom w:val="nil"/>
              <w:right w:val="nil"/>
            </w:tcBorders>
          </w:tcPr>
          <w:p w14:paraId="1878B36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BV605</w:t>
            </w:r>
          </w:p>
        </w:tc>
        <w:tc>
          <w:tcPr>
            <w:tcW w:w="987" w:type="dxa"/>
            <w:tcBorders>
              <w:top w:val="nil"/>
              <w:left w:val="nil"/>
              <w:bottom w:val="nil"/>
              <w:right w:val="nil"/>
            </w:tcBorders>
          </w:tcPr>
          <w:p w14:paraId="6988025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21CF723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103047</w:t>
            </w:r>
          </w:p>
        </w:tc>
        <w:tc>
          <w:tcPr>
            <w:tcW w:w="2373" w:type="dxa"/>
            <w:tcBorders>
              <w:top w:val="nil"/>
              <w:bottom w:val="nil"/>
              <w:right w:val="nil"/>
            </w:tcBorders>
          </w:tcPr>
          <w:p w14:paraId="2E5E80C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33981EE3" w14:textId="77777777" w:rsidTr="006F4C6F">
        <w:tc>
          <w:tcPr>
            <w:tcW w:w="2410" w:type="dxa"/>
            <w:tcBorders>
              <w:top w:val="nil"/>
              <w:bottom w:val="nil"/>
              <w:right w:val="nil"/>
            </w:tcBorders>
          </w:tcPr>
          <w:p w14:paraId="1DC71EB0"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CD25</w:t>
            </w:r>
          </w:p>
        </w:tc>
        <w:tc>
          <w:tcPr>
            <w:tcW w:w="1701" w:type="dxa"/>
            <w:tcBorders>
              <w:top w:val="nil"/>
              <w:bottom w:val="nil"/>
              <w:right w:val="nil"/>
            </w:tcBorders>
          </w:tcPr>
          <w:p w14:paraId="7AF0F6B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FITC</w:t>
            </w:r>
          </w:p>
        </w:tc>
        <w:tc>
          <w:tcPr>
            <w:tcW w:w="987" w:type="dxa"/>
            <w:tcBorders>
              <w:top w:val="nil"/>
              <w:left w:val="nil"/>
              <w:bottom w:val="nil"/>
              <w:right w:val="nil"/>
            </w:tcBorders>
          </w:tcPr>
          <w:p w14:paraId="0935ADD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6B5ABF2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102005</w:t>
            </w:r>
          </w:p>
        </w:tc>
        <w:tc>
          <w:tcPr>
            <w:tcW w:w="2373" w:type="dxa"/>
            <w:tcBorders>
              <w:top w:val="nil"/>
              <w:bottom w:val="nil"/>
              <w:right w:val="nil"/>
            </w:tcBorders>
          </w:tcPr>
          <w:p w14:paraId="1365631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0A204D34" w14:textId="77777777" w:rsidTr="006F4C6F">
        <w:tc>
          <w:tcPr>
            <w:tcW w:w="2410" w:type="dxa"/>
            <w:tcBorders>
              <w:top w:val="nil"/>
              <w:bottom w:val="nil"/>
              <w:right w:val="nil"/>
            </w:tcBorders>
          </w:tcPr>
          <w:p w14:paraId="6DE5ABA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Rat Anti-Mouse/Rat Foxp3 </w:t>
            </w:r>
          </w:p>
        </w:tc>
        <w:tc>
          <w:tcPr>
            <w:tcW w:w="1701" w:type="dxa"/>
            <w:tcBorders>
              <w:top w:val="nil"/>
              <w:bottom w:val="nil"/>
              <w:right w:val="nil"/>
            </w:tcBorders>
          </w:tcPr>
          <w:p w14:paraId="1EF7008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w:t>
            </w:r>
          </w:p>
        </w:tc>
        <w:tc>
          <w:tcPr>
            <w:tcW w:w="987" w:type="dxa"/>
            <w:tcBorders>
              <w:top w:val="nil"/>
              <w:left w:val="nil"/>
              <w:bottom w:val="nil"/>
              <w:right w:val="nil"/>
            </w:tcBorders>
          </w:tcPr>
          <w:p w14:paraId="04DD2E2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1:100</w:t>
            </w:r>
          </w:p>
        </w:tc>
        <w:tc>
          <w:tcPr>
            <w:tcW w:w="1567" w:type="dxa"/>
            <w:tcBorders>
              <w:top w:val="nil"/>
              <w:left w:val="nil"/>
              <w:bottom w:val="nil"/>
            </w:tcBorders>
          </w:tcPr>
          <w:p w14:paraId="3440CE4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72-5775-40</w:t>
            </w:r>
          </w:p>
        </w:tc>
        <w:tc>
          <w:tcPr>
            <w:tcW w:w="2373" w:type="dxa"/>
            <w:tcBorders>
              <w:top w:val="nil"/>
              <w:bottom w:val="nil"/>
              <w:right w:val="nil"/>
            </w:tcBorders>
          </w:tcPr>
          <w:p w14:paraId="353695D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eBioscience</w:t>
            </w:r>
          </w:p>
        </w:tc>
      </w:tr>
      <w:tr w:rsidR="005E423A" w:rsidRPr="00D21F7C" w14:paraId="705527B7" w14:textId="77777777" w:rsidTr="006F4C6F">
        <w:tc>
          <w:tcPr>
            <w:tcW w:w="2410" w:type="dxa"/>
            <w:tcBorders>
              <w:top w:val="nil"/>
              <w:bottom w:val="nil"/>
              <w:right w:val="nil"/>
            </w:tcBorders>
          </w:tcPr>
          <w:p w14:paraId="143E786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IL-10</w:t>
            </w:r>
          </w:p>
        </w:tc>
        <w:tc>
          <w:tcPr>
            <w:tcW w:w="1701" w:type="dxa"/>
            <w:tcBorders>
              <w:top w:val="nil"/>
              <w:bottom w:val="nil"/>
              <w:right w:val="nil"/>
            </w:tcBorders>
          </w:tcPr>
          <w:p w14:paraId="3B9E610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w:t>
            </w:r>
          </w:p>
        </w:tc>
        <w:tc>
          <w:tcPr>
            <w:tcW w:w="987" w:type="dxa"/>
            <w:tcBorders>
              <w:top w:val="nil"/>
              <w:left w:val="nil"/>
              <w:bottom w:val="nil"/>
              <w:right w:val="nil"/>
            </w:tcBorders>
          </w:tcPr>
          <w:p w14:paraId="45FC762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1:100</w:t>
            </w:r>
          </w:p>
        </w:tc>
        <w:tc>
          <w:tcPr>
            <w:tcW w:w="1567" w:type="dxa"/>
            <w:tcBorders>
              <w:top w:val="nil"/>
              <w:left w:val="nil"/>
              <w:bottom w:val="nil"/>
            </w:tcBorders>
          </w:tcPr>
          <w:p w14:paraId="014D634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12-7101-82</w:t>
            </w:r>
          </w:p>
        </w:tc>
        <w:tc>
          <w:tcPr>
            <w:tcW w:w="2373" w:type="dxa"/>
            <w:tcBorders>
              <w:top w:val="nil"/>
              <w:bottom w:val="nil"/>
              <w:right w:val="nil"/>
            </w:tcBorders>
          </w:tcPr>
          <w:p w14:paraId="10E65B9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eBioscience™</w:t>
            </w:r>
          </w:p>
        </w:tc>
      </w:tr>
      <w:tr w:rsidR="005E423A" w:rsidRPr="00D21F7C" w14:paraId="22A48193" w14:textId="77777777" w:rsidTr="006F4C6F">
        <w:tc>
          <w:tcPr>
            <w:tcW w:w="2410" w:type="dxa"/>
            <w:tcBorders>
              <w:top w:val="nil"/>
              <w:bottom w:val="nil"/>
              <w:right w:val="nil"/>
            </w:tcBorders>
          </w:tcPr>
          <w:p w14:paraId="0DE19E1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Rat anti-Mouse IL-17A </w:t>
            </w:r>
          </w:p>
        </w:tc>
        <w:tc>
          <w:tcPr>
            <w:tcW w:w="1701" w:type="dxa"/>
            <w:tcBorders>
              <w:top w:val="nil"/>
              <w:bottom w:val="nil"/>
              <w:right w:val="nil"/>
            </w:tcBorders>
          </w:tcPr>
          <w:p w14:paraId="237AAB4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APC</w:t>
            </w:r>
          </w:p>
        </w:tc>
        <w:tc>
          <w:tcPr>
            <w:tcW w:w="987" w:type="dxa"/>
            <w:tcBorders>
              <w:top w:val="nil"/>
              <w:left w:val="nil"/>
              <w:bottom w:val="nil"/>
              <w:right w:val="nil"/>
            </w:tcBorders>
          </w:tcPr>
          <w:p w14:paraId="340A85B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1:100</w:t>
            </w:r>
          </w:p>
        </w:tc>
        <w:tc>
          <w:tcPr>
            <w:tcW w:w="1567" w:type="dxa"/>
            <w:tcBorders>
              <w:top w:val="nil"/>
              <w:left w:val="nil"/>
              <w:bottom w:val="nil"/>
            </w:tcBorders>
          </w:tcPr>
          <w:p w14:paraId="12B9523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506916</w:t>
            </w:r>
          </w:p>
        </w:tc>
        <w:tc>
          <w:tcPr>
            <w:tcW w:w="2373" w:type="dxa"/>
            <w:tcBorders>
              <w:top w:val="nil"/>
              <w:bottom w:val="nil"/>
              <w:right w:val="nil"/>
            </w:tcBorders>
          </w:tcPr>
          <w:p w14:paraId="6A92F3E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5657DAC7" w14:textId="77777777" w:rsidTr="006F4C6F">
        <w:tc>
          <w:tcPr>
            <w:tcW w:w="2410" w:type="dxa"/>
            <w:tcBorders>
              <w:top w:val="nil"/>
              <w:bottom w:val="nil"/>
              <w:right w:val="nil"/>
            </w:tcBorders>
          </w:tcPr>
          <w:p w14:paraId="1C0B99E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IL-4</w:t>
            </w:r>
          </w:p>
        </w:tc>
        <w:tc>
          <w:tcPr>
            <w:tcW w:w="1701" w:type="dxa"/>
            <w:tcBorders>
              <w:top w:val="nil"/>
              <w:bottom w:val="nil"/>
              <w:right w:val="nil"/>
            </w:tcBorders>
          </w:tcPr>
          <w:p w14:paraId="041C00E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BV421</w:t>
            </w:r>
          </w:p>
        </w:tc>
        <w:tc>
          <w:tcPr>
            <w:tcW w:w="987" w:type="dxa"/>
            <w:tcBorders>
              <w:top w:val="nil"/>
              <w:left w:val="nil"/>
              <w:bottom w:val="nil"/>
              <w:right w:val="nil"/>
            </w:tcBorders>
          </w:tcPr>
          <w:p w14:paraId="415C149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1:100</w:t>
            </w:r>
          </w:p>
        </w:tc>
        <w:tc>
          <w:tcPr>
            <w:tcW w:w="1567" w:type="dxa"/>
            <w:tcBorders>
              <w:top w:val="nil"/>
              <w:left w:val="nil"/>
              <w:bottom w:val="nil"/>
            </w:tcBorders>
          </w:tcPr>
          <w:p w14:paraId="048E707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504119</w:t>
            </w:r>
          </w:p>
        </w:tc>
        <w:tc>
          <w:tcPr>
            <w:tcW w:w="2373" w:type="dxa"/>
            <w:tcBorders>
              <w:top w:val="nil"/>
              <w:bottom w:val="nil"/>
              <w:right w:val="nil"/>
            </w:tcBorders>
          </w:tcPr>
          <w:p w14:paraId="677D8B5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3BC29D4F" w14:textId="77777777" w:rsidTr="006F4C6F">
        <w:tc>
          <w:tcPr>
            <w:tcW w:w="2410" w:type="dxa"/>
            <w:tcBorders>
              <w:top w:val="nil"/>
              <w:bottom w:val="nil"/>
              <w:right w:val="nil"/>
            </w:tcBorders>
          </w:tcPr>
          <w:p w14:paraId="0370F16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IFN-γ</w:t>
            </w:r>
          </w:p>
        </w:tc>
        <w:tc>
          <w:tcPr>
            <w:tcW w:w="1701" w:type="dxa"/>
            <w:tcBorders>
              <w:top w:val="nil"/>
              <w:bottom w:val="nil"/>
              <w:right w:val="nil"/>
            </w:tcBorders>
          </w:tcPr>
          <w:p w14:paraId="1EE94EC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PE/Cyanine7</w:t>
            </w:r>
          </w:p>
        </w:tc>
        <w:tc>
          <w:tcPr>
            <w:tcW w:w="987" w:type="dxa"/>
            <w:tcBorders>
              <w:top w:val="nil"/>
              <w:left w:val="nil"/>
              <w:bottom w:val="nil"/>
              <w:right w:val="nil"/>
            </w:tcBorders>
          </w:tcPr>
          <w:p w14:paraId="77805D7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1:100</w:t>
            </w:r>
          </w:p>
        </w:tc>
        <w:tc>
          <w:tcPr>
            <w:tcW w:w="1567" w:type="dxa"/>
            <w:tcBorders>
              <w:top w:val="nil"/>
              <w:left w:val="nil"/>
              <w:bottom w:val="nil"/>
            </w:tcBorders>
          </w:tcPr>
          <w:p w14:paraId="128EA66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561040</w:t>
            </w:r>
          </w:p>
        </w:tc>
        <w:tc>
          <w:tcPr>
            <w:tcW w:w="2373" w:type="dxa"/>
            <w:tcBorders>
              <w:top w:val="nil"/>
              <w:bottom w:val="nil"/>
              <w:right w:val="nil"/>
            </w:tcBorders>
          </w:tcPr>
          <w:p w14:paraId="05918C5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BD Biosciences</w:t>
            </w:r>
          </w:p>
        </w:tc>
      </w:tr>
      <w:tr w:rsidR="005E423A" w:rsidRPr="00D21F7C" w14:paraId="5687E3BA" w14:textId="77777777" w:rsidTr="006F4C6F">
        <w:tc>
          <w:tcPr>
            <w:tcW w:w="2410" w:type="dxa"/>
            <w:tcBorders>
              <w:top w:val="nil"/>
              <w:bottom w:val="nil"/>
              <w:right w:val="nil"/>
            </w:tcBorders>
          </w:tcPr>
          <w:p w14:paraId="3419AB2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Armenian Hamster anti-Mouse CCR6</w:t>
            </w:r>
          </w:p>
        </w:tc>
        <w:tc>
          <w:tcPr>
            <w:tcW w:w="1701" w:type="dxa"/>
            <w:tcBorders>
              <w:top w:val="nil"/>
              <w:bottom w:val="nil"/>
              <w:right w:val="nil"/>
            </w:tcBorders>
          </w:tcPr>
          <w:p w14:paraId="57C7CDA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w:t>
            </w:r>
          </w:p>
        </w:tc>
        <w:tc>
          <w:tcPr>
            <w:tcW w:w="987" w:type="dxa"/>
            <w:tcBorders>
              <w:top w:val="nil"/>
              <w:left w:val="nil"/>
              <w:bottom w:val="nil"/>
              <w:right w:val="nil"/>
            </w:tcBorders>
          </w:tcPr>
          <w:p w14:paraId="2728B13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1:100</w:t>
            </w:r>
          </w:p>
        </w:tc>
        <w:tc>
          <w:tcPr>
            <w:tcW w:w="1567" w:type="dxa"/>
            <w:tcBorders>
              <w:top w:val="nil"/>
              <w:left w:val="nil"/>
              <w:bottom w:val="nil"/>
            </w:tcBorders>
          </w:tcPr>
          <w:p w14:paraId="5F23845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129803</w:t>
            </w:r>
          </w:p>
        </w:tc>
        <w:tc>
          <w:tcPr>
            <w:tcW w:w="2373" w:type="dxa"/>
            <w:tcBorders>
              <w:top w:val="nil"/>
              <w:bottom w:val="nil"/>
              <w:right w:val="nil"/>
            </w:tcBorders>
          </w:tcPr>
          <w:p w14:paraId="7099C78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3CF2CB32" w14:textId="77777777" w:rsidTr="006F4C6F">
        <w:tc>
          <w:tcPr>
            <w:tcW w:w="2410" w:type="dxa"/>
            <w:tcBorders>
              <w:top w:val="nil"/>
              <w:bottom w:val="nil"/>
              <w:right w:val="nil"/>
            </w:tcBorders>
          </w:tcPr>
          <w:p w14:paraId="3638293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Armenian Hamster anti-Mouse CXCR3</w:t>
            </w:r>
          </w:p>
        </w:tc>
        <w:tc>
          <w:tcPr>
            <w:tcW w:w="1701" w:type="dxa"/>
            <w:tcBorders>
              <w:top w:val="nil"/>
              <w:bottom w:val="nil"/>
              <w:right w:val="nil"/>
            </w:tcBorders>
          </w:tcPr>
          <w:p w14:paraId="23920A3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PE/Cyanine7</w:t>
            </w:r>
          </w:p>
        </w:tc>
        <w:tc>
          <w:tcPr>
            <w:tcW w:w="987" w:type="dxa"/>
            <w:tcBorders>
              <w:top w:val="nil"/>
              <w:left w:val="nil"/>
              <w:bottom w:val="nil"/>
              <w:right w:val="nil"/>
            </w:tcBorders>
          </w:tcPr>
          <w:p w14:paraId="349F5ED0"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1:100</w:t>
            </w:r>
          </w:p>
        </w:tc>
        <w:tc>
          <w:tcPr>
            <w:tcW w:w="1567" w:type="dxa"/>
            <w:tcBorders>
              <w:top w:val="nil"/>
              <w:left w:val="nil"/>
              <w:bottom w:val="nil"/>
            </w:tcBorders>
          </w:tcPr>
          <w:p w14:paraId="6105222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126515</w:t>
            </w:r>
          </w:p>
        </w:tc>
        <w:tc>
          <w:tcPr>
            <w:tcW w:w="2373" w:type="dxa"/>
            <w:tcBorders>
              <w:top w:val="nil"/>
              <w:bottom w:val="nil"/>
              <w:right w:val="nil"/>
            </w:tcBorders>
          </w:tcPr>
          <w:p w14:paraId="1CFD5000"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2D89075E" w14:textId="77777777" w:rsidTr="006F4C6F">
        <w:tc>
          <w:tcPr>
            <w:tcW w:w="2410" w:type="dxa"/>
            <w:tcBorders>
              <w:top w:val="nil"/>
              <w:bottom w:val="nil"/>
              <w:right w:val="nil"/>
            </w:tcBorders>
          </w:tcPr>
          <w:p w14:paraId="496A03A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Armenian Hamster anti-Mouse CD36</w:t>
            </w:r>
          </w:p>
        </w:tc>
        <w:tc>
          <w:tcPr>
            <w:tcW w:w="1701" w:type="dxa"/>
            <w:tcBorders>
              <w:top w:val="nil"/>
              <w:bottom w:val="nil"/>
              <w:right w:val="nil"/>
            </w:tcBorders>
          </w:tcPr>
          <w:p w14:paraId="031BB46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w:t>
            </w:r>
          </w:p>
        </w:tc>
        <w:tc>
          <w:tcPr>
            <w:tcW w:w="987" w:type="dxa"/>
            <w:tcBorders>
              <w:top w:val="nil"/>
              <w:left w:val="nil"/>
              <w:bottom w:val="nil"/>
              <w:right w:val="nil"/>
            </w:tcBorders>
          </w:tcPr>
          <w:p w14:paraId="58E4A1D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5622A24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102605</w:t>
            </w:r>
          </w:p>
        </w:tc>
        <w:tc>
          <w:tcPr>
            <w:tcW w:w="2373" w:type="dxa"/>
            <w:tcBorders>
              <w:top w:val="nil"/>
              <w:bottom w:val="nil"/>
              <w:right w:val="nil"/>
            </w:tcBorders>
          </w:tcPr>
          <w:p w14:paraId="09B9875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2E93653D" w14:textId="77777777" w:rsidTr="006F4C6F">
        <w:tc>
          <w:tcPr>
            <w:tcW w:w="2410" w:type="dxa"/>
            <w:tcBorders>
              <w:top w:val="nil"/>
              <w:bottom w:val="nil"/>
              <w:right w:val="nil"/>
            </w:tcBorders>
          </w:tcPr>
          <w:p w14:paraId="7CEC6BE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Armenian Hamster anti-Mouse CD80</w:t>
            </w:r>
          </w:p>
        </w:tc>
        <w:tc>
          <w:tcPr>
            <w:tcW w:w="1701" w:type="dxa"/>
            <w:tcBorders>
              <w:top w:val="nil"/>
              <w:bottom w:val="nil"/>
              <w:right w:val="nil"/>
            </w:tcBorders>
          </w:tcPr>
          <w:p w14:paraId="14F5479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APC</w:t>
            </w:r>
          </w:p>
        </w:tc>
        <w:tc>
          <w:tcPr>
            <w:tcW w:w="987" w:type="dxa"/>
            <w:tcBorders>
              <w:top w:val="nil"/>
              <w:left w:val="nil"/>
              <w:bottom w:val="nil"/>
              <w:right w:val="nil"/>
            </w:tcBorders>
          </w:tcPr>
          <w:p w14:paraId="20C7C29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2A8031A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104714</w:t>
            </w:r>
          </w:p>
        </w:tc>
        <w:tc>
          <w:tcPr>
            <w:tcW w:w="2373" w:type="dxa"/>
            <w:tcBorders>
              <w:top w:val="nil"/>
              <w:bottom w:val="nil"/>
              <w:right w:val="nil"/>
            </w:tcBorders>
          </w:tcPr>
          <w:p w14:paraId="12FDD2F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4D2EAE83" w14:textId="77777777" w:rsidTr="006F4C6F">
        <w:tc>
          <w:tcPr>
            <w:tcW w:w="2410" w:type="dxa"/>
            <w:tcBorders>
              <w:top w:val="nil"/>
              <w:bottom w:val="nil"/>
              <w:right w:val="nil"/>
            </w:tcBorders>
          </w:tcPr>
          <w:p w14:paraId="679F934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 CD86</w:t>
            </w:r>
          </w:p>
        </w:tc>
        <w:tc>
          <w:tcPr>
            <w:tcW w:w="1701" w:type="dxa"/>
            <w:tcBorders>
              <w:top w:val="nil"/>
              <w:bottom w:val="nil"/>
              <w:right w:val="nil"/>
            </w:tcBorders>
          </w:tcPr>
          <w:p w14:paraId="6FE1D48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FITC</w:t>
            </w:r>
          </w:p>
        </w:tc>
        <w:tc>
          <w:tcPr>
            <w:tcW w:w="987" w:type="dxa"/>
            <w:tcBorders>
              <w:top w:val="nil"/>
              <w:left w:val="nil"/>
              <w:bottom w:val="nil"/>
              <w:right w:val="nil"/>
            </w:tcBorders>
          </w:tcPr>
          <w:p w14:paraId="45A2E85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15B7BBA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105005</w:t>
            </w:r>
          </w:p>
        </w:tc>
        <w:tc>
          <w:tcPr>
            <w:tcW w:w="2373" w:type="dxa"/>
            <w:tcBorders>
              <w:top w:val="nil"/>
              <w:bottom w:val="nil"/>
              <w:right w:val="nil"/>
            </w:tcBorders>
          </w:tcPr>
          <w:p w14:paraId="44A6C70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68DA754D" w14:textId="77777777" w:rsidTr="006F4C6F">
        <w:tc>
          <w:tcPr>
            <w:tcW w:w="2410" w:type="dxa"/>
            <w:tcBorders>
              <w:top w:val="nil"/>
              <w:bottom w:val="nil"/>
              <w:right w:val="nil"/>
            </w:tcBorders>
          </w:tcPr>
          <w:p w14:paraId="12E9B64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Rat anti-Mouse CD206 </w:t>
            </w:r>
          </w:p>
          <w:p w14:paraId="2B03723A" w14:textId="77777777" w:rsidR="005E423A" w:rsidRPr="00D21F7C" w:rsidRDefault="005E423A" w:rsidP="006F4C6F">
            <w:pPr>
              <w:rPr>
                <w:rFonts w:ascii="Times New Roman" w:hAnsi="Times New Roman" w:cs="Times New Roman"/>
                <w:sz w:val="20"/>
                <w:szCs w:val="20"/>
              </w:rPr>
            </w:pPr>
          </w:p>
        </w:tc>
        <w:tc>
          <w:tcPr>
            <w:tcW w:w="1701" w:type="dxa"/>
            <w:tcBorders>
              <w:top w:val="nil"/>
              <w:bottom w:val="nil"/>
              <w:right w:val="nil"/>
            </w:tcBorders>
          </w:tcPr>
          <w:p w14:paraId="3E41F52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PE-TR</w:t>
            </w:r>
          </w:p>
          <w:p w14:paraId="0365FFE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(Dazzle™ 594)</w:t>
            </w:r>
          </w:p>
        </w:tc>
        <w:tc>
          <w:tcPr>
            <w:tcW w:w="987" w:type="dxa"/>
            <w:tcBorders>
              <w:top w:val="nil"/>
              <w:left w:val="nil"/>
              <w:bottom w:val="nil"/>
              <w:right w:val="nil"/>
            </w:tcBorders>
          </w:tcPr>
          <w:p w14:paraId="7B181A7C" w14:textId="77777777" w:rsidR="005E423A" w:rsidRPr="00D21F7C" w:rsidRDefault="005E423A" w:rsidP="006F4C6F">
            <w:pPr>
              <w:rPr>
                <w:rFonts w:ascii="Times New Roman" w:hAnsi="Times New Roman" w:cs="Times New Roman"/>
                <w:sz w:val="20"/>
                <w:szCs w:val="20"/>
              </w:rPr>
            </w:pPr>
          </w:p>
        </w:tc>
        <w:tc>
          <w:tcPr>
            <w:tcW w:w="1567" w:type="dxa"/>
            <w:tcBorders>
              <w:top w:val="nil"/>
              <w:left w:val="nil"/>
              <w:bottom w:val="nil"/>
            </w:tcBorders>
          </w:tcPr>
          <w:p w14:paraId="66BCFCC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141732</w:t>
            </w:r>
          </w:p>
        </w:tc>
        <w:tc>
          <w:tcPr>
            <w:tcW w:w="2373" w:type="dxa"/>
            <w:tcBorders>
              <w:top w:val="nil"/>
              <w:bottom w:val="nil"/>
              <w:right w:val="nil"/>
            </w:tcBorders>
          </w:tcPr>
          <w:p w14:paraId="7B39861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459F449B" w14:textId="77777777" w:rsidTr="006F4C6F">
        <w:tc>
          <w:tcPr>
            <w:tcW w:w="2410" w:type="dxa"/>
            <w:tcBorders>
              <w:top w:val="nil"/>
              <w:bottom w:val="nil"/>
              <w:right w:val="nil"/>
            </w:tcBorders>
          </w:tcPr>
          <w:p w14:paraId="1FD2ED8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Armenian Hamster anti-</w:t>
            </w:r>
            <w:r w:rsidRPr="00D21F7C">
              <w:rPr>
                <w:rFonts w:ascii="Times New Roman" w:hAnsi="Times New Roman" w:cs="Times New Roman"/>
                <w:sz w:val="20"/>
                <w:szCs w:val="20"/>
              </w:rPr>
              <w:lastRenderedPageBreak/>
              <w:t>Mouse Notch1</w:t>
            </w:r>
          </w:p>
        </w:tc>
        <w:tc>
          <w:tcPr>
            <w:tcW w:w="1701" w:type="dxa"/>
            <w:tcBorders>
              <w:top w:val="nil"/>
              <w:bottom w:val="nil"/>
              <w:right w:val="nil"/>
            </w:tcBorders>
          </w:tcPr>
          <w:p w14:paraId="79EE423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lastRenderedPageBreak/>
              <w:t>BV421</w:t>
            </w:r>
          </w:p>
        </w:tc>
        <w:tc>
          <w:tcPr>
            <w:tcW w:w="987" w:type="dxa"/>
            <w:tcBorders>
              <w:top w:val="nil"/>
              <w:left w:val="nil"/>
              <w:bottom w:val="nil"/>
              <w:right w:val="nil"/>
            </w:tcBorders>
          </w:tcPr>
          <w:p w14:paraId="446FBF8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5uL/test</w:t>
            </w:r>
          </w:p>
        </w:tc>
        <w:tc>
          <w:tcPr>
            <w:tcW w:w="1567" w:type="dxa"/>
            <w:tcBorders>
              <w:top w:val="nil"/>
              <w:left w:val="nil"/>
              <w:bottom w:val="nil"/>
            </w:tcBorders>
          </w:tcPr>
          <w:p w14:paraId="0E128B4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130615</w:t>
            </w:r>
          </w:p>
        </w:tc>
        <w:tc>
          <w:tcPr>
            <w:tcW w:w="2373" w:type="dxa"/>
            <w:tcBorders>
              <w:top w:val="nil"/>
              <w:bottom w:val="nil"/>
              <w:right w:val="nil"/>
            </w:tcBorders>
          </w:tcPr>
          <w:p w14:paraId="7875432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7F6D56FE" w14:textId="77777777" w:rsidTr="006F4C6F">
        <w:tc>
          <w:tcPr>
            <w:tcW w:w="2410" w:type="dxa"/>
            <w:tcBorders>
              <w:top w:val="nil"/>
              <w:bottom w:val="nil"/>
              <w:right w:val="nil"/>
            </w:tcBorders>
          </w:tcPr>
          <w:p w14:paraId="0A17C2C2"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Armenian Hamster anti-Mouse Notch2</w:t>
            </w:r>
          </w:p>
        </w:tc>
        <w:tc>
          <w:tcPr>
            <w:tcW w:w="1701" w:type="dxa"/>
            <w:tcBorders>
              <w:top w:val="nil"/>
              <w:bottom w:val="nil"/>
              <w:right w:val="nil"/>
            </w:tcBorders>
          </w:tcPr>
          <w:p w14:paraId="4C9734C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w:t>
            </w:r>
          </w:p>
        </w:tc>
        <w:tc>
          <w:tcPr>
            <w:tcW w:w="987" w:type="dxa"/>
            <w:tcBorders>
              <w:top w:val="nil"/>
              <w:left w:val="nil"/>
              <w:bottom w:val="nil"/>
              <w:right w:val="nil"/>
            </w:tcBorders>
          </w:tcPr>
          <w:p w14:paraId="5FD0F89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5uL/test</w:t>
            </w:r>
          </w:p>
        </w:tc>
        <w:tc>
          <w:tcPr>
            <w:tcW w:w="1567" w:type="dxa"/>
            <w:tcBorders>
              <w:top w:val="nil"/>
              <w:left w:val="nil"/>
              <w:bottom w:val="nil"/>
            </w:tcBorders>
          </w:tcPr>
          <w:p w14:paraId="6EDD45B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130707</w:t>
            </w:r>
          </w:p>
        </w:tc>
        <w:tc>
          <w:tcPr>
            <w:tcW w:w="2373" w:type="dxa"/>
            <w:tcBorders>
              <w:top w:val="nil"/>
              <w:bottom w:val="nil"/>
              <w:right w:val="nil"/>
            </w:tcBorders>
          </w:tcPr>
          <w:p w14:paraId="39C96D2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514196AC" w14:textId="77777777" w:rsidTr="006F4C6F">
        <w:tc>
          <w:tcPr>
            <w:tcW w:w="2410" w:type="dxa"/>
            <w:tcBorders>
              <w:top w:val="nil"/>
              <w:bottom w:val="nil"/>
              <w:right w:val="nil"/>
            </w:tcBorders>
          </w:tcPr>
          <w:p w14:paraId="20AF48B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Mouse anti-Human CD45</w:t>
            </w:r>
          </w:p>
        </w:tc>
        <w:tc>
          <w:tcPr>
            <w:tcW w:w="1701" w:type="dxa"/>
            <w:tcBorders>
              <w:top w:val="nil"/>
              <w:bottom w:val="nil"/>
              <w:right w:val="nil"/>
            </w:tcBorders>
          </w:tcPr>
          <w:p w14:paraId="7F851A1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Alexa Fluor® 700</w:t>
            </w:r>
          </w:p>
        </w:tc>
        <w:tc>
          <w:tcPr>
            <w:tcW w:w="987" w:type="dxa"/>
            <w:tcBorders>
              <w:top w:val="nil"/>
              <w:left w:val="nil"/>
              <w:bottom w:val="nil"/>
              <w:right w:val="nil"/>
            </w:tcBorders>
          </w:tcPr>
          <w:p w14:paraId="304722D3"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5uL/test</w:t>
            </w:r>
          </w:p>
        </w:tc>
        <w:tc>
          <w:tcPr>
            <w:tcW w:w="1567" w:type="dxa"/>
            <w:tcBorders>
              <w:top w:val="nil"/>
              <w:left w:val="nil"/>
              <w:bottom w:val="nil"/>
            </w:tcBorders>
          </w:tcPr>
          <w:p w14:paraId="340FC84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560566</w:t>
            </w:r>
          </w:p>
        </w:tc>
        <w:tc>
          <w:tcPr>
            <w:tcW w:w="2373" w:type="dxa"/>
            <w:tcBorders>
              <w:top w:val="nil"/>
              <w:bottom w:val="nil"/>
              <w:right w:val="nil"/>
            </w:tcBorders>
          </w:tcPr>
          <w:p w14:paraId="5C840F0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BD Biosciences</w:t>
            </w:r>
          </w:p>
        </w:tc>
      </w:tr>
      <w:tr w:rsidR="005E423A" w:rsidRPr="00D21F7C" w14:paraId="040C612A" w14:textId="77777777" w:rsidTr="006F4C6F">
        <w:tc>
          <w:tcPr>
            <w:tcW w:w="2410" w:type="dxa"/>
            <w:tcBorders>
              <w:top w:val="nil"/>
              <w:bottom w:val="nil"/>
              <w:right w:val="nil"/>
            </w:tcBorders>
          </w:tcPr>
          <w:p w14:paraId="5C3E2C7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Rat anti-Mouse/Human CD11b</w:t>
            </w:r>
          </w:p>
        </w:tc>
        <w:tc>
          <w:tcPr>
            <w:tcW w:w="1701" w:type="dxa"/>
            <w:tcBorders>
              <w:top w:val="nil"/>
              <w:bottom w:val="nil"/>
              <w:right w:val="nil"/>
            </w:tcBorders>
          </w:tcPr>
          <w:p w14:paraId="583D6F6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w:t>
            </w:r>
          </w:p>
        </w:tc>
        <w:tc>
          <w:tcPr>
            <w:tcW w:w="987" w:type="dxa"/>
            <w:tcBorders>
              <w:top w:val="nil"/>
              <w:left w:val="nil"/>
              <w:bottom w:val="nil"/>
              <w:right w:val="nil"/>
            </w:tcBorders>
          </w:tcPr>
          <w:p w14:paraId="47E6D06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1:200</w:t>
            </w:r>
          </w:p>
        </w:tc>
        <w:tc>
          <w:tcPr>
            <w:tcW w:w="1567" w:type="dxa"/>
            <w:tcBorders>
              <w:top w:val="nil"/>
              <w:left w:val="nil"/>
              <w:bottom w:val="nil"/>
            </w:tcBorders>
          </w:tcPr>
          <w:p w14:paraId="7CD4E18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101207</w:t>
            </w:r>
          </w:p>
        </w:tc>
        <w:tc>
          <w:tcPr>
            <w:tcW w:w="2373" w:type="dxa"/>
            <w:tcBorders>
              <w:top w:val="nil"/>
              <w:bottom w:val="nil"/>
              <w:right w:val="nil"/>
            </w:tcBorders>
          </w:tcPr>
          <w:p w14:paraId="0DDD763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461D572E" w14:textId="77777777" w:rsidTr="006F4C6F">
        <w:tc>
          <w:tcPr>
            <w:tcW w:w="2410" w:type="dxa"/>
            <w:tcBorders>
              <w:top w:val="nil"/>
              <w:bottom w:val="nil"/>
              <w:right w:val="nil"/>
            </w:tcBorders>
          </w:tcPr>
          <w:p w14:paraId="69F84B8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 xml:space="preserve">Mouse anti-Human CD68 </w:t>
            </w:r>
          </w:p>
        </w:tc>
        <w:tc>
          <w:tcPr>
            <w:tcW w:w="1701" w:type="dxa"/>
            <w:tcBorders>
              <w:top w:val="nil"/>
              <w:bottom w:val="nil"/>
              <w:right w:val="nil"/>
            </w:tcBorders>
          </w:tcPr>
          <w:p w14:paraId="7576F1A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PE/Cyanine7</w:t>
            </w:r>
          </w:p>
        </w:tc>
        <w:tc>
          <w:tcPr>
            <w:tcW w:w="987" w:type="dxa"/>
            <w:tcBorders>
              <w:top w:val="nil"/>
              <w:left w:val="nil"/>
              <w:bottom w:val="nil"/>
              <w:right w:val="nil"/>
            </w:tcBorders>
          </w:tcPr>
          <w:p w14:paraId="6F22866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5uL/test</w:t>
            </w:r>
          </w:p>
        </w:tc>
        <w:tc>
          <w:tcPr>
            <w:tcW w:w="1567" w:type="dxa"/>
            <w:tcBorders>
              <w:top w:val="nil"/>
              <w:left w:val="nil"/>
              <w:bottom w:val="nil"/>
            </w:tcBorders>
          </w:tcPr>
          <w:p w14:paraId="1A8B610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333815</w:t>
            </w:r>
          </w:p>
        </w:tc>
        <w:tc>
          <w:tcPr>
            <w:tcW w:w="2373" w:type="dxa"/>
            <w:tcBorders>
              <w:top w:val="nil"/>
              <w:bottom w:val="nil"/>
              <w:right w:val="nil"/>
            </w:tcBorders>
          </w:tcPr>
          <w:p w14:paraId="70173A1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189350CA" w14:textId="77777777" w:rsidTr="006F4C6F">
        <w:tc>
          <w:tcPr>
            <w:tcW w:w="2410" w:type="dxa"/>
            <w:tcBorders>
              <w:top w:val="nil"/>
              <w:bottom w:val="nil"/>
              <w:right w:val="nil"/>
            </w:tcBorders>
          </w:tcPr>
          <w:p w14:paraId="6EA6683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Mouse anti-Human CD163</w:t>
            </w:r>
          </w:p>
        </w:tc>
        <w:tc>
          <w:tcPr>
            <w:tcW w:w="1701" w:type="dxa"/>
            <w:tcBorders>
              <w:top w:val="nil"/>
              <w:bottom w:val="nil"/>
              <w:right w:val="nil"/>
            </w:tcBorders>
          </w:tcPr>
          <w:p w14:paraId="00F9AE8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Percp cy5.5</w:t>
            </w:r>
          </w:p>
        </w:tc>
        <w:tc>
          <w:tcPr>
            <w:tcW w:w="987" w:type="dxa"/>
            <w:tcBorders>
              <w:top w:val="nil"/>
              <w:left w:val="nil"/>
              <w:bottom w:val="nil"/>
              <w:right w:val="nil"/>
            </w:tcBorders>
          </w:tcPr>
          <w:p w14:paraId="05AA084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5uL/test</w:t>
            </w:r>
          </w:p>
        </w:tc>
        <w:tc>
          <w:tcPr>
            <w:tcW w:w="1567" w:type="dxa"/>
            <w:tcBorders>
              <w:top w:val="nil"/>
              <w:left w:val="nil"/>
              <w:bottom w:val="nil"/>
            </w:tcBorders>
          </w:tcPr>
          <w:p w14:paraId="670D4AD6"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326511</w:t>
            </w:r>
          </w:p>
        </w:tc>
        <w:tc>
          <w:tcPr>
            <w:tcW w:w="2373" w:type="dxa"/>
            <w:tcBorders>
              <w:top w:val="nil"/>
              <w:bottom w:val="nil"/>
              <w:right w:val="nil"/>
            </w:tcBorders>
          </w:tcPr>
          <w:p w14:paraId="03FCE96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0FA2F7E1" w14:textId="77777777" w:rsidTr="006F4C6F">
        <w:tc>
          <w:tcPr>
            <w:tcW w:w="2410" w:type="dxa"/>
            <w:tcBorders>
              <w:top w:val="nil"/>
              <w:bottom w:val="nil"/>
              <w:right w:val="nil"/>
            </w:tcBorders>
          </w:tcPr>
          <w:p w14:paraId="668F219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Mouse anti-Human CD206</w:t>
            </w:r>
          </w:p>
        </w:tc>
        <w:tc>
          <w:tcPr>
            <w:tcW w:w="1701" w:type="dxa"/>
            <w:tcBorders>
              <w:top w:val="nil"/>
              <w:bottom w:val="nil"/>
              <w:right w:val="nil"/>
            </w:tcBorders>
          </w:tcPr>
          <w:p w14:paraId="1C0846E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BV421</w:t>
            </w:r>
          </w:p>
        </w:tc>
        <w:tc>
          <w:tcPr>
            <w:tcW w:w="987" w:type="dxa"/>
            <w:tcBorders>
              <w:top w:val="nil"/>
              <w:left w:val="nil"/>
              <w:bottom w:val="nil"/>
              <w:right w:val="nil"/>
            </w:tcBorders>
          </w:tcPr>
          <w:p w14:paraId="04956D8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5uL/test</w:t>
            </w:r>
          </w:p>
        </w:tc>
        <w:tc>
          <w:tcPr>
            <w:tcW w:w="1567" w:type="dxa"/>
            <w:tcBorders>
              <w:top w:val="nil"/>
              <w:left w:val="nil"/>
              <w:bottom w:val="nil"/>
            </w:tcBorders>
          </w:tcPr>
          <w:p w14:paraId="7397AACF"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321125</w:t>
            </w:r>
          </w:p>
        </w:tc>
        <w:tc>
          <w:tcPr>
            <w:tcW w:w="2373" w:type="dxa"/>
            <w:tcBorders>
              <w:top w:val="nil"/>
              <w:bottom w:val="nil"/>
              <w:right w:val="nil"/>
            </w:tcBorders>
          </w:tcPr>
          <w:p w14:paraId="1C80AE1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Biolegend</w:t>
            </w:r>
          </w:p>
        </w:tc>
      </w:tr>
      <w:tr w:rsidR="005E423A" w:rsidRPr="00D21F7C" w14:paraId="04381248" w14:textId="77777777" w:rsidTr="006F4C6F">
        <w:tc>
          <w:tcPr>
            <w:tcW w:w="2410" w:type="dxa"/>
            <w:tcBorders>
              <w:top w:val="nil"/>
              <w:bottom w:val="single" w:sz="4" w:space="0" w:color="auto"/>
              <w:right w:val="nil"/>
            </w:tcBorders>
          </w:tcPr>
          <w:p w14:paraId="7A0C389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Mouse anti-Human MHC-II</w:t>
            </w:r>
          </w:p>
        </w:tc>
        <w:tc>
          <w:tcPr>
            <w:tcW w:w="1701" w:type="dxa"/>
            <w:tcBorders>
              <w:top w:val="nil"/>
              <w:bottom w:val="single" w:sz="4" w:space="0" w:color="auto"/>
              <w:right w:val="nil"/>
            </w:tcBorders>
          </w:tcPr>
          <w:p w14:paraId="41E31DF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BB515</w:t>
            </w:r>
          </w:p>
        </w:tc>
        <w:tc>
          <w:tcPr>
            <w:tcW w:w="987" w:type="dxa"/>
            <w:tcBorders>
              <w:top w:val="nil"/>
              <w:left w:val="nil"/>
              <w:bottom w:val="single" w:sz="4" w:space="0" w:color="auto"/>
              <w:right w:val="nil"/>
            </w:tcBorders>
          </w:tcPr>
          <w:p w14:paraId="4101805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5uL/test</w:t>
            </w:r>
          </w:p>
        </w:tc>
        <w:tc>
          <w:tcPr>
            <w:tcW w:w="1567" w:type="dxa"/>
            <w:tcBorders>
              <w:top w:val="nil"/>
              <w:left w:val="nil"/>
              <w:bottom w:val="single" w:sz="4" w:space="0" w:color="auto"/>
            </w:tcBorders>
          </w:tcPr>
          <w:p w14:paraId="71A5943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564516</w:t>
            </w:r>
          </w:p>
        </w:tc>
        <w:tc>
          <w:tcPr>
            <w:tcW w:w="2373" w:type="dxa"/>
            <w:tcBorders>
              <w:top w:val="nil"/>
              <w:bottom w:val="single" w:sz="4" w:space="0" w:color="auto"/>
              <w:right w:val="nil"/>
            </w:tcBorders>
          </w:tcPr>
          <w:p w14:paraId="783429E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BD Biosciences</w:t>
            </w:r>
          </w:p>
        </w:tc>
      </w:tr>
    </w:tbl>
    <w:p w14:paraId="762210C5" w14:textId="77777777" w:rsidR="005E423A" w:rsidRPr="00D21F7C" w:rsidRDefault="005E423A" w:rsidP="00D44875">
      <w:pPr>
        <w:rPr>
          <w:rFonts w:ascii="Times New Roman" w:hAnsi="Times New Roman" w:cs="Times New Roman"/>
          <w:b/>
          <w:kern w:val="0"/>
          <w:sz w:val="20"/>
          <w:szCs w:val="20"/>
        </w:rPr>
      </w:pPr>
    </w:p>
    <w:p w14:paraId="13EA53C0" w14:textId="77777777" w:rsidR="005E423A" w:rsidRPr="00D21F7C" w:rsidRDefault="005E423A" w:rsidP="00D44875">
      <w:pPr>
        <w:rPr>
          <w:rFonts w:ascii="Times New Roman" w:hAnsi="Times New Roman" w:cs="Times New Roman"/>
          <w:bCs/>
          <w:sz w:val="20"/>
          <w:szCs w:val="20"/>
        </w:rPr>
      </w:pPr>
      <w:r w:rsidRPr="00D21F7C">
        <w:rPr>
          <w:rFonts w:ascii="Times New Roman" w:eastAsia="Times New Roman" w:hAnsi="Times New Roman" w:cs="Times New Roman"/>
          <w:b/>
          <w:kern w:val="0"/>
          <w:sz w:val="20"/>
          <w:szCs w:val="20"/>
          <w:lang w:eastAsia="de-DE"/>
        </w:rPr>
        <w:t>Major Resources table S3</w:t>
      </w:r>
      <w:r w:rsidRPr="00D21F7C">
        <w:rPr>
          <w:rFonts w:ascii="Times New Roman" w:hAnsi="Times New Roman" w:cs="Times New Roman"/>
          <w:sz w:val="20"/>
          <w:szCs w:val="20"/>
        </w:rPr>
        <w:t>: Primers used for qPCR</w:t>
      </w:r>
    </w:p>
    <w:tbl>
      <w:tblPr>
        <w:tblStyle w:val="Tabellenraster"/>
        <w:tblpPr w:leftFromText="180" w:rightFromText="180" w:vertAnchor="text" w:horzAnchor="margin" w:tblpY="220"/>
        <w:tblOverlap w:val="nev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4"/>
        <w:gridCol w:w="3006"/>
        <w:gridCol w:w="3006"/>
      </w:tblGrid>
      <w:tr w:rsidR="005E423A" w:rsidRPr="00D21F7C" w14:paraId="0B4FE092" w14:textId="77777777" w:rsidTr="006F4C6F">
        <w:tc>
          <w:tcPr>
            <w:tcW w:w="3004" w:type="dxa"/>
            <w:tcBorders>
              <w:top w:val="single" w:sz="4" w:space="0" w:color="auto"/>
              <w:bottom w:val="single" w:sz="4" w:space="0" w:color="auto"/>
            </w:tcBorders>
          </w:tcPr>
          <w:p w14:paraId="1F9B9BBB"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Murine gene</w:t>
            </w:r>
          </w:p>
        </w:tc>
        <w:tc>
          <w:tcPr>
            <w:tcW w:w="3006" w:type="dxa"/>
            <w:tcBorders>
              <w:top w:val="single" w:sz="4" w:space="0" w:color="auto"/>
              <w:bottom w:val="single" w:sz="4" w:space="0" w:color="auto"/>
            </w:tcBorders>
          </w:tcPr>
          <w:p w14:paraId="2FB22A81"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Assay ID</w:t>
            </w:r>
          </w:p>
        </w:tc>
        <w:tc>
          <w:tcPr>
            <w:tcW w:w="3006" w:type="dxa"/>
            <w:tcBorders>
              <w:top w:val="single" w:sz="4" w:space="0" w:color="auto"/>
              <w:bottom w:val="single" w:sz="4" w:space="0" w:color="auto"/>
            </w:tcBorders>
          </w:tcPr>
          <w:p w14:paraId="61155AF9" w14:textId="77777777" w:rsidR="005E423A" w:rsidRPr="00D21F7C" w:rsidRDefault="005E423A" w:rsidP="006F4C6F">
            <w:pPr>
              <w:rPr>
                <w:rFonts w:ascii="Times New Roman" w:hAnsi="Times New Roman" w:cs="Times New Roman"/>
                <w:b/>
                <w:bCs/>
                <w:sz w:val="20"/>
                <w:szCs w:val="20"/>
              </w:rPr>
            </w:pPr>
            <w:r w:rsidRPr="00D21F7C">
              <w:rPr>
                <w:rFonts w:ascii="Times New Roman" w:hAnsi="Times New Roman" w:cs="Times New Roman"/>
                <w:b/>
                <w:bCs/>
                <w:sz w:val="20"/>
                <w:szCs w:val="20"/>
              </w:rPr>
              <w:t>Company</w:t>
            </w:r>
          </w:p>
        </w:tc>
      </w:tr>
      <w:tr w:rsidR="005E423A" w:rsidRPr="00D21F7C" w14:paraId="4779B0C7" w14:textId="77777777" w:rsidTr="006F4C6F">
        <w:tc>
          <w:tcPr>
            <w:tcW w:w="3004" w:type="dxa"/>
            <w:tcBorders>
              <w:top w:val="single" w:sz="4" w:space="0" w:color="auto"/>
            </w:tcBorders>
          </w:tcPr>
          <w:p w14:paraId="1266F9EA" w14:textId="77777777" w:rsidR="005E423A" w:rsidRPr="00D21F7C" w:rsidRDefault="005E423A" w:rsidP="006F4C6F">
            <w:pPr>
              <w:rPr>
                <w:rFonts w:ascii="Times New Roman" w:hAnsi="Times New Roman" w:cs="Times New Roman"/>
                <w:i/>
                <w:iCs/>
                <w:sz w:val="20"/>
                <w:szCs w:val="20"/>
              </w:rPr>
            </w:pPr>
            <w:r w:rsidRPr="00D21F7C">
              <w:rPr>
                <w:rFonts w:ascii="Times New Roman" w:hAnsi="Times New Roman" w:cs="Times New Roman"/>
                <w:i/>
                <w:iCs/>
                <w:sz w:val="20"/>
                <w:szCs w:val="20"/>
              </w:rPr>
              <w:t>Cd36</w:t>
            </w:r>
          </w:p>
        </w:tc>
        <w:tc>
          <w:tcPr>
            <w:tcW w:w="3006" w:type="dxa"/>
            <w:tcBorders>
              <w:top w:val="single" w:sz="4" w:space="0" w:color="auto"/>
            </w:tcBorders>
          </w:tcPr>
          <w:p w14:paraId="138E345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Mm.PT.58.8230933</w:t>
            </w:r>
          </w:p>
        </w:tc>
        <w:tc>
          <w:tcPr>
            <w:tcW w:w="3006" w:type="dxa"/>
            <w:tcBorders>
              <w:top w:val="single" w:sz="4" w:space="0" w:color="auto"/>
            </w:tcBorders>
          </w:tcPr>
          <w:p w14:paraId="5179C4A4"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Integrated DNA Technologies</w:t>
            </w:r>
          </w:p>
        </w:tc>
      </w:tr>
      <w:tr w:rsidR="005E423A" w:rsidRPr="00D21F7C" w14:paraId="243F9AB3" w14:textId="77777777" w:rsidTr="006F4C6F">
        <w:tc>
          <w:tcPr>
            <w:tcW w:w="3004" w:type="dxa"/>
          </w:tcPr>
          <w:p w14:paraId="227F9D09" w14:textId="77777777" w:rsidR="005E423A" w:rsidRPr="00D21F7C" w:rsidRDefault="005E423A" w:rsidP="006F4C6F">
            <w:pPr>
              <w:rPr>
                <w:rFonts w:ascii="Times New Roman" w:hAnsi="Times New Roman" w:cs="Times New Roman"/>
                <w:i/>
                <w:iCs/>
                <w:sz w:val="20"/>
                <w:szCs w:val="20"/>
              </w:rPr>
            </w:pPr>
            <w:r w:rsidRPr="00D21F7C">
              <w:rPr>
                <w:rFonts w:ascii="Times New Roman" w:hAnsi="Times New Roman" w:cs="Times New Roman"/>
                <w:i/>
                <w:iCs/>
                <w:sz w:val="20"/>
                <w:szCs w:val="20"/>
              </w:rPr>
              <w:t>Il-10</w:t>
            </w:r>
          </w:p>
        </w:tc>
        <w:tc>
          <w:tcPr>
            <w:tcW w:w="3006" w:type="dxa"/>
          </w:tcPr>
          <w:p w14:paraId="14B81479"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Mm.PT.58.13531087</w:t>
            </w:r>
          </w:p>
        </w:tc>
        <w:tc>
          <w:tcPr>
            <w:tcW w:w="3006" w:type="dxa"/>
          </w:tcPr>
          <w:p w14:paraId="74F63441"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Integrated DNA Technologies</w:t>
            </w:r>
          </w:p>
        </w:tc>
      </w:tr>
      <w:tr w:rsidR="005E423A" w:rsidRPr="00D21F7C" w14:paraId="17529546" w14:textId="77777777" w:rsidTr="006F4C6F">
        <w:tc>
          <w:tcPr>
            <w:tcW w:w="3004" w:type="dxa"/>
          </w:tcPr>
          <w:p w14:paraId="371E8CE2" w14:textId="77777777" w:rsidR="005E423A" w:rsidRPr="00D21F7C" w:rsidRDefault="005E423A" w:rsidP="006F4C6F">
            <w:pPr>
              <w:rPr>
                <w:rFonts w:ascii="Times New Roman" w:hAnsi="Times New Roman" w:cs="Times New Roman"/>
                <w:i/>
                <w:iCs/>
                <w:sz w:val="20"/>
                <w:szCs w:val="20"/>
              </w:rPr>
            </w:pPr>
            <w:r w:rsidRPr="00D21F7C">
              <w:rPr>
                <w:rFonts w:ascii="Times New Roman" w:hAnsi="Times New Roman" w:cs="Times New Roman"/>
                <w:i/>
                <w:iCs/>
                <w:sz w:val="20"/>
                <w:szCs w:val="20"/>
              </w:rPr>
              <w:t>Abca1</w:t>
            </w:r>
          </w:p>
        </w:tc>
        <w:tc>
          <w:tcPr>
            <w:tcW w:w="3006" w:type="dxa"/>
          </w:tcPr>
          <w:p w14:paraId="2A0F9B5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Mm.PT.58.42304279</w:t>
            </w:r>
          </w:p>
        </w:tc>
        <w:tc>
          <w:tcPr>
            <w:tcW w:w="3006" w:type="dxa"/>
          </w:tcPr>
          <w:p w14:paraId="33C7E96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Integrated DNA Technologies</w:t>
            </w:r>
          </w:p>
        </w:tc>
      </w:tr>
      <w:tr w:rsidR="005E423A" w:rsidRPr="00D21F7C" w14:paraId="70C79A12" w14:textId="77777777" w:rsidTr="006F4C6F">
        <w:tc>
          <w:tcPr>
            <w:tcW w:w="3004" w:type="dxa"/>
          </w:tcPr>
          <w:p w14:paraId="56356B61" w14:textId="77777777" w:rsidR="005E423A" w:rsidRPr="00D21F7C" w:rsidRDefault="005E423A" w:rsidP="006F4C6F">
            <w:pPr>
              <w:rPr>
                <w:rFonts w:ascii="Times New Roman" w:hAnsi="Times New Roman" w:cs="Times New Roman"/>
                <w:i/>
                <w:iCs/>
                <w:sz w:val="20"/>
                <w:szCs w:val="20"/>
              </w:rPr>
            </w:pPr>
            <w:r w:rsidRPr="00D21F7C">
              <w:rPr>
                <w:rFonts w:ascii="Times New Roman" w:hAnsi="Times New Roman" w:cs="Times New Roman"/>
                <w:i/>
                <w:iCs/>
                <w:sz w:val="20"/>
                <w:szCs w:val="20"/>
              </w:rPr>
              <w:t>Ldlr</w:t>
            </w:r>
          </w:p>
        </w:tc>
        <w:tc>
          <w:tcPr>
            <w:tcW w:w="3006" w:type="dxa"/>
          </w:tcPr>
          <w:p w14:paraId="5A6556F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Mm.PT.58.31614631</w:t>
            </w:r>
          </w:p>
        </w:tc>
        <w:tc>
          <w:tcPr>
            <w:tcW w:w="3006" w:type="dxa"/>
          </w:tcPr>
          <w:p w14:paraId="7CC6C6D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Integrated DNA Technologies</w:t>
            </w:r>
          </w:p>
        </w:tc>
      </w:tr>
      <w:tr w:rsidR="005E423A" w:rsidRPr="00D21F7C" w14:paraId="1BAE912F" w14:textId="77777777" w:rsidTr="006F4C6F">
        <w:tc>
          <w:tcPr>
            <w:tcW w:w="3004" w:type="dxa"/>
          </w:tcPr>
          <w:p w14:paraId="346E8E90" w14:textId="77777777" w:rsidR="005E423A" w:rsidRPr="00D21F7C" w:rsidRDefault="005E423A" w:rsidP="006F4C6F">
            <w:pPr>
              <w:rPr>
                <w:rFonts w:ascii="Times New Roman" w:hAnsi="Times New Roman" w:cs="Times New Roman"/>
                <w:i/>
                <w:iCs/>
                <w:sz w:val="20"/>
                <w:szCs w:val="20"/>
              </w:rPr>
            </w:pPr>
            <w:r w:rsidRPr="00D21F7C">
              <w:rPr>
                <w:rFonts w:ascii="Times New Roman" w:hAnsi="Times New Roman" w:cs="Times New Roman"/>
                <w:i/>
                <w:iCs/>
                <w:sz w:val="20"/>
                <w:szCs w:val="20"/>
              </w:rPr>
              <w:t>Pparg</w:t>
            </w:r>
          </w:p>
        </w:tc>
        <w:tc>
          <w:tcPr>
            <w:tcW w:w="3006" w:type="dxa"/>
          </w:tcPr>
          <w:p w14:paraId="1060050E"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Mm.PT.58.31539421</w:t>
            </w:r>
          </w:p>
        </w:tc>
        <w:tc>
          <w:tcPr>
            <w:tcW w:w="3006" w:type="dxa"/>
          </w:tcPr>
          <w:p w14:paraId="4EAE9C4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Integrated DNA Technologies</w:t>
            </w:r>
          </w:p>
        </w:tc>
      </w:tr>
      <w:tr w:rsidR="005E423A" w:rsidRPr="00D21F7C" w14:paraId="49CF21E8" w14:textId="77777777" w:rsidTr="006F4C6F">
        <w:tc>
          <w:tcPr>
            <w:tcW w:w="3004" w:type="dxa"/>
          </w:tcPr>
          <w:p w14:paraId="13048ACC" w14:textId="77777777" w:rsidR="005E423A" w:rsidRPr="00D21F7C" w:rsidRDefault="005E423A" w:rsidP="006F4C6F">
            <w:pPr>
              <w:rPr>
                <w:rFonts w:ascii="Times New Roman" w:hAnsi="Times New Roman" w:cs="Times New Roman"/>
                <w:i/>
                <w:iCs/>
                <w:sz w:val="20"/>
                <w:szCs w:val="20"/>
              </w:rPr>
            </w:pPr>
            <w:r w:rsidRPr="00D21F7C">
              <w:rPr>
                <w:rFonts w:ascii="Times New Roman" w:hAnsi="Times New Roman" w:cs="Times New Roman"/>
                <w:i/>
                <w:iCs/>
                <w:sz w:val="20"/>
                <w:szCs w:val="20"/>
              </w:rPr>
              <w:t>Abcg1</w:t>
            </w:r>
          </w:p>
        </w:tc>
        <w:tc>
          <w:tcPr>
            <w:tcW w:w="3006" w:type="dxa"/>
          </w:tcPr>
          <w:p w14:paraId="304D7BF8"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Mm.PT.58.30194363</w:t>
            </w:r>
          </w:p>
        </w:tc>
        <w:tc>
          <w:tcPr>
            <w:tcW w:w="3006" w:type="dxa"/>
          </w:tcPr>
          <w:p w14:paraId="279993FD"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Integrated DNA Technologies</w:t>
            </w:r>
          </w:p>
        </w:tc>
      </w:tr>
      <w:tr w:rsidR="005E423A" w:rsidRPr="00D21F7C" w14:paraId="66862FE8" w14:textId="77777777" w:rsidTr="006F4C6F">
        <w:tc>
          <w:tcPr>
            <w:tcW w:w="3004" w:type="dxa"/>
          </w:tcPr>
          <w:p w14:paraId="2A54A8AF" w14:textId="77777777" w:rsidR="005E423A" w:rsidRPr="00D21F7C" w:rsidRDefault="005E423A" w:rsidP="006F4C6F">
            <w:pPr>
              <w:rPr>
                <w:rFonts w:ascii="Times New Roman" w:hAnsi="Times New Roman" w:cs="Times New Roman"/>
                <w:i/>
                <w:iCs/>
                <w:sz w:val="20"/>
                <w:szCs w:val="20"/>
              </w:rPr>
            </w:pPr>
            <w:r w:rsidRPr="00D21F7C">
              <w:rPr>
                <w:rFonts w:ascii="Times New Roman" w:hAnsi="Times New Roman" w:cs="Times New Roman"/>
                <w:i/>
                <w:iCs/>
                <w:sz w:val="20"/>
                <w:szCs w:val="20"/>
              </w:rPr>
              <w:t>Ym1</w:t>
            </w:r>
          </w:p>
        </w:tc>
        <w:tc>
          <w:tcPr>
            <w:tcW w:w="3006" w:type="dxa"/>
          </w:tcPr>
          <w:p w14:paraId="0CD80E87"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Mm.PT.58.30671367</w:t>
            </w:r>
          </w:p>
        </w:tc>
        <w:tc>
          <w:tcPr>
            <w:tcW w:w="3006" w:type="dxa"/>
          </w:tcPr>
          <w:p w14:paraId="57B2196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Integrated DNA Technologies</w:t>
            </w:r>
          </w:p>
        </w:tc>
      </w:tr>
      <w:tr w:rsidR="005E423A" w:rsidRPr="00D21F7C" w14:paraId="0754BB09" w14:textId="77777777" w:rsidTr="006F4C6F">
        <w:tc>
          <w:tcPr>
            <w:tcW w:w="3004" w:type="dxa"/>
          </w:tcPr>
          <w:p w14:paraId="44E8B1CB" w14:textId="77777777" w:rsidR="005E423A" w:rsidRPr="00D21F7C" w:rsidRDefault="005E423A" w:rsidP="006F4C6F">
            <w:pPr>
              <w:rPr>
                <w:rFonts w:ascii="Times New Roman" w:hAnsi="Times New Roman" w:cs="Times New Roman"/>
                <w:i/>
                <w:iCs/>
                <w:sz w:val="20"/>
                <w:szCs w:val="20"/>
              </w:rPr>
            </w:pPr>
            <w:r w:rsidRPr="00D21F7C">
              <w:rPr>
                <w:rFonts w:ascii="Times New Roman" w:hAnsi="Times New Roman" w:cs="Times New Roman"/>
                <w:i/>
                <w:iCs/>
                <w:sz w:val="20"/>
                <w:szCs w:val="20"/>
              </w:rPr>
              <w:t>Arg1</w:t>
            </w:r>
          </w:p>
        </w:tc>
        <w:tc>
          <w:tcPr>
            <w:tcW w:w="3006" w:type="dxa"/>
          </w:tcPr>
          <w:p w14:paraId="2DF9A2C5"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Mm.PT.58.8651372</w:t>
            </w:r>
          </w:p>
        </w:tc>
        <w:tc>
          <w:tcPr>
            <w:tcW w:w="3006" w:type="dxa"/>
          </w:tcPr>
          <w:p w14:paraId="5CE63A3A"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Integrated DNA Technologies</w:t>
            </w:r>
          </w:p>
        </w:tc>
      </w:tr>
      <w:tr w:rsidR="005E423A" w:rsidRPr="00D21F7C" w14:paraId="79BC5A41" w14:textId="77777777" w:rsidTr="006F4C6F">
        <w:tc>
          <w:tcPr>
            <w:tcW w:w="3004" w:type="dxa"/>
          </w:tcPr>
          <w:p w14:paraId="5897F454" w14:textId="77777777" w:rsidR="005E423A" w:rsidRPr="00D21F7C" w:rsidRDefault="005E423A" w:rsidP="006F4C6F">
            <w:pPr>
              <w:rPr>
                <w:rFonts w:ascii="Times New Roman" w:hAnsi="Times New Roman" w:cs="Times New Roman"/>
                <w:i/>
                <w:iCs/>
                <w:sz w:val="20"/>
                <w:szCs w:val="20"/>
              </w:rPr>
            </w:pPr>
            <w:r w:rsidRPr="00D21F7C">
              <w:rPr>
                <w:rFonts w:ascii="Times New Roman" w:hAnsi="Times New Roman" w:cs="Times New Roman"/>
                <w:i/>
                <w:iCs/>
                <w:sz w:val="20"/>
                <w:szCs w:val="20"/>
              </w:rPr>
              <w:t>Inos</w:t>
            </w:r>
          </w:p>
        </w:tc>
        <w:tc>
          <w:tcPr>
            <w:tcW w:w="3006" w:type="dxa"/>
          </w:tcPr>
          <w:p w14:paraId="58850CDC"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Mm.PT.58.14178818</w:t>
            </w:r>
          </w:p>
        </w:tc>
        <w:tc>
          <w:tcPr>
            <w:tcW w:w="3006" w:type="dxa"/>
          </w:tcPr>
          <w:p w14:paraId="034B45AB" w14:textId="77777777" w:rsidR="005E423A" w:rsidRPr="00D21F7C" w:rsidRDefault="005E423A" w:rsidP="006F4C6F">
            <w:pPr>
              <w:rPr>
                <w:rFonts w:ascii="Times New Roman" w:hAnsi="Times New Roman" w:cs="Times New Roman"/>
                <w:sz w:val="20"/>
                <w:szCs w:val="20"/>
              </w:rPr>
            </w:pPr>
            <w:r w:rsidRPr="00D21F7C">
              <w:rPr>
                <w:rFonts w:ascii="Times New Roman" w:hAnsi="Times New Roman" w:cs="Times New Roman"/>
                <w:sz w:val="20"/>
                <w:szCs w:val="20"/>
              </w:rPr>
              <w:t>Integrated DNA Technologies</w:t>
            </w:r>
          </w:p>
        </w:tc>
      </w:tr>
    </w:tbl>
    <w:p w14:paraId="06E92C2A" w14:textId="77777777" w:rsidR="005E423A" w:rsidRPr="00D21F7C" w:rsidRDefault="005E423A" w:rsidP="00D44875">
      <w:pPr>
        <w:widowControl/>
        <w:jc w:val="left"/>
        <w:rPr>
          <w:rFonts w:ascii="Times New Roman" w:hAnsi="Times New Roman" w:cs="Times New Roman"/>
          <w:color w:val="000000"/>
          <w:sz w:val="20"/>
          <w:szCs w:val="20"/>
        </w:rPr>
      </w:pPr>
      <w:r w:rsidRPr="00D21F7C">
        <w:rPr>
          <w:rFonts w:ascii="Times New Roman" w:hAnsi="Times New Roman" w:cs="Times New Roman"/>
          <w:color w:val="000000"/>
          <w:sz w:val="20"/>
          <w:szCs w:val="20"/>
        </w:rPr>
        <w:br w:type="page"/>
      </w:r>
    </w:p>
    <w:p w14:paraId="3A4FEA06" w14:textId="77777777" w:rsidR="005E423A" w:rsidRPr="00D21F7C" w:rsidRDefault="005E423A" w:rsidP="00D44875">
      <w:pPr>
        <w:widowControl/>
        <w:jc w:val="left"/>
        <w:rPr>
          <w:rFonts w:ascii="Times New Roman" w:hAnsi="Times New Roman" w:cs="Times New Roman"/>
          <w:noProof/>
          <w:color w:val="000000"/>
          <w:sz w:val="20"/>
          <w:szCs w:val="20"/>
        </w:rPr>
      </w:pPr>
      <w:r w:rsidRPr="00D21F7C">
        <w:rPr>
          <w:rFonts w:ascii="Times New Roman" w:hAnsi="Times New Roman" w:cs="Times New Roman"/>
          <w:noProof/>
          <w:color w:val="000000"/>
          <w:sz w:val="20"/>
          <w:szCs w:val="20"/>
        </w:rPr>
        <w:lastRenderedPageBreak/>
        <w:drawing>
          <wp:inline distT="0" distB="0" distL="0" distR="0" wp14:anchorId="22D067C1" wp14:editId="30290DBD">
            <wp:extent cx="5760720" cy="4222750"/>
            <wp:effectExtent l="0" t="0" r="0" b="6350"/>
            <wp:docPr id="502670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4222750"/>
                    </a:xfrm>
                    <a:prstGeom prst="rect">
                      <a:avLst/>
                    </a:prstGeom>
                    <a:noFill/>
                    <a:ln>
                      <a:noFill/>
                    </a:ln>
                  </pic:spPr>
                </pic:pic>
              </a:graphicData>
            </a:graphic>
          </wp:inline>
        </w:drawing>
      </w:r>
    </w:p>
    <w:p w14:paraId="26D1CCCF" w14:textId="77777777" w:rsidR="005E423A" w:rsidRPr="00D21F7C" w:rsidRDefault="005E423A" w:rsidP="00D44875">
      <w:pPr>
        <w:widowControl/>
        <w:jc w:val="left"/>
        <w:rPr>
          <w:rFonts w:ascii="Times New Roman" w:hAnsi="Times New Roman" w:cs="Times New Roman"/>
          <w:color w:val="000000"/>
          <w:sz w:val="20"/>
          <w:szCs w:val="20"/>
        </w:rPr>
      </w:pPr>
      <w:r w:rsidRPr="00D21F7C">
        <w:rPr>
          <w:rStyle w:val="Fett"/>
          <w:rFonts w:ascii="Times New Roman" w:hAnsi="Times New Roman" w:cs="Times New Roman"/>
          <w:sz w:val="20"/>
          <w:szCs w:val="20"/>
        </w:rPr>
        <w:t xml:space="preserve">Fig. S1 </w:t>
      </w:r>
      <w:r w:rsidRPr="00D21F7C">
        <w:rPr>
          <w:rFonts w:ascii="Times New Roman" w:hAnsi="Times New Roman" w:cs="Times New Roman"/>
          <w:b/>
          <w:bCs/>
          <w:sz w:val="20"/>
          <w:szCs w:val="20"/>
        </w:rPr>
        <w:t>Additional data to Fig.1.</w:t>
      </w:r>
    </w:p>
    <w:p w14:paraId="59AAF8DD" w14:textId="77777777" w:rsidR="005E423A" w:rsidRPr="00D21F7C" w:rsidRDefault="005E423A" w:rsidP="00D44875">
      <w:pPr>
        <w:widowControl/>
        <w:spacing w:line="360" w:lineRule="exact"/>
        <w:rPr>
          <w:rFonts w:ascii="Times New Roman" w:hAnsi="Times New Roman" w:cs="Times New Roman"/>
          <w:sz w:val="20"/>
          <w:szCs w:val="20"/>
        </w:rPr>
      </w:pPr>
      <w:r w:rsidRPr="00D21F7C">
        <w:rPr>
          <w:rFonts w:ascii="Times New Roman" w:hAnsi="Times New Roman" w:cs="Times New Roman"/>
          <w:b/>
          <w:bCs/>
          <w:sz w:val="20"/>
          <w:szCs w:val="20"/>
        </w:rPr>
        <w:t>(A)</w:t>
      </w:r>
      <w:r w:rsidRPr="00D21F7C">
        <w:rPr>
          <w:rFonts w:ascii="Times New Roman" w:hAnsi="Times New Roman" w:cs="Times New Roman"/>
          <w:sz w:val="20"/>
          <w:szCs w:val="20"/>
        </w:rPr>
        <w:t xml:space="preserve"> Representative images of T cell (CD3</w:t>
      </w:r>
      <w:r w:rsidRPr="00D21F7C">
        <w:rPr>
          <w:rFonts w:ascii="Times New Roman" w:hAnsi="Times New Roman" w:cs="Times New Roman"/>
          <w:sz w:val="20"/>
          <w:szCs w:val="20"/>
          <w:vertAlign w:val="superscript"/>
        </w:rPr>
        <w:t>+</w:t>
      </w:r>
      <w:r w:rsidRPr="00D21F7C">
        <w:rPr>
          <w:rFonts w:ascii="Times New Roman" w:hAnsi="Times New Roman" w:cs="Times New Roman"/>
          <w:sz w:val="20"/>
          <w:szCs w:val="20"/>
        </w:rPr>
        <w:t xml:space="preserve">) infiltration in aortic root sections from mice as shown in </w:t>
      </w:r>
      <w:r w:rsidRPr="00D21F7C">
        <w:rPr>
          <w:rFonts w:ascii="Times New Roman" w:hAnsi="Times New Roman" w:cs="Times New Roman"/>
          <w:b/>
          <w:bCs/>
          <w:sz w:val="20"/>
          <w:szCs w:val="20"/>
        </w:rPr>
        <w:t>Fig.1A.</w:t>
      </w:r>
      <w:r w:rsidRPr="00D21F7C">
        <w:rPr>
          <w:rFonts w:ascii="Times New Roman" w:hAnsi="Times New Roman" w:cs="Times New Roman"/>
          <w:sz w:val="20"/>
          <w:szCs w:val="20"/>
        </w:rPr>
        <w:t xml:space="preserve"> </w:t>
      </w:r>
      <w:r w:rsidRPr="00D21F7C">
        <w:rPr>
          <w:rFonts w:ascii="Times New Roman" w:hAnsi="Times New Roman" w:cs="Times New Roman"/>
          <w:b/>
          <w:bCs/>
          <w:sz w:val="20"/>
          <w:szCs w:val="20"/>
        </w:rPr>
        <w:t xml:space="preserve">(B, C) </w:t>
      </w:r>
      <w:r w:rsidRPr="00D21F7C">
        <w:rPr>
          <w:rFonts w:ascii="Times New Roman" w:hAnsi="Times New Roman" w:cs="Times New Roman"/>
          <w:sz w:val="20"/>
          <w:szCs w:val="20"/>
        </w:rPr>
        <w:t xml:space="preserve">Quantification of </w:t>
      </w:r>
      <w:r w:rsidRPr="00D21F7C">
        <w:rPr>
          <w:rFonts w:ascii="Times New Roman" w:hAnsi="Times New Roman" w:cs="Times New Roman"/>
          <w:b/>
          <w:bCs/>
          <w:sz w:val="20"/>
          <w:szCs w:val="20"/>
        </w:rPr>
        <w:t xml:space="preserve">(B) </w:t>
      </w:r>
      <w:r w:rsidRPr="00D21F7C">
        <w:rPr>
          <w:rFonts w:ascii="Times New Roman" w:hAnsi="Times New Roman" w:cs="Times New Roman"/>
          <w:sz w:val="20"/>
          <w:szCs w:val="20"/>
        </w:rPr>
        <w:t xml:space="preserve">absolute CD3⁺ T cell counts </w:t>
      </w:r>
      <w:r w:rsidRPr="00D21F7C">
        <w:rPr>
          <w:rFonts w:ascii="Times New Roman" w:hAnsi="Times New Roman" w:cs="Times New Roman" w:hint="eastAsia"/>
          <w:sz w:val="20"/>
          <w:szCs w:val="20"/>
        </w:rPr>
        <w:t>a</w:t>
      </w:r>
      <w:r w:rsidRPr="00D21F7C">
        <w:rPr>
          <w:rFonts w:ascii="Times New Roman" w:hAnsi="Times New Roman" w:cs="Times New Roman"/>
          <w:sz w:val="20"/>
          <w:szCs w:val="20"/>
        </w:rPr>
        <w:t xml:space="preserve">nd </w:t>
      </w:r>
      <w:r w:rsidRPr="00D21F7C">
        <w:rPr>
          <w:rFonts w:ascii="Times New Roman" w:hAnsi="Times New Roman" w:cs="Times New Roman"/>
          <w:b/>
          <w:bCs/>
          <w:sz w:val="20"/>
          <w:szCs w:val="20"/>
        </w:rPr>
        <w:t>(C)</w:t>
      </w:r>
      <w:r w:rsidRPr="00D21F7C">
        <w:t xml:space="preserve"> </w:t>
      </w:r>
      <w:r w:rsidRPr="00D21F7C">
        <w:rPr>
          <w:rFonts w:ascii="Times New Roman" w:hAnsi="Times New Roman" w:cs="Times New Roman"/>
          <w:sz w:val="20"/>
          <w:szCs w:val="20"/>
        </w:rPr>
        <w:t>CD3⁺ T cells relative to plaque area in aortic root sections.</w:t>
      </w:r>
      <w:r w:rsidRPr="00D21F7C">
        <w:rPr>
          <w:rFonts w:ascii="Times New Roman" w:hAnsi="Times New Roman" w:cs="Times New Roman" w:hint="eastAsia"/>
          <w:sz w:val="20"/>
          <w:szCs w:val="20"/>
        </w:rPr>
        <w:t xml:space="preserve"> </w:t>
      </w:r>
      <w:r w:rsidRPr="00D21F7C">
        <w:rPr>
          <w:rFonts w:ascii="Times New Roman" w:hAnsi="Times New Roman" w:cs="Times New Roman"/>
          <w:b/>
          <w:bCs/>
          <w:sz w:val="20"/>
          <w:szCs w:val="20"/>
        </w:rPr>
        <w:t xml:space="preserve">(D) </w:t>
      </w:r>
      <w:r w:rsidRPr="00D21F7C">
        <w:rPr>
          <w:rFonts w:ascii="Times New Roman" w:hAnsi="Times New Roman" w:cs="Times New Roman"/>
          <w:sz w:val="20"/>
          <w:szCs w:val="20"/>
        </w:rPr>
        <w:t>Body weight at sacrifice after 8 weeks of WD (PBS: n=11, Gal-1: n=8). Data are presented as mean ± SEM, with individual data points shown. Bullets represent female mice, and triangles represent male mice. Scale bar: 100 μm.</w:t>
      </w:r>
    </w:p>
    <w:p w14:paraId="0F1A240F" w14:textId="77777777" w:rsidR="005E423A" w:rsidRPr="00D21F7C" w:rsidRDefault="005E423A" w:rsidP="00785FCB">
      <w:pPr>
        <w:widowControl/>
        <w:jc w:val="left"/>
        <w:rPr>
          <w:rFonts w:ascii="Times New Roman" w:hAnsi="Times New Roman" w:cs="Times New Roman"/>
          <w:b/>
          <w:bCs/>
          <w:noProof/>
          <w:sz w:val="20"/>
          <w:szCs w:val="20"/>
        </w:rPr>
      </w:pPr>
      <w:r w:rsidRPr="00D21F7C">
        <w:rPr>
          <w:rFonts w:ascii="Times New Roman" w:hAnsi="Times New Roman" w:cs="Times New Roman"/>
          <w:color w:val="000000"/>
          <w:sz w:val="20"/>
          <w:szCs w:val="20"/>
        </w:rPr>
        <w:br w:type="page"/>
      </w:r>
    </w:p>
    <w:p w14:paraId="78E60AE5" w14:textId="77777777" w:rsidR="005E423A" w:rsidRPr="00D21F7C" w:rsidRDefault="005E423A" w:rsidP="00785FCB">
      <w:pPr>
        <w:widowControl/>
        <w:jc w:val="left"/>
        <w:rPr>
          <w:rFonts w:ascii="Times New Roman" w:hAnsi="Times New Roman" w:cs="Times New Roman"/>
          <w:color w:val="000000"/>
          <w:sz w:val="20"/>
          <w:szCs w:val="20"/>
        </w:rPr>
      </w:pPr>
      <w:r w:rsidRPr="00D21F7C">
        <w:rPr>
          <w:noProof/>
        </w:rPr>
        <w:lastRenderedPageBreak/>
        <w:drawing>
          <wp:inline distT="0" distB="0" distL="0" distR="0" wp14:anchorId="3200CF19" wp14:editId="6415B7D7">
            <wp:extent cx="5760720" cy="661162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6611620"/>
                    </a:xfrm>
                    <a:prstGeom prst="rect">
                      <a:avLst/>
                    </a:prstGeom>
                    <a:noFill/>
                    <a:ln>
                      <a:noFill/>
                    </a:ln>
                  </pic:spPr>
                </pic:pic>
              </a:graphicData>
            </a:graphic>
          </wp:inline>
        </w:drawing>
      </w:r>
    </w:p>
    <w:p w14:paraId="2C3CDCEB" w14:textId="77777777" w:rsidR="005E423A" w:rsidRPr="00D21F7C" w:rsidRDefault="005E423A" w:rsidP="00D44875">
      <w:pPr>
        <w:spacing w:line="360" w:lineRule="exact"/>
        <w:rPr>
          <w:rStyle w:val="Fett"/>
          <w:rFonts w:ascii="Times New Roman" w:hAnsi="Times New Roman" w:cs="Times New Roman"/>
          <w:noProof/>
          <w:sz w:val="20"/>
          <w:szCs w:val="20"/>
        </w:rPr>
      </w:pPr>
      <w:r w:rsidRPr="00D21F7C">
        <w:rPr>
          <w:rStyle w:val="Fett"/>
          <w:rFonts w:ascii="Times New Roman" w:hAnsi="Times New Roman" w:cs="Times New Roman"/>
          <w:sz w:val="20"/>
          <w:szCs w:val="20"/>
        </w:rPr>
        <w:t>Fig. S2 Effects of anti-IL-10 and Gal-1 treatment on aortic arch lesions.</w:t>
      </w:r>
    </w:p>
    <w:p w14:paraId="35F3E23D" w14:textId="77777777" w:rsidR="005E423A" w:rsidRPr="00D21F7C" w:rsidRDefault="005E423A" w:rsidP="00D44875">
      <w:pPr>
        <w:spacing w:line="360" w:lineRule="exact"/>
        <w:rPr>
          <w:rFonts w:ascii="Times New Roman" w:hAnsi="Times New Roman" w:cs="Times New Roman"/>
          <w:sz w:val="20"/>
          <w:szCs w:val="20"/>
        </w:rPr>
      </w:pPr>
      <w:r w:rsidRPr="00D21F7C">
        <w:rPr>
          <w:rFonts w:ascii="Times New Roman" w:hAnsi="Times New Roman" w:cs="Times New Roman"/>
          <w:b/>
          <w:bCs/>
          <w:sz w:val="20"/>
          <w:szCs w:val="20"/>
        </w:rPr>
        <w:t>(A)</w:t>
      </w:r>
      <w:r w:rsidRPr="00D21F7C">
        <w:rPr>
          <w:rFonts w:ascii="Times New Roman" w:hAnsi="Times New Roman" w:cs="Times New Roman"/>
          <w:sz w:val="20"/>
          <w:szCs w:val="20"/>
        </w:rPr>
        <w:t xml:space="preserve"> Representative images of elastin/van Gieson (EVG) staining and quantification of plaque area in the aortic arch of </w:t>
      </w:r>
      <w:r w:rsidRPr="00D21F7C">
        <w:rPr>
          <w:rFonts w:ascii="Times New Roman" w:hAnsi="Times New Roman" w:cs="Times New Roman"/>
          <w:i/>
          <w:iCs/>
          <w:sz w:val="20"/>
          <w:szCs w:val="20"/>
        </w:rPr>
        <w:t>Apoe</w:t>
      </w:r>
      <w:r w:rsidRPr="00D21F7C">
        <w:rPr>
          <w:rFonts w:ascii="Times New Roman" w:hAnsi="Times New Roman" w:cs="Times New Roman"/>
          <w:sz w:val="20"/>
          <w:szCs w:val="20"/>
          <w:vertAlign w:val="superscript"/>
        </w:rPr>
        <w:t>-/-</w:t>
      </w:r>
      <w:r w:rsidRPr="00D21F7C">
        <w:rPr>
          <w:rFonts w:ascii="Times New Roman" w:hAnsi="Times New Roman" w:cs="Times New Roman"/>
          <w:sz w:val="20"/>
          <w:szCs w:val="20"/>
        </w:rPr>
        <w:t xml:space="preserve"> female mice treated with PBS, Gal-1, IL-10 antibody (IL-10 Ab), or Gal-1 + IL-10 Ab after 4 weeks of WD (n=6 per group). </w:t>
      </w:r>
      <w:r w:rsidRPr="00D21F7C">
        <w:rPr>
          <w:rFonts w:ascii="Times New Roman" w:hAnsi="Times New Roman" w:cs="Times New Roman"/>
          <w:b/>
          <w:bCs/>
          <w:sz w:val="20"/>
          <w:szCs w:val="20"/>
        </w:rPr>
        <w:t>(B)</w:t>
      </w:r>
      <w:r w:rsidRPr="00D21F7C">
        <w:rPr>
          <w:rFonts w:ascii="Times New Roman" w:hAnsi="Times New Roman" w:cs="Times New Roman"/>
          <w:sz w:val="20"/>
          <w:szCs w:val="20"/>
        </w:rPr>
        <w:t xml:space="preserve"> Representative images of EVG stained aortic roots showing necrotic cores and their quantification relative to plaque area (purple outline). </w:t>
      </w:r>
      <w:r w:rsidRPr="00D21F7C">
        <w:rPr>
          <w:rFonts w:ascii="Times New Roman" w:hAnsi="Times New Roman" w:cs="Times New Roman"/>
          <w:b/>
          <w:bCs/>
          <w:sz w:val="20"/>
          <w:szCs w:val="20"/>
        </w:rPr>
        <w:t>(C)</w:t>
      </w:r>
      <w:r w:rsidRPr="00D21F7C">
        <w:rPr>
          <w:rFonts w:ascii="Times New Roman" w:hAnsi="Times New Roman" w:cs="Times New Roman"/>
          <w:sz w:val="20"/>
          <w:szCs w:val="20"/>
        </w:rPr>
        <w:t xml:space="preserve"> Percentage of monocytes (mono) and their subsets in the blood of different mouse groups following 4 weeks of WD (n=6). </w:t>
      </w:r>
      <w:r w:rsidRPr="00D21F7C">
        <w:rPr>
          <w:rFonts w:ascii="Times New Roman" w:hAnsi="Times New Roman" w:cs="Times New Roman"/>
          <w:b/>
          <w:bCs/>
          <w:sz w:val="20"/>
          <w:szCs w:val="20"/>
        </w:rPr>
        <w:t>(D)</w:t>
      </w:r>
      <w:r w:rsidRPr="00D21F7C">
        <w:rPr>
          <w:rFonts w:ascii="Times New Roman" w:hAnsi="Times New Roman" w:cs="Times New Roman"/>
          <w:sz w:val="20"/>
          <w:szCs w:val="20"/>
        </w:rPr>
        <w:t xml:space="preserve"> Representative images and quantification of absolute T cell (CD3</w:t>
      </w:r>
      <w:r w:rsidRPr="00D21F7C">
        <w:rPr>
          <w:rFonts w:ascii="Times New Roman" w:hAnsi="Times New Roman" w:cs="Times New Roman"/>
          <w:sz w:val="20"/>
          <w:szCs w:val="20"/>
          <w:vertAlign w:val="superscript"/>
        </w:rPr>
        <w:t>+</w:t>
      </w:r>
      <w:r w:rsidRPr="00D21F7C">
        <w:rPr>
          <w:rFonts w:ascii="Times New Roman" w:hAnsi="Times New Roman" w:cs="Times New Roman"/>
          <w:sz w:val="20"/>
          <w:szCs w:val="20"/>
        </w:rPr>
        <w:t xml:space="preserve">) counts and relative to plaque area per aortic root section (PBS: n=5, other groups: n=6). </w:t>
      </w:r>
      <w:r w:rsidRPr="00D21F7C">
        <w:rPr>
          <w:rFonts w:ascii="Times New Roman" w:hAnsi="Times New Roman" w:cs="Times New Roman"/>
          <w:b/>
          <w:bCs/>
          <w:sz w:val="20"/>
          <w:szCs w:val="20"/>
        </w:rPr>
        <w:t>(E)</w:t>
      </w:r>
      <w:r w:rsidRPr="00D21F7C">
        <w:rPr>
          <w:rFonts w:ascii="Times New Roman" w:hAnsi="Times New Roman" w:cs="Times New Roman"/>
          <w:sz w:val="20"/>
          <w:szCs w:val="20"/>
        </w:rPr>
        <w:t xml:space="preserve"> Representative images and quantification of lipid accumulation (perilipin-2</w:t>
      </w:r>
      <w:r w:rsidRPr="00D21F7C">
        <w:rPr>
          <w:rFonts w:ascii="Times New Roman" w:hAnsi="Times New Roman" w:cs="Times New Roman"/>
          <w:sz w:val="20"/>
          <w:szCs w:val="20"/>
          <w:vertAlign w:val="superscript"/>
        </w:rPr>
        <w:t>+</w:t>
      </w:r>
      <w:r w:rsidRPr="00D21F7C">
        <w:rPr>
          <w:rFonts w:ascii="Times New Roman" w:hAnsi="Times New Roman" w:cs="Times New Roman"/>
          <w:sz w:val="20"/>
          <w:szCs w:val="20"/>
        </w:rPr>
        <w:t>) per aortic root section (PBS: n=5, other groups: n=6). Data are presented as mean ± SEM. *</w:t>
      </w:r>
      <w:r w:rsidRPr="00D21F7C">
        <w:rPr>
          <w:rFonts w:ascii="Times New Roman" w:hAnsi="Times New Roman" w:cs="Times New Roman"/>
          <w:i/>
          <w:iCs/>
          <w:sz w:val="20"/>
          <w:szCs w:val="20"/>
        </w:rPr>
        <w:t>p</w:t>
      </w:r>
      <w:r w:rsidRPr="00D21F7C">
        <w:rPr>
          <w:rFonts w:ascii="Times New Roman" w:hAnsi="Times New Roman" w:cs="Times New Roman"/>
          <w:sz w:val="20"/>
          <w:szCs w:val="20"/>
        </w:rPr>
        <w:t xml:space="preserve"> &lt; 0.05, as determined by one-way ANOVA followed by Holm-Šídák’s post hoc test. Scale bar: 100 μm.</w:t>
      </w:r>
    </w:p>
    <w:p w14:paraId="683B00D8" w14:textId="77777777" w:rsidR="005E423A" w:rsidRPr="00D21F7C" w:rsidRDefault="005E423A">
      <w:pPr>
        <w:widowControl/>
        <w:spacing w:after="160" w:line="259" w:lineRule="auto"/>
        <w:jc w:val="left"/>
        <w:rPr>
          <w:rFonts w:ascii="Times New Roman" w:hAnsi="Times New Roman" w:cs="Times New Roman"/>
          <w:sz w:val="20"/>
          <w:szCs w:val="20"/>
        </w:rPr>
      </w:pPr>
      <w:r w:rsidRPr="00D21F7C">
        <w:rPr>
          <w:rFonts w:ascii="Times New Roman" w:hAnsi="Times New Roman" w:cs="Times New Roman"/>
          <w:sz w:val="20"/>
          <w:szCs w:val="20"/>
        </w:rPr>
        <w:br w:type="page"/>
      </w:r>
    </w:p>
    <w:p w14:paraId="3A9C51A2" w14:textId="77777777" w:rsidR="005E423A" w:rsidRPr="00D21F7C" w:rsidRDefault="005E423A" w:rsidP="00D44875">
      <w:pPr>
        <w:spacing w:line="360" w:lineRule="exact"/>
        <w:rPr>
          <w:rFonts w:ascii="Times New Roman" w:hAnsi="Times New Roman" w:cs="Times New Roman"/>
          <w:sz w:val="20"/>
          <w:szCs w:val="20"/>
        </w:rPr>
      </w:pPr>
    </w:p>
    <w:p w14:paraId="19F494A9" w14:textId="77777777" w:rsidR="005E423A" w:rsidRPr="00D21F7C" w:rsidRDefault="005E423A" w:rsidP="00A26EC0">
      <w:pPr>
        <w:widowControl/>
        <w:jc w:val="left"/>
        <w:rPr>
          <w:rFonts w:ascii="Times New Roman" w:hAnsi="Times New Roman" w:cs="Times New Roman"/>
          <w:b/>
          <w:bCs/>
          <w:color w:val="000000"/>
          <w:sz w:val="20"/>
          <w:szCs w:val="20"/>
        </w:rPr>
      </w:pPr>
      <w:r w:rsidRPr="00D21F7C">
        <w:rPr>
          <w:rFonts w:ascii="Times New Roman" w:hAnsi="Times New Roman" w:cs="Times New Roman"/>
          <w:b/>
          <w:bCs/>
          <w:color w:val="000000"/>
          <w:sz w:val="20"/>
          <w:szCs w:val="20"/>
        </w:rPr>
        <w:br w:type="page"/>
      </w:r>
      <w:r w:rsidRPr="00D21F7C">
        <w:rPr>
          <w:rFonts w:ascii="Times New Roman" w:hAnsi="Times New Roman" w:cs="Times New Roman"/>
          <w:b/>
          <w:bCs/>
          <w:noProof/>
          <w:color w:val="000000"/>
          <w:sz w:val="20"/>
          <w:szCs w:val="20"/>
        </w:rPr>
        <w:drawing>
          <wp:anchor distT="0" distB="0" distL="114300" distR="114300" simplePos="0" relativeHeight="251660288" behindDoc="0" locked="0" layoutInCell="1" allowOverlap="1" wp14:anchorId="303A9111" wp14:editId="51DC0A79">
            <wp:simplePos x="0" y="0"/>
            <wp:positionH relativeFrom="column">
              <wp:posOffset>2730</wp:posOffset>
            </wp:positionH>
            <wp:positionV relativeFrom="paragraph">
              <wp:posOffset>-355</wp:posOffset>
            </wp:positionV>
            <wp:extent cx="5760720" cy="7560310"/>
            <wp:effectExtent l="0" t="0" r="0" b="2540"/>
            <wp:wrapSquare wrapText="bothSides"/>
            <wp:docPr id="12148861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7560310"/>
                    </a:xfrm>
                    <a:prstGeom prst="rect">
                      <a:avLst/>
                    </a:prstGeom>
                    <a:noFill/>
                    <a:ln>
                      <a:noFill/>
                    </a:ln>
                  </pic:spPr>
                </pic:pic>
              </a:graphicData>
            </a:graphic>
          </wp:anchor>
        </w:drawing>
      </w:r>
    </w:p>
    <w:p w14:paraId="56F7E4F2" w14:textId="77777777" w:rsidR="005E423A" w:rsidRPr="00D21F7C" w:rsidRDefault="005E423A" w:rsidP="00D44875">
      <w:pPr>
        <w:spacing w:line="360" w:lineRule="exact"/>
        <w:rPr>
          <w:rFonts w:ascii="Times New Roman" w:hAnsi="Times New Roman" w:cs="Times New Roman"/>
          <w:b/>
          <w:bCs/>
          <w:noProof/>
          <w:color w:val="000000"/>
          <w:sz w:val="20"/>
          <w:szCs w:val="20"/>
        </w:rPr>
      </w:pPr>
      <w:r w:rsidRPr="00D21F7C">
        <w:rPr>
          <w:rFonts w:ascii="Times New Roman" w:hAnsi="Times New Roman" w:cs="Times New Roman"/>
          <w:b/>
          <w:bCs/>
          <w:color w:val="000000"/>
          <w:sz w:val="20"/>
          <w:szCs w:val="20"/>
        </w:rPr>
        <w:lastRenderedPageBreak/>
        <w:t>Fig. S3</w:t>
      </w:r>
      <w:r w:rsidRPr="00D21F7C">
        <w:rPr>
          <w:rFonts w:ascii="Times New Roman" w:hAnsi="Times New Roman" w:cs="Times New Roman"/>
          <w:b/>
          <w:bCs/>
          <w:sz w:val="20"/>
          <w:szCs w:val="20"/>
        </w:rPr>
        <w:t xml:space="preserve"> </w:t>
      </w:r>
      <w:r w:rsidRPr="00D21F7C">
        <w:rPr>
          <w:rFonts w:ascii="Times New Roman" w:hAnsi="Times New Roman" w:cs="Times New Roman"/>
          <w:b/>
          <w:bCs/>
          <w:color w:val="000000"/>
          <w:sz w:val="20"/>
          <w:szCs w:val="20"/>
        </w:rPr>
        <w:t>Lipid pathways after Gal-1 treatment and blocking IL-10.</w:t>
      </w:r>
    </w:p>
    <w:p w14:paraId="7F16F1AD" w14:textId="77777777" w:rsidR="005E423A" w:rsidRPr="00D21F7C" w:rsidRDefault="005E423A" w:rsidP="00D44875">
      <w:pPr>
        <w:spacing w:line="360" w:lineRule="exact"/>
        <w:rPr>
          <w:rFonts w:ascii="Times New Roman" w:hAnsi="Times New Roman" w:cs="Times New Roman"/>
          <w:color w:val="000000"/>
          <w:sz w:val="20"/>
          <w:szCs w:val="20"/>
        </w:rPr>
      </w:pPr>
      <w:r w:rsidRPr="00D21F7C">
        <w:rPr>
          <w:rFonts w:ascii="Times New Roman" w:hAnsi="Times New Roman" w:cs="Times New Roman"/>
          <w:b/>
          <w:bCs/>
          <w:color w:val="000000"/>
          <w:sz w:val="20"/>
          <w:szCs w:val="20"/>
        </w:rPr>
        <w:t>(A)</w:t>
      </w:r>
      <w:r w:rsidRPr="00D21F7C">
        <w:rPr>
          <w:rFonts w:ascii="Times New Roman" w:hAnsi="Times New Roman" w:cs="Times New Roman"/>
          <w:color w:val="000000"/>
          <w:sz w:val="20"/>
          <w:szCs w:val="20"/>
        </w:rPr>
        <w:t xml:space="preserve"> Plasma total cholesterol levels were measured in </w:t>
      </w:r>
      <w:r w:rsidRPr="00D21F7C">
        <w:rPr>
          <w:rFonts w:ascii="Times New Roman" w:hAnsi="Times New Roman" w:cs="Times New Roman"/>
          <w:i/>
          <w:iCs/>
          <w:color w:val="000000"/>
          <w:sz w:val="20"/>
          <w:szCs w:val="20"/>
        </w:rPr>
        <w:t>Apoe</w:t>
      </w:r>
      <w:r w:rsidRPr="00D21F7C">
        <w:rPr>
          <w:rFonts w:ascii="Times New Roman" w:hAnsi="Times New Roman" w:cs="Times New Roman"/>
          <w:color w:val="000000"/>
          <w:sz w:val="20"/>
          <w:szCs w:val="20"/>
          <w:vertAlign w:val="superscript"/>
        </w:rPr>
        <w:t>-/-</w:t>
      </w:r>
      <w:r w:rsidRPr="00D21F7C">
        <w:rPr>
          <w:rFonts w:ascii="Times New Roman" w:hAnsi="Times New Roman" w:cs="Times New Roman"/>
          <w:color w:val="000000"/>
          <w:sz w:val="20"/>
          <w:szCs w:val="20"/>
        </w:rPr>
        <w:t xml:space="preserve"> mice treated as indicated after 4 weeks of WD. </w:t>
      </w:r>
      <w:r w:rsidRPr="00D21F7C">
        <w:rPr>
          <w:rFonts w:ascii="Times New Roman" w:hAnsi="Times New Roman" w:cs="Times New Roman"/>
          <w:b/>
          <w:bCs/>
          <w:color w:val="000000"/>
          <w:sz w:val="20"/>
          <w:szCs w:val="20"/>
        </w:rPr>
        <w:t>(B)</w:t>
      </w:r>
      <w:r w:rsidRPr="00D21F7C">
        <w:rPr>
          <w:rFonts w:ascii="Times New Roman" w:hAnsi="Times New Roman" w:cs="Times New Roman"/>
          <w:color w:val="000000"/>
          <w:sz w:val="20"/>
          <w:szCs w:val="20"/>
        </w:rPr>
        <w:t xml:space="preserve"> Body weight and </w:t>
      </w:r>
      <w:r w:rsidRPr="00D21F7C">
        <w:rPr>
          <w:rFonts w:ascii="Times New Roman" w:hAnsi="Times New Roman" w:cs="Times New Roman"/>
          <w:b/>
          <w:bCs/>
          <w:color w:val="000000"/>
          <w:sz w:val="20"/>
          <w:szCs w:val="20"/>
        </w:rPr>
        <w:t>(C)</w:t>
      </w:r>
      <w:r w:rsidRPr="00D21F7C">
        <w:rPr>
          <w:rFonts w:ascii="Times New Roman" w:hAnsi="Times New Roman" w:cs="Times New Roman"/>
          <w:color w:val="000000"/>
          <w:sz w:val="20"/>
          <w:szCs w:val="20"/>
        </w:rPr>
        <w:t xml:space="preserve"> body weight gain quantification. </w:t>
      </w:r>
      <w:r w:rsidRPr="00D21F7C">
        <w:rPr>
          <w:rFonts w:ascii="Times New Roman" w:hAnsi="Times New Roman" w:cs="Times New Roman"/>
          <w:b/>
          <w:bCs/>
          <w:color w:val="000000"/>
          <w:sz w:val="20"/>
          <w:szCs w:val="20"/>
        </w:rPr>
        <w:t>(D-F)</w:t>
      </w:r>
      <w:r w:rsidRPr="00D21F7C">
        <w:rPr>
          <w:rFonts w:ascii="Times New Roman" w:hAnsi="Times New Roman" w:cs="Times New Roman"/>
          <w:color w:val="000000"/>
          <w:sz w:val="20"/>
          <w:szCs w:val="20"/>
        </w:rPr>
        <w:t xml:space="preserve"> Total lipid content, cholesterol and triglyceride levels were measured in fecal samples. </w:t>
      </w:r>
      <w:r w:rsidRPr="00D21F7C">
        <w:rPr>
          <w:rFonts w:ascii="Times New Roman" w:hAnsi="Times New Roman" w:cs="Times New Roman"/>
          <w:b/>
          <w:bCs/>
          <w:color w:val="000000"/>
          <w:sz w:val="20"/>
          <w:szCs w:val="20"/>
        </w:rPr>
        <w:t>(G)</w:t>
      </w:r>
      <w:r w:rsidRPr="00D21F7C">
        <w:rPr>
          <w:rFonts w:ascii="Times New Roman" w:hAnsi="Times New Roman" w:cs="Times New Roman"/>
          <w:color w:val="000000"/>
          <w:sz w:val="20"/>
          <w:szCs w:val="20"/>
        </w:rPr>
        <w:t xml:space="preserve"> Representative ORO staining of frozen liver sections. </w:t>
      </w:r>
      <w:r w:rsidRPr="00D21F7C">
        <w:rPr>
          <w:rFonts w:ascii="Times New Roman" w:hAnsi="Times New Roman" w:cs="Times New Roman"/>
          <w:b/>
          <w:bCs/>
          <w:color w:val="000000"/>
          <w:sz w:val="20"/>
          <w:szCs w:val="20"/>
        </w:rPr>
        <w:t>(H)</w:t>
      </w:r>
      <w:r w:rsidRPr="00D21F7C">
        <w:rPr>
          <w:rFonts w:ascii="Times New Roman" w:hAnsi="Times New Roman" w:cs="Times New Roman"/>
          <w:color w:val="000000"/>
          <w:sz w:val="20"/>
          <w:szCs w:val="20"/>
        </w:rPr>
        <w:t xml:space="preserve"> Quantification of ORO-positive staining in liver tissue. </w:t>
      </w:r>
      <w:r w:rsidRPr="00D21F7C">
        <w:rPr>
          <w:rFonts w:ascii="Times New Roman" w:hAnsi="Times New Roman" w:cs="Times New Roman"/>
          <w:b/>
          <w:bCs/>
          <w:color w:val="000000"/>
          <w:sz w:val="20"/>
          <w:szCs w:val="20"/>
        </w:rPr>
        <w:t xml:space="preserve">(I) </w:t>
      </w:r>
      <w:r w:rsidRPr="00D21F7C">
        <w:rPr>
          <w:rFonts w:ascii="Times New Roman" w:hAnsi="Times New Roman" w:cs="Times New Roman"/>
          <w:color w:val="000000"/>
          <w:sz w:val="20"/>
          <w:szCs w:val="20"/>
        </w:rPr>
        <w:t xml:space="preserve">Cholesterol and </w:t>
      </w:r>
      <w:r w:rsidRPr="00D21F7C">
        <w:rPr>
          <w:rFonts w:ascii="Times New Roman" w:hAnsi="Times New Roman" w:cs="Times New Roman"/>
          <w:b/>
          <w:bCs/>
          <w:color w:val="000000"/>
          <w:sz w:val="20"/>
          <w:szCs w:val="20"/>
        </w:rPr>
        <w:t>(J)</w:t>
      </w:r>
      <w:r w:rsidRPr="00D21F7C">
        <w:rPr>
          <w:rFonts w:ascii="Times New Roman" w:hAnsi="Times New Roman" w:cs="Times New Roman"/>
          <w:color w:val="000000"/>
          <w:sz w:val="20"/>
          <w:szCs w:val="20"/>
        </w:rPr>
        <w:t xml:space="preserve"> triglyceride concentrations in liver tissue. </w:t>
      </w:r>
      <w:r w:rsidRPr="00D21F7C">
        <w:rPr>
          <w:rFonts w:ascii="Times New Roman" w:hAnsi="Times New Roman" w:cs="Times New Roman"/>
          <w:b/>
          <w:bCs/>
          <w:color w:val="000000"/>
          <w:sz w:val="20"/>
          <w:szCs w:val="20"/>
        </w:rPr>
        <w:t>(K)</w:t>
      </w:r>
      <w:r w:rsidRPr="00D21F7C">
        <w:rPr>
          <w:rFonts w:ascii="Times New Roman" w:hAnsi="Times New Roman" w:cs="Times New Roman"/>
          <w:color w:val="000000"/>
          <w:sz w:val="20"/>
          <w:szCs w:val="20"/>
        </w:rPr>
        <w:t xml:space="preserve"> Expression of genes involved in lipid metabolism in liver tissue. </w:t>
      </w:r>
      <w:r w:rsidRPr="00D21F7C">
        <w:rPr>
          <w:rFonts w:ascii="Times New Roman" w:hAnsi="Times New Roman" w:cs="Times New Roman"/>
          <w:b/>
          <w:bCs/>
          <w:color w:val="000000"/>
          <w:sz w:val="20"/>
          <w:szCs w:val="20"/>
        </w:rPr>
        <w:t>(L)</w:t>
      </w:r>
      <w:r w:rsidRPr="00D21F7C">
        <w:rPr>
          <w:rFonts w:ascii="Times New Roman" w:hAnsi="Times New Roman" w:cs="Times New Roman"/>
          <w:color w:val="000000"/>
          <w:sz w:val="20"/>
          <w:szCs w:val="20"/>
        </w:rPr>
        <w:t xml:space="preserve"> Plasma cholesterol level after Gal-1 treatment. Plasma from </w:t>
      </w:r>
      <w:r w:rsidRPr="00D21F7C">
        <w:rPr>
          <w:rFonts w:ascii="Times New Roman" w:hAnsi="Times New Roman" w:cs="Times New Roman"/>
          <w:i/>
          <w:iCs/>
          <w:color w:val="000000"/>
          <w:sz w:val="20"/>
          <w:szCs w:val="20"/>
        </w:rPr>
        <w:t>Apoe</w:t>
      </w:r>
      <w:r w:rsidRPr="00D21F7C">
        <w:rPr>
          <w:rFonts w:ascii="Times New Roman" w:hAnsi="Times New Roman" w:cs="Times New Roman"/>
          <w:color w:val="000000"/>
          <w:sz w:val="20"/>
          <w:szCs w:val="20"/>
          <w:vertAlign w:val="superscript"/>
        </w:rPr>
        <w:t>-/-</w:t>
      </w:r>
      <w:r w:rsidRPr="00D21F7C">
        <w:rPr>
          <w:rFonts w:ascii="Times New Roman" w:hAnsi="Times New Roman" w:cs="Times New Roman"/>
          <w:color w:val="000000"/>
          <w:sz w:val="20"/>
          <w:szCs w:val="20"/>
        </w:rPr>
        <w:t xml:space="preserve"> mice was treated with 10 µg/mL of Gal-1 or PBS for 30 minutes at room temperature. The samples were then centrifuged at 10,000 × g for 20 minutes at 4 °C to precipitate the cross-linked extracellular vesicles, and the supernatant was collected. Cholesterol levels in the supernatant were quantified post-centrifugation (n=6). Data are presented as the mean ± SEM. Statistical analysis was performed using one-way ANOVA followed by Holm-Šídák's post hoc test. *</w:t>
      </w:r>
      <w:r w:rsidRPr="00D21F7C">
        <w:rPr>
          <w:rFonts w:ascii="Times New Roman" w:hAnsi="Times New Roman" w:cs="Times New Roman"/>
          <w:i/>
          <w:iCs/>
          <w:color w:val="000000"/>
          <w:sz w:val="20"/>
          <w:szCs w:val="20"/>
        </w:rPr>
        <w:t>p</w:t>
      </w:r>
      <w:r w:rsidRPr="00D21F7C">
        <w:rPr>
          <w:rFonts w:ascii="Times New Roman" w:hAnsi="Times New Roman" w:cs="Times New Roman"/>
          <w:color w:val="000000"/>
          <w:sz w:val="20"/>
          <w:szCs w:val="20"/>
        </w:rPr>
        <w:t xml:space="preserve"> &lt; 0.05 and **</w:t>
      </w:r>
      <w:r w:rsidRPr="00D21F7C">
        <w:rPr>
          <w:rFonts w:ascii="Times New Roman" w:hAnsi="Times New Roman" w:cs="Times New Roman"/>
          <w:i/>
          <w:iCs/>
          <w:color w:val="000000"/>
          <w:sz w:val="20"/>
          <w:szCs w:val="20"/>
        </w:rPr>
        <w:t>p</w:t>
      </w:r>
      <w:r w:rsidRPr="00D21F7C">
        <w:rPr>
          <w:rFonts w:ascii="Times New Roman" w:hAnsi="Times New Roman" w:cs="Times New Roman"/>
          <w:color w:val="000000"/>
          <w:sz w:val="20"/>
          <w:szCs w:val="20"/>
        </w:rPr>
        <w:t xml:space="preserve"> &lt; 0.01. Scale bar: 100 μm.</w:t>
      </w:r>
    </w:p>
    <w:p w14:paraId="2E426AEA" w14:textId="77777777" w:rsidR="005E423A" w:rsidRPr="00D21F7C" w:rsidRDefault="005E423A" w:rsidP="00D44875">
      <w:pPr>
        <w:widowControl/>
        <w:jc w:val="left"/>
        <w:rPr>
          <w:rFonts w:ascii="Times New Roman" w:hAnsi="Times New Roman" w:cs="Times New Roman"/>
          <w:b/>
          <w:bCs/>
          <w:color w:val="000000"/>
          <w:sz w:val="20"/>
          <w:szCs w:val="20"/>
        </w:rPr>
      </w:pPr>
      <w:r w:rsidRPr="00D21F7C">
        <w:rPr>
          <w:rFonts w:ascii="Times New Roman" w:hAnsi="Times New Roman" w:cs="Times New Roman"/>
          <w:b/>
          <w:bCs/>
          <w:color w:val="000000"/>
          <w:sz w:val="20"/>
          <w:szCs w:val="20"/>
        </w:rPr>
        <w:br w:type="page"/>
      </w:r>
    </w:p>
    <w:p w14:paraId="450C7098" w14:textId="77777777" w:rsidR="005E423A" w:rsidRPr="00D21F7C" w:rsidRDefault="005E423A" w:rsidP="00D44875">
      <w:pPr>
        <w:spacing w:line="360" w:lineRule="exact"/>
        <w:rPr>
          <w:rFonts w:ascii="Times New Roman" w:hAnsi="Times New Roman" w:cs="Times New Roman"/>
          <w:b/>
          <w:bCs/>
          <w:sz w:val="20"/>
          <w:szCs w:val="20"/>
        </w:rPr>
      </w:pPr>
      <w:r w:rsidRPr="00D21F7C">
        <w:rPr>
          <w:rFonts w:ascii="Times New Roman" w:hAnsi="Times New Roman" w:cs="Times New Roman"/>
          <w:b/>
          <w:bCs/>
          <w:noProof/>
          <w:sz w:val="20"/>
          <w:szCs w:val="20"/>
        </w:rPr>
        <w:lastRenderedPageBreak/>
        <w:drawing>
          <wp:anchor distT="0" distB="0" distL="114300" distR="114300" simplePos="0" relativeHeight="251659264" behindDoc="1" locked="0" layoutInCell="1" allowOverlap="1" wp14:anchorId="018AA0DF" wp14:editId="3E4A477B">
            <wp:simplePos x="0" y="0"/>
            <wp:positionH relativeFrom="column">
              <wp:posOffset>635</wp:posOffset>
            </wp:positionH>
            <wp:positionV relativeFrom="paragraph">
              <wp:posOffset>191068</wp:posOffset>
            </wp:positionV>
            <wp:extent cx="5760720" cy="4297045"/>
            <wp:effectExtent l="0" t="0" r="0" b="8255"/>
            <wp:wrapTight wrapText="bothSides">
              <wp:wrapPolygon edited="0">
                <wp:start x="0" y="0"/>
                <wp:lineTo x="0" y="21546"/>
                <wp:lineTo x="21500" y="21546"/>
                <wp:lineTo x="21500" y="0"/>
                <wp:lineTo x="0" y="0"/>
              </wp:wrapPolygon>
            </wp:wrapTight>
            <wp:docPr id="18520771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4297045"/>
                    </a:xfrm>
                    <a:prstGeom prst="rect">
                      <a:avLst/>
                    </a:prstGeom>
                    <a:noFill/>
                    <a:ln>
                      <a:noFill/>
                    </a:ln>
                  </pic:spPr>
                </pic:pic>
              </a:graphicData>
            </a:graphic>
          </wp:anchor>
        </w:drawing>
      </w:r>
      <w:r w:rsidRPr="00D21F7C">
        <w:rPr>
          <w:rFonts w:ascii="Times New Roman" w:hAnsi="Times New Roman" w:cs="Times New Roman"/>
          <w:b/>
          <w:bCs/>
          <w:sz w:val="20"/>
          <w:szCs w:val="20"/>
        </w:rPr>
        <w:t xml:space="preserve">Fig. S4 </w:t>
      </w:r>
      <w:r w:rsidRPr="00D21F7C">
        <w:rPr>
          <w:rFonts w:ascii="Times New Roman" w:hAnsi="Times New Roman" w:cs="Times New Roman"/>
          <w:b/>
          <w:bCs/>
          <w:sz w:val="20"/>
          <w:szCs w:val="20"/>
          <w:lang w:val="en-GB"/>
        </w:rPr>
        <w:t>Cell aggregation induced by Gal-1 and Gal-1</w:t>
      </w:r>
      <w:r w:rsidRPr="00D21F7C">
        <w:rPr>
          <w:rFonts w:ascii="Times New Roman" w:hAnsi="Times New Roman" w:cs="Times New Roman"/>
          <w:b/>
          <w:bCs/>
          <w:sz w:val="20"/>
          <w:szCs w:val="20"/>
          <w:vertAlign w:val="superscript"/>
          <w:lang w:val="en-GB"/>
        </w:rPr>
        <w:t>E71Q</w:t>
      </w:r>
      <w:r w:rsidRPr="00D21F7C">
        <w:rPr>
          <w:rFonts w:ascii="Times New Roman" w:hAnsi="Times New Roman" w:cs="Times New Roman"/>
          <w:sz w:val="20"/>
          <w:szCs w:val="20"/>
          <w:lang w:val="en-GB"/>
        </w:rPr>
        <w:t>.</w:t>
      </w:r>
    </w:p>
    <w:p w14:paraId="09484C0B" w14:textId="77777777" w:rsidR="005E423A" w:rsidRPr="00D21F7C" w:rsidRDefault="005E423A" w:rsidP="00D44875">
      <w:pPr>
        <w:pStyle w:val="StandardWeb"/>
        <w:spacing w:before="0" w:beforeAutospacing="0" w:after="0" w:afterAutospacing="0" w:line="360" w:lineRule="exact"/>
        <w:jc w:val="both"/>
        <w:rPr>
          <w:sz w:val="20"/>
          <w:szCs w:val="20"/>
          <w:lang w:val="en-US"/>
        </w:rPr>
      </w:pPr>
      <w:r w:rsidRPr="00D21F7C">
        <w:rPr>
          <w:b/>
          <w:bCs/>
          <w:sz w:val="20"/>
          <w:szCs w:val="20"/>
          <w:lang w:val="en-GB"/>
        </w:rPr>
        <w:t>(A-C)</w:t>
      </w:r>
      <w:r w:rsidRPr="00D21F7C">
        <w:rPr>
          <w:sz w:val="20"/>
          <w:szCs w:val="20"/>
          <w:lang w:val="en-GB"/>
        </w:rPr>
        <w:t xml:space="preserve"> Representative images showing the aggregation of Jurkat T cells incubated with </w:t>
      </w:r>
      <w:r w:rsidRPr="00D21F7C">
        <w:rPr>
          <w:b/>
          <w:bCs/>
          <w:sz w:val="20"/>
          <w:szCs w:val="20"/>
          <w:lang w:val="en-GB"/>
        </w:rPr>
        <w:t>(A)</w:t>
      </w:r>
      <w:r w:rsidRPr="00D21F7C">
        <w:rPr>
          <w:sz w:val="20"/>
          <w:szCs w:val="20"/>
          <w:lang w:val="en-GB"/>
        </w:rPr>
        <w:t xml:space="preserve"> 1 µM Gal-1, </w:t>
      </w:r>
      <w:r w:rsidRPr="00D21F7C">
        <w:rPr>
          <w:b/>
          <w:bCs/>
          <w:sz w:val="20"/>
          <w:szCs w:val="20"/>
          <w:lang w:val="en-GB"/>
        </w:rPr>
        <w:t>(B)</w:t>
      </w:r>
      <w:r w:rsidRPr="00D21F7C">
        <w:rPr>
          <w:sz w:val="20"/>
          <w:szCs w:val="20"/>
          <w:lang w:val="en-GB"/>
        </w:rPr>
        <w:t xml:space="preserve"> 1 µM Gal-1</w:t>
      </w:r>
      <w:r w:rsidRPr="00D21F7C">
        <w:rPr>
          <w:sz w:val="20"/>
          <w:szCs w:val="20"/>
          <w:vertAlign w:val="superscript"/>
          <w:lang w:val="en-GB"/>
        </w:rPr>
        <w:t>E71Q</w:t>
      </w:r>
      <w:r w:rsidRPr="00D21F7C">
        <w:rPr>
          <w:sz w:val="20"/>
          <w:szCs w:val="20"/>
          <w:lang w:val="en-GB"/>
        </w:rPr>
        <w:t xml:space="preserve"> and </w:t>
      </w:r>
      <w:r w:rsidRPr="00D21F7C">
        <w:rPr>
          <w:b/>
          <w:bCs/>
          <w:sz w:val="20"/>
          <w:szCs w:val="20"/>
          <w:lang w:val="en-GB"/>
        </w:rPr>
        <w:t>(C)</w:t>
      </w:r>
      <w:r w:rsidRPr="00D21F7C">
        <w:rPr>
          <w:sz w:val="20"/>
          <w:szCs w:val="20"/>
          <w:lang w:val="en-GB"/>
        </w:rPr>
        <w:t xml:space="preserve"> without galectin (</w:t>
      </w:r>
      <w:r w:rsidRPr="00D21F7C">
        <w:rPr>
          <w:b/>
          <w:bCs/>
          <w:sz w:val="20"/>
          <w:szCs w:val="20"/>
          <w:lang w:val="en-GB"/>
        </w:rPr>
        <w:t>A-C</w:t>
      </w:r>
      <w:r w:rsidRPr="00D21F7C">
        <w:rPr>
          <w:sz w:val="20"/>
          <w:szCs w:val="20"/>
          <w:lang w:val="en-GB"/>
        </w:rPr>
        <w:t xml:space="preserve">: n = 3). </w:t>
      </w:r>
      <w:r w:rsidRPr="00D21F7C">
        <w:rPr>
          <w:b/>
          <w:bCs/>
          <w:sz w:val="20"/>
          <w:szCs w:val="20"/>
          <w:lang w:val="en-GB"/>
        </w:rPr>
        <w:t>(D)</w:t>
      </w:r>
      <w:r w:rsidRPr="00D21F7C">
        <w:rPr>
          <w:sz w:val="20"/>
          <w:szCs w:val="20"/>
          <w:lang w:val="en-GB"/>
        </w:rPr>
        <w:t xml:space="preserve"> Jurkat T cells at a concentration of 1 x 10</w:t>
      </w:r>
      <w:r w:rsidRPr="00D21F7C">
        <w:rPr>
          <w:sz w:val="20"/>
          <w:szCs w:val="20"/>
          <w:vertAlign w:val="superscript"/>
          <w:lang w:val="en-GB"/>
        </w:rPr>
        <w:t>6</w:t>
      </w:r>
      <w:r w:rsidRPr="00D21F7C">
        <w:rPr>
          <w:sz w:val="20"/>
          <w:szCs w:val="20"/>
          <w:lang w:val="en-GB"/>
        </w:rPr>
        <w:t xml:space="preserve"> cells/700 µL RPMI 1640 medium </w:t>
      </w:r>
      <w:r w:rsidRPr="00D21F7C">
        <w:rPr>
          <w:sz w:val="20"/>
          <w:szCs w:val="20"/>
          <w:lang w:val="en-US"/>
        </w:rPr>
        <w:t xml:space="preserve">were incubated </w:t>
      </w:r>
      <w:r w:rsidRPr="00D21F7C">
        <w:rPr>
          <w:sz w:val="20"/>
          <w:szCs w:val="20"/>
          <w:lang w:val="en-GB"/>
        </w:rPr>
        <w:t>with increasing concentrations (from 1 nM to 1 µM) of Gal-1 (n=4) and Gal-1</w:t>
      </w:r>
      <w:r w:rsidRPr="00D21F7C">
        <w:rPr>
          <w:sz w:val="20"/>
          <w:szCs w:val="20"/>
          <w:vertAlign w:val="superscript"/>
          <w:lang w:val="en-GB"/>
        </w:rPr>
        <w:t>E71Q</w:t>
      </w:r>
      <w:r w:rsidRPr="00D21F7C">
        <w:rPr>
          <w:sz w:val="20"/>
          <w:szCs w:val="20"/>
          <w:lang w:val="en-GB"/>
        </w:rPr>
        <w:t xml:space="preserve"> (n=5) at 37 °C for 4 hours. The aggregation rate (doublets and clumps/all cells) was determined by flow cytometry (FSC-W vs. FSC-A). Data are presented as mean ± SEM, with statistical significance determined by two-tailed Student’s t-test. **</w:t>
      </w:r>
      <w:r w:rsidRPr="00D21F7C">
        <w:rPr>
          <w:i/>
          <w:iCs/>
          <w:color w:val="000000"/>
          <w:sz w:val="20"/>
          <w:szCs w:val="20"/>
          <w:lang w:val="en-US"/>
        </w:rPr>
        <w:t>p</w:t>
      </w:r>
      <w:r w:rsidRPr="00D21F7C">
        <w:rPr>
          <w:color w:val="000000"/>
          <w:sz w:val="20"/>
          <w:szCs w:val="20"/>
          <w:lang w:val="en-US"/>
        </w:rPr>
        <w:t xml:space="preserve"> &lt; </w:t>
      </w:r>
      <w:r w:rsidRPr="00D21F7C">
        <w:rPr>
          <w:sz w:val="20"/>
          <w:szCs w:val="20"/>
          <w:lang w:val="en-GB"/>
        </w:rPr>
        <w:t>0.01. Scale bar: 100 μm.</w:t>
      </w:r>
    </w:p>
    <w:p w14:paraId="3599E6C9" w14:textId="77777777" w:rsidR="005E423A" w:rsidRPr="00D21F7C" w:rsidRDefault="005E423A" w:rsidP="00D44875">
      <w:pPr>
        <w:widowControl/>
        <w:jc w:val="left"/>
        <w:rPr>
          <w:rFonts w:ascii="Times New Roman" w:hAnsi="Times New Roman" w:cs="Times New Roman"/>
          <w:b/>
          <w:bCs/>
          <w:color w:val="000000"/>
          <w:sz w:val="20"/>
          <w:szCs w:val="20"/>
        </w:rPr>
      </w:pPr>
      <w:r w:rsidRPr="00D21F7C">
        <w:rPr>
          <w:rFonts w:ascii="Times New Roman" w:hAnsi="Times New Roman" w:cs="Times New Roman"/>
          <w:b/>
          <w:bCs/>
          <w:color w:val="000000"/>
          <w:sz w:val="20"/>
          <w:szCs w:val="20"/>
        </w:rPr>
        <w:br w:type="page"/>
      </w:r>
    </w:p>
    <w:p w14:paraId="6C378DF9" w14:textId="77777777" w:rsidR="005E423A" w:rsidRPr="00D21F7C" w:rsidRDefault="005E423A" w:rsidP="00D44875">
      <w:pPr>
        <w:spacing w:line="360" w:lineRule="exact"/>
        <w:rPr>
          <w:rFonts w:ascii="Times New Roman" w:hAnsi="Times New Roman" w:cs="Times New Roman"/>
          <w:b/>
          <w:bCs/>
          <w:noProof/>
          <w:color w:val="000000"/>
          <w:sz w:val="20"/>
          <w:szCs w:val="20"/>
        </w:rPr>
      </w:pPr>
      <w:r w:rsidRPr="00D21F7C">
        <w:rPr>
          <w:rFonts w:ascii="Times New Roman" w:hAnsi="Times New Roman" w:cs="Times New Roman"/>
          <w:b/>
          <w:bCs/>
          <w:noProof/>
          <w:color w:val="000000"/>
          <w:sz w:val="20"/>
          <w:szCs w:val="20"/>
        </w:rPr>
        <w:lastRenderedPageBreak/>
        <w:drawing>
          <wp:anchor distT="0" distB="0" distL="114300" distR="114300" simplePos="0" relativeHeight="251665408" behindDoc="0" locked="0" layoutInCell="1" allowOverlap="1" wp14:anchorId="42A50390" wp14:editId="4F86945D">
            <wp:simplePos x="0" y="0"/>
            <wp:positionH relativeFrom="column">
              <wp:posOffset>-2224</wp:posOffset>
            </wp:positionH>
            <wp:positionV relativeFrom="paragraph">
              <wp:posOffset>-214</wp:posOffset>
            </wp:positionV>
            <wp:extent cx="5760720" cy="4765040"/>
            <wp:effectExtent l="0" t="0" r="0" b="0"/>
            <wp:wrapSquare wrapText="bothSides"/>
            <wp:docPr id="14146087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4765040"/>
                    </a:xfrm>
                    <a:prstGeom prst="rect">
                      <a:avLst/>
                    </a:prstGeom>
                    <a:noFill/>
                    <a:ln>
                      <a:noFill/>
                    </a:ln>
                  </pic:spPr>
                </pic:pic>
              </a:graphicData>
            </a:graphic>
          </wp:anchor>
        </w:drawing>
      </w:r>
      <w:r w:rsidRPr="00D21F7C">
        <w:rPr>
          <w:rFonts w:ascii="Times New Roman" w:hAnsi="Times New Roman" w:cs="Times New Roman"/>
          <w:b/>
          <w:bCs/>
          <w:sz w:val="20"/>
          <w:szCs w:val="20"/>
        </w:rPr>
        <w:t>Fig. S5 Additional data to Fig.4.</w:t>
      </w:r>
      <w:r w:rsidRPr="00D21F7C">
        <w:rPr>
          <w:rFonts w:ascii="Times New Roman" w:hAnsi="Times New Roman" w:cs="Times New Roman"/>
          <w:sz w:val="20"/>
          <w:szCs w:val="20"/>
        </w:rPr>
        <w:t xml:space="preserve"> </w:t>
      </w:r>
    </w:p>
    <w:p w14:paraId="2A4E8B4F" w14:textId="77777777" w:rsidR="005E423A" w:rsidRPr="00D21F7C" w:rsidRDefault="005E423A" w:rsidP="00D44875">
      <w:pPr>
        <w:pStyle w:val="StandardWeb"/>
        <w:spacing w:before="0" w:beforeAutospacing="0" w:after="0" w:afterAutospacing="0" w:line="360" w:lineRule="exact"/>
        <w:jc w:val="both"/>
        <w:rPr>
          <w:sz w:val="20"/>
          <w:szCs w:val="20"/>
          <w:lang w:val="en-US"/>
        </w:rPr>
      </w:pPr>
      <w:r w:rsidRPr="00D21F7C">
        <w:rPr>
          <w:b/>
          <w:bCs/>
          <w:sz w:val="20"/>
          <w:szCs w:val="20"/>
          <w:lang w:val="en-US"/>
        </w:rPr>
        <w:t>(A)</w:t>
      </w:r>
      <w:r w:rsidRPr="00D21F7C">
        <w:rPr>
          <w:sz w:val="20"/>
          <w:szCs w:val="20"/>
          <w:lang w:val="en-US"/>
        </w:rPr>
        <w:t xml:space="preserve"> Body weight gain from mice (see scheme Fig.4A) treated with Gal-1 (n=9), Gal-1</w:t>
      </w:r>
      <w:r w:rsidRPr="00D21F7C">
        <w:rPr>
          <w:sz w:val="20"/>
          <w:szCs w:val="20"/>
          <w:vertAlign w:val="superscript"/>
          <w:lang w:val="en-US"/>
        </w:rPr>
        <w:t>E71Q</w:t>
      </w:r>
      <w:r w:rsidRPr="00D21F7C">
        <w:rPr>
          <w:sz w:val="20"/>
          <w:szCs w:val="20"/>
          <w:lang w:val="en-US"/>
        </w:rPr>
        <w:t xml:space="preserve"> (n=6) and PBS (n=9). </w:t>
      </w:r>
      <w:r w:rsidRPr="00D21F7C">
        <w:rPr>
          <w:b/>
          <w:bCs/>
          <w:sz w:val="20"/>
          <w:szCs w:val="20"/>
          <w:lang w:val="en-US"/>
        </w:rPr>
        <w:t>(B)</w:t>
      </w:r>
      <w:r w:rsidRPr="00D21F7C">
        <w:rPr>
          <w:sz w:val="20"/>
          <w:szCs w:val="20"/>
          <w:lang w:val="en-US"/>
        </w:rPr>
        <w:t xml:space="preserve"> Plasma triglyceride levels. </w:t>
      </w:r>
      <w:r w:rsidRPr="00D21F7C">
        <w:rPr>
          <w:b/>
          <w:bCs/>
          <w:sz w:val="20"/>
          <w:szCs w:val="20"/>
          <w:lang w:val="en-US"/>
        </w:rPr>
        <w:t>(C)</w:t>
      </w:r>
      <w:r w:rsidRPr="00D21F7C">
        <w:rPr>
          <w:sz w:val="20"/>
          <w:szCs w:val="20"/>
          <w:lang w:val="en-US"/>
        </w:rPr>
        <w:t xml:space="preserve"> Plasma cholesterol levels. </w:t>
      </w:r>
      <w:r w:rsidRPr="00D21F7C">
        <w:rPr>
          <w:b/>
          <w:bCs/>
          <w:sz w:val="20"/>
          <w:szCs w:val="20"/>
          <w:lang w:val="en-US"/>
        </w:rPr>
        <w:t>(D-G)</w:t>
      </w:r>
      <w:r w:rsidRPr="00D21F7C">
        <w:rPr>
          <w:sz w:val="20"/>
          <w:szCs w:val="20"/>
          <w:lang w:val="en-US"/>
        </w:rPr>
        <w:t xml:space="preserve"> Percentage of leukocyte/lymphocyte subsets per CD45+ cells. (</w:t>
      </w:r>
      <w:r w:rsidRPr="00D21F7C">
        <w:rPr>
          <w:b/>
          <w:bCs/>
          <w:sz w:val="20"/>
          <w:szCs w:val="20"/>
          <w:lang w:val="en-US"/>
        </w:rPr>
        <w:t>D</w:t>
      </w:r>
      <w:r w:rsidRPr="00D21F7C">
        <w:rPr>
          <w:sz w:val="20"/>
          <w:szCs w:val="20"/>
          <w:lang w:val="en-US"/>
        </w:rPr>
        <w:t xml:space="preserve">) Lymphocytes in the peritoneal lavage. </w:t>
      </w:r>
      <w:r w:rsidRPr="00D21F7C">
        <w:rPr>
          <w:b/>
          <w:bCs/>
          <w:sz w:val="20"/>
          <w:szCs w:val="20"/>
          <w:lang w:val="en-US"/>
        </w:rPr>
        <w:t>(E)</w:t>
      </w:r>
      <w:r w:rsidRPr="00D21F7C">
        <w:rPr>
          <w:sz w:val="20"/>
          <w:szCs w:val="20"/>
          <w:lang w:val="en-US"/>
        </w:rPr>
        <w:t xml:space="preserve"> Neutrophils (Neu) in the peritoneal lavage. </w:t>
      </w:r>
      <w:r w:rsidRPr="00D21F7C">
        <w:rPr>
          <w:b/>
          <w:bCs/>
          <w:sz w:val="20"/>
          <w:szCs w:val="20"/>
          <w:lang w:val="en-US"/>
        </w:rPr>
        <w:t>(F)</w:t>
      </w:r>
      <w:r w:rsidRPr="00D21F7C">
        <w:rPr>
          <w:sz w:val="20"/>
          <w:szCs w:val="20"/>
          <w:lang w:val="en-US"/>
        </w:rPr>
        <w:t xml:space="preserve"> </w:t>
      </w:r>
      <w:r w:rsidRPr="00D21F7C">
        <w:rPr>
          <w:sz w:val="20"/>
          <w:szCs w:val="20"/>
          <w:lang w:val="en-GB"/>
        </w:rPr>
        <w:t xml:space="preserve">Myeloid cells in the blood. </w:t>
      </w:r>
      <w:r w:rsidRPr="00D21F7C">
        <w:rPr>
          <w:b/>
          <w:bCs/>
          <w:sz w:val="20"/>
          <w:szCs w:val="20"/>
          <w:lang w:val="en-US"/>
        </w:rPr>
        <w:t>(G)</w:t>
      </w:r>
      <w:r w:rsidRPr="00D21F7C">
        <w:rPr>
          <w:sz w:val="20"/>
          <w:szCs w:val="20"/>
          <w:lang w:val="en-US"/>
        </w:rPr>
        <w:t xml:space="preserve"> </w:t>
      </w:r>
      <w:r w:rsidRPr="00D21F7C">
        <w:rPr>
          <w:sz w:val="20"/>
          <w:szCs w:val="20"/>
          <w:lang w:val="en-GB"/>
        </w:rPr>
        <w:t>Lymphocytes in the blood. *</w:t>
      </w:r>
      <w:r w:rsidRPr="00D21F7C">
        <w:rPr>
          <w:i/>
          <w:iCs/>
          <w:color w:val="000000"/>
          <w:sz w:val="20"/>
          <w:szCs w:val="20"/>
          <w:lang w:val="en-US"/>
        </w:rPr>
        <w:t>p</w:t>
      </w:r>
      <w:r w:rsidRPr="00D21F7C">
        <w:rPr>
          <w:color w:val="000000"/>
          <w:sz w:val="20"/>
          <w:szCs w:val="20"/>
          <w:lang w:val="en-US"/>
        </w:rPr>
        <w:t xml:space="preserve"> &lt; </w:t>
      </w:r>
      <w:r w:rsidRPr="00D21F7C">
        <w:rPr>
          <w:sz w:val="20"/>
          <w:szCs w:val="20"/>
          <w:lang w:val="en-GB"/>
        </w:rPr>
        <w:t xml:space="preserve">0.05, </w:t>
      </w:r>
      <w:r w:rsidRPr="00D21F7C">
        <w:rPr>
          <w:sz w:val="20"/>
          <w:szCs w:val="20"/>
          <w:lang w:val="en-US"/>
        </w:rPr>
        <w:t>**</w:t>
      </w:r>
      <w:r w:rsidRPr="00D21F7C">
        <w:rPr>
          <w:i/>
          <w:iCs/>
          <w:color w:val="000000"/>
          <w:sz w:val="20"/>
          <w:szCs w:val="20"/>
          <w:lang w:val="en-US"/>
        </w:rPr>
        <w:t>p</w:t>
      </w:r>
      <w:r w:rsidRPr="00D21F7C">
        <w:rPr>
          <w:color w:val="000000"/>
          <w:sz w:val="20"/>
          <w:szCs w:val="20"/>
          <w:lang w:val="en-US"/>
        </w:rPr>
        <w:t xml:space="preserve"> &lt; </w:t>
      </w:r>
      <w:r w:rsidRPr="00D21F7C">
        <w:rPr>
          <w:sz w:val="20"/>
          <w:szCs w:val="20"/>
          <w:lang w:val="en-US"/>
        </w:rPr>
        <w:t xml:space="preserve">0.01 </w:t>
      </w:r>
      <w:r w:rsidRPr="00D21F7C">
        <w:rPr>
          <w:sz w:val="20"/>
          <w:szCs w:val="20"/>
          <w:lang w:val="en-GB"/>
        </w:rPr>
        <w:t>and ****</w:t>
      </w:r>
      <w:r w:rsidRPr="00D21F7C">
        <w:rPr>
          <w:i/>
          <w:iCs/>
          <w:color w:val="000000"/>
          <w:sz w:val="20"/>
          <w:szCs w:val="20"/>
          <w:lang w:val="en-US"/>
        </w:rPr>
        <w:t>p</w:t>
      </w:r>
      <w:r w:rsidRPr="00D21F7C">
        <w:rPr>
          <w:color w:val="000000"/>
          <w:sz w:val="20"/>
          <w:szCs w:val="20"/>
          <w:lang w:val="en-US"/>
        </w:rPr>
        <w:t xml:space="preserve"> &lt; </w:t>
      </w:r>
      <w:r w:rsidRPr="00D21F7C">
        <w:rPr>
          <w:sz w:val="20"/>
          <w:szCs w:val="20"/>
          <w:lang w:val="en-GB"/>
        </w:rPr>
        <w:t>0.0001. Data are presented as the mean ± SEM</w:t>
      </w:r>
      <w:r w:rsidRPr="00D21F7C">
        <w:rPr>
          <w:sz w:val="20"/>
          <w:szCs w:val="20"/>
          <w:lang w:val="en-US"/>
        </w:rPr>
        <w:t xml:space="preserve">. one-way ANOVA followed by Holm-Šídák’s post hoc test. </w:t>
      </w:r>
    </w:p>
    <w:p w14:paraId="2243274C" w14:textId="77777777" w:rsidR="005E423A" w:rsidRPr="00D21F7C" w:rsidRDefault="005E423A" w:rsidP="00D44875">
      <w:pPr>
        <w:widowControl/>
        <w:jc w:val="left"/>
        <w:rPr>
          <w:rFonts w:ascii="Times New Roman" w:hAnsi="Times New Roman" w:cs="Times New Roman"/>
          <w:b/>
          <w:bCs/>
          <w:color w:val="000000"/>
          <w:sz w:val="20"/>
          <w:szCs w:val="20"/>
        </w:rPr>
      </w:pPr>
      <w:r w:rsidRPr="00D21F7C">
        <w:rPr>
          <w:rFonts w:ascii="Times New Roman" w:hAnsi="Times New Roman" w:cs="Times New Roman"/>
          <w:b/>
          <w:bCs/>
          <w:color w:val="000000"/>
          <w:sz w:val="20"/>
          <w:szCs w:val="20"/>
        </w:rPr>
        <w:br w:type="page"/>
      </w:r>
    </w:p>
    <w:p w14:paraId="05476109" w14:textId="77777777" w:rsidR="005E423A" w:rsidRPr="00D21F7C" w:rsidRDefault="005E423A" w:rsidP="00D44875">
      <w:pPr>
        <w:spacing w:line="360" w:lineRule="exact"/>
        <w:rPr>
          <w:rFonts w:ascii="Times New Roman" w:hAnsi="Times New Roman" w:cs="Times New Roman"/>
          <w:b/>
          <w:bCs/>
          <w:noProof/>
          <w:color w:val="000000"/>
          <w:sz w:val="20"/>
          <w:szCs w:val="20"/>
        </w:rPr>
      </w:pPr>
      <w:r w:rsidRPr="00D21F7C">
        <w:rPr>
          <w:rFonts w:ascii="Times New Roman" w:hAnsi="Times New Roman" w:cs="Times New Roman"/>
          <w:b/>
          <w:bCs/>
          <w:noProof/>
          <w:color w:val="000000"/>
          <w:sz w:val="20"/>
          <w:szCs w:val="20"/>
        </w:rPr>
        <w:lastRenderedPageBreak/>
        <w:drawing>
          <wp:anchor distT="0" distB="0" distL="114300" distR="114300" simplePos="0" relativeHeight="251666432" behindDoc="0" locked="0" layoutInCell="1" allowOverlap="1" wp14:anchorId="78F68095" wp14:editId="23AFDB4D">
            <wp:simplePos x="0" y="0"/>
            <wp:positionH relativeFrom="column">
              <wp:posOffset>-2224</wp:posOffset>
            </wp:positionH>
            <wp:positionV relativeFrom="paragraph">
              <wp:posOffset>-413</wp:posOffset>
            </wp:positionV>
            <wp:extent cx="5760720" cy="6481445"/>
            <wp:effectExtent l="0" t="0" r="0" b="0"/>
            <wp:wrapSquare wrapText="bothSides"/>
            <wp:docPr id="167318999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6481445"/>
                    </a:xfrm>
                    <a:prstGeom prst="rect">
                      <a:avLst/>
                    </a:prstGeom>
                    <a:noFill/>
                    <a:ln>
                      <a:noFill/>
                    </a:ln>
                  </pic:spPr>
                </pic:pic>
              </a:graphicData>
            </a:graphic>
          </wp:anchor>
        </w:drawing>
      </w:r>
      <w:r w:rsidRPr="00D21F7C">
        <w:rPr>
          <w:rFonts w:ascii="Times New Roman" w:hAnsi="Times New Roman" w:cs="Times New Roman"/>
          <w:b/>
          <w:bCs/>
          <w:color w:val="000000"/>
          <w:sz w:val="20"/>
          <w:szCs w:val="20"/>
        </w:rPr>
        <w:t xml:space="preserve">Fig. S6 Effects of Gal-1 on leukocyte subsets and T cell viability in lymph nodes and spleen. </w:t>
      </w:r>
    </w:p>
    <w:p w14:paraId="1E624241" w14:textId="77777777" w:rsidR="005E423A" w:rsidRPr="00D21F7C" w:rsidRDefault="005E423A" w:rsidP="00D44875">
      <w:pPr>
        <w:spacing w:line="360" w:lineRule="exact"/>
        <w:rPr>
          <w:rFonts w:ascii="Times New Roman" w:hAnsi="Times New Roman" w:cs="Times New Roman"/>
          <w:color w:val="000000"/>
          <w:sz w:val="20"/>
          <w:szCs w:val="20"/>
        </w:rPr>
      </w:pPr>
      <w:r w:rsidRPr="00D21F7C">
        <w:rPr>
          <w:rFonts w:ascii="Times New Roman" w:hAnsi="Times New Roman" w:cs="Times New Roman"/>
          <w:i/>
          <w:iCs/>
          <w:sz w:val="20"/>
          <w:szCs w:val="20"/>
        </w:rPr>
        <w:t>Apoe</w:t>
      </w:r>
      <w:r w:rsidRPr="00D21F7C">
        <w:rPr>
          <w:rFonts w:ascii="Times New Roman" w:hAnsi="Times New Roman" w:cs="Times New Roman"/>
          <w:sz w:val="20"/>
          <w:szCs w:val="20"/>
          <w:vertAlign w:val="superscript"/>
        </w:rPr>
        <w:t>-/-</w:t>
      </w:r>
      <w:r w:rsidRPr="00D21F7C">
        <w:rPr>
          <w:rFonts w:ascii="Times New Roman" w:hAnsi="Times New Roman" w:cs="Times New Roman"/>
          <w:sz w:val="20"/>
          <w:szCs w:val="20"/>
        </w:rPr>
        <w:t xml:space="preserve"> mice </w:t>
      </w:r>
      <w:r w:rsidRPr="00D21F7C">
        <w:rPr>
          <w:rFonts w:ascii="Times New Roman" w:hAnsi="Times New Roman" w:cs="Times New Roman"/>
          <w:color w:val="000000"/>
          <w:sz w:val="20"/>
          <w:szCs w:val="20"/>
          <w:lang w:val="en-GB"/>
        </w:rPr>
        <w:t>were fed a WD for 8 weeks (n=4-6 per group).</w:t>
      </w:r>
      <w:r w:rsidRPr="00D21F7C">
        <w:rPr>
          <w:rFonts w:ascii="Times New Roman" w:hAnsi="Times New Roman" w:cs="Times New Roman"/>
          <w:color w:val="000000"/>
          <w:sz w:val="20"/>
          <w:szCs w:val="20"/>
        </w:rPr>
        <w:t xml:space="preserve"> Frequencies of IL-10-producing T cells, Tregs (CD4</w:t>
      </w:r>
      <w:r w:rsidRPr="00D21F7C">
        <w:rPr>
          <w:rFonts w:ascii="Times New Roman" w:hAnsi="Times New Roman" w:cs="Times New Roman"/>
          <w:color w:val="000000"/>
          <w:sz w:val="20"/>
          <w:szCs w:val="20"/>
          <w:vertAlign w:val="superscript"/>
        </w:rPr>
        <w:t>+</w:t>
      </w:r>
      <w:r w:rsidRPr="00D21F7C">
        <w:rPr>
          <w:rFonts w:ascii="Times New Roman" w:hAnsi="Times New Roman" w:cs="Times New Roman"/>
          <w:color w:val="000000"/>
          <w:sz w:val="20"/>
          <w:szCs w:val="20"/>
        </w:rPr>
        <w:t>Foxp3</w:t>
      </w:r>
      <w:r w:rsidRPr="00D21F7C">
        <w:rPr>
          <w:rFonts w:ascii="Times New Roman" w:hAnsi="Times New Roman" w:cs="Times New Roman"/>
          <w:color w:val="000000"/>
          <w:sz w:val="20"/>
          <w:szCs w:val="20"/>
          <w:vertAlign w:val="superscript"/>
        </w:rPr>
        <w:t>+</w:t>
      </w:r>
      <w:r w:rsidRPr="00D21F7C">
        <w:rPr>
          <w:rFonts w:ascii="Times New Roman" w:hAnsi="Times New Roman" w:cs="Times New Roman"/>
          <w:color w:val="000000"/>
          <w:sz w:val="20"/>
          <w:szCs w:val="20"/>
        </w:rPr>
        <w:t>), effector memory (Tem: CD44</w:t>
      </w:r>
      <w:r w:rsidRPr="00D21F7C">
        <w:rPr>
          <w:rFonts w:ascii="Times New Roman" w:hAnsi="Times New Roman" w:cs="Times New Roman"/>
          <w:color w:val="000000"/>
          <w:sz w:val="20"/>
          <w:szCs w:val="20"/>
          <w:vertAlign w:val="superscript"/>
        </w:rPr>
        <w:t>+</w:t>
      </w:r>
      <w:r w:rsidRPr="00D21F7C">
        <w:rPr>
          <w:rFonts w:ascii="Times New Roman" w:hAnsi="Times New Roman" w:cs="Times New Roman"/>
          <w:color w:val="000000"/>
          <w:sz w:val="20"/>
          <w:szCs w:val="20"/>
        </w:rPr>
        <w:t>CD62L</w:t>
      </w:r>
      <w:r w:rsidRPr="00D21F7C">
        <w:rPr>
          <w:rFonts w:ascii="Times New Roman" w:hAnsi="Times New Roman" w:cs="Times New Roman"/>
          <w:color w:val="000000"/>
          <w:sz w:val="20"/>
          <w:szCs w:val="20"/>
          <w:vertAlign w:val="superscript"/>
        </w:rPr>
        <w:t>-</w:t>
      </w:r>
      <w:r w:rsidRPr="00D21F7C">
        <w:rPr>
          <w:rFonts w:ascii="Times New Roman" w:hAnsi="Times New Roman" w:cs="Times New Roman"/>
          <w:color w:val="000000"/>
          <w:sz w:val="20"/>
          <w:szCs w:val="20"/>
        </w:rPr>
        <w:t>) T cells, central memory (Tcm: CD44</w:t>
      </w:r>
      <w:r w:rsidRPr="00D21F7C">
        <w:rPr>
          <w:rFonts w:ascii="Times New Roman" w:hAnsi="Times New Roman" w:cs="Times New Roman"/>
          <w:color w:val="000000"/>
          <w:sz w:val="20"/>
          <w:szCs w:val="20"/>
          <w:vertAlign w:val="superscript"/>
        </w:rPr>
        <w:t>+</w:t>
      </w:r>
      <w:r w:rsidRPr="00D21F7C">
        <w:rPr>
          <w:rFonts w:ascii="Times New Roman" w:hAnsi="Times New Roman" w:cs="Times New Roman"/>
          <w:color w:val="000000"/>
          <w:sz w:val="20"/>
          <w:szCs w:val="20"/>
        </w:rPr>
        <w:t>CD62L</w:t>
      </w:r>
      <w:r w:rsidRPr="00D21F7C">
        <w:rPr>
          <w:rFonts w:ascii="Times New Roman" w:hAnsi="Times New Roman" w:cs="Times New Roman"/>
          <w:color w:val="000000"/>
          <w:sz w:val="20"/>
          <w:szCs w:val="20"/>
          <w:vertAlign w:val="superscript"/>
        </w:rPr>
        <w:t>+</w:t>
      </w:r>
      <w:r w:rsidRPr="00D21F7C">
        <w:rPr>
          <w:rFonts w:ascii="Times New Roman" w:hAnsi="Times New Roman" w:cs="Times New Roman"/>
          <w:color w:val="000000"/>
          <w:sz w:val="20"/>
          <w:szCs w:val="20"/>
        </w:rPr>
        <w:t>) T cells, naïve T cells (CD44</w:t>
      </w:r>
      <w:r w:rsidRPr="00D21F7C">
        <w:rPr>
          <w:rFonts w:ascii="Times New Roman" w:hAnsi="Times New Roman" w:cs="Times New Roman"/>
          <w:color w:val="000000"/>
          <w:sz w:val="20"/>
          <w:szCs w:val="20"/>
          <w:vertAlign w:val="superscript"/>
        </w:rPr>
        <w:t>-</w:t>
      </w:r>
      <w:r w:rsidRPr="00D21F7C">
        <w:rPr>
          <w:rFonts w:ascii="Times New Roman" w:hAnsi="Times New Roman" w:cs="Times New Roman"/>
          <w:color w:val="000000"/>
          <w:sz w:val="20"/>
          <w:szCs w:val="20"/>
        </w:rPr>
        <w:t>CD62L</w:t>
      </w:r>
      <w:r w:rsidRPr="00D21F7C">
        <w:rPr>
          <w:rFonts w:ascii="Times New Roman" w:hAnsi="Times New Roman" w:cs="Times New Roman"/>
          <w:color w:val="000000"/>
          <w:sz w:val="20"/>
          <w:szCs w:val="20"/>
          <w:vertAlign w:val="superscript"/>
        </w:rPr>
        <w:t>+</w:t>
      </w:r>
      <w:r w:rsidRPr="00D21F7C">
        <w:rPr>
          <w:rFonts w:ascii="Times New Roman" w:hAnsi="Times New Roman" w:cs="Times New Roman"/>
          <w:color w:val="000000"/>
          <w:sz w:val="20"/>
          <w:szCs w:val="20"/>
        </w:rPr>
        <w:t>), T helper subsets, leukocyte subsets, and CD4</w:t>
      </w:r>
      <w:r w:rsidRPr="00D21F7C">
        <w:rPr>
          <w:rFonts w:ascii="Times New Roman" w:hAnsi="Times New Roman" w:cs="Times New Roman"/>
          <w:color w:val="000000"/>
          <w:sz w:val="20"/>
          <w:szCs w:val="20"/>
          <w:vertAlign w:val="superscript"/>
        </w:rPr>
        <w:t>+</w:t>
      </w:r>
      <w:r w:rsidRPr="00D21F7C">
        <w:rPr>
          <w:rFonts w:ascii="Times New Roman" w:hAnsi="Times New Roman" w:cs="Times New Roman"/>
          <w:color w:val="000000"/>
          <w:sz w:val="20"/>
          <w:szCs w:val="20"/>
        </w:rPr>
        <w:t xml:space="preserve"> cell apoptosis were determined in </w:t>
      </w:r>
      <w:r w:rsidRPr="00D21F7C">
        <w:rPr>
          <w:rFonts w:ascii="Times New Roman" w:hAnsi="Times New Roman" w:cs="Times New Roman"/>
          <w:b/>
          <w:bCs/>
          <w:color w:val="000000"/>
          <w:sz w:val="20"/>
          <w:szCs w:val="20"/>
          <w:lang w:val="en-GB"/>
        </w:rPr>
        <w:t>(A)</w:t>
      </w:r>
      <w:r w:rsidRPr="00D21F7C">
        <w:rPr>
          <w:rFonts w:ascii="Times New Roman" w:hAnsi="Times New Roman" w:cs="Times New Roman"/>
          <w:color w:val="000000"/>
          <w:sz w:val="20"/>
          <w:szCs w:val="20"/>
          <w:lang w:val="en-GB"/>
        </w:rPr>
        <w:t xml:space="preserve"> inguinal lymph nodes and </w:t>
      </w:r>
      <w:r w:rsidRPr="00D21F7C">
        <w:rPr>
          <w:rFonts w:ascii="Times New Roman" w:hAnsi="Times New Roman" w:cs="Times New Roman"/>
          <w:b/>
          <w:bCs/>
          <w:color w:val="000000"/>
          <w:sz w:val="20"/>
          <w:szCs w:val="20"/>
          <w:lang w:val="en-GB"/>
        </w:rPr>
        <w:t>(B)</w:t>
      </w:r>
      <w:r w:rsidRPr="00D21F7C">
        <w:rPr>
          <w:rFonts w:ascii="Times New Roman" w:hAnsi="Times New Roman" w:cs="Times New Roman"/>
          <w:color w:val="000000"/>
          <w:sz w:val="20"/>
          <w:szCs w:val="20"/>
          <w:lang w:val="en-GB"/>
        </w:rPr>
        <w:t xml:space="preserve"> spleen. </w:t>
      </w:r>
      <w:r w:rsidRPr="00D21F7C">
        <w:rPr>
          <w:rFonts w:ascii="Times New Roman" w:hAnsi="Times New Roman" w:cs="Times New Roman"/>
          <w:color w:val="000000"/>
          <w:sz w:val="20"/>
          <w:szCs w:val="20"/>
        </w:rPr>
        <w:t>Data are presented as mean ± SEM. Statistical analysis was performed using a two-tailed Student’s t-test, with correction for multiple comparisons.</w:t>
      </w:r>
    </w:p>
    <w:p w14:paraId="3A9482FE" w14:textId="77777777" w:rsidR="005E423A" w:rsidRPr="00D21F7C" w:rsidRDefault="005E423A" w:rsidP="00D44875">
      <w:pPr>
        <w:widowControl/>
        <w:spacing w:after="160" w:line="259" w:lineRule="auto"/>
        <w:jc w:val="left"/>
        <w:rPr>
          <w:rFonts w:ascii="Times New Roman" w:hAnsi="Times New Roman" w:cs="Times New Roman"/>
          <w:color w:val="000000"/>
          <w:sz w:val="20"/>
          <w:szCs w:val="20"/>
        </w:rPr>
      </w:pPr>
      <w:r w:rsidRPr="00D21F7C">
        <w:rPr>
          <w:rFonts w:ascii="Times New Roman" w:hAnsi="Times New Roman" w:cs="Times New Roman"/>
          <w:color w:val="000000"/>
          <w:sz w:val="20"/>
          <w:szCs w:val="20"/>
        </w:rPr>
        <w:br w:type="page"/>
      </w:r>
    </w:p>
    <w:p w14:paraId="6E7219C5" w14:textId="77777777" w:rsidR="005E423A" w:rsidRPr="00D21F7C" w:rsidRDefault="005E423A" w:rsidP="00D44875">
      <w:pPr>
        <w:spacing w:line="360" w:lineRule="exact"/>
        <w:rPr>
          <w:rFonts w:ascii="Times New Roman" w:hAnsi="Times New Roman" w:cs="Times New Roman"/>
          <w:b/>
          <w:bCs/>
          <w:color w:val="000000"/>
          <w:sz w:val="22"/>
          <w:szCs w:val="22"/>
        </w:rPr>
      </w:pPr>
      <w:r w:rsidRPr="00D21F7C">
        <w:rPr>
          <w:rFonts w:ascii="Times New Roman" w:hAnsi="Times New Roman" w:cs="Times New Roman"/>
          <w:b/>
          <w:bCs/>
          <w:color w:val="000000"/>
          <w:sz w:val="22"/>
          <w:szCs w:val="22"/>
        </w:rPr>
        <w:lastRenderedPageBreak/>
        <w:t>Supplementary References</w:t>
      </w:r>
    </w:p>
    <w:p w14:paraId="2A53900E" w14:textId="77777777" w:rsidR="005E423A" w:rsidRPr="00D21F7C" w:rsidRDefault="005E423A" w:rsidP="00D44875">
      <w:pPr>
        <w:pStyle w:val="EndNoteBibliographyTitle"/>
        <w:rPr>
          <w:rFonts w:ascii="Times New Roman" w:hAnsi="Times New Roman" w:cs="Times New Roman"/>
          <w:sz w:val="22"/>
          <w:u w:val="single"/>
        </w:rPr>
      </w:pPr>
    </w:p>
    <w:p w14:paraId="62CA3BBB" w14:textId="77777777" w:rsidR="005E423A" w:rsidRPr="00D21F7C" w:rsidRDefault="005E423A" w:rsidP="00D44875">
      <w:pPr>
        <w:pStyle w:val="EndNoteBibliography"/>
        <w:ind w:left="720" w:hanging="709"/>
        <w:rPr>
          <w:rFonts w:ascii="Times New Roman" w:hAnsi="Times New Roman" w:cs="Times New Roman"/>
        </w:rPr>
      </w:pPr>
    </w:p>
    <w:p w14:paraId="03625C30" w14:textId="77777777" w:rsidR="005E423A" w:rsidRPr="00D21F7C" w:rsidRDefault="005E423A" w:rsidP="00D44875">
      <w:pPr>
        <w:pStyle w:val="EndNoteBibliography"/>
        <w:ind w:left="426" w:hanging="426"/>
        <w:rPr>
          <w:rFonts w:ascii="Times New Roman" w:hAnsi="Times New Roman" w:cs="Times New Roman"/>
        </w:rPr>
      </w:pPr>
      <w:r w:rsidRPr="00D21F7C">
        <w:rPr>
          <w:rFonts w:ascii="Times New Roman" w:hAnsi="Times New Roman" w:cs="Times New Roman"/>
        </w:rPr>
        <w:t>[1]</w:t>
      </w:r>
      <w:r w:rsidRPr="00D21F7C">
        <w:rPr>
          <w:rFonts w:ascii="Times New Roman" w:hAnsi="Times New Roman" w:cs="Times New Roman"/>
        </w:rPr>
        <w:tab/>
        <w:t>Kopitz J, Xiao Q, Ludwig AK, Romero A, Michalak M, et al. Reaction of a programmable glycan presentation of glycodendrimersomes and cells with engineered human lectins to show the sugar functionality of the cell surface. Angew Chem Int Ed Engl 2017; 56:14677-14681.doi:10.1002/anie.201708237</w:t>
      </w:r>
    </w:p>
    <w:p w14:paraId="6F775C73" w14:textId="77777777" w:rsidR="005E423A" w:rsidRPr="00D21F7C" w:rsidRDefault="005E423A" w:rsidP="00D44875">
      <w:pPr>
        <w:pStyle w:val="EndNoteBibliography"/>
        <w:ind w:left="426" w:hanging="426"/>
        <w:rPr>
          <w:rFonts w:ascii="Times New Roman" w:hAnsi="Times New Roman" w:cs="Times New Roman"/>
        </w:rPr>
      </w:pPr>
      <w:r w:rsidRPr="00D21F7C">
        <w:rPr>
          <w:rFonts w:ascii="Times New Roman" w:hAnsi="Times New Roman" w:cs="Times New Roman"/>
        </w:rPr>
        <w:t>[2]</w:t>
      </w:r>
      <w:r w:rsidRPr="00D21F7C">
        <w:rPr>
          <w:rFonts w:ascii="Times New Roman" w:hAnsi="Times New Roman" w:cs="Times New Roman"/>
        </w:rPr>
        <w:tab/>
        <w:t>Janjic A, Wange LE, Bagnoli JW, Geuder J, Nguyen P, et al. Prime-seq, efficient and powerful bulk rna sequencing. Genome biology 2022; 23:88.doi:10.1186/s13059-022-02660-8</w:t>
      </w:r>
    </w:p>
    <w:p w14:paraId="51229EC3" w14:textId="77777777" w:rsidR="005E423A" w:rsidRPr="00D21F7C" w:rsidRDefault="005E423A" w:rsidP="00D44875">
      <w:pPr>
        <w:pStyle w:val="EndNoteBibliography"/>
        <w:ind w:left="426" w:hanging="426"/>
        <w:rPr>
          <w:rFonts w:ascii="Times New Roman" w:hAnsi="Times New Roman" w:cs="Times New Roman"/>
        </w:rPr>
      </w:pPr>
      <w:r w:rsidRPr="00D21F7C">
        <w:rPr>
          <w:rFonts w:ascii="Times New Roman" w:hAnsi="Times New Roman" w:cs="Times New Roman"/>
        </w:rPr>
        <w:t>[3]</w:t>
      </w:r>
      <w:r w:rsidRPr="00D21F7C">
        <w:rPr>
          <w:rFonts w:ascii="Times New Roman" w:hAnsi="Times New Roman" w:cs="Times New Roman"/>
        </w:rPr>
        <w:tab/>
        <w:t>Love MI, Huber W and Anders S. Moderated estimation of fold change and dispersion for rna-seq data with deseq2. Genome biology 2014; 15:550.doi:10.1186/s13059-014-0550-8</w:t>
      </w:r>
    </w:p>
    <w:p w14:paraId="383189C3" w14:textId="77777777" w:rsidR="005E423A" w:rsidRPr="00D21F7C" w:rsidRDefault="005E423A" w:rsidP="00D44875">
      <w:pPr>
        <w:pStyle w:val="EndNoteBibliography"/>
        <w:ind w:left="426" w:hanging="426"/>
        <w:rPr>
          <w:rFonts w:ascii="Times New Roman" w:hAnsi="Times New Roman" w:cs="Times New Roman"/>
          <w:lang w:val="de-DE"/>
        </w:rPr>
      </w:pPr>
      <w:r w:rsidRPr="00D21F7C">
        <w:rPr>
          <w:rFonts w:ascii="Times New Roman" w:hAnsi="Times New Roman" w:cs="Times New Roman"/>
        </w:rPr>
        <w:t>[4]</w:t>
      </w:r>
      <w:r w:rsidRPr="00D21F7C">
        <w:rPr>
          <w:rFonts w:ascii="Times New Roman" w:hAnsi="Times New Roman" w:cs="Times New Roman"/>
        </w:rPr>
        <w:tab/>
        <w:t xml:space="preserve">Xie Z, Bailey A, Kuleshov MV, Clarke DJB, Evangelista JE, et al. Gene set knowledge discovery with enrichr. </w:t>
      </w:r>
      <w:r w:rsidRPr="00D21F7C">
        <w:rPr>
          <w:rFonts w:ascii="Times New Roman" w:hAnsi="Times New Roman" w:cs="Times New Roman"/>
          <w:lang w:val="de-DE"/>
        </w:rPr>
        <w:t>Curr Protoc 2021; 1:e90.doi:10.1002/cpz1.90</w:t>
      </w:r>
    </w:p>
    <w:p w14:paraId="5F7EDF65" w14:textId="77777777" w:rsidR="005E423A" w:rsidRDefault="005E423A" w:rsidP="008D6CF6">
      <w:pPr>
        <w:pStyle w:val="EndNoteBibliography"/>
        <w:ind w:left="426" w:hanging="426"/>
        <w:rPr>
          <w:rFonts w:ascii="Times New Roman" w:hAnsi="Times New Roman" w:cs="Times New Roman"/>
        </w:rPr>
      </w:pPr>
      <w:r w:rsidRPr="00D21F7C">
        <w:rPr>
          <w:rFonts w:ascii="Times New Roman" w:hAnsi="Times New Roman" w:cs="Times New Roman"/>
          <w:lang w:val="de-DE"/>
        </w:rPr>
        <w:t>[5]</w:t>
      </w:r>
      <w:r w:rsidRPr="00D21F7C">
        <w:rPr>
          <w:rFonts w:ascii="Times New Roman" w:hAnsi="Times New Roman" w:cs="Times New Roman"/>
          <w:lang w:val="de-DE"/>
        </w:rPr>
        <w:tab/>
        <w:t xml:space="preserve">Parma L, Sachs N, Li Z, Merchant K, Sobczak N, et al. </w:t>
      </w:r>
      <w:r w:rsidRPr="00D21F7C">
        <w:rPr>
          <w:rFonts w:ascii="Times New Roman" w:hAnsi="Times New Roman" w:cs="Times New Roman"/>
        </w:rPr>
        <w:t>Investigating t cell recruitment in atherosclerosis using a novel human 3d tissue-culture model reveals the role of cxcl12 in intraplaque neovessels. Atherosclerosis 2024; 395.doi:10.1016/j.atherosclerosis.2024.118385</w:t>
      </w:r>
    </w:p>
    <w:p w14:paraId="214D1290" w14:textId="77777777" w:rsidR="005E423A" w:rsidRDefault="005E423A" w:rsidP="008D6CF6">
      <w:pPr>
        <w:pStyle w:val="EndNoteBibliography"/>
        <w:ind w:left="426" w:hanging="426"/>
        <w:rPr>
          <w:rFonts w:ascii="Times New Roman" w:hAnsi="Times New Roman" w:cs="Times New Roman"/>
        </w:rPr>
      </w:pPr>
    </w:p>
    <w:p w14:paraId="24CDF53B" w14:textId="77777777" w:rsidR="005E423A" w:rsidRDefault="005E423A" w:rsidP="008D6CF6">
      <w:pPr>
        <w:pStyle w:val="EndNoteBibliography"/>
        <w:ind w:left="426" w:hanging="426"/>
        <w:rPr>
          <w:rFonts w:ascii="Times New Roman" w:hAnsi="Times New Roman" w:cs="Times New Roman"/>
        </w:rPr>
      </w:pPr>
    </w:p>
    <w:p w14:paraId="0C45A6E3" w14:textId="77777777" w:rsidR="00F37DE3" w:rsidRDefault="00F37DE3"/>
    <w:sectPr w:rsidR="00F37DE3" w:rsidSect="005E423A">
      <w:headerReference w:type="default" r:id="rId14"/>
      <w:foot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1ABA8B" w14:textId="77777777" w:rsidR="00B5055A" w:rsidRDefault="00B5055A">
      <w:r>
        <w:separator/>
      </w:r>
    </w:p>
  </w:endnote>
  <w:endnote w:type="continuationSeparator" w:id="0">
    <w:p w14:paraId="146C1E6A" w14:textId="77777777" w:rsidR="00B5055A" w:rsidRDefault="00B505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0000000000000000000"/>
    <w:charset w:val="00"/>
    <w:family w:val="roman"/>
    <w:notTrueType/>
    <w:pitch w:val="default"/>
  </w:font>
  <w:font w:name="Aptos Display">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8467639"/>
      <w:docPartObj>
        <w:docPartGallery w:val="Page Numbers (Bottom of Page)"/>
        <w:docPartUnique/>
      </w:docPartObj>
    </w:sdtPr>
    <w:sdtContent>
      <w:p w14:paraId="38704833" w14:textId="77777777" w:rsidR="009C62DA" w:rsidRDefault="00000000">
        <w:pPr>
          <w:pStyle w:val="Fuzeile"/>
          <w:jc w:val="center"/>
        </w:pPr>
        <w:r>
          <w:fldChar w:fldCharType="begin"/>
        </w:r>
        <w:r>
          <w:instrText>PAGE   \* MERGEFORMAT</w:instrText>
        </w:r>
        <w:r>
          <w:fldChar w:fldCharType="separate"/>
        </w:r>
        <w:r>
          <w:rPr>
            <w:lang w:val="zh-CN"/>
          </w:rPr>
          <w:t>2</w:t>
        </w:r>
        <w:r>
          <w:fldChar w:fldCharType="end"/>
        </w:r>
      </w:p>
    </w:sdtContent>
  </w:sdt>
  <w:p w14:paraId="468E94D5" w14:textId="77777777" w:rsidR="009C62DA" w:rsidRDefault="009C62D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113DB8" w14:textId="77777777" w:rsidR="00B5055A" w:rsidRDefault="00B5055A">
      <w:r>
        <w:separator/>
      </w:r>
    </w:p>
  </w:footnote>
  <w:footnote w:type="continuationSeparator" w:id="0">
    <w:p w14:paraId="3B9406C7" w14:textId="77777777" w:rsidR="00B5055A" w:rsidRDefault="00B505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166BE" w14:textId="77777777" w:rsidR="009C62DA" w:rsidRDefault="00000000" w:rsidP="005F0D45">
    <w:pPr>
      <w:pStyle w:val="Kopfzeile"/>
      <w:jc w:val="right"/>
    </w:pPr>
    <w:r>
      <w:t>Li et al., Gal-1 reduces atherosclerosis through immune cells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339E"/>
    <w:multiLevelType w:val="hybridMultilevel"/>
    <w:tmpl w:val="2BACEB96"/>
    <w:lvl w:ilvl="0" w:tplc="D410FD26">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36D2227"/>
    <w:multiLevelType w:val="multilevel"/>
    <w:tmpl w:val="CF8CB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7DB2398"/>
    <w:multiLevelType w:val="hybridMultilevel"/>
    <w:tmpl w:val="74ECF8F8"/>
    <w:lvl w:ilvl="0" w:tplc="AB80BB8C">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38D17498"/>
    <w:multiLevelType w:val="hybridMultilevel"/>
    <w:tmpl w:val="559E04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97A0A26"/>
    <w:multiLevelType w:val="hybridMultilevel"/>
    <w:tmpl w:val="DB9C7DC8"/>
    <w:lvl w:ilvl="0" w:tplc="87D0CA5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5FF509A0"/>
    <w:multiLevelType w:val="multilevel"/>
    <w:tmpl w:val="BF26A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7840067"/>
    <w:multiLevelType w:val="hybridMultilevel"/>
    <w:tmpl w:val="5B0C3DE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6BC66497"/>
    <w:multiLevelType w:val="multilevel"/>
    <w:tmpl w:val="4F98F35E"/>
    <w:lvl w:ilvl="0">
      <w:start w:val="1"/>
      <w:numFmt w:val="decimal"/>
      <w:lvlText w:val="%1."/>
      <w:lvlJc w:val="left"/>
      <w:pPr>
        <w:ind w:left="360" w:hanging="360"/>
      </w:pPr>
      <w:rPr>
        <w:rFonts w:hint="default"/>
      </w:rPr>
    </w:lvl>
    <w:lvl w:ilvl="1">
      <w:start w:val="1"/>
      <w:numFmt w:val="decimal"/>
      <w:isLgl/>
      <w:lvlText w:val="%1.4."/>
      <w:lvlJc w:val="left"/>
      <w:pPr>
        <w:ind w:left="360" w:hanging="360"/>
      </w:pPr>
      <w:rPr>
        <w:rFonts w:hint="default"/>
        <w:b/>
        <w:bCs/>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6D041385"/>
    <w:multiLevelType w:val="hybridMultilevel"/>
    <w:tmpl w:val="8DD2135A"/>
    <w:lvl w:ilvl="0" w:tplc="E3641CFE">
      <w:start w:val="1"/>
      <w:numFmt w:val="upperLetter"/>
      <w:lvlText w:val="(%1)"/>
      <w:lvlJc w:val="left"/>
      <w:pPr>
        <w:ind w:left="360" w:hanging="360"/>
      </w:pPr>
      <w:rPr>
        <w:rFonts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6D9541C6"/>
    <w:multiLevelType w:val="multilevel"/>
    <w:tmpl w:val="08B44420"/>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028287180">
    <w:abstractNumId w:val="3"/>
  </w:num>
  <w:num w:numId="2" w16cid:durableId="666985110">
    <w:abstractNumId w:val="2"/>
  </w:num>
  <w:num w:numId="3" w16cid:durableId="150370938">
    <w:abstractNumId w:val="0"/>
  </w:num>
  <w:num w:numId="4" w16cid:durableId="1787651868">
    <w:abstractNumId w:val="6"/>
  </w:num>
  <w:num w:numId="5" w16cid:durableId="87233144">
    <w:abstractNumId w:val="7"/>
  </w:num>
  <w:num w:numId="6" w16cid:durableId="1066225894">
    <w:abstractNumId w:val="9"/>
  </w:num>
  <w:num w:numId="7" w16cid:durableId="552547778">
    <w:abstractNumId w:val="4"/>
  </w:num>
  <w:num w:numId="8" w16cid:durableId="1230574555">
    <w:abstractNumId w:val="1"/>
  </w:num>
  <w:num w:numId="9" w16cid:durableId="525558540">
    <w:abstractNumId w:val="5"/>
  </w:num>
  <w:num w:numId="10" w16cid:durableId="1687617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s>
  <w:rsids>
    <w:rsidRoot w:val="005E423A"/>
    <w:rsid w:val="003C49CC"/>
    <w:rsid w:val="003D633A"/>
    <w:rsid w:val="003F7DAE"/>
    <w:rsid w:val="004A4FAF"/>
    <w:rsid w:val="004D40C2"/>
    <w:rsid w:val="0054736D"/>
    <w:rsid w:val="00586E6C"/>
    <w:rsid w:val="005D6156"/>
    <w:rsid w:val="005E423A"/>
    <w:rsid w:val="00824154"/>
    <w:rsid w:val="009B22E1"/>
    <w:rsid w:val="009C62DA"/>
    <w:rsid w:val="00A0093B"/>
    <w:rsid w:val="00A340B8"/>
    <w:rsid w:val="00B33C13"/>
    <w:rsid w:val="00B5055A"/>
    <w:rsid w:val="00DB036B"/>
    <w:rsid w:val="00E27164"/>
    <w:rsid w:val="00F37DE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03D9EC"/>
  <w15:chartTrackingRefBased/>
  <w15:docId w15:val="{0ACA9D6D-7E26-4609-9FDA-597A4452B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E423A"/>
    <w:pPr>
      <w:widowControl w:val="0"/>
      <w:spacing w:after="0" w:line="240" w:lineRule="auto"/>
      <w:jc w:val="both"/>
    </w:pPr>
    <w:rPr>
      <w:rFonts w:eastAsiaTheme="minorEastAsia"/>
      <w:sz w:val="21"/>
      <w:szCs w:val="21"/>
      <w:lang w:val="en-US" w:eastAsia="zh-CN"/>
      <w14:ligatures w14:val="none"/>
    </w:rPr>
  </w:style>
  <w:style w:type="paragraph" w:styleId="berschrift1">
    <w:name w:val="heading 1"/>
    <w:basedOn w:val="Standard"/>
    <w:next w:val="Standard"/>
    <w:link w:val="berschrift1Zchn"/>
    <w:uiPriority w:val="9"/>
    <w:qFormat/>
    <w:rsid w:val="005E423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E423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link w:val="berschrift3Zchn"/>
    <w:uiPriority w:val="9"/>
    <w:qFormat/>
    <w:rsid w:val="005E423A"/>
    <w:pPr>
      <w:widowControl/>
      <w:spacing w:before="100" w:beforeAutospacing="1" w:after="100" w:afterAutospacing="1"/>
      <w:jc w:val="left"/>
      <w:outlineLvl w:val="2"/>
    </w:pPr>
    <w:rPr>
      <w:rFonts w:ascii="Times New Roman" w:eastAsia="Times New Roman" w:hAnsi="Times New Roman" w:cs="Times New Roman"/>
      <w:b/>
      <w:bCs/>
      <w:kern w:val="0"/>
      <w:sz w:val="27"/>
      <w:szCs w:val="27"/>
      <w:lang w:val="de-DE" w:eastAsia="de-DE"/>
    </w:rPr>
  </w:style>
  <w:style w:type="paragraph" w:styleId="berschrift4">
    <w:name w:val="heading 4"/>
    <w:basedOn w:val="Standard"/>
    <w:next w:val="Standard"/>
    <w:link w:val="berschrift4Zchn"/>
    <w:uiPriority w:val="9"/>
    <w:semiHidden/>
    <w:unhideWhenUsed/>
    <w:qFormat/>
    <w:rsid w:val="005E423A"/>
    <w:pPr>
      <w:keepNext/>
      <w:keepLines/>
      <w:spacing w:before="40"/>
      <w:outlineLvl w:val="3"/>
    </w:pPr>
    <w:rPr>
      <w:rFonts w:asciiTheme="majorHAnsi" w:eastAsiaTheme="majorEastAsia" w:hAnsiTheme="majorHAnsi"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E423A"/>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E423A"/>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E423A"/>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E423A"/>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E423A"/>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E423A"/>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E423A"/>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5E423A"/>
    <w:rPr>
      <w:rFonts w:ascii="Times New Roman" w:eastAsia="Times New Roman" w:hAnsi="Times New Roman" w:cs="Times New Roman"/>
      <w:b/>
      <w:bCs/>
      <w:kern w:val="0"/>
      <w:sz w:val="27"/>
      <w:szCs w:val="27"/>
      <w:lang w:eastAsia="de-DE"/>
      <w14:ligatures w14:val="none"/>
    </w:rPr>
  </w:style>
  <w:style w:type="character" w:customStyle="1" w:styleId="berschrift4Zchn">
    <w:name w:val="Überschrift 4 Zchn"/>
    <w:basedOn w:val="Absatz-Standardschriftart"/>
    <w:link w:val="berschrift4"/>
    <w:uiPriority w:val="9"/>
    <w:semiHidden/>
    <w:rsid w:val="005E423A"/>
    <w:rPr>
      <w:rFonts w:asciiTheme="majorHAnsi" w:eastAsiaTheme="majorEastAsia" w:hAnsiTheme="majorHAnsi" w:cstheme="majorBidi"/>
      <w:i/>
      <w:iCs/>
      <w:color w:val="0F4761" w:themeColor="accent1" w:themeShade="BF"/>
      <w:sz w:val="21"/>
      <w:szCs w:val="21"/>
      <w:lang w:val="en-US" w:eastAsia="zh-CN"/>
      <w14:ligatures w14:val="none"/>
    </w:rPr>
  </w:style>
  <w:style w:type="character" w:customStyle="1" w:styleId="berschrift5Zchn">
    <w:name w:val="Überschrift 5 Zchn"/>
    <w:basedOn w:val="Absatz-Standardschriftart"/>
    <w:link w:val="berschrift5"/>
    <w:uiPriority w:val="9"/>
    <w:semiHidden/>
    <w:rsid w:val="005E423A"/>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E423A"/>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E423A"/>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E423A"/>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E423A"/>
    <w:rPr>
      <w:rFonts w:eastAsiaTheme="majorEastAsia" w:cstheme="majorBidi"/>
      <w:color w:val="272727" w:themeColor="text1" w:themeTint="D8"/>
    </w:rPr>
  </w:style>
  <w:style w:type="paragraph" w:styleId="Titel">
    <w:name w:val="Title"/>
    <w:basedOn w:val="Standard"/>
    <w:next w:val="Standard"/>
    <w:link w:val="TitelZchn"/>
    <w:uiPriority w:val="10"/>
    <w:qFormat/>
    <w:rsid w:val="005E423A"/>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E423A"/>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E423A"/>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E423A"/>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E423A"/>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E423A"/>
    <w:rPr>
      <w:i/>
      <w:iCs/>
      <w:color w:val="404040" w:themeColor="text1" w:themeTint="BF"/>
    </w:rPr>
  </w:style>
  <w:style w:type="paragraph" w:styleId="Listenabsatz">
    <w:name w:val="List Paragraph"/>
    <w:basedOn w:val="Standard"/>
    <w:uiPriority w:val="34"/>
    <w:qFormat/>
    <w:rsid w:val="005E423A"/>
    <w:pPr>
      <w:ind w:left="720"/>
      <w:contextualSpacing/>
    </w:pPr>
  </w:style>
  <w:style w:type="character" w:styleId="IntensiveHervorhebung">
    <w:name w:val="Intense Emphasis"/>
    <w:basedOn w:val="Absatz-Standardschriftart"/>
    <w:uiPriority w:val="21"/>
    <w:qFormat/>
    <w:rsid w:val="005E423A"/>
    <w:rPr>
      <w:i/>
      <w:iCs/>
      <w:color w:val="0F4761" w:themeColor="accent1" w:themeShade="BF"/>
    </w:rPr>
  </w:style>
  <w:style w:type="paragraph" w:styleId="IntensivesZitat">
    <w:name w:val="Intense Quote"/>
    <w:basedOn w:val="Standard"/>
    <w:next w:val="Standard"/>
    <w:link w:val="IntensivesZitatZchn"/>
    <w:uiPriority w:val="30"/>
    <w:qFormat/>
    <w:rsid w:val="005E423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E423A"/>
    <w:rPr>
      <w:i/>
      <w:iCs/>
      <w:color w:val="0F4761" w:themeColor="accent1" w:themeShade="BF"/>
    </w:rPr>
  </w:style>
  <w:style w:type="character" w:styleId="IntensiverVerweis">
    <w:name w:val="Intense Reference"/>
    <w:basedOn w:val="Absatz-Standardschriftart"/>
    <w:uiPriority w:val="32"/>
    <w:qFormat/>
    <w:rsid w:val="005E423A"/>
    <w:rPr>
      <w:b/>
      <w:bCs/>
      <w:smallCaps/>
      <w:color w:val="0F4761" w:themeColor="accent1" w:themeShade="BF"/>
      <w:spacing w:val="5"/>
    </w:rPr>
  </w:style>
  <w:style w:type="paragraph" w:styleId="Kopfzeile">
    <w:name w:val="header"/>
    <w:basedOn w:val="Standard"/>
    <w:link w:val="KopfzeileZchn"/>
    <w:uiPriority w:val="99"/>
    <w:unhideWhenUsed/>
    <w:rsid w:val="005E423A"/>
    <w:pPr>
      <w:tabs>
        <w:tab w:val="center" w:pos="4513"/>
        <w:tab w:val="right" w:pos="9026"/>
      </w:tabs>
      <w:snapToGrid w:val="0"/>
      <w:jc w:val="center"/>
    </w:pPr>
    <w:rPr>
      <w:sz w:val="18"/>
      <w:szCs w:val="18"/>
    </w:rPr>
  </w:style>
  <w:style w:type="character" w:customStyle="1" w:styleId="KopfzeileZchn">
    <w:name w:val="Kopfzeile Zchn"/>
    <w:basedOn w:val="Absatz-Standardschriftart"/>
    <w:link w:val="Kopfzeile"/>
    <w:uiPriority w:val="99"/>
    <w:rsid w:val="005E423A"/>
    <w:rPr>
      <w:rFonts w:eastAsiaTheme="minorEastAsia"/>
      <w:sz w:val="18"/>
      <w:szCs w:val="18"/>
      <w:lang w:val="en-US" w:eastAsia="zh-CN"/>
      <w14:ligatures w14:val="none"/>
    </w:rPr>
  </w:style>
  <w:style w:type="paragraph" w:styleId="Fuzeile">
    <w:name w:val="footer"/>
    <w:basedOn w:val="Standard"/>
    <w:link w:val="FuzeileZchn"/>
    <w:uiPriority w:val="99"/>
    <w:unhideWhenUsed/>
    <w:rsid w:val="005E423A"/>
    <w:pPr>
      <w:tabs>
        <w:tab w:val="center" w:pos="4513"/>
        <w:tab w:val="right" w:pos="9026"/>
      </w:tabs>
      <w:snapToGrid w:val="0"/>
      <w:jc w:val="left"/>
    </w:pPr>
    <w:rPr>
      <w:sz w:val="18"/>
      <w:szCs w:val="18"/>
    </w:rPr>
  </w:style>
  <w:style w:type="character" w:customStyle="1" w:styleId="FuzeileZchn">
    <w:name w:val="Fußzeile Zchn"/>
    <w:basedOn w:val="Absatz-Standardschriftart"/>
    <w:link w:val="Fuzeile"/>
    <w:uiPriority w:val="99"/>
    <w:rsid w:val="005E423A"/>
    <w:rPr>
      <w:rFonts w:eastAsiaTheme="minorEastAsia"/>
      <w:sz w:val="18"/>
      <w:szCs w:val="18"/>
      <w:lang w:val="en-US" w:eastAsia="zh-CN"/>
      <w14:ligatures w14:val="none"/>
    </w:rPr>
  </w:style>
  <w:style w:type="character" w:styleId="Platzhaltertext">
    <w:name w:val="Placeholder Text"/>
    <w:basedOn w:val="Absatz-Standardschriftart"/>
    <w:uiPriority w:val="99"/>
    <w:semiHidden/>
    <w:rsid w:val="005E423A"/>
    <w:rPr>
      <w:color w:val="808080"/>
    </w:rPr>
  </w:style>
  <w:style w:type="character" w:styleId="Kommentarzeichen">
    <w:name w:val="annotation reference"/>
    <w:basedOn w:val="Absatz-Standardschriftart"/>
    <w:uiPriority w:val="99"/>
    <w:semiHidden/>
    <w:unhideWhenUsed/>
    <w:rsid w:val="005E423A"/>
    <w:rPr>
      <w:sz w:val="21"/>
      <w:szCs w:val="21"/>
    </w:rPr>
  </w:style>
  <w:style w:type="paragraph" w:styleId="Kommentartext">
    <w:name w:val="annotation text"/>
    <w:basedOn w:val="Standard"/>
    <w:link w:val="KommentartextZchn"/>
    <w:uiPriority w:val="99"/>
    <w:semiHidden/>
    <w:unhideWhenUsed/>
    <w:qFormat/>
    <w:rsid w:val="005E423A"/>
    <w:pPr>
      <w:jc w:val="left"/>
    </w:pPr>
    <w:rPr>
      <w:rFonts w:eastAsia="Times New Roman"/>
    </w:rPr>
  </w:style>
  <w:style w:type="character" w:customStyle="1" w:styleId="KommentartextZchn">
    <w:name w:val="Kommentartext Zchn"/>
    <w:basedOn w:val="Absatz-Standardschriftart"/>
    <w:link w:val="Kommentartext"/>
    <w:uiPriority w:val="99"/>
    <w:semiHidden/>
    <w:rsid w:val="005E423A"/>
    <w:rPr>
      <w:rFonts w:eastAsia="Times New Roman"/>
      <w:sz w:val="21"/>
      <w:szCs w:val="21"/>
      <w:lang w:val="en-US" w:eastAsia="zh-CN"/>
      <w14:ligatures w14:val="none"/>
    </w:rPr>
  </w:style>
  <w:style w:type="paragraph" w:customStyle="1" w:styleId="EndNoteBibliographyTitle">
    <w:name w:val="EndNote Bibliography Title"/>
    <w:basedOn w:val="Standard"/>
    <w:link w:val="EndNoteBibliographyTitleZchn"/>
    <w:rsid w:val="005E423A"/>
    <w:pPr>
      <w:jc w:val="center"/>
    </w:pPr>
    <w:rPr>
      <w:rFonts w:ascii="Calibri" w:eastAsia="DengXian" w:hAnsi="Calibri" w:cs="Calibri"/>
      <w:noProof/>
      <w:sz w:val="20"/>
    </w:rPr>
  </w:style>
  <w:style w:type="character" w:customStyle="1" w:styleId="EndNoteBibliographyTitleZchn">
    <w:name w:val="EndNote Bibliography Title Zchn"/>
    <w:basedOn w:val="Absatz-Standardschriftart"/>
    <w:link w:val="EndNoteBibliographyTitle"/>
    <w:rsid w:val="005E423A"/>
    <w:rPr>
      <w:rFonts w:ascii="Calibri" w:eastAsia="DengXian" w:hAnsi="Calibri" w:cs="Calibri"/>
      <w:noProof/>
      <w:sz w:val="20"/>
      <w:szCs w:val="21"/>
      <w:lang w:val="en-US" w:eastAsia="zh-CN"/>
      <w14:ligatures w14:val="none"/>
    </w:rPr>
  </w:style>
  <w:style w:type="paragraph" w:customStyle="1" w:styleId="EndNoteBibliography">
    <w:name w:val="EndNote Bibliography"/>
    <w:basedOn w:val="Standard"/>
    <w:link w:val="EndNoteBibliographyZchn"/>
    <w:rsid w:val="005E423A"/>
    <w:rPr>
      <w:rFonts w:ascii="Calibri" w:eastAsia="DengXian" w:hAnsi="Calibri" w:cs="Calibri"/>
      <w:noProof/>
      <w:sz w:val="20"/>
    </w:rPr>
  </w:style>
  <w:style w:type="character" w:customStyle="1" w:styleId="EndNoteBibliographyZchn">
    <w:name w:val="EndNote Bibliography Zchn"/>
    <w:basedOn w:val="Absatz-Standardschriftart"/>
    <w:link w:val="EndNoteBibliography"/>
    <w:rsid w:val="005E423A"/>
    <w:rPr>
      <w:rFonts w:ascii="Calibri" w:eastAsia="DengXian" w:hAnsi="Calibri" w:cs="Calibri"/>
      <w:noProof/>
      <w:sz w:val="20"/>
      <w:szCs w:val="21"/>
      <w:lang w:val="en-US" w:eastAsia="zh-CN"/>
      <w14:ligatures w14:val="none"/>
    </w:rPr>
  </w:style>
  <w:style w:type="paragraph" w:styleId="StandardWeb">
    <w:name w:val="Normal (Web)"/>
    <w:basedOn w:val="Standard"/>
    <w:link w:val="StandardWebZchn"/>
    <w:uiPriority w:val="99"/>
    <w:unhideWhenUsed/>
    <w:rsid w:val="005E423A"/>
    <w:pPr>
      <w:widowControl/>
      <w:spacing w:before="100" w:beforeAutospacing="1" w:after="100" w:afterAutospacing="1"/>
      <w:jc w:val="left"/>
    </w:pPr>
    <w:rPr>
      <w:rFonts w:ascii="Times New Roman" w:eastAsia="Times New Roman" w:hAnsi="Times New Roman" w:cs="Times New Roman"/>
      <w:kern w:val="0"/>
      <w:sz w:val="24"/>
      <w:szCs w:val="24"/>
      <w:lang w:val="de-DE" w:eastAsia="de-DE"/>
    </w:rPr>
  </w:style>
  <w:style w:type="character" w:customStyle="1" w:styleId="StandardWebZchn">
    <w:name w:val="Standard (Web) Zchn"/>
    <w:basedOn w:val="Absatz-Standardschriftart"/>
    <w:link w:val="StandardWeb"/>
    <w:uiPriority w:val="99"/>
    <w:rsid w:val="005E423A"/>
    <w:rPr>
      <w:rFonts w:ascii="Times New Roman" w:eastAsia="Times New Roman" w:hAnsi="Times New Roman" w:cs="Times New Roman"/>
      <w:kern w:val="0"/>
      <w:sz w:val="24"/>
      <w:szCs w:val="24"/>
      <w:lang w:eastAsia="de-DE"/>
      <w14:ligatures w14:val="none"/>
    </w:rPr>
  </w:style>
  <w:style w:type="character" w:styleId="Fett">
    <w:name w:val="Strong"/>
    <w:basedOn w:val="Absatz-Standardschriftart"/>
    <w:uiPriority w:val="22"/>
    <w:qFormat/>
    <w:rsid w:val="005E423A"/>
    <w:rPr>
      <w:b/>
      <w:bCs/>
    </w:rPr>
  </w:style>
  <w:style w:type="character" w:styleId="Hervorhebung">
    <w:name w:val="Emphasis"/>
    <w:basedOn w:val="Absatz-Standardschriftart"/>
    <w:uiPriority w:val="20"/>
    <w:qFormat/>
    <w:rsid w:val="005E423A"/>
    <w:rPr>
      <w:i/>
      <w:iCs/>
    </w:rPr>
  </w:style>
  <w:style w:type="paragraph" w:customStyle="1" w:styleId="Paragraph">
    <w:name w:val="Paragraph"/>
    <w:basedOn w:val="Standard"/>
    <w:rsid w:val="005E423A"/>
    <w:pPr>
      <w:widowControl/>
      <w:spacing w:before="120"/>
      <w:ind w:firstLine="720"/>
      <w:jc w:val="left"/>
    </w:pPr>
    <w:rPr>
      <w:rFonts w:ascii="Times New Roman" w:eastAsia="Times New Roman" w:hAnsi="Times New Roman" w:cs="Times New Roman"/>
      <w:kern w:val="0"/>
      <w:sz w:val="24"/>
      <w:szCs w:val="24"/>
      <w:lang w:eastAsia="en-US"/>
    </w:rPr>
  </w:style>
  <w:style w:type="character" w:styleId="Zeilennummer">
    <w:name w:val="line number"/>
    <w:basedOn w:val="Absatz-Standardschriftart"/>
    <w:uiPriority w:val="99"/>
    <w:semiHidden/>
    <w:unhideWhenUsed/>
    <w:rsid w:val="005E423A"/>
  </w:style>
  <w:style w:type="paragraph" w:styleId="Kommentarthema">
    <w:name w:val="annotation subject"/>
    <w:basedOn w:val="Kommentartext"/>
    <w:next w:val="Kommentartext"/>
    <w:link w:val="KommentarthemaZchn"/>
    <w:uiPriority w:val="99"/>
    <w:semiHidden/>
    <w:unhideWhenUsed/>
    <w:rsid w:val="005E423A"/>
    <w:rPr>
      <w:b/>
      <w:bCs/>
    </w:rPr>
  </w:style>
  <w:style w:type="character" w:customStyle="1" w:styleId="KommentarthemaZchn">
    <w:name w:val="Kommentarthema Zchn"/>
    <w:basedOn w:val="KommentartextZchn"/>
    <w:link w:val="Kommentarthema"/>
    <w:uiPriority w:val="99"/>
    <w:semiHidden/>
    <w:rsid w:val="005E423A"/>
    <w:rPr>
      <w:rFonts w:eastAsia="Times New Roman"/>
      <w:b/>
      <w:bCs/>
      <w:sz w:val="21"/>
      <w:szCs w:val="21"/>
      <w:lang w:val="en-US" w:eastAsia="zh-CN"/>
      <w14:ligatures w14:val="none"/>
    </w:rPr>
  </w:style>
  <w:style w:type="character" w:styleId="Hyperlink">
    <w:name w:val="Hyperlink"/>
    <w:basedOn w:val="Absatz-Standardschriftart"/>
    <w:uiPriority w:val="99"/>
    <w:unhideWhenUsed/>
    <w:rsid w:val="005E423A"/>
    <w:rPr>
      <w:color w:val="0000FF"/>
      <w:u w:val="single"/>
    </w:rPr>
  </w:style>
  <w:style w:type="character" w:styleId="NichtaufgelsteErwhnung">
    <w:name w:val="Unresolved Mention"/>
    <w:basedOn w:val="Absatz-Standardschriftart"/>
    <w:uiPriority w:val="99"/>
    <w:semiHidden/>
    <w:unhideWhenUsed/>
    <w:rsid w:val="005E423A"/>
    <w:rPr>
      <w:color w:val="605E5C"/>
      <w:shd w:val="clear" w:color="auto" w:fill="E1DFDD"/>
    </w:rPr>
  </w:style>
  <w:style w:type="character" w:customStyle="1" w:styleId="anchor-text">
    <w:name w:val="anchor-text"/>
    <w:basedOn w:val="Absatz-Standardschriftart"/>
    <w:rsid w:val="005E423A"/>
  </w:style>
  <w:style w:type="paragraph" w:customStyle="1" w:styleId="xmsonormal">
    <w:name w:val="x_msonormal"/>
    <w:basedOn w:val="Standard"/>
    <w:rsid w:val="005E423A"/>
    <w:pPr>
      <w:widowControl/>
      <w:spacing w:before="100" w:beforeAutospacing="1" w:after="100" w:afterAutospacing="1"/>
      <w:jc w:val="left"/>
    </w:pPr>
    <w:rPr>
      <w:rFonts w:ascii="SimSun" w:eastAsia="SimSun" w:hAnsi="SimSun" w:cs="SimSun"/>
      <w:kern w:val="0"/>
      <w:sz w:val="24"/>
      <w:szCs w:val="24"/>
    </w:rPr>
  </w:style>
  <w:style w:type="character" w:styleId="BesuchterLink">
    <w:name w:val="FollowedHyperlink"/>
    <w:basedOn w:val="Absatz-Standardschriftart"/>
    <w:uiPriority w:val="99"/>
    <w:semiHidden/>
    <w:unhideWhenUsed/>
    <w:rsid w:val="005E423A"/>
    <w:rPr>
      <w:color w:val="96607D" w:themeColor="followedHyperlink"/>
      <w:u w:val="single"/>
    </w:rPr>
  </w:style>
  <w:style w:type="paragraph" w:styleId="NurText">
    <w:name w:val="Plain Text"/>
    <w:basedOn w:val="Standard"/>
    <w:link w:val="NurTextZchn"/>
    <w:uiPriority w:val="99"/>
    <w:unhideWhenUsed/>
    <w:rsid w:val="005E423A"/>
    <w:pPr>
      <w:widowControl/>
      <w:jc w:val="left"/>
    </w:pPr>
    <w:rPr>
      <w:rFonts w:ascii="Calibri" w:eastAsiaTheme="minorHAnsi" w:hAnsi="Calibri"/>
      <w:kern w:val="0"/>
      <w:sz w:val="22"/>
      <w:lang w:val="de-DE" w:eastAsia="en-US"/>
    </w:rPr>
  </w:style>
  <w:style w:type="character" w:customStyle="1" w:styleId="NurTextZchn">
    <w:name w:val="Nur Text Zchn"/>
    <w:basedOn w:val="Absatz-Standardschriftart"/>
    <w:link w:val="NurText"/>
    <w:uiPriority w:val="99"/>
    <w:rsid w:val="005E423A"/>
    <w:rPr>
      <w:rFonts w:ascii="Calibri" w:hAnsi="Calibri"/>
      <w:kern w:val="0"/>
      <w:szCs w:val="21"/>
      <w14:ligatures w14:val="none"/>
    </w:rPr>
  </w:style>
  <w:style w:type="table" w:styleId="Tabellenraster">
    <w:name w:val="Table Grid"/>
    <w:basedOn w:val="NormaleTabelle"/>
    <w:uiPriority w:val="39"/>
    <w:rsid w:val="005E423A"/>
    <w:pPr>
      <w:spacing w:after="0" w:line="240" w:lineRule="auto"/>
    </w:pPr>
    <w:rPr>
      <w:rFonts w:eastAsiaTheme="minorEastAsia"/>
      <w:sz w:val="21"/>
      <w:lang w:val="en-US"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d-label">
    <w:name w:val="id-label"/>
    <w:basedOn w:val="Absatz-Standardschriftart"/>
    <w:rsid w:val="005E42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hyperlink" Target="https://www.protocols.io/view/prime-seq-81wgb1pw3vpk/v1" TargetMode="Externa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3263</Words>
  <Characters>20557</Characters>
  <Application>Microsoft Office Word</Application>
  <DocSecurity>0</DocSecurity>
  <Lines>171</Lines>
  <Paragraphs>47</Paragraphs>
  <ScaleCrop>false</ScaleCrop>
  <HeadingPairs>
    <vt:vector size="2" baseType="variant">
      <vt:variant>
        <vt:lpstr>Titel</vt:lpstr>
      </vt:variant>
      <vt:variant>
        <vt:i4>1</vt:i4>
      </vt:variant>
    </vt:vector>
  </HeadingPairs>
  <TitlesOfParts>
    <vt:vector size="1" baseType="lpstr">
      <vt:lpstr/>
    </vt:vector>
  </TitlesOfParts>
  <Company>LMU Klinikum</Company>
  <LinksUpToDate>false</LinksUpToDate>
  <CharactersWithSpaces>23773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Hundelshausen, Philipp Freiherr v. Dr.med.</dc:creator>
  <cp:keywords/>
  <dc:description/>
  <cp:lastModifiedBy>Hundelshausen, Philipp Freiherr v. Dr.med.</cp:lastModifiedBy>
  <cp:revision>4</cp:revision>
  <dcterms:created xsi:type="dcterms:W3CDTF">2025-12-09T11:52:00Z</dcterms:created>
  <dcterms:modified xsi:type="dcterms:W3CDTF">2025-12-09T11:54:00Z</dcterms:modified>
</cp:coreProperties>
</file>