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4BDD" w14:textId="10CBC95E" w:rsidR="00594D23" w:rsidRPr="00594D23" w:rsidRDefault="00594D23" w:rsidP="00AF0007">
      <w:pPr>
        <w:spacing w:line="360" w:lineRule="auto"/>
        <w:jc w:val="both"/>
        <w:rPr>
          <w:rFonts w:ascii="Arial" w:hAnsi="Arial" w:cs="Arial"/>
          <w:sz w:val="24"/>
          <w:szCs w:val="24"/>
          <w:lang w:val="en-US"/>
        </w:rPr>
      </w:pPr>
      <w:r w:rsidRPr="00FB67AD">
        <w:rPr>
          <w:rFonts w:ascii="Arial" w:hAnsi="Arial" w:cs="Arial"/>
          <w:lang w:val="en-US"/>
        </w:rPr>
        <w:t>DC25-2184</w:t>
      </w:r>
    </w:p>
    <w:p w14:paraId="6925BEED" w14:textId="078F2D7C" w:rsidR="001D28F1" w:rsidRDefault="00AF0007" w:rsidP="00AF0007">
      <w:pPr>
        <w:spacing w:line="360" w:lineRule="auto"/>
        <w:jc w:val="both"/>
        <w:rPr>
          <w:rFonts w:ascii="Arial" w:hAnsi="Arial" w:cs="Arial"/>
          <w:sz w:val="24"/>
          <w:szCs w:val="24"/>
          <w:lang w:val="en-US"/>
        </w:rPr>
      </w:pPr>
      <w:r w:rsidRPr="00871270">
        <w:rPr>
          <w:rFonts w:ascii="Arial" w:hAnsi="Arial" w:cs="Arial"/>
          <w:sz w:val="24"/>
          <w:szCs w:val="24"/>
          <w:lang w:val="en-US"/>
        </w:rPr>
        <w:t xml:space="preserve">Stratifying </w:t>
      </w:r>
      <w:r w:rsidR="006E6B1A">
        <w:rPr>
          <w:rFonts w:ascii="Arial" w:hAnsi="Arial" w:cs="Arial"/>
          <w:sz w:val="24"/>
          <w:szCs w:val="24"/>
          <w:lang w:val="en-US"/>
        </w:rPr>
        <w:t xml:space="preserve">the rate of </w:t>
      </w:r>
      <w:r w:rsidR="00B62EE9">
        <w:rPr>
          <w:rFonts w:ascii="Arial" w:hAnsi="Arial" w:cs="Arial"/>
          <w:sz w:val="24"/>
          <w:szCs w:val="24"/>
          <w:lang w:val="en-US"/>
        </w:rPr>
        <w:t xml:space="preserve">disease </w:t>
      </w:r>
      <w:r w:rsidRPr="00871270">
        <w:rPr>
          <w:rFonts w:ascii="Arial" w:hAnsi="Arial" w:cs="Arial"/>
          <w:sz w:val="24"/>
          <w:szCs w:val="24"/>
          <w:lang w:val="en-US"/>
        </w:rPr>
        <w:t xml:space="preserve">progression </w:t>
      </w:r>
      <w:r w:rsidR="00B62EE9">
        <w:rPr>
          <w:rFonts w:ascii="Arial" w:hAnsi="Arial" w:cs="Arial"/>
          <w:sz w:val="24"/>
          <w:szCs w:val="24"/>
          <w:lang w:val="en-US"/>
        </w:rPr>
        <w:t xml:space="preserve">by </w:t>
      </w:r>
      <w:r w:rsidR="006E6B1A">
        <w:rPr>
          <w:rFonts w:ascii="Arial" w:hAnsi="Arial" w:cs="Arial"/>
          <w:sz w:val="24"/>
          <w:szCs w:val="24"/>
          <w:lang w:val="en-US"/>
        </w:rPr>
        <w:t>P</w:t>
      </w:r>
      <w:r w:rsidR="00B62EE9">
        <w:rPr>
          <w:rFonts w:ascii="Arial" w:hAnsi="Arial" w:cs="Arial"/>
          <w:sz w:val="24"/>
          <w:szCs w:val="24"/>
          <w:lang w:val="en-US"/>
        </w:rPr>
        <w:t xml:space="preserve">rogression </w:t>
      </w:r>
      <w:r w:rsidR="006E6B1A">
        <w:rPr>
          <w:rFonts w:ascii="Arial" w:hAnsi="Arial" w:cs="Arial"/>
          <w:sz w:val="24"/>
          <w:szCs w:val="24"/>
          <w:lang w:val="en-US"/>
        </w:rPr>
        <w:t>Likelihood S</w:t>
      </w:r>
      <w:r w:rsidR="00B62EE9">
        <w:rPr>
          <w:rFonts w:ascii="Arial" w:hAnsi="Arial" w:cs="Arial"/>
          <w:sz w:val="24"/>
          <w:szCs w:val="24"/>
          <w:lang w:val="en-US"/>
        </w:rPr>
        <w:t xml:space="preserve">cores </w:t>
      </w:r>
      <w:r w:rsidRPr="00871270">
        <w:rPr>
          <w:rFonts w:ascii="Arial" w:hAnsi="Arial" w:cs="Arial"/>
          <w:sz w:val="24"/>
          <w:szCs w:val="24"/>
          <w:lang w:val="en-US"/>
        </w:rPr>
        <w:t xml:space="preserve">in children </w:t>
      </w:r>
      <w:r w:rsidR="00B62EE9">
        <w:rPr>
          <w:rFonts w:ascii="Arial" w:hAnsi="Arial" w:cs="Arial"/>
          <w:sz w:val="24"/>
          <w:szCs w:val="24"/>
          <w:lang w:val="en-US"/>
        </w:rPr>
        <w:t xml:space="preserve">and adolescents </w:t>
      </w:r>
      <w:r w:rsidRPr="00871270">
        <w:rPr>
          <w:rFonts w:ascii="Arial" w:hAnsi="Arial" w:cs="Arial"/>
          <w:sz w:val="24"/>
          <w:szCs w:val="24"/>
          <w:lang w:val="en-US"/>
        </w:rPr>
        <w:t xml:space="preserve">with stage 1 </w:t>
      </w:r>
      <w:r w:rsidR="00300865" w:rsidRPr="00871270">
        <w:rPr>
          <w:rFonts w:ascii="Arial" w:hAnsi="Arial" w:cs="Arial"/>
          <w:sz w:val="24"/>
          <w:szCs w:val="24"/>
          <w:lang w:val="en-US"/>
        </w:rPr>
        <w:t xml:space="preserve">and stage 2 </w:t>
      </w:r>
      <w:r w:rsidRPr="00871270">
        <w:rPr>
          <w:rFonts w:ascii="Arial" w:hAnsi="Arial" w:cs="Arial"/>
          <w:sz w:val="24"/>
          <w:szCs w:val="24"/>
          <w:lang w:val="en-US"/>
        </w:rPr>
        <w:t>type 1 diabetes</w:t>
      </w:r>
      <w:r w:rsidR="00350D08">
        <w:rPr>
          <w:rFonts w:ascii="Arial" w:hAnsi="Arial" w:cs="Arial"/>
          <w:sz w:val="24"/>
          <w:szCs w:val="24"/>
          <w:lang w:val="en-US"/>
        </w:rPr>
        <w:t xml:space="preserve"> in Germany</w:t>
      </w:r>
    </w:p>
    <w:p w14:paraId="06AB2796" w14:textId="2B45B9C6" w:rsidR="004D0DCE" w:rsidRDefault="004D0DCE" w:rsidP="00AF0007">
      <w:pPr>
        <w:spacing w:line="360" w:lineRule="auto"/>
        <w:jc w:val="both"/>
        <w:rPr>
          <w:rFonts w:ascii="Arial" w:hAnsi="Arial" w:cs="Arial"/>
          <w:sz w:val="24"/>
          <w:szCs w:val="24"/>
          <w:lang w:val="en-US"/>
        </w:rPr>
      </w:pPr>
      <w:r>
        <w:rPr>
          <w:rFonts w:ascii="Arial" w:hAnsi="Arial" w:cs="Arial"/>
          <w:sz w:val="24"/>
          <w:szCs w:val="24"/>
          <w:lang w:val="en-US"/>
        </w:rPr>
        <w:t xml:space="preserve">Short: </w:t>
      </w:r>
      <w:r w:rsidRPr="004D0DCE">
        <w:rPr>
          <w:rFonts w:ascii="Arial" w:hAnsi="Arial" w:cs="Arial"/>
          <w:sz w:val="24"/>
          <w:szCs w:val="24"/>
          <w:lang w:val="en-US"/>
        </w:rPr>
        <w:t xml:space="preserve">Progression Score for </w:t>
      </w:r>
      <w:r w:rsidR="00902A67">
        <w:rPr>
          <w:rFonts w:ascii="Arial" w:hAnsi="Arial" w:cs="Arial"/>
          <w:sz w:val="24"/>
          <w:szCs w:val="24"/>
          <w:lang w:val="en-US"/>
        </w:rPr>
        <w:t xml:space="preserve">T1D </w:t>
      </w:r>
      <w:r w:rsidRPr="004D0DCE">
        <w:rPr>
          <w:rFonts w:ascii="Arial" w:hAnsi="Arial" w:cs="Arial"/>
          <w:sz w:val="24"/>
          <w:szCs w:val="24"/>
          <w:lang w:val="en-US"/>
        </w:rPr>
        <w:t>risk stratification</w:t>
      </w:r>
    </w:p>
    <w:p w14:paraId="63F85607" w14:textId="77777777" w:rsidR="004D0DCE" w:rsidRDefault="004D0DCE" w:rsidP="00AF0007">
      <w:pPr>
        <w:spacing w:line="360" w:lineRule="auto"/>
        <w:jc w:val="both"/>
        <w:rPr>
          <w:rFonts w:ascii="Arial" w:hAnsi="Arial" w:cs="Arial"/>
          <w:sz w:val="24"/>
          <w:szCs w:val="24"/>
          <w:lang w:val="en-US"/>
        </w:rPr>
      </w:pPr>
    </w:p>
    <w:p w14:paraId="2C78F434" w14:textId="665D4DA5" w:rsidR="00AF0007" w:rsidRPr="00E262E0" w:rsidRDefault="0024271D" w:rsidP="00AF0007">
      <w:pPr>
        <w:spacing w:line="360" w:lineRule="auto"/>
        <w:jc w:val="both"/>
        <w:rPr>
          <w:rFonts w:ascii="Arial" w:hAnsi="Arial" w:cs="Arial"/>
          <w:sz w:val="24"/>
          <w:szCs w:val="24"/>
          <w:lang w:val="en-US"/>
        </w:rPr>
      </w:pPr>
      <w:r>
        <w:rPr>
          <w:rFonts w:ascii="Arial" w:hAnsi="Arial" w:cs="Arial"/>
          <w:sz w:val="24"/>
          <w:szCs w:val="24"/>
          <w:lang w:val="en-US"/>
        </w:rPr>
        <w:t xml:space="preserve">Andreas </w:t>
      </w:r>
      <w:r w:rsidR="00AF0007" w:rsidRPr="00E262E0">
        <w:rPr>
          <w:rFonts w:ascii="Arial" w:hAnsi="Arial" w:cs="Arial"/>
          <w:sz w:val="24"/>
          <w:szCs w:val="24"/>
          <w:lang w:val="en-US"/>
        </w:rPr>
        <w:t>Weiss</w:t>
      </w:r>
      <w:r w:rsidR="0006768E" w:rsidRPr="00E262E0">
        <w:rPr>
          <w:rFonts w:ascii="Arial" w:hAnsi="Arial" w:cs="Arial"/>
          <w:sz w:val="24"/>
          <w:szCs w:val="24"/>
          <w:lang w:val="en-US"/>
        </w:rPr>
        <w:t>, MSc</w:t>
      </w:r>
      <w:r w:rsidR="00AE1513" w:rsidRPr="00E262E0">
        <w:rPr>
          <w:rFonts w:ascii="Arial" w:hAnsi="Arial" w:cs="Arial"/>
          <w:sz w:val="24"/>
          <w:szCs w:val="24"/>
          <w:vertAlign w:val="superscript"/>
          <w:lang w:val="en-US"/>
        </w:rPr>
        <w:t>1,2</w:t>
      </w:r>
      <w:r w:rsidR="00DB09DA" w:rsidRPr="00E262E0">
        <w:rPr>
          <w:rFonts w:ascii="Arial" w:hAnsi="Arial" w:cs="Arial"/>
          <w:sz w:val="24"/>
          <w:szCs w:val="24"/>
          <w:lang w:val="en-US"/>
        </w:rPr>
        <w:t>;</w:t>
      </w:r>
      <w:r w:rsidR="00AF0007" w:rsidRPr="00E262E0">
        <w:rPr>
          <w:rFonts w:ascii="Arial" w:hAnsi="Arial" w:cs="Arial"/>
          <w:sz w:val="24"/>
          <w:szCs w:val="24"/>
          <w:lang w:val="en-US"/>
        </w:rPr>
        <w:t xml:space="preserve"> </w:t>
      </w:r>
      <w:r>
        <w:rPr>
          <w:rFonts w:ascii="Arial" w:hAnsi="Arial" w:cs="Arial"/>
          <w:sz w:val="24"/>
          <w:szCs w:val="24"/>
          <w:lang w:val="en-US"/>
        </w:rPr>
        <w:t xml:space="preserve">Lenche </w:t>
      </w:r>
      <w:r w:rsidR="00AF0007" w:rsidRPr="00E262E0">
        <w:rPr>
          <w:rFonts w:ascii="Arial" w:hAnsi="Arial" w:cs="Arial"/>
          <w:sz w:val="24"/>
          <w:szCs w:val="24"/>
          <w:lang w:val="en-US"/>
        </w:rPr>
        <w:t>Chakievska</w:t>
      </w:r>
      <w:r w:rsidR="00DB09DA" w:rsidRPr="00E262E0">
        <w:rPr>
          <w:rFonts w:ascii="Arial" w:hAnsi="Arial" w:cs="Arial"/>
          <w:sz w:val="24"/>
          <w:szCs w:val="24"/>
          <w:lang w:val="en-US"/>
        </w:rPr>
        <w:t>, PhD</w:t>
      </w:r>
      <w:r w:rsidR="00AE1513" w:rsidRPr="00E262E0">
        <w:rPr>
          <w:rFonts w:ascii="Arial" w:hAnsi="Arial" w:cs="Arial"/>
          <w:sz w:val="24"/>
          <w:szCs w:val="24"/>
          <w:vertAlign w:val="superscript"/>
          <w:lang w:val="en-US"/>
        </w:rPr>
        <w:t>1,2</w:t>
      </w:r>
      <w:r w:rsidR="00DB09DA" w:rsidRPr="00E262E0">
        <w:rPr>
          <w:rFonts w:ascii="Arial" w:hAnsi="Arial" w:cs="Arial"/>
          <w:sz w:val="24"/>
          <w:szCs w:val="24"/>
          <w:lang w:val="en-US"/>
        </w:rPr>
        <w:t>;</w:t>
      </w:r>
      <w:r w:rsidR="00AF0007" w:rsidRPr="00E262E0">
        <w:rPr>
          <w:rFonts w:ascii="Arial" w:hAnsi="Arial" w:cs="Arial"/>
          <w:sz w:val="24"/>
          <w:szCs w:val="24"/>
          <w:lang w:val="en-US"/>
        </w:rPr>
        <w:t xml:space="preserve"> </w:t>
      </w:r>
      <w:r>
        <w:rPr>
          <w:rFonts w:ascii="Arial" w:hAnsi="Arial" w:cs="Arial"/>
          <w:sz w:val="24"/>
          <w:szCs w:val="24"/>
          <w:lang w:val="en-US"/>
        </w:rPr>
        <w:t xml:space="preserve">Peter </w:t>
      </w:r>
      <w:r w:rsidR="00AE1513" w:rsidRPr="00E262E0">
        <w:rPr>
          <w:rFonts w:ascii="Arial" w:hAnsi="Arial" w:cs="Arial"/>
          <w:sz w:val="24"/>
          <w:szCs w:val="24"/>
          <w:lang w:val="en-US"/>
        </w:rPr>
        <w:t>Achenbach</w:t>
      </w:r>
      <w:r w:rsidR="00DB09DA" w:rsidRPr="00E262E0">
        <w:rPr>
          <w:rFonts w:ascii="Arial" w:hAnsi="Arial" w:cs="Arial"/>
          <w:sz w:val="24"/>
          <w:szCs w:val="24"/>
          <w:lang w:val="en-US"/>
        </w:rPr>
        <w:t>, MD</w:t>
      </w:r>
      <w:r w:rsidR="00AE1513" w:rsidRPr="00E262E0">
        <w:rPr>
          <w:rFonts w:ascii="Arial" w:hAnsi="Arial" w:cs="Arial"/>
          <w:sz w:val="24"/>
          <w:szCs w:val="24"/>
          <w:vertAlign w:val="superscript"/>
          <w:lang w:val="en-US"/>
        </w:rPr>
        <w:t>1,2,3</w:t>
      </w:r>
      <w:r w:rsidR="00DB09DA" w:rsidRPr="00E262E0">
        <w:rPr>
          <w:rFonts w:ascii="Arial" w:hAnsi="Arial" w:cs="Arial"/>
          <w:sz w:val="24"/>
          <w:szCs w:val="24"/>
          <w:lang w:val="en-US"/>
        </w:rPr>
        <w:t>;</w:t>
      </w:r>
      <w:r w:rsidR="00AE1513" w:rsidRPr="00E262E0">
        <w:rPr>
          <w:rFonts w:ascii="Arial" w:hAnsi="Arial" w:cs="Arial"/>
          <w:sz w:val="24"/>
          <w:szCs w:val="24"/>
          <w:lang w:val="en-US"/>
        </w:rPr>
        <w:t xml:space="preserve"> </w:t>
      </w:r>
      <w:r>
        <w:rPr>
          <w:rFonts w:ascii="Arial" w:hAnsi="Arial" w:cs="Arial"/>
          <w:sz w:val="24"/>
          <w:szCs w:val="24"/>
          <w:lang w:val="en-US"/>
        </w:rPr>
        <w:t xml:space="preserve">Maja </w:t>
      </w:r>
      <w:r w:rsidR="00AE1513" w:rsidRPr="00E262E0">
        <w:rPr>
          <w:rFonts w:ascii="Arial" w:hAnsi="Arial" w:cs="Arial"/>
          <w:sz w:val="24"/>
          <w:szCs w:val="24"/>
          <w:lang w:val="en-US"/>
        </w:rPr>
        <w:t>Hergl</w:t>
      </w:r>
      <w:r w:rsidR="00251AAF">
        <w:rPr>
          <w:rFonts w:ascii="Arial" w:hAnsi="Arial" w:cs="Arial"/>
          <w:sz w:val="24"/>
          <w:szCs w:val="24"/>
          <w:lang w:val="en-US"/>
        </w:rPr>
        <w:t>, BSc</w:t>
      </w:r>
      <w:r w:rsidR="00AE1513" w:rsidRPr="00E262E0">
        <w:rPr>
          <w:rFonts w:ascii="Arial" w:hAnsi="Arial" w:cs="Arial"/>
          <w:sz w:val="24"/>
          <w:szCs w:val="24"/>
          <w:vertAlign w:val="superscript"/>
          <w:lang w:val="en-US"/>
        </w:rPr>
        <w:t>1,2</w:t>
      </w:r>
      <w:r w:rsidR="00DB09DA" w:rsidRPr="00E262E0">
        <w:rPr>
          <w:rFonts w:ascii="Arial" w:hAnsi="Arial" w:cs="Arial"/>
          <w:sz w:val="24"/>
          <w:szCs w:val="24"/>
          <w:lang w:val="en-US"/>
        </w:rPr>
        <w:t>;</w:t>
      </w:r>
      <w:r w:rsidR="00D02FB3" w:rsidRPr="00E262E0">
        <w:rPr>
          <w:rFonts w:ascii="Arial" w:hAnsi="Arial" w:cs="Arial"/>
          <w:sz w:val="24"/>
          <w:szCs w:val="24"/>
          <w:lang w:val="en-US"/>
        </w:rPr>
        <w:t xml:space="preserve"> </w:t>
      </w:r>
      <w:r>
        <w:rPr>
          <w:rFonts w:ascii="Arial" w:hAnsi="Arial" w:cs="Arial"/>
          <w:sz w:val="24"/>
          <w:szCs w:val="24"/>
          <w:lang w:val="en-US"/>
        </w:rPr>
        <w:t xml:space="preserve">Sandra </w:t>
      </w:r>
      <w:r w:rsidR="00AF0007" w:rsidRPr="00E262E0">
        <w:rPr>
          <w:rFonts w:ascii="Arial" w:hAnsi="Arial" w:cs="Arial"/>
          <w:sz w:val="24"/>
          <w:szCs w:val="24"/>
          <w:lang w:val="en-US"/>
        </w:rPr>
        <w:t>Hummel</w:t>
      </w:r>
      <w:r w:rsidR="00DB09DA" w:rsidRPr="00E262E0">
        <w:rPr>
          <w:rFonts w:ascii="Arial" w:hAnsi="Arial" w:cs="Arial"/>
          <w:sz w:val="24"/>
          <w:szCs w:val="24"/>
          <w:lang w:val="en-US"/>
        </w:rPr>
        <w:t>, PhD</w:t>
      </w:r>
      <w:r w:rsidR="00AE1513" w:rsidRPr="00E262E0">
        <w:rPr>
          <w:rFonts w:ascii="Arial" w:hAnsi="Arial" w:cs="Arial"/>
          <w:sz w:val="24"/>
          <w:szCs w:val="24"/>
          <w:vertAlign w:val="superscript"/>
          <w:lang w:val="en-US"/>
        </w:rPr>
        <w:t>1,2,3</w:t>
      </w:r>
      <w:r w:rsidR="004E03AF">
        <w:rPr>
          <w:rFonts w:ascii="Arial" w:hAnsi="Arial" w:cs="Arial"/>
          <w:sz w:val="24"/>
          <w:szCs w:val="24"/>
          <w:lang w:val="en-US"/>
        </w:rPr>
        <w:t>;</w:t>
      </w:r>
      <w:r w:rsidR="00AE1513" w:rsidRPr="00E262E0">
        <w:rPr>
          <w:rFonts w:ascii="Arial" w:hAnsi="Arial" w:cs="Arial"/>
          <w:sz w:val="24"/>
          <w:szCs w:val="24"/>
          <w:lang w:val="en-US"/>
        </w:rPr>
        <w:t xml:space="preserve"> </w:t>
      </w:r>
      <w:r>
        <w:rPr>
          <w:rFonts w:ascii="Arial" w:hAnsi="Arial" w:cs="Arial"/>
          <w:sz w:val="24"/>
          <w:szCs w:val="24"/>
          <w:lang w:val="en-US"/>
        </w:rPr>
        <w:t xml:space="preserve">Raffael </w:t>
      </w:r>
      <w:r w:rsidR="00AF0007" w:rsidRPr="00E262E0">
        <w:rPr>
          <w:rFonts w:ascii="Arial" w:hAnsi="Arial" w:cs="Arial"/>
          <w:sz w:val="24"/>
          <w:szCs w:val="24"/>
          <w:lang w:val="en-US"/>
        </w:rPr>
        <w:t>Ott</w:t>
      </w:r>
      <w:r w:rsidR="00DB09DA" w:rsidRPr="00E262E0">
        <w:rPr>
          <w:rFonts w:ascii="Arial" w:hAnsi="Arial" w:cs="Arial"/>
          <w:sz w:val="24"/>
          <w:szCs w:val="24"/>
          <w:lang w:val="en-US"/>
        </w:rPr>
        <w:t>, PhD</w:t>
      </w:r>
      <w:r w:rsidR="00AE1513" w:rsidRPr="00E262E0">
        <w:rPr>
          <w:rFonts w:ascii="Arial" w:hAnsi="Arial" w:cs="Arial"/>
          <w:sz w:val="24"/>
          <w:szCs w:val="24"/>
          <w:vertAlign w:val="superscript"/>
          <w:lang w:val="en-US"/>
        </w:rPr>
        <w:t>1,2</w:t>
      </w:r>
      <w:r w:rsidR="00DB09DA" w:rsidRPr="00E262E0">
        <w:rPr>
          <w:rFonts w:ascii="Arial" w:hAnsi="Arial" w:cs="Arial"/>
          <w:sz w:val="24"/>
          <w:szCs w:val="24"/>
          <w:lang w:val="en-US"/>
        </w:rPr>
        <w:t>;</w:t>
      </w:r>
      <w:r w:rsidR="00AF0007" w:rsidRPr="00E262E0">
        <w:rPr>
          <w:rFonts w:ascii="Arial" w:hAnsi="Arial" w:cs="Arial"/>
          <w:sz w:val="24"/>
          <w:szCs w:val="24"/>
          <w:lang w:val="en-US"/>
        </w:rPr>
        <w:t xml:space="preserve"> </w:t>
      </w:r>
      <w:r>
        <w:rPr>
          <w:rFonts w:ascii="Arial" w:hAnsi="Arial" w:cs="Arial"/>
          <w:sz w:val="24"/>
          <w:szCs w:val="24"/>
          <w:lang w:val="en-US"/>
        </w:rPr>
        <w:t xml:space="preserve">Marlon </w:t>
      </w:r>
      <w:r w:rsidR="00AF0007" w:rsidRPr="00E262E0">
        <w:rPr>
          <w:rFonts w:ascii="Arial" w:hAnsi="Arial" w:cs="Arial"/>
          <w:sz w:val="24"/>
          <w:szCs w:val="24"/>
          <w:lang w:val="en-US"/>
        </w:rPr>
        <w:t>Scholz</w:t>
      </w:r>
      <w:r w:rsidR="00AE1513" w:rsidRPr="00E262E0">
        <w:rPr>
          <w:rFonts w:ascii="Arial" w:hAnsi="Arial" w:cs="Arial"/>
          <w:sz w:val="24"/>
          <w:szCs w:val="24"/>
          <w:vertAlign w:val="superscript"/>
          <w:lang w:val="en-US"/>
        </w:rPr>
        <w:t>1,2</w:t>
      </w:r>
      <w:r w:rsidR="00DB09DA" w:rsidRPr="00E262E0">
        <w:rPr>
          <w:rFonts w:ascii="Arial" w:hAnsi="Arial" w:cs="Arial"/>
          <w:sz w:val="24"/>
          <w:szCs w:val="24"/>
          <w:lang w:val="en-US"/>
        </w:rPr>
        <w:t>;</w:t>
      </w:r>
      <w:r w:rsidR="00282336" w:rsidRPr="00E262E0">
        <w:rPr>
          <w:rFonts w:ascii="Arial" w:hAnsi="Arial" w:cs="Arial"/>
          <w:sz w:val="24"/>
          <w:szCs w:val="24"/>
          <w:lang w:val="en-US"/>
        </w:rPr>
        <w:t xml:space="preserve"> </w:t>
      </w:r>
      <w:r>
        <w:rPr>
          <w:rFonts w:ascii="Arial" w:hAnsi="Arial" w:cs="Arial"/>
          <w:sz w:val="24"/>
          <w:szCs w:val="24"/>
          <w:lang w:val="en-US"/>
        </w:rPr>
        <w:t xml:space="preserve">Christiane </w:t>
      </w:r>
      <w:r w:rsidR="008B4BDD" w:rsidRPr="00E262E0">
        <w:rPr>
          <w:rFonts w:ascii="Arial" w:hAnsi="Arial" w:cs="Arial"/>
          <w:sz w:val="24"/>
          <w:szCs w:val="24"/>
          <w:lang w:val="en-US"/>
        </w:rPr>
        <w:t>Winkler</w:t>
      </w:r>
      <w:r w:rsidR="00DB09DA" w:rsidRPr="00E262E0">
        <w:rPr>
          <w:rFonts w:ascii="Arial" w:hAnsi="Arial" w:cs="Arial"/>
          <w:sz w:val="24"/>
          <w:szCs w:val="24"/>
          <w:lang w:val="en-US"/>
        </w:rPr>
        <w:t>, PhD</w:t>
      </w:r>
      <w:r w:rsidR="00AE1513" w:rsidRPr="00E262E0">
        <w:rPr>
          <w:rFonts w:ascii="Arial" w:hAnsi="Arial" w:cs="Arial"/>
          <w:sz w:val="24"/>
          <w:szCs w:val="24"/>
          <w:vertAlign w:val="superscript"/>
          <w:lang w:val="en-US"/>
        </w:rPr>
        <w:t>1,2</w:t>
      </w:r>
      <w:r w:rsidR="00DB09DA" w:rsidRPr="00E262E0">
        <w:rPr>
          <w:rFonts w:ascii="Arial" w:hAnsi="Arial" w:cs="Arial"/>
          <w:sz w:val="24"/>
          <w:szCs w:val="24"/>
          <w:lang w:val="en-US"/>
        </w:rPr>
        <w:t>;</w:t>
      </w:r>
      <w:r w:rsidR="008B4BDD" w:rsidRPr="00E262E0">
        <w:rPr>
          <w:rFonts w:ascii="Arial" w:hAnsi="Arial" w:cs="Arial"/>
          <w:sz w:val="24"/>
          <w:szCs w:val="24"/>
          <w:lang w:val="en-US"/>
        </w:rPr>
        <w:t xml:space="preserve"> </w:t>
      </w:r>
      <w:r>
        <w:rPr>
          <w:rFonts w:ascii="Arial" w:hAnsi="Arial" w:cs="Arial"/>
          <w:sz w:val="24"/>
          <w:szCs w:val="24"/>
          <w:lang w:val="en-US"/>
        </w:rPr>
        <w:t xml:space="preserve">Ezio </w:t>
      </w:r>
      <w:r w:rsidR="00AF0007" w:rsidRPr="00E262E0">
        <w:rPr>
          <w:rFonts w:ascii="Arial" w:hAnsi="Arial" w:cs="Arial"/>
          <w:sz w:val="24"/>
          <w:szCs w:val="24"/>
          <w:lang w:val="en-US"/>
        </w:rPr>
        <w:t>Bonifacio</w:t>
      </w:r>
      <w:r w:rsidR="00DB09DA" w:rsidRPr="00E262E0">
        <w:rPr>
          <w:rFonts w:ascii="Arial" w:hAnsi="Arial" w:cs="Arial"/>
          <w:sz w:val="24"/>
          <w:szCs w:val="24"/>
          <w:lang w:val="en-US"/>
        </w:rPr>
        <w:t>, PhD</w:t>
      </w:r>
      <w:r w:rsidR="00F66F72">
        <w:rPr>
          <w:rFonts w:ascii="Arial" w:hAnsi="Arial" w:cs="Arial"/>
          <w:sz w:val="24"/>
          <w:szCs w:val="24"/>
          <w:vertAlign w:val="superscript"/>
          <w:lang w:val="en-US"/>
        </w:rPr>
        <w:t>2,4</w:t>
      </w:r>
      <w:r w:rsidR="00AE1513" w:rsidRPr="00E262E0">
        <w:rPr>
          <w:rFonts w:ascii="Arial" w:hAnsi="Arial" w:cs="Arial"/>
          <w:sz w:val="24"/>
          <w:szCs w:val="24"/>
          <w:vertAlign w:val="superscript"/>
          <w:lang w:val="en-US"/>
        </w:rPr>
        <w:t>,</w:t>
      </w:r>
      <w:r w:rsidR="00E9796D">
        <w:rPr>
          <w:rFonts w:ascii="Arial" w:hAnsi="Arial" w:cs="Arial"/>
          <w:sz w:val="24"/>
          <w:szCs w:val="24"/>
          <w:vertAlign w:val="superscript"/>
          <w:lang w:val="en-US"/>
        </w:rPr>
        <w:t>5</w:t>
      </w:r>
      <w:r w:rsidR="00DB09DA" w:rsidRPr="00E262E0">
        <w:rPr>
          <w:rFonts w:ascii="Arial" w:hAnsi="Arial" w:cs="Arial"/>
          <w:sz w:val="24"/>
          <w:szCs w:val="24"/>
          <w:lang w:val="en-US"/>
        </w:rPr>
        <w:t xml:space="preserve">; </w:t>
      </w:r>
      <w:r>
        <w:rPr>
          <w:rFonts w:ascii="Arial" w:hAnsi="Arial" w:cs="Arial"/>
          <w:sz w:val="24"/>
          <w:szCs w:val="24"/>
          <w:lang w:val="en-US"/>
        </w:rPr>
        <w:t xml:space="preserve">Anette-Gabriele </w:t>
      </w:r>
      <w:r w:rsidR="00AF0007" w:rsidRPr="00E262E0">
        <w:rPr>
          <w:rFonts w:ascii="Arial" w:hAnsi="Arial" w:cs="Arial"/>
          <w:sz w:val="24"/>
          <w:szCs w:val="24"/>
          <w:lang w:val="en-US"/>
        </w:rPr>
        <w:t>Ziegler</w:t>
      </w:r>
      <w:r w:rsidR="00DB09DA" w:rsidRPr="00E262E0">
        <w:rPr>
          <w:rFonts w:ascii="Arial" w:hAnsi="Arial" w:cs="Arial"/>
          <w:sz w:val="24"/>
          <w:szCs w:val="24"/>
          <w:lang w:val="en-US"/>
        </w:rPr>
        <w:t>, MD</w:t>
      </w:r>
      <w:r w:rsidR="00AE1513" w:rsidRPr="00E262E0">
        <w:rPr>
          <w:rFonts w:ascii="Arial" w:hAnsi="Arial" w:cs="Arial"/>
          <w:sz w:val="24"/>
          <w:szCs w:val="24"/>
          <w:vertAlign w:val="superscript"/>
          <w:lang w:val="en-US"/>
        </w:rPr>
        <w:t>1,2,3</w:t>
      </w:r>
    </w:p>
    <w:p w14:paraId="67F4F20C" w14:textId="77777777" w:rsidR="00AF0007" w:rsidRPr="00E262E0" w:rsidRDefault="00AF0007" w:rsidP="00AF0007">
      <w:pPr>
        <w:autoSpaceDE w:val="0"/>
        <w:autoSpaceDN w:val="0"/>
        <w:adjustRightInd w:val="0"/>
        <w:spacing w:after="0" w:line="360" w:lineRule="auto"/>
        <w:rPr>
          <w:rFonts w:ascii="Arial" w:hAnsi="Arial" w:cs="Arial"/>
          <w:color w:val="131413"/>
          <w:sz w:val="24"/>
          <w:szCs w:val="24"/>
          <w:vertAlign w:val="superscript"/>
          <w:lang w:val="en-US"/>
        </w:rPr>
      </w:pPr>
    </w:p>
    <w:p w14:paraId="373D45BC" w14:textId="3F66DB39" w:rsidR="00AF0007" w:rsidRPr="00E262E0" w:rsidRDefault="00AF0007" w:rsidP="00AF0007">
      <w:pPr>
        <w:autoSpaceDE w:val="0"/>
        <w:autoSpaceDN w:val="0"/>
        <w:adjustRightInd w:val="0"/>
        <w:spacing w:after="0" w:line="360" w:lineRule="auto"/>
        <w:rPr>
          <w:rFonts w:ascii="Arial" w:hAnsi="Arial" w:cs="Arial"/>
          <w:color w:val="131413"/>
          <w:sz w:val="24"/>
          <w:szCs w:val="24"/>
          <w:lang w:val="en-US"/>
        </w:rPr>
      </w:pPr>
      <w:r w:rsidRPr="00E262E0">
        <w:rPr>
          <w:rFonts w:ascii="Arial" w:hAnsi="Arial" w:cs="Arial"/>
          <w:color w:val="131413"/>
          <w:sz w:val="24"/>
          <w:szCs w:val="24"/>
          <w:vertAlign w:val="superscript"/>
          <w:lang w:val="en-US"/>
        </w:rPr>
        <w:t xml:space="preserve">1 </w:t>
      </w:r>
      <w:r w:rsidRPr="00E262E0">
        <w:rPr>
          <w:rFonts w:ascii="Arial" w:hAnsi="Arial" w:cs="Arial"/>
          <w:color w:val="131413"/>
          <w:sz w:val="24"/>
          <w:szCs w:val="24"/>
          <w:lang w:val="en-US"/>
        </w:rPr>
        <w:t>Institute of Diabetes Research, Helmholtz Munich, German Research Center for Environmental Health, Munich, Germany</w:t>
      </w:r>
    </w:p>
    <w:p w14:paraId="65146575" w14:textId="23F33723" w:rsidR="00AE1513" w:rsidRPr="00E262E0" w:rsidRDefault="00AE1513" w:rsidP="00AF0007">
      <w:pPr>
        <w:autoSpaceDE w:val="0"/>
        <w:autoSpaceDN w:val="0"/>
        <w:adjustRightInd w:val="0"/>
        <w:spacing w:after="0" w:line="360" w:lineRule="auto"/>
        <w:rPr>
          <w:rFonts w:ascii="Arial" w:hAnsi="Arial" w:cs="Arial"/>
          <w:color w:val="131413"/>
          <w:sz w:val="24"/>
          <w:szCs w:val="24"/>
          <w:lang w:val="en-US"/>
        </w:rPr>
      </w:pPr>
      <w:r w:rsidRPr="00E262E0">
        <w:rPr>
          <w:rFonts w:ascii="Arial" w:hAnsi="Arial" w:cs="Arial"/>
          <w:color w:val="131413"/>
          <w:sz w:val="24"/>
          <w:szCs w:val="24"/>
          <w:vertAlign w:val="superscript"/>
          <w:lang w:val="en-US"/>
        </w:rPr>
        <w:t>2</w:t>
      </w:r>
      <w:r w:rsidR="0090509F" w:rsidRPr="00E262E0">
        <w:rPr>
          <w:rFonts w:ascii="Arial" w:hAnsi="Arial" w:cs="Arial"/>
          <w:color w:val="131413"/>
          <w:sz w:val="24"/>
          <w:szCs w:val="24"/>
          <w:lang w:val="en-US"/>
        </w:rPr>
        <w:t>German Center for Diabetes Research (DZD), Munich, Germany.</w:t>
      </w:r>
    </w:p>
    <w:p w14:paraId="44A904C7" w14:textId="106DBE2F" w:rsidR="00AF0007" w:rsidRPr="00E262E0" w:rsidRDefault="00023EA6" w:rsidP="00AF0007">
      <w:pPr>
        <w:autoSpaceDE w:val="0"/>
        <w:autoSpaceDN w:val="0"/>
        <w:adjustRightInd w:val="0"/>
        <w:spacing w:after="0" w:line="360" w:lineRule="auto"/>
        <w:rPr>
          <w:rFonts w:ascii="Arial" w:hAnsi="Arial" w:cs="Arial"/>
          <w:color w:val="131413"/>
          <w:sz w:val="24"/>
          <w:szCs w:val="24"/>
          <w:lang w:val="en-US"/>
        </w:rPr>
      </w:pPr>
      <w:r w:rsidRPr="00E262E0">
        <w:rPr>
          <w:rFonts w:ascii="Arial" w:hAnsi="Arial" w:cs="Arial"/>
          <w:color w:val="131413"/>
          <w:sz w:val="24"/>
          <w:szCs w:val="24"/>
          <w:vertAlign w:val="superscript"/>
          <w:lang w:val="en-US"/>
        </w:rPr>
        <w:t>3</w:t>
      </w:r>
      <w:r w:rsidR="00AF0007" w:rsidRPr="00E262E0">
        <w:rPr>
          <w:rFonts w:ascii="Arial" w:hAnsi="Arial" w:cs="Arial"/>
          <w:color w:val="131413"/>
          <w:sz w:val="24"/>
          <w:szCs w:val="24"/>
          <w:lang w:val="en-US"/>
        </w:rPr>
        <w:t xml:space="preserve"> Technical University Munich, School of Medicine and Health, Forschergruppe Diabetes at Klinikum rechts der Isar, Munich, Germany</w:t>
      </w:r>
    </w:p>
    <w:p w14:paraId="23292B13" w14:textId="0D56C25F" w:rsidR="00AF0007" w:rsidRPr="00E262E0" w:rsidRDefault="00023EA6" w:rsidP="00AF0007">
      <w:pPr>
        <w:autoSpaceDE w:val="0"/>
        <w:autoSpaceDN w:val="0"/>
        <w:adjustRightInd w:val="0"/>
        <w:spacing w:after="0" w:line="360" w:lineRule="auto"/>
        <w:rPr>
          <w:rFonts w:ascii="Arial" w:hAnsi="Arial" w:cs="Arial"/>
          <w:color w:val="131413"/>
          <w:sz w:val="24"/>
          <w:szCs w:val="24"/>
          <w:lang w:val="en-US"/>
        </w:rPr>
      </w:pPr>
      <w:r w:rsidRPr="00E262E0">
        <w:rPr>
          <w:rFonts w:ascii="Arial" w:hAnsi="Arial" w:cs="Arial"/>
          <w:color w:val="131413"/>
          <w:sz w:val="24"/>
          <w:szCs w:val="24"/>
          <w:vertAlign w:val="superscript"/>
          <w:lang w:val="en-US"/>
        </w:rPr>
        <w:t>4</w:t>
      </w:r>
      <w:r w:rsidR="00AF0007" w:rsidRPr="00E262E0">
        <w:rPr>
          <w:rFonts w:ascii="Arial" w:hAnsi="Arial" w:cs="Arial"/>
          <w:color w:val="131413"/>
          <w:sz w:val="24"/>
          <w:szCs w:val="24"/>
          <w:lang w:val="en-US"/>
        </w:rPr>
        <w:t xml:space="preserve"> Center for Regenerative Therapies Dresden, Faculty of Medicine, Technische Universität Dresden, Dresden, Germany</w:t>
      </w:r>
    </w:p>
    <w:p w14:paraId="7D663723" w14:textId="391E3174" w:rsidR="00AF0007" w:rsidRPr="00E262E0" w:rsidRDefault="00023EA6" w:rsidP="00AF0007">
      <w:pPr>
        <w:autoSpaceDE w:val="0"/>
        <w:autoSpaceDN w:val="0"/>
        <w:adjustRightInd w:val="0"/>
        <w:spacing w:after="0" w:line="360" w:lineRule="auto"/>
        <w:rPr>
          <w:rFonts w:ascii="Arial" w:hAnsi="Arial" w:cs="Arial"/>
          <w:sz w:val="24"/>
          <w:szCs w:val="24"/>
          <w:lang w:val="en-US"/>
        </w:rPr>
      </w:pPr>
      <w:r w:rsidRPr="00E262E0">
        <w:rPr>
          <w:rFonts w:ascii="Arial" w:hAnsi="Arial" w:cs="Arial"/>
          <w:color w:val="131413"/>
          <w:sz w:val="24"/>
          <w:szCs w:val="24"/>
          <w:vertAlign w:val="superscript"/>
          <w:lang w:val="en-US"/>
        </w:rPr>
        <w:t>5</w:t>
      </w:r>
      <w:r w:rsidR="00AF0007" w:rsidRPr="00E262E0">
        <w:rPr>
          <w:rFonts w:ascii="Arial" w:hAnsi="Arial" w:cs="Arial"/>
          <w:color w:val="131413"/>
          <w:sz w:val="24"/>
          <w:szCs w:val="24"/>
          <w:lang w:val="en-US"/>
        </w:rPr>
        <w:t xml:space="preserve"> Paul Langerhans Institute Dresden of the Helmholtz Munich at University Hospital Carl Gustav Carus and Faculty of Medicine, TU Dresden, Germany</w:t>
      </w:r>
    </w:p>
    <w:p w14:paraId="555E459B" w14:textId="77777777" w:rsidR="00AF0007" w:rsidRPr="00E262E0" w:rsidRDefault="00AF0007" w:rsidP="00AF0007">
      <w:pPr>
        <w:spacing w:after="0" w:line="360" w:lineRule="auto"/>
        <w:rPr>
          <w:rFonts w:ascii="Arial" w:hAnsi="Arial" w:cs="Arial"/>
          <w:sz w:val="24"/>
          <w:szCs w:val="24"/>
          <w:lang w:val="en-US"/>
        </w:rPr>
      </w:pPr>
    </w:p>
    <w:p w14:paraId="1CA129F2" w14:textId="77777777" w:rsidR="00AF0007" w:rsidRPr="00E262E0" w:rsidRDefault="00AF0007" w:rsidP="00AF0007">
      <w:pPr>
        <w:spacing w:after="0" w:line="360" w:lineRule="auto"/>
        <w:rPr>
          <w:rFonts w:ascii="Arial" w:hAnsi="Arial" w:cs="Arial"/>
          <w:sz w:val="24"/>
          <w:szCs w:val="24"/>
          <w:lang w:val="en-US"/>
        </w:rPr>
      </w:pPr>
      <w:r w:rsidRPr="00E262E0">
        <w:rPr>
          <w:rFonts w:ascii="Arial" w:hAnsi="Arial" w:cs="Arial"/>
          <w:sz w:val="24"/>
          <w:szCs w:val="24"/>
          <w:lang w:val="en-US"/>
        </w:rPr>
        <w:t>Corresponding author</w:t>
      </w:r>
    </w:p>
    <w:p w14:paraId="6DD2EC32" w14:textId="77777777" w:rsidR="00AF0007" w:rsidRPr="00E262E0" w:rsidRDefault="00AF0007" w:rsidP="00AF0007">
      <w:pPr>
        <w:spacing w:after="0" w:line="360" w:lineRule="auto"/>
        <w:rPr>
          <w:rFonts w:ascii="Arial" w:hAnsi="Arial" w:cs="Arial"/>
          <w:sz w:val="24"/>
          <w:szCs w:val="24"/>
          <w:lang w:val="en-US"/>
        </w:rPr>
      </w:pPr>
      <w:r w:rsidRPr="00E262E0">
        <w:rPr>
          <w:rFonts w:ascii="Arial" w:hAnsi="Arial" w:cs="Arial"/>
          <w:sz w:val="24"/>
          <w:szCs w:val="24"/>
          <w:lang w:val="en-US"/>
        </w:rPr>
        <w:t xml:space="preserve">Prof. Dr. Anette-Gabriele Ziegler </w:t>
      </w:r>
    </w:p>
    <w:p w14:paraId="4FBC3EB6" w14:textId="77777777" w:rsidR="00AF0007" w:rsidRPr="00E262E0" w:rsidRDefault="00AF0007" w:rsidP="00AF0007">
      <w:pPr>
        <w:spacing w:after="0" w:line="360" w:lineRule="auto"/>
        <w:rPr>
          <w:rFonts w:ascii="Arial" w:hAnsi="Arial" w:cs="Arial"/>
          <w:sz w:val="24"/>
          <w:szCs w:val="24"/>
          <w:lang w:val="en-US"/>
        </w:rPr>
      </w:pPr>
      <w:hyperlink r:id="rId11" w:history="1">
        <w:r w:rsidRPr="00E262E0">
          <w:rPr>
            <w:rStyle w:val="Hyperlink"/>
            <w:rFonts w:ascii="Arial" w:hAnsi="Arial" w:cs="Arial"/>
            <w:sz w:val="24"/>
            <w:szCs w:val="24"/>
            <w:lang w:val="en-US"/>
          </w:rPr>
          <w:t>anettegabriele.ziegler@helmholtz-munich.de</w:t>
        </w:r>
      </w:hyperlink>
    </w:p>
    <w:p w14:paraId="03BEB266" w14:textId="77777777" w:rsidR="00AF0007" w:rsidRPr="00E262E0" w:rsidRDefault="00AF0007" w:rsidP="00AF0007">
      <w:pPr>
        <w:spacing w:after="0" w:line="360" w:lineRule="auto"/>
        <w:rPr>
          <w:rFonts w:ascii="Arial" w:hAnsi="Arial" w:cs="Arial"/>
          <w:sz w:val="24"/>
          <w:szCs w:val="24"/>
          <w:lang w:val="en-US"/>
        </w:rPr>
      </w:pPr>
      <w:r w:rsidRPr="00E262E0">
        <w:rPr>
          <w:rFonts w:ascii="Arial" w:hAnsi="Arial" w:cs="Arial"/>
          <w:sz w:val="24"/>
          <w:szCs w:val="24"/>
          <w:lang w:val="en-US"/>
        </w:rPr>
        <w:t>Institute of Diabetes Research</w:t>
      </w:r>
    </w:p>
    <w:p w14:paraId="45CEA435" w14:textId="77777777" w:rsidR="00AF0007" w:rsidRPr="00AD312A" w:rsidRDefault="00AF0007" w:rsidP="00AF0007">
      <w:pPr>
        <w:spacing w:after="0" w:line="360" w:lineRule="auto"/>
        <w:rPr>
          <w:rFonts w:ascii="Arial" w:hAnsi="Arial" w:cs="Arial"/>
          <w:sz w:val="24"/>
          <w:szCs w:val="24"/>
        </w:rPr>
      </w:pPr>
      <w:r w:rsidRPr="00AD312A">
        <w:rPr>
          <w:rFonts w:ascii="Arial" w:hAnsi="Arial" w:cs="Arial"/>
          <w:sz w:val="24"/>
          <w:szCs w:val="24"/>
        </w:rPr>
        <w:t>Helmholtz Munich</w:t>
      </w:r>
    </w:p>
    <w:p w14:paraId="237E6517" w14:textId="77777777" w:rsidR="00AF0007" w:rsidRPr="00AD312A" w:rsidRDefault="00AF0007" w:rsidP="00AF0007">
      <w:pPr>
        <w:spacing w:after="0" w:line="360" w:lineRule="auto"/>
        <w:rPr>
          <w:rFonts w:ascii="Arial" w:hAnsi="Arial" w:cs="Arial"/>
          <w:sz w:val="24"/>
          <w:szCs w:val="24"/>
        </w:rPr>
      </w:pPr>
      <w:r w:rsidRPr="00AD312A">
        <w:rPr>
          <w:rFonts w:ascii="Arial" w:hAnsi="Arial" w:cs="Arial"/>
          <w:sz w:val="24"/>
          <w:szCs w:val="24"/>
        </w:rPr>
        <w:t>Heidemannstr. 1</w:t>
      </w:r>
    </w:p>
    <w:p w14:paraId="42F8E30B" w14:textId="77777777" w:rsidR="00AF0007" w:rsidRPr="00F66F72" w:rsidRDefault="00AF0007" w:rsidP="00AF0007">
      <w:pPr>
        <w:spacing w:after="0" w:line="360" w:lineRule="auto"/>
        <w:rPr>
          <w:rFonts w:ascii="Arial" w:hAnsi="Arial" w:cs="Arial"/>
          <w:sz w:val="24"/>
          <w:szCs w:val="24"/>
        </w:rPr>
      </w:pPr>
      <w:r w:rsidRPr="00F66F72">
        <w:rPr>
          <w:rFonts w:ascii="Arial" w:hAnsi="Arial" w:cs="Arial"/>
          <w:sz w:val="24"/>
          <w:szCs w:val="24"/>
        </w:rPr>
        <w:t>80939 Munich, Germany</w:t>
      </w:r>
    </w:p>
    <w:p w14:paraId="612B05F8" w14:textId="77777777" w:rsidR="00AF0007" w:rsidRPr="00F66F72" w:rsidRDefault="00AF0007" w:rsidP="00AF0007">
      <w:pPr>
        <w:spacing w:after="0" w:line="360" w:lineRule="auto"/>
        <w:rPr>
          <w:rFonts w:ascii="Arial" w:hAnsi="Arial" w:cs="Arial"/>
          <w:sz w:val="24"/>
          <w:szCs w:val="24"/>
        </w:rPr>
      </w:pPr>
      <w:r w:rsidRPr="00F66F72">
        <w:rPr>
          <w:rFonts w:ascii="Arial" w:hAnsi="Arial" w:cs="Arial"/>
          <w:sz w:val="24"/>
          <w:szCs w:val="24"/>
        </w:rPr>
        <w:t>Phone: +49 89-3187-2896</w:t>
      </w:r>
    </w:p>
    <w:p w14:paraId="4A90E74A" w14:textId="77777777" w:rsidR="00AF0007" w:rsidRPr="00F66F72" w:rsidRDefault="00AF0007" w:rsidP="00AF0007">
      <w:pPr>
        <w:spacing w:after="0" w:line="360" w:lineRule="auto"/>
        <w:rPr>
          <w:rFonts w:ascii="Arial" w:hAnsi="Arial" w:cs="Arial"/>
          <w:sz w:val="24"/>
          <w:szCs w:val="24"/>
        </w:rPr>
      </w:pPr>
    </w:p>
    <w:p w14:paraId="3DAB5C4F" w14:textId="117C9BC3" w:rsidR="00AE5FB4" w:rsidRPr="00E262E0" w:rsidRDefault="00AE5FB4" w:rsidP="00AF0007">
      <w:pPr>
        <w:spacing w:after="0" w:line="360" w:lineRule="auto"/>
        <w:rPr>
          <w:rFonts w:ascii="Arial" w:hAnsi="Arial" w:cs="Arial"/>
          <w:sz w:val="24"/>
          <w:szCs w:val="24"/>
          <w:lang w:val="en-US"/>
        </w:rPr>
      </w:pPr>
      <w:r w:rsidRPr="00E262E0">
        <w:rPr>
          <w:rFonts w:ascii="Arial" w:hAnsi="Arial" w:cs="Arial"/>
          <w:sz w:val="24"/>
          <w:szCs w:val="24"/>
          <w:lang w:val="en-US"/>
        </w:rPr>
        <w:t>Key Words</w:t>
      </w:r>
    </w:p>
    <w:p w14:paraId="42E069A0" w14:textId="77777777" w:rsidR="00023EA6" w:rsidRPr="00E262E0" w:rsidRDefault="00023EA6" w:rsidP="00AF0007">
      <w:pPr>
        <w:spacing w:after="0" w:line="360" w:lineRule="auto"/>
        <w:rPr>
          <w:rFonts w:ascii="Arial" w:hAnsi="Arial" w:cs="Arial"/>
          <w:sz w:val="24"/>
          <w:szCs w:val="24"/>
          <w:lang w:val="en-US"/>
        </w:rPr>
      </w:pPr>
    </w:p>
    <w:p w14:paraId="0DE82D16" w14:textId="3062DB78" w:rsidR="009C15BA" w:rsidRPr="00E262E0" w:rsidRDefault="006B4EB6" w:rsidP="00AF0007">
      <w:pPr>
        <w:spacing w:after="0" w:line="360" w:lineRule="auto"/>
        <w:rPr>
          <w:rFonts w:ascii="Arial" w:hAnsi="Arial" w:cs="Arial"/>
          <w:sz w:val="24"/>
          <w:szCs w:val="24"/>
          <w:lang w:val="en-US"/>
        </w:rPr>
      </w:pPr>
      <w:r w:rsidRPr="00E262E0">
        <w:rPr>
          <w:rFonts w:ascii="Arial" w:hAnsi="Arial" w:cs="Arial"/>
          <w:sz w:val="24"/>
          <w:szCs w:val="24"/>
          <w:lang w:val="en-US"/>
        </w:rPr>
        <w:t xml:space="preserve">Word count: </w:t>
      </w:r>
      <w:r w:rsidR="007E011B">
        <w:rPr>
          <w:rFonts w:ascii="Arial" w:hAnsi="Arial" w:cs="Arial"/>
          <w:sz w:val="24"/>
          <w:szCs w:val="24"/>
          <w:lang w:val="en-US"/>
        </w:rPr>
        <w:t>4918</w:t>
      </w:r>
    </w:p>
    <w:p w14:paraId="03843103" w14:textId="03BD149F" w:rsidR="009C15BA" w:rsidRPr="00E262E0" w:rsidRDefault="006B4EB6" w:rsidP="00AF0007">
      <w:pPr>
        <w:spacing w:after="0" w:line="360" w:lineRule="auto"/>
        <w:rPr>
          <w:rFonts w:ascii="Arial" w:hAnsi="Arial" w:cs="Arial"/>
          <w:sz w:val="24"/>
          <w:szCs w:val="24"/>
          <w:lang w:val="en-US"/>
        </w:rPr>
      </w:pPr>
      <w:r w:rsidRPr="00E262E0">
        <w:rPr>
          <w:rFonts w:ascii="Arial" w:hAnsi="Arial" w:cs="Arial"/>
          <w:sz w:val="24"/>
          <w:szCs w:val="24"/>
          <w:lang w:val="en-US"/>
        </w:rPr>
        <w:t>Table</w:t>
      </w:r>
      <w:r w:rsidR="007E011B">
        <w:rPr>
          <w:rFonts w:ascii="Arial" w:hAnsi="Arial" w:cs="Arial"/>
          <w:sz w:val="24"/>
          <w:szCs w:val="24"/>
          <w:lang w:val="en-US"/>
        </w:rPr>
        <w:t>s</w:t>
      </w:r>
      <w:r w:rsidRPr="00E262E0">
        <w:rPr>
          <w:rFonts w:ascii="Arial" w:hAnsi="Arial" w:cs="Arial"/>
          <w:sz w:val="24"/>
          <w:szCs w:val="24"/>
          <w:lang w:val="en-US"/>
        </w:rPr>
        <w:t xml:space="preserve">: </w:t>
      </w:r>
      <w:r w:rsidR="007E011B">
        <w:rPr>
          <w:rFonts w:ascii="Arial" w:hAnsi="Arial" w:cs="Arial"/>
          <w:sz w:val="24"/>
          <w:szCs w:val="24"/>
          <w:lang w:val="en-US"/>
        </w:rPr>
        <w:t>2</w:t>
      </w:r>
    </w:p>
    <w:p w14:paraId="1F180BAF" w14:textId="19A3A0AC" w:rsidR="006B4EB6" w:rsidRPr="00E262E0" w:rsidRDefault="006B4EB6" w:rsidP="00AF0007">
      <w:pPr>
        <w:spacing w:after="0" w:line="360" w:lineRule="auto"/>
        <w:rPr>
          <w:rFonts w:ascii="Arial" w:hAnsi="Arial" w:cs="Arial"/>
          <w:sz w:val="24"/>
          <w:szCs w:val="24"/>
          <w:lang w:val="en-US"/>
        </w:rPr>
      </w:pPr>
      <w:r w:rsidRPr="00E262E0">
        <w:rPr>
          <w:rFonts w:ascii="Arial" w:hAnsi="Arial" w:cs="Arial"/>
          <w:sz w:val="24"/>
          <w:szCs w:val="24"/>
          <w:lang w:val="en-US"/>
        </w:rPr>
        <w:lastRenderedPageBreak/>
        <w:t>Figures:</w:t>
      </w:r>
      <w:r w:rsidR="009C15BA" w:rsidRPr="00E262E0">
        <w:rPr>
          <w:rFonts w:ascii="Arial" w:hAnsi="Arial" w:cs="Arial"/>
          <w:sz w:val="24"/>
          <w:szCs w:val="24"/>
          <w:lang w:val="en-US"/>
        </w:rPr>
        <w:t>3</w:t>
      </w:r>
    </w:p>
    <w:p w14:paraId="46722A49" w14:textId="77777777" w:rsidR="00023EA6" w:rsidRPr="00E262E0" w:rsidRDefault="00023EA6" w:rsidP="00AF0007">
      <w:pPr>
        <w:spacing w:after="0" w:line="360" w:lineRule="auto"/>
        <w:rPr>
          <w:rFonts w:ascii="Arial" w:hAnsi="Arial" w:cs="Arial"/>
          <w:sz w:val="24"/>
          <w:szCs w:val="24"/>
          <w:lang w:val="en-US"/>
        </w:rPr>
      </w:pPr>
    </w:p>
    <w:p w14:paraId="52A1D0D0" w14:textId="17CA6A86" w:rsidR="00AE5FB4" w:rsidRPr="00E262E0" w:rsidRDefault="00AE5FB4" w:rsidP="00AF0007">
      <w:pPr>
        <w:spacing w:after="0" w:line="360" w:lineRule="auto"/>
        <w:rPr>
          <w:rFonts w:ascii="Arial" w:hAnsi="Arial" w:cs="Arial"/>
          <w:b/>
          <w:bCs/>
          <w:sz w:val="24"/>
          <w:szCs w:val="24"/>
          <w:lang w:val="en-US"/>
        </w:rPr>
      </w:pPr>
      <w:r w:rsidRPr="00E262E0">
        <w:rPr>
          <w:rFonts w:ascii="Arial" w:hAnsi="Arial" w:cs="Arial"/>
          <w:b/>
          <w:bCs/>
          <w:sz w:val="24"/>
          <w:szCs w:val="24"/>
          <w:lang w:val="en-US"/>
        </w:rPr>
        <w:t>Abstract</w:t>
      </w:r>
    </w:p>
    <w:p w14:paraId="06C0FEE1" w14:textId="77777777" w:rsidR="0009083E" w:rsidRPr="00E262E0" w:rsidRDefault="0009083E" w:rsidP="00AF0007">
      <w:pPr>
        <w:spacing w:after="0" w:line="360" w:lineRule="auto"/>
        <w:rPr>
          <w:rFonts w:ascii="Arial" w:hAnsi="Arial" w:cs="Arial"/>
          <w:sz w:val="24"/>
          <w:szCs w:val="24"/>
          <w:lang w:val="en-US"/>
        </w:rPr>
      </w:pPr>
    </w:p>
    <w:p w14:paraId="239F98CB" w14:textId="1AD0B59B" w:rsidR="00FF0890" w:rsidRPr="00E262E0" w:rsidRDefault="00FF0890" w:rsidP="00FE687D">
      <w:pPr>
        <w:spacing w:after="0" w:line="480" w:lineRule="auto"/>
        <w:jc w:val="both"/>
        <w:rPr>
          <w:rFonts w:ascii="Arial" w:hAnsi="Arial" w:cs="Arial"/>
          <w:sz w:val="24"/>
          <w:szCs w:val="24"/>
          <w:lang w:val="en-US"/>
        </w:rPr>
      </w:pPr>
      <w:r w:rsidRPr="00E262E0">
        <w:rPr>
          <w:rFonts w:ascii="Arial" w:hAnsi="Arial" w:cs="Arial"/>
          <w:i/>
          <w:iCs/>
          <w:sz w:val="24"/>
          <w:szCs w:val="24"/>
          <w:lang w:val="en-US"/>
        </w:rPr>
        <w:t>Objective.</w:t>
      </w:r>
      <w:r w:rsidRPr="00E262E0">
        <w:rPr>
          <w:rFonts w:ascii="Arial" w:hAnsi="Arial" w:cs="Arial"/>
          <w:sz w:val="24"/>
          <w:szCs w:val="24"/>
          <w:lang w:val="en-US"/>
        </w:rPr>
        <w:t xml:space="preserve"> </w:t>
      </w:r>
      <w:r w:rsidR="002D2AE7" w:rsidRPr="00E262E0">
        <w:rPr>
          <w:rFonts w:ascii="Arial" w:hAnsi="Arial" w:cs="Arial"/>
          <w:sz w:val="24"/>
          <w:szCs w:val="24"/>
          <w:lang w:val="en-US"/>
        </w:rPr>
        <w:t xml:space="preserve">To </w:t>
      </w:r>
      <w:r w:rsidRPr="00E262E0">
        <w:rPr>
          <w:rFonts w:ascii="Arial" w:hAnsi="Arial" w:cs="Arial"/>
          <w:sz w:val="24"/>
          <w:szCs w:val="24"/>
          <w:lang w:val="en-US"/>
        </w:rPr>
        <w:t xml:space="preserve">stratify the progression </w:t>
      </w:r>
      <w:r w:rsidR="002A42D7">
        <w:rPr>
          <w:rFonts w:ascii="Arial" w:hAnsi="Arial" w:cs="Arial"/>
          <w:sz w:val="24"/>
          <w:szCs w:val="24"/>
          <w:lang w:val="en-US"/>
        </w:rPr>
        <w:t xml:space="preserve">rate </w:t>
      </w:r>
      <w:r w:rsidRPr="00E262E0">
        <w:rPr>
          <w:rFonts w:ascii="Arial" w:hAnsi="Arial" w:cs="Arial"/>
          <w:sz w:val="24"/>
          <w:szCs w:val="24"/>
          <w:lang w:val="en-US"/>
        </w:rPr>
        <w:t>to clinical stage 3 type 1 diabetes in children</w:t>
      </w:r>
      <w:r w:rsidR="00DB486E" w:rsidRPr="00E262E0">
        <w:rPr>
          <w:rFonts w:ascii="Arial" w:hAnsi="Arial" w:cs="Arial"/>
          <w:sz w:val="24"/>
          <w:szCs w:val="24"/>
          <w:lang w:val="en-US"/>
        </w:rPr>
        <w:t xml:space="preserve"> </w:t>
      </w:r>
      <w:r w:rsidR="002D2AE7" w:rsidRPr="00E262E0">
        <w:rPr>
          <w:rFonts w:ascii="Arial" w:hAnsi="Arial" w:cs="Arial"/>
          <w:sz w:val="24"/>
          <w:szCs w:val="24"/>
          <w:lang w:val="en-US"/>
        </w:rPr>
        <w:t>with early-stage disease</w:t>
      </w:r>
      <w:r w:rsidRPr="00E262E0">
        <w:rPr>
          <w:rFonts w:ascii="Arial" w:hAnsi="Arial" w:cs="Arial"/>
          <w:sz w:val="24"/>
          <w:szCs w:val="24"/>
          <w:lang w:val="en-US"/>
        </w:rPr>
        <w:t>.</w:t>
      </w:r>
    </w:p>
    <w:p w14:paraId="3CB55772" w14:textId="70A76717" w:rsidR="00FF0890" w:rsidRPr="00E262E0" w:rsidRDefault="00FF0890" w:rsidP="00FE687D">
      <w:pPr>
        <w:spacing w:after="0" w:line="480" w:lineRule="auto"/>
        <w:jc w:val="both"/>
        <w:rPr>
          <w:rFonts w:ascii="Arial" w:hAnsi="Arial" w:cs="Arial"/>
          <w:sz w:val="24"/>
          <w:szCs w:val="24"/>
          <w:lang w:val="en-US"/>
        </w:rPr>
      </w:pPr>
      <w:r w:rsidRPr="00E262E0">
        <w:rPr>
          <w:rFonts w:ascii="Arial" w:hAnsi="Arial" w:cs="Arial"/>
          <w:i/>
          <w:iCs/>
          <w:sz w:val="24"/>
          <w:szCs w:val="24"/>
          <w:lang w:val="en-US"/>
        </w:rPr>
        <w:t>Research Design and Methods.</w:t>
      </w:r>
      <w:r w:rsidRPr="00E262E0">
        <w:rPr>
          <w:rFonts w:ascii="Arial" w:hAnsi="Arial" w:cs="Arial"/>
          <w:sz w:val="24"/>
          <w:szCs w:val="24"/>
          <w:lang w:val="en-US"/>
        </w:rPr>
        <w:t xml:space="preserve"> </w:t>
      </w:r>
      <w:r w:rsidR="009A0EA5" w:rsidRPr="00E262E0">
        <w:rPr>
          <w:rFonts w:ascii="Arial" w:hAnsi="Arial" w:cs="Arial"/>
          <w:sz w:val="24"/>
          <w:szCs w:val="24"/>
          <w:lang w:val="en-US"/>
        </w:rPr>
        <w:t>T</w:t>
      </w:r>
      <w:r w:rsidRPr="00E262E0">
        <w:rPr>
          <w:rFonts w:ascii="Arial" w:hAnsi="Arial" w:cs="Arial"/>
          <w:sz w:val="24"/>
          <w:szCs w:val="24"/>
          <w:lang w:val="en-US"/>
        </w:rPr>
        <w:t xml:space="preserve">he Fr1da study tested 211,464 children aged 1.75 to 10 years for islet autoantibodies. Children with early-stage type 1 diabetes were classified as stage 1 or stage 2 by oral glucose tolerance test (OGTT) and HbA1c </w:t>
      </w:r>
      <w:r w:rsidR="009A0EA5" w:rsidRPr="00E262E0">
        <w:rPr>
          <w:rFonts w:ascii="Arial" w:hAnsi="Arial" w:cs="Arial"/>
          <w:sz w:val="24"/>
          <w:szCs w:val="24"/>
          <w:lang w:val="en-US"/>
        </w:rPr>
        <w:t>using</w:t>
      </w:r>
      <w:r w:rsidRPr="00E262E0">
        <w:rPr>
          <w:rFonts w:ascii="Arial" w:hAnsi="Arial" w:cs="Arial"/>
          <w:sz w:val="24"/>
          <w:szCs w:val="24"/>
          <w:lang w:val="en-US"/>
        </w:rPr>
        <w:t xml:space="preserve"> current ADA criteria</w:t>
      </w:r>
      <w:r w:rsidR="002D2AE7" w:rsidRPr="00E262E0">
        <w:rPr>
          <w:rFonts w:ascii="Arial" w:hAnsi="Arial" w:cs="Arial"/>
          <w:sz w:val="24"/>
          <w:szCs w:val="24"/>
          <w:lang w:val="en-US"/>
        </w:rPr>
        <w:t xml:space="preserve"> and were followed 3 to 6-monthly. </w:t>
      </w:r>
      <w:r w:rsidRPr="00E262E0">
        <w:rPr>
          <w:rFonts w:ascii="Arial" w:hAnsi="Arial" w:cs="Arial"/>
          <w:sz w:val="24"/>
          <w:szCs w:val="24"/>
          <w:lang w:val="en-US"/>
        </w:rPr>
        <w:t>We applied our previously developed progression-likelihood score (PLS)</w:t>
      </w:r>
      <w:r w:rsidR="002D2AE7" w:rsidRPr="00E262E0">
        <w:rPr>
          <w:rFonts w:ascii="Arial" w:hAnsi="Arial" w:cs="Arial"/>
          <w:sz w:val="24"/>
          <w:szCs w:val="24"/>
          <w:lang w:val="en-US"/>
        </w:rPr>
        <w:t xml:space="preserve">, </w:t>
      </w:r>
      <w:r w:rsidRPr="00E262E0">
        <w:rPr>
          <w:rFonts w:ascii="Arial" w:hAnsi="Arial" w:cs="Arial"/>
          <w:sz w:val="24"/>
          <w:szCs w:val="24"/>
          <w:lang w:val="en-US"/>
        </w:rPr>
        <w:t xml:space="preserve">a composite of HbA1c, 90-minute </w:t>
      </w:r>
      <w:r w:rsidR="002D2AE7" w:rsidRPr="00E262E0">
        <w:rPr>
          <w:rFonts w:ascii="Arial" w:hAnsi="Arial" w:cs="Arial"/>
          <w:sz w:val="24"/>
          <w:szCs w:val="24"/>
          <w:lang w:val="en-US"/>
        </w:rPr>
        <w:t xml:space="preserve">OGTT </w:t>
      </w:r>
      <w:r w:rsidRPr="00E262E0">
        <w:rPr>
          <w:rFonts w:ascii="Arial" w:hAnsi="Arial" w:cs="Arial"/>
          <w:sz w:val="24"/>
          <w:szCs w:val="24"/>
          <w:lang w:val="en-US"/>
        </w:rPr>
        <w:t>glucose, and IA-2A titer</w:t>
      </w:r>
      <w:r w:rsidR="002D2AE7" w:rsidRPr="00E262E0">
        <w:rPr>
          <w:rFonts w:ascii="Arial" w:hAnsi="Arial" w:cs="Arial"/>
          <w:sz w:val="24"/>
          <w:szCs w:val="24"/>
          <w:lang w:val="en-US"/>
        </w:rPr>
        <w:t>,</w:t>
      </w:r>
      <w:r w:rsidR="00110562" w:rsidRPr="00E262E0">
        <w:rPr>
          <w:rFonts w:ascii="Arial" w:hAnsi="Arial" w:cs="Arial"/>
          <w:sz w:val="24"/>
          <w:szCs w:val="24"/>
          <w:lang w:val="en-US"/>
        </w:rPr>
        <w:t xml:space="preserve"> and developed a non-OGTT-based score </w:t>
      </w:r>
      <w:r w:rsidR="00DB486E" w:rsidRPr="00E262E0">
        <w:rPr>
          <w:rFonts w:ascii="Arial" w:hAnsi="Arial" w:cs="Arial"/>
          <w:sz w:val="24"/>
          <w:szCs w:val="24"/>
          <w:lang w:val="en-US"/>
        </w:rPr>
        <w:t xml:space="preserve">using multivariable Cox proportional hazards models </w:t>
      </w:r>
      <w:r w:rsidRPr="00E262E0">
        <w:rPr>
          <w:rFonts w:ascii="Arial" w:hAnsi="Arial" w:cs="Arial"/>
          <w:sz w:val="24"/>
          <w:szCs w:val="24"/>
          <w:lang w:val="en-US"/>
        </w:rPr>
        <w:t xml:space="preserve">to stratify progression </w:t>
      </w:r>
      <w:r w:rsidR="00787782">
        <w:rPr>
          <w:rFonts w:ascii="Arial" w:hAnsi="Arial" w:cs="Arial"/>
          <w:sz w:val="24"/>
          <w:szCs w:val="24"/>
          <w:lang w:val="en-US"/>
        </w:rPr>
        <w:t xml:space="preserve">rates </w:t>
      </w:r>
      <w:r w:rsidRPr="00E262E0">
        <w:rPr>
          <w:rFonts w:ascii="Arial" w:hAnsi="Arial" w:cs="Arial"/>
          <w:sz w:val="24"/>
          <w:szCs w:val="24"/>
          <w:lang w:val="en-US"/>
        </w:rPr>
        <w:t xml:space="preserve">to stage 3. </w:t>
      </w:r>
    </w:p>
    <w:p w14:paraId="13E896FE" w14:textId="5EDCD3AF" w:rsidR="00FF0890" w:rsidRPr="00E262E0" w:rsidRDefault="00FF0890" w:rsidP="00FE687D">
      <w:pPr>
        <w:spacing w:after="0" w:line="480" w:lineRule="auto"/>
        <w:jc w:val="both"/>
        <w:rPr>
          <w:rFonts w:ascii="Arial" w:hAnsi="Arial" w:cs="Arial"/>
          <w:sz w:val="24"/>
          <w:szCs w:val="24"/>
          <w:lang w:val="en-US"/>
        </w:rPr>
      </w:pPr>
      <w:r w:rsidRPr="00E262E0">
        <w:rPr>
          <w:rFonts w:ascii="Arial" w:hAnsi="Arial" w:cs="Arial"/>
          <w:i/>
          <w:iCs/>
          <w:sz w:val="24"/>
          <w:szCs w:val="24"/>
          <w:lang w:val="en-US"/>
        </w:rPr>
        <w:t>Results.</w:t>
      </w:r>
      <w:r w:rsidRPr="00E262E0">
        <w:rPr>
          <w:rFonts w:ascii="Arial" w:hAnsi="Arial" w:cs="Arial"/>
          <w:sz w:val="24"/>
          <w:szCs w:val="24"/>
          <w:lang w:val="en-US"/>
        </w:rPr>
        <w:t xml:space="preserve"> Of 485 children who participated in staging, 360 (74.2%) were diagnosed with stage 1</w:t>
      </w:r>
      <w:r w:rsidR="00A30725">
        <w:rPr>
          <w:rFonts w:ascii="Arial" w:hAnsi="Arial" w:cs="Arial"/>
          <w:sz w:val="24"/>
          <w:szCs w:val="24"/>
          <w:lang w:val="en-US"/>
        </w:rPr>
        <w:t xml:space="preserve">. Of these, </w:t>
      </w:r>
      <w:r w:rsidRPr="00E262E0">
        <w:rPr>
          <w:rFonts w:ascii="Arial" w:hAnsi="Arial" w:cs="Arial"/>
          <w:sz w:val="24"/>
          <w:szCs w:val="24"/>
          <w:lang w:val="en-US"/>
        </w:rPr>
        <w:t xml:space="preserve">105 developed stage 3 </w:t>
      </w:r>
      <w:r w:rsidR="00347DED">
        <w:rPr>
          <w:rFonts w:ascii="Arial" w:hAnsi="Arial" w:cs="Arial"/>
          <w:sz w:val="24"/>
          <w:szCs w:val="24"/>
          <w:lang w:val="en-US"/>
        </w:rPr>
        <w:t>(</w:t>
      </w:r>
      <w:r w:rsidR="00A30725">
        <w:rPr>
          <w:rFonts w:ascii="Arial" w:hAnsi="Arial" w:cs="Arial"/>
          <w:sz w:val="24"/>
          <w:szCs w:val="24"/>
          <w:lang w:val="en-US"/>
        </w:rPr>
        <w:t xml:space="preserve">median follow-up </w:t>
      </w:r>
      <w:r w:rsidR="001D4FA7">
        <w:rPr>
          <w:rFonts w:ascii="Arial" w:hAnsi="Arial" w:cs="Arial"/>
          <w:sz w:val="24"/>
          <w:szCs w:val="24"/>
          <w:lang w:val="en-US"/>
        </w:rPr>
        <w:t>3</w:t>
      </w:r>
      <w:r w:rsidR="00A30725">
        <w:rPr>
          <w:rFonts w:ascii="Arial" w:hAnsi="Arial" w:cs="Arial"/>
          <w:sz w:val="24"/>
          <w:szCs w:val="24"/>
          <w:lang w:val="en-US"/>
        </w:rPr>
        <w:t>.</w:t>
      </w:r>
      <w:r w:rsidR="001D4FA7">
        <w:rPr>
          <w:rFonts w:ascii="Arial" w:hAnsi="Arial" w:cs="Arial"/>
          <w:sz w:val="24"/>
          <w:szCs w:val="24"/>
          <w:lang w:val="en-US"/>
        </w:rPr>
        <w:t>3</w:t>
      </w:r>
      <w:r w:rsidR="00A30725">
        <w:rPr>
          <w:rFonts w:ascii="Arial" w:hAnsi="Arial" w:cs="Arial"/>
          <w:sz w:val="24"/>
          <w:szCs w:val="24"/>
          <w:lang w:val="en-US"/>
        </w:rPr>
        <w:t xml:space="preserve"> years</w:t>
      </w:r>
      <w:r w:rsidR="00347DED">
        <w:rPr>
          <w:rFonts w:ascii="Arial" w:hAnsi="Arial" w:cs="Arial"/>
          <w:sz w:val="24"/>
          <w:szCs w:val="24"/>
          <w:lang w:val="en-US"/>
        </w:rPr>
        <w:t>)</w:t>
      </w:r>
      <w:r w:rsidR="00DF529B">
        <w:rPr>
          <w:rFonts w:ascii="Arial" w:hAnsi="Arial" w:cs="Arial"/>
          <w:sz w:val="24"/>
          <w:szCs w:val="24"/>
          <w:lang w:val="en-US"/>
        </w:rPr>
        <w:t>.</w:t>
      </w:r>
      <w:r w:rsidRPr="00E262E0">
        <w:rPr>
          <w:rFonts w:ascii="Arial" w:hAnsi="Arial" w:cs="Arial"/>
          <w:sz w:val="24"/>
          <w:szCs w:val="24"/>
          <w:lang w:val="en-US"/>
        </w:rPr>
        <w:t xml:space="preserve"> </w:t>
      </w:r>
      <w:r w:rsidR="00392047" w:rsidRPr="00E262E0">
        <w:rPr>
          <w:rFonts w:ascii="Arial" w:hAnsi="Arial" w:cs="Arial"/>
          <w:sz w:val="24"/>
          <w:szCs w:val="24"/>
          <w:lang w:val="en-US"/>
        </w:rPr>
        <w:t xml:space="preserve">PLS stratified the 2-year risk </w:t>
      </w:r>
      <w:r w:rsidR="002D2AE7" w:rsidRPr="00E262E0">
        <w:rPr>
          <w:rFonts w:ascii="Arial" w:hAnsi="Arial" w:cs="Arial"/>
          <w:sz w:val="24"/>
          <w:szCs w:val="24"/>
          <w:lang w:val="en-US"/>
        </w:rPr>
        <w:t>for</w:t>
      </w:r>
      <w:r w:rsidR="00392047" w:rsidRPr="00E262E0">
        <w:rPr>
          <w:rFonts w:ascii="Arial" w:hAnsi="Arial" w:cs="Arial"/>
          <w:sz w:val="24"/>
          <w:szCs w:val="24"/>
          <w:lang w:val="en-US"/>
        </w:rPr>
        <w:t xml:space="preserve"> stage 3 from 43.7% (95% CI: 24.3</w:t>
      </w:r>
      <w:r w:rsidR="007F7F32">
        <w:rPr>
          <w:rFonts w:ascii="Arial" w:hAnsi="Arial" w:cs="Arial"/>
          <w:sz w:val="24"/>
          <w:szCs w:val="24"/>
          <w:lang w:val="en-US"/>
        </w:rPr>
        <w:t>-</w:t>
      </w:r>
      <w:r w:rsidR="00392047" w:rsidRPr="00E262E0">
        <w:rPr>
          <w:rFonts w:ascii="Arial" w:hAnsi="Arial" w:cs="Arial"/>
          <w:sz w:val="24"/>
          <w:szCs w:val="24"/>
          <w:lang w:val="en-US"/>
        </w:rPr>
        <w:t>58.1) in children with high PLS to 4.7% (1.7</w:t>
      </w:r>
      <w:r w:rsidR="000E5AE3">
        <w:rPr>
          <w:rFonts w:ascii="Arial" w:hAnsi="Arial" w:cs="Arial"/>
          <w:sz w:val="24"/>
          <w:szCs w:val="24"/>
          <w:lang w:val="en-US"/>
        </w:rPr>
        <w:t>-</w:t>
      </w:r>
      <w:r w:rsidR="00392047" w:rsidRPr="00E262E0">
        <w:rPr>
          <w:rFonts w:ascii="Arial" w:hAnsi="Arial" w:cs="Arial"/>
          <w:sz w:val="24"/>
          <w:szCs w:val="24"/>
          <w:lang w:val="en-US"/>
        </w:rPr>
        <w:t xml:space="preserve">7.7) and 0% in those with intermediate or low PLS. Adding </w:t>
      </w:r>
      <w:r w:rsidR="002D2AE7" w:rsidRPr="00E262E0">
        <w:rPr>
          <w:rFonts w:ascii="Arial" w:hAnsi="Arial" w:cs="Arial"/>
          <w:sz w:val="24"/>
          <w:szCs w:val="24"/>
          <w:lang w:val="en-US"/>
        </w:rPr>
        <w:t xml:space="preserve">the variable </w:t>
      </w:r>
      <w:r w:rsidR="00392047" w:rsidRPr="00E262E0">
        <w:rPr>
          <w:rFonts w:ascii="Arial" w:hAnsi="Arial" w:cs="Arial"/>
          <w:sz w:val="24"/>
          <w:szCs w:val="24"/>
          <w:lang w:val="en-US"/>
        </w:rPr>
        <w:t xml:space="preserve">obesity improved the existing model. In children with stage 2 with a single dysglycemic abnormality, </w:t>
      </w:r>
      <w:r w:rsidR="002D2AE7" w:rsidRPr="00E262E0">
        <w:rPr>
          <w:rFonts w:ascii="Arial" w:hAnsi="Arial" w:cs="Arial"/>
          <w:sz w:val="24"/>
          <w:szCs w:val="24"/>
          <w:lang w:val="en-US"/>
        </w:rPr>
        <w:t xml:space="preserve">PLS could stratify </w:t>
      </w:r>
      <w:r w:rsidR="00392047" w:rsidRPr="00E262E0">
        <w:rPr>
          <w:rFonts w:ascii="Arial" w:hAnsi="Arial" w:cs="Arial"/>
          <w:sz w:val="24"/>
          <w:szCs w:val="24"/>
          <w:lang w:val="en-US"/>
        </w:rPr>
        <w:t xml:space="preserve">2-year risk </w:t>
      </w:r>
      <w:r w:rsidR="002D2AE7" w:rsidRPr="00E262E0">
        <w:rPr>
          <w:rFonts w:ascii="Arial" w:hAnsi="Arial" w:cs="Arial"/>
          <w:sz w:val="24"/>
          <w:szCs w:val="24"/>
          <w:lang w:val="en-US"/>
        </w:rPr>
        <w:t>for</w:t>
      </w:r>
      <w:r w:rsidR="00392047" w:rsidRPr="00E262E0">
        <w:rPr>
          <w:rFonts w:ascii="Arial" w:hAnsi="Arial" w:cs="Arial"/>
          <w:sz w:val="24"/>
          <w:szCs w:val="24"/>
          <w:lang w:val="en-US"/>
        </w:rPr>
        <w:t xml:space="preserve"> stage 3 from </w:t>
      </w:r>
      <w:r w:rsidR="00AE6058" w:rsidRPr="00E262E0">
        <w:rPr>
          <w:rFonts w:ascii="Arial" w:hAnsi="Arial" w:cs="Arial"/>
          <w:sz w:val="24"/>
          <w:szCs w:val="24"/>
          <w:lang w:val="en-US"/>
        </w:rPr>
        <w:t>42.4% (22.8</w:t>
      </w:r>
      <w:r w:rsidR="000E5AE3">
        <w:rPr>
          <w:rFonts w:ascii="Arial" w:hAnsi="Arial" w:cs="Arial"/>
          <w:sz w:val="24"/>
          <w:szCs w:val="24"/>
          <w:lang w:val="en-US"/>
        </w:rPr>
        <w:t>-</w:t>
      </w:r>
      <w:r w:rsidR="00AE6058" w:rsidRPr="00E262E0">
        <w:rPr>
          <w:rFonts w:ascii="Arial" w:hAnsi="Arial" w:cs="Arial"/>
          <w:sz w:val="24"/>
          <w:szCs w:val="24"/>
          <w:lang w:val="en-US"/>
        </w:rPr>
        <w:t>57.0)</w:t>
      </w:r>
      <w:r w:rsidR="00392047" w:rsidRPr="00E262E0">
        <w:rPr>
          <w:rFonts w:ascii="Arial" w:hAnsi="Arial" w:cs="Arial"/>
          <w:sz w:val="24"/>
          <w:szCs w:val="24"/>
          <w:lang w:val="en-US"/>
        </w:rPr>
        <w:t xml:space="preserve"> to </w:t>
      </w:r>
      <w:r w:rsidR="00AE6058" w:rsidRPr="00E262E0">
        <w:rPr>
          <w:rFonts w:ascii="Arial" w:hAnsi="Arial" w:cs="Arial"/>
          <w:sz w:val="24"/>
          <w:szCs w:val="24"/>
          <w:lang w:val="en-US"/>
        </w:rPr>
        <w:t>5.6% (0.0</w:t>
      </w:r>
      <w:r w:rsidR="000E5AE3">
        <w:rPr>
          <w:rFonts w:ascii="Arial" w:hAnsi="Arial" w:cs="Arial"/>
          <w:sz w:val="24"/>
          <w:szCs w:val="24"/>
          <w:lang w:val="en-US"/>
        </w:rPr>
        <w:t>-</w:t>
      </w:r>
      <w:r w:rsidR="00AE6058" w:rsidRPr="00E262E0">
        <w:rPr>
          <w:rFonts w:ascii="Arial" w:hAnsi="Arial" w:cs="Arial"/>
          <w:sz w:val="24"/>
          <w:szCs w:val="24"/>
          <w:lang w:val="en-US"/>
        </w:rPr>
        <w:t>15.6)</w:t>
      </w:r>
      <w:r w:rsidR="00392047" w:rsidRPr="00E262E0">
        <w:rPr>
          <w:rFonts w:ascii="Arial" w:hAnsi="Arial" w:cs="Arial"/>
          <w:sz w:val="24"/>
          <w:szCs w:val="24"/>
          <w:lang w:val="en-US"/>
        </w:rPr>
        <w:t xml:space="preserve">. A </w:t>
      </w:r>
      <w:r w:rsidR="002D2AE7" w:rsidRPr="00E262E0">
        <w:rPr>
          <w:rFonts w:ascii="Arial" w:hAnsi="Arial" w:cs="Arial"/>
          <w:sz w:val="24"/>
          <w:szCs w:val="24"/>
          <w:lang w:val="en-US"/>
        </w:rPr>
        <w:t xml:space="preserve">non-OGTT-based score based on </w:t>
      </w:r>
      <w:r w:rsidR="00392047" w:rsidRPr="00E262E0">
        <w:rPr>
          <w:rFonts w:ascii="Arial" w:hAnsi="Arial" w:cs="Arial"/>
          <w:sz w:val="24"/>
          <w:szCs w:val="24"/>
          <w:lang w:val="en-US"/>
        </w:rPr>
        <w:t xml:space="preserve">IA-2A titer categories, HbA1c, obesity, and autoantibody positivity for </w:t>
      </w:r>
      <w:r w:rsidR="002D2AE7" w:rsidRPr="00E262E0">
        <w:rPr>
          <w:rFonts w:ascii="Arial" w:hAnsi="Arial" w:cs="Arial"/>
          <w:sz w:val="24"/>
          <w:szCs w:val="24"/>
          <w:lang w:val="en-US"/>
        </w:rPr>
        <w:t xml:space="preserve">IA-2 juxtamembrane </w:t>
      </w:r>
      <w:r w:rsidR="00392047" w:rsidRPr="00E262E0">
        <w:rPr>
          <w:rFonts w:ascii="Arial" w:hAnsi="Arial" w:cs="Arial"/>
          <w:sz w:val="24"/>
          <w:szCs w:val="24"/>
          <w:lang w:val="en-US"/>
        </w:rPr>
        <w:t>epitopes could identify individuals with low (</w:t>
      </w:r>
      <w:r w:rsidR="00176783">
        <w:rPr>
          <w:rFonts w:ascii="Arial" w:hAnsi="Arial" w:cs="Arial"/>
          <w:sz w:val="24"/>
          <w:szCs w:val="24"/>
          <w:lang w:val="en-US"/>
        </w:rPr>
        <w:t>1.7</w:t>
      </w:r>
      <w:r w:rsidR="00392047" w:rsidRPr="00E262E0">
        <w:rPr>
          <w:rFonts w:ascii="Arial" w:hAnsi="Arial" w:cs="Arial"/>
          <w:sz w:val="24"/>
          <w:szCs w:val="24"/>
          <w:lang w:val="en-US"/>
        </w:rPr>
        <w:t>%) and moderate (</w:t>
      </w:r>
      <w:r w:rsidR="00176783">
        <w:rPr>
          <w:rFonts w:ascii="Arial" w:hAnsi="Arial" w:cs="Arial"/>
          <w:sz w:val="24"/>
          <w:szCs w:val="24"/>
          <w:lang w:val="en-US"/>
        </w:rPr>
        <w:t>24.6</w:t>
      </w:r>
      <w:r w:rsidR="00392047" w:rsidRPr="00E262E0">
        <w:rPr>
          <w:rFonts w:ascii="Arial" w:hAnsi="Arial" w:cs="Arial"/>
          <w:sz w:val="24"/>
          <w:szCs w:val="24"/>
          <w:lang w:val="en-US"/>
        </w:rPr>
        <w:t>%) 2-year risk.</w:t>
      </w:r>
    </w:p>
    <w:p w14:paraId="5A447FA8" w14:textId="0A878230" w:rsidR="001D28F1" w:rsidRPr="00E262E0" w:rsidRDefault="00FF0890" w:rsidP="00FE687D">
      <w:pPr>
        <w:spacing w:after="0" w:line="480" w:lineRule="auto"/>
        <w:jc w:val="both"/>
        <w:rPr>
          <w:rFonts w:ascii="Arial" w:hAnsi="Arial" w:cs="Arial"/>
          <w:sz w:val="24"/>
          <w:szCs w:val="24"/>
          <w:lang w:val="en-US"/>
        </w:rPr>
      </w:pPr>
      <w:r w:rsidRPr="00E262E0">
        <w:rPr>
          <w:rFonts w:ascii="Arial" w:hAnsi="Arial" w:cs="Arial"/>
          <w:i/>
          <w:iCs/>
          <w:sz w:val="24"/>
          <w:szCs w:val="24"/>
          <w:lang w:val="en-US"/>
        </w:rPr>
        <w:t>Conclusions.</w:t>
      </w:r>
      <w:r w:rsidRPr="00E262E0">
        <w:rPr>
          <w:rFonts w:ascii="Arial" w:hAnsi="Arial" w:cs="Arial"/>
          <w:sz w:val="24"/>
          <w:szCs w:val="24"/>
          <w:lang w:val="en-US"/>
        </w:rPr>
        <w:t xml:space="preserve"> </w:t>
      </w:r>
      <w:r w:rsidR="00392047" w:rsidRPr="00E262E0">
        <w:rPr>
          <w:rFonts w:ascii="Arial" w:hAnsi="Arial" w:cs="Arial"/>
          <w:sz w:val="24"/>
          <w:szCs w:val="24"/>
          <w:lang w:val="en-US"/>
        </w:rPr>
        <w:t xml:space="preserve">The PLS </w:t>
      </w:r>
      <w:r w:rsidR="00DB486E" w:rsidRPr="00E262E0">
        <w:rPr>
          <w:rFonts w:ascii="Arial" w:hAnsi="Arial" w:cs="Arial"/>
          <w:sz w:val="24"/>
          <w:szCs w:val="24"/>
          <w:lang w:val="en-US"/>
        </w:rPr>
        <w:t xml:space="preserve">and a novel non-OGTT-based </w:t>
      </w:r>
      <w:r w:rsidR="002D2AE7" w:rsidRPr="00E262E0">
        <w:rPr>
          <w:rFonts w:ascii="Arial" w:hAnsi="Arial" w:cs="Arial"/>
          <w:sz w:val="24"/>
          <w:szCs w:val="24"/>
          <w:lang w:val="en-US"/>
        </w:rPr>
        <w:t>score</w:t>
      </w:r>
      <w:r w:rsidR="00DB486E" w:rsidRPr="00E262E0">
        <w:rPr>
          <w:rFonts w:ascii="Arial" w:hAnsi="Arial" w:cs="Arial"/>
          <w:sz w:val="24"/>
          <w:szCs w:val="24"/>
          <w:lang w:val="en-US"/>
        </w:rPr>
        <w:t xml:space="preserve"> </w:t>
      </w:r>
      <w:r w:rsidR="00392047" w:rsidRPr="00E262E0">
        <w:rPr>
          <w:rFonts w:ascii="Arial" w:hAnsi="Arial" w:cs="Arial"/>
          <w:sz w:val="24"/>
          <w:szCs w:val="24"/>
          <w:lang w:val="en-US"/>
        </w:rPr>
        <w:t xml:space="preserve">can </w:t>
      </w:r>
      <w:r w:rsidR="00BE3BCE" w:rsidRPr="00E262E0">
        <w:rPr>
          <w:rFonts w:ascii="Arial" w:hAnsi="Arial" w:cs="Arial"/>
          <w:sz w:val="24"/>
          <w:szCs w:val="24"/>
          <w:lang w:val="en-US"/>
        </w:rPr>
        <w:t>stratify</w:t>
      </w:r>
      <w:r w:rsidR="00392047" w:rsidRPr="00E262E0">
        <w:rPr>
          <w:rFonts w:ascii="Arial" w:hAnsi="Arial" w:cs="Arial"/>
          <w:sz w:val="24"/>
          <w:szCs w:val="24"/>
          <w:lang w:val="en-US"/>
        </w:rPr>
        <w:t xml:space="preserve"> the short- to medium-term progression </w:t>
      </w:r>
      <w:r w:rsidR="00240EBB">
        <w:rPr>
          <w:rFonts w:ascii="Arial" w:hAnsi="Arial" w:cs="Arial"/>
          <w:sz w:val="24"/>
          <w:szCs w:val="24"/>
          <w:lang w:val="en-US"/>
        </w:rPr>
        <w:t xml:space="preserve">rates </w:t>
      </w:r>
      <w:r w:rsidR="00392047" w:rsidRPr="00E262E0">
        <w:rPr>
          <w:rFonts w:ascii="Arial" w:hAnsi="Arial" w:cs="Arial"/>
          <w:sz w:val="24"/>
          <w:szCs w:val="24"/>
          <w:lang w:val="en-US"/>
        </w:rPr>
        <w:t xml:space="preserve">to stage </w:t>
      </w:r>
      <w:r w:rsidR="00E262E0" w:rsidRPr="00E262E0">
        <w:rPr>
          <w:rFonts w:ascii="Arial" w:hAnsi="Arial" w:cs="Arial"/>
          <w:sz w:val="24"/>
          <w:szCs w:val="24"/>
          <w:lang w:val="en-US"/>
        </w:rPr>
        <w:t>3 and</w:t>
      </w:r>
      <w:r w:rsidR="00392047" w:rsidRPr="00E262E0">
        <w:rPr>
          <w:rFonts w:ascii="Arial" w:hAnsi="Arial" w:cs="Arial"/>
          <w:sz w:val="24"/>
          <w:szCs w:val="24"/>
          <w:lang w:val="en-US"/>
        </w:rPr>
        <w:t xml:space="preserve"> should be considered for guiding monitoring practices and </w:t>
      </w:r>
      <w:r w:rsidR="002D2AE7" w:rsidRPr="00E262E0">
        <w:rPr>
          <w:rFonts w:ascii="Arial" w:hAnsi="Arial" w:cs="Arial"/>
          <w:sz w:val="24"/>
          <w:szCs w:val="24"/>
          <w:lang w:val="en-US"/>
        </w:rPr>
        <w:t xml:space="preserve">clinical trial </w:t>
      </w:r>
      <w:r w:rsidR="00392047" w:rsidRPr="00E262E0">
        <w:rPr>
          <w:rFonts w:ascii="Arial" w:hAnsi="Arial" w:cs="Arial"/>
          <w:sz w:val="24"/>
          <w:szCs w:val="24"/>
          <w:lang w:val="en-US"/>
        </w:rPr>
        <w:t>eligibility.</w:t>
      </w:r>
    </w:p>
    <w:p w14:paraId="7CF8357C" w14:textId="77777777" w:rsidR="00FE687D" w:rsidRPr="00E262E0" w:rsidRDefault="00FE687D" w:rsidP="00FE687D">
      <w:pPr>
        <w:spacing w:after="0" w:line="480" w:lineRule="auto"/>
        <w:jc w:val="both"/>
        <w:rPr>
          <w:rFonts w:ascii="Arial" w:hAnsi="Arial" w:cs="Arial"/>
          <w:sz w:val="24"/>
          <w:szCs w:val="24"/>
          <w:lang w:val="en-US"/>
        </w:rPr>
      </w:pPr>
    </w:p>
    <w:p w14:paraId="5B538F19" w14:textId="77777777" w:rsidR="0009083E" w:rsidRPr="00E262E0" w:rsidRDefault="0009083E" w:rsidP="00FE687D">
      <w:pPr>
        <w:spacing w:after="0" w:line="480" w:lineRule="auto"/>
        <w:rPr>
          <w:rFonts w:ascii="Arial" w:eastAsia="Times New Roman" w:hAnsi="Arial" w:cs="Arial"/>
          <w:color w:val="000000"/>
          <w:sz w:val="24"/>
          <w:szCs w:val="24"/>
          <w:lang w:val="en-US" w:eastAsia="de-DE"/>
        </w:rPr>
      </w:pPr>
    </w:p>
    <w:p w14:paraId="710CB6C5" w14:textId="3A8EDCBA" w:rsidR="00FE687D" w:rsidRPr="00E262E0" w:rsidRDefault="00FE687D" w:rsidP="00FE687D">
      <w:pPr>
        <w:spacing w:after="0" w:line="480" w:lineRule="auto"/>
        <w:rPr>
          <w:rFonts w:ascii="Arial" w:eastAsia="Times New Roman" w:hAnsi="Arial" w:cs="Arial"/>
          <w:b/>
          <w:bCs/>
          <w:color w:val="000000"/>
          <w:sz w:val="24"/>
          <w:szCs w:val="24"/>
          <w:lang w:val="en-US" w:eastAsia="de-DE"/>
        </w:rPr>
      </w:pPr>
      <w:r w:rsidRPr="00E262E0">
        <w:rPr>
          <w:rFonts w:ascii="Arial" w:eastAsia="Times New Roman" w:hAnsi="Arial" w:cs="Arial"/>
          <w:b/>
          <w:bCs/>
          <w:color w:val="000000"/>
          <w:sz w:val="24"/>
          <w:szCs w:val="24"/>
          <w:lang w:val="en-US" w:eastAsia="de-DE"/>
        </w:rPr>
        <w:t>A</w:t>
      </w:r>
      <w:r w:rsidR="00A016CC" w:rsidRPr="00E262E0">
        <w:rPr>
          <w:rFonts w:ascii="Arial" w:eastAsia="Times New Roman" w:hAnsi="Arial" w:cs="Arial"/>
          <w:b/>
          <w:bCs/>
          <w:color w:val="000000"/>
          <w:sz w:val="24"/>
          <w:szCs w:val="24"/>
          <w:lang w:val="en-US" w:eastAsia="de-DE"/>
        </w:rPr>
        <w:t>rticle Highlights</w:t>
      </w:r>
    </w:p>
    <w:p w14:paraId="0FCC965C" w14:textId="77777777" w:rsidR="00FE687D" w:rsidRPr="00E262E0" w:rsidRDefault="00FE687D" w:rsidP="00FE687D">
      <w:pPr>
        <w:numPr>
          <w:ilvl w:val="0"/>
          <w:numId w:val="5"/>
        </w:numPr>
        <w:spacing w:after="0" w:line="480" w:lineRule="auto"/>
        <w:contextualSpacing/>
        <w:rPr>
          <w:rFonts w:ascii="Arial" w:eastAsia="Times New Roman" w:hAnsi="Arial" w:cs="Arial"/>
          <w:color w:val="000000"/>
          <w:sz w:val="24"/>
          <w:szCs w:val="24"/>
          <w:lang w:val="en-US" w:eastAsia="de-DE"/>
        </w:rPr>
      </w:pPr>
      <w:r w:rsidRPr="00E262E0">
        <w:rPr>
          <w:rFonts w:ascii="Arial" w:eastAsia="Times New Roman" w:hAnsi="Arial" w:cs="Arial"/>
          <w:color w:val="000000"/>
          <w:sz w:val="24"/>
          <w:szCs w:val="24"/>
          <w:lang w:val="en-US" w:eastAsia="de-DE"/>
        </w:rPr>
        <w:t>Why did we undertake this study?</w:t>
      </w:r>
    </w:p>
    <w:p w14:paraId="36B10563" w14:textId="5FDBEE93" w:rsidR="00FE687D" w:rsidRPr="00E262E0" w:rsidRDefault="00355281" w:rsidP="00FE687D">
      <w:pPr>
        <w:spacing w:after="0" w:line="480" w:lineRule="auto"/>
        <w:rPr>
          <w:rFonts w:ascii="Arial" w:eastAsia="Times New Roman" w:hAnsi="Arial" w:cs="Arial"/>
          <w:color w:val="000000"/>
          <w:sz w:val="24"/>
          <w:szCs w:val="24"/>
          <w:lang w:val="en-US" w:eastAsia="de-DE"/>
        </w:rPr>
      </w:pPr>
      <w:r w:rsidRPr="00E262E0">
        <w:rPr>
          <w:rFonts w:ascii="Arial" w:eastAsia="Times New Roman" w:hAnsi="Arial" w:cs="Arial"/>
          <w:color w:val="000000"/>
          <w:sz w:val="24"/>
          <w:szCs w:val="24"/>
          <w:lang w:val="en-US" w:eastAsia="de-DE"/>
        </w:rPr>
        <w:t>To better stratify rates of p</w:t>
      </w:r>
      <w:r w:rsidR="00FE687D" w:rsidRPr="00E262E0">
        <w:rPr>
          <w:rFonts w:ascii="Arial" w:eastAsia="Times New Roman" w:hAnsi="Arial" w:cs="Arial"/>
          <w:color w:val="000000"/>
          <w:sz w:val="24"/>
          <w:szCs w:val="24"/>
          <w:lang w:val="en-US" w:eastAsia="de-DE"/>
        </w:rPr>
        <w:t xml:space="preserve">rogression </w:t>
      </w:r>
      <w:r w:rsidRPr="00E262E0">
        <w:rPr>
          <w:rFonts w:ascii="Arial" w:eastAsia="Times New Roman" w:hAnsi="Arial" w:cs="Arial"/>
          <w:color w:val="000000"/>
          <w:sz w:val="24"/>
          <w:szCs w:val="24"/>
          <w:lang w:val="en-US" w:eastAsia="de-DE"/>
        </w:rPr>
        <w:t xml:space="preserve">from stage 1 or 2 </w:t>
      </w:r>
      <w:r w:rsidR="00FE687D" w:rsidRPr="00E262E0">
        <w:rPr>
          <w:rFonts w:ascii="Arial" w:eastAsia="Times New Roman" w:hAnsi="Arial" w:cs="Arial"/>
          <w:color w:val="000000"/>
          <w:sz w:val="24"/>
          <w:szCs w:val="24"/>
          <w:lang w:val="en-US" w:eastAsia="de-DE"/>
        </w:rPr>
        <w:t xml:space="preserve">to clinical stage 3 type 1 diabetes. </w:t>
      </w:r>
    </w:p>
    <w:p w14:paraId="4028891F" w14:textId="77777777" w:rsidR="00FE687D" w:rsidRPr="00E262E0" w:rsidRDefault="00FE687D" w:rsidP="00FE687D">
      <w:pPr>
        <w:numPr>
          <w:ilvl w:val="0"/>
          <w:numId w:val="5"/>
        </w:numPr>
        <w:spacing w:after="0" w:line="480" w:lineRule="auto"/>
        <w:contextualSpacing/>
        <w:rPr>
          <w:rFonts w:ascii="Arial" w:eastAsia="Times New Roman" w:hAnsi="Arial" w:cs="Arial"/>
          <w:color w:val="000000"/>
          <w:sz w:val="24"/>
          <w:szCs w:val="24"/>
          <w:lang w:val="en-US" w:eastAsia="de-DE"/>
        </w:rPr>
      </w:pPr>
      <w:r w:rsidRPr="00E262E0">
        <w:rPr>
          <w:rFonts w:ascii="Arial" w:eastAsia="Times New Roman" w:hAnsi="Arial" w:cs="Arial"/>
          <w:color w:val="000000"/>
          <w:sz w:val="24"/>
          <w:szCs w:val="24"/>
          <w:lang w:val="en-US" w:eastAsia="de-DE"/>
        </w:rPr>
        <w:t>What is the specific question(s) we wanted to answer?</w:t>
      </w:r>
    </w:p>
    <w:p w14:paraId="6E214226" w14:textId="6BD738B8" w:rsidR="00FE687D" w:rsidRPr="00E262E0" w:rsidRDefault="00FE687D" w:rsidP="00FE687D">
      <w:pPr>
        <w:spacing w:after="0" w:line="480" w:lineRule="auto"/>
        <w:rPr>
          <w:rFonts w:ascii="Arial" w:eastAsia="Times New Roman" w:hAnsi="Arial" w:cs="Arial"/>
          <w:color w:val="000000"/>
          <w:sz w:val="24"/>
          <w:szCs w:val="24"/>
          <w:lang w:val="en-US" w:eastAsia="de-DE"/>
        </w:rPr>
      </w:pPr>
      <w:r w:rsidRPr="00E262E0">
        <w:rPr>
          <w:rFonts w:ascii="Arial" w:eastAsia="Times New Roman" w:hAnsi="Arial" w:cs="Arial"/>
          <w:color w:val="000000"/>
          <w:sz w:val="24"/>
          <w:szCs w:val="24"/>
          <w:lang w:val="en-US" w:eastAsia="de-DE"/>
        </w:rPr>
        <w:t xml:space="preserve">How effective is the </w:t>
      </w:r>
      <w:r w:rsidR="00355281" w:rsidRPr="00E262E0">
        <w:rPr>
          <w:rFonts w:ascii="Arial" w:eastAsia="Times New Roman" w:hAnsi="Arial" w:cs="Arial"/>
          <w:color w:val="000000"/>
          <w:sz w:val="24"/>
          <w:szCs w:val="24"/>
          <w:lang w:val="en-US" w:eastAsia="de-DE"/>
        </w:rPr>
        <w:t>progression likelihood score (PLS)</w:t>
      </w:r>
      <w:r w:rsidRPr="00E262E0">
        <w:rPr>
          <w:rFonts w:ascii="Arial" w:eastAsia="Times New Roman" w:hAnsi="Arial" w:cs="Arial"/>
          <w:color w:val="000000"/>
          <w:sz w:val="24"/>
          <w:szCs w:val="24"/>
          <w:lang w:val="en-US" w:eastAsia="de-DE"/>
        </w:rPr>
        <w:t xml:space="preserve"> in children classified as stage 1 or stage 2 according to current ADA criteria? </w:t>
      </w:r>
      <w:r w:rsidR="00355281" w:rsidRPr="00E262E0">
        <w:rPr>
          <w:rFonts w:ascii="Arial" w:eastAsia="Times New Roman" w:hAnsi="Arial" w:cs="Arial"/>
          <w:color w:val="000000"/>
          <w:sz w:val="24"/>
          <w:szCs w:val="24"/>
          <w:lang w:val="en-US" w:eastAsia="de-DE"/>
        </w:rPr>
        <w:t>Can a PLS without the need for an OGTT</w:t>
      </w:r>
      <w:r w:rsidRPr="00E262E0">
        <w:rPr>
          <w:rFonts w:ascii="Arial" w:eastAsia="Times New Roman" w:hAnsi="Arial" w:cs="Arial"/>
          <w:color w:val="000000"/>
          <w:sz w:val="24"/>
          <w:szCs w:val="24"/>
          <w:lang w:val="en-US" w:eastAsia="de-DE"/>
        </w:rPr>
        <w:t xml:space="preserve"> </w:t>
      </w:r>
      <w:r w:rsidR="00355281" w:rsidRPr="00E262E0">
        <w:rPr>
          <w:rFonts w:ascii="Arial" w:eastAsia="Times New Roman" w:hAnsi="Arial" w:cs="Arial"/>
          <w:color w:val="000000"/>
          <w:sz w:val="24"/>
          <w:szCs w:val="24"/>
          <w:lang w:val="en-US" w:eastAsia="de-DE"/>
        </w:rPr>
        <w:t>stratify early risk for stage 3</w:t>
      </w:r>
      <w:r w:rsidRPr="00E262E0">
        <w:rPr>
          <w:rFonts w:ascii="Arial" w:eastAsia="Times New Roman" w:hAnsi="Arial" w:cs="Arial"/>
          <w:color w:val="000000"/>
          <w:sz w:val="24"/>
          <w:szCs w:val="24"/>
          <w:lang w:val="en-US" w:eastAsia="de-DE"/>
        </w:rPr>
        <w:t>?</w:t>
      </w:r>
    </w:p>
    <w:p w14:paraId="0CF3AE7C" w14:textId="77777777" w:rsidR="00FE687D" w:rsidRPr="00E262E0" w:rsidRDefault="00FE687D" w:rsidP="00FE687D">
      <w:pPr>
        <w:numPr>
          <w:ilvl w:val="0"/>
          <w:numId w:val="5"/>
        </w:numPr>
        <w:spacing w:after="0" w:line="480" w:lineRule="auto"/>
        <w:contextualSpacing/>
        <w:rPr>
          <w:rFonts w:ascii="Arial" w:eastAsia="Times New Roman" w:hAnsi="Arial" w:cs="Arial"/>
          <w:color w:val="000000"/>
          <w:sz w:val="24"/>
          <w:szCs w:val="24"/>
          <w:lang w:val="en-US" w:eastAsia="de-DE"/>
        </w:rPr>
      </w:pPr>
      <w:r w:rsidRPr="00E262E0">
        <w:rPr>
          <w:rFonts w:ascii="Arial" w:eastAsia="Times New Roman" w:hAnsi="Arial" w:cs="Arial"/>
          <w:color w:val="000000"/>
          <w:sz w:val="24"/>
          <w:szCs w:val="24"/>
          <w:lang w:val="en-US" w:eastAsia="de-DE"/>
        </w:rPr>
        <w:t>What did we find?</w:t>
      </w:r>
    </w:p>
    <w:p w14:paraId="7B797621" w14:textId="078158A3" w:rsidR="00FE687D" w:rsidRPr="00E262E0" w:rsidRDefault="00FE687D" w:rsidP="00FE687D">
      <w:pPr>
        <w:spacing w:after="0" w:line="480" w:lineRule="auto"/>
        <w:rPr>
          <w:rFonts w:ascii="Arial" w:eastAsia="Times New Roman" w:hAnsi="Arial" w:cs="Arial"/>
          <w:color w:val="000000"/>
          <w:sz w:val="24"/>
          <w:szCs w:val="24"/>
          <w:lang w:val="en-US" w:eastAsia="de-DE"/>
        </w:rPr>
      </w:pPr>
      <w:r w:rsidRPr="00E262E0">
        <w:rPr>
          <w:rFonts w:ascii="Arial" w:eastAsia="Times New Roman" w:hAnsi="Arial" w:cs="Arial"/>
          <w:color w:val="000000"/>
          <w:sz w:val="24"/>
          <w:szCs w:val="24"/>
          <w:lang w:val="en-US" w:eastAsia="de-DE"/>
        </w:rPr>
        <w:t xml:space="preserve">The PLS stratified the 2-year risk </w:t>
      </w:r>
      <w:r w:rsidR="00355281" w:rsidRPr="00E262E0">
        <w:rPr>
          <w:rFonts w:ascii="Arial" w:eastAsia="Times New Roman" w:hAnsi="Arial" w:cs="Arial"/>
          <w:color w:val="000000"/>
          <w:sz w:val="24"/>
          <w:szCs w:val="24"/>
          <w:lang w:val="en-US" w:eastAsia="de-DE"/>
        </w:rPr>
        <w:t>for</w:t>
      </w:r>
      <w:r w:rsidRPr="00E262E0">
        <w:rPr>
          <w:rFonts w:ascii="Arial" w:eastAsia="Times New Roman" w:hAnsi="Arial" w:cs="Arial"/>
          <w:color w:val="000000"/>
          <w:sz w:val="24"/>
          <w:szCs w:val="24"/>
          <w:lang w:val="en-US" w:eastAsia="de-DE"/>
        </w:rPr>
        <w:t xml:space="preserve"> stage 3 from 0% to 43.7% in children with stage </w:t>
      </w:r>
      <w:r w:rsidR="00E262E0" w:rsidRPr="00E262E0">
        <w:rPr>
          <w:rFonts w:ascii="Arial" w:eastAsia="Times New Roman" w:hAnsi="Arial" w:cs="Arial"/>
          <w:color w:val="000000"/>
          <w:sz w:val="24"/>
          <w:szCs w:val="24"/>
          <w:lang w:val="en-US" w:eastAsia="de-DE"/>
        </w:rPr>
        <w:t>1 and</w:t>
      </w:r>
      <w:r w:rsidRPr="00E262E0">
        <w:rPr>
          <w:rFonts w:ascii="Arial" w:eastAsia="Times New Roman" w:hAnsi="Arial" w:cs="Arial"/>
          <w:color w:val="000000"/>
          <w:sz w:val="24"/>
          <w:szCs w:val="24"/>
          <w:lang w:val="en-US" w:eastAsia="de-DE"/>
        </w:rPr>
        <w:t xml:space="preserve"> </w:t>
      </w:r>
      <w:r w:rsidR="00355281" w:rsidRPr="00E262E0">
        <w:rPr>
          <w:rFonts w:ascii="Arial" w:eastAsia="Times New Roman" w:hAnsi="Arial" w:cs="Arial"/>
          <w:color w:val="000000"/>
          <w:sz w:val="24"/>
          <w:szCs w:val="24"/>
          <w:lang w:val="en-US" w:eastAsia="de-DE"/>
        </w:rPr>
        <w:t>was also effective in children</w:t>
      </w:r>
      <w:r w:rsidRPr="00E262E0">
        <w:rPr>
          <w:rFonts w:ascii="Arial" w:eastAsia="Times New Roman" w:hAnsi="Arial" w:cs="Arial"/>
          <w:color w:val="000000"/>
          <w:sz w:val="24"/>
          <w:szCs w:val="24"/>
          <w:lang w:val="en-US" w:eastAsia="de-DE"/>
        </w:rPr>
        <w:t xml:space="preserve"> </w:t>
      </w:r>
      <w:r w:rsidR="00355281" w:rsidRPr="00E262E0">
        <w:rPr>
          <w:rFonts w:ascii="Arial" w:eastAsia="Times New Roman" w:hAnsi="Arial" w:cs="Arial"/>
          <w:color w:val="000000"/>
          <w:sz w:val="24"/>
          <w:szCs w:val="24"/>
          <w:lang w:val="en-US" w:eastAsia="de-DE"/>
        </w:rPr>
        <w:t>with</w:t>
      </w:r>
      <w:r w:rsidRPr="00E262E0">
        <w:rPr>
          <w:rFonts w:ascii="Arial" w:eastAsia="Times New Roman" w:hAnsi="Arial" w:cs="Arial"/>
          <w:color w:val="000000"/>
          <w:sz w:val="24"/>
          <w:szCs w:val="24"/>
          <w:lang w:val="en-US" w:eastAsia="de-DE"/>
        </w:rPr>
        <w:t xml:space="preserve"> stage 2.</w:t>
      </w:r>
      <w:r w:rsidR="00355281" w:rsidRPr="00E262E0">
        <w:rPr>
          <w:rFonts w:ascii="Arial" w:eastAsia="Times New Roman" w:hAnsi="Arial" w:cs="Arial"/>
          <w:color w:val="000000"/>
          <w:sz w:val="24"/>
          <w:szCs w:val="24"/>
          <w:lang w:val="en-US" w:eastAsia="de-DE"/>
        </w:rPr>
        <w:t xml:space="preserve"> A</w:t>
      </w:r>
      <w:r w:rsidR="0009083E" w:rsidRPr="00E262E0">
        <w:rPr>
          <w:rFonts w:ascii="Arial" w:eastAsia="Times New Roman" w:hAnsi="Arial" w:cs="Arial"/>
          <w:color w:val="000000"/>
          <w:sz w:val="24"/>
          <w:szCs w:val="24"/>
          <w:lang w:val="en-US" w:eastAsia="de-DE"/>
        </w:rPr>
        <w:t xml:space="preserve"> score without</w:t>
      </w:r>
      <w:r w:rsidR="00355281" w:rsidRPr="00E262E0">
        <w:rPr>
          <w:rFonts w:ascii="Arial" w:eastAsia="Times New Roman" w:hAnsi="Arial" w:cs="Arial"/>
          <w:color w:val="000000"/>
          <w:sz w:val="24"/>
          <w:szCs w:val="24"/>
          <w:lang w:val="en-US" w:eastAsia="de-DE"/>
        </w:rPr>
        <w:t xml:space="preserve"> OGTT could also stratify risk.</w:t>
      </w:r>
    </w:p>
    <w:p w14:paraId="7DB5BAD5" w14:textId="77777777" w:rsidR="00FE687D" w:rsidRPr="00E262E0" w:rsidRDefault="00FE687D" w:rsidP="00FE687D">
      <w:pPr>
        <w:numPr>
          <w:ilvl w:val="0"/>
          <w:numId w:val="5"/>
        </w:numPr>
        <w:spacing w:after="0" w:line="480" w:lineRule="auto"/>
        <w:contextualSpacing/>
        <w:rPr>
          <w:rFonts w:ascii="Arial" w:eastAsia="Times New Roman" w:hAnsi="Arial" w:cs="Arial"/>
          <w:color w:val="000000"/>
          <w:sz w:val="24"/>
          <w:szCs w:val="24"/>
          <w:lang w:val="en-US" w:eastAsia="de-DE"/>
        </w:rPr>
      </w:pPr>
      <w:r w:rsidRPr="00E262E0">
        <w:rPr>
          <w:rFonts w:ascii="Arial" w:eastAsia="Times New Roman" w:hAnsi="Arial" w:cs="Arial"/>
          <w:color w:val="000000"/>
          <w:sz w:val="24"/>
          <w:szCs w:val="24"/>
          <w:lang w:val="en-US" w:eastAsia="de-DE"/>
        </w:rPr>
        <w:t>What are the implications of our findings?</w:t>
      </w:r>
    </w:p>
    <w:p w14:paraId="3FCD7E7B" w14:textId="6D1AF5E4" w:rsidR="00FE687D" w:rsidRPr="00E262E0" w:rsidRDefault="00FE687D" w:rsidP="00FE687D">
      <w:pPr>
        <w:spacing w:after="0" w:line="480" w:lineRule="auto"/>
        <w:rPr>
          <w:rFonts w:ascii="Arial" w:eastAsia="Times New Roman" w:hAnsi="Arial" w:cs="Arial"/>
          <w:color w:val="000000"/>
          <w:sz w:val="24"/>
          <w:szCs w:val="24"/>
          <w:lang w:val="en-US" w:eastAsia="de-DE"/>
        </w:rPr>
      </w:pPr>
      <w:r w:rsidRPr="00E262E0">
        <w:rPr>
          <w:rFonts w:ascii="Arial" w:eastAsia="Times New Roman" w:hAnsi="Arial" w:cs="Arial"/>
          <w:color w:val="000000"/>
          <w:sz w:val="24"/>
          <w:szCs w:val="24"/>
          <w:lang w:val="en-US" w:eastAsia="de-DE"/>
        </w:rPr>
        <w:t xml:space="preserve">The PLS </w:t>
      </w:r>
      <w:r w:rsidR="00355281" w:rsidRPr="00E262E0">
        <w:rPr>
          <w:rFonts w:ascii="Arial" w:eastAsia="Times New Roman" w:hAnsi="Arial" w:cs="Arial"/>
          <w:color w:val="000000"/>
          <w:sz w:val="24"/>
          <w:szCs w:val="24"/>
          <w:lang w:val="en-US" w:eastAsia="de-DE"/>
        </w:rPr>
        <w:t xml:space="preserve">can help guide </w:t>
      </w:r>
      <w:r w:rsidRPr="00E262E0">
        <w:rPr>
          <w:rFonts w:ascii="Arial" w:eastAsia="Times New Roman" w:hAnsi="Arial" w:cs="Arial"/>
          <w:color w:val="000000"/>
          <w:sz w:val="24"/>
          <w:szCs w:val="24"/>
          <w:lang w:val="en-US" w:eastAsia="de-DE"/>
        </w:rPr>
        <w:t>monitoring, counseling, and selection of participants for clinical trials.</w:t>
      </w:r>
    </w:p>
    <w:p w14:paraId="0E7F4946" w14:textId="77777777" w:rsidR="00FE687D" w:rsidRPr="00E262E0" w:rsidRDefault="00FE687D" w:rsidP="00FF0890">
      <w:pPr>
        <w:spacing w:line="360" w:lineRule="auto"/>
        <w:jc w:val="both"/>
        <w:rPr>
          <w:rFonts w:ascii="Arial" w:hAnsi="Arial" w:cs="Arial"/>
          <w:sz w:val="24"/>
          <w:szCs w:val="24"/>
          <w:lang w:val="en-US"/>
        </w:rPr>
      </w:pPr>
    </w:p>
    <w:p w14:paraId="4A182D4E" w14:textId="77777777" w:rsidR="00FE687D" w:rsidRPr="00E262E0" w:rsidRDefault="00FE687D" w:rsidP="00FE687D">
      <w:pPr>
        <w:spacing w:line="360" w:lineRule="auto"/>
        <w:jc w:val="both"/>
        <w:rPr>
          <w:rFonts w:ascii="Arial" w:hAnsi="Arial" w:cs="Arial"/>
          <w:sz w:val="24"/>
          <w:szCs w:val="24"/>
          <w:highlight w:val="yellow"/>
          <w:lang w:val="en-US"/>
        </w:rPr>
      </w:pPr>
    </w:p>
    <w:p w14:paraId="6607AC4E" w14:textId="1C8EDE02" w:rsidR="00AE1513" w:rsidRPr="00E262E0" w:rsidRDefault="00AE1513">
      <w:pPr>
        <w:rPr>
          <w:rFonts w:ascii="Arial" w:hAnsi="Arial" w:cs="Arial"/>
          <w:b/>
          <w:bCs/>
          <w:sz w:val="24"/>
          <w:szCs w:val="24"/>
          <w:lang w:val="en-US"/>
        </w:rPr>
      </w:pPr>
      <w:r w:rsidRPr="00E262E0">
        <w:rPr>
          <w:rFonts w:ascii="Arial" w:hAnsi="Arial" w:cs="Arial"/>
          <w:b/>
          <w:bCs/>
          <w:sz w:val="24"/>
          <w:szCs w:val="24"/>
          <w:lang w:val="en-US"/>
        </w:rPr>
        <w:br w:type="page"/>
      </w:r>
    </w:p>
    <w:p w14:paraId="6AE61401" w14:textId="45298CB4" w:rsidR="006822C6" w:rsidRPr="00E262E0" w:rsidRDefault="006822C6" w:rsidP="009045A9">
      <w:pPr>
        <w:spacing w:after="0" w:line="480" w:lineRule="auto"/>
        <w:jc w:val="both"/>
        <w:rPr>
          <w:rFonts w:ascii="Arial" w:hAnsi="Arial" w:cs="Arial"/>
          <w:b/>
          <w:bCs/>
          <w:sz w:val="24"/>
          <w:szCs w:val="24"/>
          <w:lang w:val="en-US"/>
        </w:rPr>
      </w:pPr>
      <w:r w:rsidRPr="00E262E0">
        <w:rPr>
          <w:rFonts w:ascii="Arial" w:hAnsi="Arial" w:cs="Arial"/>
          <w:b/>
          <w:bCs/>
          <w:sz w:val="24"/>
          <w:szCs w:val="24"/>
          <w:lang w:val="en-US"/>
        </w:rPr>
        <w:lastRenderedPageBreak/>
        <w:t>Introduction</w:t>
      </w:r>
    </w:p>
    <w:p w14:paraId="7A6C6483" w14:textId="49A995DE" w:rsidR="009E4790" w:rsidRPr="00E262E0" w:rsidRDefault="009E4790" w:rsidP="009045A9">
      <w:pPr>
        <w:pStyle w:val="StandardWeb"/>
        <w:spacing w:before="0" w:beforeAutospacing="0" w:after="0" w:afterAutospacing="0" w:line="480" w:lineRule="auto"/>
        <w:jc w:val="both"/>
        <w:rPr>
          <w:rFonts w:ascii="Arial" w:hAnsi="Arial" w:cs="Arial"/>
          <w:lang w:val="en-US"/>
        </w:rPr>
      </w:pPr>
      <w:r w:rsidRPr="00E262E0">
        <w:rPr>
          <w:rFonts w:ascii="Arial" w:hAnsi="Arial" w:cs="Arial"/>
          <w:lang w:val="en-US"/>
        </w:rPr>
        <w:t xml:space="preserve">The identification of individuals in the early, presymptomatic stages of </w:t>
      </w:r>
      <w:bookmarkStart w:id="0" w:name="_Hlk207116869"/>
      <w:r w:rsidRPr="00E262E0">
        <w:rPr>
          <w:rFonts w:ascii="Arial" w:hAnsi="Arial" w:cs="Arial"/>
          <w:lang w:val="en-US"/>
        </w:rPr>
        <w:t xml:space="preserve">type 1 diabetes </w:t>
      </w:r>
      <w:bookmarkEnd w:id="0"/>
      <w:r w:rsidRPr="00E262E0">
        <w:rPr>
          <w:rFonts w:ascii="Arial" w:hAnsi="Arial" w:cs="Arial"/>
          <w:lang w:val="en-US"/>
        </w:rPr>
        <w:t xml:space="preserve">is rapidly </w:t>
      </w:r>
      <w:r w:rsidR="0040088B" w:rsidRPr="00E262E0">
        <w:rPr>
          <w:rFonts w:ascii="Arial" w:hAnsi="Arial" w:cs="Arial"/>
          <w:lang w:val="en-US"/>
        </w:rPr>
        <w:t xml:space="preserve">expanding </w:t>
      </w:r>
      <w:r w:rsidRPr="00E262E0">
        <w:rPr>
          <w:rFonts w:ascii="Arial" w:hAnsi="Arial" w:cs="Arial"/>
          <w:lang w:val="en-US"/>
        </w:rPr>
        <w:t>(</w:t>
      </w:r>
      <w:r w:rsidR="00586073" w:rsidRPr="00E262E0">
        <w:rPr>
          <w:rFonts w:ascii="Arial" w:hAnsi="Arial" w:cs="Arial"/>
          <w:lang w:val="en-US"/>
        </w:rPr>
        <w:t>1</w:t>
      </w:r>
      <w:r w:rsidR="00AE1513" w:rsidRPr="00E262E0">
        <w:rPr>
          <w:rFonts w:ascii="Arial" w:hAnsi="Arial" w:cs="Arial"/>
          <w:lang w:val="en-US"/>
        </w:rPr>
        <w:t xml:space="preserve">, </w:t>
      </w:r>
      <w:r w:rsidR="00312975" w:rsidRPr="00E262E0">
        <w:rPr>
          <w:rFonts w:ascii="Arial" w:hAnsi="Arial" w:cs="Arial"/>
          <w:lang w:val="en-US"/>
        </w:rPr>
        <w:t>2</w:t>
      </w:r>
      <w:r w:rsidR="00AE1513" w:rsidRPr="00E262E0">
        <w:rPr>
          <w:rFonts w:ascii="Arial" w:hAnsi="Arial" w:cs="Arial"/>
          <w:lang w:val="en-US"/>
        </w:rPr>
        <w:t xml:space="preserve">, </w:t>
      </w:r>
      <w:r w:rsidR="006765E2" w:rsidRPr="00E262E0">
        <w:rPr>
          <w:rFonts w:ascii="Arial" w:hAnsi="Arial" w:cs="Arial"/>
          <w:lang w:val="en-US"/>
        </w:rPr>
        <w:t>3</w:t>
      </w:r>
      <w:r w:rsidRPr="00E262E0">
        <w:rPr>
          <w:rFonts w:ascii="Arial" w:hAnsi="Arial" w:cs="Arial"/>
          <w:lang w:val="en-US"/>
        </w:rPr>
        <w:t xml:space="preserve">). Early-stage </w:t>
      </w:r>
      <w:r w:rsidR="00867AD2" w:rsidRPr="00E262E0">
        <w:rPr>
          <w:rFonts w:ascii="Arial" w:hAnsi="Arial" w:cs="Arial"/>
          <w:lang w:val="en-US"/>
        </w:rPr>
        <w:t>type 1 diabetes</w:t>
      </w:r>
      <w:r w:rsidRPr="00E262E0">
        <w:rPr>
          <w:rFonts w:ascii="Arial" w:hAnsi="Arial" w:cs="Arial"/>
          <w:lang w:val="en-US"/>
        </w:rPr>
        <w:t xml:space="preserve"> is characterized by the presence of two or more islet autoantibodies and is further classified into </w:t>
      </w:r>
      <w:r w:rsidR="00324B56" w:rsidRPr="00E262E0">
        <w:rPr>
          <w:rFonts w:ascii="Arial" w:hAnsi="Arial" w:cs="Arial"/>
          <w:lang w:val="en-US"/>
        </w:rPr>
        <w:t>s</w:t>
      </w:r>
      <w:r w:rsidRPr="00E262E0">
        <w:rPr>
          <w:rFonts w:ascii="Arial" w:hAnsi="Arial" w:cs="Arial"/>
          <w:lang w:val="en-US"/>
        </w:rPr>
        <w:t xml:space="preserve">tage 1 (normoglycemia) and </w:t>
      </w:r>
      <w:r w:rsidR="00324B56" w:rsidRPr="00E262E0">
        <w:rPr>
          <w:rFonts w:ascii="Arial" w:hAnsi="Arial" w:cs="Arial"/>
          <w:lang w:val="en-US"/>
        </w:rPr>
        <w:t>s</w:t>
      </w:r>
      <w:r w:rsidRPr="00E262E0">
        <w:rPr>
          <w:rFonts w:ascii="Arial" w:hAnsi="Arial" w:cs="Arial"/>
          <w:lang w:val="en-US"/>
        </w:rPr>
        <w:t>tage 2 (dysglycemia)</w:t>
      </w:r>
      <w:r w:rsidR="000B70BC" w:rsidRPr="00E262E0">
        <w:rPr>
          <w:rFonts w:ascii="Arial" w:hAnsi="Arial" w:cs="Arial"/>
          <w:lang w:val="en-US"/>
        </w:rPr>
        <w:t xml:space="preserve"> (</w:t>
      </w:r>
      <w:r w:rsidR="00AD5860" w:rsidRPr="00E262E0">
        <w:rPr>
          <w:rFonts w:ascii="Arial" w:hAnsi="Arial" w:cs="Arial"/>
          <w:lang w:val="en-US"/>
        </w:rPr>
        <w:t>4</w:t>
      </w:r>
      <w:r w:rsidR="000B3888" w:rsidRPr="00E262E0">
        <w:rPr>
          <w:rFonts w:ascii="Arial" w:hAnsi="Arial" w:cs="Arial"/>
          <w:lang w:val="en-US"/>
        </w:rPr>
        <w:t xml:space="preserve">, </w:t>
      </w:r>
      <w:r w:rsidR="001E174D" w:rsidRPr="00E262E0">
        <w:rPr>
          <w:rFonts w:ascii="Arial" w:hAnsi="Arial" w:cs="Arial"/>
          <w:lang w:val="en-US"/>
        </w:rPr>
        <w:t>5</w:t>
      </w:r>
      <w:r w:rsidR="000B70BC" w:rsidRPr="00E262E0">
        <w:rPr>
          <w:rFonts w:ascii="Arial" w:hAnsi="Arial" w:cs="Arial"/>
          <w:lang w:val="en-US"/>
        </w:rPr>
        <w:t>)</w:t>
      </w:r>
      <w:r w:rsidRPr="00E262E0">
        <w:rPr>
          <w:rFonts w:ascii="Arial" w:hAnsi="Arial" w:cs="Arial"/>
          <w:lang w:val="en-US"/>
        </w:rPr>
        <w:t xml:space="preserve">. </w:t>
      </w:r>
      <w:r w:rsidR="0040088B" w:rsidRPr="00E262E0">
        <w:rPr>
          <w:rFonts w:ascii="Arial" w:hAnsi="Arial" w:cs="Arial"/>
          <w:lang w:val="en-US"/>
        </w:rPr>
        <w:t>Staging</w:t>
      </w:r>
      <w:r w:rsidRPr="00E262E0">
        <w:rPr>
          <w:rFonts w:ascii="Arial" w:hAnsi="Arial" w:cs="Arial"/>
          <w:lang w:val="en-US"/>
        </w:rPr>
        <w:t xml:space="preserve"> provides important estimates of the risk and </w:t>
      </w:r>
      <w:r w:rsidR="0040088B" w:rsidRPr="00E262E0">
        <w:rPr>
          <w:rFonts w:ascii="Arial" w:hAnsi="Arial" w:cs="Arial"/>
          <w:lang w:val="en-US"/>
        </w:rPr>
        <w:t xml:space="preserve">rate </w:t>
      </w:r>
      <w:r w:rsidRPr="00E262E0">
        <w:rPr>
          <w:rFonts w:ascii="Arial" w:hAnsi="Arial" w:cs="Arial"/>
          <w:lang w:val="en-US"/>
        </w:rPr>
        <w:t xml:space="preserve">of progression to clinical </w:t>
      </w:r>
      <w:r w:rsidR="008161FF" w:rsidRPr="00E262E0">
        <w:rPr>
          <w:rFonts w:ascii="Arial" w:hAnsi="Arial" w:cs="Arial"/>
          <w:lang w:val="en-US"/>
        </w:rPr>
        <w:t>s</w:t>
      </w:r>
      <w:r w:rsidRPr="00E262E0">
        <w:rPr>
          <w:rFonts w:ascii="Arial" w:hAnsi="Arial" w:cs="Arial"/>
          <w:lang w:val="en-US"/>
        </w:rPr>
        <w:t xml:space="preserve">tage 3 </w:t>
      </w:r>
      <w:r w:rsidR="00867AD2" w:rsidRPr="00E262E0">
        <w:rPr>
          <w:rFonts w:ascii="Arial" w:hAnsi="Arial" w:cs="Arial"/>
          <w:lang w:val="en-US"/>
        </w:rPr>
        <w:t>type 1 diabetes</w:t>
      </w:r>
      <w:r w:rsidR="00AE1513" w:rsidRPr="00E262E0">
        <w:rPr>
          <w:rFonts w:ascii="Arial" w:hAnsi="Arial" w:cs="Arial"/>
          <w:lang w:val="en-US"/>
        </w:rPr>
        <w:t xml:space="preserve"> (</w:t>
      </w:r>
      <w:r w:rsidR="0083797B" w:rsidRPr="00E262E0">
        <w:rPr>
          <w:rFonts w:ascii="Arial" w:hAnsi="Arial" w:cs="Arial"/>
          <w:lang w:val="en-US"/>
        </w:rPr>
        <w:t>6</w:t>
      </w:r>
      <w:r w:rsidR="00AE1513" w:rsidRPr="00E262E0">
        <w:rPr>
          <w:rFonts w:ascii="Arial" w:hAnsi="Arial" w:cs="Arial"/>
          <w:lang w:val="en-US"/>
        </w:rPr>
        <w:t xml:space="preserve">, </w:t>
      </w:r>
      <w:r w:rsidR="0083797B" w:rsidRPr="00E262E0">
        <w:rPr>
          <w:rFonts w:ascii="Arial" w:hAnsi="Arial" w:cs="Arial"/>
          <w:lang w:val="en-US"/>
        </w:rPr>
        <w:t>7</w:t>
      </w:r>
      <w:r w:rsidR="00AE1513" w:rsidRPr="00E262E0">
        <w:rPr>
          <w:rFonts w:ascii="Arial" w:hAnsi="Arial" w:cs="Arial"/>
          <w:lang w:val="en-US"/>
        </w:rPr>
        <w:t>)</w:t>
      </w:r>
      <w:r w:rsidR="0040088B" w:rsidRPr="00E262E0">
        <w:rPr>
          <w:rFonts w:ascii="Arial" w:hAnsi="Arial" w:cs="Arial"/>
          <w:lang w:val="en-US"/>
        </w:rPr>
        <w:t>. These risk estimates are reflected in</w:t>
      </w:r>
      <w:r w:rsidRPr="00E262E0">
        <w:rPr>
          <w:rFonts w:ascii="Arial" w:hAnsi="Arial" w:cs="Arial"/>
          <w:lang w:val="en-US"/>
        </w:rPr>
        <w:t xml:space="preserve"> </w:t>
      </w:r>
      <w:r w:rsidR="0040088B" w:rsidRPr="00E262E0">
        <w:rPr>
          <w:rFonts w:ascii="Arial" w:hAnsi="Arial" w:cs="Arial"/>
          <w:lang w:val="en-US"/>
        </w:rPr>
        <w:t xml:space="preserve">monitoring </w:t>
      </w:r>
      <w:r w:rsidRPr="00E262E0">
        <w:rPr>
          <w:rFonts w:ascii="Arial" w:hAnsi="Arial" w:cs="Arial"/>
          <w:lang w:val="en-US"/>
        </w:rPr>
        <w:t>guidelines to assess metabolic health (</w:t>
      </w:r>
      <w:r w:rsidR="0083797B" w:rsidRPr="00E262E0">
        <w:rPr>
          <w:rFonts w:ascii="Arial" w:hAnsi="Arial" w:cs="Arial"/>
          <w:lang w:val="en-US"/>
        </w:rPr>
        <w:t>5</w:t>
      </w:r>
      <w:r w:rsidRPr="00E262E0">
        <w:rPr>
          <w:rFonts w:ascii="Arial" w:hAnsi="Arial" w:cs="Arial"/>
          <w:lang w:val="en-US"/>
        </w:rPr>
        <w:t>)</w:t>
      </w:r>
      <w:r w:rsidR="0040088B" w:rsidRPr="00E262E0">
        <w:rPr>
          <w:rFonts w:ascii="Arial" w:hAnsi="Arial" w:cs="Arial"/>
          <w:lang w:val="en-US"/>
        </w:rPr>
        <w:t>, and in eligibility criteria for trials that assess the efficacy and safety of disease-modifying therapies</w:t>
      </w:r>
      <w:r w:rsidRPr="00E262E0">
        <w:rPr>
          <w:rFonts w:ascii="Arial" w:hAnsi="Arial" w:cs="Arial"/>
          <w:lang w:val="en-US"/>
        </w:rPr>
        <w:t>.</w:t>
      </w:r>
    </w:p>
    <w:p w14:paraId="5F9CAEDA" w14:textId="3440B447" w:rsidR="002C1C2B" w:rsidRPr="00E262E0" w:rsidRDefault="002C1C2B" w:rsidP="009045A9">
      <w:pPr>
        <w:pStyle w:val="StandardWeb"/>
        <w:spacing w:before="0" w:beforeAutospacing="0" w:after="0" w:afterAutospacing="0" w:line="480" w:lineRule="auto"/>
        <w:jc w:val="both"/>
        <w:rPr>
          <w:rFonts w:ascii="Arial" w:hAnsi="Arial" w:cs="Arial"/>
          <w:lang w:val="en-US"/>
        </w:rPr>
      </w:pPr>
      <w:r w:rsidRPr="00E262E0">
        <w:rPr>
          <w:rFonts w:ascii="Arial" w:hAnsi="Arial" w:cs="Arial"/>
          <w:lang w:val="en-US"/>
        </w:rPr>
        <w:t xml:space="preserve">The majority of individuals with early-stage </w:t>
      </w:r>
      <w:r w:rsidR="00867AD2" w:rsidRPr="00E262E0">
        <w:rPr>
          <w:rFonts w:ascii="Arial" w:hAnsi="Arial" w:cs="Arial"/>
          <w:lang w:val="en-US"/>
        </w:rPr>
        <w:t>type 1 diabetes</w:t>
      </w:r>
      <w:r w:rsidR="0040088B" w:rsidRPr="00E262E0">
        <w:rPr>
          <w:rFonts w:ascii="Arial" w:hAnsi="Arial" w:cs="Arial"/>
          <w:lang w:val="en-US"/>
        </w:rPr>
        <w:t xml:space="preserve"> identified by population screening</w:t>
      </w:r>
      <w:r w:rsidRPr="00E262E0">
        <w:rPr>
          <w:rFonts w:ascii="Arial" w:hAnsi="Arial" w:cs="Arial"/>
          <w:lang w:val="en-US"/>
        </w:rPr>
        <w:t xml:space="preserve"> are classified as </w:t>
      </w:r>
      <w:r w:rsidR="006272C0" w:rsidRPr="00E262E0">
        <w:rPr>
          <w:rFonts w:ascii="Arial" w:hAnsi="Arial" w:cs="Arial"/>
          <w:lang w:val="en-US"/>
        </w:rPr>
        <w:t>s</w:t>
      </w:r>
      <w:r w:rsidRPr="00E262E0">
        <w:rPr>
          <w:rFonts w:ascii="Arial" w:hAnsi="Arial" w:cs="Arial"/>
          <w:lang w:val="en-US"/>
        </w:rPr>
        <w:t>tage 1</w:t>
      </w:r>
      <w:r w:rsidR="000B70BC" w:rsidRPr="00E262E0">
        <w:rPr>
          <w:rFonts w:ascii="Arial" w:hAnsi="Arial" w:cs="Arial"/>
          <w:lang w:val="en-US"/>
        </w:rPr>
        <w:t xml:space="preserve"> (</w:t>
      </w:r>
      <w:r w:rsidR="00F95270" w:rsidRPr="00E262E0">
        <w:rPr>
          <w:rFonts w:ascii="Arial" w:hAnsi="Arial" w:cs="Arial"/>
          <w:lang w:val="en-US"/>
        </w:rPr>
        <w:t>1,</w:t>
      </w:r>
      <w:r w:rsidR="000B3888" w:rsidRPr="00E262E0">
        <w:rPr>
          <w:rFonts w:ascii="Arial" w:hAnsi="Arial" w:cs="Arial"/>
          <w:lang w:val="en-US"/>
        </w:rPr>
        <w:t xml:space="preserve"> </w:t>
      </w:r>
      <w:r w:rsidR="00F95270" w:rsidRPr="00E262E0">
        <w:rPr>
          <w:rFonts w:ascii="Arial" w:hAnsi="Arial" w:cs="Arial"/>
          <w:lang w:val="en-US"/>
        </w:rPr>
        <w:t>6</w:t>
      </w:r>
      <w:r w:rsidR="000B70BC" w:rsidRPr="00E262E0">
        <w:rPr>
          <w:rFonts w:ascii="Arial" w:hAnsi="Arial" w:cs="Arial"/>
          <w:lang w:val="en-US"/>
        </w:rPr>
        <w:t>)</w:t>
      </w:r>
      <w:r w:rsidRPr="00E262E0">
        <w:rPr>
          <w:rFonts w:ascii="Arial" w:hAnsi="Arial" w:cs="Arial"/>
          <w:lang w:val="en-US"/>
        </w:rPr>
        <w:t xml:space="preserve">. On average, people in </w:t>
      </w:r>
      <w:r w:rsidR="00324B56" w:rsidRPr="00E262E0">
        <w:rPr>
          <w:rFonts w:ascii="Arial" w:hAnsi="Arial" w:cs="Arial"/>
          <w:lang w:val="en-US"/>
        </w:rPr>
        <w:t>s</w:t>
      </w:r>
      <w:r w:rsidRPr="00E262E0">
        <w:rPr>
          <w:rFonts w:ascii="Arial" w:hAnsi="Arial" w:cs="Arial"/>
          <w:lang w:val="en-US"/>
        </w:rPr>
        <w:t xml:space="preserve">tage 1 progress more slowly to clinical </w:t>
      </w:r>
      <w:r w:rsidR="006272C0" w:rsidRPr="00E262E0">
        <w:rPr>
          <w:rFonts w:ascii="Arial" w:hAnsi="Arial" w:cs="Arial"/>
          <w:lang w:val="en-US"/>
        </w:rPr>
        <w:t>s</w:t>
      </w:r>
      <w:r w:rsidRPr="00E262E0">
        <w:rPr>
          <w:rFonts w:ascii="Arial" w:hAnsi="Arial" w:cs="Arial"/>
          <w:lang w:val="en-US"/>
        </w:rPr>
        <w:t xml:space="preserve">tage 3 diabetes than those in </w:t>
      </w:r>
      <w:r w:rsidR="006272C0" w:rsidRPr="00E262E0">
        <w:rPr>
          <w:rFonts w:ascii="Arial" w:hAnsi="Arial" w:cs="Arial"/>
          <w:lang w:val="en-US"/>
        </w:rPr>
        <w:t>s</w:t>
      </w:r>
      <w:r w:rsidRPr="00E262E0">
        <w:rPr>
          <w:rFonts w:ascii="Arial" w:hAnsi="Arial" w:cs="Arial"/>
          <w:lang w:val="en-US"/>
        </w:rPr>
        <w:t>tage 2</w:t>
      </w:r>
      <w:r w:rsidR="000B70BC" w:rsidRPr="00E262E0">
        <w:rPr>
          <w:rFonts w:ascii="Arial" w:hAnsi="Arial" w:cs="Arial"/>
          <w:lang w:val="en-US"/>
        </w:rPr>
        <w:t xml:space="preserve"> (</w:t>
      </w:r>
      <w:r w:rsidR="00F95270" w:rsidRPr="00E262E0">
        <w:rPr>
          <w:rFonts w:ascii="Arial" w:hAnsi="Arial" w:cs="Arial"/>
          <w:lang w:val="en-US"/>
        </w:rPr>
        <w:t>6</w:t>
      </w:r>
      <w:r w:rsidR="00AE1513" w:rsidRPr="00E262E0">
        <w:rPr>
          <w:rFonts w:ascii="Arial" w:hAnsi="Arial" w:cs="Arial"/>
          <w:lang w:val="en-US"/>
        </w:rPr>
        <w:t xml:space="preserve">, </w:t>
      </w:r>
      <w:r w:rsidR="00DB72F5" w:rsidRPr="00E262E0">
        <w:rPr>
          <w:rFonts w:ascii="Arial" w:hAnsi="Arial" w:cs="Arial"/>
          <w:lang w:val="en-US"/>
        </w:rPr>
        <w:t>8</w:t>
      </w:r>
      <w:r w:rsidR="000B70BC" w:rsidRPr="00E262E0">
        <w:rPr>
          <w:rFonts w:ascii="Arial" w:hAnsi="Arial" w:cs="Arial"/>
          <w:lang w:val="en-US"/>
        </w:rPr>
        <w:t>)</w:t>
      </w:r>
      <w:r w:rsidRPr="00E262E0">
        <w:rPr>
          <w:rFonts w:ascii="Arial" w:hAnsi="Arial" w:cs="Arial"/>
          <w:lang w:val="en-US"/>
        </w:rPr>
        <w:t xml:space="preserve">. For </w:t>
      </w:r>
      <w:r w:rsidR="00C76985" w:rsidRPr="00E262E0">
        <w:rPr>
          <w:rFonts w:ascii="Arial" w:hAnsi="Arial" w:cs="Arial"/>
          <w:lang w:val="en-US"/>
        </w:rPr>
        <w:t xml:space="preserve">many </w:t>
      </w:r>
      <w:r w:rsidRPr="00E262E0">
        <w:rPr>
          <w:rFonts w:ascii="Arial" w:hAnsi="Arial" w:cs="Arial"/>
          <w:lang w:val="en-US"/>
        </w:rPr>
        <w:t xml:space="preserve">disease-modifying intervention trials, </w:t>
      </w:r>
      <w:r w:rsidR="00C76985" w:rsidRPr="00E262E0">
        <w:rPr>
          <w:rFonts w:ascii="Arial" w:hAnsi="Arial" w:cs="Arial"/>
          <w:lang w:val="en-US"/>
        </w:rPr>
        <w:t xml:space="preserve">especially those where the intervention therapy is expected to have greatest effects close to the clinical onset of diabetes, </w:t>
      </w:r>
      <w:r w:rsidRPr="00E262E0">
        <w:rPr>
          <w:rFonts w:ascii="Arial" w:hAnsi="Arial" w:cs="Arial"/>
          <w:lang w:val="en-US"/>
        </w:rPr>
        <w:t>individuals with a relatively fast rate of progression</w:t>
      </w:r>
      <w:r w:rsidR="00C76985" w:rsidRPr="00E262E0">
        <w:rPr>
          <w:rFonts w:ascii="Arial" w:hAnsi="Arial" w:cs="Arial"/>
          <w:lang w:val="en-US"/>
        </w:rPr>
        <w:t>, such as those with stage 2,</w:t>
      </w:r>
      <w:r w:rsidRPr="00E262E0">
        <w:rPr>
          <w:rFonts w:ascii="Arial" w:hAnsi="Arial" w:cs="Arial"/>
          <w:lang w:val="en-US"/>
        </w:rPr>
        <w:t xml:space="preserve"> are often preferred</w:t>
      </w:r>
      <w:r w:rsidR="00C76985" w:rsidRPr="00E262E0">
        <w:rPr>
          <w:rFonts w:ascii="Arial" w:hAnsi="Arial" w:cs="Arial"/>
          <w:lang w:val="en-US"/>
        </w:rPr>
        <w:t xml:space="preserve">. </w:t>
      </w:r>
      <w:r w:rsidRPr="00E262E0">
        <w:rPr>
          <w:rFonts w:ascii="Arial" w:hAnsi="Arial" w:cs="Arial"/>
          <w:lang w:val="en-US"/>
        </w:rPr>
        <w:t xml:space="preserve">However, </w:t>
      </w:r>
      <w:r w:rsidR="00200BF8" w:rsidRPr="00E262E0">
        <w:rPr>
          <w:rFonts w:ascii="Arial" w:hAnsi="Arial" w:cs="Arial"/>
          <w:lang w:val="en-US"/>
        </w:rPr>
        <w:t>s</w:t>
      </w:r>
      <w:r w:rsidRPr="00E262E0">
        <w:rPr>
          <w:rFonts w:ascii="Arial" w:hAnsi="Arial" w:cs="Arial"/>
          <w:lang w:val="en-US"/>
        </w:rPr>
        <w:t xml:space="preserve">tage 2 is relatively </w:t>
      </w:r>
      <w:r w:rsidR="0040088B" w:rsidRPr="00E262E0">
        <w:rPr>
          <w:rFonts w:ascii="Arial" w:hAnsi="Arial" w:cs="Arial"/>
          <w:lang w:val="en-US"/>
        </w:rPr>
        <w:t xml:space="preserve">infrequent </w:t>
      </w:r>
      <w:r w:rsidRPr="00E262E0">
        <w:rPr>
          <w:rFonts w:ascii="Arial" w:hAnsi="Arial" w:cs="Arial"/>
          <w:lang w:val="en-US"/>
        </w:rPr>
        <w:t xml:space="preserve">in population-based screenings. At the same time, although staging provides estimates of average progression risk, there is substantial </w:t>
      </w:r>
      <w:r w:rsidR="0040088B" w:rsidRPr="00E262E0">
        <w:rPr>
          <w:rFonts w:ascii="Arial" w:hAnsi="Arial" w:cs="Arial"/>
          <w:lang w:val="en-US"/>
        </w:rPr>
        <w:t xml:space="preserve">inter-individual </w:t>
      </w:r>
      <w:r w:rsidRPr="00E262E0">
        <w:rPr>
          <w:rFonts w:ascii="Arial" w:hAnsi="Arial" w:cs="Arial"/>
          <w:lang w:val="en-US"/>
        </w:rPr>
        <w:t>variability within each stage</w:t>
      </w:r>
      <w:r w:rsidR="00940444" w:rsidRPr="00E262E0">
        <w:rPr>
          <w:rFonts w:ascii="Arial" w:hAnsi="Arial" w:cs="Arial"/>
          <w:lang w:val="en-US"/>
        </w:rPr>
        <w:t xml:space="preserve"> (</w:t>
      </w:r>
      <w:r w:rsidR="00DB72F5" w:rsidRPr="00E262E0">
        <w:rPr>
          <w:rFonts w:ascii="Arial" w:hAnsi="Arial" w:cs="Arial"/>
          <w:lang w:val="en-US"/>
        </w:rPr>
        <w:t>8</w:t>
      </w:r>
      <w:r w:rsidR="00940444" w:rsidRPr="00E262E0">
        <w:rPr>
          <w:rFonts w:ascii="Arial" w:hAnsi="Arial" w:cs="Arial"/>
          <w:lang w:val="en-US"/>
        </w:rPr>
        <w:t xml:space="preserve">, </w:t>
      </w:r>
      <w:r w:rsidR="006A4C9E" w:rsidRPr="00E262E0">
        <w:rPr>
          <w:rFonts w:ascii="Arial" w:hAnsi="Arial" w:cs="Arial"/>
          <w:lang w:val="en-US"/>
        </w:rPr>
        <w:t>9</w:t>
      </w:r>
      <w:r w:rsidR="00940444" w:rsidRPr="00E262E0">
        <w:rPr>
          <w:rFonts w:ascii="Arial" w:hAnsi="Arial" w:cs="Arial"/>
          <w:lang w:val="en-US"/>
        </w:rPr>
        <w:t>)</w:t>
      </w:r>
      <w:r w:rsidRPr="00E262E0">
        <w:rPr>
          <w:rFonts w:ascii="Arial" w:hAnsi="Arial" w:cs="Arial"/>
          <w:lang w:val="en-US"/>
        </w:rPr>
        <w:t>.</w:t>
      </w:r>
    </w:p>
    <w:p w14:paraId="18ECDA35" w14:textId="004AEA9E" w:rsidR="002C1C2B" w:rsidRPr="00E262E0" w:rsidRDefault="002C1C2B" w:rsidP="009045A9">
      <w:pPr>
        <w:pStyle w:val="StandardWeb"/>
        <w:spacing w:before="0" w:beforeAutospacing="0" w:after="0" w:afterAutospacing="0" w:line="480" w:lineRule="auto"/>
        <w:jc w:val="both"/>
        <w:rPr>
          <w:rFonts w:ascii="Arial" w:hAnsi="Arial" w:cs="Arial"/>
          <w:lang w:val="en-US"/>
        </w:rPr>
      </w:pPr>
      <w:r w:rsidRPr="00E262E0">
        <w:rPr>
          <w:rFonts w:ascii="Arial" w:hAnsi="Arial" w:cs="Arial"/>
          <w:lang w:val="en-US"/>
        </w:rPr>
        <w:t xml:space="preserve">To address this, we </w:t>
      </w:r>
      <w:r w:rsidR="0040088B" w:rsidRPr="00E262E0">
        <w:rPr>
          <w:rFonts w:ascii="Arial" w:hAnsi="Arial" w:cs="Arial"/>
          <w:lang w:val="en-US"/>
        </w:rPr>
        <w:t xml:space="preserve">had </w:t>
      </w:r>
      <w:r w:rsidRPr="00E262E0">
        <w:rPr>
          <w:rFonts w:ascii="Arial" w:hAnsi="Arial" w:cs="Arial"/>
          <w:lang w:val="en-US"/>
        </w:rPr>
        <w:t xml:space="preserve">developed a Progression-Likelihood Score (PLS), based on </w:t>
      </w:r>
      <w:r w:rsidR="0040088B" w:rsidRPr="00E262E0">
        <w:rPr>
          <w:rFonts w:ascii="Arial" w:hAnsi="Arial" w:cs="Arial"/>
          <w:lang w:val="en-US"/>
        </w:rPr>
        <w:t xml:space="preserve">values of </w:t>
      </w:r>
      <w:r w:rsidRPr="00E262E0">
        <w:rPr>
          <w:rFonts w:ascii="Arial" w:hAnsi="Arial" w:cs="Arial"/>
          <w:lang w:val="en-US"/>
        </w:rPr>
        <w:t xml:space="preserve">HbA1c, IA-2 autoantibody titer, and the 90-minute glucose value from an oral glucose tolerance test (OGTT), to stratify risk within </w:t>
      </w:r>
      <w:r w:rsidR="00200BF8" w:rsidRPr="00E262E0">
        <w:rPr>
          <w:rFonts w:ascii="Arial" w:hAnsi="Arial" w:cs="Arial"/>
          <w:lang w:val="en-US"/>
        </w:rPr>
        <w:t>s</w:t>
      </w:r>
      <w:r w:rsidRPr="00E262E0">
        <w:rPr>
          <w:rFonts w:ascii="Arial" w:hAnsi="Arial" w:cs="Arial"/>
          <w:lang w:val="en-US"/>
        </w:rPr>
        <w:t>tage 1</w:t>
      </w:r>
      <w:r w:rsidR="000B70BC" w:rsidRPr="00E262E0">
        <w:rPr>
          <w:rFonts w:ascii="Arial" w:hAnsi="Arial" w:cs="Arial"/>
          <w:lang w:val="en-US"/>
        </w:rPr>
        <w:t xml:space="preserve"> (</w:t>
      </w:r>
      <w:r w:rsidR="006A4C9E" w:rsidRPr="00E262E0">
        <w:rPr>
          <w:rFonts w:ascii="Arial" w:hAnsi="Arial" w:cs="Arial"/>
          <w:lang w:val="en-US"/>
        </w:rPr>
        <w:t>6</w:t>
      </w:r>
      <w:r w:rsidR="000B70BC" w:rsidRPr="00E262E0">
        <w:rPr>
          <w:rFonts w:ascii="Arial" w:hAnsi="Arial" w:cs="Arial"/>
          <w:lang w:val="en-US"/>
        </w:rPr>
        <w:t>)</w:t>
      </w:r>
      <w:r w:rsidRPr="00E262E0">
        <w:rPr>
          <w:rFonts w:ascii="Arial" w:hAnsi="Arial" w:cs="Arial"/>
          <w:lang w:val="en-US"/>
        </w:rPr>
        <w:t xml:space="preserve">. The PLS identifies a subgroup </w:t>
      </w:r>
      <w:r w:rsidR="0040088B" w:rsidRPr="00E262E0">
        <w:rPr>
          <w:rFonts w:ascii="Arial" w:hAnsi="Arial" w:cs="Arial"/>
          <w:lang w:val="en-US"/>
        </w:rPr>
        <w:t xml:space="preserve">within those with stage 1 </w:t>
      </w:r>
      <w:r w:rsidR="00867AD2" w:rsidRPr="00E262E0">
        <w:rPr>
          <w:rFonts w:ascii="Arial" w:hAnsi="Arial" w:cs="Arial"/>
          <w:lang w:val="en-US"/>
        </w:rPr>
        <w:t>type 1 diabetes</w:t>
      </w:r>
      <w:r w:rsidR="0040088B" w:rsidRPr="00E262E0">
        <w:rPr>
          <w:rFonts w:ascii="Arial" w:hAnsi="Arial" w:cs="Arial"/>
          <w:lang w:val="en-US"/>
        </w:rPr>
        <w:t xml:space="preserve"> who have a relatively </w:t>
      </w:r>
      <w:r w:rsidRPr="00E262E0">
        <w:rPr>
          <w:rFonts w:ascii="Arial" w:hAnsi="Arial" w:cs="Arial"/>
          <w:lang w:val="en-US"/>
        </w:rPr>
        <w:t xml:space="preserve">rapid progression, as well as approximately one-third of individuals who </w:t>
      </w:r>
      <w:r w:rsidR="00216ED3" w:rsidRPr="00E262E0">
        <w:rPr>
          <w:rFonts w:ascii="Arial" w:hAnsi="Arial" w:cs="Arial"/>
          <w:lang w:val="en-US"/>
        </w:rPr>
        <w:t>show no progression over the first two years</w:t>
      </w:r>
      <w:r w:rsidRPr="00E262E0">
        <w:rPr>
          <w:rFonts w:ascii="Arial" w:hAnsi="Arial" w:cs="Arial"/>
          <w:lang w:val="en-US"/>
        </w:rPr>
        <w:t xml:space="preserve">. </w:t>
      </w:r>
      <w:r w:rsidR="0040088B" w:rsidRPr="00E262E0">
        <w:rPr>
          <w:rFonts w:ascii="Arial" w:hAnsi="Arial" w:cs="Arial"/>
          <w:lang w:val="en-US"/>
        </w:rPr>
        <w:t>Others have developed dynamic scores that provide a risk estimate using algo</w:t>
      </w:r>
      <w:r w:rsidR="00E262E0">
        <w:rPr>
          <w:rFonts w:ascii="Arial" w:hAnsi="Arial" w:cs="Arial"/>
          <w:lang w:val="en-US"/>
        </w:rPr>
        <w:t>r</w:t>
      </w:r>
      <w:r w:rsidR="0040088B" w:rsidRPr="00E262E0">
        <w:rPr>
          <w:rFonts w:ascii="Arial" w:hAnsi="Arial" w:cs="Arial"/>
          <w:lang w:val="en-US"/>
        </w:rPr>
        <w:t>ithms of a range of variables</w:t>
      </w:r>
      <w:r w:rsidR="004044DA" w:rsidRPr="00E262E0">
        <w:rPr>
          <w:rFonts w:ascii="Arial" w:hAnsi="Arial" w:cs="Arial"/>
          <w:lang w:val="en-US"/>
        </w:rPr>
        <w:t xml:space="preserve"> (</w:t>
      </w:r>
      <w:r w:rsidR="00A700E2" w:rsidRPr="00E262E0">
        <w:rPr>
          <w:rFonts w:ascii="Arial" w:hAnsi="Arial" w:cs="Arial"/>
          <w:lang w:val="en-US"/>
        </w:rPr>
        <w:t>10-12</w:t>
      </w:r>
      <w:r w:rsidR="004044DA" w:rsidRPr="00E262E0">
        <w:rPr>
          <w:rFonts w:ascii="Arial" w:hAnsi="Arial" w:cs="Arial"/>
          <w:lang w:val="en-US"/>
        </w:rPr>
        <w:t>)</w:t>
      </w:r>
      <w:r w:rsidR="0040088B" w:rsidRPr="00E262E0">
        <w:rPr>
          <w:rFonts w:ascii="Arial" w:hAnsi="Arial" w:cs="Arial"/>
          <w:lang w:val="en-US"/>
        </w:rPr>
        <w:t xml:space="preserve">. These </w:t>
      </w:r>
      <w:r w:rsidR="0040088B" w:rsidRPr="00E262E0">
        <w:rPr>
          <w:rFonts w:ascii="Arial" w:hAnsi="Arial" w:cs="Arial"/>
          <w:lang w:val="en-US"/>
        </w:rPr>
        <w:lastRenderedPageBreak/>
        <w:t>attempts at r</w:t>
      </w:r>
      <w:r w:rsidR="00216ED3" w:rsidRPr="00E262E0">
        <w:rPr>
          <w:rFonts w:ascii="Arial" w:hAnsi="Arial" w:cs="Arial"/>
          <w:lang w:val="en-US"/>
        </w:rPr>
        <w:t xml:space="preserve">isk scores may help improve the management of early-stage </w:t>
      </w:r>
      <w:r w:rsidR="00867AD2" w:rsidRPr="00E262E0">
        <w:rPr>
          <w:rFonts w:ascii="Arial" w:hAnsi="Arial" w:cs="Arial"/>
          <w:lang w:val="en-US"/>
        </w:rPr>
        <w:t>type 1 diabetes</w:t>
      </w:r>
      <w:r w:rsidR="00216ED3" w:rsidRPr="00E262E0">
        <w:rPr>
          <w:rFonts w:ascii="Arial" w:hAnsi="Arial" w:cs="Arial"/>
          <w:lang w:val="en-US"/>
        </w:rPr>
        <w:t xml:space="preserve"> by enabling more cost-effective, risk-adapted follow-up strategies and </w:t>
      </w:r>
      <w:r w:rsidR="0040088B" w:rsidRPr="00E262E0">
        <w:rPr>
          <w:rFonts w:ascii="Arial" w:hAnsi="Arial" w:cs="Arial"/>
          <w:lang w:val="en-US"/>
        </w:rPr>
        <w:t xml:space="preserve">potentially </w:t>
      </w:r>
      <w:r w:rsidR="00216ED3" w:rsidRPr="00E262E0">
        <w:rPr>
          <w:rFonts w:ascii="Arial" w:hAnsi="Arial" w:cs="Arial"/>
          <w:lang w:val="en-US"/>
        </w:rPr>
        <w:t>identify sub-groups suitable for intervention therapies.</w:t>
      </w:r>
    </w:p>
    <w:p w14:paraId="517BE424" w14:textId="1C27E6F7" w:rsidR="002C1C2B" w:rsidRPr="00E262E0" w:rsidRDefault="0040088B" w:rsidP="009045A9">
      <w:pPr>
        <w:pStyle w:val="StandardWeb"/>
        <w:spacing w:before="0" w:beforeAutospacing="0" w:after="0" w:afterAutospacing="0" w:line="480" w:lineRule="auto"/>
        <w:jc w:val="both"/>
        <w:rPr>
          <w:rFonts w:ascii="Arial" w:hAnsi="Arial" w:cs="Arial"/>
          <w:lang w:val="en-US"/>
        </w:rPr>
      </w:pPr>
      <w:r w:rsidRPr="00E262E0">
        <w:rPr>
          <w:rFonts w:ascii="Arial" w:hAnsi="Arial" w:cs="Arial"/>
          <w:lang w:val="en-US"/>
        </w:rPr>
        <w:t xml:space="preserve">The PLS is practical since few measurements are required. </w:t>
      </w:r>
      <w:r w:rsidR="002C1C2B" w:rsidRPr="00E262E0">
        <w:rPr>
          <w:rFonts w:ascii="Arial" w:hAnsi="Arial" w:cs="Arial"/>
          <w:lang w:val="en-US"/>
        </w:rPr>
        <w:t xml:space="preserve">However, </w:t>
      </w:r>
      <w:r w:rsidR="009C7658">
        <w:rPr>
          <w:rFonts w:ascii="Arial" w:hAnsi="Arial" w:cs="Arial"/>
          <w:lang w:val="en-US"/>
        </w:rPr>
        <w:t xml:space="preserve">dysglycemia definitions used to classify </w:t>
      </w:r>
      <w:r w:rsidRPr="00E262E0">
        <w:rPr>
          <w:rFonts w:ascii="Arial" w:hAnsi="Arial" w:cs="Arial"/>
          <w:lang w:val="en-US"/>
        </w:rPr>
        <w:t>stage 1 and 2</w:t>
      </w:r>
      <w:r w:rsidR="002C1C2B" w:rsidRPr="00E262E0">
        <w:rPr>
          <w:rFonts w:ascii="Arial" w:hAnsi="Arial" w:cs="Arial"/>
          <w:lang w:val="en-US"/>
        </w:rPr>
        <w:t xml:space="preserve"> continue to evolve, influencing estimates of disease progression. </w:t>
      </w:r>
      <w:r w:rsidR="009C7658">
        <w:rPr>
          <w:rFonts w:ascii="Arial" w:hAnsi="Arial" w:cs="Arial"/>
          <w:lang w:val="en-US"/>
        </w:rPr>
        <w:t>Earlier definitions of s</w:t>
      </w:r>
      <w:r w:rsidR="002C1C2B" w:rsidRPr="00E262E0">
        <w:rPr>
          <w:rFonts w:ascii="Arial" w:hAnsi="Arial" w:cs="Arial"/>
          <w:lang w:val="en-US"/>
        </w:rPr>
        <w:t>tage 2 required confirmed abnormalities in the OGTT, without incorporating HbA1c</w:t>
      </w:r>
      <w:r w:rsidR="000B70BC" w:rsidRPr="00E262E0">
        <w:rPr>
          <w:rFonts w:ascii="Arial" w:hAnsi="Arial" w:cs="Arial"/>
          <w:lang w:val="en-US"/>
        </w:rPr>
        <w:t xml:space="preserve"> (</w:t>
      </w:r>
      <w:r w:rsidR="002D001B" w:rsidRPr="00E262E0">
        <w:rPr>
          <w:rFonts w:ascii="Arial" w:hAnsi="Arial" w:cs="Arial"/>
          <w:lang w:val="en-US"/>
        </w:rPr>
        <w:t>8</w:t>
      </w:r>
      <w:r w:rsidR="00906E4E" w:rsidRPr="00E262E0">
        <w:rPr>
          <w:rFonts w:ascii="Arial" w:hAnsi="Arial" w:cs="Arial"/>
          <w:lang w:val="en-US"/>
        </w:rPr>
        <w:t>, 13</w:t>
      </w:r>
      <w:r w:rsidR="000B70BC" w:rsidRPr="00E262E0">
        <w:rPr>
          <w:rFonts w:ascii="Arial" w:hAnsi="Arial" w:cs="Arial"/>
          <w:lang w:val="en-US"/>
        </w:rPr>
        <w:t>)</w:t>
      </w:r>
      <w:r w:rsidR="009C7658">
        <w:rPr>
          <w:rFonts w:ascii="Arial" w:hAnsi="Arial" w:cs="Arial"/>
          <w:lang w:val="en-US"/>
        </w:rPr>
        <w:t>. C</w:t>
      </w:r>
      <w:r w:rsidR="002C1C2B" w:rsidRPr="00E262E0">
        <w:rPr>
          <w:rFonts w:ascii="Arial" w:hAnsi="Arial" w:cs="Arial"/>
          <w:lang w:val="en-US"/>
        </w:rPr>
        <w:t xml:space="preserve">urrent </w:t>
      </w:r>
      <w:r w:rsidR="009C7658">
        <w:rPr>
          <w:rFonts w:ascii="Arial" w:hAnsi="Arial" w:cs="Arial"/>
          <w:lang w:val="en-US"/>
        </w:rPr>
        <w:t xml:space="preserve">American Diabetes Association (ADA) </w:t>
      </w:r>
      <w:r w:rsidR="002C1C2B" w:rsidRPr="00E262E0">
        <w:rPr>
          <w:rFonts w:ascii="Arial" w:hAnsi="Arial" w:cs="Arial"/>
          <w:lang w:val="en-US"/>
        </w:rPr>
        <w:t xml:space="preserve">criteria </w:t>
      </w:r>
      <w:r w:rsidR="009C7658">
        <w:rPr>
          <w:rFonts w:ascii="Arial" w:hAnsi="Arial" w:cs="Arial"/>
          <w:lang w:val="en-US"/>
        </w:rPr>
        <w:t xml:space="preserve">have aligned </w:t>
      </w:r>
      <w:r w:rsidR="009941CD">
        <w:rPr>
          <w:rFonts w:ascii="Arial" w:hAnsi="Arial" w:cs="Arial"/>
          <w:lang w:val="en-US"/>
        </w:rPr>
        <w:t>the definition of</w:t>
      </w:r>
      <w:r w:rsidR="00E03BBF">
        <w:rPr>
          <w:rFonts w:ascii="Arial" w:hAnsi="Arial" w:cs="Arial"/>
          <w:lang w:val="en-US"/>
        </w:rPr>
        <w:t xml:space="preserve"> dysglycemia to </w:t>
      </w:r>
      <w:r w:rsidR="009941CD">
        <w:rPr>
          <w:rFonts w:ascii="Arial" w:hAnsi="Arial" w:cs="Arial"/>
          <w:lang w:val="en-US"/>
        </w:rPr>
        <w:t>that</w:t>
      </w:r>
      <w:r w:rsidR="00E03BBF">
        <w:rPr>
          <w:rFonts w:ascii="Arial" w:hAnsi="Arial" w:cs="Arial"/>
          <w:lang w:val="en-US"/>
        </w:rPr>
        <w:t xml:space="preserve"> used for preclinical type 2 diabetes</w:t>
      </w:r>
      <w:r w:rsidR="00C02100">
        <w:rPr>
          <w:rFonts w:ascii="Arial" w:hAnsi="Arial" w:cs="Arial"/>
          <w:lang w:val="en-US"/>
        </w:rPr>
        <w:t xml:space="preserve"> (4)</w:t>
      </w:r>
      <w:r w:rsidR="009941CD">
        <w:rPr>
          <w:rFonts w:ascii="Arial" w:hAnsi="Arial" w:cs="Arial"/>
          <w:lang w:val="en-US"/>
        </w:rPr>
        <w:t>, which</w:t>
      </w:r>
      <w:r w:rsidR="00E03BBF">
        <w:rPr>
          <w:rFonts w:ascii="Arial" w:hAnsi="Arial" w:cs="Arial"/>
          <w:lang w:val="en-US"/>
        </w:rPr>
        <w:t xml:space="preserve"> </w:t>
      </w:r>
      <w:r w:rsidR="002C1C2B" w:rsidRPr="00E262E0">
        <w:rPr>
          <w:rFonts w:ascii="Arial" w:hAnsi="Arial" w:cs="Arial"/>
          <w:lang w:val="en-US"/>
        </w:rPr>
        <w:t>allow</w:t>
      </w:r>
      <w:r w:rsidR="009941CD">
        <w:rPr>
          <w:rFonts w:ascii="Arial" w:hAnsi="Arial" w:cs="Arial"/>
          <w:lang w:val="en-US"/>
        </w:rPr>
        <w:t>s</w:t>
      </w:r>
      <w:r w:rsidR="002C1C2B" w:rsidRPr="00E262E0">
        <w:rPr>
          <w:rFonts w:ascii="Arial" w:hAnsi="Arial" w:cs="Arial"/>
          <w:lang w:val="en-US"/>
        </w:rPr>
        <w:t xml:space="preserve"> for a </w:t>
      </w:r>
      <w:r w:rsidR="00200BF8" w:rsidRPr="00E262E0">
        <w:rPr>
          <w:rFonts w:ascii="Arial" w:hAnsi="Arial" w:cs="Arial"/>
          <w:lang w:val="en-US"/>
        </w:rPr>
        <w:t>s</w:t>
      </w:r>
      <w:r w:rsidR="002C1C2B" w:rsidRPr="00E262E0">
        <w:rPr>
          <w:rFonts w:ascii="Arial" w:hAnsi="Arial" w:cs="Arial"/>
          <w:lang w:val="en-US"/>
        </w:rPr>
        <w:t xml:space="preserve">tage 2 classification based on a single unconfirmed glycemic abnormality, including HbA1c or fasting glucose values </w:t>
      </w:r>
      <w:r w:rsidR="00E03BBF">
        <w:rPr>
          <w:rFonts w:ascii="Arial" w:hAnsi="Arial" w:cs="Arial"/>
          <w:lang w:val="en-US"/>
        </w:rPr>
        <w:t xml:space="preserve">down to </w:t>
      </w:r>
      <w:r w:rsidR="002C1C2B" w:rsidRPr="00E262E0">
        <w:rPr>
          <w:rFonts w:ascii="Arial" w:hAnsi="Arial" w:cs="Arial"/>
          <w:lang w:val="en-US"/>
        </w:rPr>
        <w:t xml:space="preserve">100 mg/dL. As a result, individuals previously classified as </w:t>
      </w:r>
      <w:r w:rsidR="00200BF8" w:rsidRPr="00E262E0">
        <w:rPr>
          <w:rFonts w:ascii="Arial" w:hAnsi="Arial" w:cs="Arial"/>
          <w:lang w:val="en-US"/>
        </w:rPr>
        <w:t>s</w:t>
      </w:r>
      <w:r w:rsidR="002C1C2B" w:rsidRPr="00E262E0">
        <w:rPr>
          <w:rFonts w:ascii="Arial" w:hAnsi="Arial" w:cs="Arial"/>
          <w:lang w:val="en-US"/>
        </w:rPr>
        <w:t xml:space="preserve">tage 1 may now fall under </w:t>
      </w:r>
      <w:r w:rsidR="00200BF8" w:rsidRPr="00E262E0">
        <w:rPr>
          <w:rFonts w:ascii="Arial" w:hAnsi="Arial" w:cs="Arial"/>
          <w:lang w:val="en-US"/>
        </w:rPr>
        <w:t>s</w:t>
      </w:r>
      <w:r w:rsidR="002C1C2B" w:rsidRPr="00E262E0">
        <w:rPr>
          <w:rFonts w:ascii="Arial" w:hAnsi="Arial" w:cs="Arial"/>
          <w:lang w:val="en-US"/>
        </w:rPr>
        <w:t xml:space="preserve">tage 2. Our PLS was developed using the earlier definition of </w:t>
      </w:r>
      <w:r w:rsidR="00200BF8" w:rsidRPr="00E262E0">
        <w:rPr>
          <w:rFonts w:ascii="Arial" w:hAnsi="Arial" w:cs="Arial"/>
          <w:lang w:val="en-US"/>
        </w:rPr>
        <w:t>s</w:t>
      </w:r>
      <w:r w:rsidR="002C1C2B" w:rsidRPr="00E262E0">
        <w:rPr>
          <w:rFonts w:ascii="Arial" w:hAnsi="Arial" w:cs="Arial"/>
          <w:lang w:val="en-US"/>
        </w:rPr>
        <w:t xml:space="preserve">tage 1, and it remains unclear how well the score performs under </w:t>
      </w:r>
      <w:r w:rsidR="00E03BBF">
        <w:rPr>
          <w:rFonts w:ascii="Arial" w:hAnsi="Arial" w:cs="Arial"/>
          <w:lang w:val="en-US"/>
        </w:rPr>
        <w:t xml:space="preserve">the </w:t>
      </w:r>
      <w:r w:rsidR="002C1C2B" w:rsidRPr="00E262E0">
        <w:rPr>
          <w:rFonts w:ascii="Arial" w:hAnsi="Arial" w:cs="Arial"/>
          <w:lang w:val="en-US"/>
        </w:rPr>
        <w:t xml:space="preserve">current </w:t>
      </w:r>
      <w:r w:rsidR="00E03BBF">
        <w:rPr>
          <w:rFonts w:ascii="Arial" w:hAnsi="Arial" w:cs="Arial"/>
          <w:lang w:val="en-US"/>
        </w:rPr>
        <w:t xml:space="preserve">ADA </w:t>
      </w:r>
      <w:r w:rsidR="002C1C2B" w:rsidRPr="00E262E0">
        <w:rPr>
          <w:rFonts w:ascii="Arial" w:hAnsi="Arial" w:cs="Arial"/>
          <w:lang w:val="en-US"/>
        </w:rPr>
        <w:t>staging criteria. Furthermore, the PLS and similar tools rely on OGTT-derived measures, a procedure that is often poorly accepted by children and their families</w:t>
      </w:r>
      <w:r w:rsidR="00E03BBF">
        <w:rPr>
          <w:rFonts w:ascii="Arial" w:hAnsi="Arial" w:cs="Arial"/>
          <w:lang w:val="en-US"/>
        </w:rPr>
        <w:t xml:space="preserve"> (</w:t>
      </w:r>
      <w:r w:rsidR="0051176F">
        <w:rPr>
          <w:rFonts w:ascii="Arial" w:hAnsi="Arial" w:cs="Arial"/>
          <w:lang w:val="en-US"/>
        </w:rPr>
        <w:t>14</w:t>
      </w:r>
      <w:r w:rsidR="00E03BBF">
        <w:rPr>
          <w:rFonts w:ascii="Arial" w:hAnsi="Arial" w:cs="Arial"/>
          <w:lang w:val="en-US"/>
        </w:rPr>
        <w:t>)</w:t>
      </w:r>
      <w:r w:rsidR="002C1C2B" w:rsidRPr="00E262E0">
        <w:rPr>
          <w:rFonts w:ascii="Arial" w:hAnsi="Arial" w:cs="Arial"/>
          <w:lang w:val="en-US"/>
        </w:rPr>
        <w:t>, limiting its practical use in large-scale screening or follow-up programs.</w:t>
      </w:r>
    </w:p>
    <w:p w14:paraId="7718507B" w14:textId="3EDD29F1" w:rsidR="00340831" w:rsidRPr="00E262E0" w:rsidRDefault="00513E01" w:rsidP="009045A9">
      <w:pPr>
        <w:pStyle w:val="StandardWeb"/>
        <w:spacing w:before="0" w:beforeAutospacing="0" w:after="0" w:afterAutospacing="0" w:line="480" w:lineRule="auto"/>
        <w:jc w:val="both"/>
        <w:rPr>
          <w:rFonts w:ascii="Arial" w:hAnsi="Arial" w:cs="Arial"/>
          <w:lang w:val="en-US"/>
        </w:rPr>
      </w:pPr>
      <w:r w:rsidRPr="00E262E0">
        <w:rPr>
          <w:rFonts w:ascii="Arial" w:hAnsi="Arial" w:cs="Arial"/>
          <w:lang w:val="en-US"/>
        </w:rPr>
        <w:t xml:space="preserve">Here we examine </w:t>
      </w:r>
      <w:r w:rsidR="006B0F1D" w:rsidRPr="00E262E0">
        <w:rPr>
          <w:rFonts w:ascii="Arial" w:hAnsi="Arial" w:cs="Arial"/>
          <w:lang w:val="en-US"/>
        </w:rPr>
        <w:t xml:space="preserve">1) </w:t>
      </w:r>
      <w:r w:rsidRPr="00E262E0">
        <w:rPr>
          <w:rFonts w:ascii="Arial" w:hAnsi="Arial" w:cs="Arial"/>
          <w:lang w:val="en-US"/>
        </w:rPr>
        <w:t xml:space="preserve">the performance of the PLS </w:t>
      </w:r>
      <w:r w:rsidR="0040088B" w:rsidRPr="00E262E0">
        <w:rPr>
          <w:rFonts w:ascii="Arial" w:hAnsi="Arial" w:cs="Arial"/>
          <w:lang w:val="en-US"/>
        </w:rPr>
        <w:t xml:space="preserve">in individuals with updated </w:t>
      </w:r>
      <w:r w:rsidR="00300865" w:rsidRPr="00E262E0">
        <w:rPr>
          <w:rFonts w:ascii="Arial" w:hAnsi="Arial" w:cs="Arial"/>
          <w:lang w:val="en-US"/>
        </w:rPr>
        <w:t>early</w:t>
      </w:r>
      <w:r w:rsidR="0009083E" w:rsidRPr="00E262E0">
        <w:rPr>
          <w:rFonts w:ascii="Arial" w:hAnsi="Arial" w:cs="Arial"/>
          <w:lang w:val="en-US"/>
        </w:rPr>
        <w:t>-</w:t>
      </w:r>
      <w:r w:rsidR="00300865" w:rsidRPr="00E262E0">
        <w:rPr>
          <w:rFonts w:ascii="Arial" w:hAnsi="Arial" w:cs="Arial"/>
          <w:lang w:val="en-US"/>
        </w:rPr>
        <w:t xml:space="preserve">stage </w:t>
      </w:r>
      <w:r w:rsidR="0040088B" w:rsidRPr="00E262E0">
        <w:rPr>
          <w:rFonts w:ascii="Arial" w:hAnsi="Arial" w:cs="Arial"/>
          <w:lang w:val="en-US"/>
        </w:rPr>
        <w:t xml:space="preserve">criteria </w:t>
      </w:r>
      <w:r w:rsidR="009C4214" w:rsidRPr="00E262E0">
        <w:rPr>
          <w:rFonts w:ascii="Arial" w:hAnsi="Arial" w:cs="Arial"/>
          <w:lang w:val="en-US"/>
        </w:rPr>
        <w:t xml:space="preserve">and </w:t>
      </w:r>
      <w:r w:rsidR="006B0F1D" w:rsidRPr="00E262E0">
        <w:rPr>
          <w:rFonts w:ascii="Arial" w:hAnsi="Arial" w:cs="Arial"/>
          <w:lang w:val="en-US"/>
        </w:rPr>
        <w:t xml:space="preserve">2) </w:t>
      </w:r>
      <w:r w:rsidR="00340831" w:rsidRPr="00E262E0">
        <w:rPr>
          <w:rFonts w:ascii="Arial" w:hAnsi="Arial" w:cs="Arial"/>
          <w:lang w:val="en-US"/>
        </w:rPr>
        <w:t xml:space="preserve">the potential of additional markers, such as islet autoantibody epitopes, to </w:t>
      </w:r>
      <w:r w:rsidR="006B0F1D" w:rsidRPr="00E262E0">
        <w:rPr>
          <w:rFonts w:ascii="Arial" w:hAnsi="Arial" w:cs="Arial"/>
          <w:lang w:val="en-US"/>
        </w:rPr>
        <w:t>allow/permit</w:t>
      </w:r>
      <w:r w:rsidR="00340831" w:rsidRPr="00E262E0">
        <w:rPr>
          <w:rFonts w:ascii="Arial" w:hAnsi="Arial" w:cs="Arial"/>
          <w:lang w:val="en-US"/>
        </w:rPr>
        <w:t xml:space="preserve"> risk stratification</w:t>
      </w:r>
      <w:r w:rsidR="00940444" w:rsidRPr="00E262E0">
        <w:rPr>
          <w:rFonts w:ascii="Arial" w:hAnsi="Arial" w:cs="Arial"/>
          <w:lang w:val="en-US"/>
        </w:rPr>
        <w:t xml:space="preserve"> </w:t>
      </w:r>
      <w:r w:rsidR="00340831" w:rsidRPr="00E262E0">
        <w:rPr>
          <w:rFonts w:ascii="Arial" w:hAnsi="Arial" w:cs="Arial"/>
          <w:lang w:val="en-US"/>
        </w:rPr>
        <w:t xml:space="preserve">without OGTT. These analyses are conducted in an extended cohort of children diagnosed with early-stage </w:t>
      </w:r>
      <w:r w:rsidR="001E3FAE" w:rsidRPr="00E262E0">
        <w:rPr>
          <w:rFonts w:ascii="Arial" w:hAnsi="Arial" w:cs="Arial"/>
          <w:lang w:val="en-US"/>
        </w:rPr>
        <w:t>type 1 diabetes</w:t>
      </w:r>
      <w:r w:rsidR="00340831" w:rsidRPr="00E262E0">
        <w:rPr>
          <w:rFonts w:ascii="Arial" w:hAnsi="Arial" w:cs="Arial"/>
          <w:lang w:val="en-US"/>
        </w:rPr>
        <w:t xml:space="preserve"> in the Fr1da study, as well as in an independent validation cohort from other Munich-based screening studies.</w:t>
      </w:r>
    </w:p>
    <w:p w14:paraId="27CA03D3" w14:textId="77777777" w:rsidR="00FC666C" w:rsidRPr="00E262E0" w:rsidRDefault="00FC666C" w:rsidP="009045A9">
      <w:pPr>
        <w:spacing w:after="0" w:line="480" w:lineRule="auto"/>
        <w:jc w:val="both"/>
        <w:rPr>
          <w:rFonts w:ascii="Arial" w:hAnsi="Arial" w:cs="Arial"/>
          <w:b/>
          <w:bCs/>
          <w:sz w:val="24"/>
          <w:szCs w:val="24"/>
          <w:lang w:val="en-US"/>
        </w:rPr>
      </w:pPr>
    </w:p>
    <w:p w14:paraId="45C2029A" w14:textId="77777777" w:rsidR="00BE3128" w:rsidRPr="00E262E0" w:rsidRDefault="00BE3128" w:rsidP="009045A9">
      <w:pPr>
        <w:spacing w:after="0" w:line="480" w:lineRule="auto"/>
        <w:jc w:val="both"/>
        <w:rPr>
          <w:rFonts w:ascii="Arial" w:hAnsi="Arial" w:cs="Arial"/>
          <w:b/>
          <w:bCs/>
          <w:sz w:val="24"/>
          <w:szCs w:val="24"/>
          <w:lang w:val="en-US"/>
        </w:rPr>
      </w:pPr>
      <w:r w:rsidRPr="00E262E0">
        <w:rPr>
          <w:rFonts w:ascii="Arial" w:hAnsi="Arial" w:cs="Arial"/>
          <w:b/>
          <w:bCs/>
          <w:sz w:val="24"/>
          <w:szCs w:val="24"/>
          <w:lang w:val="en-US"/>
        </w:rPr>
        <w:t>Research Design and Methods</w:t>
      </w:r>
    </w:p>
    <w:p w14:paraId="6C32417C" w14:textId="1A583A51" w:rsidR="00AC2B42" w:rsidRPr="00E262E0" w:rsidRDefault="00BF060A" w:rsidP="009045A9">
      <w:pPr>
        <w:spacing w:after="0" w:line="480" w:lineRule="auto"/>
        <w:jc w:val="both"/>
        <w:rPr>
          <w:rFonts w:ascii="Arial" w:hAnsi="Arial" w:cs="Arial"/>
          <w:b/>
          <w:bCs/>
          <w:sz w:val="24"/>
          <w:szCs w:val="24"/>
          <w:lang w:val="en-US"/>
        </w:rPr>
      </w:pPr>
      <w:r w:rsidRPr="00E262E0">
        <w:rPr>
          <w:rFonts w:ascii="Arial" w:hAnsi="Arial" w:cs="Arial"/>
          <w:b/>
          <w:bCs/>
          <w:sz w:val="24"/>
          <w:szCs w:val="24"/>
          <w:lang w:val="en-US"/>
        </w:rPr>
        <w:t xml:space="preserve">Study </w:t>
      </w:r>
      <w:r w:rsidR="005C3E0E" w:rsidRPr="00E262E0">
        <w:rPr>
          <w:rFonts w:ascii="Arial" w:hAnsi="Arial" w:cs="Arial"/>
          <w:b/>
          <w:bCs/>
          <w:sz w:val="24"/>
          <w:szCs w:val="24"/>
          <w:lang w:val="en-US"/>
        </w:rPr>
        <w:t>P</w:t>
      </w:r>
      <w:r w:rsidR="00AC2B42" w:rsidRPr="00E262E0">
        <w:rPr>
          <w:rFonts w:ascii="Arial" w:hAnsi="Arial" w:cs="Arial"/>
          <w:b/>
          <w:bCs/>
          <w:sz w:val="24"/>
          <w:szCs w:val="24"/>
          <w:lang w:val="en-US"/>
        </w:rPr>
        <w:t>opulation</w:t>
      </w:r>
      <w:r w:rsidR="007F5D67" w:rsidRPr="00E262E0">
        <w:rPr>
          <w:rFonts w:ascii="Arial" w:hAnsi="Arial" w:cs="Arial"/>
          <w:b/>
          <w:bCs/>
          <w:sz w:val="24"/>
          <w:szCs w:val="24"/>
          <w:lang w:val="en-US"/>
        </w:rPr>
        <w:t xml:space="preserve"> </w:t>
      </w:r>
    </w:p>
    <w:p w14:paraId="24B7A67D" w14:textId="332732AC" w:rsidR="008D04FA" w:rsidRPr="00E262E0" w:rsidRDefault="005C3E0E" w:rsidP="009045A9">
      <w:pPr>
        <w:spacing w:after="0" w:line="480" w:lineRule="auto"/>
        <w:jc w:val="both"/>
        <w:rPr>
          <w:rFonts w:ascii="Arial" w:hAnsi="Arial" w:cs="Arial"/>
          <w:sz w:val="24"/>
          <w:szCs w:val="24"/>
          <w:lang w:val="en-US"/>
        </w:rPr>
      </w:pPr>
      <w:r w:rsidRPr="00E262E0">
        <w:rPr>
          <w:rFonts w:ascii="Arial" w:hAnsi="Arial" w:cs="Arial"/>
          <w:sz w:val="24"/>
          <w:szCs w:val="24"/>
          <w:lang w:val="en-US"/>
        </w:rPr>
        <w:lastRenderedPageBreak/>
        <w:t xml:space="preserve">Between February 2015 and </w:t>
      </w:r>
      <w:r w:rsidR="00334A26" w:rsidRPr="00E262E0">
        <w:rPr>
          <w:rFonts w:ascii="Arial" w:hAnsi="Arial" w:cs="Arial"/>
          <w:sz w:val="24"/>
          <w:szCs w:val="24"/>
          <w:lang w:val="en-US"/>
        </w:rPr>
        <w:t>June</w:t>
      </w:r>
      <w:r w:rsidRPr="00E262E0">
        <w:rPr>
          <w:rFonts w:ascii="Arial" w:hAnsi="Arial" w:cs="Arial"/>
          <w:sz w:val="24"/>
          <w:szCs w:val="24"/>
          <w:lang w:val="en-US"/>
        </w:rPr>
        <w:t xml:space="preserve"> 202</w:t>
      </w:r>
      <w:r w:rsidR="00334A26" w:rsidRPr="00E262E0">
        <w:rPr>
          <w:rFonts w:ascii="Arial" w:hAnsi="Arial" w:cs="Arial"/>
          <w:sz w:val="24"/>
          <w:szCs w:val="24"/>
          <w:lang w:val="en-US"/>
        </w:rPr>
        <w:t>5</w:t>
      </w:r>
      <w:r w:rsidRPr="00E262E0">
        <w:rPr>
          <w:rFonts w:ascii="Arial" w:hAnsi="Arial" w:cs="Arial"/>
          <w:sz w:val="24"/>
          <w:szCs w:val="24"/>
          <w:lang w:val="en-US"/>
        </w:rPr>
        <w:t xml:space="preserve">, children in Bavaria, Germany, with no previous diagnosis of diabetes were offered screening for islet autoantibodies by primary care </w:t>
      </w:r>
      <w:r w:rsidR="00AC2B42" w:rsidRPr="00E262E0">
        <w:rPr>
          <w:rFonts w:ascii="Arial" w:hAnsi="Arial" w:cs="Arial"/>
          <w:sz w:val="24"/>
          <w:szCs w:val="24"/>
          <w:lang w:val="en-US"/>
        </w:rPr>
        <w:t>pediatricians</w:t>
      </w:r>
      <w:r w:rsidRPr="00E262E0">
        <w:rPr>
          <w:rFonts w:ascii="Arial" w:hAnsi="Arial" w:cs="Arial"/>
          <w:sz w:val="24"/>
          <w:szCs w:val="24"/>
          <w:lang w:val="en-US"/>
        </w:rPr>
        <w:t xml:space="preserve"> </w:t>
      </w:r>
      <w:r w:rsidR="00776763" w:rsidRPr="00E262E0">
        <w:rPr>
          <w:rFonts w:ascii="Arial" w:hAnsi="Arial" w:cs="Arial"/>
          <w:sz w:val="24"/>
          <w:szCs w:val="24"/>
          <w:lang w:val="en-US"/>
        </w:rPr>
        <w:t>as previously described</w:t>
      </w:r>
      <w:r w:rsidRPr="00E262E0">
        <w:rPr>
          <w:rFonts w:ascii="Arial" w:hAnsi="Arial" w:cs="Arial"/>
          <w:sz w:val="24"/>
          <w:szCs w:val="24"/>
          <w:lang w:val="en-US"/>
        </w:rPr>
        <w:t xml:space="preserve"> </w:t>
      </w:r>
      <w:r w:rsidR="00C53C82" w:rsidRPr="00E262E0">
        <w:rPr>
          <w:rFonts w:ascii="Arial" w:hAnsi="Arial" w:cs="Arial"/>
          <w:sz w:val="24"/>
          <w:szCs w:val="24"/>
          <w:lang w:val="en-US"/>
        </w:rPr>
        <w:t>(1,</w:t>
      </w:r>
      <w:r w:rsidR="003A651C" w:rsidRPr="00E262E0">
        <w:rPr>
          <w:rFonts w:ascii="Arial" w:hAnsi="Arial" w:cs="Arial"/>
          <w:sz w:val="24"/>
          <w:szCs w:val="24"/>
          <w:lang w:val="en-US"/>
        </w:rPr>
        <w:t xml:space="preserve"> </w:t>
      </w:r>
      <w:r w:rsidR="0051176F">
        <w:rPr>
          <w:rFonts w:ascii="Arial" w:hAnsi="Arial" w:cs="Arial"/>
          <w:sz w:val="24"/>
          <w:szCs w:val="24"/>
          <w:lang w:val="en-US"/>
        </w:rPr>
        <w:t>15</w:t>
      </w:r>
      <w:r w:rsidR="003F470E" w:rsidRPr="00E262E0">
        <w:rPr>
          <w:rFonts w:ascii="Arial" w:hAnsi="Arial" w:cs="Arial"/>
          <w:sz w:val="24"/>
          <w:szCs w:val="24"/>
          <w:lang w:val="en-US"/>
        </w:rPr>
        <w:t xml:space="preserve">, </w:t>
      </w:r>
      <w:r w:rsidR="0051176F">
        <w:rPr>
          <w:rFonts w:ascii="Arial" w:hAnsi="Arial" w:cs="Arial"/>
          <w:sz w:val="24"/>
          <w:szCs w:val="24"/>
          <w:lang w:val="en-US"/>
        </w:rPr>
        <w:t>16</w:t>
      </w:r>
      <w:r w:rsidR="00CE744D" w:rsidRPr="00E262E0">
        <w:rPr>
          <w:rFonts w:ascii="Arial" w:hAnsi="Arial" w:cs="Arial"/>
          <w:sz w:val="24"/>
          <w:szCs w:val="24"/>
          <w:lang w:val="en-US"/>
        </w:rPr>
        <w:t>)</w:t>
      </w:r>
      <w:r w:rsidRPr="00E262E0">
        <w:rPr>
          <w:rFonts w:ascii="Arial" w:hAnsi="Arial" w:cs="Arial"/>
          <w:sz w:val="24"/>
          <w:szCs w:val="24"/>
          <w:lang w:val="en-US"/>
        </w:rPr>
        <w:t>. Children aged 1.75</w:t>
      </w:r>
      <w:r w:rsidR="00E47A9B">
        <w:rPr>
          <w:rFonts w:ascii="Arial" w:hAnsi="Arial" w:cs="Arial"/>
          <w:sz w:val="24"/>
          <w:szCs w:val="24"/>
          <w:lang w:val="en-US"/>
        </w:rPr>
        <w:t>-</w:t>
      </w:r>
      <w:r w:rsidRPr="00E262E0">
        <w:rPr>
          <w:rFonts w:ascii="Arial" w:hAnsi="Arial" w:cs="Arial"/>
          <w:sz w:val="24"/>
          <w:szCs w:val="24"/>
          <w:lang w:val="en-US"/>
        </w:rPr>
        <w:t>5.99 years were eligible until March 2019, and children aged 1.75</w:t>
      </w:r>
      <w:r w:rsidR="00E47A9B">
        <w:rPr>
          <w:rFonts w:ascii="Arial" w:hAnsi="Arial" w:cs="Arial"/>
          <w:sz w:val="24"/>
          <w:szCs w:val="24"/>
          <w:lang w:val="en-US"/>
        </w:rPr>
        <w:t>-</w:t>
      </w:r>
      <w:r w:rsidRPr="00E262E0">
        <w:rPr>
          <w:rFonts w:ascii="Arial" w:hAnsi="Arial" w:cs="Arial"/>
          <w:sz w:val="24"/>
          <w:szCs w:val="24"/>
          <w:lang w:val="en-US"/>
        </w:rPr>
        <w:t xml:space="preserve">10.99 years were eligible from April 2019 to </w:t>
      </w:r>
      <w:r w:rsidR="00334A26" w:rsidRPr="00E262E0">
        <w:rPr>
          <w:rFonts w:ascii="Arial" w:hAnsi="Arial" w:cs="Arial"/>
          <w:sz w:val="24"/>
          <w:szCs w:val="24"/>
          <w:lang w:val="en-US"/>
        </w:rPr>
        <w:t>June 2025</w:t>
      </w:r>
      <w:r w:rsidRPr="00E262E0">
        <w:rPr>
          <w:rFonts w:ascii="Arial" w:hAnsi="Arial" w:cs="Arial"/>
          <w:sz w:val="24"/>
          <w:szCs w:val="24"/>
          <w:lang w:val="en-US"/>
        </w:rPr>
        <w:t xml:space="preserve">. A total of </w:t>
      </w:r>
      <w:r w:rsidR="0035145D" w:rsidRPr="00E262E0">
        <w:rPr>
          <w:rFonts w:ascii="Arial" w:hAnsi="Arial" w:cs="Arial"/>
          <w:sz w:val="24"/>
          <w:szCs w:val="24"/>
          <w:lang w:val="en-US"/>
        </w:rPr>
        <w:t>211,464</w:t>
      </w:r>
      <w:r w:rsidRPr="00E262E0">
        <w:rPr>
          <w:rFonts w:ascii="Arial" w:hAnsi="Arial" w:cs="Arial"/>
          <w:sz w:val="24"/>
          <w:szCs w:val="24"/>
          <w:lang w:val="en-US"/>
        </w:rPr>
        <w:t xml:space="preserve"> children with a median age of </w:t>
      </w:r>
      <w:r w:rsidR="00B61A0F" w:rsidRPr="00E262E0">
        <w:rPr>
          <w:rFonts w:ascii="Arial" w:hAnsi="Arial" w:cs="Arial"/>
          <w:sz w:val="24"/>
          <w:szCs w:val="24"/>
          <w:lang w:val="en-US"/>
        </w:rPr>
        <w:t>4.3</w:t>
      </w:r>
      <w:r w:rsidRPr="00E262E0">
        <w:rPr>
          <w:rFonts w:ascii="Arial" w:hAnsi="Arial" w:cs="Arial"/>
          <w:sz w:val="24"/>
          <w:szCs w:val="24"/>
          <w:lang w:val="en-US"/>
        </w:rPr>
        <w:t xml:space="preserve"> years (IQR </w:t>
      </w:r>
      <w:r w:rsidR="00B61A0F" w:rsidRPr="00E262E0">
        <w:rPr>
          <w:rFonts w:ascii="Arial" w:hAnsi="Arial" w:cs="Arial"/>
          <w:sz w:val="24"/>
          <w:szCs w:val="24"/>
          <w:lang w:val="en-US"/>
        </w:rPr>
        <w:t>3.2-5.7</w:t>
      </w:r>
      <w:r w:rsidRPr="00E262E0">
        <w:rPr>
          <w:rFonts w:ascii="Arial" w:hAnsi="Arial" w:cs="Arial"/>
          <w:sz w:val="24"/>
          <w:szCs w:val="24"/>
          <w:lang w:val="en-US"/>
        </w:rPr>
        <w:t xml:space="preserve"> years) participated in the screening. </w:t>
      </w:r>
      <w:r w:rsidR="002A6818" w:rsidRPr="00E262E0">
        <w:rPr>
          <w:rFonts w:ascii="Arial" w:hAnsi="Arial" w:cs="Arial"/>
          <w:sz w:val="24"/>
          <w:szCs w:val="24"/>
          <w:lang w:val="en-US"/>
        </w:rPr>
        <w:t>Families of children with</w:t>
      </w:r>
      <w:r w:rsidR="004270A6" w:rsidRPr="00E262E0">
        <w:rPr>
          <w:rFonts w:ascii="Arial" w:hAnsi="Arial" w:cs="Arial"/>
          <w:sz w:val="24"/>
          <w:szCs w:val="24"/>
          <w:lang w:val="en-US"/>
        </w:rPr>
        <w:t xml:space="preserve"> &gt;1 islet autoantibody (</w:t>
      </w:r>
      <w:r w:rsidR="008161FF" w:rsidRPr="00E262E0">
        <w:rPr>
          <w:rFonts w:ascii="Arial" w:hAnsi="Arial" w:cs="Arial"/>
          <w:sz w:val="24"/>
          <w:szCs w:val="24"/>
          <w:lang w:val="en-US"/>
        </w:rPr>
        <w:t>early</w:t>
      </w:r>
      <w:r w:rsidR="0031652A" w:rsidRPr="00E262E0">
        <w:rPr>
          <w:rFonts w:ascii="Arial" w:hAnsi="Arial" w:cs="Arial"/>
          <w:sz w:val="24"/>
          <w:szCs w:val="24"/>
          <w:lang w:val="en-US"/>
        </w:rPr>
        <w:t>-</w:t>
      </w:r>
      <w:r w:rsidR="008161FF" w:rsidRPr="00E262E0">
        <w:rPr>
          <w:rFonts w:ascii="Arial" w:hAnsi="Arial" w:cs="Arial"/>
          <w:sz w:val="24"/>
          <w:szCs w:val="24"/>
          <w:lang w:val="en-US"/>
        </w:rPr>
        <w:t>stage</w:t>
      </w:r>
      <w:r w:rsidR="002A6818" w:rsidRPr="00E262E0">
        <w:rPr>
          <w:rFonts w:ascii="Arial" w:hAnsi="Arial" w:cs="Arial"/>
          <w:sz w:val="24"/>
          <w:szCs w:val="24"/>
          <w:lang w:val="en-US"/>
        </w:rPr>
        <w:t xml:space="preserve"> </w:t>
      </w:r>
      <w:r w:rsidR="00C775E5" w:rsidRPr="00E262E0">
        <w:rPr>
          <w:rFonts w:ascii="Arial" w:hAnsi="Arial" w:cs="Arial"/>
          <w:sz w:val="24"/>
          <w:szCs w:val="24"/>
          <w:lang w:val="en-US"/>
        </w:rPr>
        <w:t>type 1 diabetes</w:t>
      </w:r>
      <w:r w:rsidR="004270A6" w:rsidRPr="00E262E0">
        <w:rPr>
          <w:rFonts w:ascii="Arial" w:hAnsi="Arial" w:cs="Arial"/>
          <w:sz w:val="24"/>
          <w:szCs w:val="24"/>
          <w:lang w:val="en-US"/>
        </w:rPr>
        <w:t>)</w:t>
      </w:r>
      <w:r w:rsidR="002A6818" w:rsidRPr="00E262E0">
        <w:rPr>
          <w:rFonts w:ascii="Arial" w:hAnsi="Arial" w:cs="Arial"/>
          <w:sz w:val="24"/>
          <w:szCs w:val="24"/>
          <w:lang w:val="en-US"/>
        </w:rPr>
        <w:t xml:space="preserve"> were invited to participate in metabolic staging </w:t>
      </w:r>
      <w:r w:rsidR="008D04FA" w:rsidRPr="00E262E0">
        <w:rPr>
          <w:rFonts w:ascii="Arial" w:hAnsi="Arial" w:cs="Arial"/>
          <w:sz w:val="24"/>
          <w:szCs w:val="24"/>
          <w:lang w:val="en-US"/>
        </w:rPr>
        <w:t xml:space="preserve">by </w:t>
      </w:r>
      <w:r w:rsidR="007C6869" w:rsidRPr="00E262E0">
        <w:rPr>
          <w:rFonts w:ascii="Arial" w:hAnsi="Arial" w:cs="Arial"/>
          <w:sz w:val="24"/>
          <w:szCs w:val="24"/>
          <w:lang w:val="en-US"/>
        </w:rPr>
        <w:t>OGTT</w:t>
      </w:r>
      <w:r w:rsidR="008D04FA" w:rsidRPr="00E262E0">
        <w:rPr>
          <w:rFonts w:ascii="Arial" w:hAnsi="Arial" w:cs="Arial"/>
          <w:sz w:val="24"/>
          <w:szCs w:val="24"/>
          <w:lang w:val="en-US"/>
        </w:rPr>
        <w:t xml:space="preserve"> and HbA1c </w:t>
      </w:r>
      <w:r w:rsidR="002A6818" w:rsidRPr="00E262E0">
        <w:rPr>
          <w:rFonts w:ascii="Arial" w:hAnsi="Arial" w:cs="Arial"/>
          <w:sz w:val="24"/>
          <w:szCs w:val="24"/>
          <w:lang w:val="en-US"/>
        </w:rPr>
        <w:t xml:space="preserve">and an educational program at a pediatric diabetes clinic close to their residence. </w:t>
      </w:r>
      <w:r w:rsidR="008D04FA" w:rsidRPr="00E262E0">
        <w:rPr>
          <w:rFonts w:ascii="Arial" w:hAnsi="Arial" w:cs="Arial"/>
          <w:sz w:val="24"/>
          <w:szCs w:val="24"/>
          <w:lang w:val="en-US"/>
        </w:rPr>
        <w:t xml:space="preserve">Weight, height and BMI were also assessed. Children were </w:t>
      </w:r>
      <w:r w:rsidR="008B4BDD" w:rsidRPr="00E262E0">
        <w:rPr>
          <w:rFonts w:ascii="Arial" w:hAnsi="Arial" w:cs="Arial"/>
          <w:sz w:val="24"/>
          <w:szCs w:val="24"/>
          <w:lang w:val="en-US"/>
        </w:rPr>
        <w:t xml:space="preserve">followed and monitored in </w:t>
      </w:r>
      <w:r w:rsidR="00A840A5" w:rsidRPr="00E262E0">
        <w:rPr>
          <w:rFonts w:ascii="Arial" w:hAnsi="Arial" w:cs="Arial"/>
          <w:sz w:val="24"/>
          <w:szCs w:val="24"/>
          <w:lang w:val="en-US"/>
        </w:rPr>
        <w:t xml:space="preserve">3- to </w:t>
      </w:r>
      <w:r w:rsidR="008D04FA" w:rsidRPr="00E262E0">
        <w:rPr>
          <w:rFonts w:ascii="Arial" w:hAnsi="Arial" w:cs="Arial"/>
          <w:sz w:val="24"/>
          <w:szCs w:val="24"/>
          <w:lang w:val="en-US"/>
        </w:rPr>
        <w:t xml:space="preserve">6-monthly </w:t>
      </w:r>
      <w:r w:rsidR="008B4BDD" w:rsidRPr="00E262E0">
        <w:rPr>
          <w:rFonts w:ascii="Arial" w:hAnsi="Arial" w:cs="Arial"/>
          <w:sz w:val="24"/>
          <w:szCs w:val="24"/>
          <w:lang w:val="en-US"/>
        </w:rPr>
        <w:t xml:space="preserve">intervals for progression to </w:t>
      </w:r>
      <w:r w:rsidR="00200BF8" w:rsidRPr="00E262E0">
        <w:rPr>
          <w:rFonts w:ascii="Arial" w:hAnsi="Arial" w:cs="Arial"/>
          <w:sz w:val="24"/>
          <w:szCs w:val="24"/>
          <w:lang w:val="en-US"/>
        </w:rPr>
        <w:t>s</w:t>
      </w:r>
      <w:r w:rsidR="008B4BDD" w:rsidRPr="00E262E0">
        <w:rPr>
          <w:rFonts w:ascii="Arial" w:hAnsi="Arial" w:cs="Arial"/>
          <w:sz w:val="24"/>
          <w:szCs w:val="24"/>
          <w:lang w:val="en-US"/>
        </w:rPr>
        <w:t xml:space="preserve">tage 3 </w:t>
      </w:r>
      <w:r w:rsidR="001E3FAE" w:rsidRPr="00E262E0">
        <w:rPr>
          <w:rFonts w:ascii="Arial" w:hAnsi="Arial" w:cs="Arial"/>
          <w:sz w:val="24"/>
          <w:szCs w:val="24"/>
          <w:lang w:val="en-US"/>
        </w:rPr>
        <w:t>type 1 diabetes</w:t>
      </w:r>
      <w:r w:rsidR="008B4BDD" w:rsidRPr="00E262E0">
        <w:rPr>
          <w:rFonts w:ascii="Arial" w:hAnsi="Arial" w:cs="Arial"/>
          <w:sz w:val="24"/>
          <w:szCs w:val="24"/>
          <w:lang w:val="en-US"/>
        </w:rPr>
        <w:t xml:space="preserve">; monitoring included HbA1c, </w:t>
      </w:r>
      <w:r w:rsidR="008D04FA" w:rsidRPr="00E262E0">
        <w:rPr>
          <w:rFonts w:ascii="Arial" w:hAnsi="Arial" w:cs="Arial"/>
          <w:sz w:val="24"/>
          <w:szCs w:val="24"/>
          <w:lang w:val="en-US"/>
        </w:rPr>
        <w:t>OGTT,</w:t>
      </w:r>
      <w:r w:rsidR="008B4BDD" w:rsidRPr="00E262E0">
        <w:rPr>
          <w:rFonts w:ascii="Arial" w:hAnsi="Arial" w:cs="Arial"/>
          <w:sz w:val="24"/>
          <w:szCs w:val="24"/>
          <w:lang w:val="en-US"/>
        </w:rPr>
        <w:t xml:space="preserve"> home glucose measurements, and CGM</w:t>
      </w:r>
      <w:r w:rsidR="008D04FA" w:rsidRPr="00E262E0">
        <w:rPr>
          <w:rFonts w:ascii="Arial" w:hAnsi="Arial" w:cs="Arial"/>
          <w:sz w:val="24"/>
          <w:szCs w:val="24"/>
          <w:lang w:val="en-US"/>
        </w:rPr>
        <w:t xml:space="preserve"> </w:t>
      </w:r>
      <w:r w:rsidR="003A651C" w:rsidRPr="00E262E0">
        <w:rPr>
          <w:rFonts w:ascii="Arial" w:hAnsi="Arial" w:cs="Arial"/>
          <w:sz w:val="24"/>
          <w:szCs w:val="24"/>
          <w:lang w:val="en-US"/>
        </w:rPr>
        <w:t>(</w:t>
      </w:r>
      <w:r w:rsidR="0051176F">
        <w:rPr>
          <w:rFonts w:ascii="Arial" w:hAnsi="Arial" w:cs="Arial"/>
          <w:sz w:val="24"/>
          <w:szCs w:val="24"/>
          <w:lang w:val="en-US"/>
        </w:rPr>
        <w:t>17</w:t>
      </w:r>
      <w:r w:rsidR="003A651C" w:rsidRPr="00E262E0">
        <w:rPr>
          <w:rFonts w:ascii="Arial" w:hAnsi="Arial" w:cs="Arial"/>
          <w:sz w:val="24"/>
          <w:szCs w:val="24"/>
          <w:lang w:val="en-US"/>
        </w:rPr>
        <w:t>)</w:t>
      </w:r>
      <w:r w:rsidR="008D04FA" w:rsidRPr="00E262E0">
        <w:rPr>
          <w:rFonts w:ascii="Arial" w:hAnsi="Arial" w:cs="Arial"/>
          <w:sz w:val="24"/>
          <w:szCs w:val="24"/>
          <w:lang w:val="en-US"/>
        </w:rPr>
        <w:t xml:space="preserve">. The last follow-up date for this analysis was </w:t>
      </w:r>
      <w:r w:rsidR="00152A0C" w:rsidRPr="00E262E0">
        <w:rPr>
          <w:rFonts w:ascii="Arial" w:hAnsi="Arial" w:cs="Arial"/>
          <w:sz w:val="24"/>
          <w:szCs w:val="24"/>
          <w:lang w:val="en-US"/>
        </w:rPr>
        <w:t>June 26, 2025</w:t>
      </w:r>
      <w:r w:rsidR="008D04FA" w:rsidRPr="00E262E0">
        <w:rPr>
          <w:rFonts w:ascii="Arial" w:hAnsi="Arial" w:cs="Arial"/>
          <w:sz w:val="24"/>
          <w:szCs w:val="24"/>
          <w:lang w:val="en-US"/>
        </w:rPr>
        <w:t>.</w:t>
      </w:r>
      <w:r w:rsidR="009C4214" w:rsidRPr="00E262E0">
        <w:rPr>
          <w:rFonts w:ascii="Arial" w:hAnsi="Arial" w:cs="Arial"/>
          <w:sz w:val="24"/>
          <w:szCs w:val="24"/>
          <w:lang w:val="en-US"/>
        </w:rPr>
        <w:t xml:space="preserve"> </w:t>
      </w:r>
      <w:r w:rsidR="008D04FA" w:rsidRPr="00E262E0">
        <w:rPr>
          <w:rFonts w:ascii="Arial" w:hAnsi="Arial" w:cs="Arial"/>
          <w:sz w:val="24"/>
          <w:szCs w:val="24"/>
          <w:lang w:val="en-US"/>
        </w:rPr>
        <w:t>The study was approved by the institutional review board at Technical University Munich. Written informed consent was obtained from the children’s parents or legal guardians.</w:t>
      </w:r>
      <w:r w:rsidR="006A6BE2">
        <w:rPr>
          <w:rFonts w:ascii="Arial" w:hAnsi="Arial" w:cs="Arial"/>
          <w:sz w:val="24"/>
          <w:szCs w:val="24"/>
          <w:lang w:val="en-US"/>
        </w:rPr>
        <w:t xml:space="preserve"> The study is registered at ClinicalTrials.gov </w:t>
      </w:r>
      <w:r w:rsidR="006A6BE2" w:rsidRPr="006A6BE2">
        <w:rPr>
          <w:rFonts w:ascii="Arial" w:hAnsi="Arial" w:cs="Arial"/>
          <w:sz w:val="24"/>
          <w:szCs w:val="24"/>
          <w:lang w:val="en-US"/>
        </w:rPr>
        <w:t>(</w:t>
      </w:r>
      <w:r w:rsidR="006A6BE2" w:rsidRPr="00FB67AD">
        <w:rPr>
          <w:rFonts w:ascii="Arial" w:hAnsi="Arial" w:cs="Arial"/>
          <w:sz w:val="24"/>
          <w:szCs w:val="24"/>
          <w:lang w:val="en-US"/>
        </w:rPr>
        <w:t>NCT04039945).</w:t>
      </w:r>
    </w:p>
    <w:p w14:paraId="6AA68ED2" w14:textId="54818A50" w:rsidR="00AD4E29" w:rsidRPr="00E262E0" w:rsidRDefault="00AE5FB4" w:rsidP="009045A9">
      <w:pPr>
        <w:spacing w:after="0" w:line="480" w:lineRule="auto"/>
        <w:jc w:val="both"/>
        <w:rPr>
          <w:rFonts w:ascii="Arial" w:hAnsi="Arial" w:cs="Arial"/>
          <w:sz w:val="24"/>
          <w:szCs w:val="24"/>
          <w:lang w:val="en-US"/>
        </w:rPr>
      </w:pPr>
      <w:r w:rsidRPr="00E262E0">
        <w:rPr>
          <w:rFonts w:ascii="Arial" w:hAnsi="Arial" w:cs="Arial"/>
          <w:sz w:val="24"/>
          <w:szCs w:val="24"/>
          <w:lang w:val="en-US"/>
        </w:rPr>
        <w:t xml:space="preserve">For validation, children from other Munich screening studies were used who fulfilled the Fr1da age criteria at screening and participated in staging and follow-up with </w:t>
      </w:r>
      <w:r w:rsidR="008A53B4" w:rsidRPr="00E262E0">
        <w:rPr>
          <w:rFonts w:ascii="Arial" w:hAnsi="Arial" w:cs="Arial"/>
          <w:sz w:val="24"/>
          <w:szCs w:val="24"/>
          <w:lang w:val="en-US"/>
        </w:rPr>
        <w:t xml:space="preserve">3- to 6-monthly </w:t>
      </w:r>
      <w:r w:rsidRPr="00E262E0">
        <w:rPr>
          <w:rFonts w:ascii="Arial" w:hAnsi="Arial" w:cs="Arial"/>
          <w:sz w:val="24"/>
          <w:szCs w:val="24"/>
          <w:lang w:val="en-US"/>
        </w:rPr>
        <w:t>OGTT and HbA1c</w:t>
      </w:r>
      <w:r w:rsidR="008A53B4" w:rsidRPr="00E262E0">
        <w:rPr>
          <w:rFonts w:ascii="Arial" w:hAnsi="Arial" w:cs="Arial"/>
          <w:sz w:val="24"/>
          <w:szCs w:val="24"/>
          <w:lang w:val="en-US"/>
        </w:rPr>
        <w:t xml:space="preserve"> assessments</w:t>
      </w:r>
      <w:r w:rsidRPr="00E262E0">
        <w:rPr>
          <w:rFonts w:ascii="Arial" w:hAnsi="Arial" w:cs="Arial"/>
          <w:sz w:val="24"/>
          <w:szCs w:val="24"/>
          <w:lang w:val="en-US"/>
        </w:rPr>
        <w:t xml:space="preserve">. A total of </w:t>
      </w:r>
      <w:r w:rsidR="000B2E21" w:rsidRPr="00E262E0">
        <w:rPr>
          <w:rFonts w:ascii="Arial" w:hAnsi="Arial" w:cs="Arial"/>
          <w:sz w:val="24"/>
          <w:szCs w:val="24"/>
          <w:lang w:val="en-US"/>
        </w:rPr>
        <w:t>61</w:t>
      </w:r>
      <w:r w:rsidRPr="00E262E0">
        <w:rPr>
          <w:rFonts w:ascii="Arial" w:hAnsi="Arial" w:cs="Arial"/>
          <w:sz w:val="24"/>
          <w:szCs w:val="24"/>
          <w:lang w:val="en-US"/>
        </w:rPr>
        <w:t xml:space="preserve"> children </w:t>
      </w:r>
      <w:r w:rsidR="00954419" w:rsidRPr="00E262E0">
        <w:rPr>
          <w:rFonts w:ascii="Arial" w:hAnsi="Arial" w:cs="Arial"/>
          <w:sz w:val="24"/>
          <w:szCs w:val="24"/>
          <w:lang w:val="en-US"/>
        </w:rPr>
        <w:t xml:space="preserve">with </w:t>
      </w:r>
      <w:r w:rsidR="00200BF8" w:rsidRPr="00E262E0">
        <w:rPr>
          <w:rFonts w:ascii="Arial" w:hAnsi="Arial" w:cs="Arial"/>
          <w:sz w:val="24"/>
          <w:szCs w:val="24"/>
          <w:lang w:val="en-US"/>
        </w:rPr>
        <w:t>s</w:t>
      </w:r>
      <w:r w:rsidR="00954419" w:rsidRPr="00E262E0">
        <w:rPr>
          <w:rFonts w:ascii="Arial" w:hAnsi="Arial" w:cs="Arial"/>
          <w:sz w:val="24"/>
          <w:szCs w:val="24"/>
          <w:lang w:val="en-US"/>
        </w:rPr>
        <w:t xml:space="preserve">tage 1 </w:t>
      </w:r>
      <w:r w:rsidR="001E3FAE" w:rsidRPr="00E262E0">
        <w:rPr>
          <w:rFonts w:ascii="Arial" w:hAnsi="Arial" w:cs="Arial"/>
          <w:sz w:val="24"/>
          <w:szCs w:val="24"/>
          <w:lang w:val="en-US"/>
        </w:rPr>
        <w:t>type 1 diabetes</w:t>
      </w:r>
      <w:r w:rsidR="00954419" w:rsidRPr="00E262E0">
        <w:rPr>
          <w:rFonts w:ascii="Arial" w:hAnsi="Arial" w:cs="Arial"/>
          <w:sz w:val="24"/>
          <w:szCs w:val="24"/>
          <w:lang w:val="en-US"/>
        </w:rPr>
        <w:t xml:space="preserve"> </w:t>
      </w:r>
      <w:r w:rsidRPr="00E262E0">
        <w:rPr>
          <w:rFonts w:ascii="Arial" w:hAnsi="Arial" w:cs="Arial"/>
          <w:sz w:val="24"/>
          <w:szCs w:val="24"/>
          <w:lang w:val="en-US"/>
        </w:rPr>
        <w:t>were eligible</w:t>
      </w:r>
      <w:r w:rsidR="00AD4E29" w:rsidRPr="00E262E0">
        <w:rPr>
          <w:rFonts w:ascii="Arial" w:hAnsi="Arial" w:cs="Arial"/>
          <w:sz w:val="24"/>
          <w:szCs w:val="24"/>
          <w:lang w:val="en-US"/>
        </w:rPr>
        <w:t xml:space="preserve"> (</w:t>
      </w:r>
      <w:r w:rsidR="008161FF" w:rsidRPr="00E262E0">
        <w:rPr>
          <w:rFonts w:ascii="Arial" w:hAnsi="Arial" w:cs="Arial"/>
          <w:b/>
          <w:bCs/>
          <w:sz w:val="24"/>
          <w:szCs w:val="24"/>
          <w:lang w:val="en-US"/>
        </w:rPr>
        <w:t>Table 1</w:t>
      </w:r>
      <w:r w:rsidR="00AD4E29" w:rsidRPr="00E262E0">
        <w:rPr>
          <w:rFonts w:ascii="Arial" w:hAnsi="Arial" w:cs="Arial"/>
          <w:sz w:val="24"/>
          <w:szCs w:val="24"/>
          <w:lang w:val="en-US"/>
        </w:rPr>
        <w:t>).</w:t>
      </w:r>
      <w:r w:rsidR="00AD4E29" w:rsidRPr="00E262E0" w:rsidDel="00CD1667">
        <w:rPr>
          <w:rFonts w:ascii="Arial" w:hAnsi="Arial" w:cs="Arial"/>
          <w:sz w:val="24"/>
          <w:szCs w:val="24"/>
          <w:lang w:val="en-US"/>
        </w:rPr>
        <w:t xml:space="preserve"> </w:t>
      </w:r>
      <w:r w:rsidR="002C59B1" w:rsidRPr="00E262E0">
        <w:rPr>
          <w:rFonts w:ascii="Arial" w:hAnsi="Arial" w:cs="Arial"/>
          <w:sz w:val="24"/>
          <w:szCs w:val="24"/>
          <w:lang w:val="en-US"/>
        </w:rPr>
        <w:t>The</w:t>
      </w:r>
      <w:r w:rsidR="002C59B1">
        <w:rPr>
          <w:rFonts w:ascii="Arial" w:hAnsi="Arial" w:cs="Arial"/>
          <w:sz w:val="24"/>
          <w:szCs w:val="24"/>
          <w:lang w:val="en-US"/>
        </w:rPr>
        <w:t>se</w:t>
      </w:r>
      <w:r w:rsidR="002C59B1" w:rsidRPr="00E262E0">
        <w:rPr>
          <w:rFonts w:ascii="Arial" w:hAnsi="Arial" w:cs="Arial"/>
          <w:sz w:val="24"/>
          <w:szCs w:val="24"/>
          <w:lang w:val="en-US"/>
        </w:rPr>
        <w:t xml:space="preserve"> </w:t>
      </w:r>
      <w:r w:rsidR="002C59B1">
        <w:rPr>
          <w:rFonts w:ascii="Arial" w:hAnsi="Arial" w:cs="Arial"/>
          <w:sz w:val="24"/>
          <w:szCs w:val="24"/>
          <w:lang w:val="en-US"/>
        </w:rPr>
        <w:t>Munich screening studies</w:t>
      </w:r>
      <w:r w:rsidR="002C59B1" w:rsidRPr="00E262E0">
        <w:rPr>
          <w:rFonts w:ascii="Arial" w:hAnsi="Arial" w:cs="Arial"/>
          <w:sz w:val="24"/>
          <w:szCs w:val="24"/>
          <w:lang w:val="en-US"/>
        </w:rPr>
        <w:t xml:space="preserve"> </w:t>
      </w:r>
      <w:r w:rsidR="002C59B1">
        <w:rPr>
          <w:rFonts w:ascii="Arial" w:hAnsi="Arial" w:cs="Arial"/>
          <w:sz w:val="24"/>
          <w:szCs w:val="24"/>
          <w:lang w:val="en-US"/>
        </w:rPr>
        <w:t>were</w:t>
      </w:r>
      <w:r w:rsidR="002C59B1" w:rsidRPr="00E262E0">
        <w:rPr>
          <w:rFonts w:ascii="Arial" w:hAnsi="Arial" w:cs="Arial"/>
          <w:sz w:val="24"/>
          <w:szCs w:val="24"/>
          <w:lang w:val="en-US"/>
        </w:rPr>
        <w:t xml:space="preserve"> approved by the </w:t>
      </w:r>
      <w:r w:rsidR="002C59B1">
        <w:rPr>
          <w:rFonts w:ascii="Arial" w:hAnsi="Arial" w:cs="Arial"/>
          <w:sz w:val="24"/>
          <w:szCs w:val="24"/>
          <w:lang w:val="en-US"/>
        </w:rPr>
        <w:t xml:space="preserve">Ethics </w:t>
      </w:r>
      <w:r w:rsidR="00EC0964">
        <w:rPr>
          <w:rFonts w:ascii="Arial" w:hAnsi="Arial" w:cs="Arial"/>
          <w:sz w:val="24"/>
          <w:szCs w:val="24"/>
          <w:lang w:val="en-US"/>
        </w:rPr>
        <w:t>Committee</w:t>
      </w:r>
      <w:r w:rsidR="002C59B1">
        <w:rPr>
          <w:rFonts w:ascii="Arial" w:hAnsi="Arial" w:cs="Arial"/>
          <w:sz w:val="24"/>
          <w:szCs w:val="24"/>
          <w:lang w:val="en-US"/>
        </w:rPr>
        <w:t xml:space="preserve"> of the Medical faculty</w:t>
      </w:r>
      <w:r w:rsidR="002C59B1" w:rsidRPr="00E262E0">
        <w:rPr>
          <w:rFonts w:ascii="Arial" w:hAnsi="Arial" w:cs="Arial"/>
          <w:sz w:val="24"/>
          <w:szCs w:val="24"/>
          <w:lang w:val="en-US"/>
        </w:rPr>
        <w:t xml:space="preserve"> at Technical University Munich</w:t>
      </w:r>
      <w:r w:rsidR="002C59B1">
        <w:rPr>
          <w:rFonts w:ascii="Arial" w:hAnsi="Arial" w:cs="Arial"/>
          <w:sz w:val="24"/>
          <w:szCs w:val="24"/>
          <w:lang w:val="en-US"/>
        </w:rPr>
        <w:t xml:space="preserve"> (Nr 5668/13)</w:t>
      </w:r>
      <w:r w:rsidR="002C59B1" w:rsidRPr="00E262E0">
        <w:rPr>
          <w:rFonts w:ascii="Arial" w:hAnsi="Arial" w:cs="Arial"/>
          <w:sz w:val="24"/>
          <w:szCs w:val="24"/>
          <w:lang w:val="en-US"/>
        </w:rPr>
        <w:t>.</w:t>
      </w:r>
    </w:p>
    <w:p w14:paraId="1E2B62E6" w14:textId="77777777" w:rsidR="006B45A0" w:rsidRPr="00E262E0" w:rsidRDefault="006B45A0" w:rsidP="009045A9">
      <w:pPr>
        <w:spacing w:after="0" w:line="480" w:lineRule="auto"/>
        <w:jc w:val="both"/>
        <w:rPr>
          <w:rFonts w:ascii="Arial" w:hAnsi="Arial" w:cs="Arial"/>
          <w:b/>
          <w:bCs/>
          <w:sz w:val="24"/>
          <w:szCs w:val="24"/>
          <w:lang w:val="en-US"/>
        </w:rPr>
      </w:pPr>
    </w:p>
    <w:p w14:paraId="296CBCBB" w14:textId="05151282" w:rsidR="008D04FA" w:rsidRPr="00E262E0" w:rsidRDefault="008D04FA" w:rsidP="009045A9">
      <w:pPr>
        <w:spacing w:after="0" w:line="480" w:lineRule="auto"/>
        <w:jc w:val="both"/>
        <w:rPr>
          <w:rFonts w:ascii="Arial" w:hAnsi="Arial" w:cs="Arial"/>
          <w:b/>
          <w:bCs/>
          <w:sz w:val="24"/>
          <w:szCs w:val="24"/>
          <w:lang w:val="en-US"/>
        </w:rPr>
      </w:pPr>
      <w:r w:rsidRPr="00E262E0">
        <w:rPr>
          <w:rFonts w:ascii="Arial" w:hAnsi="Arial" w:cs="Arial"/>
          <w:b/>
          <w:bCs/>
          <w:sz w:val="24"/>
          <w:szCs w:val="24"/>
          <w:lang w:val="en-US"/>
        </w:rPr>
        <w:t>Stage definition</w:t>
      </w:r>
    </w:p>
    <w:p w14:paraId="10E3261E" w14:textId="16109173" w:rsidR="005841CA" w:rsidRPr="00E262E0" w:rsidRDefault="008D04FA" w:rsidP="009045A9">
      <w:pPr>
        <w:spacing w:after="0" w:line="480" w:lineRule="auto"/>
        <w:jc w:val="both"/>
        <w:rPr>
          <w:rFonts w:ascii="Arial" w:hAnsi="Arial" w:cs="Arial"/>
          <w:sz w:val="24"/>
          <w:szCs w:val="24"/>
          <w:lang w:val="en-US"/>
        </w:rPr>
      </w:pPr>
      <w:r w:rsidRPr="00E262E0">
        <w:rPr>
          <w:rFonts w:ascii="Arial" w:hAnsi="Arial" w:cs="Arial"/>
          <w:sz w:val="24"/>
          <w:szCs w:val="24"/>
          <w:lang w:val="en-US"/>
        </w:rPr>
        <w:t xml:space="preserve">Children who were classified as </w:t>
      </w:r>
      <w:r w:rsidR="00200BF8" w:rsidRPr="00E262E0">
        <w:rPr>
          <w:rFonts w:ascii="Arial" w:hAnsi="Arial" w:cs="Arial"/>
          <w:sz w:val="24"/>
          <w:szCs w:val="24"/>
          <w:lang w:val="en-US"/>
        </w:rPr>
        <w:t>s</w:t>
      </w:r>
      <w:r w:rsidRPr="00E262E0">
        <w:rPr>
          <w:rFonts w:ascii="Arial" w:hAnsi="Arial" w:cs="Arial"/>
          <w:sz w:val="24"/>
          <w:szCs w:val="24"/>
          <w:lang w:val="en-US"/>
        </w:rPr>
        <w:t xml:space="preserve">tage 1 </w:t>
      </w:r>
      <w:r w:rsidR="00300865" w:rsidRPr="00E262E0">
        <w:rPr>
          <w:rFonts w:ascii="Arial" w:hAnsi="Arial" w:cs="Arial"/>
          <w:sz w:val="24"/>
          <w:szCs w:val="24"/>
          <w:lang w:val="en-US"/>
        </w:rPr>
        <w:t xml:space="preserve">or </w:t>
      </w:r>
      <w:r w:rsidR="00200BF8" w:rsidRPr="00E262E0">
        <w:rPr>
          <w:rFonts w:ascii="Arial" w:hAnsi="Arial" w:cs="Arial"/>
          <w:sz w:val="24"/>
          <w:szCs w:val="24"/>
          <w:lang w:val="en-US"/>
        </w:rPr>
        <w:t>s</w:t>
      </w:r>
      <w:r w:rsidR="00300865" w:rsidRPr="00E262E0">
        <w:rPr>
          <w:rFonts w:ascii="Arial" w:hAnsi="Arial" w:cs="Arial"/>
          <w:sz w:val="24"/>
          <w:szCs w:val="24"/>
          <w:lang w:val="en-US"/>
        </w:rPr>
        <w:t xml:space="preserve">tage 2 </w:t>
      </w:r>
      <w:r w:rsidR="001E3FAE" w:rsidRPr="00E262E0">
        <w:rPr>
          <w:rFonts w:ascii="Arial" w:hAnsi="Arial" w:cs="Arial"/>
          <w:sz w:val="24"/>
          <w:szCs w:val="24"/>
          <w:lang w:val="en-US"/>
        </w:rPr>
        <w:t>type 1 diabetes</w:t>
      </w:r>
      <w:r w:rsidRPr="00E262E0">
        <w:rPr>
          <w:rFonts w:ascii="Arial" w:hAnsi="Arial" w:cs="Arial"/>
          <w:sz w:val="24"/>
          <w:szCs w:val="24"/>
          <w:lang w:val="en-US"/>
        </w:rPr>
        <w:t xml:space="preserve"> were included in this analysis. </w:t>
      </w:r>
      <w:r w:rsidR="00C76985" w:rsidRPr="00E262E0">
        <w:rPr>
          <w:rFonts w:ascii="Arial" w:hAnsi="Arial" w:cs="Arial"/>
          <w:sz w:val="24"/>
          <w:szCs w:val="24"/>
          <w:lang w:val="en-US"/>
        </w:rPr>
        <w:t>S</w:t>
      </w:r>
      <w:r w:rsidRPr="00E262E0">
        <w:rPr>
          <w:rFonts w:ascii="Arial" w:hAnsi="Arial" w:cs="Arial"/>
          <w:sz w:val="24"/>
          <w:szCs w:val="24"/>
          <w:lang w:val="en-US"/>
        </w:rPr>
        <w:t xml:space="preserve">tage 1 was defined as normal glucose tolerance (fasting plasma </w:t>
      </w:r>
      <w:r w:rsidRPr="00E262E0">
        <w:rPr>
          <w:rFonts w:ascii="Arial" w:hAnsi="Arial" w:cs="Arial"/>
          <w:sz w:val="24"/>
          <w:szCs w:val="24"/>
          <w:lang w:val="en-US"/>
        </w:rPr>
        <w:lastRenderedPageBreak/>
        <w:t xml:space="preserve">glucose </w:t>
      </w:r>
      <w:r w:rsidR="006A6BE2" w:rsidRPr="00E262E0">
        <w:rPr>
          <w:rFonts w:ascii="Arial" w:hAnsi="Arial" w:cs="Arial"/>
          <w:sz w:val="24"/>
          <w:szCs w:val="24"/>
          <w:lang w:val="en-US"/>
        </w:rPr>
        <w:t>[</w:t>
      </w:r>
      <w:r w:rsidR="006A6BE2">
        <w:rPr>
          <w:rFonts w:ascii="Arial" w:hAnsi="Arial" w:cs="Arial"/>
          <w:sz w:val="24"/>
          <w:szCs w:val="24"/>
          <w:lang w:val="en-US"/>
        </w:rPr>
        <w:t>FPG</w:t>
      </w:r>
      <w:r w:rsidR="006A6BE2" w:rsidRPr="00E262E0">
        <w:rPr>
          <w:rFonts w:ascii="Arial" w:hAnsi="Arial" w:cs="Arial"/>
          <w:sz w:val="24"/>
          <w:szCs w:val="24"/>
          <w:lang w:val="en-US"/>
        </w:rPr>
        <w:t xml:space="preserve">] </w:t>
      </w:r>
      <w:r w:rsidRPr="00E262E0">
        <w:rPr>
          <w:rFonts w:ascii="Arial" w:hAnsi="Arial" w:cs="Arial"/>
          <w:sz w:val="24"/>
          <w:szCs w:val="24"/>
          <w:lang w:val="en-US"/>
        </w:rPr>
        <w:t xml:space="preserve">of &lt;5.6 mmol/l [100 mg/dl] and </w:t>
      </w:r>
      <w:r w:rsidR="00CD5CD6" w:rsidRPr="00E262E0">
        <w:rPr>
          <w:rFonts w:ascii="Arial" w:hAnsi="Arial" w:cs="Arial"/>
          <w:sz w:val="24"/>
          <w:szCs w:val="24"/>
          <w:lang w:val="en-US"/>
        </w:rPr>
        <w:t xml:space="preserve">OGTT </w:t>
      </w:r>
      <w:r w:rsidRPr="00E262E0">
        <w:rPr>
          <w:rFonts w:ascii="Arial" w:hAnsi="Arial" w:cs="Arial"/>
          <w:sz w:val="24"/>
          <w:szCs w:val="24"/>
          <w:lang w:val="en-US"/>
        </w:rPr>
        <w:t>2 h plasma glucose &lt;7.8 mmol/l [140 mg/dl], and plasma glucose &lt;11.1 mmol/l [200 mg/dl] at 30, 60 or 90 min</w:t>
      </w:r>
      <w:r w:rsidR="00CD5CD6" w:rsidRPr="00E262E0">
        <w:rPr>
          <w:rFonts w:ascii="Arial" w:hAnsi="Arial" w:cs="Arial"/>
          <w:sz w:val="24"/>
          <w:szCs w:val="24"/>
          <w:lang w:val="en-US"/>
        </w:rPr>
        <w:t xml:space="preserve"> in OGTT</w:t>
      </w:r>
      <w:r w:rsidRPr="00E262E0">
        <w:rPr>
          <w:rFonts w:ascii="Arial" w:hAnsi="Arial" w:cs="Arial"/>
          <w:sz w:val="24"/>
          <w:szCs w:val="24"/>
          <w:lang w:val="en-US"/>
        </w:rPr>
        <w:t>), and Hba1c &lt;39 mmol/mol (5.7%)</w:t>
      </w:r>
      <w:r w:rsidR="009C4214" w:rsidRPr="00E262E0">
        <w:rPr>
          <w:rFonts w:ascii="Arial" w:hAnsi="Arial" w:cs="Arial"/>
          <w:sz w:val="24"/>
          <w:szCs w:val="24"/>
          <w:lang w:val="en-US"/>
        </w:rPr>
        <w:t xml:space="preserve">. </w:t>
      </w:r>
      <w:r w:rsidR="00C76985" w:rsidRPr="00E262E0">
        <w:rPr>
          <w:rFonts w:ascii="Arial" w:hAnsi="Arial" w:cs="Arial"/>
          <w:sz w:val="24"/>
          <w:szCs w:val="24"/>
          <w:lang w:val="en-US"/>
        </w:rPr>
        <w:t xml:space="preserve">Stage </w:t>
      </w:r>
      <w:r w:rsidR="00300865" w:rsidRPr="00E262E0">
        <w:rPr>
          <w:rFonts w:ascii="Arial" w:hAnsi="Arial" w:cs="Arial"/>
          <w:sz w:val="24"/>
          <w:szCs w:val="24"/>
          <w:lang w:val="en-US"/>
        </w:rPr>
        <w:t xml:space="preserve">2 was defined as </w:t>
      </w:r>
      <w:r w:rsidR="0068599C" w:rsidRPr="00E262E0">
        <w:rPr>
          <w:rFonts w:ascii="Arial" w:hAnsi="Arial" w:cs="Arial"/>
          <w:sz w:val="24"/>
          <w:szCs w:val="24"/>
          <w:lang w:val="en-US"/>
        </w:rPr>
        <w:t>dysglycemia (</w:t>
      </w:r>
      <w:r w:rsidR="006A6BE2">
        <w:rPr>
          <w:rFonts w:ascii="Arial" w:hAnsi="Arial" w:cs="Arial"/>
          <w:sz w:val="24"/>
          <w:szCs w:val="24"/>
          <w:lang w:val="en-US"/>
        </w:rPr>
        <w:t>FPG</w:t>
      </w:r>
      <w:r w:rsidR="0068599C" w:rsidRPr="00E262E0">
        <w:rPr>
          <w:rFonts w:ascii="Arial" w:hAnsi="Arial" w:cs="Arial"/>
          <w:sz w:val="24"/>
          <w:szCs w:val="24"/>
          <w:lang w:val="en-US"/>
        </w:rPr>
        <w:t xml:space="preserve"> 5</w:t>
      </w:r>
      <w:r w:rsidR="0031652A" w:rsidRPr="00E262E0">
        <w:rPr>
          <w:rFonts w:ascii="Arial" w:hAnsi="Arial" w:cs="Arial"/>
          <w:sz w:val="24"/>
          <w:szCs w:val="24"/>
          <w:lang w:val="en-US"/>
        </w:rPr>
        <w:t>.</w:t>
      </w:r>
      <w:r w:rsidR="0068599C" w:rsidRPr="00E262E0">
        <w:rPr>
          <w:rFonts w:ascii="Arial" w:hAnsi="Arial" w:cs="Arial"/>
          <w:sz w:val="24"/>
          <w:szCs w:val="24"/>
          <w:lang w:val="en-US"/>
        </w:rPr>
        <w:t>6</w:t>
      </w:r>
      <w:r w:rsidR="0031652A" w:rsidRPr="00E262E0">
        <w:rPr>
          <w:rFonts w:ascii="Arial" w:hAnsi="Arial" w:cs="Arial"/>
          <w:sz w:val="24"/>
          <w:szCs w:val="24"/>
          <w:lang w:val="en-US"/>
        </w:rPr>
        <w:t>-</w:t>
      </w:r>
      <w:r w:rsidR="0068599C" w:rsidRPr="00E262E0">
        <w:rPr>
          <w:rFonts w:ascii="Arial" w:hAnsi="Arial" w:cs="Arial"/>
          <w:sz w:val="24"/>
          <w:szCs w:val="24"/>
          <w:lang w:val="en-US"/>
        </w:rPr>
        <w:t>6</w:t>
      </w:r>
      <w:r w:rsidR="0031652A" w:rsidRPr="00E262E0">
        <w:rPr>
          <w:rFonts w:ascii="Arial" w:hAnsi="Arial" w:cs="Arial"/>
          <w:sz w:val="24"/>
          <w:szCs w:val="24"/>
          <w:lang w:val="en-US"/>
        </w:rPr>
        <w:t>.</w:t>
      </w:r>
      <w:r w:rsidR="0068599C" w:rsidRPr="00E262E0">
        <w:rPr>
          <w:rFonts w:ascii="Arial" w:hAnsi="Arial" w:cs="Arial"/>
          <w:sz w:val="24"/>
          <w:szCs w:val="24"/>
          <w:lang w:val="en-US"/>
        </w:rPr>
        <w:t>9 mmol/L [100-125 mg/dl] or 2 h plasma glucose 7</w:t>
      </w:r>
      <w:r w:rsidR="0031652A" w:rsidRPr="00E262E0">
        <w:rPr>
          <w:rFonts w:ascii="Arial" w:hAnsi="Arial" w:cs="Arial"/>
          <w:sz w:val="24"/>
          <w:szCs w:val="24"/>
          <w:lang w:val="en-US"/>
        </w:rPr>
        <w:t>.</w:t>
      </w:r>
      <w:r w:rsidR="0068599C" w:rsidRPr="00E262E0">
        <w:rPr>
          <w:rFonts w:ascii="Arial" w:hAnsi="Arial" w:cs="Arial"/>
          <w:sz w:val="24"/>
          <w:szCs w:val="24"/>
          <w:lang w:val="en-US"/>
        </w:rPr>
        <w:t>8</w:t>
      </w:r>
      <w:r w:rsidR="0031652A" w:rsidRPr="00E262E0">
        <w:rPr>
          <w:rFonts w:ascii="Arial" w:hAnsi="Arial" w:cs="Arial"/>
          <w:sz w:val="24"/>
          <w:szCs w:val="24"/>
          <w:lang w:val="en-US"/>
        </w:rPr>
        <w:t>-</w:t>
      </w:r>
      <w:r w:rsidR="0068599C" w:rsidRPr="00E262E0">
        <w:rPr>
          <w:rFonts w:ascii="Arial" w:hAnsi="Arial" w:cs="Arial"/>
          <w:sz w:val="24"/>
          <w:szCs w:val="24"/>
          <w:lang w:val="en-US"/>
        </w:rPr>
        <w:t>11</w:t>
      </w:r>
      <w:r w:rsidR="0031652A" w:rsidRPr="00E262E0">
        <w:rPr>
          <w:rFonts w:ascii="Arial" w:hAnsi="Arial" w:cs="Arial"/>
          <w:sz w:val="24"/>
          <w:szCs w:val="24"/>
          <w:lang w:val="en-US"/>
        </w:rPr>
        <w:t>.</w:t>
      </w:r>
      <w:r w:rsidR="0068599C" w:rsidRPr="00E262E0">
        <w:rPr>
          <w:rFonts w:ascii="Arial" w:hAnsi="Arial" w:cs="Arial"/>
          <w:sz w:val="24"/>
          <w:szCs w:val="24"/>
          <w:lang w:val="en-US"/>
        </w:rPr>
        <w:t>0 mmol/L [140-199 mg/dl] or 30, 60, or 90 min plasma glucose &gt;11</w:t>
      </w:r>
      <w:r w:rsidR="00EF5C04">
        <w:rPr>
          <w:rFonts w:ascii="Arial" w:hAnsi="Arial" w:cs="Arial"/>
          <w:sz w:val="24"/>
          <w:szCs w:val="24"/>
          <w:lang w:val="en-US"/>
        </w:rPr>
        <w:t>.</w:t>
      </w:r>
      <w:r w:rsidR="0068599C" w:rsidRPr="00E262E0">
        <w:rPr>
          <w:rFonts w:ascii="Arial" w:hAnsi="Arial" w:cs="Arial"/>
          <w:sz w:val="24"/>
          <w:szCs w:val="24"/>
          <w:lang w:val="en-US"/>
        </w:rPr>
        <w:t>1 mmol/L [200 mg/dl] or HbA1c 5</w:t>
      </w:r>
      <w:r w:rsidR="0031652A" w:rsidRPr="00E262E0">
        <w:rPr>
          <w:rFonts w:ascii="Arial" w:hAnsi="Arial" w:cs="Arial"/>
          <w:sz w:val="24"/>
          <w:szCs w:val="24"/>
          <w:lang w:val="en-US"/>
        </w:rPr>
        <w:t>.</w:t>
      </w:r>
      <w:r w:rsidR="0068599C" w:rsidRPr="00E262E0">
        <w:rPr>
          <w:rFonts w:ascii="Arial" w:hAnsi="Arial" w:cs="Arial"/>
          <w:sz w:val="24"/>
          <w:szCs w:val="24"/>
          <w:lang w:val="en-US"/>
        </w:rPr>
        <w:t>7</w:t>
      </w:r>
      <w:r w:rsidR="0031652A" w:rsidRPr="00E262E0">
        <w:rPr>
          <w:rFonts w:ascii="Arial" w:hAnsi="Arial" w:cs="Arial"/>
          <w:sz w:val="24"/>
          <w:szCs w:val="24"/>
          <w:lang w:val="en-US"/>
        </w:rPr>
        <w:t>-</w:t>
      </w:r>
      <w:r w:rsidR="0068599C" w:rsidRPr="00E262E0">
        <w:rPr>
          <w:rFonts w:ascii="Arial" w:hAnsi="Arial" w:cs="Arial"/>
          <w:sz w:val="24"/>
          <w:szCs w:val="24"/>
          <w:lang w:val="en-US"/>
        </w:rPr>
        <w:t>6</w:t>
      </w:r>
      <w:r w:rsidR="0031652A" w:rsidRPr="00E262E0">
        <w:rPr>
          <w:rFonts w:ascii="Arial" w:hAnsi="Arial" w:cs="Arial"/>
          <w:sz w:val="24"/>
          <w:szCs w:val="24"/>
          <w:lang w:val="en-US"/>
        </w:rPr>
        <w:t>.</w:t>
      </w:r>
      <w:r w:rsidR="0068599C" w:rsidRPr="00E262E0">
        <w:rPr>
          <w:rFonts w:ascii="Arial" w:hAnsi="Arial" w:cs="Arial"/>
          <w:sz w:val="24"/>
          <w:szCs w:val="24"/>
          <w:lang w:val="en-US"/>
        </w:rPr>
        <w:t>4% or at least a 10% increase in HbA1c</w:t>
      </w:r>
      <w:r w:rsidR="0068599C" w:rsidRPr="00E262E0">
        <w:rPr>
          <w:rFonts w:ascii="Arial" w:hAnsi="Arial" w:cs="Arial"/>
          <w:sz w:val="24"/>
          <w:szCs w:val="24"/>
          <w:vertAlign w:val="subscript"/>
          <w:lang w:val="en-US"/>
        </w:rPr>
        <w:t xml:space="preserve">. </w:t>
      </w:r>
      <w:r w:rsidR="006E2A3B" w:rsidRPr="00E262E0">
        <w:rPr>
          <w:rFonts w:ascii="Arial" w:hAnsi="Arial" w:cs="Arial"/>
          <w:sz w:val="24"/>
          <w:szCs w:val="24"/>
          <w:lang w:val="en-US"/>
        </w:rPr>
        <w:t>S</w:t>
      </w:r>
      <w:r w:rsidR="00713645" w:rsidRPr="00E262E0">
        <w:rPr>
          <w:rFonts w:ascii="Arial" w:hAnsi="Arial" w:cs="Arial"/>
          <w:sz w:val="24"/>
          <w:szCs w:val="24"/>
          <w:lang w:val="en-US"/>
        </w:rPr>
        <w:t xml:space="preserve">tage 3 </w:t>
      </w:r>
      <w:r w:rsidRPr="00E262E0">
        <w:rPr>
          <w:rFonts w:ascii="Arial" w:hAnsi="Arial" w:cs="Arial"/>
          <w:sz w:val="24"/>
          <w:szCs w:val="24"/>
          <w:lang w:val="en-US"/>
        </w:rPr>
        <w:t xml:space="preserve">was defined </w:t>
      </w:r>
      <w:r w:rsidR="00BF060A" w:rsidRPr="00E262E0">
        <w:rPr>
          <w:rFonts w:ascii="Arial" w:hAnsi="Arial" w:cs="Arial"/>
          <w:sz w:val="24"/>
          <w:szCs w:val="24"/>
          <w:lang w:val="en-US"/>
        </w:rPr>
        <w:t>by</w:t>
      </w:r>
      <w:r w:rsidRPr="00E262E0">
        <w:rPr>
          <w:rFonts w:ascii="Arial" w:hAnsi="Arial" w:cs="Arial"/>
          <w:sz w:val="24"/>
          <w:szCs w:val="24"/>
          <w:lang w:val="en-US"/>
        </w:rPr>
        <w:t xml:space="preserve"> </w:t>
      </w:r>
      <w:r w:rsidR="005841CA" w:rsidRPr="00E262E0">
        <w:rPr>
          <w:rFonts w:ascii="Arial" w:hAnsi="Arial" w:cs="Arial"/>
          <w:sz w:val="24"/>
          <w:szCs w:val="24"/>
          <w:lang w:val="en-US"/>
        </w:rPr>
        <w:t>FPG</w:t>
      </w:r>
      <w:r w:rsidRPr="00E262E0">
        <w:rPr>
          <w:rFonts w:ascii="Arial" w:hAnsi="Arial" w:cs="Arial"/>
          <w:sz w:val="24"/>
          <w:szCs w:val="24"/>
          <w:lang w:val="en-US"/>
        </w:rPr>
        <w:t xml:space="preserve"> ≥7.0 mmol/l (126 mg/dl) or a 2 h plasma glucose of ≥11.1 mmol/l (200 mg/dl) in an OGTT; </w:t>
      </w:r>
      <w:r w:rsidR="005841CA" w:rsidRPr="00E262E0">
        <w:rPr>
          <w:rFonts w:ascii="Arial" w:hAnsi="Arial" w:cs="Arial"/>
          <w:sz w:val="24"/>
          <w:szCs w:val="24"/>
          <w:lang w:val="en-US"/>
        </w:rPr>
        <w:t xml:space="preserve">or </w:t>
      </w:r>
      <w:r w:rsidRPr="00E262E0">
        <w:rPr>
          <w:rFonts w:ascii="Arial" w:hAnsi="Arial" w:cs="Arial"/>
          <w:sz w:val="24"/>
          <w:szCs w:val="24"/>
          <w:lang w:val="en-US"/>
        </w:rPr>
        <w:t xml:space="preserve">HbA1c &gt;48 mmol/mol (6.5%); or in children with classic symptoms of hyperglycemia, a random plasma glucose of &gt;11.1 mmol/l (200 mg/dl). </w:t>
      </w:r>
      <w:r w:rsidR="005841CA" w:rsidRPr="00E262E0">
        <w:rPr>
          <w:rFonts w:ascii="Arial" w:eastAsia="Times New Roman" w:hAnsi="Arial" w:cs="Arial"/>
          <w:sz w:val="24"/>
          <w:szCs w:val="24"/>
          <w:lang w:val="en-US" w:eastAsia="de-DE"/>
        </w:rPr>
        <w:t xml:space="preserve"> </w:t>
      </w:r>
      <w:r w:rsidR="005841CA" w:rsidRPr="00E262E0">
        <w:rPr>
          <w:rFonts w:ascii="Arial" w:hAnsi="Arial" w:cs="Arial"/>
          <w:sz w:val="24"/>
          <w:szCs w:val="24"/>
          <w:lang w:val="en-US"/>
        </w:rPr>
        <w:t xml:space="preserve">In the absence of unequivocal hyperglycemia, diagnosis required two abnormal results from different tests obtained at the same time (e.g., </w:t>
      </w:r>
      <w:r w:rsidR="006A6BE2">
        <w:rPr>
          <w:rFonts w:ascii="Arial" w:hAnsi="Arial" w:cs="Arial"/>
          <w:sz w:val="24"/>
          <w:szCs w:val="24"/>
          <w:lang w:val="en-US"/>
        </w:rPr>
        <w:t>HbA1c</w:t>
      </w:r>
      <w:r w:rsidR="006A6BE2" w:rsidRPr="00E262E0">
        <w:rPr>
          <w:rFonts w:ascii="Arial" w:hAnsi="Arial" w:cs="Arial"/>
          <w:sz w:val="24"/>
          <w:szCs w:val="24"/>
          <w:lang w:val="en-US"/>
        </w:rPr>
        <w:t xml:space="preserve"> </w:t>
      </w:r>
      <w:r w:rsidR="005841CA" w:rsidRPr="00E262E0">
        <w:rPr>
          <w:rFonts w:ascii="Arial" w:hAnsi="Arial" w:cs="Arial"/>
          <w:sz w:val="24"/>
          <w:szCs w:val="24"/>
          <w:lang w:val="en-US"/>
        </w:rPr>
        <w:t>and FPG), or the same test at two different time points (</w:t>
      </w:r>
      <w:r w:rsidR="0051176F">
        <w:rPr>
          <w:rFonts w:ascii="Arial" w:hAnsi="Arial" w:cs="Arial"/>
          <w:sz w:val="24"/>
          <w:szCs w:val="24"/>
          <w:lang w:val="en-US"/>
        </w:rPr>
        <w:t xml:space="preserve">4, </w:t>
      </w:r>
      <w:r w:rsidR="007E3B09" w:rsidRPr="00E262E0">
        <w:rPr>
          <w:rFonts w:ascii="Arial" w:hAnsi="Arial" w:cs="Arial"/>
          <w:sz w:val="24"/>
          <w:szCs w:val="24"/>
          <w:lang w:val="en-US"/>
        </w:rPr>
        <w:t>6</w:t>
      </w:r>
      <w:r w:rsidR="005841CA" w:rsidRPr="00E262E0">
        <w:rPr>
          <w:rFonts w:ascii="Arial" w:hAnsi="Arial" w:cs="Arial"/>
          <w:sz w:val="24"/>
          <w:szCs w:val="24"/>
          <w:lang w:val="en-US"/>
        </w:rPr>
        <w:t>).</w:t>
      </w:r>
    </w:p>
    <w:p w14:paraId="569E06ED" w14:textId="77777777" w:rsidR="007F5D67" w:rsidRPr="00E262E0" w:rsidRDefault="007F5D67" w:rsidP="009045A9">
      <w:pPr>
        <w:spacing w:after="0" w:line="480" w:lineRule="auto"/>
        <w:jc w:val="both"/>
        <w:rPr>
          <w:rFonts w:ascii="Arial" w:hAnsi="Arial" w:cs="Arial"/>
          <w:b/>
          <w:bCs/>
          <w:sz w:val="24"/>
          <w:szCs w:val="24"/>
          <w:lang w:val="en-US"/>
        </w:rPr>
      </w:pPr>
    </w:p>
    <w:p w14:paraId="2F64C44A" w14:textId="77777777" w:rsidR="001E18A9" w:rsidRPr="00E262E0" w:rsidRDefault="001E18A9" w:rsidP="004D0DCE">
      <w:pPr>
        <w:spacing w:after="0" w:line="480" w:lineRule="auto"/>
        <w:jc w:val="both"/>
        <w:rPr>
          <w:rFonts w:ascii="Arial" w:hAnsi="Arial" w:cs="Arial"/>
          <w:sz w:val="24"/>
          <w:szCs w:val="24"/>
          <w:lang w:val="en-US"/>
        </w:rPr>
      </w:pPr>
      <w:r w:rsidRPr="00E262E0">
        <w:rPr>
          <w:rFonts w:ascii="Arial" w:hAnsi="Arial" w:cs="Arial"/>
          <w:b/>
          <w:bCs/>
          <w:sz w:val="24"/>
          <w:szCs w:val="24"/>
          <w:lang w:val="en-US"/>
        </w:rPr>
        <w:t>Islet autoantibody determination</w:t>
      </w:r>
    </w:p>
    <w:p w14:paraId="47CB137D" w14:textId="5C78D107" w:rsidR="001E18A9" w:rsidRPr="00E262E0" w:rsidRDefault="001E18A9" w:rsidP="004D0DCE">
      <w:pPr>
        <w:spacing w:after="0" w:line="480" w:lineRule="auto"/>
        <w:jc w:val="both"/>
        <w:rPr>
          <w:rFonts w:ascii="Arial" w:hAnsi="Arial" w:cs="Arial"/>
          <w:sz w:val="24"/>
          <w:szCs w:val="24"/>
          <w:lang w:val="en-US"/>
        </w:rPr>
      </w:pPr>
      <w:r w:rsidRPr="00E262E0">
        <w:rPr>
          <w:rFonts w:ascii="Arial" w:hAnsi="Arial" w:cs="Arial"/>
          <w:sz w:val="24"/>
          <w:szCs w:val="24"/>
          <w:lang w:val="en-US"/>
        </w:rPr>
        <w:t xml:space="preserve">Autoantibodies against insulin (IAA), glutamate decarboxylase-65 (GADA), insulinoma-associated antigen-2 (IA-2A), zinc transporter-8 (ZnT8A) and tetraspanin 7 (TSpan7A), as well as epitope reactivity of IA-2A, were determined in serum samples collected at the staging visit. IAA were measured by a competitive radiobinding assay (RBA) with protein A/G immunoprecipitation and </w:t>
      </w:r>
      <w:r w:rsidRPr="00E262E0">
        <w:rPr>
          <w:rFonts w:ascii="Arial" w:hAnsi="Arial" w:cs="Arial"/>
          <w:sz w:val="24"/>
          <w:szCs w:val="24"/>
          <w:vertAlign w:val="superscript"/>
          <w:lang w:val="en-US"/>
        </w:rPr>
        <w:t>125</w:t>
      </w:r>
      <w:r w:rsidRPr="00E262E0">
        <w:rPr>
          <w:rFonts w:ascii="Arial" w:hAnsi="Arial" w:cs="Arial"/>
          <w:sz w:val="24"/>
          <w:szCs w:val="24"/>
          <w:lang w:val="en-US"/>
        </w:rPr>
        <w:t>I-labeled recombinant human insulin (</w:t>
      </w:r>
      <w:r w:rsidR="00E30810" w:rsidRPr="00E262E0">
        <w:rPr>
          <w:rFonts w:ascii="Arial" w:hAnsi="Arial" w:cs="Arial"/>
          <w:sz w:val="24"/>
          <w:szCs w:val="24"/>
          <w:lang w:val="en-US"/>
        </w:rPr>
        <w:t>18</w:t>
      </w:r>
      <w:r w:rsidRPr="00E262E0">
        <w:rPr>
          <w:rFonts w:ascii="Arial" w:hAnsi="Arial" w:cs="Arial"/>
          <w:sz w:val="24"/>
          <w:szCs w:val="24"/>
          <w:lang w:val="en-US"/>
        </w:rPr>
        <w:t>). GADA and IA-2A were measured according to the harmonized RBA protocol of the National Institute of Diabetes and Digestive and Kidney Diseases (NIDDK) using ³⁵S-methionine-labeled recombinant human N-terminal truncated GAD65 (amino acids 96-585) or IA-2ic (amino acids 606-979) as previously described (</w:t>
      </w:r>
      <w:r w:rsidR="00D27F23" w:rsidRPr="00E262E0">
        <w:rPr>
          <w:rFonts w:ascii="Arial" w:hAnsi="Arial" w:cs="Arial"/>
          <w:sz w:val="24"/>
          <w:szCs w:val="24"/>
          <w:lang w:val="en-US"/>
        </w:rPr>
        <w:t>19</w:t>
      </w:r>
      <w:r w:rsidRPr="00E262E0">
        <w:rPr>
          <w:rFonts w:ascii="Arial" w:hAnsi="Arial" w:cs="Arial"/>
          <w:sz w:val="24"/>
          <w:szCs w:val="24"/>
          <w:lang w:val="en-US"/>
        </w:rPr>
        <w:t xml:space="preserve">). ZnT8A were measured according to the NIDDK harmonized RBA protocol using </w:t>
      </w:r>
      <w:r w:rsidRPr="00E262E0">
        <w:rPr>
          <w:rFonts w:ascii="Arial" w:hAnsi="Arial" w:cs="Arial"/>
          <w:sz w:val="24"/>
          <w:szCs w:val="24"/>
          <w:vertAlign w:val="superscript"/>
          <w:lang w:val="en-US"/>
        </w:rPr>
        <w:t>35</w:t>
      </w:r>
      <w:r w:rsidRPr="00E262E0">
        <w:rPr>
          <w:rFonts w:ascii="Arial" w:hAnsi="Arial" w:cs="Arial"/>
          <w:sz w:val="24"/>
          <w:szCs w:val="24"/>
          <w:lang w:val="en-US"/>
        </w:rPr>
        <w:t xml:space="preserve">S-methionine-labeled recombinant human ZnT8 (amino acids 268–369) to </w:t>
      </w:r>
      <w:r w:rsidRPr="00E262E0">
        <w:rPr>
          <w:rFonts w:ascii="Arial" w:hAnsi="Arial" w:cs="Arial"/>
          <w:sz w:val="24"/>
          <w:szCs w:val="24"/>
          <w:lang w:val="en-US"/>
        </w:rPr>
        <w:lastRenderedPageBreak/>
        <w:t>separately detect autoantibodies against the arginine-325R and tryptophan-325W ZnT8 variants (ZnT8RA and ZnT8WA, respectively), as previously described (</w:t>
      </w:r>
      <w:r w:rsidR="0015216E" w:rsidRPr="00E262E0">
        <w:rPr>
          <w:rFonts w:ascii="Arial" w:hAnsi="Arial" w:cs="Arial"/>
          <w:sz w:val="24"/>
          <w:szCs w:val="24"/>
          <w:lang w:val="en-US"/>
        </w:rPr>
        <w:t>20</w:t>
      </w:r>
      <w:r w:rsidRPr="00E262E0">
        <w:rPr>
          <w:rFonts w:ascii="Arial" w:hAnsi="Arial" w:cs="Arial"/>
          <w:sz w:val="24"/>
          <w:szCs w:val="24"/>
          <w:lang w:val="en-US"/>
        </w:rPr>
        <w:t xml:space="preserve">). Samples were classified as ZnT8A positive if they were positive for ZnT8RA and/or ZnT8WA. The assays had sensitivities and specificities of </w:t>
      </w:r>
      <w:r w:rsidR="008106CE">
        <w:rPr>
          <w:rFonts w:ascii="Arial" w:hAnsi="Arial" w:cs="Arial"/>
          <w:sz w:val="24"/>
          <w:szCs w:val="24"/>
          <w:lang w:val="en-US"/>
        </w:rPr>
        <w:t>52</w:t>
      </w:r>
      <w:r w:rsidRPr="00E262E0">
        <w:rPr>
          <w:rFonts w:ascii="Arial" w:hAnsi="Arial" w:cs="Arial"/>
          <w:sz w:val="24"/>
          <w:szCs w:val="24"/>
          <w:lang w:val="en-US"/>
        </w:rPr>
        <w:t xml:space="preserve">% and </w:t>
      </w:r>
      <w:r w:rsidR="008106CE">
        <w:rPr>
          <w:rFonts w:ascii="Arial" w:hAnsi="Arial" w:cs="Arial"/>
          <w:sz w:val="24"/>
          <w:szCs w:val="24"/>
          <w:lang w:val="en-US"/>
        </w:rPr>
        <w:t>100</w:t>
      </w:r>
      <w:r w:rsidRPr="00E262E0">
        <w:rPr>
          <w:rFonts w:ascii="Arial" w:hAnsi="Arial" w:cs="Arial"/>
          <w:sz w:val="24"/>
          <w:szCs w:val="24"/>
          <w:lang w:val="en-US"/>
        </w:rPr>
        <w:t xml:space="preserve">% for IAA, </w:t>
      </w:r>
      <w:r w:rsidR="008106CE">
        <w:rPr>
          <w:rFonts w:ascii="Arial" w:hAnsi="Arial" w:cs="Arial"/>
          <w:sz w:val="24"/>
          <w:szCs w:val="24"/>
          <w:lang w:val="en-US"/>
        </w:rPr>
        <w:t>82</w:t>
      </w:r>
      <w:r w:rsidRPr="00E262E0">
        <w:rPr>
          <w:rFonts w:ascii="Arial" w:hAnsi="Arial" w:cs="Arial"/>
          <w:sz w:val="24"/>
          <w:szCs w:val="24"/>
          <w:lang w:val="en-US"/>
        </w:rPr>
        <w:t xml:space="preserve">% and 99% for GADA, </w:t>
      </w:r>
      <w:r w:rsidR="00F05FFA">
        <w:rPr>
          <w:rFonts w:ascii="Arial" w:hAnsi="Arial" w:cs="Arial"/>
          <w:sz w:val="24"/>
          <w:szCs w:val="24"/>
          <w:lang w:val="en-US"/>
        </w:rPr>
        <w:t>7</w:t>
      </w:r>
      <w:r w:rsidR="008106CE">
        <w:rPr>
          <w:rFonts w:ascii="Arial" w:hAnsi="Arial" w:cs="Arial"/>
          <w:sz w:val="24"/>
          <w:szCs w:val="24"/>
          <w:lang w:val="en-US"/>
        </w:rPr>
        <w:t>8</w:t>
      </w:r>
      <w:r w:rsidRPr="00E262E0">
        <w:rPr>
          <w:rFonts w:ascii="Arial" w:hAnsi="Arial" w:cs="Arial"/>
          <w:sz w:val="24"/>
          <w:szCs w:val="24"/>
          <w:lang w:val="en-US"/>
        </w:rPr>
        <w:t xml:space="preserve">% and 100% for IA-2A, </w:t>
      </w:r>
      <w:r w:rsidR="008106CE">
        <w:rPr>
          <w:rFonts w:ascii="Arial" w:hAnsi="Arial" w:cs="Arial"/>
          <w:sz w:val="24"/>
          <w:szCs w:val="24"/>
          <w:lang w:val="en-US"/>
        </w:rPr>
        <w:t>66</w:t>
      </w:r>
      <w:r w:rsidRPr="00E262E0">
        <w:rPr>
          <w:rFonts w:ascii="Arial" w:hAnsi="Arial" w:cs="Arial"/>
          <w:sz w:val="24"/>
          <w:szCs w:val="24"/>
          <w:lang w:val="en-US"/>
        </w:rPr>
        <w:t xml:space="preserve">% and </w:t>
      </w:r>
      <w:r w:rsidR="00F05FFA">
        <w:rPr>
          <w:rFonts w:ascii="Arial" w:hAnsi="Arial" w:cs="Arial"/>
          <w:sz w:val="24"/>
          <w:szCs w:val="24"/>
          <w:lang w:val="en-US"/>
        </w:rPr>
        <w:t>100</w:t>
      </w:r>
      <w:r w:rsidRPr="00E262E0">
        <w:rPr>
          <w:rFonts w:ascii="Arial" w:hAnsi="Arial" w:cs="Arial"/>
          <w:sz w:val="24"/>
          <w:szCs w:val="24"/>
          <w:lang w:val="en-US"/>
        </w:rPr>
        <w:t xml:space="preserve">% for ZnT8RA, and </w:t>
      </w:r>
      <w:r w:rsidR="00F05FFA">
        <w:rPr>
          <w:rFonts w:ascii="Arial" w:hAnsi="Arial" w:cs="Arial"/>
          <w:sz w:val="24"/>
          <w:szCs w:val="24"/>
          <w:lang w:val="en-US"/>
        </w:rPr>
        <w:t>62</w:t>
      </w:r>
      <w:r w:rsidRPr="00E262E0">
        <w:rPr>
          <w:rFonts w:ascii="Arial" w:hAnsi="Arial" w:cs="Arial"/>
          <w:sz w:val="24"/>
          <w:szCs w:val="24"/>
          <w:lang w:val="en-US"/>
        </w:rPr>
        <w:t xml:space="preserve">% and </w:t>
      </w:r>
      <w:r w:rsidR="00F05FFA">
        <w:rPr>
          <w:rFonts w:ascii="Arial" w:hAnsi="Arial" w:cs="Arial"/>
          <w:sz w:val="24"/>
          <w:szCs w:val="24"/>
          <w:lang w:val="en-US"/>
        </w:rPr>
        <w:t>100</w:t>
      </w:r>
      <w:r w:rsidRPr="00E262E0">
        <w:rPr>
          <w:rFonts w:ascii="Arial" w:hAnsi="Arial" w:cs="Arial"/>
          <w:sz w:val="24"/>
          <w:szCs w:val="24"/>
          <w:lang w:val="en-US"/>
        </w:rPr>
        <w:t xml:space="preserve">% for ZnT8WA in the Islet Autoantibody Standardization Program (IASP) </w:t>
      </w:r>
      <w:r w:rsidR="00F05FFA">
        <w:rPr>
          <w:rFonts w:ascii="Arial" w:hAnsi="Arial" w:cs="Arial"/>
          <w:sz w:val="24"/>
          <w:szCs w:val="24"/>
          <w:lang w:val="en-US"/>
        </w:rPr>
        <w:t>202</w:t>
      </w:r>
      <w:r w:rsidR="008106CE">
        <w:rPr>
          <w:rFonts w:ascii="Arial" w:hAnsi="Arial" w:cs="Arial"/>
          <w:sz w:val="24"/>
          <w:szCs w:val="24"/>
          <w:lang w:val="en-US"/>
        </w:rPr>
        <w:t>3</w:t>
      </w:r>
      <w:r w:rsidRPr="00E262E0">
        <w:rPr>
          <w:rFonts w:ascii="Arial" w:hAnsi="Arial" w:cs="Arial"/>
          <w:sz w:val="24"/>
          <w:szCs w:val="24"/>
          <w:lang w:val="en-US"/>
        </w:rPr>
        <w:t xml:space="preserve"> Workshop. </w:t>
      </w:r>
      <w:bookmarkStart w:id="1" w:name="_Hlk205138924"/>
      <w:r w:rsidRPr="00E262E0">
        <w:rPr>
          <w:rFonts w:ascii="Arial" w:hAnsi="Arial" w:cs="Arial"/>
          <w:sz w:val="24"/>
          <w:szCs w:val="24"/>
          <w:lang w:val="en-US"/>
        </w:rPr>
        <w:t xml:space="preserve">TSpan7A </w:t>
      </w:r>
      <w:bookmarkEnd w:id="1"/>
      <w:r w:rsidRPr="00E262E0">
        <w:rPr>
          <w:rFonts w:ascii="Arial" w:hAnsi="Arial" w:cs="Arial"/>
          <w:sz w:val="24"/>
          <w:szCs w:val="24"/>
          <w:lang w:val="en-US"/>
        </w:rPr>
        <w:t>were measured by a luciferase immunoprecipitation system (LIPS) assay, as previously described (</w:t>
      </w:r>
      <w:r w:rsidR="00BA39AD">
        <w:rPr>
          <w:rFonts w:ascii="Arial" w:hAnsi="Arial" w:cs="Arial"/>
          <w:sz w:val="24"/>
          <w:szCs w:val="24"/>
          <w:lang w:val="en-US"/>
        </w:rPr>
        <w:t>21</w:t>
      </w:r>
      <w:r w:rsidRPr="00E262E0">
        <w:rPr>
          <w:rFonts w:ascii="Arial" w:hAnsi="Arial" w:cs="Arial"/>
          <w:sz w:val="24"/>
          <w:szCs w:val="24"/>
          <w:lang w:val="en-US"/>
        </w:rPr>
        <w:t>).</w:t>
      </w:r>
    </w:p>
    <w:p w14:paraId="54B77C9F" w14:textId="21F7E4D8" w:rsidR="001E18A9" w:rsidRPr="00E262E0" w:rsidRDefault="004D2726" w:rsidP="004D0DCE">
      <w:pPr>
        <w:spacing w:after="0" w:line="480" w:lineRule="auto"/>
        <w:jc w:val="both"/>
        <w:rPr>
          <w:rFonts w:ascii="Arial" w:hAnsi="Arial" w:cs="Arial"/>
          <w:sz w:val="24"/>
          <w:szCs w:val="24"/>
          <w:lang w:val="en-US"/>
        </w:rPr>
      </w:pPr>
      <w:r w:rsidRPr="00E262E0">
        <w:rPr>
          <w:rFonts w:ascii="Arial" w:hAnsi="Arial" w:cs="Arial"/>
          <w:sz w:val="24"/>
          <w:szCs w:val="24"/>
          <w:lang w:val="en-US"/>
        </w:rPr>
        <w:t>Children with sufficient remaining biosample material were measured for IA-2A epitope reactivities (n=325) (</w:t>
      </w:r>
      <w:r w:rsidR="003B61BA" w:rsidRPr="00E262E0">
        <w:rPr>
          <w:rFonts w:ascii="Arial" w:hAnsi="Arial" w:cs="Arial"/>
          <w:b/>
          <w:bCs/>
          <w:sz w:val="24"/>
          <w:szCs w:val="24"/>
          <w:lang w:val="en-US"/>
        </w:rPr>
        <w:t>Table 1</w:t>
      </w:r>
      <w:r w:rsidRPr="00E262E0">
        <w:rPr>
          <w:rFonts w:ascii="Arial" w:hAnsi="Arial" w:cs="Arial"/>
          <w:sz w:val="24"/>
          <w:szCs w:val="24"/>
          <w:lang w:val="en-US"/>
        </w:rPr>
        <w:t xml:space="preserve">). </w:t>
      </w:r>
      <w:r w:rsidR="001E18A9" w:rsidRPr="00E262E0">
        <w:rPr>
          <w:rFonts w:ascii="Arial" w:hAnsi="Arial" w:cs="Arial"/>
          <w:sz w:val="24"/>
          <w:szCs w:val="24"/>
          <w:lang w:val="en-US"/>
        </w:rPr>
        <w:t xml:space="preserve">IA-2A epitope reactivities were determined by RBAs as previously described </w:t>
      </w:r>
      <w:r w:rsidR="0009083E" w:rsidRPr="00E262E0">
        <w:rPr>
          <w:rFonts w:ascii="Arial" w:hAnsi="Arial" w:cs="Arial"/>
          <w:sz w:val="24"/>
          <w:szCs w:val="24"/>
          <w:lang w:val="en-US"/>
        </w:rPr>
        <w:t>(</w:t>
      </w:r>
      <w:r w:rsidR="00BA39AD">
        <w:rPr>
          <w:rFonts w:ascii="Arial" w:hAnsi="Arial" w:cs="Arial"/>
          <w:sz w:val="24"/>
          <w:szCs w:val="24"/>
          <w:lang w:val="en-US"/>
        </w:rPr>
        <w:t>22</w:t>
      </w:r>
      <w:r w:rsidR="001E18A9" w:rsidRPr="00E262E0">
        <w:rPr>
          <w:rFonts w:ascii="Arial" w:hAnsi="Arial" w:cs="Arial"/>
          <w:sz w:val="24"/>
          <w:szCs w:val="24"/>
          <w:lang w:val="en-US"/>
        </w:rPr>
        <w:t>). IA-2A binding was measured using ³⁵S-methionine-labeled IA-2</w:t>
      </w:r>
      <w:r w:rsidR="001E18A9" w:rsidRPr="00E262E0">
        <w:rPr>
          <w:rFonts w:ascii="Arial" w:hAnsi="Arial" w:cs="Arial"/>
          <w:sz w:val="24"/>
          <w:szCs w:val="24"/>
          <w:vertAlign w:val="subscript"/>
          <w:lang w:val="en-US"/>
        </w:rPr>
        <w:t>687-979</w:t>
      </w:r>
      <w:r w:rsidR="001E18A9" w:rsidRPr="00E262E0">
        <w:rPr>
          <w:rFonts w:ascii="Arial" w:hAnsi="Arial" w:cs="Arial"/>
          <w:sz w:val="24"/>
          <w:szCs w:val="24"/>
          <w:lang w:val="en-US"/>
        </w:rPr>
        <w:t xml:space="preserve"> protein for antibodies to the PTP-like domain of IA-2 (IA-2 PTP), IA-2</w:t>
      </w:r>
      <w:r w:rsidR="001E18A9" w:rsidRPr="00E262E0">
        <w:rPr>
          <w:rFonts w:ascii="Arial" w:hAnsi="Arial" w:cs="Arial"/>
          <w:sz w:val="24"/>
          <w:szCs w:val="24"/>
          <w:vertAlign w:val="subscript"/>
          <w:lang w:val="en-US"/>
        </w:rPr>
        <w:t>389-779</w:t>
      </w:r>
      <w:r w:rsidR="001E18A9" w:rsidRPr="00E262E0">
        <w:rPr>
          <w:rFonts w:ascii="Arial" w:hAnsi="Arial" w:cs="Arial"/>
          <w:sz w:val="24"/>
          <w:szCs w:val="24"/>
          <w:lang w:val="en-US"/>
        </w:rPr>
        <w:t xml:space="preserve"> protein for antibodies to the juxtamembrane region of IA-2 (IA-2 JM), and IA-2β</w:t>
      </w:r>
      <w:r w:rsidR="001E18A9" w:rsidRPr="00E262E0">
        <w:rPr>
          <w:rFonts w:ascii="Arial" w:hAnsi="Arial" w:cs="Arial"/>
          <w:sz w:val="24"/>
          <w:szCs w:val="24"/>
          <w:vertAlign w:val="subscript"/>
          <w:lang w:val="en-US"/>
        </w:rPr>
        <w:t>644-1015</w:t>
      </w:r>
      <w:r w:rsidR="001E18A9" w:rsidRPr="00E262E0">
        <w:rPr>
          <w:rFonts w:ascii="Arial" w:hAnsi="Arial" w:cs="Arial"/>
          <w:sz w:val="24"/>
          <w:szCs w:val="24"/>
          <w:lang w:val="en-US"/>
        </w:rPr>
        <w:t xml:space="preserve">  protein for antibodies to the PTP-like domain of IA-2β (IA-2β PTP). The 99</w:t>
      </w:r>
      <w:r w:rsidR="001E18A9" w:rsidRPr="00E262E0">
        <w:rPr>
          <w:rFonts w:ascii="Arial" w:hAnsi="Arial" w:cs="Arial"/>
          <w:sz w:val="24"/>
          <w:szCs w:val="24"/>
          <w:vertAlign w:val="superscript"/>
          <w:lang w:val="en-US"/>
        </w:rPr>
        <w:t>th</w:t>
      </w:r>
      <w:r w:rsidR="001E18A9" w:rsidRPr="00E262E0">
        <w:rPr>
          <w:rFonts w:ascii="Arial" w:hAnsi="Arial" w:cs="Arial"/>
          <w:sz w:val="24"/>
          <w:szCs w:val="24"/>
          <w:lang w:val="en-US"/>
        </w:rPr>
        <w:t xml:space="preserve"> percentile of control sera was used as the threshold for positivity for each antibody (3 U/ml for IA-2 PTP, 20 U/ml for IA-2 JM, and 3 U/ml for IA-2β PTP).</w:t>
      </w:r>
    </w:p>
    <w:p w14:paraId="7BA59258" w14:textId="77777777" w:rsidR="00AC2B42" w:rsidRPr="00E262E0" w:rsidRDefault="00AC2B42" w:rsidP="009045A9">
      <w:pPr>
        <w:spacing w:after="0" w:line="480" w:lineRule="auto"/>
        <w:jc w:val="both"/>
        <w:rPr>
          <w:rFonts w:ascii="Arial" w:hAnsi="Arial" w:cs="Arial"/>
          <w:sz w:val="24"/>
          <w:szCs w:val="24"/>
          <w:lang w:val="en-US"/>
        </w:rPr>
      </w:pPr>
    </w:p>
    <w:p w14:paraId="786EA8AB" w14:textId="77777777" w:rsidR="008D04FA" w:rsidRPr="00E262E0" w:rsidRDefault="008D04FA" w:rsidP="009045A9">
      <w:pPr>
        <w:spacing w:after="0" w:line="480" w:lineRule="auto"/>
        <w:jc w:val="both"/>
        <w:rPr>
          <w:rFonts w:ascii="Arial" w:hAnsi="Arial" w:cs="Arial"/>
          <w:b/>
          <w:bCs/>
          <w:sz w:val="24"/>
          <w:szCs w:val="24"/>
          <w:lang w:val="en-US"/>
        </w:rPr>
      </w:pPr>
      <w:r w:rsidRPr="00E262E0">
        <w:rPr>
          <w:rFonts w:ascii="Arial" w:hAnsi="Arial" w:cs="Arial"/>
          <w:b/>
          <w:bCs/>
          <w:sz w:val="24"/>
          <w:szCs w:val="24"/>
          <w:lang w:val="en-US"/>
        </w:rPr>
        <w:t>Progression Likelihood Score (PLS)</w:t>
      </w:r>
    </w:p>
    <w:p w14:paraId="48499464" w14:textId="58893D23" w:rsidR="008D04FA" w:rsidRDefault="008D04FA" w:rsidP="009045A9">
      <w:pPr>
        <w:spacing w:after="0" w:line="480" w:lineRule="auto"/>
        <w:jc w:val="both"/>
        <w:rPr>
          <w:rFonts w:ascii="Arial" w:hAnsi="Arial" w:cs="Arial"/>
          <w:sz w:val="24"/>
          <w:szCs w:val="24"/>
          <w:lang w:val="en-US"/>
        </w:rPr>
      </w:pPr>
      <w:r w:rsidRPr="00E262E0">
        <w:rPr>
          <w:rFonts w:ascii="Arial" w:hAnsi="Arial" w:cs="Arial"/>
          <w:sz w:val="24"/>
          <w:szCs w:val="24"/>
          <w:lang w:val="en-US"/>
        </w:rPr>
        <w:t xml:space="preserve">The PLS is </w:t>
      </w:r>
      <w:r w:rsidR="001417CE" w:rsidRPr="00E262E0">
        <w:rPr>
          <w:rFonts w:ascii="Arial" w:hAnsi="Arial" w:cs="Arial"/>
          <w:sz w:val="24"/>
          <w:szCs w:val="24"/>
          <w:lang w:val="en-US"/>
        </w:rPr>
        <w:t xml:space="preserve">a composite score of </w:t>
      </w:r>
      <w:r w:rsidRPr="00E262E0">
        <w:rPr>
          <w:rFonts w:ascii="Arial" w:hAnsi="Arial" w:cs="Arial"/>
          <w:sz w:val="24"/>
          <w:szCs w:val="24"/>
          <w:lang w:val="en-US"/>
        </w:rPr>
        <w:t xml:space="preserve">HbA1c, 90-minute </w:t>
      </w:r>
      <w:r w:rsidR="001417CE" w:rsidRPr="00E262E0">
        <w:rPr>
          <w:rFonts w:ascii="Arial" w:hAnsi="Arial" w:cs="Arial"/>
          <w:sz w:val="24"/>
          <w:szCs w:val="24"/>
          <w:lang w:val="en-US"/>
        </w:rPr>
        <w:t xml:space="preserve">glucose during </w:t>
      </w:r>
      <w:r w:rsidRPr="00E262E0">
        <w:rPr>
          <w:rFonts w:ascii="Arial" w:hAnsi="Arial" w:cs="Arial"/>
          <w:sz w:val="24"/>
          <w:szCs w:val="24"/>
          <w:lang w:val="en-US"/>
        </w:rPr>
        <w:t xml:space="preserve">OGTT and IA-2A titer (ordinally categorized into 4 categories: negative (0), </w:t>
      </w:r>
      <w:r w:rsidR="00BF060A" w:rsidRPr="00E262E0">
        <w:rPr>
          <w:rFonts w:ascii="Arial" w:hAnsi="Arial" w:cs="Arial"/>
          <w:sz w:val="24"/>
          <w:szCs w:val="24"/>
          <w:lang w:val="en-US"/>
        </w:rPr>
        <w:t>&gt;</w:t>
      </w:r>
      <w:r w:rsidRPr="00E262E0">
        <w:rPr>
          <w:rFonts w:ascii="Arial" w:hAnsi="Arial" w:cs="Arial"/>
          <w:sz w:val="24"/>
          <w:szCs w:val="24"/>
          <w:lang w:val="en-US"/>
        </w:rPr>
        <w:t>3</w:t>
      </w:r>
      <w:r w:rsidR="0031652A" w:rsidRPr="00E262E0">
        <w:rPr>
          <w:rFonts w:ascii="Arial" w:hAnsi="Arial" w:cs="Arial"/>
          <w:sz w:val="24"/>
          <w:szCs w:val="24"/>
          <w:lang w:val="en-US"/>
        </w:rPr>
        <w:t>-</w:t>
      </w:r>
      <w:r w:rsidRPr="00E262E0">
        <w:rPr>
          <w:rFonts w:ascii="Arial" w:hAnsi="Arial" w:cs="Arial"/>
          <w:sz w:val="24"/>
          <w:szCs w:val="24"/>
          <w:lang w:val="en-US"/>
        </w:rPr>
        <w:t xml:space="preserve">100 </w:t>
      </w:r>
      <w:r w:rsidR="00546173" w:rsidRPr="00E262E0">
        <w:rPr>
          <w:rFonts w:ascii="Arial" w:hAnsi="Arial" w:cs="Arial"/>
          <w:sz w:val="24"/>
          <w:szCs w:val="24"/>
          <w:lang w:val="en-US"/>
        </w:rPr>
        <w:t xml:space="preserve">NIDDK </w:t>
      </w:r>
      <w:r w:rsidRPr="00E262E0">
        <w:rPr>
          <w:rFonts w:ascii="Arial" w:hAnsi="Arial" w:cs="Arial"/>
          <w:sz w:val="24"/>
          <w:szCs w:val="24"/>
          <w:lang w:val="en-US"/>
        </w:rPr>
        <w:t>units (1), 100</w:t>
      </w:r>
      <w:r w:rsidR="0031652A" w:rsidRPr="00E262E0">
        <w:rPr>
          <w:rFonts w:ascii="Arial" w:hAnsi="Arial" w:cs="Arial"/>
          <w:sz w:val="24"/>
          <w:szCs w:val="24"/>
          <w:lang w:val="en-US"/>
        </w:rPr>
        <w:t>-</w:t>
      </w:r>
      <w:r w:rsidRPr="00E262E0">
        <w:rPr>
          <w:rFonts w:ascii="Arial" w:hAnsi="Arial" w:cs="Arial"/>
          <w:sz w:val="24"/>
          <w:szCs w:val="24"/>
          <w:lang w:val="en-US"/>
        </w:rPr>
        <w:t xml:space="preserve">290 </w:t>
      </w:r>
      <w:r w:rsidR="00546173" w:rsidRPr="00E262E0">
        <w:rPr>
          <w:rFonts w:ascii="Arial" w:hAnsi="Arial" w:cs="Arial"/>
          <w:sz w:val="24"/>
          <w:szCs w:val="24"/>
          <w:lang w:val="en-US"/>
        </w:rPr>
        <w:t xml:space="preserve">NIDDK </w:t>
      </w:r>
      <w:r w:rsidRPr="00E262E0">
        <w:rPr>
          <w:rFonts w:ascii="Arial" w:hAnsi="Arial" w:cs="Arial"/>
          <w:sz w:val="24"/>
          <w:szCs w:val="24"/>
          <w:lang w:val="en-US"/>
        </w:rPr>
        <w:t xml:space="preserve">units (2), &gt;290 </w:t>
      </w:r>
      <w:r w:rsidR="00546173" w:rsidRPr="00E262E0">
        <w:rPr>
          <w:rFonts w:ascii="Arial" w:hAnsi="Arial" w:cs="Arial"/>
          <w:sz w:val="24"/>
          <w:szCs w:val="24"/>
          <w:lang w:val="en-US"/>
        </w:rPr>
        <w:t xml:space="preserve">NIDDK </w:t>
      </w:r>
      <w:r w:rsidRPr="00E262E0">
        <w:rPr>
          <w:rFonts w:ascii="Arial" w:hAnsi="Arial" w:cs="Arial"/>
          <w:sz w:val="24"/>
          <w:szCs w:val="24"/>
          <w:lang w:val="en-US"/>
        </w:rPr>
        <w:t xml:space="preserve">units (3)). </w:t>
      </w:r>
      <w:r w:rsidR="00B37E31" w:rsidRPr="00E262E0">
        <w:rPr>
          <w:rFonts w:ascii="Arial" w:hAnsi="Arial" w:cs="Arial"/>
          <w:sz w:val="24"/>
          <w:szCs w:val="24"/>
          <w:lang w:val="en-US"/>
        </w:rPr>
        <w:t xml:space="preserve">The score </w:t>
      </w:r>
      <w:r w:rsidR="00023D61" w:rsidRPr="00E262E0">
        <w:rPr>
          <w:rFonts w:ascii="Arial" w:hAnsi="Arial" w:cs="Arial"/>
          <w:sz w:val="24"/>
          <w:szCs w:val="24"/>
          <w:lang w:val="en-US"/>
        </w:rPr>
        <w:t>is</w:t>
      </w:r>
      <w:r w:rsidR="00B37E31" w:rsidRPr="00E262E0">
        <w:rPr>
          <w:rFonts w:ascii="Arial" w:hAnsi="Arial" w:cs="Arial"/>
          <w:sz w:val="24"/>
          <w:szCs w:val="24"/>
          <w:lang w:val="en-US"/>
        </w:rPr>
        <w:t xml:space="preserve"> calculated by the formula: </w:t>
      </w:r>
      <w:r w:rsidR="00B37E31" w:rsidRPr="00E262E0">
        <w:rPr>
          <w:rFonts w:ascii="Arial" w:hAnsi="Arial" w:cs="Arial"/>
          <w:i/>
          <w:iCs/>
          <w:sz w:val="24"/>
          <w:szCs w:val="24"/>
          <w:lang w:val="en-US"/>
        </w:rPr>
        <w:t>exp[(HbA1c[%] − 5.233) × 1.125 + (OGTT90[mg/dl] − 107.6) × 0.0195 + (IA-2Acat − 1.27) × 0.662)]</w:t>
      </w:r>
      <w:r w:rsidR="003B61BA" w:rsidRPr="00E262E0">
        <w:rPr>
          <w:rFonts w:ascii="Arial" w:hAnsi="Arial" w:cs="Arial"/>
          <w:i/>
          <w:iCs/>
          <w:sz w:val="24"/>
          <w:szCs w:val="24"/>
          <w:lang w:val="en-US"/>
        </w:rPr>
        <w:t xml:space="preserve">. </w:t>
      </w:r>
      <w:r w:rsidR="001417CE" w:rsidRPr="00E262E0">
        <w:rPr>
          <w:rFonts w:ascii="Arial" w:hAnsi="Arial" w:cs="Arial"/>
          <w:sz w:val="24"/>
          <w:szCs w:val="24"/>
          <w:lang w:val="en-US"/>
        </w:rPr>
        <w:t>The 90</w:t>
      </w:r>
      <w:r w:rsidR="001417CE" w:rsidRPr="00E262E0">
        <w:rPr>
          <w:rFonts w:ascii="Arial" w:hAnsi="Arial" w:cs="Arial"/>
          <w:sz w:val="24"/>
          <w:szCs w:val="24"/>
          <w:vertAlign w:val="superscript"/>
          <w:lang w:val="en-US"/>
        </w:rPr>
        <w:t>th</w:t>
      </w:r>
      <w:r w:rsidR="001417CE" w:rsidRPr="00E262E0">
        <w:rPr>
          <w:rFonts w:ascii="Arial" w:hAnsi="Arial" w:cs="Arial"/>
          <w:sz w:val="24"/>
          <w:szCs w:val="24"/>
          <w:lang w:val="en-US"/>
        </w:rPr>
        <w:t xml:space="preserve"> centile of the score </w:t>
      </w:r>
      <w:r w:rsidR="00023D61" w:rsidRPr="00E262E0">
        <w:rPr>
          <w:rFonts w:ascii="Arial" w:hAnsi="Arial" w:cs="Arial"/>
          <w:sz w:val="24"/>
          <w:szCs w:val="24"/>
          <w:lang w:val="en-US"/>
        </w:rPr>
        <w:t xml:space="preserve">in individuals with stage 1 </w:t>
      </w:r>
      <w:r w:rsidR="00802A4D" w:rsidRPr="00E262E0">
        <w:rPr>
          <w:rFonts w:ascii="Arial" w:hAnsi="Arial" w:cs="Arial"/>
          <w:sz w:val="24"/>
          <w:szCs w:val="24"/>
          <w:lang w:val="en-US"/>
        </w:rPr>
        <w:t>type 1 diabetes</w:t>
      </w:r>
      <w:r w:rsidR="00023D61" w:rsidRPr="00E262E0">
        <w:rPr>
          <w:rFonts w:ascii="Arial" w:hAnsi="Arial" w:cs="Arial"/>
          <w:sz w:val="24"/>
          <w:szCs w:val="24"/>
          <w:lang w:val="en-US"/>
        </w:rPr>
        <w:t xml:space="preserve"> identified by previous stage 1 criteria </w:t>
      </w:r>
      <w:r w:rsidR="001417CE" w:rsidRPr="00E262E0">
        <w:rPr>
          <w:rFonts w:ascii="Arial" w:hAnsi="Arial" w:cs="Arial"/>
          <w:sz w:val="24"/>
          <w:szCs w:val="24"/>
          <w:lang w:val="en-US"/>
        </w:rPr>
        <w:t>correspond</w:t>
      </w:r>
      <w:r w:rsidR="00B37E31" w:rsidRPr="00E262E0">
        <w:rPr>
          <w:rFonts w:ascii="Arial" w:hAnsi="Arial" w:cs="Arial"/>
          <w:sz w:val="24"/>
          <w:szCs w:val="24"/>
          <w:lang w:val="en-US"/>
        </w:rPr>
        <w:t>ed</w:t>
      </w:r>
      <w:r w:rsidR="001417CE" w:rsidRPr="00E262E0">
        <w:rPr>
          <w:rFonts w:ascii="Arial" w:hAnsi="Arial" w:cs="Arial"/>
          <w:sz w:val="24"/>
          <w:szCs w:val="24"/>
          <w:lang w:val="en-US"/>
        </w:rPr>
        <w:t xml:space="preserve"> to a </w:t>
      </w:r>
      <w:r w:rsidR="00546173" w:rsidRPr="00E262E0">
        <w:rPr>
          <w:rFonts w:ascii="Arial" w:hAnsi="Arial" w:cs="Arial"/>
          <w:sz w:val="24"/>
          <w:szCs w:val="24"/>
          <w:lang w:val="en-US"/>
        </w:rPr>
        <w:t xml:space="preserve">score </w:t>
      </w:r>
      <w:r w:rsidR="001417CE" w:rsidRPr="00E262E0">
        <w:rPr>
          <w:rFonts w:ascii="Arial" w:hAnsi="Arial" w:cs="Arial"/>
          <w:sz w:val="24"/>
          <w:szCs w:val="24"/>
          <w:lang w:val="en-US"/>
        </w:rPr>
        <w:t>of 4</w:t>
      </w:r>
      <w:r w:rsidR="00B74762">
        <w:rPr>
          <w:rFonts w:ascii="Arial" w:hAnsi="Arial" w:cs="Arial"/>
          <w:sz w:val="24"/>
          <w:szCs w:val="24"/>
          <w:lang w:val="en-US"/>
        </w:rPr>
        <w:t>.0</w:t>
      </w:r>
      <w:r w:rsidR="001417CE" w:rsidRPr="00E262E0">
        <w:rPr>
          <w:rFonts w:ascii="Arial" w:hAnsi="Arial" w:cs="Arial"/>
          <w:sz w:val="24"/>
          <w:szCs w:val="24"/>
          <w:lang w:val="en-US"/>
        </w:rPr>
        <w:t>, and the 30</w:t>
      </w:r>
      <w:r w:rsidR="001417CE" w:rsidRPr="00E262E0">
        <w:rPr>
          <w:rFonts w:ascii="Arial" w:hAnsi="Arial" w:cs="Arial"/>
          <w:sz w:val="24"/>
          <w:szCs w:val="24"/>
          <w:vertAlign w:val="superscript"/>
          <w:lang w:val="en-US"/>
        </w:rPr>
        <w:t>th</w:t>
      </w:r>
      <w:r w:rsidR="001417CE" w:rsidRPr="00E262E0">
        <w:rPr>
          <w:rFonts w:ascii="Arial" w:hAnsi="Arial" w:cs="Arial"/>
          <w:sz w:val="24"/>
          <w:szCs w:val="24"/>
          <w:lang w:val="en-US"/>
        </w:rPr>
        <w:t xml:space="preserve"> centile to </w:t>
      </w:r>
      <w:r w:rsidR="00B37E31" w:rsidRPr="00E262E0">
        <w:rPr>
          <w:rFonts w:ascii="Arial" w:hAnsi="Arial" w:cs="Arial"/>
          <w:sz w:val="24"/>
          <w:szCs w:val="24"/>
          <w:lang w:val="en-US"/>
        </w:rPr>
        <w:t>0.5</w:t>
      </w:r>
      <w:r w:rsidR="000B70BC" w:rsidRPr="00E262E0">
        <w:rPr>
          <w:rFonts w:ascii="Arial" w:hAnsi="Arial" w:cs="Arial"/>
          <w:sz w:val="24"/>
          <w:szCs w:val="24"/>
          <w:lang w:val="en-US"/>
        </w:rPr>
        <w:t xml:space="preserve"> (</w:t>
      </w:r>
      <w:r w:rsidR="00807640" w:rsidRPr="00E262E0">
        <w:rPr>
          <w:rFonts w:ascii="Arial" w:hAnsi="Arial" w:cs="Arial"/>
          <w:sz w:val="24"/>
          <w:szCs w:val="24"/>
          <w:lang w:val="en-US"/>
        </w:rPr>
        <w:t>6</w:t>
      </w:r>
      <w:r w:rsidR="000B70BC" w:rsidRPr="00E262E0">
        <w:rPr>
          <w:rFonts w:ascii="Arial" w:hAnsi="Arial" w:cs="Arial"/>
          <w:sz w:val="24"/>
          <w:szCs w:val="24"/>
          <w:lang w:val="en-US"/>
        </w:rPr>
        <w:t>)</w:t>
      </w:r>
      <w:r w:rsidR="001417CE" w:rsidRPr="00E262E0">
        <w:rPr>
          <w:rFonts w:ascii="Arial" w:hAnsi="Arial" w:cs="Arial"/>
          <w:sz w:val="24"/>
          <w:szCs w:val="24"/>
          <w:lang w:val="en-US"/>
        </w:rPr>
        <w:t>.</w:t>
      </w:r>
      <w:r w:rsidR="006A6BE2">
        <w:rPr>
          <w:rFonts w:ascii="Arial" w:hAnsi="Arial" w:cs="Arial"/>
          <w:sz w:val="24"/>
          <w:szCs w:val="24"/>
          <w:lang w:val="en-US"/>
        </w:rPr>
        <w:t xml:space="preserve"> For each participant, the PLS was calculated at first staging.</w:t>
      </w:r>
      <w:r w:rsidR="00C02100">
        <w:rPr>
          <w:rFonts w:ascii="Arial" w:hAnsi="Arial" w:cs="Arial"/>
          <w:sz w:val="24"/>
          <w:szCs w:val="24"/>
          <w:lang w:val="en-US"/>
        </w:rPr>
        <w:t xml:space="preserve"> For </w:t>
      </w:r>
      <w:r w:rsidR="00C02100">
        <w:rPr>
          <w:rFonts w:ascii="Arial" w:hAnsi="Arial" w:cs="Arial"/>
          <w:sz w:val="24"/>
          <w:szCs w:val="24"/>
          <w:lang w:val="en-US"/>
        </w:rPr>
        <w:lastRenderedPageBreak/>
        <w:t xml:space="preserve">a sensitivity analysis that assessed the performance of the PLS in stratifying the progression rate from stage 2 to stage 3, the PLS was also calculated at the first </w:t>
      </w:r>
      <w:r w:rsidR="00043887">
        <w:rPr>
          <w:rFonts w:ascii="Arial" w:hAnsi="Arial" w:cs="Arial"/>
          <w:sz w:val="24"/>
          <w:szCs w:val="24"/>
          <w:lang w:val="en-US"/>
        </w:rPr>
        <w:t>occurrence</w:t>
      </w:r>
      <w:r w:rsidR="00C02100">
        <w:rPr>
          <w:rFonts w:ascii="Arial" w:hAnsi="Arial" w:cs="Arial"/>
          <w:sz w:val="24"/>
          <w:szCs w:val="24"/>
          <w:lang w:val="en-US"/>
        </w:rPr>
        <w:t xml:space="preserve"> of stage 2 in participants who developed stage 2 during follow-up.</w:t>
      </w:r>
    </w:p>
    <w:p w14:paraId="71966513" w14:textId="77777777" w:rsidR="004B798E" w:rsidRPr="00E262E0" w:rsidRDefault="004B798E" w:rsidP="009045A9">
      <w:pPr>
        <w:spacing w:after="0" w:line="480" w:lineRule="auto"/>
        <w:jc w:val="both"/>
        <w:rPr>
          <w:rFonts w:ascii="Arial" w:hAnsi="Arial" w:cs="Arial"/>
          <w:sz w:val="24"/>
          <w:szCs w:val="24"/>
          <w:lang w:val="en-US"/>
        </w:rPr>
      </w:pPr>
    </w:p>
    <w:p w14:paraId="00658ED2" w14:textId="675EBDF1" w:rsidR="005C3E0E" w:rsidRPr="00E262E0" w:rsidRDefault="005C3E0E" w:rsidP="009045A9">
      <w:pPr>
        <w:tabs>
          <w:tab w:val="left" w:pos="3500"/>
        </w:tabs>
        <w:spacing w:after="0" w:line="480" w:lineRule="auto"/>
        <w:rPr>
          <w:rFonts w:ascii="Arial" w:hAnsi="Arial" w:cs="Arial"/>
          <w:b/>
          <w:bCs/>
          <w:sz w:val="24"/>
          <w:szCs w:val="24"/>
          <w:lang w:val="en-US"/>
        </w:rPr>
      </w:pPr>
      <w:r w:rsidRPr="00E262E0">
        <w:rPr>
          <w:rFonts w:ascii="Arial" w:hAnsi="Arial" w:cs="Arial"/>
          <w:b/>
          <w:bCs/>
          <w:sz w:val="24"/>
          <w:szCs w:val="24"/>
          <w:lang w:val="en-US"/>
        </w:rPr>
        <w:t xml:space="preserve">Statistical </w:t>
      </w:r>
      <w:r w:rsidR="000763C5" w:rsidRPr="00E262E0">
        <w:rPr>
          <w:rFonts w:ascii="Arial" w:hAnsi="Arial" w:cs="Arial"/>
          <w:b/>
          <w:bCs/>
          <w:sz w:val="24"/>
          <w:szCs w:val="24"/>
          <w:lang w:val="en-US"/>
        </w:rPr>
        <w:t>analysis</w:t>
      </w:r>
      <w:r w:rsidR="0027402E" w:rsidRPr="00E262E0">
        <w:rPr>
          <w:rFonts w:ascii="Arial" w:hAnsi="Arial" w:cs="Arial"/>
          <w:b/>
          <w:bCs/>
          <w:sz w:val="24"/>
          <w:szCs w:val="24"/>
          <w:lang w:val="en-US"/>
        </w:rPr>
        <w:t xml:space="preserve"> </w:t>
      </w:r>
    </w:p>
    <w:p w14:paraId="41FCBDF6" w14:textId="76AD3F57" w:rsidR="005C3E0E" w:rsidRPr="00E262E0" w:rsidRDefault="005C3E0E" w:rsidP="009045A9">
      <w:pPr>
        <w:spacing w:after="0" w:line="480" w:lineRule="auto"/>
        <w:jc w:val="both"/>
        <w:rPr>
          <w:rFonts w:ascii="Arial" w:hAnsi="Arial" w:cs="Arial"/>
          <w:sz w:val="24"/>
          <w:szCs w:val="24"/>
          <w:lang w:val="en-US"/>
        </w:rPr>
      </w:pPr>
      <w:r w:rsidRPr="00E262E0">
        <w:rPr>
          <w:rFonts w:ascii="Arial" w:hAnsi="Arial" w:cs="Arial"/>
          <w:sz w:val="24"/>
          <w:szCs w:val="24"/>
          <w:lang w:val="en-US"/>
        </w:rPr>
        <w:t xml:space="preserve">The progression to </w:t>
      </w:r>
      <w:r w:rsidR="00C76985" w:rsidRPr="00E262E0">
        <w:rPr>
          <w:rFonts w:ascii="Arial" w:hAnsi="Arial" w:cs="Arial"/>
          <w:sz w:val="24"/>
          <w:szCs w:val="24"/>
          <w:lang w:val="en-US"/>
        </w:rPr>
        <w:t xml:space="preserve">stage 3 type 1 </w:t>
      </w:r>
      <w:r w:rsidRPr="00E262E0">
        <w:rPr>
          <w:rFonts w:ascii="Arial" w:hAnsi="Arial" w:cs="Arial"/>
          <w:sz w:val="24"/>
          <w:szCs w:val="24"/>
          <w:lang w:val="en-US"/>
        </w:rPr>
        <w:t xml:space="preserve">diabetes was assessed using the Kaplan–Meier time-to-event method. </w:t>
      </w:r>
      <w:r w:rsidR="006A6BE2">
        <w:rPr>
          <w:rFonts w:ascii="Arial" w:hAnsi="Arial" w:cs="Arial"/>
          <w:sz w:val="24"/>
          <w:szCs w:val="24"/>
          <w:lang w:val="en-US"/>
        </w:rPr>
        <w:t>Follow-up commenced from the calculation of the PLS</w:t>
      </w:r>
      <w:r w:rsidR="002E3F20">
        <w:rPr>
          <w:rFonts w:ascii="Arial" w:hAnsi="Arial" w:cs="Arial"/>
          <w:sz w:val="24"/>
          <w:szCs w:val="24"/>
          <w:lang w:val="en-US"/>
        </w:rPr>
        <w:t xml:space="preserve">. </w:t>
      </w:r>
      <w:r w:rsidRPr="00E262E0">
        <w:rPr>
          <w:rFonts w:ascii="Arial" w:hAnsi="Arial" w:cs="Arial"/>
          <w:sz w:val="24"/>
          <w:szCs w:val="24"/>
          <w:lang w:val="en-US"/>
        </w:rPr>
        <w:t>Children were censored when they developed stage 3 type 1 diabetes or reached the date of their final contact to ascertain diabetes status. Between-group comparisons in the Kaplan</w:t>
      </w:r>
      <w:r w:rsidR="0031652A" w:rsidRPr="00E262E0">
        <w:rPr>
          <w:rFonts w:ascii="Arial" w:hAnsi="Arial" w:cs="Arial"/>
          <w:sz w:val="24"/>
          <w:szCs w:val="24"/>
          <w:lang w:val="en-US"/>
        </w:rPr>
        <w:t>-</w:t>
      </w:r>
      <w:r w:rsidRPr="00E262E0">
        <w:rPr>
          <w:rFonts w:ascii="Arial" w:hAnsi="Arial" w:cs="Arial"/>
          <w:sz w:val="24"/>
          <w:szCs w:val="24"/>
          <w:lang w:val="en-US"/>
        </w:rPr>
        <w:t>Meier analyses were performed using the log</w:t>
      </w:r>
      <w:r w:rsidR="0009083E" w:rsidRPr="00E262E0">
        <w:rPr>
          <w:rFonts w:ascii="Arial" w:hAnsi="Arial" w:cs="Arial"/>
          <w:sz w:val="24"/>
          <w:szCs w:val="24"/>
          <w:lang w:val="en-US"/>
        </w:rPr>
        <w:t xml:space="preserve"> </w:t>
      </w:r>
      <w:r w:rsidRPr="00E262E0">
        <w:rPr>
          <w:rFonts w:ascii="Arial" w:hAnsi="Arial" w:cs="Arial"/>
          <w:sz w:val="24"/>
          <w:szCs w:val="24"/>
          <w:lang w:val="en-US"/>
        </w:rPr>
        <w:t xml:space="preserve">rank test. The Cox proportional hazards model </w:t>
      </w:r>
      <w:r w:rsidR="00986369" w:rsidRPr="00E262E0">
        <w:rPr>
          <w:rFonts w:ascii="Arial" w:hAnsi="Arial" w:cs="Arial"/>
          <w:sz w:val="24"/>
          <w:szCs w:val="24"/>
          <w:lang w:val="en-US"/>
        </w:rPr>
        <w:t>was</w:t>
      </w:r>
      <w:r w:rsidRPr="00E262E0">
        <w:rPr>
          <w:rFonts w:ascii="Arial" w:hAnsi="Arial" w:cs="Arial"/>
          <w:sz w:val="24"/>
          <w:szCs w:val="24"/>
          <w:lang w:val="en-US"/>
        </w:rPr>
        <w:t xml:space="preserve"> used to </w:t>
      </w:r>
      <w:r w:rsidR="00251B0E" w:rsidRPr="00E262E0">
        <w:rPr>
          <w:rFonts w:ascii="Arial" w:hAnsi="Arial" w:cs="Arial"/>
          <w:sz w:val="24"/>
          <w:szCs w:val="24"/>
          <w:lang w:val="en-US"/>
        </w:rPr>
        <w:t xml:space="preserve">assess the association of </w:t>
      </w:r>
      <w:r w:rsidR="0023374B" w:rsidRPr="00E262E0">
        <w:rPr>
          <w:rFonts w:ascii="Arial" w:hAnsi="Arial" w:cs="Arial"/>
          <w:sz w:val="24"/>
          <w:szCs w:val="24"/>
          <w:lang w:val="en-US"/>
        </w:rPr>
        <w:t xml:space="preserve">factors </w:t>
      </w:r>
      <w:r w:rsidRPr="00E262E0">
        <w:rPr>
          <w:rFonts w:ascii="Arial" w:hAnsi="Arial" w:cs="Arial"/>
          <w:sz w:val="24"/>
          <w:szCs w:val="24"/>
          <w:lang w:val="en-US"/>
        </w:rPr>
        <w:t>with progression to stage 3.</w:t>
      </w:r>
      <w:r w:rsidR="0023374B" w:rsidRPr="00E262E0">
        <w:rPr>
          <w:rFonts w:ascii="Arial" w:hAnsi="Arial" w:cs="Arial"/>
          <w:sz w:val="24"/>
          <w:szCs w:val="24"/>
          <w:lang w:val="en-US"/>
        </w:rPr>
        <w:t xml:space="preserve"> Thereby</w:t>
      </w:r>
      <w:r w:rsidR="00C76985" w:rsidRPr="00E262E0">
        <w:rPr>
          <w:rFonts w:ascii="Arial" w:hAnsi="Arial" w:cs="Arial"/>
          <w:sz w:val="24"/>
          <w:szCs w:val="24"/>
          <w:lang w:val="en-US"/>
        </w:rPr>
        <w:t xml:space="preserve">, </w:t>
      </w:r>
      <w:r w:rsidR="00BC64C4" w:rsidRPr="00E262E0">
        <w:rPr>
          <w:rFonts w:ascii="Arial" w:hAnsi="Arial" w:cs="Arial"/>
          <w:sz w:val="24"/>
          <w:szCs w:val="24"/>
          <w:lang w:val="en-US"/>
        </w:rPr>
        <w:t xml:space="preserve">sex, first degree relative status, antibody/epitope positivity and time of OGTT </w:t>
      </w:r>
      <w:r w:rsidR="00DE099F" w:rsidRPr="00E262E0">
        <w:rPr>
          <w:rFonts w:ascii="Arial" w:hAnsi="Arial" w:cs="Arial"/>
          <w:sz w:val="24"/>
          <w:szCs w:val="24"/>
          <w:lang w:val="en-US"/>
        </w:rPr>
        <w:t xml:space="preserve">blood glucose </w:t>
      </w:r>
      <w:r w:rsidR="00BC64C4" w:rsidRPr="00E262E0">
        <w:rPr>
          <w:rFonts w:ascii="Arial" w:hAnsi="Arial" w:cs="Arial"/>
          <w:sz w:val="24"/>
          <w:szCs w:val="24"/>
          <w:lang w:val="en-US"/>
        </w:rPr>
        <w:t xml:space="preserve">peak </w:t>
      </w:r>
      <w:r w:rsidR="0023374B" w:rsidRPr="00E262E0">
        <w:rPr>
          <w:rFonts w:ascii="Arial" w:hAnsi="Arial" w:cs="Arial"/>
          <w:sz w:val="24"/>
          <w:szCs w:val="24"/>
          <w:lang w:val="en-US"/>
        </w:rPr>
        <w:t xml:space="preserve">were used as categorical, and </w:t>
      </w:r>
      <w:r w:rsidR="00BC64C4" w:rsidRPr="00E262E0">
        <w:rPr>
          <w:rFonts w:ascii="Arial" w:hAnsi="Arial" w:cs="Arial"/>
          <w:sz w:val="24"/>
          <w:szCs w:val="24"/>
          <w:lang w:val="en-US"/>
        </w:rPr>
        <w:t>OGTT (0, 30, 60, 90, 120 minutes</w:t>
      </w:r>
      <w:r w:rsidR="00CD5CD6" w:rsidRPr="00E262E0">
        <w:rPr>
          <w:rFonts w:ascii="Arial" w:hAnsi="Arial" w:cs="Arial"/>
          <w:sz w:val="24"/>
          <w:szCs w:val="24"/>
          <w:lang w:val="en-US"/>
        </w:rPr>
        <w:t xml:space="preserve"> blood glucose</w:t>
      </w:r>
      <w:r w:rsidR="00BC64C4" w:rsidRPr="00E262E0">
        <w:rPr>
          <w:rFonts w:ascii="Arial" w:hAnsi="Arial" w:cs="Arial"/>
          <w:sz w:val="24"/>
          <w:szCs w:val="24"/>
          <w:lang w:val="en-US"/>
        </w:rPr>
        <w:t xml:space="preserve">), HbA1c, BMI and age </w:t>
      </w:r>
      <w:r w:rsidR="0023374B" w:rsidRPr="00E262E0">
        <w:rPr>
          <w:rFonts w:ascii="Arial" w:hAnsi="Arial" w:cs="Arial"/>
          <w:sz w:val="24"/>
          <w:szCs w:val="24"/>
          <w:lang w:val="en-US"/>
        </w:rPr>
        <w:t xml:space="preserve">as continuous variables. </w:t>
      </w:r>
      <w:r w:rsidRPr="00E262E0">
        <w:rPr>
          <w:rFonts w:ascii="Arial" w:hAnsi="Arial" w:cs="Arial"/>
          <w:sz w:val="24"/>
          <w:szCs w:val="24"/>
          <w:lang w:val="en-US"/>
        </w:rPr>
        <w:t>Prior to analysis, the BMI was transformed to a standardi</w:t>
      </w:r>
      <w:r w:rsidR="0009083E" w:rsidRPr="00E262E0">
        <w:rPr>
          <w:rFonts w:ascii="Arial" w:hAnsi="Arial" w:cs="Arial"/>
          <w:sz w:val="24"/>
          <w:szCs w:val="24"/>
          <w:lang w:val="en-US"/>
        </w:rPr>
        <w:t>z</w:t>
      </w:r>
      <w:r w:rsidRPr="00E262E0">
        <w:rPr>
          <w:rFonts w:ascii="Arial" w:hAnsi="Arial" w:cs="Arial"/>
          <w:sz w:val="24"/>
          <w:szCs w:val="24"/>
          <w:lang w:val="en-US"/>
        </w:rPr>
        <w:t xml:space="preserve">ed BMI based on </w:t>
      </w:r>
      <w:r w:rsidR="002E3F20">
        <w:rPr>
          <w:rFonts w:ascii="Arial" w:hAnsi="Arial" w:cs="Arial"/>
          <w:sz w:val="24"/>
          <w:szCs w:val="24"/>
          <w:lang w:val="en-US"/>
        </w:rPr>
        <w:t>BMI-for-age Z scores</w:t>
      </w:r>
      <w:r w:rsidRPr="00E262E0">
        <w:rPr>
          <w:rFonts w:ascii="Arial" w:hAnsi="Arial" w:cs="Arial"/>
          <w:sz w:val="24"/>
          <w:szCs w:val="24"/>
          <w:lang w:val="en-US"/>
        </w:rPr>
        <w:t xml:space="preserve"> using WHO reference values </w:t>
      </w:r>
      <w:r w:rsidR="00EA7739" w:rsidRPr="00E262E0">
        <w:rPr>
          <w:rFonts w:ascii="Arial" w:hAnsi="Arial" w:cs="Arial"/>
          <w:sz w:val="24"/>
          <w:szCs w:val="24"/>
          <w:lang w:val="en-US"/>
        </w:rPr>
        <w:t>(</w:t>
      </w:r>
      <w:r w:rsidR="00BA39AD">
        <w:rPr>
          <w:rFonts w:ascii="Arial" w:hAnsi="Arial" w:cs="Arial"/>
          <w:sz w:val="24"/>
          <w:szCs w:val="24"/>
          <w:lang w:val="en-US"/>
        </w:rPr>
        <w:t>23</w:t>
      </w:r>
      <w:r w:rsidR="00EA7739" w:rsidRPr="00E262E0">
        <w:rPr>
          <w:rFonts w:ascii="Arial" w:hAnsi="Arial" w:cs="Arial"/>
          <w:sz w:val="24"/>
          <w:szCs w:val="24"/>
          <w:lang w:val="en-US"/>
        </w:rPr>
        <w:t>)</w:t>
      </w:r>
      <w:r w:rsidRPr="00E262E0">
        <w:rPr>
          <w:rFonts w:ascii="Arial" w:hAnsi="Arial" w:cs="Arial"/>
          <w:sz w:val="24"/>
          <w:szCs w:val="24"/>
          <w:lang w:val="en-US"/>
        </w:rPr>
        <w:t>.</w:t>
      </w:r>
      <w:r w:rsidR="00251B0E" w:rsidRPr="00E262E0">
        <w:rPr>
          <w:rFonts w:ascii="Arial" w:hAnsi="Arial" w:cs="Arial"/>
          <w:sz w:val="24"/>
          <w:szCs w:val="24"/>
          <w:lang w:val="en-US"/>
        </w:rPr>
        <w:t xml:space="preserve"> </w:t>
      </w:r>
      <w:r w:rsidRPr="00E262E0">
        <w:rPr>
          <w:rFonts w:ascii="Arial" w:hAnsi="Arial" w:cs="Arial"/>
          <w:sz w:val="24"/>
          <w:szCs w:val="24"/>
          <w:lang w:val="en-US"/>
        </w:rPr>
        <w:t>Overweight status was defined as standardi</w:t>
      </w:r>
      <w:r w:rsidR="0009083E" w:rsidRPr="00E262E0">
        <w:rPr>
          <w:rFonts w:ascii="Arial" w:hAnsi="Arial" w:cs="Arial"/>
          <w:sz w:val="24"/>
          <w:szCs w:val="24"/>
          <w:lang w:val="en-US"/>
        </w:rPr>
        <w:t>z</w:t>
      </w:r>
      <w:r w:rsidRPr="00E262E0">
        <w:rPr>
          <w:rFonts w:ascii="Arial" w:hAnsi="Arial" w:cs="Arial"/>
          <w:sz w:val="24"/>
          <w:szCs w:val="24"/>
          <w:lang w:val="en-US"/>
        </w:rPr>
        <w:t>ed BMI of 1</w:t>
      </w:r>
      <w:r w:rsidR="0031652A" w:rsidRPr="00E262E0">
        <w:rPr>
          <w:rFonts w:ascii="Arial" w:hAnsi="Arial" w:cs="Arial"/>
          <w:sz w:val="24"/>
          <w:szCs w:val="24"/>
          <w:lang w:val="en-US"/>
        </w:rPr>
        <w:t>-</w:t>
      </w:r>
      <w:r w:rsidRPr="00E262E0">
        <w:rPr>
          <w:rFonts w:ascii="Arial" w:hAnsi="Arial" w:cs="Arial"/>
          <w:sz w:val="24"/>
          <w:szCs w:val="24"/>
          <w:lang w:val="en-US"/>
        </w:rPr>
        <w:t xml:space="preserve">2 and obesity as BMI &gt;2, according to WHO recommendations. For the </w:t>
      </w:r>
      <w:r w:rsidR="0023374B" w:rsidRPr="00E262E0">
        <w:rPr>
          <w:rFonts w:ascii="Arial" w:hAnsi="Arial" w:cs="Arial"/>
          <w:sz w:val="24"/>
          <w:szCs w:val="24"/>
          <w:lang w:val="en-US"/>
        </w:rPr>
        <w:t xml:space="preserve">Cox proportional hazards </w:t>
      </w:r>
      <w:r w:rsidRPr="00E262E0">
        <w:rPr>
          <w:rFonts w:ascii="Arial" w:hAnsi="Arial" w:cs="Arial"/>
          <w:sz w:val="24"/>
          <w:szCs w:val="24"/>
          <w:lang w:val="en-US"/>
        </w:rPr>
        <w:t>analysis variables were</w:t>
      </w:r>
      <w:r w:rsidR="00EA4530" w:rsidRPr="00E262E0">
        <w:rPr>
          <w:rFonts w:ascii="Arial" w:hAnsi="Arial" w:cs="Arial"/>
          <w:sz w:val="24"/>
          <w:szCs w:val="24"/>
          <w:lang w:val="en-US"/>
        </w:rPr>
        <w:t xml:space="preserve"> first</w:t>
      </w:r>
      <w:r w:rsidRPr="00E262E0">
        <w:rPr>
          <w:rFonts w:ascii="Arial" w:hAnsi="Arial" w:cs="Arial"/>
          <w:sz w:val="24"/>
          <w:szCs w:val="24"/>
          <w:lang w:val="en-US"/>
        </w:rPr>
        <w:t xml:space="preserve"> analy</w:t>
      </w:r>
      <w:r w:rsidR="0009083E" w:rsidRPr="00E262E0">
        <w:rPr>
          <w:rFonts w:ascii="Arial" w:hAnsi="Arial" w:cs="Arial"/>
          <w:sz w:val="24"/>
          <w:szCs w:val="24"/>
          <w:lang w:val="en-US"/>
        </w:rPr>
        <w:t>z</w:t>
      </w:r>
      <w:r w:rsidRPr="00E262E0">
        <w:rPr>
          <w:rFonts w:ascii="Arial" w:hAnsi="Arial" w:cs="Arial"/>
          <w:sz w:val="24"/>
          <w:szCs w:val="24"/>
          <w:lang w:val="en-US"/>
        </w:rPr>
        <w:t xml:space="preserve">ed in univariable models. </w:t>
      </w:r>
      <w:r w:rsidR="00251B0E" w:rsidRPr="00E262E0">
        <w:rPr>
          <w:rFonts w:ascii="Arial" w:hAnsi="Arial" w:cs="Arial"/>
          <w:sz w:val="24"/>
          <w:szCs w:val="24"/>
          <w:lang w:val="en-US"/>
        </w:rPr>
        <w:t>Sig</w:t>
      </w:r>
      <w:r w:rsidR="00AB174D" w:rsidRPr="00E262E0">
        <w:rPr>
          <w:rFonts w:ascii="Arial" w:hAnsi="Arial" w:cs="Arial"/>
          <w:sz w:val="24"/>
          <w:szCs w:val="24"/>
          <w:lang w:val="en-US"/>
        </w:rPr>
        <w:t>nificant variables</w:t>
      </w:r>
      <w:r w:rsidR="00432ED0" w:rsidRPr="00E262E0">
        <w:rPr>
          <w:rFonts w:ascii="Arial" w:hAnsi="Arial" w:cs="Arial"/>
          <w:sz w:val="24"/>
          <w:szCs w:val="24"/>
          <w:lang w:val="en-US"/>
        </w:rPr>
        <w:t xml:space="preserve"> </w:t>
      </w:r>
      <w:r w:rsidR="00251B0E" w:rsidRPr="00E262E0">
        <w:rPr>
          <w:rFonts w:ascii="Arial" w:hAnsi="Arial" w:cs="Arial"/>
          <w:sz w:val="24"/>
          <w:szCs w:val="24"/>
          <w:lang w:val="en-US"/>
        </w:rPr>
        <w:t>were used in</w:t>
      </w:r>
      <w:r w:rsidR="00AB174D" w:rsidRPr="00E262E0">
        <w:rPr>
          <w:rFonts w:ascii="Arial" w:hAnsi="Arial" w:cs="Arial"/>
          <w:sz w:val="24"/>
          <w:szCs w:val="24"/>
          <w:lang w:val="en-US"/>
        </w:rPr>
        <w:t xml:space="preserve"> multivariate models to develop </w:t>
      </w:r>
      <w:r w:rsidR="00C76985" w:rsidRPr="00E262E0">
        <w:rPr>
          <w:rFonts w:ascii="Arial" w:hAnsi="Arial" w:cs="Arial"/>
          <w:sz w:val="24"/>
          <w:szCs w:val="24"/>
          <w:lang w:val="en-US"/>
        </w:rPr>
        <w:t>a</w:t>
      </w:r>
      <w:r w:rsidR="00940444" w:rsidRPr="00E262E0">
        <w:rPr>
          <w:rFonts w:ascii="Arial" w:hAnsi="Arial" w:cs="Arial"/>
          <w:sz w:val="24"/>
          <w:szCs w:val="24"/>
          <w:lang w:val="en-US"/>
        </w:rPr>
        <w:t xml:space="preserve"> </w:t>
      </w:r>
      <w:r w:rsidR="003B61BA" w:rsidRPr="00E262E0">
        <w:rPr>
          <w:rFonts w:ascii="Arial" w:hAnsi="Arial" w:cs="Arial"/>
          <w:sz w:val="24"/>
          <w:szCs w:val="24"/>
          <w:lang w:val="en-US"/>
        </w:rPr>
        <w:t xml:space="preserve">non-OGGT-based </w:t>
      </w:r>
      <w:r w:rsidR="000462D8" w:rsidRPr="00E262E0">
        <w:rPr>
          <w:rFonts w:ascii="Arial" w:hAnsi="Arial" w:cs="Arial"/>
          <w:sz w:val="24"/>
          <w:szCs w:val="24"/>
          <w:lang w:val="en-US"/>
        </w:rPr>
        <w:t>P</w:t>
      </w:r>
      <w:r w:rsidR="00AB174D" w:rsidRPr="00E262E0">
        <w:rPr>
          <w:rFonts w:ascii="Arial" w:hAnsi="Arial" w:cs="Arial"/>
          <w:sz w:val="24"/>
          <w:szCs w:val="24"/>
          <w:lang w:val="en-US"/>
        </w:rPr>
        <w:t xml:space="preserve">rogression </w:t>
      </w:r>
      <w:r w:rsidR="000462D8" w:rsidRPr="00E262E0">
        <w:rPr>
          <w:rFonts w:ascii="Arial" w:hAnsi="Arial" w:cs="Arial"/>
          <w:sz w:val="24"/>
          <w:szCs w:val="24"/>
          <w:lang w:val="en-US"/>
        </w:rPr>
        <w:t>S</w:t>
      </w:r>
      <w:r w:rsidR="00AB174D" w:rsidRPr="00E262E0">
        <w:rPr>
          <w:rFonts w:ascii="Arial" w:hAnsi="Arial" w:cs="Arial"/>
          <w:sz w:val="24"/>
          <w:szCs w:val="24"/>
          <w:lang w:val="en-US"/>
        </w:rPr>
        <w:t xml:space="preserve">core. </w:t>
      </w:r>
      <w:r w:rsidR="00986369" w:rsidRPr="00E262E0">
        <w:rPr>
          <w:rFonts w:ascii="Arial" w:hAnsi="Arial" w:cs="Arial"/>
          <w:sz w:val="24"/>
          <w:szCs w:val="24"/>
          <w:lang w:val="en-US"/>
        </w:rPr>
        <w:t xml:space="preserve">The analysis </w:t>
      </w:r>
      <w:r w:rsidR="00970A66" w:rsidRPr="00E262E0">
        <w:rPr>
          <w:rFonts w:ascii="Arial" w:hAnsi="Arial" w:cs="Arial"/>
          <w:sz w:val="24"/>
          <w:szCs w:val="24"/>
          <w:lang w:val="en-US"/>
        </w:rPr>
        <w:t xml:space="preserve">and </w:t>
      </w:r>
      <w:r w:rsidR="00A840A5" w:rsidRPr="00E262E0">
        <w:rPr>
          <w:rFonts w:ascii="Arial" w:hAnsi="Arial" w:cs="Arial"/>
          <w:sz w:val="24"/>
          <w:szCs w:val="24"/>
          <w:lang w:val="en-US"/>
        </w:rPr>
        <w:t xml:space="preserve">graphics were </w:t>
      </w:r>
      <w:r w:rsidRPr="00E262E0">
        <w:rPr>
          <w:rFonts w:ascii="Arial" w:hAnsi="Arial" w:cs="Arial"/>
          <w:sz w:val="24"/>
          <w:szCs w:val="24"/>
          <w:lang w:val="en-US"/>
        </w:rPr>
        <w:t>performed using R version 4.</w:t>
      </w:r>
      <w:r w:rsidR="00B74762">
        <w:rPr>
          <w:rFonts w:ascii="Arial" w:hAnsi="Arial" w:cs="Arial"/>
          <w:sz w:val="24"/>
          <w:szCs w:val="24"/>
          <w:lang w:val="en-US"/>
        </w:rPr>
        <w:t>4.1</w:t>
      </w:r>
      <w:r w:rsidRPr="00E262E0">
        <w:rPr>
          <w:rFonts w:ascii="Arial" w:hAnsi="Arial" w:cs="Arial"/>
          <w:sz w:val="24"/>
          <w:szCs w:val="24"/>
          <w:lang w:val="en-US"/>
        </w:rPr>
        <w:t xml:space="preserve"> and the package</w:t>
      </w:r>
      <w:r w:rsidR="00986369" w:rsidRPr="00E262E0">
        <w:rPr>
          <w:rFonts w:ascii="Arial" w:hAnsi="Arial" w:cs="Arial"/>
          <w:sz w:val="24"/>
          <w:szCs w:val="24"/>
          <w:lang w:val="en-US"/>
        </w:rPr>
        <w:t>s</w:t>
      </w:r>
      <w:r w:rsidRPr="00E262E0">
        <w:rPr>
          <w:rFonts w:ascii="Arial" w:hAnsi="Arial" w:cs="Arial"/>
          <w:sz w:val="24"/>
          <w:szCs w:val="24"/>
          <w:lang w:val="en-US"/>
        </w:rPr>
        <w:t xml:space="preserve"> ‘survival’ v3.</w:t>
      </w:r>
      <w:r w:rsidR="00986369" w:rsidRPr="00E262E0">
        <w:rPr>
          <w:rFonts w:ascii="Arial" w:hAnsi="Arial" w:cs="Arial"/>
          <w:sz w:val="24"/>
          <w:szCs w:val="24"/>
          <w:lang w:val="en-US"/>
        </w:rPr>
        <w:t>4</w:t>
      </w:r>
      <w:r w:rsidRPr="00E262E0">
        <w:rPr>
          <w:rFonts w:ascii="Arial" w:hAnsi="Arial" w:cs="Arial"/>
          <w:sz w:val="24"/>
          <w:szCs w:val="24"/>
          <w:lang w:val="en-US"/>
        </w:rPr>
        <w:t>-</w:t>
      </w:r>
      <w:r w:rsidR="00986369" w:rsidRPr="00E262E0">
        <w:rPr>
          <w:rFonts w:ascii="Arial" w:hAnsi="Arial" w:cs="Arial"/>
          <w:sz w:val="24"/>
          <w:szCs w:val="24"/>
          <w:lang w:val="en-US"/>
        </w:rPr>
        <w:t xml:space="preserve">0 and ´survminer´ v0.4.9 </w:t>
      </w:r>
      <w:r w:rsidR="00D60A68" w:rsidRPr="00E262E0">
        <w:rPr>
          <w:rFonts w:ascii="Arial" w:hAnsi="Arial" w:cs="Arial"/>
          <w:sz w:val="24"/>
          <w:szCs w:val="24"/>
          <w:lang w:val="en-US"/>
        </w:rPr>
        <w:t>(</w:t>
      </w:r>
      <w:r w:rsidR="00261E25">
        <w:rPr>
          <w:rFonts w:ascii="Arial" w:hAnsi="Arial" w:cs="Arial"/>
          <w:sz w:val="24"/>
          <w:szCs w:val="24"/>
          <w:lang w:val="en-US"/>
        </w:rPr>
        <w:t>24</w:t>
      </w:r>
      <w:r w:rsidR="00D60A68" w:rsidRPr="00E262E0">
        <w:rPr>
          <w:rFonts w:ascii="Arial" w:hAnsi="Arial" w:cs="Arial"/>
          <w:sz w:val="24"/>
          <w:szCs w:val="24"/>
          <w:lang w:val="en-US"/>
        </w:rPr>
        <w:t>)</w:t>
      </w:r>
      <w:r w:rsidRPr="00E262E0">
        <w:rPr>
          <w:rFonts w:ascii="Arial" w:hAnsi="Arial" w:cs="Arial"/>
          <w:sz w:val="24"/>
          <w:szCs w:val="24"/>
          <w:lang w:val="en-US"/>
        </w:rPr>
        <w:t>.</w:t>
      </w:r>
    </w:p>
    <w:p w14:paraId="11B66F88" w14:textId="77777777" w:rsidR="004044DA" w:rsidRPr="00E262E0" w:rsidRDefault="004044DA" w:rsidP="009045A9">
      <w:pPr>
        <w:spacing w:after="0" w:line="480" w:lineRule="auto"/>
        <w:jc w:val="both"/>
        <w:rPr>
          <w:rFonts w:ascii="Arial" w:hAnsi="Arial" w:cs="Arial"/>
          <w:sz w:val="24"/>
          <w:szCs w:val="24"/>
          <w:lang w:val="en-US"/>
        </w:rPr>
      </w:pPr>
    </w:p>
    <w:p w14:paraId="745E38F6" w14:textId="71A1847C" w:rsidR="0023374B" w:rsidRPr="00E262E0" w:rsidRDefault="0093584C" w:rsidP="009045A9">
      <w:pPr>
        <w:spacing w:after="0" w:line="480" w:lineRule="auto"/>
        <w:jc w:val="both"/>
        <w:rPr>
          <w:rFonts w:ascii="Arial" w:hAnsi="Arial" w:cs="Arial"/>
          <w:b/>
          <w:bCs/>
          <w:sz w:val="24"/>
          <w:szCs w:val="24"/>
          <w:lang w:val="en-US"/>
        </w:rPr>
      </w:pPr>
      <w:r w:rsidRPr="00E262E0">
        <w:rPr>
          <w:rFonts w:ascii="Arial" w:hAnsi="Arial" w:cs="Arial"/>
          <w:b/>
          <w:bCs/>
          <w:sz w:val="24"/>
          <w:szCs w:val="24"/>
          <w:lang w:val="en-US"/>
        </w:rPr>
        <w:t>Data and Resource Availability</w:t>
      </w:r>
    </w:p>
    <w:p w14:paraId="09CA4877" w14:textId="589D4CB5" w:rsidR="007D613F" w:rsidRDefault="001C525D" w:rsidP="001C525D">
      <w:pPr>
        <w:spacing w:after="0" w:line="480" w:lineRule="auto"/>
        <w:jc w:val="both"/>
        <w:rPr>
          <w:rFonts w:ascii="Arial" w:hAnsi="Arial" w:cs="Arial"/>
          <w:sz w:val="24"/>
          <w:szCs w:val="24"/>
          <w:lang w:val="en-US"/>
        </w:rPr>
      </w:pPr>
      <w:r w:rsidRPr="00E262E0">
        <w:rPr>
          <w:rFonts w:ascii="Arial" w:hAnsi="Arial" w:cs="Arial"/>
          <w:sz w:val="24"/>
          <w:szCs w:val="24"/>
          <w:lang w:val="en-US"/>
        </w:rPr>
        <w:t>The de-identified individual participant data that</w:t>
      </w:r>
      <w:r w:rsidR="00263AF9" w:rsidRPr="00E262E0">
        <w:rPr>
          <w:rFonts w:ascii="Arial" w:hAnsi="Arial" w:cs="Arial"/>
          <w:sz w:val="24"/>
          <w:szCs w:val="24"/>
          <w:lang w:val="en-US"/>
        </w:rPr>
        <w:t xml:space="preserve"> </w:t>
      </w:r>
      <w:r w:rsidRPr="00E262E0">
        <w:rPr>
          <w:rFonts w:ascii="Arial" w:hAnsi="Arial" w:cs="Arial"/>
          <w:sz w:val="24"/>
          <w:szCs w:val="24"/>
          <w:lang w:val="en-US"/>
        </w:rPr>
        <w:t xml:space="preserve">underlie the results (text, tables, figures and </w:t>
      </w:r>
      <w:r w:rsidR="00263AF9" w:rsidRPr="00E262E0">
        <w:rPr>
          <w:rFonts w:ascii="Arial" w:hAnsi="Arial" w:cs="Arial"/>
          <w:sz w:val="24"/>
          <w:szCs w:val="24"/>
          <w:lang w:val="en-US"/>
        </w:rPr>
        <w:t>supplemental material</w:t>
      </w:r>
      <w:r w:rsidRPr="00E262E0">
        <w:rPr>
          <w:rFonts w:ascii="Arial" w:hAnsi="Arial" w:cs="Arial"/>
          <w:sz w:val="24"/>
          <w:szCs w:val="24"/>
          <w:lang w:val="en-US"/>
        </w:rPr>
        <w:t xml:space="preserve">) reported in this article can be shared between 9 </w:t>
      </w:r>
      <w:r w:rsidRPr="00E262E0">
        <w:rPr>
          <w:rFonts w:ascii="Arial" w:hAnsi="Arial" w:cs="Arial"/>
          <w:sz w:val="24"/>
          <w:szCs w:val="24"/>
          <w:lang w:val="en-US"/>
        </w:rPr>
        <w:lastRenderedPageBreak/>
        <w:t>and 36 months</w:t>
      </w:r>
      <w:r w:rsidR="00263AF9" w:rsidRPr="00E262E0">
        <w:rPr>
          <w:rFonts w:ascii="Arial" w:hAnsi="Arial" w:cs="Arial"/>
          <w:sz w:val="24"/>
          <w:szCs w:val="24"/>
          <w:lang w:val="en-US"/>
        </w:rPr>
        <w:t xml:space="preserve"> </w:t>
      </w:r>
      <w:r w:rsidRPr="00E262E0">
        <w:rPr>
          <w:rFonts w:ascii="Arial" w:hAnsi="Arial" w:cs="Arial"/>
          <w:sz w:val="24"/>
          <w:szCs w:val="24"/>
          <w:lang w:val="en-US"/>
        </w:rPr>
        <w:t xml:space="preserve">after publication of the article. Requests will be </w:t>
      </w:r>
      <w:r w:rsidR="000763C5" w:rsidRPr="00E262E0">
        <w:rPr>
          <w:rFonts w:ascii="Arial" w:hAnsi="Arial" w:cs="Arial"/>
          <w:sz w:val="24"/>
          <w:szCs w:val="24"/>
          <w:lang w:val="en-US"/>
        </w:rPr>
        <w:t>honored</w:t>
      </w:r>
      <w:r w:rsidRPr="00E262E0">
        <w:rPr>
          <w:rFonts w:ascii="Arial" w:hAnsi="Arial" w:cs="Arial"/>
          <w:sz w:val="24"/>
          <w:szCs w:val="24"/>
          <w:lang w:val="en-US"/>
        </w:rPr>
        <w:t xml:space="preserve"> from</w:t>
      </w:r>
      <w:r w:rsidR="00263AF9" w:rsidRPr="00E262E0">
        <w:rPr>
          <w:rFonts w:ascii="Arial" w:hAnsi="Arial" w:cs="Arial"/>
          <w:sz w:val="24"/>
          <w:szCs w:val="24"/>
          <w:lang w:val="en-US"/>
        </w:rPr>
        <w:t xml:space="preserve"> </w:t>
      </w:r>
      <w:r w:rsidRPr="00E262E0">
        <w:rPr>
          <w:rFonts w:ascii="Arial" w:hAnsi="Arial" w:cs="Arial"/>
          <w:sz w:val="24"/>
          <w:szCs w:val="24"/>
          <w:lang w:val="en-US"/>
        </w:rPr>
        <w:t>researchers who provide a methodologically sound proposal and who</w:t>
      </w:r>
      <w:r w:rsidR="00263AF9" w:rsidRPr="00E262E0">
        <w:rPr>
          <w:rFonts w:ascii="Arial" w:hAnsi="Arial" w:cs="Arial"/>
          <w:sz w:val="24"/>
          <w:szCs w:val="24"/>
          <w:lang w:val="en-US"/>
        </w:rPr>
        <w:t xml:space="preserve"> </w:t>
      </w:r>
      <w:r w:rsidRPr="00E262E0">
        <w:rPr>
          <w:rFonts w:ascii="Arial" w:hAnsi="Arial" w:cs="Arial"/>
          <w:sz w:val="24"/>
          <w:szCs w:val="24"/>
          <w:lang w:val="en-US"/>
        </w:rPr>
        <w:t>complete a Data Use Agreement with Helmholtz Munich. Requests</w:t>
      </w:r>
      <w:r w:rsidR="00263AF9" w:rsidRPr="00E262E0">
        <w:rPr>
          <w:rFonts w:ascii="Arial" w:hAnsi="Arial" w:cs="Arial"/>
          <w:sz w:val="24"/>
          <w:szCs w:val="24"/>
          <w:lang w:val="en-US"/>
        </w:rPr>
        <w:t xml:space="preserve"> </w:t>
      </w:r>
      <w:r w:rsidRPr="00E262E0">
        <w:rPr>
          <w:rFonts w:ascii="Arial" w:hAnsi="Arial" w:cs="Arial"/>
          <w:sz w:val="24"/>
          <w:szCs w:val="24"/>
          <w:lang w:val="en-US"/>
        </w:rPr>
        <w:t>should be directed by email to the corresponding author.</w:t>
      </w:r>
    </w:p>
    <w:p w14:paraId="4D58DF47" w14:textId="77777777" w:rsidR="00F05FFA" w:rsidRPr="00E262E0" w:rsidRDefault="00F05FFA" w:rsidP="001C525D">
      <w:pPr>
        <w:spacing w:after="0" w:line="480" w:lineRule="auto"/>
        <w:jc w:val="both"/>
        <w:rPr>
          <w:rFonts w:ascii="Arial" w:hAnsi="Arial" w:cs="Arial"/>
          <w:sz w:val="24"/>
          <w:szCs w:val="24"/>
          <w:lang w:val="en-US"/>
        </w:rPr>
      </w:pPr>
    </w:p>
    <w:p w14:paraId="3479E38A" w14:textId="6C1A55DA" w:rsidR="00AB174D" w:rsidRPr="00E262E0" w:rsidRDefault="00AB174D" w:rsidP="009045A9">
      <w:pPr>
        <w:spacing w:after="0" w:line="480" w:lineRule="auto"/>
        <w:jc w:val="both"/>
        <w:rPr>
          <w:rFonts w:ascii="Arial" w:hAnsi="Arial" w:cs="Arial"/>
          <w:b/>
          <w:bCs/>
          <w:sz w:val="24"/>
          <w:szCs w:val="24"/>
          <w:lang w:val="en-US"/>
        </w:rPr>
      </w:pPr>
      <w:r w:rsidRPr="00E262E0">
        <w:rPr>
          <w:rFonts w:ascii="Arial" w:hAnsi="Arial" w:cs="Arial"/>
          <w:b/>
          <w:bCs/>
          <w:sz w:val="24"/>
          <w:szCs w:val="24"/>
          <w:lang w:val="en-US"/>
        </w:rPr>
        <w:t>Results</w:t>
      </w:r>
    </w:p>
    <w:p w14:paraId="0974B188" w14:textId="675854C1" w:rsidR="003F7899" w:rsidRPr="00E262E0" w:rsidRDefault="008B4BDD" w:rsidP="009045A9">
      <w:pPr>
        <w:spacing w:after="0" w:line="480" w:lineRule="auto"/>
        <w:jc w:val="both"/>
        <w:rPr>
          <w:rFonts w:ascii="Arial" w:hAnsi="Arial" w:cs="Arial"/>
          <w:sz w:val="24"/>
          <w:szCs w:val="24"/>
          <w:lang w:val="en-US"/>
        </w:rPr>
      </w:pPr>
      <w:r w:rsidRPr="00E262E0">
        <w:rPr>
          <w:rFonts w:ascii="Arial" w:hAnsi="Arial" w:cs="Arial"/>
          <w:sz w:val="24"/>
          <w:szCs w:val="24"/>
          <w:lang w:val="en-US"/>
        </w:rPr>
        <w:t xml:space="preserve">A total of </w:t>
      </w:r>
      <w:r w:rsidR="007E5FA0" w:rsidRPr="00E262E0">
        <w:rPr>
          <w:rFonts w:ascii="Arial" w:hAnsi="Arial" w:cs="Arial"/>
          <w:sz w:val="24"/>
          <w:szCs w:val="24"/>
          <w:lang w:val="en-US"/>
        </w:rPr>
        <w:t>485</w:t>
      </w:r>
      <w:r w:rsidRPr="00E262E0">
        <w:rPr>
          <w:rFonts w:ascii="Arial" w:hAnsi="Arial" w:cs="Arial"/>
          <w:sz w:val="24"/>
          <w:szCs w:val="24"/>
          <w:lang w:val="en-US"/>
        </w:rPr>
        <w:t xml:space="preserve"> children </w:t>
      </w:r>
      <w:r w:rsidR="00DB1DFC" w:rsidRPr="00E262E0">
        <w:rPr>
          <w:rFonts w:ascii="Arial" w:hAnsi="Arial" w:cs="Arial"/>
          <w:sz w:val="24"/>
          <w:szCs w:val="24"/>
          <w:lang w:val="en-US"/>
        </w:rPr>
        <w:t>participated in a staging and educational visit</w:t>
      </w:r>
      <w:r w:rsidR="00204B0A" w:rsidRPr="00E262E0">
        <w:rPr>
          <w:rFonts w:ascii="Arial" w:hAnsi="Arial" w:cs="Arial"/>
          <w:sz w:val="24"/>
          <w:szCs w:val="24"/>
          <w:lang w:val="en-US"/>
        </w:rPr>
        <w:t xml:space="preserve"> </w:t>
      </w:r>
      <w:r w:rsidR="00DB1DFC" w:rsidRPr="00E262E0">
        <w:rPr>
          <w:rFonts w:ascii="Arial" w:hAnsi="Arial" w:cs="Arial"/>
          <w:sz w:val="24"/>
          <w:szCs w:val="24"/>
          <w:lang w:val="en-US"/>
        </w:rPr>
        <w:t>(</w:t>
      </w:r>
      <w:r w:rsidR="00697563" w:rsidRPr="00E262E0">
        <w:rPr>
          <w:rFonts w:ascii="Arial" w:hAnsi="Arial" w:cs="Arial"/>
          <w:b/>
          <w:bCs/>
          <w:sz w:val="24"/>
          <w:szCs w:val="24"/>
          <w:lang w:val="en-US"/>
        </w:rPr>
        <w:t xml:space="preserve">Supplemental </w:t>
      </w:r>
      <w:r w:rsidR="0027402E" w:rsidRPr="00E262E0">
        <w:rPr>
          <w:rFonts w:ascii="Arial" w:hAnsi="Arial" w:cs="Arial"/>
          <w:b/>
          <w:bCs/>
          <w:sz w:val="24"/>
          <w:szCs w:val="24"/>
          <w:lang w:val="en-US"/>
        </w:rPr>
        <w:t>Fig</w:t>
      </w:r>
      <w:r w:rsidR="004A3ED4">
        <w:rPr>
          <w:rFonts w:ascii="Arial" w:hAnsi="Arial" w:cs="Arial"/>
          <w:b/>
          <w:bCs/>
          <w:sz w:val="24"/>
          <w:szCs w:val="24"/>
          <w:lang w:val="en-US"/>
        </w:rPr>
        <w:t>.</w:t>
      </w:r>
      <w:r w:rsidR="0027402E" w:rsidRPr="00E262E0">
        <w:rPr>
          <w:rFonts w:ascii="Arial" w:hAnsi="Arial" w:cs="Arial"/>
          <w:b/>
          <w:bCs/>
          <w:sz w:val="24"/>
          <w:szCs w:val="24"/>
          <w:lang w:val="en-US"/>
        </w:rPr>
        <w:t xml:space="preserve"> 1</w:t>
      </w:r>
      <w:r w:rsidR="00E42DD9" w:rsidRPr="00E262E0">
        <w:rPr>
          <w:rFonts w:ascii="Arial" w:hAnsi="Arial" w:cs="Arial"/>
          <w:b/>
          <w:bCs/>
          <w:sz w:val="24"/>
          <w:szCs w:val="24"/>
          <w:lang w:val="en-US"/>
        </w:rPr>
        <w:t>; Table 1</w:t>
      </w:r>
      <w:r w:rsidR="00DB1DFC" w:rsidRPr="00E262E0">
        <w:rPr>
          <w:rFonts w:ascii="Arial" w:hAnsi="Arial" w:cs="Arial"/>
          <w:sz w:val="24"/>
          <w:szCs w:val="24"/>
          <w:lang w:val="en-US"/>
        </w:rPr>
        <w:t xml:space="preserve">). Of those, </w:t>
      </w:r>
      <w:r w:rsidR="007E5FA0" w:rsidRPr="00E262E0">
        <w:rPr>
          <w:rFonts w:ascii="Arial" w:hAnsi="Arial" w:cs="Arial"/>
          <w:sz w:val="24"/>
          <w:szCs w:val="24"/>
          <w:lang w:val="en-US"/>
        </w:rPr>
        <w:t>360</w:t>
      </w:r>
      <w:r w:rsidR="00DB1DFC" w:rsidRPr="00E262E0">
        <w:rPr>
          <w:rFonts w:ascii="Arial" w:hAnsi="Arial" w:cs="Arial"/>
          <w:sz w:val="24"/>
          <w:szCs w:val="24"/>
          <w:lang w:val="en-US"/>
        </w:rPr>
        <w:t xml:space="preserve"> (7</w:t>
      </w:r>
      <w:r w:rsidR="007E5FA0" w:rsidRPr="00E262E0">
        <w:rPr>
          <w:rFonts w:ascii="Arial" w:hAnsi="Arial" w:cs="Arial"/>
          <w:sz w:val="24"/>
          <w:szCs w:val="24"/>
          <w:lang w:val="en-US"/>
        </w:rPr>
        <w:t>4</w:t>
      </w:r>
      <w:r w:rsidR="00DB1DFC" w:rsidRPr="00E262E0">
        <w:rPr>
          <w:rFonts w:ascii="Arial" w:hAnsi="Arial" w:cs="Arial"/>
          <w:sz w:val="24"/>
          <w:szCs w:val="24"/>
          <w:lang w:val="en-US"/>
        </w:rPr>
        <w:t>.</w:t>
      </w:r>
      <w:r w:rsidR="007E5FA0" w:rsidRPr="00E262E0">
        <w:rPr>
          <w:rFonts w:ascii="Arial" w:hAnsi="Arial" w:cs="Arial"/>
          <w:sz w:val="24"/>
          <w:szCs w:val="24"/>
          <w:lang w:val="en-US"/>
        </w:rPr>
        <w:t>2</w:t>
      </w:r>
      <w:r w:rsidR="00DB1DFC" w:rsidRPr="00E262E0">
        <w:rPr>
          <w:rFonts w:ascii="Arial" w:hAnsi="Arial" w:cs="Arial"/>
          <w:sz w:val="24"/>
          <w:szCs w:val="24"/>
          <w:lang w:val="en-US"/>
        </w:rPr>
        <w:t xml:space="preserve">%) were diagnosed with </w:t>
      </w:r>
      <w:r w:rsidR="006E2A3B" w:rsidRPr="00E262E0">
        <w:rPr>
          <w:rFonts w:ascii="Arial" w:hAnsi="Arial" w:cs="Arial"/>
          <w:sz w:val="24"/>
          <w:szCs w:val="24"/>
          <w:lang w:val="en-US"/>
        </w:rPr>
        <w:t>s</w:t>
      </w:r>
      <w:r w:rsidR="00DB1DFC" w:rsidRPr="00E262E0">
        <w:rPr>
          <w:rFonts w:ascii="Arial" w:hAnsi="Arial" w:cs="Arial"/>
          <w:sz w:val="24"/>
          <w:szCs w:val="24"/>
          <w:lang w:val="en-US"/>
        </w:rPr>
        <w:t xml:space="preserve">tage 1, </w:t>
      </w:r>
      <w:r w:rsidR="007E5FA0" w:rsidRPr="00E262E0">
        <w:rPr>
          <w:rFonts w:ascii="Arial" w:hAnsi="Arial" w:cs="Arial"/>
          <w:sz w:val="24"/>
          <w:szCs w:val="24"/>
          <w:lang w:val="en-US"/>
        </w:rPr>
        <w:t>85</w:t>
      </w:r>
      <w:r w:rsidR="00DB1DFC" w:rsidRPr="00E262E0">
        <w:rPr>
          <w:rFonts w:ascii="Arial" w:hAnsi="Arial" w:cs="Arial"/>
          <w:sz w:val="24"/>
          <w:szCs w:val="24"/>
          <w:lang w:val="en-US"/>
        </w:rPr>
        <w:t xml:space="preserve"> (</w:t>
      </w:r>
      <w:r w:rsidR="007E5FA0" w:rsidRPr="00E262E0">
        <w:rPr>
          <w:rFonts w:ascii="Arial" w:hAnsi="Arial" w:cs="Arial"/>
          <w:sz w:val="24"/>
          <w:szCs w:val="24"/>
          <w:lang w:val="en-US"/>
        </w:rPr>
        <w:t>17.5</w:t>
      </w:r>
      <w:r w:rsidR="00DB1DFC" w:rsidRPr="00E262E0">
        <w:rPr>
          <w:rFonts w:ascii="Arial" w:hAnsi="Arial" w:cs="Arial"/>
          <w:sz w:val="24"/>
          <w:szCs w:val="24"/>
          <w:lang w:val="en-US"/>
        </w:rPr>
        <w:t xml:space="preserve">%) with </w:t>
      </w:r>
      <w:r w:rsidR="006E2A3B" w:rsidRPr="00E262E0">
        <w:rPr>
          <w:rFonts w:ascii="Arial" w:hAnsi="Arial" w:cs="Arial"/>
          <w:sz w:val="24"/>
          <w:szCs w:val="24"/>
          <w:lang w:val="en-US"/>
        </w:rPr>
        <w:t>s</w:t>
      </w:r>
      <w:r w:rsidR="00DB1DFC" w:rsidRPr="00E262E0">
        <w:rPr>
          <w:rFonts w:ascii="Arial" w:hAnsi="Arial" w:cs="Arial"/>
          <w:sz w:val="24"/>
          <w:szCs w:val="24"/>
          <w:lang w:val="en-US"/>
        </w:rPr>
        <w:t xml:space="preserve">tage 2, </w:t>
      </w:r>
      <w:r w:rsidR="007E5FA0" w:rsidRPr="00E262E0">
        <w:rPr>
          <w:rFonts w:ascii="Arial" w:hAnsi="Arial" w:cs="Arial"/>
          <w:sz w:val="24"/>
          <w:szCs w:val="24"/>
          <w:lang w:val="en-US"/>
        </w:rPr>
        <w:t>17</w:t>
      </w:r>
      <w:r w:rsidR="00DB1DFC" w:rsidRPr="00E262E0">
        <w:rPr>
          <w:rFonts w:ascii="Arial" w:hAnsi="Arial" w:cs="Arial"/>
          <w:sz w:val="24"/>
          <w:szCs w:val="24"/>
          <w:lang w:val="en-US"/>
        </w:rPr>
        <w:t xml:space="preserve"> (</w:t>
      </w:r>
      <w:r w:rsidR="007E5FA0" w:rsidRPr="00E262E0">
        <w:rPr>
          <w:rFonts w:ascii="Arial" w:hAnsi="Arial" w:cs="Arial"/>
          <w:sz w:val="24"/>
          <w:szCs w:val="24"/>
          <w:lang w:val="en-US"/>
        </w:rPr>
        <w:t>3.5</w:t>
      </w:r>
      <w:r w:rsidR="00DB1DFC" w:rsidRPr="00E262E0">
        <w:rPr>
          <w:rFonts w:ascii="Arial" w:hAnsi="Arial" w:cs="Arial"/>
          <w:sz w:val="24"/>
          <w:szCs w:val="24"/>
          <w:lang w:val="en-US"/>
        </w:rPr>
        <w:t xml:space="preserve">%) with </w:t>
      </w:r>
      <w:r w:rsidR="006E2A3B" w:rsidRPr="00E262E0">
        <w:rPr>
          <w:rFonts w:ascii="Arial" w:hAnsi="Arial" w:cs="Arial"/>
          <w:sz w:val="24"/>
          <w:szCs w:val="24"/>
          <w:lang w:val="en-US"/>
        </w:rPr>
        <w:t>s</w:t>
      </w:r>
      <w:r w:rsidR="00DB1DFC" w:rsidRPr="00E262E0">
        <w:rPr>
          <w:rFonts w:ascii="Arial" w:hAnsi="Arial" w:cs="Arial"/>
          <w:sz w:val="24"/>
          <w:szCs w:val="24"/>
          <w:lang w:val="en-US"/>
        </w:rPr>
        <w:t xml:space="preserve">tage 3, and </w:t>
      </w:r>
      <w:r w:rsidR="007E5FA0" w:rsidRPr="00E262E0">
        <w:rPr>
          <w:rFonts w:ascii="Arial" w:hAnsi="Arial" w:cs="Arial"/>
          <w:sz w:val="24"/>
          <w:szCs w:val="24"/>
          <w:lang w:val="en-US"/>
        </w:rPr>
        <w:t>23</w:t>
      </w:r>
      <w:r w:rsidR="00DB1DFC" w:rsidRPr="00E262E0">
        <w:rPr>
          <w:rFonts w:ascii="Arial" w:hAnsi="Arial" w:cs="Arial"/>
          <w:sz w:val="24"/>
          <w:szCs w:val="24"/>
          <w:lang w:val="en-US"/>
        </w:rPr>
        <w:t xml:space="preserve"> (</w:t>
      </w:r>
      <w:r w:rsidR="007E5FA0" w:rsidRPr="00E262E0">
        <w:rPr>
          <w:rFonts w:ascii="Arial" w:hAnsi="Arial" w:cs="Arial"/>
          <w:sz w:val="24"/>
          <w:szCs w:val="24"/>
          <w:lang w:val="en-US"/>
        </w:rPr>
        <w:t>4.7</w:t>
      </w:r>
      <w:r w:rsidR="00DB1DFC" w:rsidRPr="00E262E0">
        <w:rPr>
          <w:rFonts w:ascii="Arial" w:hAnsi="Arial" w:cs="Arial"/>
          <w:sz w:val="24"/>
          <w:szCs w:val="24"/>
          <w:lang w:val="en-US"/>
        </w:rPr>
        <w:t xml:space="preserve">%) </w:t>
      </w:r>
      <w:r w:rsidR="005F5E4E" w:rsidRPr="00E262E0">
        <w:rPr>
          <w:rFonts w:ascii="Arial" w:hAnsi="Arial" w:cs="Arial"/>
          <w:sz w:val="24"/>
          <w:szCs w:val="24"/>
          <w:lang w:val="en-US"/>
        </w:rPr>
        <w:t xml:space="preserve">were </w:t>
      </w:r>
      <w:r w:rsidR="00DB1DFC" w:rsidRPr="00E262E0">
        <w:rPr>
          <w:rFonts w:ascii="Arial" w:hAnsi="Arial" w:cs="Arial"/>
          <w:sz w:val="24"/>
          <w:szCs w:val="24"/>
          <w:lang w:val="en-US"/>
        </w:rPr>
        <w:t>not classified as either OGTT or HbA1c were missing.</w:t>
      </w:r>
      <w:r w:rsidRPr="00E262E0">
        <w:rPr>
          <w:rFonts w:ascii="Arial" w:hAnsi="Arial" w:cs="Arial"/>
          <w:sz w:val="24"/>
          <w:szCs w:val="24"/>
          <w:lang w:val="en-US"/>
        </w:rPr>
        <w:t xml:space="preserve"> </w:t>
      </w:r>
      <w:r w:rsidR="00AB3668">
        <w:rPr>
          <w:rFonts w:ascii="Arial" w:hAnsi="Arial" w:cs="Arial"/>
          <w:sz w:val="24"/>
          <w:szCs w:val="24"/>
          <w:lang w:val="en-US"/>
        </w:rPr>
        <w:t xml:space="preserve">Participants with stage 1 were followed for a median time </w:t>
      </w:r>
      <w:r w:rsidR="00652629">
        <w:rPr>
          <w:rFonts w:ascii="Arial" w:hAnsi="Arial" w:cs="Arial"/>
          <w:sz w:val="24"/>
          <w:szCs w:val="24"/>
          <w:lang w:val="en-US"/>
        </w:rPr>
        <w:t>o</w:t>
      </w:r>
      <w:r w:rsidR="00AB3668">
        <w:rPr>
          <w:rFonts w:ascii="Arial" w:hAnsi="Arial" w:cs="Arial"/>
          <w:sz w:val="24"/>
          <w:szCs w:val="24"/>
          <w:lang w:val="en-US"/>
        </w:rPr>
        <w:t xml:space="preserve">f </w:t>
      </w:r>
      <w:r w:rsidR="00AB3668" w:rsidRPr="00AB3668">
        <w:rPr>
          <w:rFonts w:ascii="Arial" w:hAnsi="Arial" w:cs="Arial"/>
          <w:sz w:val="24"/>
          <w:szCs w:val="24"/>
          <w:lang w:val="en-US"/>
        </w:rPr>
        <w:t>3.3 years</w:t>
      </w:r>
      <w:r w:rsidR="00AB3668">
        <w:rPr>
          <w:rFonts w:ascii="Arial" w:hAnsi="Arial" w:cs="Arial"/>
          <w:sz w:val="24"/>
          <w:szCs w:val="24"/>
          <w:lang w:val="en-US"/>
        </w:rPr>
        <w:t xml:space="preserve"> (</w:t>
      </w:r>
      <w:r w:rsidR="00501C51">
        <w:rPr>
          <w:rFonts w:ascii="Arial" w:hAnsi="Arial" w:cs="Arial"/>
          <w:sz w:val="24"/>
          <w:szCs w:val="24"/>
          <w:lang w:val="en-US"/>
        </w:rPr>
        <w:t>i</w:t>
      </w:r>
      <w:r w:rsidR="00AB3668" w:rsidRPr="00AB3668">
        <w:rPr>
          <w:rFonts w:ascii="Arial" w:hAnsi="Arial" w:cs="Arial"/>
          <w:sz w:val="24"/>
          <w:szCs w:val="24"/>
          <w:lang w:val="en-US"/>
        </w:rPr>
        <w:t>nterquartile range [IQR], 1.2-</w:t>
      </w:r>
      <w:r w:rsidR="00AB3668">
        <w:rPr>
          <w:rFonts w:ascii="Arial" w:hAnsi="Arial" w:cs="Arial"/>
          <w:sz w:val="24"/>
          <w:szCs w:val="24"/>
          <w:lang w:val="en-US"/>
        </w:rPr>
        <w:t xml:space="preserve">6.0). </w:t>
      </w:r>
      <w:r w:rsidR="00DB1DFC" w:rsidRPr="00E262E0">
        <w:rPr>
          <w:rFonts w:ascii="Arial" w:hAnsi="Arial" w:cs="Arial"/>
          <w:sz w:val="24"/>
          <w:szCs w:val="24"/>
          <w:lang w:val="en-US"/>
        </w:rPr>
        <w:t>Of the 3</w:t>
      </w:r>
      <w:r w:rsidR="007E5FA0" w:rsidRPr="00E262E0">
        <w:rPr>
          <w:rFonts w:ascii="Arial" w:hAnsi="Arial" w:cs="Arial"/>
          <w:sz w:val="24"/>
          <w:szCs w:val="24"/>
          <w:lang w:val="en-US"/>
        </w:rPr>
        <w:t>60</w:t>
      </w:r>
      <w:r w:rsidR="00DB1DFC" w:rsidRPr="00E262E0">
        <w:rPr>
          <w:rFonts w:ascii="Arial" w:hAnsi="Arial" w:cs="Arial"/>
          <w:sz w:val="24"/>
          <w:szCs w:val="24"/>
          <w:lang w:val="en-US"/>
        </w:rPr>
        <w:t xml:space="preserve"> children with </w:t>
      </w:r>
      <w:r w:rsidR="006E2A3B" w:rsidRPr="00E262E0">
        <w:rPr>
          <w:rFonts w:ascii="Arial" w:hAnsi="Arial" w:cs="Arial"/>
          <w:sz w:val="24"/>
          <w:szCs w:val="24"/>
          <w:lang w:val="en-US"/>
        </w:rPr>
        <w:t>s</w:t>
      </w:r>
      <w:r w:rsidR="00DB1DFC" w:rsidRPr="00E262E0">
        <w:rPr>
          <w:rFonts w:ascii="Arial" w:hAnsi="Arial" w:cs="Arial"/>
          <w:sz w:val="24"/>
          <w:szCs w:val="24"/>
          <w:lang w:val="en-US"/>
        </w:rPr>
        <w:t xml:space="preserve">tage 1, </w:t>
      </w:r>
      <w:r w:rsidR="003F7899" w:rsidRPr="00E262E0">
        <w:rPr>
          <w:rFonts w:ascii="Arial" w:hAnsi="Arial" w:cs="Arial"/>
          <w:sz w:val="24"/>
          <w:szCs w:val="24"/>
          <w:lang w:val="en-US"/>
        </w:rPr>
        <w:t>1</w:t>
      </w:r>
      <w:r w:rsidR="007E5FA0" w:rsidRPr="00E262E0">
        <w:rPr>
          <w:rFonts w:ascii="Arial" w:hAnsi="Arial" w:cs="Arial"/>
          <w:sz w:val="24"/>
          <w:szCs w:val="24"/>
          <w:lang w:val="en-US"/>
        </w:rPr>
        <w:t>05</w:t>
      </w:r>
      <w:r w:rsidR="003F7899" w:rsidRPr="00E262E0">
        <w:rPr>
          <w:rFonts w:ascii="Arial" w:hAnsi="Arial" w:cs="Arial"/>
          <w:sz w:val="24"/>
          <w:szCs w:val="24"/>
          <w:lang w:val="en-US"/>
        </w:rPr>
        <w:t xml:space="preserve"> developed Stage 3 </w:t>
      </w:r>
      <w:r w:rsidR="00501C51">
        <w:rPr>
          <w:rFonts w:ascii="Arial" w:hAnsi="Arial" w:cs="Arial"/>
          <w:sz w:val="24"/>
          <w:szCs w:val="24"/>
          <w:lang w:val="en-US"/>
        </w:rPr>
        <w:t>at a median time of 4.0 years (IQR, 2.2-5.5) from staging</w:t>
      </w:r>
      <w:r w:rsidR="003F7899" w:rsidRPr="00E262E0">
        <w:rPr>
          <w:rFonts w:ascii="Arial" w:hAnsi="Arial" w:cs="Arial"/>
          <w:sz w:val="24"/>
          <w:szCs w:val="24"/>
          <w:lang w:val="en-US"/>
        </w:rPr>
        <w:t xml:space="preserve">, </w:t>
      </w:r>
      <w:r w:rsidR="004D2726" w:rsidRPr="00E262E0">
        <w:rPr>
          <w:rFonts w:ascii="Arial" w:hAnsi="Arial" w:cs="Arial"/>
          <w:sz w:val="24"/>
          <w:szCs w:val="24"/>
          <w:lang w:val="en-US"/>
        </w:rPr>
        <w:t>and 180 developed stage 2, including 73 who were identified with stage 2 prior to their progression to stage 3</w:t>
      </w:r>
      <w:r w:rsidR="00FE14F9" w:rsidRPr="00E262E0">
        <w:rPr>
          <w:rFonts w:ascii="Arial" w:hAnsi="Arial" w:cs="Arial"/>
          <w:sz w:val="24"/>
          <w:szCs w:val="24"/>
          <w:lang w:val="en-US"/>
        </w:rPr>
        <w:t>.</w:t>
      </w:r>
      <w:r w:rsidR="006B0F1D" w:rsidRPr="00E262E0">
        <w:rPr>
          <w:rFonts w:ascii="Arial" w:hAnsi="Arial" w:cs="Arial"/>
          <w:sz w:val="24"/>
          <w:szCs w:val="24"/>
          <w:lang w:val="en-US"/>
        </w:rPr>
        <w:t xml:space="preserve"> Of the 85 with stage 2, </w:t>
      </w:r>
      <w:r w:rsidR="006E5220" w:rsidRPr="00E262E0">
        <w:rPr>
          <w:rFonts w:ascii="Arial" w:hAnsi="Arial" w:cs="Arial"/>
          <w:sz w:val="24"/>
          <w:szCs w:val="24"/>
          <w:lang w:val="en-US"/>
        </w:rPr>
        <w:t>51</w:t>
      </w:r>
      <w:r w:rsidR="006B0F1D" w:rsidRPr="00E262E0">
        <w:rPr>
          <w:rFonts w:ascii="Arial" w:hAnsi="Arial" w:cs="Arial"/>
          <w:sz w:val="24"/>
          <w:szCs w:val="24"/>
          <w:lang w:val="en-US"/>
        </w:rPr>
        <w:t xml:space="preserve"> developed stage 3</w:t>
      </w:r>
      <w:r w:rsidR="00F77B44" w:rsidRPr="00E262E0">
        <w:rPr>
          <w:rFonts w:ascii="Arial" w:hAnsi="Arial" w:cs="Arial"/>
          <w:sz w:val="24"/>
          <w:szCs w:val="24"/>
          <w:lang w:val="en-US"/>
        </w:rPr>
        <w:t xml:space="preserve">, and of the </w:t>
      </w:r>
      <w:r w:rsidR="006E5220" w:rsidRPr="00E262E0">
        <w:rPr>
          <w:rFonts w:ascii="Arial" w:hAnsi="Arial" w:cs="Arial"/>
          <w:sz w:val="24"/>
          <w:szCs w:val="24"/>
          <w:lang w:val="en-US"/>
        </w:rPr>
        <w:t>23</w:t>
      </w:r>
      <w:r w:rsidR="00F77B44" w:rsidRPr="00E262E0">
        <w:rPr>
          <w:rFonts w:ascii="Arial" w:hAnsi="Arial" w:cs="Arial"/>
          <w:sz w:val="24"/>
          <w:szCs w:val="24"/>
          <w:lang w:val="en-US"/>
        </w:rPr>
        <w:t xml:space="preserve"> not classified, </w:t>
      </w:r>
      <w:r w:rsidR="006E5220" w:rsidRPr="00E262E0">
        <w:rPr>
          <w:rFonts w:ascii="Arial" w:hAnsi="Arial" w:cs="Arial"/>
          <w:sz w:val="24"/>
          <w:szCs w:val="24"/>
          <w:lang w:val="en-US"/>
        </w:rPr>
        <w:t>seven</w:t>
      </w:r>
      <w:r w:rsidR="00F77B44" w:rsidRPr="00E262E0">
        <w:rPr>
          <w:rFonts w:ascii="Arial" w:hAnsi="Arial" w:cs="Arial"/>
          <w:sz w:val="24"/>
          <w:szCs w:val="24"/>
          <w:lang w:val="en-US"/>
        </w:rPr>
        <w:t xml:space="preserve"> developed stage 2 and </w:t>
      </w:r>
      <w:r w:rsidR="006E5220" w:rsidRPr="00E262E0">
        <w:rPr>
          <w:rFonts w:ascii="Arial" w:hAnsi="Arial" w:cs="Arial"/>
          <w:sz w:val="24"/>
          <w:szCs w:val="24"/>
          <w:lang w:val="en-US"/>
        </w:rPr>
        <w:t>nine</w:t>
      </w:r>
      <w:r w:rsidR="00F77B44" w:rsidRPr="00E262E0">
        <w:rPr>
          <w:rFonts w:ascii="Arial" w:hAnsi="Arial" w:cs="Arial"/>
          <w:sz w:val="24"/>
          <w:szCs w:val="24"/>
          <w:lang w:val="en-US"/>
        </w:rPr>
        <w:t xml:space="preserve"> stage 3</w:t>
      </w:r>
      <w:r w:rsidR="006B0F1D" w:rsidRPr="00E262E0">
        <w:rPr>
          <w:rFonts w:ascii="Arial" w:hAnsi="Arial" w:cs="Arial"/>
          <w:sz w:val="24"/>
          <w:szCs w:val="24"/>
          <w:lang w:val="en-US"/>
        </w:rPr>
        <w:t xml:space="preserve">. </w:t>
      </w:r>
    </w:p>
    <w:p w14:paraId="704906DC" w14:textId="77777777" w:rsidR="009B7465" w:rsidRPr="00E262E0" w:rsidRDefault="009B7465" w:rsidP="009045A9">
      <w:pPr>
        <w:spacing w:after="0" w:line="480" w:lineRule="auto"/>
        <w:jc w:val="both"/>
        <w:rPr>
          <w:rFonts w:ascii="Arial" w:hAnsi="Arial" w:cs="Arial"/>
          <w:sz w:val="24"/>
          <w:szCs w:val="24"/>
          <w:lang w:val="en-US"/>
        </w:rPr>
      </w:pPr>
    </w:p>
    <w:p w14:paraId="539C2DFA" w14:textId="64CA9F2D" w:rsidR="003F7899" w:rsidRPr="00E262E0" w:rsidRDefault="00F65BB1" w:rsidP="009045A9">
      <w:pPr>
        <w:spacing w:after="0" w:line="480" w:lineRule="auto"/>
        <w:jc w:val="both"/>
        <w:rPr>
          <w:rFonts w:ascii="Arial" w:hAnsi="Arial" w:cs="Arial"/>
          <w:b/>
          <w:bCs/>
          <w:sz w:val="24"/>
          <w:szCs w:val="24"/>
          <w:lang w:val="en-US"/>
        </w:rPr>
      </w:pPr>
      <w:r w:rsidRPr="00E262E0">
        <w:rPr>
          <w:rFonts w:ascii="Arial" w:hAnsi="Arial" w:cs="Arial"/>
          <w:b/>
          <w:bCs/>
          <w:sz w:val="24"/>
          <w:szCs w:val="24"/>
          <w:lang w:val="en-US"/>
        </w:rPr>
        <w:t>Performance</w:t>
      </w:r>
      <w:r w:rsidR="003F7899" w:rsidRPr="00E262E0">
        <w:rPr>
          <w:rFonts w:ascii="Arial" w:hAnsi="Arial" w:cs="Arial"/>
          <w:b/>
          <w:bCs/>
          <w:sz w:val="24"/>
          <w:szCs w:val="24"/>
          <w:lang w:val="en-US"/>
        </w:rPr>
        <w:t xml:space="preserve"> of </w:t>
      </w:r>
      <w:r w:rsidR="00704B71" w:rsidRPr="00E262E0">
        <w:rPr>
          <w:rFonts w:ascii="Arial" w:hAnsi="Arial" w:cs="Arial"/>
          <w:b/>
          <w:bCs/>
          <w:sz w:val="24"/>
          <w:szCs w:val="24"/>
          <w:lang w:val="en-US"/>
        </w:rPr>
        <w:t xml:space="preserve">original </w:t>
      </w:r>
      <w:r w:rsidR="003F7899" w:rsidRPr="00E262E0">
        <w:rPr>
          <w:rFonts w:ascii="Arial" w:hAnsi="Arial" w:cs="Arial"/>
          <w:b/>
          <w:bCs/>
          <w:sz w:val="24"/>
          <w:szCs w:val="24"/>
          <w:lang w:val="en-US"/>
        </w:rPr>
        <w:t xml:space="preserve">PLS </w:t>
      </w:r>
      <w:r w:rsidR="002E3F20">
        <w:rPr>
          <w:rFonts w:ascii="Arial" w:hAnsi="Arial" w:cs="Arial"/>
          <w:b/>
          <w:bCs/>
          <w:sz w:val="24"/>
          <w:szCs w:val="24"/>
          <w:lang w:val="en-US"/>
        </w:rPr>
        <w:t xml:space="preserve">in stage </w:t>
      </w:r>
      <w:r w:rsidR="00787782">
        <w:rPr>
          <w:rFonts w:ascii="Arial" w:hAnsi="Arial" w:cs="Arial"/>
          <w:b/>
          <w:bCs/>
          <w:sz w:val="24"/>
          <w:szCs w:val="24"/>
          <w:lang w:val="en-US"/>
        </w:rPr>
        <w:t>1 type 1 diabetes</w:t>
      </w:r>
    </w:p>
    <w:p w14:paraId="3A49DCCE" w14:textId="21BB1664" w:rsidR="002C59B1" w:rsidRDefault="00A91C41" w:rsidP="009045A9">
      <w:pPr>
        <w:spacing w:after="0" w:line="480" w:lineRule="auto"/>
        <w:jc w:val="both"/>
        <w:rPr>
          <w:rFonts w:ascii="Arial" w:hAnsi="Arial" w:cs="Arial"/>
          <w:sz w:val="24"/>
          <w:szCs w:val="24"/>
          <w:lang w:val="en-US"/>
        </w:rPr>
      </w:pPr>
      <w:r w:rsidRPr="00E262E0">
        <w:rPr>
          <w:rFonts w:ascii="Arial" w:hAnsi="Arial" w:cs="Arial"/>
          <w:sz w:val="24"/>
          <w:szCs w:val="24"/>
          <w:lang w:val="en-US"/>
        </w:rPr>
        <w:t>We applied our previously developed PLS and the previously established threshold</w:t>
      </w:r>
      <w:r w:rsidR="005F5E4E" w:rsidRPr="00E262E0">
        <w:rPr>
          <w:rFonts w:ascii="Arial" w:hAnsi="Arial" w:cs="Arial"/>
          <w:sz w:val="24"/>
          <w:szCs w:val="24"/>
          <w:lang w:val="en-US"/>
        </w:rPr>
        <w:t>s</w:t>
      </w:r>
      <w:r w:rsidRPr="00E262E0">
        <w:rPr>
          <w:rFonts w:ascii="Arial" w:hAnsi="Arial" w:cs="Arial"/>
          <w:sz w:val="24"/>
          <w:szCs w:val="24"/>
          <w:lang w:val="en-US"/>
        </w:rPr>
        <w:t xml:space="preserve"> </w:t>
      </w:r>
      <w:r w:rsidR="005F5E4E" w:rsidRPr="00E262E0">
        <w:rPr>
          <w:rFonts w:ascii="Arial" w:hAnsi="Arial" w:cs="Arial"/>
          <w:sz w:val="24"/>
          <w:szCs w:val="24"/>
          <w:lang w:val="en-US"/>
        </w:rPr>
        <w:t>for high (&gt;4.0, corresponding to the previously defined 90</w:t>
      </w:r>
      <w:r w:rsidR="005F5E4E" w:rsidRPr="00E262E0">
        <w:rPr>
          <w:rFonts w:ascii="Arial" w:hAnsi="Arial" w:cs="Arial"/>
          <w:sz w:val="24"/>
          <w:szCs w:val="24"/>
          <w:vertAlign w:val="superscript"/>
          <w:lang w:val="en-US"/>
        </w:rPr>
        <w:t>th</w:t>
      </w:r>
      <w:r w:rsidR="005F5E4E" w:rsidRPr="00E262E0">
        <w:rPr>
          <w:rFonts w:ascii="Arial" w:hAnsi="Arial" w:cs="Arial"/>
          <w:sz w:val="24"/>
          <w:szCs w:val="24"/>
          <w:lang w:val="en-US"/>
        </w:rPr>
        <w:t xml:space="preserve"> percentile), intermediate (0.5</w:t>
      </w:r>
      <w:r w:rsidR="007F7F32">
        <w:rPr>
          <w:rFonts w:ascii="Arial" w:hAnsi="Arial" w:cs="Arial"/>
          <w:sz w:val="24"/>
          <w:szCs w:val="24"/>
          <w:lang w:val="en-US"/>
        </w:rPr>
        <w:t>-</w:t>
      </w:r>
      <w:r w:rsidR="005F5E4E" w:rsidRPr="00E262E0">
        <w:rPr>
          <w:rFonts w:ascii="Arial" w:hAnsi="Arial" w:cs="Arial"/>
          <w:sz w:val="24"/>
          <w:szCs w:val="24"/>
          <w:lang w:val="en-US"/>
        </w:rPr>
        <w:t>4.0) and low (&lt;0.5, previously defined as the 30</w:t>
      </w:r>
      <w:r w:rsidR="005F5E4E" w:rsidRPr="00E262E0">
        <w:rPr>
          <w:rFonts w:ascii="Arial" w:hAnsi="Arial" w:cs="Arial"/>
          <w:sz w:val="24"/>
          <w:szCs w:val="24"/>
          <w:vertAlign w:val="superscript"/>
          <w:lang w:val="en-US"/>
        </w:rPr>
        <w:t>th</w:t>
      </w:r>
      <w:r w:rsidR="005F5E4E" w:rsidRPr="00E262E0">
        <w:rPr>
          <w:rFonts w:ascii="Arial" w:hAnsi="Arial" w:cs="Arial"/>
          <w:sz w:val="24"/>
          <w:szCs w:val="24"/>
          <w:lang w:val="en-US"/>
        </w:rPr>
        <w:t xml:space="preserve"> percentile) values </w:t>
      </w:r>
      <w:r w:rsidRPr="00E262E0">
        <w:rPr>
          <w:rFonts w:ascii="Arial" w:hAnsi="Arial" w:cs="Arial"/>
          <w:sz w:val="24"/>
          <w:szCs w:val="24"/>
          <w:lang w:val="en-US"/>
        </w:rPr>
        <w:t xml:space="preserve">to the Fr1da and validation cohorts, using the </w:t>
      </w:r>
      <w:r w:rsidR="006B265A" w:rsidRPr="00E262E0">
        <w:rPr>
          <w:rFonts w:ascii="Arial" w:hAnsi="Arial" w:cs="Arial"/>
          <w:sz w:val="24"/>
          <w:szCs w:val="24"/>
          <w:lang w:val="en-US"/>
        </w:rPr>
        <w:t xml:space="preserve">current </w:t>
      </w:r>
      <w:r w:rsidRPr="00E262E0">
        <w:rPr>
          <w:rFonts w:ascii="Arial" w:hAnsi="Arial" w:cs="Arial"/>
          <w:sz w:val="24"/>
          <w:szCs w:val="24"/>
          <w:lang w:val="en-US"/>
        </w:rPr>
        <w:t xml:space="preserve">2025 criteria for </w:t>
      </w:r>
      <w:r w:rsidR="00A94289" w:rsidRPr="00E262E0">
        <w:rPr>
          <w:rFonts w:ascii="Arial" w:hAnsi="Arial" w:cs="Arial"/>
          <w:sz w:val="24"/>
          <w:szCs w:val="24"/>
          <w:lang w:val="en-US"/>
        </w:rPr>
        <w:t>s</w:t>
      </w:r>
      <w:r w:rsidRPr="00E262E0">
        <w:rPr>
          <w:rFonts w:ascii="Arial" w:hAnsi="Arial" w:cs="Arial"/>
          <w:sz w:val="24"/>
          <w:szCs w:val="24"/>
          <w:lang w:val="en-US"/>
        </w:rPr>
        <w:t xml:space="preserve">tage 1 diagnosis. </w:t>
      </w:r>
      <w:r w:rsidR="005F5E4E" w:rsidRPr="00E262E0">
        <w:rPr>
          <w:rFonts w:ascii="Arial" w:hAnsi="Arial" w:cs="Arial"/>
          <w:sz w:val="24"/>
          <w:szCs w:val="24"/>
          <w:lang w:val="en-US"/>
        </w:rPr>
        <w:t xml:space="preserve">Of the 360 children with stage 1 </w:t>
      </w:r>
      <w:r w:rsidR="005306A9" w:rsidRPr="00E262E0">
        <w:rPr>
          <w:rFonts w:ascii="Arial" w:hAnsi="Arial" w:cs="Arial"/>
          <w:sz w:val="24"/>
          <w:szCs w:val="24"/>
          <w:lang w:val="en-US"/>
        </w:rPr>
        <w:t>type 1 diabetes</w:t>
      </w:r>
      <w:r w:rsidR="005F5E4E" w:rsidRPr="00E262E0">
        <w:rPr>
          <w:rFonts w:ascii="Arial" w:hAnsi="Arial" w:cs="Arial"/>
          <w:sz w:val="24"/>
          <w:szCs w:val="24"/>
          <w:lang w:val="en-US"/>
        </w:rPr>
        <w:t xml:space="preserve"> in the Fr1da cohort,</w:t>
      </w:r>
      <w:r w:rsidRPr="00E262E0">
        <w:rPr>
          <w:rFonts w:ascii="Arial" w:hAnsi="Arial" w:cs="Arial"/>
          <w:sz w:val="24"/>
          <w:szCs w:val="24"/>
          <w:lang w:val="en-US"/>
        </w:rPr>
        <w:t xml:space="preserve"> </w:t>
      </w:r>
      <w:r w:rsidR="005F5E4E" w:rsidRPr="00E262E0">
        <w:rPr>
          <w:rFonts w:ascii="Arial" w:hAnsi="Arial" w:cs="Arial"/>
          <w:sz w:val="24"/>
          <w:szCs w:val="24"/>
          <w:lang w:val="en-US"/>
        </w:rPr>
        <w:t>39 (11%) had</w:t>
      </w:r>
      <w:r w:rsidRPr="00E262E0">
        <w:rPr>
          <w:rFonts w:ascii="Arial" w:hAnsi="Arial" w:cs="Arial"/>
          <w:sz w:val="24"/>
          <w:szCs w:val="24"/>
          <w:lang w:val="en-US"/>
        </w:rPr>
        <w:t xml:space="preserve"> a </w:t>
      </w:r>
      <w:r w:rsidR="005F5E4E" w:rsidRPr="00E262E0">
        <w:rPr>
          <w:rFonts w:ascii="Arial" w:hAnsi="Arial" w:cs="Arial"/>
          <w:sz w:val="24"/>
          <w:szCs w:val="24"/>
          <w:lang w:val="en-US"/>
        </w:rPr>
        <w:t xml:space="preserve">high </w:t>
      </w:r>
      <w:r w:rsidRPr="00E262E0">
        <w:rPr>
          <w:rFonts w:ascii="Arial" w:hAnsi="Arial" w:cs="Arial"/>
          <w:sz w:val="24"/>
          <w:szCs w:val="24"/>
          <w:lang w:val="en-US"/>
        </w:rPr>
        <w:t>PLS</w:t>
      </w:r>
      <w:r w:rsidR="005F5E4E" w:rsidRPr="00E262E0">
        <w:rPr>
          <w:rFonts w:ascii="Arial" w:hAnsi="Arial" w:cs="Arial"/>
          <w:sz w:val="24"/>
          <w:szCs w:val="24"/>
          <w:lang w:val="en-US"/>
        </w:rPr>
        <w:t>, 20</w:t>
      </w:r>
      <w:r w:rsidR="006E5220" w:rsidRPr="00E262E0">
        <w:rPr>
          <w:rFonts w:ascii="Arial" w:hAnsi="Arial" w:cs="Arial"/>
          <w:sz w:val="24"/>
          <w:szCs w:val="24"/>
          <w:lang w:val="en-US"/>
        </w:rPr>
        <w:t>7</w:t>
      </w:r>
      <w:r w:rsidRPr="00E262E0">
        <w:rPr>
          <w:rFonts w:ascii="Arial" w:hAnsi="Arial" w:cs="Arial"/>
          <w:sz w:val="24"/>
          <w:szCs w:val="24"/>
          <w:lang w:val="en-US"/>
        </w:rPr>
        <w:t xml:space="preserve"> </w:t>
      </w:r>
      <w:r w:rsidR="005F5E4E" w:rsidRPr="00E262E0">
        <w:rPr>
          <w:rFonts w:ascii="Arial" w:hAnsi="Arial" w:cs="Arial"/>
          <w:sz w:val="24"/>
          <w:szCs w:val="24"/>
          <w:lang w:val="en-US"/>
        </w:rPr>
        <w:t>(5</w:t>
      </w:r>
      <w:r w:rsidR="006E5220" w:rsidRPr="00E262E0">
        <w:rPr>
          <w:rFonts w:ascii="Arial" w:hAnsi="Arial" w:cs="Arial"/>
          <w:sz w:val="24"/>
          <w:szCs w:val="24"/>
          <w:lang w:val="en-US"/>
        </w:rPr>
        <w:t>7</w:t>
      </w:r>
      <w:r w:rsidR="005F5E4E" w:rsidRPr="00E262E0">
        <w:rPr>
          <w:rFonts w:ascii="Arial" w:hAnsi="Arial" w:cs="Arial"/>
          <w:sz w:val="24"/>
          <w:szCs w:val="24"/>
          <w:lang w:val="en-US"/>
        </w:rPr>
        <w:t xml:space="preserve">%) </w:t>
      </w:r>
      <w:r w:rsidRPr="00E262E0">
        <w:rPr>
          <w:rFonts w:ascii="Arial" w:hAnsi="Arial" w:cs="Arial"/>
          <w:sz w:val="24"/>
          <w:szCs w:val="24"/>
          <w:lang w:val="en-US"/>
        </w:rPr>
        <w:t xml:space="preserve">had </w:t>
      </w:r>
      <w:r w:rsidR="005F5E4E" w:rsidRPr="00E262E0">
        <w:rPr>
          <w:rFonts w:ascii="Arial" w:hAnsi="Arial" w:cs="Arial"/>
          <w:sz w:val="24"/>
          <w:szCs w:val="24"/>
          <w:lang w:val="en-US"/>
        </w:rPr>
        <w:t>an intermediate PLS and 11</w:t>
      </w:r>
      <w:r w:rsidR="006E5220" w:rsidRPr="00E262E0">
        <w:rPr>
          <w:rFonts w:ascii="Arial" w:hAnsi="Arial" w:cs="Arial"/>
          <w:sz w:val="24"/>
          <w:szCs w:val="24"/>
          <w:lang w:val="en-US"/>
        </w:rPr>
        <w:t>4</w:t>
      </w:r>
      <w:r w:rsidR="005F5E4E" w:rsidRPr="00E262E0">
        <w:rPr>
          <w:rFonts w:ascii="Arial" w:hAnsi="Arial" w:cs="Arial"/>
          <w:sz w:val="24"/>
          <w:szCs w:val="24"/>
          <w:lang w:val="en-US"/>
        </w:rPr>
        <w:t xml:space="preserve"> (32%) had a low PLS. The </w:t>
      </w:r>
      <w:r w:rsidRPr="00E262E0">
        <w:rPr>
          <w:rFonts w:ascii="Arial" w:hAnsi="Arial" w:cs="Arial"/>
          <w:sz w:val="24"/>
          <w:szCs w:val="24"/>
          <w:lang w:val="en-US"/>
        </w:rPr>
        <w:t xml:space="preserve">2-year risk of progression to </w:t>
      </w:r>
      <w:r w:rsidR="00A94289" w:rsidRPr="00E262E0">
        <w:rPr>
          <w:rFonts w:ascii="Arial" w:hAnsi="Arial" w:cs="Arial"/>
          <w:sz w:val="24"/>
          <w:szCs w:val="24"/>
          <w:lang w:val="en-US"/>
        </w:rPr>
        <w:t>s</w:t>
      </w:r>
      <w:r w:rsidRPr="00E262E0">
        <w:rPr>
          <w:rFonts w:ascii="Arial" w:hAnsi="Arial" w:cs="Arial"/>
          <w:sz w:val="24"/>
          <w:szCs w:val="24"/>
          <w:lang w:val="en-US"/>
        </w:rPr>
        <w:t xml:space="preserve">tage 3 </w:t>
      </w:r>
      <w:r w:rsidR="005F5E4E" w:rsidRPr="00E262E0">
        <w:rPr>
          <w:rFonts w:ascii="Arial" w:hAnsi="Arial" w:cs="Arial"/>
          <w:sz w:val="24"/>
          <w:szCs w:val="24"/>
          <w:lang w:val="en-US"/>
        </w:rPr>
        <w:t xml:space="preserve">was </w:t>
      </w:r>
      <w:r w:rsidRPr="00E262E0">
        <w:rPr>
          <w:rFonts w:ascii="Arial" w:hAnsi="Arial" w:cs="Arial"/>
          <w:sz w:val="24"/>
          <w:szCs w:val="24"/>
          <w:lang w:val="en-US"/>
        </w:rPr>
        <w:t>4</w:t>
      </w:r>
      <w:r w:rsidR="001328C0" w:rsidRPr="00E262E0">
        <w:rPr>
          <w:rFonts w:ascii="Arial" w:hAnsi="Arial" w:cs="Arial"/>
          <w:sz w:val="24"/>
          <w:szCs w:val="24"/>
          <w:lang w:val="en-US"/>
        </w:rPr>
        <w:t>3.7</w:t>
      </w:r>
      <w:r w:rsidRPr="00E262E0">
        <w:rPr>
          <w:rFonts w:ascii="Arial" w:hAnsi="Arial" w:cs="Arial"/>
          <w:sz w:val="24"/>
          <w:szCs w:val="24"/>
          <w:lang w:val="en-US"/>
        </w:rPr>
        <w:t>% (95% CI: 2</w:t>
      </w:r>
      <w:r w:rsidR="001328C0" w:rsidRPr="00E262E0">
        <w:rPr>
          <w:rFonts w:ascii="Arial" w:hAnsi="Arial" w:cs="Arial"/>
          <w:sz w:val="24"/>
          <w:szCs w:val="24"/>
          <w:lang w:val="en-US"/>
        </w:rPr>
        <w:t>4.3</w:t>
      </w:r>
      <w:r w:rsidR="00EF5C04">
        <w:rPr>
          <w:rFonts w:ascii="Arial" w:hAnsi="Arial" w:cs="Arial"/>
          <w:sz w:val="24"/>
          <w:szCs w:val="24"/>
          <w:lang w:val="en-US"/>
        </w:rPr>
        <w:t>-</w:t>
      </w:r>
      <w:r w:rsidRPr="00E262E0">
        <w:rPr>
          <w:rFonts w:ascii="Arial" w:hAnsi="Arial" w:cs="Arial"/>
          <w:sz w:val="24"/>
          <w:szCs w:val="24"/>
          <w:lang w:val="en-US"/>
        </w:rPr>
        <w:t>5</w:t>
      </w:r>
      <w:r w:rsidR="001328C0" w:rsidRPr="00E262E0">
        <w:rPr>
          <w:rFonts w:ascii="Arial" w:hAnsi="Arial" w:cs="Arial"/>
          <w:sz w:val="24"/>
          <w:szCs w:val="24"/>
          <w:lang w:val="en-US"/>
        </w:rPr>
        <w:t>8.1</w:t>
      </w:r>
      <w:r w:rsidRPr="00E262E0">
        <w:rPr>
          <w:rFonts w:ascii="Arial" w:hAnsi="Arial" w:cs="Arial"/>
          <w:sz w:val="24"/>
          <w:szCs w:val="24"/>
          <w:lang w:val="en-US"/>
        </w:rPr>
        <w:t xml:space="preserve">) </w:t>
      </w:r>
      <w:r w:rsidR="005F5E4E" w:rsidRPr="00E262E0">
        <w:rPr>
          <w:rFonts w:ascii="Arial" w:hAnsi="Arial" w:cs="Arial"/>
          <w:sz w:val="24"/>
          <w:szCs w:val="24"/>
          <w:lang w:val="en-US"/>
        </w:rPr>
        <w:t>in those with a high PLS, 4.</w:t>
      </w:r>
      <w:r w:rsidR="006E5220" w:rsidRPr="00E262E0">
        <w:rPr>
          <w:rFonts w:ascii="Arial" w:hAnsi="Arial" w:cs="Arial"/>
          <w:sz w:val="24"/>
          <w:szCs w:val="24"/>
          <w:lang w:val="en-US"/>
        </w:rPr>
        <w:t>7</w:t>
      </w:r>
      <w:r w:rsidR="005F5E4E" w:rsidRPr="00E262E0">
        <w:rPr>
          <w:rFonts w:ascii="Arial" w:hAnsi="Arial" w:cs="Arial"/>
          <w:sz w:val="24"/>
          <w:szCs w:val="24"/>
          <w:lang w:val="en-US"/>
        </w:rPr>
        <w:t xml:space="preserve">% (95% CI: </w:t>
      </w:r>
      <w:r w:rsidR="006E5220" w:rsidRPr="00E262E0">
        <w:rPr>
          <w:rFonts w:ascii="Arial" w:hAnsi="Arial" w:cs="Arial"/>
          <w:sz w:val="24"/>
          <w:szCs w:val="24"/>
          <w:lang w:val="en-US"/>
        </w:rPr>
        <w:t>1.7</w:t>
      </w:r>
      <w:r w:rsidR="00F56347">
        <w:rPr>
          <w:rFonts w:ascii="Arial" w:hAnsi="Arial" w:cs="Arial"/>
          <w:sz w:val="24"/>
          <w:szCs w:val="24"/>
          <w:lang w:val="en-US"/>
        </w:rPr>
        <w:t>-</w:t>
      </w:r>
      <w:r w:rsidR="006E5220" w:rsidRPr="00E262E0">
        <w:rPr>
          <w:rFonts w:ascii="Arial" w:hAnsi="Arial" w:cs="Arial"/>
          <w:sz w:val="24"/>
          <w:szCs w:val="24"/>
          <w:lang w:val="en-US"/>
        </w:rPr>
        <w:t>7.7</w:t>
      </w:r>
      <w:r w:rsidR="005F5E4E" w:rsidRPr="00E262E0">
        <w:rPr>
          <w:rFonts w:ascii="Arial" w:hAnsi="Arial" w:cs="Arial"/>
          <w:sz w:val="24"/>
          <w:szCs w:val="24"/>
          <w:lang w:val="en-US"/>
        </w:rPr>
        <w:t xml:space="preserve">) in those with an intermediate PLS and 0% in those with a low PLS </w:t>
      </w:r>
      <w:r w:rsidR="005F5E4E" w:rsidRPr="00E262E0">
        <w:rPr>
          <w:rFonts w:ascii="Arial" w:hAnsi="Arial" w:cs="Arial"/>
          <w:sz w:val="24"/>
          <w:szCs w:val="24"/>
          <w:lang w:val="en-US"/>
        </w:rPr>
        <w:lastRenderedPageBreak/>
        <w:t>(p&lt;0.0001)</w:t>
      </w:r>
      <w:r w:rsidR="006B265A" w:rsidRPr="00E262E0">
        <w:rPr>
          <w:rFonts w:ascii="Arial" w:hAnsi="Arial" w:cs="Arial"/>
          <w:sz w:val="24"/>
          <w:szCs w:val="24"/>
          <w:lang w:val="en-US"/>
        </w:rPr>
        <w:t xml:space="preserve"> (</w:t>
      </w:r>
      <w:r w:rsidR="006B265A" w:rsidRPr="00E262E0">
        <w:rPr>
          <w:rFonts w:ascii="Arial" w:hAnsi="Arial" w:cs="Arial"/>
          <w:b/>
          <w:bCs/>
          <w:sz w:val="24"/>
          <w:szCs w:val="24"/>
          <w:lang w:val="en-US"/>
        </w:rPr>
        <w:t>Fig</w:t>
      </w:r>
      <w:r w:rsidR="006A54A7" w:rsidRPr="00E262E0">
        <w:rPr>
          <w:rFonts w:ascii="Arial" w:hAnsi="Arial" w:cs="Arial"/>
          <w:b/>
          <w:bCs/>
          <w:sz w:val="24"/>
          <w:szCs w:val="24"/>
          <w:lang w:val="en-US"/>
        </w:rPr>
        <w:t>.</w:t>
      </w:r>
      <w:r w:rsidR="006B265A" w:rsidRPr="00E262E0">
        <w:rPr>
          <w:rFonts w:ascii="Arial" w:hAnsi="Arial" w:cs="Arial"/>
          <w:b/>
          <w:bCs/>
          <w:sz w:val="24"/>
          <w:szCs w:val="24"/>
          <w:lang w:val="en-US"/>
        </w:rPr>
        <w:t xml:space="preserve"> </w:t>
      </w:r>
      <w:r w:rsidR="006A54A7" w:rsidRPr="00E262E0">
        <w:rPr>
          <w:rFonts w:ascii="Arial" w:hAnsi="Arial" w:cs="Arial"/>
          <w:b/>
          <w:bCs/>
          <w:sz w:val="24"/>
          <w:szCs w:val="24"/>
          <w:lang w:val="en-US"/>
        </w:rPr>
        <w:t>1</w:t>
      </w:r>
      <w:r w:rsidR="00CA4A07" w:rsidRPr="00E262E0">
        <w:rPr>
          <w:rFonts w:ascii="Arial" w:hAnsi="Arial" w:cs="Arial"/>
          <w:b/>
          <w:bCs/>
          <w:sz w:val="24"/>
          <w:szCs w:val="24"/>
          <w:lang w:val="en-US"/>
        </w:rPr>
        <w:t>A</w:t>
      </w:r>
      <w:r w:rsidR="006B265A" w:rsidRPr="00E262E0">
        <w:rPr>
          <w:rFonts w:ascii="Arial" w:hAnsi="Arial" w:cs="Arial"/>
          <w:b/>
          <w:bCs/>
          <w:sz w:val="24"/>
          <w:szCs w:val="24"/>
          <w:lang w:val="en-US"/>
        </w:rPr>
        <w:t xml:space="preserve">, Table </w:t>
      </w:r>
      <w:r w:rsidR="001D4FA7">
        <w:rPr>
          <w:rFonts w:ascii="Arial" w:hAnsi="Arial" w:cs="Arial"/>
          <w:b/>
          <w:bCs/>
          <w:sz w:val="24"/>
          <w:szCs w:val="24"/>
          <w:lang w:val="en-US"/>
        </w:rPr>
        <w:t>2</w:t>
      </w:r>
      <w:r w:rsidR="006B265A" w:rsidRPr="00E262E0">
        <w:rPr>
          <w:rFonts w:ascii="Arial" w:hAnsi="Arial" w:cs="Arial"/>
          <w:sz w:val="24"/>
          <w:szCs w:val="24"/>
          <w:lang w:val="en-US"/>
        </w:rPr>
        <w:t>)</w:t>
      </w:r>
      <w:r w:rsidR="005F5E4E" w:rsidRPr="00E262E0">
        <w:rPr>
          <w:rFonts w:ascii="Arial" w:hAnsi="Arial" w:cs="Arial"/>
          <w:sz w:val="24"/>
          <w:szCs w:val="24"/>
          <w:lang w:val="en-US"/>
        </w:rPr>
        <w:t>. The 2-year progression rates in the validation cohort were 28.6% (95% CI: 0.0</w:t>
      </w:r>
      <w:r w:rsidR="00F56347">
        <w:rPr>
          <w:rFonts w:ascii="Arial" w:hAnsi="Arial" w:cs="Arial"/>
          <w:sz w:val="24"/>
          <w:szCs w:val="24"/>
          <w:lang w:val="en-US"/>
        </w:rPr>
        <w:t>-</w:t>
      </w:r>
      <w:r w:rsidR="005F5E4E" w:rsidRPr="00E262E0">
        <w:rPr>
          <w:rFonts w:ascii="Arial" w:hAnsi="Arial" w:cs="Arial"/>
          <w:sz w:val="24"/>
          <w:szCs w:val="24"/>
          <w:lang w:val="en-US"/>
        </w:rPr>
        <w:t xml:space="preserve">55.3), 5.1% (95% CI, </w:t>
      </w:r>
      <w:r w:rsidR="00773F10" w:rsidRPr="00E262E0">
        <w:rPr>
          <w:rFonts w:ascii="Arial" w:hAnsi="Arial" w:cs="Arial"/>
          <w:sz w:val="24"/>
          <w:szCs w:val="24"/>
          <w:lang w:val="en-US"/>
        </w:rPr>
        <w:t>0.0</w:t>
      </w:r>
      <w:r w:rsidR="00F56347">
        <w:rPr>
          <w:rFonts w:ascii="Arial" w:hAnsi="Arial" w:cs="Arial"/>
          <w:sz w:val="24"/>
          <w:szCs w:val="24"/>
          <w:lang w:val="en-US"/>
        </w:rPr>
        <w:t>-</w:t>
      </w:r>
      <w:r w:rsidR="00773F10" w:rsidRPr="00E262E0">
        <w:rPr>
          <w:rFonts w:ascii="Arial" w:hAnsi="Arial" w:cs="Arial"/>
          <w:sz w:val="24"/>
          <w:szCs w:val="24"/>
          <w:lang w:val="en-US"/>
        </w:rPr>
        <w:t>11.8</w:t>
      </w:r>
      <w:r w:rsidR="005F5E4E" w:rsidRPr="00E262E0">
        <w:rPr>
          <w:rFonts w:ascii="Arial" w:hAnsi="Arial" w:cs="Arial"/>
          <w:sz w:val="24"/>
          <w:szCs w:val="24"/>
          <w:lang w:val="en-US"/>
        </w:rPr>
        <w:t>) and 0% in the high, intermediate and low PLS categories, respectively (p</w:t>
      </w:r>
      <w:r w:rsidR="00B74762">
        <w:rPr>
          <w:rFonts w:ascii="Arial" w:hAnsi="Arial" w:cs="Arial"/>
          <w:sz w:val="24"/>
          <w:szCs w:val="24"/>
          <w:lang w:val="en-US"/>
        </w:rPr>
        <w:t>=</w:t>
      </w:r>
      <w:r w:rsidR="005F5E4E" w:rsidRPr="00E262E0">
        <w:rPr>
          <w:rFonts w:ascii="Arial" w:hAnsi="Arial" w:cs="Arial"/>
          <w:sz w:val="24"/>
          <w:szCs w:val="24"/>
          <w:lang w:val="en-US"/>
        </w:rPr>
        <w:t>0.</w:t>
      </w:r>
      <w:r w:rsidR="00B74762">
        <w:rPr>
          <w:rFonts w:ascii="Arial" w:hAnsi="Arial" w:cs="Arial"/>
          <w:sz w:val="24"/>
          <w:szCs w:val="24"/>
          <w:lang w:val="en-US"/>
        </w:rPr>
        <w:t>0</w:t>
      </w:r>
      <w:r w:rsidR="005F5E4E" w:rsidRPr="00E262E0">
        <w:rPr>
          <w:rFonts w:ascii="Arial" w:hAnsi="Arial" w:cs="Arial"/>
          <w:sz w:val="24"/>
          <w:szCs w:val="24"/>
          <w:lang w:val="en-US"/>
        </w:rPr>
        <w:t>001)</w:t>
      </w:r>
      <w:r w:rsidR="006A7FC7" w:rsidRPr="00E262E0">
        <w:rPr>
          <w:rFonts w:ascii="Arial" w:hAnsi="Arial" w:cs="Arial"/>
          <w:sz w:val="24"/>
          <w:szCs w:val="24"/>
          <w:lang w:val="en-US"/>
        </w:rPr>
        <w:t xml:space="preserve"> </w:t>
      </w:r>
      <w:r w:rsidR="009B7465" w:rsidRPr="00E262E0">
        <w:rPr>
          <w:rFonts w:ascii="Arial" w:hAnsi="Arial" w:cs="Arial"/>
          <w:sz w:val="24"/>
          <w:szCs w:val="24"/>
          <w:lang w:val="en-US"/>
        </w:rPr>
        <w:t>(</w:t>
      </w:r>
      <w:r w:rsidR="006B265A" w:rsidRPr="00E262E0">
        <w:rPr>
          <w:rFonts w:ascii="Arial" w:hAnsi="Arial" w:cs="Arial"/>
          <w:b/>
          <w:bCs/>
          <w:sz w:val="24"/>
          <w:szCs w:val="24"/>
          <w:lang w:val="en-US"/>
        </w:rPr>
        <w:t>Fig</w:t>
      </w:r>
      <w:r w:rsidR="006A54A7" w:rsidRPr="00E262E0">
        <w:rPr>
          <w:rFonts w:ascii="Arial" w:hAnsi="Arial" w:cs="Arial"/>
          <w:b/>
          <w:bCs/>
          <w:sz w:val="24"/>
          <w:szCs w:val="24"/>
          <w:lang w:val="en-US"/>
        </w:rPr>
        <w:t>. 1</w:t>
      </w:r>
      <w:r w:rsidR="00CA4A07" w:rsidRPr="00E262E0">
        <w:rPr>
          <w:rFonts w:ascii="Arial" w:hAnsi="Arial" w:cs="Arial"/>
          <w:b/>
          <w:bCs/>
          <w:sz w:val="24"/>
          <w:szCs w:val="24"/>
          <w:lang w:val="en-US"/>
        </w:rPr>
        <w:t>B</w:t>
      </w:r>
      <w:r w:rsidR="009B7465" w:rsidRPr="00E262E0">
        <w:rPr>
          <w:rFonts w:ascii="Arial" w:hAnsi="Arial" w:cs="Arial"/>
          <w:sz w:val="24"/>
          <w:szCs w:val="24"/>
          <w:lang w:val="en-US"/>
        </w:rPr>
        <w:t>).</w:t>
      </w:r>
      <w:r w:rsidR="006B265A" w:rsidRPr="00E262E0">
        <w:rPr>
          <w:rFonts w:ascii="Arial" w:hAnsi="Arial" w:cs="Arial"/>
          <w:sz w:val="24"/>
          <w:szCs w:val="24"/>
          <w:lang w:val="en-US"/>
        </w:rPr>
        <w:t xml:space="preserve"> Three-year </w:t>
      </w:r>
      <w:r w:rsidR="00787782">
        <w:rPr>
          <w:rFonts w:ascii="Arial" w:hAnsi="Arial" w:cs="Arial"/>
          <w:sz w:val="24"/>
          <w:szCs w:val="24"/>
          <w:lang w:val="en-US"/>
        </w:rPr>
        <w:t>progression rates</w:t>
      </w:r>
      <w:r w:rsidR="00787782" w:rsidRPr="00E262E0">
        <w:rPr>
          <w:rFonts w:ascii="Arial" w:hAnsi="Arial" w:cs="Arial"/>
          <w:sz w:val="24"/>
          <w:szCs w:val="24"/>
          <w:lang w:val="en-US"/>
        </w:rPr>
        <w:t xml:space="preserve"> </w:t>
      </w:r>
      <w:r w:rsidR="006B265A" w:rsidRPr="00E262E0">
        <w:rPr>
          <w:rFonts w:ascii="Arial" w:hAnsi="Arial" w:cs="Arial"/>
          <w:sz w:val="24"/>
          <w:szCs w:val="24"/>
          <w:lang w:val="en-US"/>
        </w:rPr>
        <w:t xml:space="preserve">and median survival times are provided in </w:t>
      </w:r>
      <w:r w:rsidR="006B265A" w:rsidRPr="00E262E0">
        <w:rPr>
          <w:rFonts w:ascii="Arial" w:hAnsi="Arial" w:cs="Arial"/>
          <w:b/>
          <w:bCs/>
          <w:sz w:val="24"/>
          <w:szCs w:val="24"/>
          <w:lang w:val="en-US"/>
        </w:rPr>
        <w:t xml:space="preserve">table </w:t>
      </w:r>
      <w:r w:rsidR="004B798E">
        <w:rPr>
          <w:rFonts w:ascii="Arial" w:hAnsi="Arial" w:cs="Arial"/>
          <w:b/>
          <w:bCs/>
          <w:sz w:val="24"/>
          <w:szCs w:val="24"/>
          <w:lang w:val="en-US"/>
        </w:rPr>
        <w:t>2</w:t>
      </w:r>
      <w:r w:rsidR="00262EE1" w:rsidRPr="00E262E0">
        <w:rPr>
          <w:rFonts w:ascii="Arial" w:hAnsi="Arial" w:cs="Arial"/>
          <w:sz w:val="24"/>
          <w:szCs w:val="24"/>
          <w:lang w:val="en-US"/>
        </w:rPr>
        <w:t>. To</w:t>
      </w:r>
      <w:r w:rsidRPr="00E262E0">
        <w:rPr>
          <w:rFonts w:ascii="Arial" w:hAnsi="Arial" w:cs="Arial"/>
          <w:sz w:val="24"/>
          <w:szCs w:val="24"/>
          <w:lang w:val="en-US"/>
        </w:rPr>
        <w:t xml:space="preserve"> further evaluate the predictive performance of the PLS, we conducted a ROC analysis (</w:t>
      </w:r>
      <w:r w:rsidRPr="00E262E0">
        <w:rPr>
          <w:rFonts w:ascii="Arial" w:hAnsi="Arial" w:cs="Arial"/>
          <w:b/>
          <w:bCs/>
          <w:sz w:val="24"/>
          <w:szCs w:val="24"/>
          <w:lang w:val="en-US"/>
        </w:rPr>
        <w:t>Fig</w:t>
      </w:r>
      <w:r w:rsidR="006A54A7" w:rsidRPr="00E262E0">
        <w:rPr>
          <w:rFonts w:ascii="Arial" w:hAnsi="Arial" w:cs="Arial"/>
          <w:b/>
          <w:bCs/>
          <w:sz w:val="24"/>
          <w:szCs w:val="24"/>
          <w:lang w:val="en-US"/>
        </w:rPr>
        <w:t>.</w:t>
      </w:r>
      <w:r w:rsidRPr="00E262E0">
        <w:rPr>
          <w:rFonts w:ascii="Arial" w:hAnsi="Arial" w:cs="Arial"/>
          <w:b/>
          <w:bCs/>
          <w:sz w:val="24"/>
          <w:szCs w:val="24"/>
          <w:lang w:val="en-US"/>
        </w:rPr>
        <w:t xml:space="preserve"> </w:t>
      </w:r>
      <w:r w:rsidR="006A54A7" w:rsidRPr="00E262E0">
        <w:rPr>
          <w:rFonts w:ascii="Arial" w:hAnsi="Arial" w:cs="Arial"/>
          <w:b/>
          <w:bCs/>
          <w:sz w:val="24"/>
          <w:szCs w:val="24"/>
          <w:lang w:val="en-US"/>
        </w:rPr>
        <w:t>1</w:t>
      </w:r>
      <w:r w:rsidR="00CA4A07" w:rsidRPr="00E262E0">
        <w:rPr>
          <w:rFonts w:ascii="Arial" w:hAnsi="Arial" w:cs="Arial"/>
          <w:b/>
          <w:bCs/>
          <w:sz w:val="24"/>
          <w:szCs w:val="24"/>
          <w:lang w:val="en-US"/>
        </w:rPr>
        <w:t>C</w:t>
      </w:r>
      <w:r w:rsidRPr="00E262E0">
        <w:rPr>
          <w:rFonts w:ascii="Arial" w:hAnsi="Arial" w:cs="Arial"/>
          <w:sz w:val="24"/>
          <w:szCs w:val="24"/>
          <w:lang w:val="en-US"/>
        </w:rPr>
        <w:t xml:space="preserve">). The area under the curve (AUC) </w:t>
      </w:r>
      <w:r w:rsidR="005F5E4E" w:rsidRPr="00E262E0">
        <w:rPr>
          <w:rFonts w:ascii="Arial" w:hAnsi="Arial" w:cs="Arial"/>
          <w:sz w:val="24"/>
          <w:szCs w:val="24"/>
          <w:lang w:val="en-US"/>
        </w:rPr>
        <w:t xml:space="preserve">to identify those who progressed to stage 3 </w:t>
      </w:r>
      <w:r w:rsidR="002F31D0" w:rsidRPr="00E262E0">
        <w:rPr>
          <w:rFonts w:ascii="Arial" w:hAnsi="Arial" w:cs="Arial"/>
          <w:sz w:val="24"/>
          <w:szCs w:val="24"/>
          <w:lang w:val="en-US"/>
        </w:rPr>
        <w:t>type 1 diabetes</w:t>
      </w:r>
      <w:r w:rsidR="00767E46" w:rsidRPr="00E262E0">
        <w:rPr>
          <w:rFonts w:ascii="Arial" w:hAnsi="Arial" w:cs="Arial"/>
          <w:sz w:val="24"/>
          <w:szCs w:val="24"/>
          <w:lang w:val="en-US"/>
        </w:rPr>
        <w:t xml:space="preserve"> </w:t>
      </w:r>
      <w:r w:rsidR="005F5E4E" w:rsidRPr="00E262E0">
        <w:rPr>
          <w:rFonts w:ascii="Arial" w:hAnsi="Arial" w:cs="Arial"/>
          <w:sz w:val="24"/>
          <w:szCs w:val="24"/>
          <w:lang w:val="en-US"/>
        </w:rPr>
        <w:t xml:space="preserve">within 2 years (n=24) </w:t>
      </w:r>
      <w:r w:rsidRPr="00E262E0">
        <w:rPr>
          <w:rFonts w:ascii="Arial" w:hAnsi="Arial" w:cs="Arial"/>
          <w:sz w:val="24"/>
          <w:szCs w:val="24"/>
          <w:lang w:val="en-US"/>
        </w:rPr>
        <w:t>was 0.</w:t>
      </w:r>
      <w:r w:rsidR="005F5E4E" w:rsidRPr="00E262E0">
        <w:rPr>
          <w:rFonts w:ascii="Arial" w:hAnsi="Arial" w:cs="Arial"/>
          <w:sz w:val="24"/>
          <w:szCs w:val="24"/>
          <w:lang w:val="en-US"/>
        </w:rPr>
        <w:t>852</w:t>
      </w:r>
      <w:r w:rsidRPr="00E262E0">
        <w:rPr>
          <w:rFonts w:ascii="Arial" w:hAnsi="Arial" w:cs="Arial"/>
          <w:sz w:val="24"/>
          <w:szCs w:val="24"/>
          <w:lang w:val="en-US"/>
        </w:rPr>
        <w:t xml:space="preserve">, indicating strong discrimination. </w:t>
      </w:r>
      <w:r w:rsidR="005F5E4E" w:rsidRPr="00E262E0">
        <w:rPr>
          <w:rFonts w:ascii="Arial" w:hAnsi="Arial" w:cs="Arial"/>
          <w:sz w:val="24"/>
          <w:szCs w:val="24"/>
          <w:lang w:val="en-US"/>
        </w:rPr>
        <w:t xml:space="preserve">A PLS &gt;4.0 identified 15 (62.5%) of 24 children who progressed to stage 3 </w:t>
      </w:r>
      <w:r w:rsidR="002F31D0" w:rsidRPr="00E262E0">
        <w:rPr>
          <w:rFonts w:ascii="Arial" w:hAnsi="Arial" w:cs="Arial"/>
          <w:sz w:val="24"/>
          <w:szCs w:val="24"/>
          <w:lang w:val="en-US"/>
        </w:rPr>
        <w:t>type 1 diabetes</w:t>
      </w:r>
      <w:r w:rsidR="00767E46" w:rsidRPr="00E262E0">
        <w:rPr>
          <w:rFonts w:ascii="Arial" w:hAnsi="Arial" w:cs="Arial"/>
          <w:sz w:val="24"/>
          <w:szCs w:val="24"/>
          <w:lang w:val="en-US"/>
        </w:rPr>
        <w:t xml:space="preserve"> </w:t>
      </w:r>
      <w:r w:rsidR="005F5E4E" w:rsidRPr="00E262E0">
        <w:rPr>
          <w:rFonts w:ascii="Arial" w:hAnsi="Arial" w:cs="Arial"/>
          <w:sz w:val="24"/>
          <w:szCs w:val="24"/>
          <w:lang w:val="en-US"/>
        </w:rPr>
        <w:t>within 2 years</w:t>
      </w:r>
      <w:r w:rsidR="006B265A" w:rsidRPr="00E262E0">
        <w:rPr>
          <w:rFonts w:ascii="Arial" w:hAnsi="Arial" w:cs="Arial"/>
          <w:sz w:val="24"/>
          <w:szCs w:val="24"/>
          <w:lang w:val="en-US"/>
        </w:rPr>
        <w:t xml:space="preserve">, and </w:t>
      </w:r>
      <w:r w:rsidR="00773F10" w:rsidRPr="00E262E0">
        <w:rPr>
          <w:rFonts w:ascii="Arial" w:hAnsi="Arial" w:cs="Arial"/>
          <w:sz w:val="24"/>
          <w:szCs w:val="24"/>
          <w:lang w:val="en-US"/>
        </w:rPr>
        <w:t>21</w:t>
      </w:r>
      <w:r w:rsidR="006B265A" w:rsidRPr="00E262E0">
        <w:rPr>
          <w:rFonts w:ascii="Arial" w:hAnsi="Arial" w:cs="Arial"/>
          <w:sz w:val="24"/>
          <w:szCs w:val="24"/>
          <w:lang w:val="en-US"/>
        </w:rPr>
        <w:t xml:space="preserve"> of </w:t>
      </w:r>
      <w:r w:rsidR="00773F10" w:rsidRPr="00E262E0">
        <w:rPr>
          <w:rFonts w:ascii="Arial" w:hAnsi="Arial" w:cs="Arial"/>
          <w:sz w:val="24"/>
          <w:szCs w:val="24"/>
          <w:lang w:val="en-US"/>
        </w:rPr>
        <w:t>45 (46.7%)</w:t>
      </w:r>
      <w:r w:rsidR="006B265A" w:rsidRPr="00E262E0">
        <w:rPr>
          <w:rFonts w:ascii="Arial" w:hAnsi="Arial" w:cs="Arial"/>
          <w:sz w:val="24"/>
          <w:szCs w:val="24"/>
          <w:lang w:val="en-US"/>
        </w:rPr>
        <w:t xml:space="preserve"> children who progressed within 3 years</w:t>
      </w:r>
      <w:r w:rsidR="005F5E4E" w:rsidRPr="00E262E0">
        <w:rPr>
          <w:rFonts w:ascii="Arial" w:hAnsi="Arial" w:cs="Arial"/>
          <w:sz w:val="24"/>
          <w:szCs w:val="24"/>
          <w:lang w:val="en-US"/>
        </w:rPr>
        <w:t xml:space="preserve">. </w:t>
      </w:r>
    </w:p>
    <w:p w14:paraId="57BAC4F5" w14:textId="790A245D" w:rsidR="005F5E4E" w:rsidRPr="00E262E0" w:rsidRDefault="00501C51" w:rsidP="009045A9">
      <w:pPr>
        <w:spacing w:after="0" w:line="480" w:lineRule="auto"/>
        <w:jc w:val="both"/>
        <w:rPr>
          <w:rFonts w:ascii="Arial" w:hAnsi="Arial" w:cs="Arial"/>
          <w:sz w:val="24"/>
          <w:szCs w:val="24"/>
          <w:lang w:val="en-US"/>
        </w:rPr>
      </w:pPr>
      <w:r>
        <w:rPr>
          <w:rFonts w:ascii="Arial" w:hAnsi="Arial" w:cs="Arial"/>
          <w:sz w:val="24"/>
          <w:szCs w:val="24"/>
          <w:lang w:val="en-US"/>
        </w:rPr>
        <w:t>The PLS is based on IA</w:t>
      </w:r>
      <w:r w:rsidR="009C7771">
        <w:rPr>
          <w:rFonts w:ascii="Arial" w:hAnsi="Arial" w:cs="Arial"/>
          <w:sz w:val="24"/>
          <w:szCs w:val="24"/>
          <w:lang w:val="en-US"/>
        </w:rPr>
        <w:t>-</w:t>
      </w:r>
      <w:r>
        <w:rPr>
          <w:rFonts w:ascii="Arial" w:hAnsi="Arial" w:cs="Arial"/>
          <w:sz w:val="24"/>
          <w:szCs w:val="24"/>
          <w:lang w:val="en-US"/>
        </w:rPr>
        <w:t xml:space="preserve">2A measurements </w:t>
      </w:r>
      <w:r w:rsidR="009C7771">
        <w:rPr>
          <w:rFonts w:ascii="Arial" w:hAnsi="Arial" w:cs="Arial"/>
          <w:sz w:val="24"/>
          <w:szCs w:val="24"/>
          <w:lang w:val="en-US"/>
        </w:rPr>
        <w:t xml:space="preserve">from </w:t>
      </w:r>
      <w:r>
        <w:rPr>
          <w:rFonts w:ascii="Arial" w:hAnsi="Arial" w:cs="Arial"/>
          <w:sz w:val="24"/>
          <w:szCs w:val="24"/>
          <w:lang w:val="en-US"/>
        </w:rPr>
        <w:t>a harmonized radiobinding assay (</w:t>
      </w:r>
      <w:r w:rsidR="000260F0">
        <w:rPr>
          <w:rFonts w:ascii="Arial" w:hAnsi="Arial" w:cs="Arial"/>
          <w:sz w:val="24"/>
          <w:szCs w:val="24"/>
          <w:lang w:val="en-US"/>
        </w:rPr>
        <w:t>19</w:t>
      </w:r>
      <w:r>
        <w:rPr>
          <w:rFonts w:ascii="Arial" w:hAnsi="Arial" w:cs="Arial"/>
          <w:sz w:val="24"/>
          <w:szCs w:val="24"/>
          <w:lang w:val="en-US"/>
        </w:rPr>
        <w:t>).</w:t>
      </w:r>
      <w:r w:rsidR="000260F0">
        <w:rPr>
          <w:rFonts w:ascii="Arial" w:hAnsi="Arial" w:cs="Arial"/>
          <w:sz w:val="24"/>
          <w:szCs w:val="24"/>
          <w:lang w:val="en-US"/>
        </w:rPr>
        <w:t xml:space="preserve"> </w:t>
      </w:r>
      <w:r w:rsidR="003C625F">
        <w:rPr>
          <w:rFonts w:ascii="Arial" w:hAnsi="Arial" w:cs="Arial"/>
          <w:sz w:val="24"/>
          <w:szCs w:val="24"/>
          <w:lang w:val="en-US"/>
        </w:rPr>
        <w:t>Since</w:t>
      </w:r>
      <w:r w:rsidR="000260F0">
        <w:rPr>
          <w:rFonts w:ascii="Arial" w:hAnsi="Arial" w:cs="Arial"/>
          <w:sz w:val="24"/>
          <w:szCs w:val="24"/>
          <w:lang w:val="en-US"/>
        </w:rPr>
        <w:t xml:space="preserve"> this is not universally available, we sought to validate the IA-2A component of the PLS using an</w:t>
      </w:r>
      <w:r w:rsidR="009C7771">
        <w:rPr>
          <w:rFonts w:ascii="Arial" w:hAnsi="Arial" w:cs="Arial"/>
          <w:sz w:val="24"/>
          <w:szCs w:val="24"/>
          <w:lang w:val="en-US"/>
        </w:rPr>
        <w:t xml:space="preserve"> </w:t>
      </w:r>
      <w:r w:rsidR="004B798E">
        <w:rPr>
          <w:rFonts w:ascii="Arial" w:hAnsi="Arial" w:cs="Arial"/>
          <w:sz w:val="24"/>
          <w:szCs w:val="24"/>
          <w:lang w:val="en-US"/>
        </w:rPr>
        <w:t>electro</w:t>
      </w:r>
      <w:r w:rsidR="009C7771">
        <w:rPr>
          <w:rFonts w:ascii="Arial" w:hAnsi="Arial" w:cs="Arial"/>
          <w:sz w:val="24"/>
          <w:szCs w:val="24"/>
          <w:lang w:val="en-US"/>
        </w:rPr>
        <w:t>chemiluminescen</w:t>
      </w:r>
      <w:r w:rsidR="004B798E">
        <w:rPr>
          <w:rFonts w:ascii="Arial" w:hAnsi="Arial" w:cs="Arial"/>
          <w:sz w:val="24"/>
          <w:szCs w:val="24"/>
          <w:lang w:val="en-US"/>
        </w:rPr>
        <w:t>ce</w:t>
      </w:r>
      <w:r w:rsidR="009C7771">
        <w:rPr>
          <w:rFonts w:ascii="Arial" w:hAnsi="Arial" w:cs="Arial"/>
          <w:sz w:val="24"/>
          <w:szCs w:val="24"/>
          <w:lang w:val="en-US"/>
        </w:rPr>
        <w:t xml:space="preserve"> (ECL)</w:t>
      </w:r>
      <w:r w:rsidR="000260F0">
        <w:rPr>
          <w:rFonts w:ascii="Arial" w:hAnsi="Arial" w:cs="Arial"/>
          <w:sz w:val="24"/>
          <w:szCs w:val="24"/>
          <w:lang w:val="en-US"/>
        </w:rPr>
        <w:t xml:space="preserve"> assay that is in commercial development (</w:t>
      </w:r>
      <w:r w:rsidR="00261E25">
        <w:rPr>
          <w:rFonts w:ascii="Arial" w:hAnsi="Arial" w:cs="Arial"/>
          <w:sz w:val="24"/>
          <w:szCs w:val="24"/>
          <w:lang w:val="en-US"/>
        </w:rPr>
        <w:t>25</w:t>
      </w:r>
      <w:r w:rsidR="000260F0">
        <w:rPr>
          <w:rFonts w:ascii="Arial" w:hAnsi="Arial" w:cs="Arial"/>
          <w:sz w:val="24"/>
          <w:szCs w:val="24"/>
          <w:lang w:val="en-US"/>
        </w:rPr>
        <w:t xml:space="preserve">). </w:t>
      </w:r>
      <w:r w:rsidR="009C7771">
        <w:rPr>
          <w:rFonts w:ascii="Arial" w:hAnsi="Arial" w:cs="Arial"/>
          <w:sz w:val="24"/>
          <w:szCs w:val="24"/>
          <w:lang w:val="en-US"/>
        </w:rPr>
        <w:t xml:space="preserve">The PLS </w:t>
      </w:r>
      <w:r w:rsidR="002923D1">
        <w:rPr>
          <w:rFonts w:ascii="Arial" w:hAnsi="Arial" w:cs="Arial"/>
          <w:sz w:val="24"/>
          <w:szCs w:val="24"/>
          <w:lang w:val="en-US"/>
        </w:rPr>
        <w:t>groups</w:t>
      </w:r>
      <w:r w:rsidR="009C7771">
        <w:rPr>
          <w:rFonts w:ascii="Arial" w:hAnsi="Arial" w:cs="Arial"/>
          <w:sz w:val="24"/>
          <w:szCs w:val="24"/>
          <w:lang w:val="en-US"/>
        </w:rPr>
        <w:t xml:space="preserve"> &lt;0.5, 0.5 – 4.0 and &gt;4.0 </w:t>
      </w:r>
      <w:r w:rsidR="002923D1">
        <w:rPr>
          <w:rFonts w:ascii="Arial" w:hAnsi="Arial" w:cs="Arial"/>
          <w:sz w:val="24"/>
          <w:szCs w:val="24"/>
          <w:lang w:val="en-US"/>
        </w:rPr>
        <w:t xml:space="preserve">were </w:t>
      </w:r>
      <w:r w:rsidR="009C7771">
        <w:rPr>
          <w:rFonts w:ascii="Arial" w:hAnsi="Arial" w:cs="Arial"/>
          <w:sz w:val="24"/>
          <w:szCs w:val="24"/>
          <w:lang w:val="en-US"/>
        </w:rPr>
        <w:t>calculated u</w:t>
      </w:r>
      <w:r w:rsidR="000260F0">
        <w:rPr>
          <w:rFonts w:ascii="Arial" w:hAnsi="Arial" w:cs="Arial"/>
          <w:sz w:val="24"/>
          <w:szCs w:val="24"/>
          <w:lang w:val="en-US"/>
        </w:rPr>
        <w:t xml:space="preserve">sing </w:t>
      </w:r>
      <w:r w:rsidR="009C7771">
        <w:rPr>
          <w:rFonts w:ascii="Arial" w:hAnsi="Arial" w:cs="Arial"/>
          <w:sz w:val="24"/>
          <w:szCs w:val="24"/>
          <w:lang w:val="en-US"/>
        </w:rPr>
        <w:t xml:space="preserve">ECL </w:t>
      </w:r>
      <w:r w:rsidR="000260F0">
        <w:rPr>
          <w:rFonts w:ascii="Arial" w:hAnsi="Arial" w:cs="Arial"/>
          <w:sz w:val="24"/>
          <w:szCs w:val="24"/>
          <w:lang w:val="en-US"/>
        </w:rPr>
        <w:t xml:space="preserve">IA-2A titer categories </w:t>
      </w:r>
      <w:r w:rsidR="003C625F">
        <w:rPr>
          <w:rFonts w:ascii="Arial" w:hAnsi="Arial" w:cs="Arial"/>
          <w:sz w:val="24"/>
          <w:szCs w:val="24"/>
          <w:lang w:val="en-US"/>
        </w:rPr>
        <w:t>matched</w:t>
      </w:r>
      <w:r w:rsidR="000260F0">
        <w:rPr>
          <w:rFonts w:ascii="Arial" w:hAnsi="Arial" w:cs="Arial"/>
          <w:sz w:val="24"/>
          <w:szCs w:val="24"/>
          <w:lang w:val="en-US"/>
        </w:rPr>
        <w:t xml:space="preserve"> to the centiles </w:t>
      </w:r>
      <w:r w:rsidR="00CD75CF">
        <w:rPr>
          <w:rFonts w:ascii="Arial" w:hAnsi="Arial" w:cs="Arial"/>
          <w:sz w:val="24"/>
          <w:szCs w:val="24"/>
          <w:lang w:val="en-US"/>
        </w:rPr>
        <w:t>for categories defined by</w:t>
      </w:r>
      <w:r w:rsidR="000260F0">
        <w:rPr>
          <w:rFonts w:ascii="Arial" w:hAnsi="Arial" w:cs="Arial"/>
          <w:sz w:val="24"/>
          <w:szCs w:val="24"/>
          <w:lang w:val="en-US"/>
        </w:rPr>
        <w:t xml:space="preserve"> the RBA assay</w:t>
      </w:r>
      <w:r w:rsidR="002923D1">
        <w:rPr>
          <w:rFonts w:ascii="Arial" w:hAnsi="Arial" w:cs="Arial"/>
          <w:sz w:val="24"/>
          <w:szCs w:val="24"/>
          <w:lang w:val="en-US"/>
        </w:rPr>
        <w:t xml:space="preserve">. Of the 360, </w:t>
      </w:r>
      <w:r w:rsidR="004A529A">
        <w:rPr>
          <w:rFonts w:ascii="Arial" w:hAnsi="Arial" w:cs="Arial"/>
          <w:sz w:val="24"/>
          <w:szCs w:val="24"/>
          <w:lang w:val="en-US"/>
        </w:rPr>
        <w:t>329</w:t>
      </w:r>
      <w:r w:rsidR="002923D1">
        <w:rPr>
          <w:rFonts w:ascii="Arial" w:hAnsi="Arial" w:cs="Arial"/>
          <w:sz w:val="24"/>
          <w:szCs w:val="24"/>
          <w:lang w:val="en-US"/>
        </w:rPr>
        <w:t xml:space="preserve"> </w:t>
      </w:r>
      <w:r w:rsidR="00172B92">
        <w:rPr>
          <w:rFonts w:ascii="Arial" w:hAnsi="Arial" w:cs="Arial"/>
          <w:sz w:val="24"/>
          <w:szCs w:val="24"/>
          <w:lang w:val="en-US"/>
        </w:rPr>
        <w:t xml:space="preserve">(91.6%) </w:t>
      </w:r>
      <w:r w:rsidR="002923D1">
        <w:rPr>
          <w:rFonts w:ascii="Arial" w:hAnsi="Arial" w:cs="Arial"/>
          <w:sz w:val="24"/>
          <w:szCs w:val="24"/>
          <w:lang w:val="en-US"/>
        </w:rPr>
        <w:t>remained in the same PLS group.</w:t>
      </w:r>
      <w:r w:rsidR="009C7771">
        <w:rPr>
          <w:rFonts w:ascii="Arial" w:hAnsi="Arial" w:cs="Arial"/>
          <w:sz w:val="24"/>
          <w:szCs w:val="24"/>
          <w:lang w:val="en-US"/>
        </w:rPr>
        <w:t xml:space="preserve"> </w:t>
      </w:r>
      <w:r w:rsidR="00D450F0">
        <w:rPr>
          <w:rFonts w:ascii="Arial" w:hAnsi="Arial" w:cs="Arial"/>
          <w:sz w:val="24"/>
          <w:szCs w:val="24"/>
          <w:lang w:val="en-US"/>
        </w:rPr>
        <w:t>The</w:t>
      </w:r>
      <w:r w:rsidR="002923D1">
        <w:rPr>
          <w:rFonts w:ascii="Arial" w:hAnsi="Arial" w:cs="Arial"/>
          <w:sz w:val="24"/>
          <w:szCs w:val="24"/>
          <w:lang w:val="en-US"/>
        </w:rPr>
        <w:t xml:space="preserve"> three groups with </w:t>
      </w:r>
      <w:r w:rsidR="00D450F0">
        <w:rPr>
          <w:rFonts w:ascii="Arial" w:hAnsi="Arial" w:cs="Arial"/>
          <w:sz w:val="24"/>
          <w:szCs w:val="24"/>
          <w:lang w:val="en-US"/>
        </w:rPr>
        <w:t xml:space="preserve">the PLS defined using the ECL assay discriminated </w:t>
      </w:r>
      <w:r w:rsidR="009C7771">
        <w:rPr>
          <w:rFonts w:ascii="Arial" w:hAnsi="Arial" w:cs="Arial"/>
          <w:sz w:val="24"/>
          <w:szCs w:val="24"/>
          <w:lang w:val="en-US"/>
        </w:rPr>
        <w:t xml:space="preserve">progression rates to stage 3 </w:t>
      </w:r>
      <w:r w:rsidR="00D450F0">
        <w:rPr>
          <w:rFonts w:ascii="Arial" w:hAnsi="Arial" w:cs="Arial"/>
          <w:sz w:val="24"/>
          <w:szCs w:val="24"/>
          <w:lang w:val="en-US"/>
        </w:rPr>
        <w:t>and there was no difference in the progression rates to stage 3 between the PLS derived from RBA or ECL IA-2A assays</w:t>
      </w:r>
      <w:r>
        <w:rPr>
          <w:rFonts w:ascii="Arial" w:hAnsi="Arial" w:cs="Arial"/>
          <w:sz w:val="24"/>
          <w:szCs w:val="24"/>
          <w:lang w:val="en-US"/>
        </w:rPr>
        <w:t xml:space="preserve"> </w:t>
      </w:r>
      <w:r w:rsidR="009C7771">
        <w:rPr>
          <w:rFonts w:ascii="Arial" w:hAnsi="Arial" w:cs="Arial"/>
          <w:sz w:val="24"/>
          <w:szCs w:val="24"/>
          <w:lang w:val="en-US"/>
        </w:rPr>
        <w:t>(</w:t>
      </w:r>
      <w:r w:rsidR="009C7771" w:rsidRPr="004A3ED4">
        <w:rPr>
          <w:rFonts w:ascii="Arial" w:hAnsi="Arial" w:cs="Arial"/>
          <w:b/>
          <w:bCs/>
          <w:sz w:val="24"/>
          <w:szCs w:val="24"/>
          <w:lang w:val="en-US"/>
        </w:rPr>
        <w:t>Supplemental Fig.</w:t>
      </w:r>
      <w:r w:rsidR="004A3ED4" w:rsidRPr="004A3ED4">
        <w:rPr>
          <w:rFonts w:ascii="Arial" w:hAnsi="Arial" w:cs="Arial"/>
          <w:b/>
          <w:bCs/>
          <w:sz w:val="24"/>
          <w:szCs w:val="24"/>
          <w:lang w:val="en-US"/>
        </w:rPr>
        <w:t xml:space="preserve"> </w:t>
      </w:r>
      <w:r w:rsidR="009C7771" w:rsidRPr="004A3ED4">
        <w:rPr>
          <w:rFonts w:ascii="Arial" w:hAnsi="Arial" w:cs="Arial"/>
          <w:b/>
          <w:bCs/>
          <w:sz w:val="24"/>
          <w:szCs w:val="24"/>
          <w:lang w:val="en-US"/>
        </w:rPr>
        <w:t>2</w:t>
      </w:r>
      <w:r w:rsidR="009C7771">
        <w:rPr>
          <w:rFonts w:ascii="Arial" w:hAnsi="Arial" w:cs="Arial"/>
          <w:sz w:val="24"/>
          <w:szCs w:val="24"/>
          <w:lang w:val="en-US"/>
        </w:rPr>
        <w:t>).</w:t>
      </w:r>
    </w:p>
    <w:p w14:paraId="164CC1E5" w14:textId="2156ABB5" w:rsidR="00A91C41" w:rsidRPr="00E262E0" w:rsidRDefault="003C625F" w:rsidP="009045A9">
      <w:pPr>
        <w:spacing w:after="0" w:line="480" w:lineRule="auto"/>
        <w:jc w:val="both"/>
        <w:rPr>
          <w:rFonts w:ascii="Arial" w:hAnsi="Arial" w:cs="Arial"/>
          <w:sz w:val="24"/>
          <w:szCs w:val="24"/>
          <w:lang w:val="en-US"/>
        </w:rPr>
      </w:pPr>
      <w:r>
        <w:rPr>
          <w:rFonts w:ascii="Arial" w:hAnsi="Arial" w:cs="Arial"/>
          <w:sz w:val="24"/>
          <w:szCs w:val="24"/>
          <w:lang w:val="en-US"/>
        </w:rPr>
        <w:t>In summary</w:t>
      </w:r>
      <w:r w:rsidR="005F5E4E" w:rsidRPr="00E262E0">
        <w:rPr>
          <w:rFonts w:ascii="Arial" w:hAnsi="Arial" w:cs="Arial"/>
          <w:sz w:val="24"/>
          <w:szCs w:val="24"/>
          <w:lang w:val="en-US"/>
        </w:rPr>
        <w:t>, the previously defined PLS categories were able to discriminate rapid and slow</w:t>
      </w:r>
      <w:r w:rsidR="002076F3" w:rsidRPr="00E262E0">
        <w:rPr>
          <w:rFonts w:ascii="Arial" w:hAnsi="Arial" w:cs="Arial"/>
          <w:sz w:val="24"/>
          <w:szCs w:val="24"/>
          <w:lang w:val="en-US"/>
        </w:rPr>
        <w:t>er</w:t>
      </w:r>
      <w:r w:rsidR="005F5E4E" w:rsidRPr="00E262E0">
        <w:rPr>
          <w:rFonts w:ascii="Arial" w:hAnsi="Arial" w:cs="Arial"/>
          <w:sz w:val="24"/>
          <w:szCs w:val="24"/>
          <w:lang w:val="en-US"/>
        </w:rPr>
        <w:t xml:space="preserve"> progressors to stage 3 </w:t>
      </w:r>
      <w:r w:rsidR="002F31D0" w:rsidRPr="00E262E0">
        <w:rPr>
          <w:rFonts w:ascii="Arial" w:hAnsi="Arial" w:cs="Arial"/>
          <w:sz w:val="24"/>
          <w:szCs w:val="24"/>
          <w:lang w:val="en-US"/>
        </w:rPr>
        <w:t>type 1 diabetes</w:t>
      </w:r>
      <w:r w:rsidR="00767E46" w:rsidRPr="00E262E0">
        <w:rPr>
          <w:rFonts w:ascii="Arial" w:hAnsi="Arial" w:cs="Arial"/>
          <w:sz w:val="24"/>
          <w:szCs w:val="24"/>
          <w:lang w:val="en-US"/>
        </w:rPr>
        <w:t xml:space="preserve"> </w:t>
      </w:r>
      <w:r w:rsidR="006B265A" w:rsidRPr="00E262E0">
        <w:rPr>
          <w:rFonts w:ascii="Arial" w:hAnsi="Arial" w:cs="Arial"/>
          <w:sz w:val="24"/>
          <w:szCs w:val="24"/>
          <w:lang w:val="en-US"/>
        </w:rPr>
        <w:t xml:space="preserve">also in </w:t>
      </w:r>
      <w:r w:rsidR="005F5E4E" w:rsidRPr="00E262E0">
        <w:rPr>
          <w:rFonts w:ascii="Arial" w:hAnsi="Arial" w:cs="Arial"/>
          <w:sz w:val="24"/>
          <w:szCs w:val="24"/>
          <w:lang w:val="en-US"/>
        </w:rPr>
        <w:t xml:space="preserve">the extended Fr1da </w:t>
      </w:r>
      <w:r w:rsidR="006B265A" w:rsidRPr="00E262E0">
        <w:rPr>
          <w:rFonts w:ascii="Arial" w:hAnsi="Arial" w:cs="Arial"/>
          <w:sz w:val="24"/>
          <w:szCs w:val="24"/>
          <w:lang w:val="en-US"/>
        </w:rPr>
        <w:t xml:space="preserve">cohort </w:t>
      </w:r>
      <w:r w:rsidR="005F5E4E" w:rsidRPr="00E262E0">
        <w:rPr>
          <w:rFonts w:ascii="Arial" w:hAnsi="Arial" w:cs="Arial"/>
          <w:sz w:val="24"/>
          <w:szCs w:val="24"/>
          <w:lang w:val="en-US"/>
        </w:rPr>
        <w:t xml:space="preserve">using the </w:t>
      </w:r>
      <w:r w:rsidR="006B265A" w:rsidRPr="00E262E0">
        <w:rPr>
          <w:rFonts w:ascii="Arial" w:hAnsi="Arial" w:cs="Arial"/>
          <w:sz w:val="24"/>
          <w:szCs w:val="24"/>
          <w:lang w:val="en-US"/>
        </w:rPr>
        <w:t xml:space="preserve">updated current </w:t>
      </w:r>
      <w:r w:rsidR="00A94289" w:rsidRPr="00E262E0">
        <w:rPr>
          <w:rFonts w:ascii="Arial" w:hAnsi="Arial" w:cs="Arial"/>
          <w:sz w:val="24"/>
          <w:szCs w:val="24"/>
          <w:lang w:val="en-US"/>
        </w:rPr>
        <w:t>s</w:t>
      </w:r>
      <w:r w:rsidR="006B265A" w:rsidRPr="00E262E0">
        <w:rPr>
          <w:rFonts w:ascii="Arial" w:hAnsi="Arial" w:cs="Arial"/>
          <w:sz w:val="24"/>
          <w:szCs w:val="24"/>
          <w:lang w:val="en-US"/>
        </w:rPr>
        <w:t xml:space="preserve">tage 1 </w:t>
      </w:r>
      <w:r w:rsidR="005F5E4E" w:rsidRPr="00E262E0">
        <w:rPr>
          <w:rFonts w:ascii="Arial" w:hAnsi="Arial" w:cs="Arial"/>
          <w:sz w:val="24"/>
          <w:szCs w:val="24"/>
          <w:lang w:val="en-US"/>
        </w:rPr>
        <w:t>ADA criteria.</w:t>
      </w:r>
    </w:p>
    <w:p w14:paraId="337BE02A" w14:textId="77777777" w:rsidR="001813F0" w:rsidRPr="00E262E0" w:rsidRDefault="001813F0" w:rsidP="009045A9">
      <w:pPr>
        <w:spacing w:after="0" w:line="480" w:lineRule="auto"/>
        <w:jc w:val="both"/>
        <w:rPr>
          <w:rFonts w:ascii="Arial" w:hAnsi="Arial" w:cs="Arial"/>
          <w:b/>
          <w:bCs/>
          <w:sz w:val="24"/>
          <w:szCs w:val="24"/>
          <w:lang w:val="en-US"/>
        </w:rPr>
      </w:pPr>
    </w:p>
    <w:p w14:paraId="55C730E0" w14:textId="6144344F" w:rsidR="005666B2" w:rsidRPr="00E262E0" w:rsidRDefault="005F5E4E" w:rsidP="009045A9">
      <w:pPr>
        <w:spacing w:after="0" w:line="480" w:lineRule="auto"/>
        <w:jc w:val="both"/>
        <w:rPr>
          <w:rFonts w:ascii="Arial" w:hAnsi="Arial" w:cs="Arial"/>
          <w:b/>
          <w:bCs/>
          <w:sz w:val="24"/>
          <w:szCs w:val="24"/>
          <w:lang w:val="en-US"/>
        </w:rPr>
      </w:pPr>
      <w:r w:rsidRPr="00E262E0">
        <w:rPr>
          <w:rFonts w:ascii="Arial" w:hAnsi="Arial" w:cs="Arial"/>
          <w:b/>
          <w:bCs/>
          <w:sz w:val="24"/>
          <w:szCs w:val="24"/>
          <w:lang w:val="en-US"/>
        </w:rPr>
        <w:t xml:space="preserve">Additional variables </w:t>
      </w:r>
      <w:r w:rsidR="00C021B2" w:rsidRPr="00E262E0">
        <w:rPr>
          <w:rFonts w:ascii="Arial" w:hAnsi="Arial" w:cs="Arial"/>
          <w:b/>
          <w:bCs/>
          <w:sz w:val="24"/>
          <w:szCs w:val="24"/>
          <w:lang w:val="en-US"/>
        </w:rPr>
        <w:t xml:space="preserve">associated with progression to </w:t>
      </w:r>
      <w:r w:rsidR="002933DA" w:rsidRPr="00E262E0">
        <w:rPr>
          <w:rFonts w:ascii="Arial" w:hAnsi="Arial" w:cs="Arial"/>
          <w:b/>
          <w:bCs/>
          <w:sz w:val="24"/>
          <w:szCs w:val="24"/>
          <w:lang w:val="en-US"/>
        </w:rPr>
        <w:t xml:space="preserve">stage 3 </w:t>
      </w:r>
      <w:r w:rsidR="00121302" w:rsidRPr="00E262E0">
        <w:rPr>
          <w:rFonts w:ascii="Arial" w:hAnsi="Arial" w:cs="Arial"/>
          <w:b/>
          <w:bCs/>
          <w:sz w:val="24"/>
          <w:szCs w:val="24"/>
          <w:lang w:val="en-US"/>
        </w:rPr>
        <w:t>type 1 diabetes</w:t>
      </w:r>
      <w:r w:rsidR="00767E46" w:rsidRPr="00E262E0">
        <w:rPr>
          <w:rFonts w:ascii="Arial" w:hAnsi="Arial" w:cs="Arial"/>
          <w:b/>
          <w:bCs/>
          <w:sz w:val="24"/>
          <w:szCs w:val="24"/>
          <w:lang w:val="en-US"/>
        </w:rPr>
        <w:t xml:space="preserve"> </w:t>
      </w:r>
    </w:p>
    <w:p w14:paraId="2E772802" w14:textId="4118CAF2" w:rsidR="002076F3" w:rsidRPr="00E262E0" w:rsidRDefault="00DD2F05" w:rsidP="009045A9">
      <w:pPr>
        <w:spacing w:after="0" w:line="480" w:lineRule="auto"/>
        <w:jc w:val="both"/>
        <w:rPr>
          <w:rFonts w:ascii="Arial" w:hAnsi="Arial" w:cs="Arial"/>
          <w:sz w:val="24"/>
          <w:szCs w:val="24"/>
          <w:lang w:val="en-US"/>
        </w:rPr>
      </w:pPr>
      <w:r w:rsidRPr="00E262E0">
        <w:rPr>
          <w:rFonts w:ascii="Arial" w:hAnsi="Arial" w:cs="Arial"/>
          <w:sz w:val="24"/>
          <w:szCs w:val="24"/>
          <w:lang w:val="en-US"/>
        </w:rPr>
        <w:t>T</w:t>
      </w:r>
      <w:r w:rsidR="00B76467" w:rsidRPr="00E262E0">
        <w:rPr>
          <w:rFonts w:ascii="Arial" w:hAnsi="Arial" w:cs="Arial"/>
          <w:sz w:val="24"/>
          <w:szCs w:val="24"/>
          <w:lang w:val="en-US"/>
        </w:rPr>
        <w:t>o explore</w:t>
      </w:r>
      <w:r w:rsidRPr="00E262E0">
        <w:rPr>
          <w:rFonts w:ascii="Arial" w:hAnsi="Arial" w:cs="Arial"/>
          <w:sz w:val="24"/>
          <w:szCs w:val="24"/>
          <w:lang w:val="en-US"/>
        </w:rPr>
        <w:t xml:space="preserve"> </w:t>
      </w:r>
      <w:r w:rsidR="00222A45" w:rsidRPr="00E262E0">
        <w:rPr>
          <w:rFonts w:ascii="Arial" w:hAnsi="Arial" w:cs="Arial"/>
          <w:sz w:val="24"/>
          <w:szCs w:val="24"/>
          <w:lang w:val="en-US"/>
        </w:rPr>
        <w:t>possible</w:t>
      </w:r>
      <w:r w:rsidRPr="00E262E0">
        <w:rPr>
          <w:rFonts w:ascii="Arial" w:hAnsi="Arial" w:cs="Arial"/>
          <w:sz w:val="24"/>
          <w:szCs w:val="24"/>
          <w:lang w:val="en-US"/>
        </w:rPr>
        <w:t xml:space="preserve"> improve</w:t>
      </w:r>
      <w:r w:rsidR="00222A45" w:rsidRPr="00E262E0">
        <w:rPr>
          <w:rFonts w:ascii="Arial" w:hAnsi="Arial" w:cs="Arial"/>
          <w:sz w:val="24"/>
          <w:szCs w:val="24"/>
          <w:lang w:val="en-US"/>
        </w:rPr>
        <w:t>ment</w:t>
      </w:r>
      <w:r w:rsidRPr="00E262E0">
        <w:rPr>
          <w:rFonts w:ascii="Arial" w:hAnsi="Arial" w:cs="Arial"/>
          <w:sz w:val="24"/>
          <w:szCs w:val="24"/>
          <w:lang w:val="en-US"/>
        </w:rPr>
        <w:t xml:space="preserve"> </w:t>
      </w:r>
      <w:r w:rsidR="00222A45" w:rsidRPr="00E262E0">
        <w:rPr>
          <w:rFonts w:ascii="Arial" w:hAnsi="Arial" w:cs="Arial"/>
          <w:sz w:val="24"/>
          <w:szCs w:val="24"/>
          <w:lang w:val="en-US"/>
        </w:rPr>
        <w:t>of</w:t>
      </w:r>
      <w:r w:rsidRPr="00E262E0">
        <w:rPr>
          <w:rFonts w:ascii="Arial" w:hAnsi="Arial" w:cs="Arial"/>
          <w:sz w:val="24"/>
          <w:szCs w:val="24"/>
          <w:lang w:val="en-US"/>
        </w:rPr>
        <w:t xml:space="preserve"> the progression score, we </w:t>
      </w:r>
      <w:r w:rsidR="0065649D" w:rsidRPr="00E262E0">
        <w:rPr>
          <w:rFonts w:ascii="Arial" w:hAnsi="Arial" w:cs="Arial"/>
          <w:sz w:val="24"/>
          <w:szCs w:val="24"/>
          <w:lang w:val="en-US"/>
        </w:rPr>
        <w:t xml:space="preserve">investigated </w:t>
      </w:r>
      <w:r w:rsidR="00CD1667" w:rsidRPr="00E262E0">
        <w:rPr>
          <w:rFonts w:ascii="Arial" w:hAnsi="Arial" w:cs="Arial"/>
          <w:sz w:val="24"/>
          <w:szCs w:val="24"/>
          <w:lang w:val="en-US"/>
        </w:rPr>
        <w:t xml:space="preserve">the association between </w:t>
      </w:r>
      <w:r w:rsidR="0065649D" w:rsidRPr="00E262E0">
        <w:rPr>
          <w:rFonts w:ascii="Arial" w:hAnsi="Arial" w:cs="Arial"/>
          <w:sz w:val="24"/>
          <w:szCs w:val="24"/>
          <w:lang w:val="en-US"/>
        </w:rPr>
        <w:t xml:space="preserve">additional variables </w:t>
      </w:r>
      <w:r w:rsidR="00CD1667" w:rsidRPr="00E262E0">
        <w:rPr>
          <w:rFonts w:ascii="Arial" w:hAnsi="Arial" w:cs="Arial"/>
          <w:sz w:val="24"/>
          <w:szCs w:val="24"/>
          <w:lang w:val="en-US"/>
        </w:rPr>
        <w:t xml:space="preserve">and the rate of progression to </w:t>
      </w:r>
      <w:r w:rsidR="00A94289" w:rsidRPr="00E262E0">
        <w:rPr>
          <w:rFonts w:ascii="Arial" w:hAnsi="Arial" w:cs="Arial"/>
          <w:sz w:val="24"/>
          <w:szCs w:val="24"/>
          <w:lang w:val="en-US"/>
        </w:rPr>
        <w:t>s</w:t>
      </w:r>
      <w:r w:rsidR="00347889" w:rsidRPr="00E262E0">
        <w:rPr>
          <w:rFonts w:ascii="Arial" w:hAnsi="Arial" w:cs="Arial"/>
          <w:sz w:val="24"/>
          <w:szCs w:val="24"/>
          <w:lang w:val="en-US"/>
        </w:rPr>
        <w:t>tage 3</w:t>
      </w:r>
      <w:r w:rsidR="00CD1667" w:rsidRPr="00E262E0">
        <w:rPr>
          <w:rFonts w:ascii="Arial" w:hAnsi="Arial" w:cs="Arial"/>
          <w:sz w:val="24"/>
          <w:szCs w:val="24"/>
          <w:lang w:val="en-US"/>
        </w:rPr>
        <w:t xml:space="preserve"> </w:t>
      </w:r>
      <w:r w:rsidR="00CD1667" w:rsidRPr="00E262E0">
        <w:rPr>
          <w:rFonts w:ascii="Arial" w:hAnsi="Arial" w:cs="Arial"/>
          <w:sz w:val="24"/>
          <w:szCs w:val="24"/>
          <w:lang w:val="en-US"/>
        </w:rPr>
        <w:lastRenderedPageBreak/>
        <w:t>diabetes</w:t>
      </w:r>
      <w:r w:rsidR="0065649D" w:rsidRPr="00E262E0">
        <w:rPr>
          <w:rFonts w:ascii="Arial" w:hAnsi="Arial" w:cs="Arial"/>
          <w:sz w:val="24"/>
          <w:szCs w:val="24"/>
          <w:lang w:val="en-US"/>
        </w:rPr>
        <w:t xml:space="preserve"> (</w:t>
      </w:r>
      <w:r w:rsidR="006A54A7" w:rsidRPr="00E262E0">
        <w:rPr>
          <w:rFonts w:ascii="Arial" w:hAnsi="Arial" w:cs="Arial"/>
          <w:b/>
          <w:bCs/>
          <w:sz w:val="24"/>
          <w:szCs w:val="24"/>
          <w:lang w:val="en-US"/>
        </w:rPr>
        <w:t xml:space="preserve">Supplemental </w:t>
      </w:r>
      <w:r w:rsidR="0065649D" w:rsidRPr="00E262E0">
        <w:rPr>
          <w:rFonts w:ascii="Arial" w:hAnsi="Arial" w:cs="Arial"/>
          <w:b/>
          <w:bCs/>
          <w:sz w:val="24"/>
          <w:szCs w:val="24"/>
          <w:lang w:val="en-US"/>
        </w:rPr>
        <w:t>Fig</w:t>
      </w:r>
      <w:r w:rsidR="006A54A7" w:rsidRPr="00E262E0">
        <w:rPr>
          <w:rFonts w:ascii="Arial" w:hAnsi="Arial" w:cs="Arial"/>
          <w:b/>
          <w:bCs/>
          <w:sz w:val="24"/>
          <w:szCs w:val="24"/>
          <w:lang w:val="en-US"/>
        </w:rPr>
        <w:t>.</w:t>
      </w:r>
      <w:r w:rsidR="008E1900" w:rsidRPr="00E262E0">
        <w:rPr>
          <w:rFonts w:ascii="Arial" w:hAnsi="Arial" w:cs="Arial"/>
          <w:b/>
          <w:bCs/>
          <w:sz w:val="24"/>
          <w:szCs w:val="24"/>
          <w:lang w:val="en-US"/>
        </w:rPr>
        <w:t xml:space="preserve"> </w:t>
      </w:r>
      <w:r w:rsidR="009278AA">
        <w:rPr>
          <w:rFonts w:ascii="Arial" w:hAnsi="Arial" w:cs="Arial"/>
          <w:b/>
          <w:bCs/>
          <w:sz w:val="24"/>
          <w:szCs w:val="24"/>
          <w:lang w:val="en-US"/>
        </w:rPr>
        <w:t>3</w:t>
      </w:r>
      <w:r w:rsidR="0065649D" w:rsidRPr="00E262E0">
        <w:rPr>
          <w:rFonts w:ascii="Arial" w:hAnsi="Arial" w:cs="Arial"/>
          <w:sz w:val="24"/>
          <w:szCs w:val="24"/>
          <w:lang w:val="en-US"/>
        </w:rPr>
        <w:t xml:space="preserve">). </w:t>
      </w:r>
      <w:r w:rsidR="00C021B2" w:rsidRPr="00E262E0">
        <w:rPr>
          <w:rFonts w:ascii="Arial" w:hAnsi="Arial" w:cs="Arial"/>
          <w:sz w:val="24"/>
          <w:szCs w:val="24"/>
          <w:lang w:val="en-US"/>
        </w:rPr>
        <w:t xml:space="preserve">In addition to </w:t>
      </w:r>
      <w:r w:rsidR="006D6615" w:rsidRPr="00E262E0">
        <w:rPr>
          <w:rFonts w:ascii="Arial" w:hAnsi="Arial" w:cs="Arial"/>
          <w:sz w:val="24"/>
          <w:szCs w:val="24"/>
          <w:lang w:val="en-US"/>
        </w:rPr>
        <w:t>the parameters</w:t>
      </w:r>
      <w:r w:rsidR="00C021B2" w:rsidRPr="00E262E0">
        <w:rPr>
          <w:rFonts w:ascii="Arial" w:hAnsi="Arial" w:cs="Arial"/>
          <w:sz w:val="24"/>
          <w:szCs w:val="24"/>
          <w:lang w:val="en-US"/>
        </w:rPr>
        <w:t xml:space="preserve"> used in the PLS, </w:t>
      </w:r>
      <w:r w:rsidR="006D6615" w:rsidRPr="00E262E0">
        <w:rPr>
          <w:rFonts w:ascii="Arial" w:hAnsi="Arial" w:cs="Arial"/>
          <w:sz w:val="24"/>
          <w:szCs w:val="24"/>
          <w:lang w:val="en-US"/>
        </w:rPr>
        <w:t xml:space="preserve">the following </w:t>
      </w:r>
      <w:r w:rsidR="00C021B2" w:rsidRPr="00E262E0">
        <w:rPr>
          <w:rFonts w:ascii="Arial" w:hAnsi="Arial" w:cs="Arial"/>
          <w:sz w:val="24"/>
          <w:szCs w:val="24"/>
          <w:lang w:val="en-US"/>
        </w:rPr>
        <w:t>v</w:t>
      </w:r>
      <w:r w:rsidR="0065649D" w:rsidRPr="00E262E0">
        <w:rPr>
          <w:rFonts w:ascii="Arial" w:hAnsi="Arial" w:cs="Arial"/>
          <w:sz w:val="24"/>
          <w:szCs w:val="24"/>
          <w:lang w:val="en-US"/>
        </w:rPr>
        <w:t xml:space="preserve">ariables were significantly associated with increased </w:t>
      </w:r>
      <w:r w:rsidR="00787782">
        <w:rPr>
          <w:rFonts w:ascii="Arial" w:hAnsi="Arial" w:cs="Arial"/>
          <w:sz w:val="24"/>
          <w:szCs w:val="24"/>
          <w:lang w:val="en-US"/>
        </w:rPr>
        <w:t>rates</w:t>
      </w:r>
      <w:r w:rsidR="00787782" w:rsidRPr="00E262E0">
        <w:rPr>
          <w:rFonts w:ascii="Arial" w:hAnsi="Arial" w:cs="Arial"/>
          <w:sz w:val="24"/>
          <w:szCs w:val="24"/>
          <w:lang w:val="en-US"/>
        </w:rPr>
        <w:t xml:space="preserve"> </w:t>
      </w:r>
      <w:r w:rsidR="0065649D" w:rsidRPr="00E262E0">
        <w:rPr>
          <w:rFonts w:ascii="Arial" w:hAnsi="Arial" w:cs="Arial"/>
          <w:sz w:val="24"/>
          <w:szCs w:val="24"/>
          <w:lang w:val="en-US"/>
        </w:rPr>
        <w:t>of progression to stage 3 in the univariable analysis</w:t>
      </w:r>
      <w:r w:rsidR="006D6615" w:rsidRPr="00E262E0">
        <w:rPr>
          <w:rFonts w:ascii="Arial" w:hAnsi="Arial" w:cs="Arial"/>
          <w:sz w:val="24"/>
          <w:szCs w:val="24"/>
          <w:lang w:val="en-US"/>
        </w:rPr>
        <w:t xml:space="preserve">: </w:t>
      </w:r>
      <w:r w:rsidR="00C021B2" w:rsidRPr="00E262E0">
        <w:rPr>
          <w:rFonts w:ascii="Arial" w:hAnsi="Arial" w:cs="Arial"/>
          <w:sz w:val="24"/>
          <w:szCs w:val="24"/>
          <w:lang w:val="en-US"/>
        </w:rPr>
        <w:t xml:space="preserve">60 minute OGTT (HR, </w:t>
      </w:r>
      <w:r w:rsidR="005B5577" w:rsidRPr="00E262E0">
        <w:rPr>
          <w:rFonts w:ascii="Arial" w:hAnsi="Arial" w:cs="Arial"/>
          <w:sz w:val="24"/>
          <w:szCs w:val="24"/>
          <w:lang w:val="en-US"/>
        </w:rPr>
        <w:t>1.15</w:t>
      </w:r>
      <w:r w:rsidR="00C021B2" w:rsidRPr="00E262E0">
        <w:rPr>
          <w:rFonts w:ascii="Arial" w:hAnsi="Arial" w:cs="Arial"/>
          <w:sz w:val="24"/>
          <w:szCs w:val="24"/>
          <w:lang w:val="en-US"/>
        </w:rPr>
        <w:t xml:space="preserve">, 95% CI, </w:t>
      </w:r>
      <w:r w:rsidR="005B5577" w:rsidRPr="00E262E0">
        <w:rPr>
          <w:rFonts w:ascii="Arial" w:hAnsi="Arial" w:cs="Arial"/>
          <w:sz w:val="24"/>
          <w:szCs w:val="24"/>
          <w:lang w:val="en-US"/>
        </w:rPr>
        <w:t>1.06</w:t>
      </w:r>
      <w:r w:rsidR="00F56347">
        <w:rPr>
          <w:rFonts w:ascii="Arial" w:hAnsi="Arial" w:cs="Arial"/>
          <w:sz w:val="24"/>
          <w:szCs w:val="24"/>
          <w:lang w:val="en-US"/>
        </w:rPr>
        <w:t>-</w:t>
      </w:r>
      <w:r w:rsidR="005B5577" w:rsidRPr="00E262E0">
        <w:rPr>
          <w:rFonts w:ascii="Arial" w:hAnsi="Arial" w:cs="Arial"/>
          <w:sz w:val="24"/>
          <w:szCs w:val="24"/>
          <w:lang w:val="en-US"/>
        </w:rPr>
        <w:t>1.24; for 10 unit increase</w:t>
      </w:r>
      <w:r w:rsidR="00BD7DB2" w:rsidRPr="00E262E0">
        <w:rPr>
          <w:rFonts w:ascii="Arial" w:hAnsi="Arial" w:cs="Arial"/>
          <w:sz w:val="24"/>
          <w:szCs w:val="24"/>
          <w:lang w:val="en-US"/>
        </w:rPr>
        <w:t xml:space="preserve">), </w:t>
      </w:r>
      <w:r w:rsidR="005B5577" w:rsidRPr="00E262E0">
        <w:rPr>
          <w:rFonts w:ascii="Arial" w:hAnsi="Arial" w:cs="Arial"/>
          <w:sz w:val="24"/>
          <w:szCs w:val="24"/>
          <w:lang w:val="en-US"/>
        </w:rPr>
        <w:t xml:space="preserve">120 minute OGTT (1.22, 1.08-1.38; for 10 unit increase), </w:t>
      </w:r>
      <w:r w:rsidR="00222A45" w:rsidRPr="00E262E0">
        <w:rPr>
          <w:rFonts w:ascii="Arial" w:hAnsi="Arial" w:cs="Arial"/>
          <w:sz w:val="24"/>
          <w:szCs w:val="24"/>
          <w:lang w:val="en-US"/>
        </w:rPr>
        <w:t xml:space="preserve">an OGTT glucose peak </w:t>
      </w:r>
      <w:r w:rsidR="006E5EB6">
        <w:rPr>
          <w:rFonts w:ascii="Arial" w:hAnsi="Arial" w:cs="Arial"/>
          <w:sz w:val="24"/>
          <w:szCs w:val="24"/>
          <w:lang w:val="en-US"/>
        </w:rPr>
        <w:t xml:space="preserve">at or </w:t>
      </w:r>
      <w:r w:rsidR="00222A45" w:rsidRPr="00E262E0">
        <w:rPr>
          <w:rFonts w:ascii="Arial" w:hAnsi="Arial" w:cs="Arial"/>
          <w:sz w:val="24"/>
          <w:szCs w:val="24"/>
          <w:lang w:val="en-US"/>
        </w:rPr>
        <w:t xml:space="preserve">after </w:t>
      </w:r>
      <w:r w:rsidR="006E5EB6">
        <w:rPr>
          <w:rFonts w:ascii="Arial" w:hAnsi="Arial" w:cs="Arial"/>
          <w:sz w:val="24"/>
          <w:szCs w:val="24"/>
          <w:lang w:val="en-US"/>
        </w:rPr>
        <w:t>6</w:t>
      </w:r>
      <w:r w:rsidR="00222A45" w:rsidRPr="00E262E0">
        <w:rPr>
          <w:rFonts w:ascii="Arial" w:hAnsi="Arial" w:cs="Arial"/>
          <w:sz w:val="24"/>
          <w:szCs w:val="24"/>
          <w:lang w:val="en-US"/>
        </w:rPr>
        <w:t>0 minutes (1.</w:t>
      </w:r>
      <w:r w:rsidR="000A1C3C" w:rsidRPr="00E262E0">
        <w:rPr>
          <w:rFonts w:ascii="Arial" w:hAnsi="Arial" w:cs="Arial"/>
          <w:sz w:val="24"/>
          <w:szCs w:val="24"/>
          <w:lang w:val="en-US"/>
        </w:rPr>
        <w:t>92</w:t>
      </w:r>
      <w:r w:rsidR="00222A45" w:rsidRPr="00E262E0">
        <w:rPr>
          <w:rFonts w:ascii="Arial" w:hAnsi="Arial" w:cs="Arial"/>
          <w:sz w:val="24"/>
          <w:szCs w:val="24"/>
          <w:lang w:val="en-US"/>
        </w:rPr>
        <w:t>, 1.</w:t>
      </w:r>
      <w:r w:rsidR="000A1C3C" w:rsidRPr="00E262E0">
        <w:rPr>
          <w:rFonts w:ascii="Arial" w:hAnsi="Arial" w:cs="Arial"/>
          <w:sz w:val="24"/>
          <w:szCs w:val="24"/>
          <w:lang w:val="en-US"/>
        </w:rPr>
        <w:t>31</w:t>
      </w:r>
      <w:r w:rsidR="00F56347">
        <w:rPr>
          <w:rFonts w:ascii="Arial" w:hAnsi="Arial" w:cs="Arial"/>
          <w:sz w:val="24"/>
          <w:szCs w:val="24"/>
          <w:lang w:val="en-US"/>
        </w:rPr>
        <w:t>-</w:t>
      </w:r>
      <w:r w:rsidR="00222A45" w:rsidRPr="00E262E0">
        <w:rPr>
          <w:rFonts w:ascii="Arial" w:hAnsi="Arial" w:cs="Arial"/>
          <w:sz w:val="24"/>
          <w:szCs w:val="24"/>
          <w:lang w:val="en-US"/>
        </w:rPr>
        <w:t>2.</w:t>
      </w:r>
      <w:r w:rsidR="000A1C3C" w:rsidRPr="00E262E0">
        <w:rPr>
          <w:rFonts w:ascii="Arial" w:hAnsi="Arial" w:cs="Arial"/>
          <w:sz w:val="24"/>
          <w:szCs w:val="24"/>
          <w:lang w:val="en-US"/>
        </w:rPr>
        <w:t>82</w:t>
      </w:r>
      <w:r w:rsidR="00222A45" w:rsidRPr="00E262E0">
        <w:rPr>
          <w:rFonts w:ascii="Arial" w:hAnsi="Arial" w:cs="Arial"/>
          <w:sz w:val="24"/>
          <w:szCs w:val="24"/>
          <w:lang w:val="en-US"/>
        </w:rPr>
        <w:t>)</w:t>
      </w:r>
      <w:r w:rsidR="00AB4871" w:rsidRPr="00E262E0">
        <w:rPr>
          <w:rFonts w:ascii="Arial" w:hAnsi="Arial" w:cs="Arial"/>
          <w:sz w:val="24"/>
          <w:szCs w:val="24"/>
          <w:lang w:val="en-US"/>
        </w:rPr>
        <w:t>,</w:t>
      </w:r>
      <w:r w:rsidR="00222A45" w:rsidRPr="00E262E0">
        <w:rPr>
          <w:rFonts w:ascii="Arial" w:hAnsi="Arial" w:cs="Arial"/>
          <w:sz w:val="24"/>
          <w:szCs w:val="24"/>
          <w:lang w:val="en-US"/>
        </w:rPr>
        <w:t xml:space="preserve"> </w:t>
      </w:r>
      <w:r w:rsidR="005F5E4E" w:rsidRPr="00E262E0">
        <w:rPr>
          <w:rFonts w:ascii="Arial" w:hAnsi="Arial" w:cs="Arial"/>
          <w:sz w:val="24"/>
          <w:szCs w:val="24"/>
          <w:lang w:val="en-US"/>
        </w:rPr>
        <w:t>the number of islet autoantibodies (1.59, 1.24-2.03 for each additional antibody)</w:t>
      </w:r>
      <w:r w:rsidR="00773F10" w:rsidRPr="00E262E0">
        <w:rPr>
          <w:rFonts w:ascii="Arial" w:hAnsi="Arial" w:cs="Arial"/>
          <w:sz w:val="24"/>
          <w:szCs w:val="24"/>
          <w:lang w:val="en-US"/>
        </w:rPr>
        <w:t>,</w:t>
      </w:r>
      <w:r w:rsidR="00D27A37" w:rsidRPr="00E262E0">
        <w:rPr>
          <w:rFonts w:ascii="Arial" w:hAnsi="Arial" w:cs="Arial"/>
          <w:sz w:val="24"/>
          <w:szCs w:val="24"/>
          <w:lang w:val="en-US"/>
        </w:rPr>
        <w:t xml:space="preserve"> positivity </w:t>
      </w:r>
      <w:r w:rsidR="007C6869" w:rsidRPr="00E262E0">
        <w:rPr>
          <w:rFonts w:ascii="Arial" w:hAnsi="Arial" w:cs="Arial"/>
          <w:sz w:val="24"/>
          <w:szCs w:val="24"/>
          <w:lang w:val="en-US"/>
        </w:rPr>
        <w:t xml:space="preserve">of </w:t>
      </w:r>
      <w:r w:rsidR="00773F10" w:rsidRPr="00E262E0">
        <w:rPr>
          <w:rFonts w:ascii="Arial" w:hAnsi="Arial" w:cs="Arial"/>
          <w:sz w:val="24"/>
          <w:szCs w:val="24"/>
          <w:lang w:val="en-US"/>
        </w:rPr>
        <w:t>ZnT8A</w:t>
      </w:r>
      <w:r w:rsidR="00D27A37" w:rsidRPr="00E262E0">
        <w:rPr>
          <w:rFonts w:ascii="Arial" w:hAnsi="Arial" w:cs="Arial"/>
          <w:sz w:val="24"/>
          <w:szCs w:val="24"/>
          <w:lang w:val="en-US"/>
        </w:rPr>
        <w:t xml:space="preserve"> </w:t>
      </w:r>
      <w:r w:rsidR="00773F10" w:rsidRPr="00E262E0">
        <w:rPr>
          <w:rFonts w:ascii="Arial" w:hAnsi="Arial" w:cs="Arial"/>
          <w:sz w:val="24"/>
          <w:szCs w:val="24"/>
          <w:lang w:val="en-US"/>
        </w:rPr>
        <w:t>(</w:t>
      </w:r>
      <w:r w:rsidR="00D27A37" w:rsidRPr="00E262E0">
        <w:rPr>
          <w:rFonts w:ascii="Arial" w:hAnsi="Arial" w:cs="Arial"/>
          <w:sz w:val="24"/>
          <w:szCs w:val="24"/>
          <w:lang w:val="en-US"/>
        </w:rPr>
        <w:t>1.56, 1.00</w:t>
      </w:r>
      <w:r w:rsidR="00F56347">
        <w:rPr>
          <w:rFonts w:ascii="Arial" w:hAnsi="Arial" w:cs="Arial"/>
          <w:sz w:val="24"/>
          <w:szCs w:val="24"/>
          <w:lang w:val="en-US"/>
        </w:rPr>
        <w:t>-</w:t>
      </w:r>
      <w:r w:rsidR="00D27A37" w:rsidRPr="00E262E0">
        <w:rPr>
          <w:rFonts w:ascii="Arial" w:hAnsi="Arial" w:cs="Arial"/>
          <w:sz w:val="24"/>
          <w:szCs w:val="24"/>
          <w:lang w:val="en-US"/>
        </w:rPr>
        <w:t xml:space="preserve">2.43) and </w:t>
      </w:r>
      <w:r w:rsidR="007C6869" w:rsidRPr="00E262E0">
        <w:rPr>
          <w:rFonts w:ascii="Arial" w:hAnsi="Arial" w:cs="Arial"/>
          <w:sz w:val="24"/>
          <w:szCs w:val="24"/>
          <w:lang w:val="en-US"/>
        </w:rPr>
        <w:t xml:space="preserve">TSpan7A </w:t>
      </w:r>
      <w:r w:rsidR="00D27A37" w:rsidRPr="00E262E0">
        <w:rPr>
          <w:rFonts w:ascii="Arial" w:hAnsi="Arial" w:cs="Arial"/>
          <w:sz w:val="24"/>
          <w:szCs w:val="24"/>
          <w:lang w:val="en-US"/>
        </w:rPr>
        <w:t>(1.62, 1.10</w:t>
      </w:r>
      <w:r w:rsidR="00F56347">
        <w:rPr>
          <w:rFonts w:ascii="Arial" w:hAnsi="Arial" w:cs="Arial"/>
          <w:sz w:val="24"/>
          <w:szCs w:val="24"/>
          <w:lang w:val="en-US"/>
        </w:rPr>
        <w:t>-</w:t>
      </w:r>
      <w:r w:rsidR="00D27A37" w:rsidRPr="00E262E0">
        <w:rPr>
          <w:rFonts w:ascii="Arial" w:hAnsi="Arial" w:cs="Arial"/>
          <w:sz w:val="24"/>
          <w:szCs w:val="24"/>
          <w:lang w:val="en-US"/>
        </w:rPr>
        <w:t>2.40),</w:t>
      </w:r>
      <w:r w:rsidR="005F5E4E" w:rsidRPr="00E262E0">
        <w:rPr>
          <w:rFonts w:ascii="Arial" w:hAnsi="Arial" w:cs="Arial"/>
          <w:sz w:val="24"/>
          <w:szCs w:val="24"/>
          <w:lang w:val="en-US"/>
        </w:rPr>
        <w:t xml:space="preserve"> and obesity (2.45, 1.37</w:t>
      </w:r>
      <w:r w:rsidR="00F56347">
        <w:rPr>
          <w:rFonts w:ascii="Arial" w:hAnsi="Arial" w:cs="Arial"/>
          <w:sz w:val="24"/>
          <w:szCs w:val="24"/>
          <w:lang w:val="en-US"/>
        </w:rPr>
        <w:t>-</w:t>
      </w:r>
      <w:r w:rsidR="005F5E4E" w:rsidRPr="00E262E0">
        <w:rPr>
          <w:rFonts w:ascii="Arial" w:hAnsi="Arial" w:cs="Arial"/>
          <w:sz w:val="24"/>
          <w:szCs w:val="24"/>
          <w:lang w:val="en-US"/>
        </w:rPr>
        <w:t>4.40). Furthermore</w:t>
      </w:r>
      <w:r w:rsidR="00493A94" w:rsidRPr="00E262E0">
        <w:rPr>
          <w:rFonts w:ascii="Arial" w:hAnsi="Arial" w:cs="Arial"/>
          <w:sz w:val="24"/>
          <w:szCs w:val="24"/>
          <w:lang w:val="en-US"/>
        </w:rPr>
        <w:t>,</w:t>
      </w:r>
      <w:r w:rsidR="005F5E4E" w:rsidRPr="00E262E0">
        <w:rPr>
          <w:rFonts w:ascii="Arial" w:hAnsi="Arial" w:cs="Arial"/>
          <w:sz w:val="24"/>
          <w:szCs w:val="24"/>
          <w:lang w:val="en-US"/>
        </w:rPr>
        <w:t xml:space="preserve"> within the IA-2A positive </w:t>
      </w:r>
      <w:r w:rsidR="00B62EE9" w:rsidRPr="00E262E0">
        <w:rPr>
          <w:rFonts w:ascii="Arial" w:hAnsi="Arial" w:cs="Arial"/>
          <w:sz w:val="24"/>
          <w:szCs w:val="24"/>
          <w:lang w:val="en-US"/>
        </w:rPr>
        <w:t>individuals</w:t>
      </w:r>
      <w:r w:rsidR="005F5E4E" w:rsidRPr="00E262E0">
        <w:rPr>
          <w:rFonts w:ascii="Arial" w:hAnsi="Arial" w:cs="Arial"/>
          <w:sz w:val="24"/>
          <w:szCs w:val="24"/>
          <w:lang w:val="en-US"/>
        </w:rPr>
        <w:t>, positivity against the IA-2</w:t>
      </w:r>
      <w:r w:rsidR="00773F10" w:rsidRPr="00E262E0">
        <w:rPr>
          <w:rFonts w:ascii="Arial" w:hAnsi="Arial" w:cs="Arial"/>
          <w:sz w:val="24"/>
          <w:szCs w:val="24"/>
          <w:lang w:val="en-US"/>
        </w:rPr>
        <w:t>β</w:t>
      </w:r>
      <w:r w:rsidR="005F5E4E" w:rsidRPr="00E262E0">
        <w:rPr>
          <w:rFonts w:ascii="Arial" w:hAnsi="Arial" w:cs="Arial"/>
          <w:sz w:val="24"/>
          <w:szCs w:val="24"/>
          <w:lang w:val="en-US"/>
        </w:rPr>
        <w:t xml:space="preserve"> PTP epitopes (HR, 1.74, 1.06</w:t>
      </w:r>
      <w:r w:rsidR="00EF5C04">
        <w:rPr>
          <w:rFonts w:ascii="Arial" w:hAnsi="Arial" w:cs="Arial"/>
          <w:sz w:val="24"/>
          <w:szCs w:val="24"/>
          <w:lang w:val="en-US"/>
        </w:rPr>
        <w:t>-</w:t>
      </w:r>
      <w:r w:rsidR="005F5E4E" w:rsidRPr="00E262E0">
        <w:rPr>
          <w:rFonts w:ascii="Arial" w:hAnsi="Arial" w:cs="Arial"/>
          <w:sz w:val="24"/>
          <w:szCs w:val="24"/>
          <w:lang w:val="en-US"/>
        </w:rPr>
        <w:t>2.88, p=0.021) and the IA-2 JM epitopes (HR, 1.75, 1.11</w:t>
      </w:r>
      <w:r w:rsidR="00F56347">
        <w:rPr>
          <w:rFonts w:ascii="Arial" w:hAnsi="Arial" w:cs="Arial"/>
          <w:sz w:val="24"/>
          <w:szCs w:val="24"/>
          <w:lang w:val="en-US"/>
        </w:rPr>
        <w:t>-</w:t>
      </w:r>
      <w:r w:rsidR="005F5E4E" w:rsidRPr="00E262E0">
        <w:rPr>
          <w:rFonts w:ascii="Arial" w:hAnsi="Arial" w:cs="Arial"/>
          <w:sz w:val="24"/>
          <w:szCs w:val="24"/>
          <w:lang w:val="en-US"/>
        </w:rPr>
        <w:t>2.77, p=0.015) were associated with an increased rate of progression to stage 3. A</w:t>
      </w:r>
      <w:r w:rsidR="00C021B2" w:rsidRPr="00E262E0">
        <w:rPr>
          <w:rFonts w:ascii="Arial" w:hAnsi="Arial" w:cs="Arial"/>
          <w:sz w:val="24"/>
          <w:szCs w:val="24"/>
          <w:lang w:val="en-US"/>
        </w:rPr>
        <w:t xml:space="preserve">ge, sex, </w:t>
      </w:r>
      <w:r w:rsidR="00BD7DB2" w:rsidRPr="00E262E0">
        <w:rPr>
          <w:rFonts w:ascii="Arial" w:hAnsi="Arial" w:cs="Arial"/>
          <w:sz w:val="24"/>
          <w:szCs w:val="24"/>
          <w:lang w:val="en-US"/>
        </w:rPr>
        <w:t xml:space="preserve">first degree relative status, positivity </w:t>
      </w:r>
      <w:r w:rsidR="005F5E4E" w:rsidRPr="00E262E0">
        <w:rPr>
          <w:rFonts w:ascii="Arial" w:hAnsi="Arial" w:cs="Arial"/>
          <w:sz w:val="24"/>
          <w:szCs w:val="24"/>
          <w:lang w:val="en-US"/>
        </w:rPr>
        <w:t>for</w:t>
      </w:r>
      <w:r w:rsidR="00BD7DB2" w:rsidRPr="00E262E0">
        <w:rPr>
          <w:rFonts w:ascii="Arial" w:hAnsi="Arial" w:cs="Arial"/>
          <w:sz w:val="24"/>
          <w:szCs w:val="24"/>
          <w:lang w:val="en-US"/>
        </w:rPr>
        <w:t xml:space="preserve"> IAA, GADA, as well as 0 minute </w:t>
      </w:r>
      <w:r w:rsidR="004D2726" w:rsidRPr="00E262E0">
        <w:rPr>
          <w:rFonts w:ascii="Arial" w:hAnsi="Arial" w:cs="Arial"/>
          <w:sz w:val="24"/>
          <w:szCs w:val="24"/>
          <w:lang w:val="en-US"/>
        </w:rPr>
        <w:t xml:space="preserve">and </w:t>
      </w:r>
      <w:r w:rsidR="008E1900" w:rsidRPr="00E262E0">
        <w:rPr>
          <w:rFonts w:ascii="Arial" w:hAnsi="Arial" w:cs="Arial"/>
          <w:sz w:val="24"/>
          <w:szCs w:val="24"/>
          <w:lang w:val="en-US"/>
        </w:rPr>
        <w:t>30-minute</w:t>
      </w:r>
      <w:r w:rsidR="004D2726" w:rsidRPr="00E262E0">
        <w:rPr>
          <w:rFonts w:ascii="Arial" w:hAnsi="Arial" w:cs="Arial"/>
          <w:sz w:val="24"/>
          <w:szCs w:val="24"/>
          <w:lang w:val="en-US"/>
        </w:rPr>
        <w:t xml:space="preserve"> OGTT glucose values</w:t>
      </w:r>
      <w:r w:rsidR="005F5E4E" w:rsidRPr="00E262E0">
        <w:rPr>
          <w:rFonts w:ascii="Arial" w:hAnsi="Arial" w:cs="Arial"/>
          <w:sz w:val="24"/>
          <w:szCs w:val="24"/>
          <w:lang w:val="en-US"/>
        </w:rPr>
        <w:t xml:space="preserve"> were not associated with the rate of progression to stage 3</w:t>
      </w:r>
      <w:r w:rsidR="002076F3" w:rsidRPr="00E262E0">
        <w:rPr>
          <w:rFonts w:ascii="Arial" w:hAnsi="Arial" w:cs="Arial"/>
          <w:sz w:val="24"/>
          <w:szCs w:val="24"/>
          <w:lang w:val="en-US"/>
        </w:rPr>
        <w:t xml:space="preserve"> (</w:t>
      </w:r>
      <w:r w:rsidR="004A3ED4" w:rsidRPr="00A44873">
        <w:rPr>
          <w:rFonts w:ascii="Arial" w:hAnsi="Arial" w:cs="Arial"/>
          <w:b/>
          <w:bCs/>
          <w:sz w:val="24"/>
          <w:szCs w:val="24"/>
          <w:lang w:val="en-US"/>
        </w:rPr>
        <w:t xml:space="preserve">Supplemental </w:t>
      </w:r>
      <w:r w:rsidR="00347889" w:rsidRPr="00A44873">
        <w:rPr>
          <w:rFonts w:ascii="Arial" w:hAnsi="Arial" w:cs="Arial"/>
          <w:b/>
          <w:bCs/>
          <w:sz w:val="24"/>
          <w:szCs w:val="24"/>
          <w:lang w:val="en-US"/>
        </w:rPr>
        <w:t>Fig</w:t>
      </w:r>
      <w:r w:rsidR="004A3ED4" w:rsidRPr="00A44873">
        <w:rPr>
          <w:rFonts w:ascii="Arial" w:hAnsi="Arial" w:cs="Arial"/>
          <w:b/>
          <w:bCs/>
          <w:sz w:val="24"/>
          <w:szCs w:val="24"/>
          <w:lang w:val="en-US"/>
        </w:rPr>
        <w:t>.</w:t>
      </w:r>
      <w:r w:rsidR="00347889" w:rsidRPr="00A44873">
        <w:rPr>
          <w:rFonts w:ascii="Arial" w:hAnsi="Arial" w:cs="Arial"/>
          <w:b/>
          <w:bCs/>
          <w:sz w:val="24"/>
          <w:szCs w:val="24"/>
          <w:lang w:val="en-US"/>
        </w:rPr>
        <w:t xml:space="preserve"> 3</w:t>
      </w:r>
      <w:r w:rsidR="002076F3" w:rsidRPr="00E262E0">
        <w:rPr>
          <w:rFonts w:ascii="Arial" w:hAnsi="Arial" w:cs="Arial"/>
          <w:sz w:val="24"/>
          <w:szCs w:val="24"/>
          <w:lang w:val="en-US"/>
        </w:rPr>
        <w:t>)</w:t>
      </w:r>
      <w:r w:rsidR="00BD7DB2" w:rsidRPr="00E262E0">
        <w:rPr>
          <w:rFonts w:ascii="Arial" w:hAnsi="Arial" w:cs="Arial"/>
          <w:sz w:val="24"/>
          <w:szCs w:val="24"/>
          <w:lang w:val="en-US"/>
        </w:rPr>
        <w:t>.</w:t>
      </w:r>
      <w:r w:rsidR="00C00F80" w:rsidRPr="00E262E0">
        <w:rPr>
          <w:rFonts w:ascii="Arial" w:hAnsi="Arial" w:cs="Arial"/>
          <w:sz w:val="24"/>
          <w:szCs w:val="24"/>
          <w:lang w:val="en-US"/>
        </w:rPr>
        <w:t xml:space="preserve"> </w:t>
      </w:r>
      <w:r w:rsidR="002076F3" w:rsidRPr="00E262E0">
        <w:rPr>
          <w:rFonts w:ascii="Arial" w:hAnsi="Arial" w:cs="Arial"/>
          <w:sz w:val="24"/>
          <w:szCs w:val="24"/>
          <w:lang w:val="en-US"/>
        </w:rPr>
        <w:t xml:space="preserve">Each of the significant variables were individually added to the PLS parameters in the Cox proportional hazards model to determine whether they could improve the existing model. </w:t>
      </w:r>
      <w:r w:rsidR="00C00F80" w:rsidRPr="00E262E0">
        <w:rPr>
          <w:rFonts w:ascii="Arial" w:hAnsi="Arial" w:cs="Arial"/>
          <w:sz w:val="24"/>
          <w:szCs w:val="24"/>
          <w:lang w:val="en-US"/>
        </w:rPr>
        <w:t>Only t</w:t>
      </w:r>
      <w:r w:rsidR="002076F3" w:rsidRPr="00E262E0">
        <w:rPr>
          <w:rFonts w:ascii="Arial" w:hAnsi="Arial" w:cs="Arial"/>
          <w:sz w:val="24"/>
          <w:szCs w:val="24"/>
          <w:lang w:val="en-US"/>
        </w:rPr>
        <w:t xml:space="preserve">he addition of obesity improved the model (p=0.011). </w:t>
      </w:r>
      <w:r w:rsidR="00C00F80" w:rsidRPr="00E262E0">
        <w:rPr>
          <w:rFonts w:ascii="Arial" w:hAnsi="Arial" w:cs="Arial"/>
          <w:sz w:val="24"/>
          <w:szCs w:val="24"/>
          <w:lang w:val="en-US"/>
        </w:rPr>
        <w:t>Improvement was observed for those in the high and intermediate PLS categories (</w:t>
      </w:r>
      <w:r w:rsidR="006A54A7" w:rsidRPr="00E262E0">
        <w:rPr>
          <w:rFonts w:ascii="Arial" w:hAnsi="Arial" w:cs="Arial"/>
          <w:b/>
          <w:bCs/>
          <w:sz w:val="24"/>
          <w:szCs w:val="24"/>
          <w:lang w:val="en-US"/>
        </w:rPr>
        <w:t>Supplemental Fig.</w:t>
      </w:r>
      <w:r w:rsidR="008E1900" w:rsidRPr="00E262E0">
        <w:rPr>
          <w:rFonts w:ascii="Arial" w:hAnsi="Arial" w:cs="Arial"/>
          <w:b/>
          <w:bCs/>
          <w:sz w:val="24"/>
          <w:szCs w:val="24"/>
          <w:lang w:val="en-US"/>
        </w:rPr>
        <w:t xml:space="preserve"> </w:t>
      </w:r>
      <w:r w:rsidR="009278AA">
        <w:rPr>
          <w:rFonts w:ascii="Arial" w:hAnsi="Arial" w:cs="Arial"/>
          <w:b/>
          <w:bCs/>
          <w:sz w:val="24"/>
          <w:szCs w:val="24"/>
          <w:lang w:val="en-US"/>
        </w:rPr>
        <w:t>4</w:t>
      </w:r>
      <w:r w:rsidR="0021584F" w:rsidRPr="00E262E0">
        <w:rPr>
          <w:rFonts w:ascii="Arial" w:hAnsi="Arial" w:cs="Arial"/>
          <w:sz w:val="24"/>
          <w:szCs w:val="24"/>
          <w:lang w:val="en-US"/>
        </w:rPr>
        <w:t>)</w:t>
      </w:r>
      <w:r w:rsidR="002076F3" w:rsidRPr="00E262E0">
        <w:rPr>
          <w:rFonts w:ascii="Arial" w:hAnsi="Arial" w:cs="Arial"/>
          <w:sz w:val="24"/>
          <w:szCs w:val="24"/>
          <w:lang w:val="en-US"/>
        </w:rPr>
        <w:t xml:space="preserve">. </w:t>
      </w:r>
    </w:p>
    <w:p w14:paraId="6993744F" w14:textId="77777777" w:rsidR="00941E6E" w:rsidRPr="00E262E0" w:rsidRDefault="00941E6E" w:rsidP="009045A9">
      <w:pPr>
        <w:spacing w:after="0" w:line="480" w:lineRule="auto"/>
        <w:jc w:val="both"/>
        <w:rPr>
          <w:rFonts w:ascii="Arial" w:hAnsi="Arial" w:cs="Arial"/>
          <w:sz w:val="24"/>
          <w:szCs w:val="24"/>
          <w:lang w:val="en-US"/>
        </w:rPr>
      </w:pPr>
    </w:p>
    <w:p w14:paraId="6E60B8BD" w14:textId="6EFA948A" w:rsidR="00941E6E" w:rsidRPr="00E262E0" w:rsidRDefault="00941E6E" w:rsidP="009045A9">
      <w:pPr>
        <w:spacing w:after="0" w:line="480" w:lineRule="auto"/>
        <w:jc w:val="both"/>
        <w:rPr>
          <w:rFonts w:ascii="Arial" w:hAnsi="Arial" w:cs="Arial"/>
          <w:b/>
          <w:bCs/>
          <w:sz w:val="24"/>
          <w:szCs w:val="24"/>
          <w:lang w:val="en-US"/>
        </w:rPr>
      </w:pPr>
      <w:r w:rsidRPr="00E262E0">
        <w:rPr>
          <w:rFonts w:ascii="Arial" w:hAnsi="Arial" w:cs="Arial"/>
          <w:b/>
          <w:bCs/>
          <w:sz w:val="24"/>
          <w:szCs w:val="24"/>
          <w:lang w:val="en-US"/>
        </w:rPr>
        <w:t xml:space="preserve">Stratification </w:t>
      </w:r>
      <w:r w:rsidR="00493A94" w:rsidRPr="00E262E0">
        <w:rPr>
          <w:rFonts w:ascii="Arial" w:hAnsi="Arial" w:cs="Arial"/>
          <w:b/>
          <w:bCs/>
          <w:sz w:val="24"/>
          <w:szCs w:val="24"/>
          <w:lang w:val="en-US"/>
        </w:rPr>
        <w:t xml:space="preserve">of </w:t>
      </w:r>
      <w:r w:rsidR="00787782">
        <w:rPr>
          <w:rFonts w:ascii="Arial" w:hAnsi="Arial" w:cs="Arial"/>
          <w:b/>
          <w:bCs/>
          <w:sz w:val="24"/>
          <w:szCs w:val="24"/>
          <w:lang w:val="en-US"/>
        </w:rPr>
        <w:t xml:space="preserve">progression rates in </w:t>
      </w:r>
      <w:r w:rsidR="00493A94" w:rsidRPr="00E262E0">
        <w:rPr>
          <w:rFonts w:ascii="Arial" w:hAnsi="Arial" w:cs="Arial"/>
          <w:b/>
          <w:bCs/>
          <w:sz w:val="24"/>
          <w:szCs w:val="24"/>
          <w:lang w:val="en-US"/>
        </w:rPr>
        <w:t xml:space="preserve">stage 1 </w:t>
      </w:r>
      <w:r w:rsidR="00121302" w:rsidRPr="00E262E0">
        <w:rPr>
          <w:rFonts w:ascii="Arial" w:hAnsi="Arial" w:cs="Arial"/>
          <w:b/>
          <w:bCs/>
          <w:sz w:val="24"/>
          <w:szCs w:val="24"/>
          <w:lang w:val="en-US"/>
        </w:rPr>
        <w:t>type 1 diabetes</w:t>
      </w:r>
      <w:r w:rsidR="00767E46" w:rsidRPr="00E262E0">
        <w:rPr>
          <w:rFonts w:ascii="Arial" w:hAnsi="Arial" w:cs="Arial"/>
          <w:b/>
          <w:bCs/>
          <w:sz w:val="24"/>
          <w:szCs w:val="24"/>
          <w:lang w:val="en-US"/>
        </w:rPr>
        <w:t xml:space="preserve"> </w:t>
      </w:r>
      <w:r w:rsidRPr="00E262E0">
        <w:rPr>
          <w:rFonts w:ascii="Arial" w:hAnsi="Arial" w:cs="Arial"/>
          <w:b/>
          <w:bCs/>
          <w:sz w:val="24"/>
          <w:szCs w:val="24"/>
          <w:lang w:val="en-US"/>
        </w:rPr>
        <w:t>without an OGTT</w:t>
      </w:r>
    </w:p>
    <w:p w14:paraId="37E71E01" w14:textId="58425D30" w:rsidR="00941E6E" w:rsidRPr="00215F0C" w:rsidRDefault="00493A94" w:rsidP="009045A9">
      <w:pPr>
        <w:spacing w:after="0" w:line="480" w:lineRule="auto"/>
        <w:jc w:val="both"/>
        <w:rPr>
          <w:rFonts w:ascii="Arial" w:hAnsi="Arial" w:cs="Arial"/>
          <w:b/>
          <w:sz w:val="24"/>
          <w:szCs w:val="24"/>
          <w:lang w:val="en-US"/>
        </w:rPr>
      </w:pPr>
      <w:r w:rsidRPr="00E262E0">
        <w:rPr>
          <w:rFonts w:ascii="Arial" w:hAnsi="Arial" w:cs="Arial"/>
          <w:sz w:val="24"/>
          <w:szCs w:val="24"/>
          <w:lang w:val="en-US"/>
        </w:rPr>
        <w:t xml:space="preserve">OGTT values are not always available or can be impractical for study participants. It would, therefore, be helpful if stratification of risk within stage 1 </w:t>
      </w:r>
      <w:r w:rsidR="00121302" w:rsidRPr="00E262E0">
        <w:rPr>
          <w:rFonts w:ascii="Arial" w:hAnsi="Arial" w:cs="Arial"/>
          <w:sz w:val="24"/>
          <w:szCs w:val="24"/>
          <w:lang w:val="en-US"/>
        </w:rPr>
        <w:t xml:space="preserve">type 1 diabetes </w:t>
      </w:r>
      <w:r w:rsidRPr="00E262E0">
        <w:rPr>
          <w:rFonts w:ascii="Arial" w:hAnsi="Arial" w:cs="Arial"/>
          <w:sz w:val="24"/>
          <w:szCs w:val="24"/>
          <w:lang w:val="en-US"/>
        </w:rPr>
        <w:t xml:space="preserve">could be performed without OGTT values. </w:t>
      </w:r>
      <w:r w:rsidR="0043336E" w:rsidRPr="00E262E0">
        <w:rPr>
          <w:rFonts w:ascii="Arial" w:hAnsi="Arial" w:cs="Arial"/>
          <w:sz w:val="24"/>
          <w:szCs w:val="24"/>
          <w:lang w:val="en-US"/>
        </w:rPr>
        <w:t xml:space="preserve">The factors that were significantly associated with progression to stage 3 </w:t>
      </w:r>
      <w:r w:rsidR="00121302" w:rsidRPr="00E262E0">
        <w:rPr>
          <w:rFonts w:ascii="Arial" w:hAnsi="Arial" w:cs="Arial"/>
          <w:sz w:val="24"/>
          <w:szCs w:val="24"/>
          <w:lang w:val="en-US"/>
        </w:rPr>
        <w:t xml:space="preserve">type 1 diabetes </w:t>
      </w:r>
      <w:r w:rsidR="0043336E" w:rsidRPr="00E262E0">
        <w:rPr>
          <w:rFonts w:ascii="Arial" w:hAnsi="Arial" w:cs="Arial"/>
          <w:sz w:val="24"/>
          <w:szCs w:val="24"/>
          <w:lang w:val="en-US"/>
        </w:rPr>
        <w:t>in the univariate analysis were included in stepwise cox proportional hazards model without those derived from the OGTT. This yielded a multiple variable model that included the IA-2A categories (HR, 1.52; 95%</w:t>
      </w:r>
      <w:r w:rsidR="008E1900" w:rsidRPr="00E262E0">
        <w:rPr>
          <w:rFonts w:ascii="Arial" w:hAnsi="Arial" w:cs="Arial"/>
          <w:sz w:val="24"/>
          <w:szCs w:val="24"/>
          <w:lang w:val="en-US"/>
        </w:rPr>
        <w:t xml:space="preserve"> </w:t>
      </w:r>
      <w:r w:rsidR="0043336E" w:rsidRPr="00E262E0">
        <w:rPr>
          <w:rFonts w:ascii="Arial" w:hAnsi="Arial" w:cs="Arial"/>
          <w:sz w:val="24"/>
          <w:szCs w:val="24"/>
          <w:lang w:val="en-US"/>
        </w:rPr>
        <w:lastRenderedPageBreak/>
        <w:t>CI, 1.25</w:t>
      </w:r>
      <w:r w:rsidR="00DE510F">
        <w:rPr>
          <w:rFonts w:ascii="Arial" w:hAnsi="Arial" w:cs="Arial"/>
          <w:sz w:val="24"/>
          <w:szCs w:val="24"/>
          <w:lang w:val="en-US"/>
        </w:rPr>
        <w:t>-</w:t>
      </w:r>
      <w:r w:rsidR="0043336E" w:rsidRPr="00E262E0">
        <w:rPr>
          <w:rFonts w:ascii="Arial" w:hAnsi="Arial" w:cs="Arial"/>
          <w:sz w:val="24"/>
          <w:szCs w:val="24"/>
          <w:lang w:val="en-US"/>
        </w:rPr>
        <w:t>1.85, p</w:t>
      </w:r>
      <w:r w:rsidR="00D27A37" w:rsidRPr="00E262E0">
        <w:rPr>
          <w:rFonts w:ascii="Arial" w:hAnsi="Arial" w:cs="Arial"/>
          <w:sz w:val="24"/>
          <w:szCs w:val="24"/>
          <w:lang w:val="en-US"/>
        </w:rPr>
        <w:t>&lt;0.0001</w:t>
      </w:r>
      <w:r w:rsidR="0043336E" w:rsidRPr="00E262E0">
        <w:rPr>
          <w:rFonts w:ascii="Arial" w:hAnsi="Arial" w:cs="Arial"/>
          <w:sz w:val="24"/>
          <w:szCs w:val="24"/>
          <w:lang w:val="en-US"/>
        </w:rPr>
        <w:t>), HbA1c (HR, 2.09, 95%</w:t>
      </w:r>
      <w:r w:rsidR="008E1900" w:rsidRPr="00E262E0">
        <w:rPr>
          <w:rFonts w:ascii="Arial" w:hAnsi="Arial" w:cs="Arial"/>
          <w:sz w:val="24"/>
          <w:szCs w:val="24"/>
          <w:lang w:val="en-US"/>
        </w:rPr>
        <w:t xml:space="preserve"> </w:t>
      </w:r>
      <w:r w:rsidR="0043336E" w:rsidRPr="00E262E0">
        <w:rPr>
          <w:rFonts w:ascii="Arial" w:hAnsi="Arial" w:cs="Arial"/>
          <w:sz w:val="24"/>
          <w:szCs w:val="24"/>
          <w:lang w:val="en-US"/>
        </w:rPr>
        <w:t>CI, 1.04</w:t>
      </w:r>
      <w:r w:rsidR="00DE510F">
        <w:rPr>
          <w:rFonts w:ascii="Arial" w:hAnsi="Arial" w:cs="Arial"/>
          <w:sz w:val="24"/>
          <w:szCs w:val="24"/>
          <w:lang w:val="en-US"/>
        </w:rPr>
        <w:t>-</w:t>
      </w:r>
      <w:r w:rsidR="0043336E" w:rsidRPr="00E262E0">
        <w:rPr>
          <w:rFonts w:ascii="Arial" w:hAnsi="Arial" w:cs="Arial"/>
          <w:sz w:val="24"/>
          <w:szCs w:val="24"/>
          <w:lang w:val="en-US"/>
        </w:rPr>
        <w:t>4.20; p=0.040), obesity (HR, 2.18, 95%</w:t>
      </w:r>
      <w:r w:rsidR="008E1900" w:rsidRPr="00E262E0">
        <w:rPr>
          <w:rFonts w:ascii="Arial" w:hAnsi="Arial" w:cs="Arial"/>
          <w:sz w:val="24"/>
          <w:szCs w:val="24"/>
          <w:lang w:val="en-US"/>
        </w:rPr>
        <w:t xml:space="preserve"> </w:t>
      </w:r>
      <w:r w:rsidR="0043336E" w:rsidRPr="00E262E0">
        <w:rPr>
          <w:rFonts w:ascii="Arial" w:hAnsi="Arial" w:cs="Arial"/>
          <w:sz w:val="24"/>
          <w:szCs w:val="24"/>
          <w:lang w:val="en-US"/>
        </w:rPr>
        <w:t>CI, 1.20</w:t>
      </w:r>
      <w:r w:rsidR="00DE7ED5">
        <w:rPr>
          <w:rFonts w:ascii="Arial" w:hAnsi="Arial" w:cs="Arial"/>
          <w:sz w:val="24"/>
          <w:szCs w:val="24"/>
          <w:lang w:val="en-US"/>
        </w:rPr>
        <w:t>-</w:t>
      </w:r>
      <w:r w:rsidR="00D27A37" w:rsidRPr="00E262E0">
        <w:rPr>
          <w:rFonts w:ascii="Arial" w:hAnsi="Arial" w:cs="Arial"/>
          <w:sz w:val="24"/>
          <w:szCs w:val="24"/>
          <w:lang w:val="en-US"/>
        </w:rPr>
        <w:t>3.96,</w:t>
      </w:r>
      <w:r w:rsidR="0043336E" w:rsidRPr="00E262E0">
        <w:rPr>
          <w:rFonts w:ascii="Arial" w:hAnsi="Arial" w:cs="Arial"/>
          <w:sz w:val="24"/>
          <w:szCs w:val="24"/>
          <w:lang w:val="en-US"/>
        </w:rPr>
        <w:t xml:space="preserve"> p=0.010), and positivity against JM epitopes (HR, 1.57; 95%</w:t>
      </w:r>
      <w:r w:rsidR="008E1900" w:rsidRPr="00E262E0">
        <w:rPr>
          <w:rFonts w:ascii="Arial" w:hAnsi="Arial" w:cs="Arial"/>
          <w:sz w:val="24"/>
          <w:szCs w:val="24"/>
          <w:lang w:val="en-US"/>
        </w:rPr>
        <w:t xml:space="preserve"> </w:t>
      </w:r>
      <w:r w:rsidR="0043336E" w:rsidRPr="00E262E0">
        <w:rPr>
          <w:rFonts w:ascii="Arial" w:hAnsi="Arial" w:cs="Arial"/>
          <w:sz w:val="24"/>
          <w:szCs w:val="24"/>
          <w:lang w:val="en-US"/>
        </w:rPr>
        <w:t>CI, 1.01</w:t>
      </w:r>
      <w:r w:rsidR="00EF5C04">
        <w:rPr>
          <w:rFonts w:ascii="Arial" w:hAnsi="Arial" w:cs="Arial"/>
          <w:sz w:val="24"/>
          <w:szCs w:val="24"/>
          <w:lang w:val="en-US"/>
        </w:rPr>
        <w:t>-</w:t>
      </w:r>
      <w:r w:rsidR="0043336E" w:rsidRPr="00E262E0">
        <w:rPr>
          <w:rFonts w:ascii="Arial" w:hAnsi="Arial" w:cs="Arial"/>
          <w:sz w:val="24"/>
          <w:szCs w:val="24"/>
          <w:lang w:val="en-US"/>
        </w:rPr>
        <w:t>2.45, p=0.046)</w:t>
      </w:r>
      <w:r w:rsidR="00347889" w:rsidRPr="00E262E0">
        <w:rPr>
          <w:rFonts w:ascii="Arial" w:hAnsi="Arial" w:cs="Arial"/>
          <w:sz w:val="24"/>
          <w:szCs w:val="24"/>
          <w:lang w:val="en-US"/>
        </w:rPr>
        <w:t xml:space="preserve"> (</w:t>
      </w:r>
      <w:r w:rsidR="00755F77" w:rsidRPr="00E262E0">
        <w:rPr>
          <w:rFonts w:ascii="Arial" w:hAnsi="Arial" w:cs="Arial"/>
          <w:b/>
          <w:bCs/>
          <w:sz w:val="24"/>
          <w:szCs w:val="24"/>
          <w:lang w:val="en-US"/>
        </w:rPr>
        <w:t>Fig. 2</w:t>
      </w:r>
      <w:r w:rsidR="00CA4A07" w:rsidRPr="00E262E0">
        <w:rPr>
          <w:rFonts w:ascii="Arial" w:hAnsi="Arial" w:cs="Arial"/>
          <w:b/>
          <w:bCs/>
          <w:sz w:val="24"/>
          <w:szCs w:val="24"/>
          <w:lang w:val="en-US"/>
        </w:rPr>
        <w:t>A</w:t>
      </w:r>
      <w:r w:rsidR="00347889" w:rsidRPr="00E262E0">
        <w:rPr>
          <w:rFonts w:ascii="Arial" w:hAnsi="Arial" w:cs="Arial"/>
          <w:sz w:val="24"/>
          <w:szCs w:val="24"/>
          <w:lang w:val="en-US"/>
        </w:rPr>
        <w:t>)</w:t>
      </w:r>
      <w:r w:rsidR="0043336E" w:rsidRPr="00E262E0">
        <w:rPr>
          <w:rFonts w:ascii="Arial" w:hAnsi="Arial" w:cs="Arial"/>
          <w:sz w:val="24"/>
          <w:szCs w:val="24"/>
          <w:lang w:val="en-US"/>
        </w:rPr>
        <w:t xml:space="preserve">. </w:t>
      </w:r>
      <w:r w:rsidR="00347889" w:rsidRPr="00E262E0">
        <w:rPr>
          <w:rFonts w:ascii="Arial" w:hAnsi="Arial" w:cs="Arial"/>
          <w:sz w:val="24"/>
          <w:szCs w:val="24"/>
          <w:lang w:val="en-US"/>
        </w:rPr>
        <w:t>The non-OGTT-based progression</w:t>
      </w:r>
      <w:r w:rsidR="0043336E" w:rsidRPr="00E262E0">
        <w:rPr>
          <w:rFonts w:ascii="Arial" w:hAnsi="Arial" w:cs="Arial"/>
          <w:sz w:val="24"/>
          <w:szCs w:val="24"/>
          <w:lang w:val="en-US"/>
        </w:rPr>
        <w:t xml:space="preserve"> score developed from this model has an AUC of 0.</w:t>
      </w:r>
      <w:r w:rsidR="00C76985" w:rsidRPr="00E262E0">
        <w:rPr>
          <w:rFonts w:ascii="Arial" w:hAnsi="Arial" w:cs="Arial"/>
          <w:sz w:val="24"/>
          <w:szCs w:val="24"/>
          <w:lang w:val="en-US"/>
        </w:rPr>
        <w:t>79</w:t>
      </w:r>
      <w:r w:rsidR="00B74762">
        <w:rPr>
          <w:rFonts w:ascii="Arial" w:hAnsi="Arial" w:cs="Arial"/>
          <w:sz w:val="24"/>
          <w:szCs w:val="24"/>
          <w:lang w:val="en-US"/>
        </w:rPr>
        <w:t>8</w:t>
      </w:r>
      <w:r w:rsidR="00C76985" w:rsidRPr="00E262E0">
        <w:rPr>
          <w:rFonts w:ascii="Arial" w:hAnsi="Arial" w:cs="Arial"/>
          <w:sz w:val="24"/>
          <w:szCs w:val="24"/>
          <w:lang w:val="en-US"/>
        </w:rPr>
        <w:t xml:space="preserve"> </w:t>
      </w:r>
      <w:r w:rsidR="0043336E" w:rsidRPr="00E262E0">
        <w:rPr>
          <w:rFonts w:ascii="Arial" w:hAnsi="Arial" w:cs="Arial"/>
          <w:sz w:val="24"/>
          <w:szCs w:val="24"/>
          <w:lang w:val="en-US"/>
        </w:rPr>
        <w:t>in a ROC curve to identify those who progressed within 2 years</w:t>
      </w:r>
      <w:r w:rsidR="00E441D1" w:rsidRPr="00E262E0">
        <w:rPr>
          <w:rFonts w:ascii="Arial" w:hAnsi="Arial" w:cs="Arial"/>
          <w:sz w:val="24"/>
          <w:szCs w:val="24"/>
          <w:lang w:val="en-US"/>
        </w:rPr>
        <w:t xml:space="preserve"> (</w:t>
      </w:r>
      <w:r w:rsidR="00755F77" w:rsidRPr="00E262E0">
        <w:rPr>
          <w:rFonts w:ascii="Arial" w:hAnsi="Arial" w:cs="Arial"/>
          <w:b/>
          <w:bCs/>
          <w:sz w:val="24"/>
          <w:szCs w:val="24"/>
          <w:lang w:val="en-US"/>
        </w:rPr>
        <w:t>Supplemental Fig.</w:t>
      </w:r>
      <w:r w:rsidR="008E1900" w:rsidRPr="00E262E0">
        <w:rPr>
          <w:rFonts w:ascii="Arial" w:hAnsi="Arial" w:cs="Arial"/>
          <w:b/>
          <w:bCs/>
          <w:sz w:val="24"/>
          <w:szCs w:val="24"/>
          <w:lang w:val="en-US"/>
        </w:rPr>
        <w:t xml:space="preserve"> </w:t>
      </w:r>
      <w:r w:rsidR="009278AA">
        <w:rPr>
          <w:rFonts w:ascii="Arial" w:hAnsi="Arial" w:cs="Arial"/>
          <w:b/>
          <w:bCs/>
          <w:sz w:val="24"/>
          <w:szCs w:val="24"/>
          <w:lang w:val="en-US"/>
        </w:rPr>
        <w:t>5</w:t>
      </w:r>
      <w:r w:rsidR="00E441D1" w:rsidRPr="00E262E0">
        <w:rPr>
          <w:rFonts w:ascii="Arial" w:hAnsi="Arial" w:cs="Arial"/>
          <w:sz w:val="24"/>
          <w:szCs w:val="24"/>
          <w:lang w:val="en-US"/>
        </w:rPr>
        <w:t>)</w:t>
      </w:r>
      <w:r w:rsidR="00C76985" w:rsidRPr="00E262E0">
        <w:rPr>
          <w:rFonts w:ascii="Arial" w:hAnsi="Arial" w:cs="Arial"/>
          <w:sz w:val="24"/>
          <w:szCs w:val="24"/>
          <w:lang w:val="en-US"/>
        </w:rPr>
        <w:t>.</w:t>
      </w:r>
      <w:r w:rsidR="0043336E" w:rsidRPr="00E262E0">
        <w:rPr>
          <w:rFonts w:ascii="Arial" w:hAnsi="Arial" w:cs="Arial"/>
          <w:sz w:val="24"/>
          <w:szCs w:val="24"/>
          <w:lang w:val="en-US"/>
        </w:rPr>
        <w:t xml:space="preserve"> </w:t>
      </w:r>
      <w:r w:rsidR="00C76985" w:rsidRPr="00E262E0">
        <w:rPr>
          <w:rFonts w:ascii="Arial" w:hAnsi="Arial" w:cs="Arial"/>
          <w:sz w:val="24"/>
          <w:szCs w:val="24"/>
          <w:lang w:val="en-US"/>
        </w:rPr>
        <w:t xml:space="preserve">Thresholds of 1.25 and 3.0 stratified progression rates with </w:t>
      </w:r>
      <w:r w:rsidR="0009083E" w:rsidRPr="00E262E0">
        <w:rPr>
          <w:rFonts w:ascii="Arial" w:hAnsi="Arial" w:cs="Arial"/>
          <w:sz w:val="24"/>
          <w:szCs w:val="24"/>
          <w:lang w:val="en-US"/>
        </w:rPr>
        <w:t>2-year</w:t>
      </w:r>
      <w:r w:rsidR="00C76985" w:rsidRPr="00E262E0">
        <w:rPr>
          <w:rFonts w:ascii="Arial" w:hAnsi="Arial" w:cs="Arial"/>
          <w:sz w:val="24"/>
          <w:szCs w:val="24"/>
          <w:lang w:val="en-US"/>
        </w:rPr>
        <w:t xml:space="preserve"> risks of </w:t>
      </w:r>
      <w:r w:rsidR="00D27A37" w:rsidRPr="00E262E0">
        <w:rPr>
          <w:rFonts w:ascii="Arial" w:hAnsi="Arial" w:cs="Arial"/>
          <w:sz w:val="24"/>
          <w:szCs w:val="24"/>
          <w:lang w:val="en-US"/>
        </w:rPr>
        <w:t>1.7</w:t>
      </w:r>
      <w:r w:rsidR="00C76985" w:rsidRPr="00E262E0">
        <w:rPr>
          <w:rFonts w:ascii="Arial" w:hAnsi="Arial" w:cs="Arial"/>
          <w:sz w:val="24"/>
          <w:szCs w:val="24"/>
          <w:lang w:val="en-US"/>
        </w:rPr>
        <w:t>% (</w:t>
      </w:r>
      <w:r w:rsidR="001C7053">
        <w:rPr>
          <w:rFonts w:ascii="Arial" w:hAnsi="Arial" w:cs="Arial"/>
          <w:sz w:val="24"/>
          <w:szCs w:val="24"/>
          <w:lang w:val="en-US"/>
        </w:rPr>
        <w:t xml:space="preserve">95% CI, </w:t>
      </w:r>
      <w:r w:rsidR="00D27A37" w:rsidRPr="00E262E0">
        <w:rPr>
          <w:rFonts w:ascii="Arial" w:hAnsi="Arial" w:cs="Arial"/>
          <w:sz w:val="24"/>
          <w:szCs w:val="24"/>
          <w:lang w:val="en-US"/>
        </w:rPr>
        <w:t>0.0</w:t>
      </w:r>
      <w:r w:rsidR="00DE510F">
        <w:rPr>
          <w:rFonts w:ascii="Arial" w:hAnsi="Arial" w:cs="Arial"/>
          <w:sz w:val="24"/>
          <w:szCs w:val="24"/>
          <w:lang w:val="en-US"/>
        </w:rPr>
        <w:t>-</w:t>
      </w:r>
      <w:r w:rsidR="00D27A37" w:rsidRPr="00E262E0">
        <w:rPr>
          <w:rFonts w:ascii="Arial" w:hAnsi="Arial" w:cs="Arial"/>
          <w:sz w:val="24"/>
          <w:szCs w:val="24"/>
          <w:lang w:val="en-US"/>
        </w:rPr>
        <w:t>3.7</w:t>
      </w:r>
      <w:r w:rsidR="00C76985" w:rsidRPr="00E262E0">
        <w:rPr>
          <w:rFonts w:ascii="Arial" w:hAnsi="Arial" w:cs="Arial"/>
          <w:sz w:val="24"/>
          <w:szCs w:val="24"/>
          <w:lang w:val="en-US"/>
        </w:rPr>
        <w:t xml:space="preserve">) for those with scores </w:t>
      </w:r>
      <w:r w:rsidR="00D27A37" w:rsidRPr="00E262E0">
        <w:rPr>
          <w:rFonts w:ascii="Arial" w:hAnsi="Arial" w:cs="Arial"/>
          <w:sz w:val="24"/>
          <w:szCs w:val="24"/>
          <w:lang w:val="en-US"/>
        </w:rPr>
        <w:t>&lt;1.25</w:t>
      </w:r>
      <w:r w:rsidR="00C76985" w:rsidRPr="00E262E0">
        <w:rPr>
          <w:rFonts w:ascii="Arial" w:hAnsi="Arial" w:cs="Arial"/>
          <w:sz w:val="24"/>
          <w:szCs w:val="24"/>
          <w:lang w:val="en-US"/>
        </w:rPr>
        <w:t xml:space="preserve">, </w:t>
      </w:r>
      <w:r w:rsidR="00CB7E1B" w:rsidRPr="00E262E0">
        <w:rPr>
          <w:rFonts w:ascii="Arial" w:hAnsi="Arial" w:cs="Arial"/>
          <w:sz w:val="24"/>
          <w:szCs w:val="24"/>
          <w:lang w:val="en-US"/>
        </w:rPr>
        <w:t>7.8</w:t>
      </w:r>
      <w:r w:rsidR="00C76985" w:rsidRPr="00E262E0">
        <w:rPr>
          <w:rFonts w:ascii="Arial" w:hAnsi="Arial" w:cs="Arial"/>
          <w:sz w:val="24"/>
          <w:szCs w:val="24"/>
          <w:lang w:val="en-US"/>
        </w:rPr>
        <w:t>% (</w:t>
      </w:r>
      <w:r w:rsidR="00CB7E1B" w:rsidRPr="00E262E0">
        <w:rPr>
          <w:rFonts w:ascii="Arial" w:hAnsi="Arial" w:cs="Arial"/>
          <w:sz w:val="24"/>
          <w:szCs w:val="24"/>
          <w:lang w:val="en-US"/>
        </w:rPr>
        <w:t>2.1</w:t>
      </w:r>
      <w:r w:rsidR="00DE510F">
        <w:rPr>
          <w:rFonts w:ascii="Arial" w:hAnsi="Arial" w:cs="Arial"/>
          <w:sz w:val="24"/>
          <w:szCs w:val="24"/>
          <w:lang w:val="en-US"/>
        </w:rPr>
        <w:t>-</w:t>
      </w:r>
      <w:r w:rsidR="00CB7E1B" w:rsidRPr="00E262E0">
        <w:rPr>
          <w:rFonts w:ascii="Arial" w:hAnsi="Arial" w:cs="Arial"/>
          <w:sz w:val="24"/>
          <w:szCs w:val="24"/>
          <w:lang w:val="en-US"/>
        </w:rPr>
        <w:t>13.3</w:t>
      </w:r>
      <w:r w:rsidR="00C76985" w:rsidRPr="00E262E0">
        <w:rPr>
          <w:rFonts w:ascii="Arial" w:hAnsi="Arial" w:cs="Arial"/>
          <w:sz w:val="24"/>
          <w:szCs w:val="24"/>
          <w:lang w:val="en-US"/>
        </w:rPr>
        <w:t xml:space="preserve">) with scores </w:t>
      </w:r>
      <w:r w:rsidR="00CB7E1B" w:rsidRPr="00E262E0">
        <w:rPr>
          <w:rFonts w:ascii="Arial" w:hAnsi="Arial" w:cs="Arial"/>
          <w:sz w:val="24"/>
          <w:szCs w:val="24"/>
          <w:lang w:val="en-US"/>
        </w:rPr>
        <w:t>between 1.25 and 3.0</w:t>
      </w:r>
      <w:r w:rsidR="00C76985" w:rsidRPr="00E262E0">
        <w:rPr>
          <w:rFonts w:ascii="Arial" w:hAnsi="Arial" w:cs="Arial"/>
          <w:sz w:val="24"/>
          <w:szCs w:val="24"/>
          <w:lang w:val="en-US"/>
        </w:rPr>
        <w:t xml:space="preserve"> and </w:t>
      </w:r>
      <w:r w:rsidR="00CB7E1B" w:rsidRPr="00E262E0">
        <w:rPr>
          <w:rFonts w:ascii="Arial" w:hAnsi="Arial" w:cs="Arial"/>
          <w:sz w:val="24"/>
          <w:szCs w:val="24"/>
          <w:lang w:val="en-US"/>
        </w:rPr>
        <w:t>24.6</w:t>
      </w:r>
      <w:r w:rsidR="00C76985" w:rsidRPr="00E262E0">
        <w:rPr>
          <w:rFonts w:ascii="Arial" w:hAnsi="Arial" w:cs="Arial"/>
          <w:sz w:val="24"/>
          <w:szCs w:val="24"/>
          <w:lang w:val="en-US"/>
        </w:rPr>
        <w:t>% (</w:t>
      </w:r>
      <w:r w:rsidR="00CB7E1B" w:rsidRPr="00E262E0">
        <w:rPr>
          <w:rFonts w:ascii="Arial" w:hAnsi="Arial" w:cs="Arial"/>
          <w:sz w:val="24"/>
          <w:szCs w:val="24"/>
          <w:lang w:val="en-US"/>
        </w:rPr>
        <w:t>12.0</w:t>
      </w:r>
      <w:r w:rsidR="00DE510F">
        <w:rPr>
          <w:rFonts w:ascii="Arial" w:hAnsi="Arial" w:cs="Arial"/>
          <w:sz w:val="24"/>
          <w:szCs w:val="24"/>
          <w:lang w:val="en-US"/>
        </w:rPr>
        <w:t>-</w:t>
      </w:r>
      <w:r w:rsidR="00CB7E1B" w:rsidRPr="00E262E0">
        <w:rPr>
          <w:rFonts w:ascii="Arial" w:hAnsi="Arial" w:cs="Arial"/>
          <w:sz w:val="24"/>
          <w:szCs w:val="24"/>
          <w:lang w:val="en-US"/>
        </w:rPr>
        <w:t>35.4</w:t>
      </w:r>
      <w:r w:rsidR="00C76985" w:rsidRPr="00E262E0">
        <w:rPr>
          <w:rFonts w:ascii="Arial" w:hAnsi="Arial" w:cs="Arial"/>
          <w:sz w:val="24"/>
          <w:szCs w:val="24"/>
          <w:lang w:val="en-US"/>
        </w:rPr>
        <w:t>) for those with scores &gt;3.0 (p&lt;0.0001)</w:t>
      </w:r>
      <w:r w:rsidR="00755F77" w:rsidRPr="00E262E0">
        <w:rPr>
          <w:rFonts w:ascii="Arial" w:hAnsi="Arial" w:cs="Arial"/>
          <w:sz w:val="24"/>
          <w:szCs w:val="24"/>
          <w:lang w:val="en-US"/>
        </w:rPr>
        <w:t xml:space="preserve"> </w:t>
      </w:r>
      <w:r w:rsidR="00755F77" w:rsidRPr="00E262E0">
        <w:rPr>
          <w:rFonts w:ascii="Arial" w:hAnsi="Arial" w:cs="Arial"/>
          <w:b/>
          <w:bCs/>
          <w:sz w:val="24"/>
          <w:szCs w:val="24"/>
          <w:lang w:val="en-US"/>
        </w:rPr>
        <w:t xml:space="preserve">(Table </w:t>
      </w:r>
      <w:r w:rsidR="001D4FA7">
        <w:rPr>
          <w:rFonts w:ascii="Arial" w:hAnsi="Arial" w:cs="Arial"/>
          <w:b/>
          <w:bCs/>
          <w:sz w:val="24"/>
          <w:szCs w:val="24"/>
          <w:lang w:val="en-US"/>
        </w:rPr>
        <w:t>2</w:t>
      </w:r>
      <w:r w:rsidR="00755F77" w:rsidRPr="00E262E0">
        <w:rPr>
          <w:rFonts w:ascii="Arial" w:hAnsi="Arial" w:cs="Arial"/>
          <w:b/>
          <w:bCs/>
          <w:sz w:val="24"/>
          <w:szCs w:val="24"/>
          <w:lang w:val="en-US"/>
        </w:rPr>
        <w:t>; Fig. 2</w:t>
      </w:r>
      <w:r w:rsidR="00CA4A07" w:rsidRPr="00E262E0">
        <w:rPr>
          <w:rFonts w:ascii="Arial" w:hAnsi="Arial" w:cs="Arial"/>
          <w:b/>
          <w:bCs/>
          <w:sz w:val="24"/>
          <w:szCs w:val="24"/>
          <w:lang w:val="en-US"/>
        </w:rPr>
        <w:t>B</w:t>
      </w:r>
      <w:r w:rsidR="00755F77" w:rsidRPr="00E262E0">
        <w:rPr>
          <w:rFonts w:ascii="Arial" w:hAnsi="Arial" w:cs="Arial"/>
          <w:sz w:val="24"/>
          <w:szCs w:val="24"/>
          <w:lang w:val="en-US"/>
        </w:rPr>
        <w:t>)</w:t>
      </w:r>
      <w:r w:rsidR="00C76985" w:rsidRPr="00E262E0">
        <w:rPr>
          <w:rFonts w:ascii="Arial" w:hAnsi="Arial" w:cs="Arial"/>
          <w:sz w:val="24"/>
          <w:szCs w:val="24"/>
          <w:lang w:val="en-US"/>
        </w:rPr>
        <w:t xml:space="preserve">. </w:t>
      </w:r>
      <w:r w:rsidR="00416C2B">
        <w:rPr>
          <w:rFonts w:ascii="Arial" w:hAnsi="Arial" w:cs="Arial"/>
          <w:sz w:val="24"/>
          <w:szCs w:val="24"/>
          <w:lang w:val="en-US"/>
        </w:rPr>
        <w:t xml:space="preserve">In a sensitivity analysis, </w:t>
      </w:r>
      <w:r w:rsidR="003610B5" w:rsidRPr="003610B5">
        <w:rPr>
          <w:rFonts w:ascii="Arial" w:hAnsi="Arial" w:cs="Arial"/>
          <w:sz w:val="24"/>
          <w:szCs w:val="24"/>
          <w:lang w:val="en-US"/>
        </w:rPr>
        <w:t>the non-OGTT-based progression score was applied to children who were classified as stage 1 based solely on a normal HbA1c value, ignoring potentially elevated OGTT measurements. This yielded the following 2-year risks for progression to stage 3 type 1 diabetes:</w:t>
      </w:r>
      <w:r w:rsidR="001C7053">
        <w:rPr>
          <w:rFonts w:ascii="Arial" w:hAnsi="Arial" w:cs="Arial"/>
          <w:sz w:val="24"/>
          <w:szCs w:val="24"/>
          <w:lang w:val="en-US"/>
        </w:rPr>
        <w:t xml:space="preserve"> 3.3% (95% CI, 0.7-5.8) for </w:t>
      </w:r>
      <w:r w:rsidR="003610B5">
        <w:rPr>
          <w:rFonts w:ascii="Arial" w:hAnsi="Arial" w:cs="Arial"/>
          <w:sz w:val="24"/>
          <w:szCs w:val="24"/>
          <w:lang w:val="en-US"/>
        </w:rPr>
        <w:t>children</w:t>
      </w:r>
      <w:r w:rsidR="001C7053">
        <w:rPr>
          <w:rFonts w:ascii="Arial" w:hAnsi="Arial" w:cs="Arial"/>
          <w:sz w:val="24"/>
          <w:szCs w:val="24"/>
          <w:lang w:val="en-US"/>
        </w:rPr>
        <w:t xml:space="preserve"> with scores &lt;1.25, 13.6% (6.7-19.9) for those with scores between 1.25 and 3.0 and 23.4% (11.8-33.4) for those with scores &gt;3.0 (p&lt;0.0001) </w:t>
      </w:r>
      <w:r w:rsidR="001C7053">
        <w:rPr>
          <w:rFonts w:ascii="Arial" w:hAnsi="Arial" w:cs="Arial"/>
          <w:b/>
          <w:sz w:val="24"/>
          <w:szCs w:val="24"/>
          <w:lang w:val="en-US"/>
        </w:rPr>
        <w:t xml:space="preserve">(Supplemental Fig. </w:t>
      </w:r>
      <w:r w:rsidR="009278AA">
        <w:rPr>
          <w:rFonts w:ascii="Arial" w:hAnsi="Arial" w:cs="Arial"/>
          <w:b/>
          <w:sz w:val="24"/>
          <w:szCs w:val="24"/>
          <w:lang w:val="en-US"/>
        </w:rPr>
        <w:t>6</w:t>
      </w:r>
      <w:r w:rsidR="001C7053">
        <w:rPr>
          <w:rFonts w:ascii="Arial" w:hAnsi="Arial" w:cs="Arial"/>
          <w:b/>
          <w:sz w:val="24"/>
          <w:szCs w:val="24"/>
          <w:lang w:val="en-US"/>
        </w:rPr>
        <w:t>).</w:t>
      </w:r>
      <w:r w:rsidR="003610B5" w:rsidRPr="00215F0C">
        <w:rPr>
          <w:lang w:val="en-US"/>
        </w:rPr>
        <w:t xml:space="preserve"> </w:t>
      </w:r>
      <w:r w:rsidR="00172B92" w:rsidRPr="00243980">
        <w:rPr>
          <w:rFonts w:ascii="Arial" w:hAnsi="Arial" w:cs="Arial"/>
          <w:sz w:val="24"/>
          <w:szCs w:val="24"/>
          <w:lang w:val="en-US"/>
        </w:rPr>
        <w:t>Removal o</w:t>
      </w:r>
      <w:r w:rsidR="00172B92">
        <w:rPr>
          <w:rFonts w:ascii="Arial" w:hAnsi="Arial" w:cs="Arial"/>
          <w:sz w:val="24"/>
          <w:szCs w:val="24"/>
          <w:lang w:val="en-US"/>
        </w:rPr>
        <w:t>f the IA-2 JM epitope category from the model led to a slight loss in the model performance (AUC ROC, 0.752).</w:t>
      </w:r>
    </w:p>
    <w:p w14:paraId="126566E2" w14:textId="77777777" w:rsidR="00493A94" w:rsidRPr="00E262E0" w:rsidRDefault="00493A94" w:rsidP="009045A9">
      <w:pPr>
        <w:spacing w:after="0" w:line="480" w:lineRule="auto"/>
        <w:jc w:val="both"/>
        <w:rPr>
          <w:rFonts w:ascii="Arial" w:hAnsi="Arial" w:cs="Arial"/>
          <w:sz w:val="24"/>
          <w:szCs w:val="24"/>
          <w:lang w:val="en-US"/>
        </w:rPr>
      </w:pPr>
    </w:p>
    <w:p w14:paraId="470AE5BF" w14:textId="34E86753" w:rsidR="00656118" w:rsidRPr="00E262E0" w:rsidRDefault="00493A94" w:rsidP="009045A9">
      <w:pPr>
        <w:spacing w:after="0" w:line="480" w:lineRule="auto"/>
        <w:jc w:val="both"/>
        <w:rPr>
          <w:rFonts w:ascii="Arial" w:hAnsi="Arial" w:cs="Arial"/>
          <w:b/>
          <w:bCs/>
          <w:sz w:val="24"/>
          <w:szCs w:val="24"/>
          <w:lang w:val="en-US"/>
        </w:rPr>
      </w:pPr>
      <w:r w:rsidRPr="00E262E0">
        <w:rPr>
          <w:rFonts w:ascii="Arial" w:hAnsi="Arial" w:cs="Arial"/>
          <w:b/>
          <w:bCs/>
          <w:sz w:val="24"/>
          <w:szCs w:val="24"/>
          <w:lang w:val="en-US"/>
        </w:rPr>
        <w:t xml:space="preserve">Stratification </w:t>
      </w:r>
      <w:r w:rsidR="00787782">
        <w:rPr>
          <w:rFonts w:ascii="Arial" w:hAnsi="Arial" w:cs="Arial"/>
          <w:b/>
          <w:bCs/>
          <w:sz w:val="24"/>
          <w:szCs w:val="24"/>
          <w:lang w:val="en-US"/>
        </w:rPr>
        <w:t xml:space="preserve">of progression rates </w:t>
      </w:r>
      <w:r w:rsidRPr="00E262E0">
        <w:rPr>
          <w:rFonts w:ascii="Arial" w:hAnsi="Arial" w:cs="Arial"/>
          <w:b/>
          <w:bCs/>
          <w:sz w:val="24"/>
          <w:szCs w:val="24"/>
          <w:lang w:val="en-US"/>
        </w:rPr>
        <w:t xml:space="preserve">by </w:t>
      </w:r>
      <w:r w:rsidR="00704B71" w:rsidRPr="00E262E0">
        <w:rPr>
          <w:rFonts w:ascii="Arial" w:hAnsi="Arial" w:cs="Arial"/>
          <w:b/>
          <w:bCs/>
          <w:sz w:val="24"/>
          <w:szCs w:val="24"/>
          <w:lang w:val="en-US"/>
        </w:rPr>
        <w:t xml:space="preserve">original </w:t>
      </w:r>
      <w:r w:rsidRPr="00E262E0">
        <w:rPr>
          <w:rFonts w:ascii="Arial" w:hAnsi="Arial" w:cs="Arial"/>
          <w:b/>
          <w:bCs/>
          <w:sz w:val="24"/>
          <w:szCs w:val="24"/>
          <w:lang w:val="en-US"/>
        </w:rPr>
        <w:t xml:space="preserve">PLS in </w:t>
      </w:r>
      <w:r w:rsidR="00A94289" w:rsidRPr="00E262E0">
        <w:rPr>
          <w:rFonts w:ascii="Arial" w:hAnsi="Arial" w:cs="Arial"/>
          <w:b/>
          <w:bCs/>
          <w:sz w:val="24"/>
          <w:szCs w:val="24"/>
          <w:lang w:val="en-US"/>
        </w:rPr>
        <w:t>s</w:t>
      </w:r>
      <w:r w:rsidR="00656118" w:rsidRPr="00E262E0">
        <w:rPr>
          <w:rFonts w:ascii="Arial" w:hAnsi="Arial" w:cs="Arial"/>
          <w:b/>
          <w:bCs/>
          <w:sz w:val="24"/>
          <w:szCs w:val="24"/>
          <w:lang w:val="en-US"/>
        </w:rPr>
        <w:t xml:space="preserve">tage 2 </w:t>
      </w:r>
      <w:r w:rsidR="00121302" w:rsidRPr="00E262E0">
        <w:rPr>
          <w:rFonts w:ascii="Arial" w:hAnsi="Arial" w:cs="Arial"/>
          <w:b/>
          <w:bCs/>
          <w:sz w:val="24"/>
          <w:szCs w:val="24"/>
          <w:lang w:val="en-US"/>
        </w:rPr>
        <w:t>type 1 diabetes</w:t>
      </w:r>
    </w:p>
    <w:p w14:paraId="41D4AFCA" w14:textId="0222B935" w:rsidR="00941E6E" w:rsidRPr="00E262E0" w:rsidRDefault="007C5E97" w:rsidP="009045A9">
      <w:pPr>
        <w:spacing w:after="0" w:line="480" w:lineRule="auto"/>
        <w:jc w:val="both"/>
        <w:rPr>
          <w:rFonts w:ascii="Arial" w:hAnsi="Arial" w:cs="Arial"/>
          <w:sz w:val="24"/>
          <w:szCs w:val="24"/>
          <w:lang w:val="en-US"/>
        </w:rPr>
      </w:pPr>
      <w:r w:rsidRPr="00E262E0">
        <w:rPr>
          <w:rFonts w:ascii="Arial" w:hAnsi="Arial" w:cs="Arial"/>
          <w:sz w:val="24"/>
          <w:szCs w:val="24"/>
          <w:lang w:val="en-US"/>
        </w:rPr>
        <w:t xml:space="preserve">Of the </w:t>
      </w:r>
      <w:r w:rsidR="002076F3" w:rsidRPr="00E262E0">
        <w:rPr>
          <w:rFonts w:ascii="Arial" w:hAnsi="Arial" w:cs="Arial"/>
          <w:sz w:val="24"/>
          <w:szCs w:val="24"/>
          <w:lang w:val="en-US"/>
        </w:rPr>
        <w:t>85</w:t>
      </w:r>
      <w:r w:rsidRPr="00E262E0">
        <w:rPr>
          <w:rFonts w:ascii="Arial" w:hAnsi="Arial" w:cs="Arial"/>
          <w:sz w:val="24"/>
          <w:szCs w:val="24"/>
          <w:lang w:val="en-US"/>
        </w:rPr>
        <w:t xml:space="preserve"> </w:t>
      </w:r>
      <w:r w:rsidR="00347889" w:rsidRPr="00E262E0">
        <w:rPr>
          <w:rFonts w:ascii="Arial" w:hAnsi="Arial" w:cs="Arial"/>
          <w:sz w:val="24"/>
          <w:szCs w:val="24"/>
          <w:lang w:val="en-US"/>
        </w:rPr>
        <w:t>Fr1da children with</w:t>
      </w:r>
      <w:r w:rsidRPr="00E262E0">
        <w:rPr>
          <w:rFonts w:ascii="Arial" w:hAnsi="Arial" w:cs="Arial"/>
          <w:sz w:val="24"/>
          <w:szCs w:val="24"/>
          <w:lang w:val="en-US"/>
        </w:rPr>
        <w:t xml:space="preserve"> stage 2 </w:t>
      </w:r>
      <w:r w:rsidR="00121302" w:rsidRPr="00E262E0">
        <w:rPr>
          <w:rFonts w:ascii="Arial" w:hAnsi="Arial" w:cs="Arial"/>
          <w:sz w:val="24"/>
          <w:szCs w:val="24"/>
          <w:lang w:val="en-US"/>
        </w:rPr>
        <w:t xml:space="preserve">type 1 diabetes </w:t>
      </w:r>
      <w:r w:rsidRPr="00E262E0">
        <w:rPr>
          <w:rFonts w:ascii="Arial" w:hAnsi="Arial" w:cs="Arial"/>
          <w:sz w:val="24"/>
          <w:szCs w:val="24"/>
          <w:lang w:val="en-US"/>
        </w:rPr>
        <w:t>at staging, 5</w:t>
      </w:r>
      <w:r w:rsidR="002076F3" w:rsidRPr="00E262E0">
        <w:rPr>
          <w:rFonts w:ascii="Arial" w:hAnsi="Arial" w:cs="Arial"/>
          <w:sz w:val="24"/>
          <w:szCs w:val="24"/>
          <w:lang w:val="en-US"/>
        </w:rPr>
        <w:t>8</w:t>
      </w:r>
      <w:r w:rsidRPr="00E262E0">
        <w:rPr>
          <w:rFonts w:ascii="Arial" w:hAnsi="Arial" w:cs="Arial"/>
          <w:sz w:val="24"/>
          <w:szCs w:val="24"/>
          <w:lang w:val="en-US"/>
        </w:rPr>
        <w:t xml:space="preserve"> had a single dysglycemic abnormality </w:t>
      </w:r>
      <w:r w:rsidR="00347889" w:rsidRPr="00E262E0">
        <w:rPr>
          <w:rFonts w:ascii="Arial" w:hAnsi="Arial" w:cs="Arial"/>
          <w:sz w:val="24"/>
          <w:szCs w:val="24"/>
          <w:lang w:val="en-US"/>
        </w:rPr>
        <w:t>(</w:t>
      </w:r>
      <w:r w:rsidR="00C76985" w:rsidRPr="00E262E0">
        <w:rPr>
          <w:rFonts w:ascii="Arial" w:hAnsi="Arial" w:cs="Arial"/>
          <w:sz w:val="24"/>
          <w:szCs w:val="24"/>
          <w:lang w:val="en-US"/>
        </w:rPr>
        <w:t xml:space="preserve">defined </w:t>
      </w:r>
      <w:r w:rsidR="00347889" w:rsidRPr="00E262E0">
        <w:rPr>
          <w:rFonts w:ascii="Arial" w:hAnsi="Arial" w:cs="Arial"/>
          <w:sz w:val="24"/>
          <w:szCs w:val="24"/>
          <w:lang w:val="en-US"/>
        </w:rPr>
        <w:t>as either impaired fasting glucose, impaired 2</w:t>
      </w:r>
      <w:r w:rsidR="008E1900" w:rsidRPr="00E262E0">
        <w:rPr>
          <w:rFonts w:ascii="Arial" w:hAnsi="Arial" w:cs="Arial"/>
          <w:sz w:val="24"/>
          <w:szCs w:val="24"/>
          <w:lang w:val="en-US"/>
        </w:rPr>
        <w:t xml:space="preserve"> </w:t>
      </w:r>
      <w:r w:rsidR="00347889" w:rsidRPr="00E262E0">
        <w:rPr>
          <w:rFonts w:ascii="Arial" w:hAnsi="Arial" w:cs="Arial"/>
          <w:sz w:val="24"/>
          <w:szCs w:val="24"/>
          <w:lang w:val="en-US"/>
        </w:rPr>
        <w:t>h glucose after OGTT, impaired 30</w:t>
      </w:r>
      <w:r w:rsidR="008E1900" w:rsidRPr="00E262E0">
        <w:rPr>
          <w:rFonts w:ascii="Arial" w:hAnsi="Arial" w:cs="Arial"/>
          <w:sz w:val="24"/>
          <w:szCs w:val="24"/>
          <w:lang w:val="en-US"/>
        </w:rPr>
        <w:t xml:space="preserve"> </w:t>
      </w:r>
      <w:r w:rsidR="00347889" w:rsidRPr="00E262E0">
        <w:rPr>
          <w:rFonts w:ascii="Arial" w:hAnsi="Arial" w:cs="Arial"/>
          <w:sz w:val="24"/>
          <w:szCs w:val="24"/>
          <w:lang w:val="en-US"/>
        </w:rPr>
        <w:t>min, 60</w:t>
      </w:r>
      <w:r w:rsidR="008E1900" w:rsidRPr="00E262E0">
        <w:rPr>
          <w:rFonts w:ascii="Arial" w:hAnsi="Arial" w:cs="Arial"/>
          <w:sz w:val="24"/>
          <w:szCs w:val="24"/>
          <w:lang w:val="en-US"/>
        </w:rPr>
        <w:t xml:space="preserve"> </w:t>
      </w:r>
      <w:r w:rsidR="00347889" w:rsidRPr="00E262E0">
        <w:rPr>
          <w:rFonts w:ascii="Arial" w:hAnsi="Arial" w:cs="Arial"/>
          <w:sz w:val="24"/>
          <w:szCs w:val="24"/>
          <w:lang w:val="en-US"/>
        </w:rPr>
        <w:t>min, 90</w:t>
      </w:r>
      <w:r w:rsidR="008E1900" w:rsidRPr="00E262E0">
        <w:rPr>
          <w:rFonts w:ascii="Arial" w:hAnsi="Arial" w:cs="Arial"/>
          <w:sz w:val="24"/>
          <w:szCs w:val="24"/>
          <w:lang w:val="en-US"/>
        </w:rPr>
        <w:t xml:space="preserve"> </w:t>
      </w:r>
      <w:r w:rsidR="00347889" w:rsidRPr="00E262E0">
        <w:rPr>
          <w:rFonts w:ascii="Arial" w:hAnsi="Arial" w:cs="Arial"/>
          <w:sz w:val="24"/>
          <w:szCs w:val="24"/>
          <w:lang w:val="en-US"/>
        </w:rPr>
        <w:t xml:space="preserve">min glucose after OGTT, or impaired HbA1c) </w:t>
      </w:r>
      <w:r w:rsidRPr="00E262E0">
        <w:rPr>
          <w:rFonts w:ascii="Arial" w:hAnsi="Arial" w:cs="Arial"/>
          <w:sz w:val="24"/>
          <w:szCs w:val="24"/>
          <w:lang w:val="en-US"/>
        </w:rPr>
        <w:t>and 27 had 2 or more dysglycemic abnormalities</w:t>
      </w:r>
      <w:r w:rsidR="00347889" w:rsidRPr="00E262E0">
        <w:rPr>
          <w:rFonts w:ascii="Arial" w:hAnsi="Arial" w:cs="Arial"/>
          <w:sz w:val="24"/>
          <w:szCs w:val="24"/>
          <w:lang w:val="en-US"/>
        </w:rPr>
        <w:t xml:space="preserve">. </w:t>
      </w:r>
      <w:r w:rsidRPr="00E262E0">
        <w:rPr>
          <w:rFonts w:ascii="Arial" w:hAnsi="Arial" w:cs="Arial"/>
          <w:sz w:val="24"/>
          <w:szCs w:val="24"/>
          <w:lang w:val="en-US"/>
        </w:rPr>
        <w:t xml:space="preserve">The two-year risk for stage 3 </w:t>
      </w:r>
      <w:r w:rsidR="00121302" w:rsidRPr="00E262E0">
        <w:rPr>
          <w:rFonts w:ascii="Arial" w:hAnsi="Arial" w:cs="Arial"/>
          <w:sz w:val="24"/>
          <w:szCs w:val="24"/>
          <w:lang w:val="en-US"/>
        </w:rPr>
        <w:t>type 1 diabetes</w:t>
      </w:r>
      <w:r w:rsidRPr="00E262E0">
        <w:rPr>
          <w:rFonts w:ascii="Arial" w:hAnsi="Arial" w:cs="Arial"/>
          <w:sz w:val="24"/>
          <w:szCs w:val="24"/>
          <w:lang w:val="en-US"/>
        </w:rPr>
        <w:t xml:space="preserve"> was </w:t>
      </w:r>
      <w:r w:rsidR="002076F3" w:rsidRPr="00E262E0">
        <w:rPr>
          <w:rFonts w:ascii="Arial" w:hAnsi="Arial" w:cs="Arial"/>
          <w:sz w:val="24"/>
          <w:szCs w:val="24"/>
          <w:lang w:val="en-US"/>
        </w:rPr>
        <w:t>30.2</w:t>
      </w:r>
      <w:r w:rsidRPr="00E262E0">
        <w:rPr>
          <w:rFonts w:ascii="Arial" w:hAnsi="Arial" w:cs="Arial"/>
          <w:sz w:val="24"/>
          <w:szCs w:val="24"/>
          <w:lang w:val="en-US"/>
        </w:rPr>
        <w:t>% (95%</w:t>
      </w:r>
      <w:r w:rsidR="008E1900" w:rsidRPr="00E262E0">
        <w:rPr>
          <w:rFonts w:ascii="Arial" w:hAnsi="Arial" w:cs="Arial"/>
          <w:sz w:val="24"/>
          <w:szCs w:val="24"/>
          <w:lang w:val="en-US"/>
        </w:rPr>
        <w:t xml:space="preserve"> </w:t>
      </w:r>
      <w:r w:rsidRPr="00E262E0">
        <w:rPr>
          <w:rFonts w:ascii="Arial" w:hAnsi="Arial" w:cs="Arial"/>
          <w:sz w:val="24"/>
          <w:szCs w:val="24"/>
          <w:lang w:val="en-US"/>
        </w:rPr>
        <w:t>CI,</w:t>
      </w:r>
      <w:r w:rsidR="002076F3" w:rsidRPr="00E262E0">
        <w:rPr>
          <w:rFonts w:ascii="Arial" w:hAnsi="Arial" w:cs="Arial"/>
          <w:sz w:val="24"/>
          <w:szCs w:val="24"/>
          <w:lang w:val="en-US"/>
        </w:rPr>
        <w:t>17.9</w:t>
      </w:r>
      <w:r w:rsidR="00DE7ED5">
        <w:rPr>
          <w:rFonts w:ascii="Arial" w:hAnsi="Arial" w:cs="Arial"/>
          <w:sz w:val="24"/>
          <w:szCs w:val="24"/>
          <w:lang w:val="en-US"/>
        </w:rPr>
        <w:t>-</w:t>
      </w:r>
      <w:r w:rsidR="002076F3" w:rsidRPr="00E262E0">
        <w:rPr>
          <w:rFonts w:ascii="Arial" w:hAnsi="Arial" w:cs="Arial"/>
          <w:sz w:val="24"/>
          <w:szCs w:val="24"/>
          <w:lang w:val="en-US"/>
        </w:rPr>
        <w:t>42.5</w:t>
      </w:r>
      <w:r w:rsidRPr="00E262E0">
        <w:rPr>
          <w:rFonts w:ascii="Arial" w:hAnsi="Arial" w:cs="Arial"/>
          <w:sz w:val="24"/>
          <w:szCs w:val="24"/>
          <w:lang w:val="en-US"/>
        </w:rPr>
        <w:t xml:space="preserve">) and </w:t>
      </w:r>
      <w:r w:rsidR="002076F3" w:rsidRPr="00E262E0">
        <w:rPr>
          <w:rFonts w:ascii="Arial" w:hAnsi="Arial" w:cs="Arial"/>
          <w:sz w:val="24"/>
          <w:szCs w:val="24"/>
          <w:lang w:val="en-US"/>
        </w:rPr>
        <w:t>68</w:t>
      </w:r>
      <w:r w:rsidR="00CB7E1B" w:rsidRPr="00E262E0">
        <w:rPr>
          <w:rFonts w:ascii="Arial" w:hAnsi="Arial" w:cs="Arial"/>
          <w:sz w:val="24"/>
          <w:szCs w:val="24"/>
          <w:lang w:val="en-US"/>
        </w:rPr>
        <w:t>.0</w:t>
      </w:r>
      <w:r w:rsidRPr="00E262E0">
        <w:rPr>
          <w:rFonts w:ascii="Arial" w:hAnsi="Arial" w:cs="Arial"/>
          <w:sz w:val="24"/>
          <w:szCs w:val="24"/>
          <w:lang w:val="en-US"/>
        </w:rPr>
        <w:t xml:space="preserve">% </w:t>
      </w:r>
      <w:r w:rsidR="002076F3" w:rsidRPr="00E262E0">
        <w:rPr>
          <w:rFonts w:ascii="Arial" w:hAnsi="Arial" w:cs="Arial"/>
          <w:sz w:val="24"/>
          <w:szCs w:val="24"/>
          <w:lang w:val="en-US"/>
        </w:rPr>
        <w:t>(49.2</w:t>
      </w:r>
      <w:r w:rsidR="00DE7ED5">
        <w:rPr>
          <w:rFonts w:ascii="Arial" w:hAnsi="Arial" w:cs="Arial"/>
          <w:sz w:val="24"/>
          <w:szCs w:val="24"/>
          <w:lang w:val="en-US"/>
        </w:rPr>
        <w:t>-</w:t>
      </w:r>
      <w:r w:rsidR="002076F3" w:rsidRPr="00E262E0">
        <w:rPr>
          <w:rFonts w:ascii="Arial" w:hAnsi="Arial" w:cs="Arial"/>
          <w:sz w:val="24"/>
          <w:szCs w:val="24"/>
          <w:lang w:val="en-US"/>
        </w:rPr>
        <w:t xml:space="preserve">86.8) </w:t>
      </w:r>
      <w:r w:rsidRPr="00E262E0">
        <w:rPr>
          <w:rFonts w:ascii="Arial" w:hAnsi="Arial" w:cs="Arial"/>
          <w:sz w:val="24"/>
          <w:szCs w:val="24"/>
          <w:lang w:val="en-US"/>
        </w:rPr>
        <w:t>respectively</w:t>
      </w:r>
      <w:r w:rsidR="002076F3" w:rsidRPr="00E262E0">
        <w:rPr>
          <w:rFonts w:ascii="Arial" w:hAnsi="Arial" w:cs="Arial"/>
          <w:sz w:val="24"/>
          <w:szCs w:val="24"/>
          <w:lang w:val="en-US"/>
        </w:rPr>
        <w:t xml:space="preserve"> (p=0.008)</w:t>
      </w:r>
      <w:r w:rsidR="00094269">
        <w:rPr>
          <w:rFonts w:ascii="Arial" w:hAnsi="Arial" w:cs="Arial"/>
          <w:sz w:val="24"/>
          <w:szCs w:val="24"/>
          <w:lang w:val="en-US"/>
        </w:rPr>
        <w:t xml:space="preserve"> over a median follow-up of 1.6 years (IQR, 0.9-3.6)</w:t>
      </w:r>
      <w:r w:rsidR="00347889" w:rsidRPr="00E262E0">
        <w:rPr>
          <w:rFonts w:ascii="Arial" w:hAnsi="Arial" w:cs="Arial"/>
          <w:sz w:val="24"/>
          <w:szCs w:val="24"/>
          <w:lang w:val="en-US"/>
        </w:rPr>
        <w:t xml:space="preserve"> (</w:t>
      </w:r>
      <w:r w:rsidR="00347889" w:rsidRPr="00E262E0">
        <w:rPr>
          <w:rFonts w:ascii="Arial" w:hAnsi="Arial" w:cs="Arial"/>
          <w:b/>
          <w:bCs/>
          <w:sz w:val="24"/>
          <w:szCs w:val="24"/>
          <w:lang w:val="en-US"/>
        </w:rPr>
        <w:t xml:space="preserve">Table </w:t>
      </w:r>
      <w:r w:rsidR="001D4FA7">
        <w:rPr>
          <w:rFonts w:ascii="Arial" w:hAnsi="Arial" w:cs="Arial"/>
          <w:b/>
          <w:bCs/>
          <w:sz w:val="24"/>
          <w:szCs w:val="24"/>
          <w:lang w:val="en-US"/>
        </w:rPr>
        <w:t>2</w:t>
      </w:r>
      <w:r w:rsidR="00347889" w:rsidRPr="00E262E0">
        <w:rPr>
          <w:rFonts w:ascii="Arial" w:hAnsi="Arial" w:cs="Arial"/>
          <w:sz w:val="24"/>
          <w:szCs w:val="24"/>
          <w:lang w:val="en-US"/>
        </w:rPr>
        <w:t>)</w:t>
      </w:r>
      <w:r w:rsidRPr="00E262E0">
        <w:rPr>
          <w:rFonts w:ascii="Arial" w:hAnsi="Arial" w:cs="Arial"/>
          <w:sz w:val="24"/>
          <w:szCs w:val="24"/>
          <w:lang w:val="en-US"/>
        </w:rPr>
        <w:t xml:space="preserve">. </w:t>
      </w:r>
      <w:r w:rsidR="00493A94" w:rsidRPr="00E262E0">
        <w:rPr>
          <w:rFonts w:ascii="Arial" w:hAnsi="Arial" w:cs="Arial"/>
          <w:sz w:val="24"/>
          <w:szCs w:val="24"/>
          <w:lang w:val="en-US"/>
        </w:rPr>
        <w:t xml:space="preserve">We, therefore, examined whether the PLS originally developed for stage 1 </w:t>
      </w:r>
      <w:r w:rsidR="00121302" w:rsidRPr="00E262E0">
        <w:rPr>
          <w:rFonts w:ascii="Arial" w:hAnsi="Arial" w:cs="Arial"/>
          <w:sz w:val="24"/>
          <w:szCs w:val="24"/>
          <w:lang w:val="en-US"/>
        </w:rPr>
        <w:t xml:space="preserve">type 1 diabetes </w:t>
      </w:r>
      <w:r w:rsidR="00493A94" w:rsidRPr="00E262E0">
        <w:rPr>
          <w:rFonts w:ascii="Arial" w:hAnsi="Arial" w:cs="Arial"/>
          <w:sz w:val="24"/>
          <w:szCs w:val="24"/>
          <w:lang w:val="en-US"/>
        </w:rPr>
        <w:t>could stratify the 2</w:t>
      </w:r>
      <w:r w:rsidR="0009083E" w:rsidRPr="00E262E0">
        <w:rPr>
          <w:rFonts w:ascii="Arial" w:hAnsi="Arial" w:cs="Arial"/>
          <w:sz w:val="24"/>
          <w:szCs w:val="24"/>
          <w:lang w:val="en-US"/>
        </w:rPr>
        <w:t>-</w:t>
      </w:r>
      <w:r w:rsidR="00493A94" w:rsidRPr="00E262E0">
        <w:rPr>
          <w:rFonts w:ascii="Arial" w:hAnsi="Arial" w:cs="Arial"/>
          <w:sz w:val="24"/>
          <w:szCs w:val="24"/>
          <w:lang w:val="en-US"/>
        </w:rPr>
        <w:t xml:space="preserve">year risk in </w:t>
      </w:r>
      <w:r w:rsidR="00C76985" w:rsidRPr="00E262E0">
        <w:rPr>
          <w:rFonts w:ascii="Arial" w:hAnsi="Arial" w:cs="Arial"/>
          <w:sz w:val="24"/>
          <w:szCs w:val="24"/>
          <w:lang w:val="en-US"/>
        </w:rPr>
        <w:t xml:space="preserve">the 58 </w:t>
      </w:r>
      <w:r w:rsidR="00B62EE9" w:rsidRPr="00E262E0">
        <w:rPr>
          <w:rFonts w:ascii="Arial" w:hAnsi="Arial" w:cs="Arial"/>
          <w:sz w:val="24"/>
          <w:szCs w:val="24"/>
          <w:lang w:val="en-US"/>
        </w:rPr>
        <w:t xml:space="preserve">children </w:t>
      </w:r>
      <w:r w:rsidR="00493A94" w:rsidRPr="00E262E0">
        <w:rPr>
          <w:rFonts w:ascii="Arial" w:hAnsi="Arial" w:cs="Arial"/>
          <w:sz w:val="24"/>
          <w:szCs w:val="24"/>
          <w:lang w:val="en-US"/>
        </w:rPr>
        <w:t>with</w:t>
      </w:r>
      <w:r w:rsidR="00EC2E0A" w:rsidRPr="00E262E0">
        <w:rPr>
          <w:rFonts w:ascii="Arial" w:hAnsi="Arial" w:cs="Arial"/>
          <w:sz w:val="24"/>
          <w:szCs w:val="24"/>
          <w:lang w:val="en-US"/>
        </w:rPr>
        <w:t xml:space="preserve"> one abnormality</w:t>
      </w:r>
      <w:r w:rsidR="00493A94" w:rsidRPr="00E262E0">
        <w:rPr>
          <w:rFonts w:ascii="Arial" w:hAnsi="Arial" w:cs="Arial"/>
          <w:sz w:val="24"/>
          <w:szCs w:val="24"/>
          <w:lang w:val="en-US"/>
        </w:rPr>
        <w:t xml:space="preserve"> stage 2 </w:t>
      </w:r>
      <w:r w:rsidR="00121302" w:rsidRPr="00E262E0">
        <w:rPr>
          <w:rFonts w:ascii="Arial" w:hAnsi="Arial" w:cs="Arial"/>
          <w:sz w:val="24"/>
          <w:szCs w:val="24"/>
          <w:lang w:val="en-US"/>
        </w:rPr>
        <w:t>type 1 diabetes</w:t>
      </w:r>
      <w:r w:rsidR="00493A94" w:rsidRPr="00E262E0">
        <w:rPr>
          <w:rFonts w:ascii="Arial" w:hAnsi="Arial" w:cs="Arial"/>
          <w:sz w:val="24"/>
          <w:szCs w:val="24"/>
          <w:lang w:val="en-US"/>
        </w:rPr>
        <w:t xml:space="preserve">. </w:t>
      </w:r>
      <w:r w:rsidR="00493A94" w:rsidRPr="00E262E0">
        <w:rPr>
          <w:rFonts w:ascii="Arial" w:hAnsi="Arial" w:cs="Arial"/>
          <w:sz w:val="24"/>
          <w:szCs w:val="24"/>
          <w:lang w:val="en-US"/>
        </w:rPr>
        <w:lastRenderedPageBreak/>
        <w:t xml:space="preserve">A ROC analysis yielded an AUC of </w:t>
      </w:r>
      <w:r w:rsidR="00493A94" w:rsidRPr="00B662C3">
        <w:rPr>
          <w:rFonts w:ascii="Arial" w:hAnsi="Arial" w:cs="Arial"/>
          <w:sz w:val="24"/>
          <w:szCs w:val="24"/>
          <w:lang w:val="en-US"/>
        </w:rPr>
        <w:t>0.</w:t>
      </w:r>
      <w:r w:rsidR="00B74762" w:rsidRPr="00B662C3">
        <w:rPr>
          <w:rFonts w:ascii="Arial" w:hAnsi="Arial" w:cs="Arial"/>
          <w:sz w:val="24"/>
          <w:szCs w:val="24"/>
          <w:lang w:val="en-US"/>
        </w:rPr>
        <w:t>680</w:t>
      </w:r>
      <w:r w:rsidR="00493A94" w:rsidRPr="00E262E0">
        <w:rPr>
          <w:rFonts w:ascii="Arial" w:hAnsi="Arial" w:cs="Arial"/>
          <w:sz w:val="24"/>
          <w:szCs w:val="24"/>
          <w:lang w:val="en-US"/>
        </w:rPr>
        <w:t>. A PLS threshold of 1.6 stratified the progression with 2</w:t>
      </w:r>
      <w:r w:rsidR="0009083E" w:rsidRPr="00E262E0">
        <w:rPr>
          <w:rFonts w:ascii="Arial" w:hAnsi="Arial" w:cs="Arial"/>
          <w:sz w:val="24"/>
          <w:szCs w:val="24"/>
          <w:lang w:val="en-US"/>
        </w:rPr>
        <w:t>-</w:t>
      </w:r>
      <w:r w:rsidR="00493A94" w:rsidRPr="00E262E0">
        <w:rPr>
          <w:rFonts w:ascii="Arial" w:hAnsi="Arial" w:cs="Arial"/>
          <w:sz w:val="24"/>
          <w:szCs w:val="24"/>
          <w:lang w:val="en-US"/>
        </w:rPr>
        <w:t xml:space="preserve">year risks of </w:t>
      </w:r>
      <w:r w:rsidR="00CB7E1B" w:rsidRPr="00E262E0">
        <w:rPr>
          <w:rFonts w:ascii="Arial" w:hAnsi="Arial" w:cs="Arial"/>
          <w:sz w:val="24"/>
          <w:szCs w:val="24"/>
          <w:lang w:val="en-US"/>
        </w:rPr>
        <w:t>42.4</w:t>
      </w:r>
      <w:r w:rsidR="00493A94" w:rsidRPr="00E262E0">
        <w:rPr>
          <w:rFonts w:ascii="Arial" w:hAnsi="Arial" w:cs="Arial"/>
          <w:sz w:val="24"/>
          <w:szCs w:val="24"/>
          <w:lang w:val="en-US"/>
        </w:rPr>
        <w:t>% (95%</w:t>
      </w:r>
      <w:r w:rsidR="008E1900" w:rsidRPr="00E262E0">
        <w:rPr>
          <w:rFonts w:ascii="Arial" w:hAnsi="Arial" w:cs="Arial"/>
          <w:sz w:val="24"/>
          <w:szCs w:val="24"/>
          <w:lang w:val="en-US"/>
        </w:rPr>
        <w:t xml:space="preserve"> </w:t>
      </w:r>
      <w:r w:rsidR="00493A94" w:rsidRPr="00E262E0">
        <w:rPr>
          <w:rFonts w:ascii="Arial" w:hAnsi="Arial" w:cs="Arial"/>
          <w:sz w:val="24"/>
          <w:szCs w:val="24"/>
          <w:lang w:val="en-US"/>
        </w:rPr>
        <w:t>CI,</w:t>
      </w:r>
      <w:r w:rsidR="00CB7E1B" w:rsidRPr="00E262E0">
        <w:rPr>
          <w:rFonts w:ascii="Arial" w:hAnsi="Arial" w:cs="Arial"/>
          <w:sz w:val="24"/>
          <w:szCs w:val="24"/>
          <w:lang w:val="en-US"/>
        </w:rPr>
        <w:t xml:space="preserve"> 22.8</w:t>
      </w:r>
      <w:r w:rsidR="00DE7ED5">
        <w:rPr>
          <w:rFonts w:ascii="Arial" w:hAnsi="Arial" w:cs="Arial"/>
          <w:sz w:val="24"/>
          <w:szCs w:val="24"/>
          <w:lang w:val="en-US"/>
        </w:rPr>
        <w:t>-</w:t>
      </w:r>
      <w:r w:rsidR="00CB7E1B" w:rsidRPr="00E262E0">
        <w:rPr>
          <w:rFonts w:ascii="Arial" w:hAnsi="Arial" w:cs="Arial"/>
          <w:sz w:val="24"/>
          <w:szCs w:val="24"/>
          <w:lang w:val="en-US"/>
        </w:rPr>
        <w:t>57.0</w:t>
      </w:r>
      <w:r w:rsidR="00493A94" w:rsidRPr="00E262E0">
        <w:rPr>
          <w:rFonts w:ascii="Arial" w:hAnsi="Arial" w:cs="Arial"/>
          <w:sz w:val="24"/>
          <w:szCs w:val="24"/>
          <w:lang w:val="en-US"/>
        </w:rPr>
        <w:t xml:space="preserve">) </w:t>
      </w:r>
      <w:r w:rsidR="00204B0A" w:rsidRPr="00E262E0">
        <w:rPr>
          <w:rFonts w:ascii="Arial" w:hAnsi="Arial" w:cs="Arial"/>
          <w:sz w:val="24"/>
          <w:szCs w:val="24"/>
          <w:lang w:val="en-US"/>
        </w:rPr>
        <w:t xml:space="preserve">in 35 </w:t>
      </w:r>
      <w:r w:rsidR="00B62EE9" w:rsidRPr="00E262E0">
        <w:rPr>
          <w:rFonts w:ascii="Arial" w:hAnsi="Arial" w:cs="Arial"/>
          <w:sz w:val="24"/>
          <w:szCs w:val="24"/>
          <w:lang w:val="en-US"/>
        </w:rPr>
        <w:t xml:space="preserve">children </w:t>
      </w:r>
      <w:r w:rsidR="00493A94" w:rsidRPr="00E262E0">
        <w:rPr>
          <w:rFonts w:ascii="Arial" w:hAnsi="Arial" w:cs="Arial"/>
          <w:sz w:val="24"/>
          <w:szCs w:val="24"/>
          <w:lang w:val="en-US"/>
        </w:rPr>
        <w:t xml:space="preserve">with values &gt;1.6 and </w:t>
      </w:r>
      <w:r w:rsidR="00CB7E1B" w:rsidRPr="00E262E0">
        <w:rPr>
          <w:rFonts w:ascii="Arial" w:hAnsi="Arial" w:cs="Arial"/>
          <w:sz w:val="24"/>
          <w:szCs w:val="24"/>
          <w:lang w:val="en-US"/>
        </w:rPr>
        <w:t>5.6</w:t>
      </w:r>
      <w:r w:rsidR="00493A94" w:rsidRPr="00E262E0">
        <w:rPr>
          <w:rFonts w:ascii="Arial" w:hAnsi="Arial" w:cs="Arial"/>
          <w:sz w:val="24"/>
          <w:szCs w:val="24"/>
          <w:lang w:val="en-US"/>
        </w:rPr>
        <w:t>% (95% CI,</w:t>
      </w:r>
      <w:r w:rsidR="00CB7E1B" w:rsidRPr="00E262E0">
        <w:rPr>
          <w:rFonts w:ascii="Arial" w:hAnsi="Arial" w:cs="Arial"/>
          <w:sz w:val="24"/>
          <w:szCs w:val="24"/>
          <w:lang w:val="en-US"/>
        </w:rPr>
        <w:t xml:space="preserve"> 0.0</w:t>
      </w:r>
      <w:r w:rsidR="00DE7ED5">
        <w:rPr>
          <w:rFonts w:ascii="Arial" w:hAnsi="Arial" w:cs="Arial"/>
          <w:sz w:val="24"/>
          <w:szCs w:val="24"/>
          <w:lang w:val="en-US"/>
        </w:rPr>
        <w:t>-</w:t>
      </w:r>
      <w:r w:rsidR="00CB7E1B" w:rsidRPr="00E262E0">
        <w:rPr>
          <w:rFonts w:ascii="Arial" w:hAnsi="Arial" w:cs="Arial"/>
          <w:sz w:val="24"/>
          <w:szCs w:val="24"/>
          <w:lang w:val="en-US"/>
        </w:rPr>
        <w:t>15.6</w:t>
      </w:r>
      <w:r w:rsidR="00493A94" w:rsidRPr="00E262E0">
        <w:rPr>
          <w:rFonts w:ascii="Arial" w:hAnsi="Arial" w:cs="Arial"/>
          <w:sz w:val="24"/>
          <w:szCs w:val="24"/>
          <w:lang w:val="en-US"/>
        </w:rPr>
        <w:t>; p</w:t>
      </w:r>
      <w:r w:rsidR="006B7335" w:rsidRPr="00E262E0">
        <w:rPr>
          <w:rFonts w:ascii="Arial" w:hAnsi="Arial" w:cs="Arial"/>
          <w:sz w:val="24"/>
          <w:szCs w:val="24"/>
          <w:lang w:val="en-US"/>
        </w:rPr>
        <w:t>=0.002</w:t>
      </w:r>
      <w:r w:rsidR="00493A94" w:rsidRPr="00E262E0">
        <w:rPr>
          <w:rFonts w:ascii="Arial" w:hAnsi="Arial" w:cs="Arial"/>
          <w:sz w:val="24"/>
          <w:szCs w:val="24"/>
          <w:lang w:val="en-US"/>
        </w:rPr>
        <w:t xml:space="preserve">) </w:t>
      </w:r>
      <w:r w:rsidR="00204B0A" w:rsidRPr="00E262E0">
        <w:rPr>
          <w:rFonts w:ascii="Arial" w:hAnsi="Arial" w:cs="Arial"/>
          <w:sz w:val="24"/>
          <w:szCs w:val="24"/>
          <w:lang w:val="en-US"/>
        </w:rPr>
        <w:t xml:space="preserve">in 20 </w:t>
      </w:r>
      <w:r w:rsidR="00493A94" w:rsidRPr="00E262E0">
        <w:rPr>
          <w:rFonts w:ascii="Arial" w:hAnsi="Arial" w:cs="Arial"/>
          <w:sz w:val="24"/>
          <w:szCs w:val="24"/>
          <w:lang w:val="en-US"/>
        </w:rPr>
        <w:t>with values &lt;1.6</w:t>
      </w:r>
      <w:r w:rsidR="00347889" w:rsidRPr="00E262E0">
        <w:rPr>
          <w:rFonts w:ascii="Arial" w:hAnsi="Arial" w:cs="Arial"/>
          <w:sz w:val="24"/>
          <w:szCs w:val="24"/>
          <w:lang w:val="en-US"/>
        </w:rPr>
        <w:t xml:space="preserve"> (</w:t>
      </w:r>
      <w:r w:rsidR="00347889" w:rsidRPr="00E262E0">
        <w:rPr>
          <w:rFonts w:ascii="Arial" w:hAnsi="Arial" w:cs="Arial"/>
          <w:b/>
          <w:bCs/>
          <w:sz w:val="24"/>
          <w:szCs w:val="24"/>
          <w:lang w:val="en-US"/>
        </w:rPr>
        <w:t xml:space="preserve">Table </w:t>
      </w:r>
      <w:r w:rsidR="001D4FA7">
        <w:rPr>
          <w:rFonts w:ascii="Arial" w:hAnsi="Arial" w:cs="Arial"/>
          <w:b/>
          <w:bCs/>
          <w:sz w:val="24"/>
          <w:szCs w:val="24"/>
          <w:lang w:val="en-US"/>
        </w:rPr>
        <w:t>2</w:t>
      </w:r>
      <w:r w:rsidR="00C76985" w:rsidRPr="00E262E0">
        <w:rPr>
          <w:rFonts w:ascii="Arial" w:hAnsi="Arial" w:cs="Arial"/>
          <w:b/>
          <w:bCs/>
          <w:sz w:val="24"/>
          <w:szCs w:val="24"/>
          <w:lang w:val="en-US"/>
        </w:rPr>
        <w:t>, Fig</w:t>
      </w:r>
      <w:r w:rsidR="007205F8" w:rsidRPr="00E262E0">
        <w:rPr>
          <w:rFonts w:ascii="Arial" w:hAnsi="Arial" w:cs="Arial"/>
          <w:b/>
          <w:bCs/>
          <w:sz w:val="24"/>
          <w:szCs w:val="24"/>
          <w:lang w:val="en-US"/>
        </w:rPr>
        <w:t>. 3</w:t>
      </w:r>
      <w:r w:rsidR="00347889" w:rsidRPr="00E262E0">
        <w:rPr>
          <w:rFonts w:ascii="Arial" w:hAnsi="Arial" w:cs="Arial"/>
          <w:sz w:val="24"/>
          <w:szCs w:val="24"/>
          <w:lang w:val="en-US"/>
        </w:rPr>
        <w:t>)</w:t>
      </w:r>
      <w:r w:rsidR="00493A94" w:rsidRPr="00E262E0">
        <w:rPr>
          <w:rFonts w:ascii="Arial" w:hAnsi="Arial" w:cs="Arial"/>
          <w:sz w:val="24"/>
          <w:szCs w:val="24"/>
          <w:lang w:val="en-US"/>
        </w:rPr>
        <w:t xml:space="preserve">. </w:t>
      </w:r>
      <w:r w:rsidRPr="00E262E0">
        <w:rPr>
          <w:rFonts w:ascii="Arial" w:hAnsi="Arial" w:cs="Arial"/>
          <w:sz w:val="24"/>
          <w:szCs w:val="24"/>
          <w:lang w:val="en-US"/>
        </w:rPr>
        <w:t xml:space="preserve">Another </w:t>
      </w:r>
      <w:r w:rsidR="006B7335" w:rsidRPr="00E262E0">
        <w:rPr>
          <w:rFonts w:ascii="Arial" w:hAnsi="Arial" w:cs="Arial"/>
          <w:sz w:val="24"/>
          <w:szCs w:val="24"/>
          <w:lang w:val="en-US"/>
        </w:rPr>
        <w:t xml:space="preserve">152 </w:t>
      </w:r>
      <w:r w:rsidRPr="00E262E0">
        <w:rPr>
          <w:rFonts w:ascii="Arial" w:hAnsi="Arial" w:cs="Arial"/>
          <w:sz w:val="24"/>
          <w:szCs w:val="24"/>
          <w:lang w:val="en-US"/>
        </w:rPr>
        <w:t xml:space="preserve">developed stage 2 </w:t>
      </w:r>
      <w:r w:rsidR="00121302" w:rsidRPr="00E262E0">
        <w:rPr>
          <w:rFonts w:ascii="Arial" w:hAnsi="Arial" w:cs="Arial"/>
          <w:sz w:val="24"/>
          <w:szCs w:val="24"/>
          <w:lang w:val="en-US"/>
        </w:rPr>
        <w:t>t</w:t>
      </w:r>
      <w:r w:rsidR="00767E46" w:rsidRPr="00E262E0">
        <w:rPr>
          <w:rFonts w:ascii="Arial" w:hAnsi="Arial" w:cs="Arial"/>
          <w:sz w:val="24"/>
          <w:szCs w:val="24"/>
          <w:lang w:val="en-US"/>
        </w:rPr>
        <w:t xml:space="preserve">ype 1 diabetes </w:t>
      </w:r>
      <w:r w:rsidRPr="00E262E0">
        <w:rPr>
          <w:rFonts w:ascii="Arial" w:hAnsi="Arial" w:cs="Arial"/>
          <w:sz w:val="24"/>
          <w:szCs w:val="24"/>
          <w:lang w:val="en-US"/>
        </w:rPr>
        <w:t>with a single dysglycemic abnormality in follow-up. T</w:t>
      </w:r>
      <w:r w:rsidR="00493A94" w:rsidRPr="00E262E0">
        <w:rPr>
          <w:rFonts w:ascii="Arial" w:hAnsi="Arial" w:cs="Arial"/>
          <w:sz w:val="24"/>
          <w:szCs w:val="24"/>
          <w:lang w:val="en-US"/>
        </w:rPr>
        <w:t xml:space="preserve">he PLS was </w:t>
      </w:r>
      <w:r w:rsidR="002076F3" w:rsidRPr="00E262E0">
        <w:rPr>
          <w:rFonts w:ascii="Arial" w:hAnsi="Arial" w:cs="Arial"/>
          <w:sz w:val="24"/>
          <w:szCs w:val="24"/>
          <w:lang w:val="en-US"/>
        </w:rPr>
        <w:t xml:space="preserve">also </w:t>
      </w:r>
      <w:r w:rsidR="00493A94" w:rsidRPr="00E262E0">
        <w:rPr>
          <w:rFonts w:ascii="Arial" w:hAnsi="Arial" w:cs="Arial"/>
          <w:sz w:val="24"/>
          <w:szCs w:val="24"/>
          <w:lang w:val="en-US"/>
        </w:rPr>
        <w:t xml:space="preserve">able to stratify risk of progression to stage 3 </w:t>
      </w:r>
      <w:r w:rsidR="00121302" w:rsidRPr="00E262E0">
        <w:rPr>
          <w:rFonts w:ascii="Arial" w:hAnsi="Arial" w:cs="Arial"/>
          <w:sz w:val="24"/>
          <w:szCs w:val="24"/>
          <w:lang w:val="en-US"/>
        </w:rPr>
        <w:t xml:space="preserve">type 1 diabetes </w:t>
      </w:r>
      <w:r w:rsidRPr="00E262E0">
        <w:rPr>
          <w:rFonts w:ascii="Arial" w:hAnsi="Arial" w:cs="Arial"/>
          <w:sz w:val="24"/>
          <w:szCs w:val="24"/>
          <w:lang w:val="en-US"/>
        </w:rPr>
        <w:t xml:space="preserve">in these </w:t>
      </w:r>
      <w:r w:rsidR="00B62EE9" w:rsidRPr="00E262E0">
        <w:rPr>
          <w:rFonts w:ascii="Arial" w:hAnsi="Arial" w:cs="Arial"/>
          <w:sz w:val="24"/>
          <w:szCs w:val="24"/>
          <w:lang w:val="en-US"/>
        </w:rPr>
        <w:t xml:space="preserve">children </w:t>
      </w:r>
      <w:r w:rsidR="00493A94" w:rsidRPr="00E262E0">
        <w:rPr>
          <w:rFonts w:ascii="Arial" w:hAnsi="Arial" w:cs="Arial"/>
          <w:sz w:val="24"/>
          <w:szCs w:val="24"/>
          <w:lang w:val="en-US"/>
        </w:rPr>
        <w:t xml:space="preserve">with </w:t>
      </w:r>
      <w:r w:rsidR="0009083E" w:rsidRPr="00E262E0">
        <w:rPr>
          <w:rFonts w:ascii="Arial" w:hAnsi="Arial" w:cs="Arial"/>
          <w:sz w:val="24"/>
          <w:szCs w:val="24"/>
          <w:lang w:val="en-US"/>
        </w:rPr>
        <w:t>2-year</w:t>
      </w:r>
      <w:r w:rsidR="00493A94" w:rsidRPr="00E262E0">
        <w:rPr>
          <w:rFonts w:ascii="Arial" w:hAnsi="Arial" w:cs="Arial"/>
          <w:sz w:val="24"/>
          <w:szCs w:val="24"/>
          <w:lang w:val="en-US"/>
        </w:rPr>
        <w:t xml:space="preserve"> risks of </w:t>
      </w:r>
      <w:r w:rsidR="00AF3237" w:rsidRPr="00E262E0">
        <w:rPr>
          <w:rFonts w:ascii="Arial" w:hAnsi="Arial" w:cs="Arial"/>
          <w:sz w:val="24"/>
          <w:szCs w:val="24"/>
          <w:lang w:val="en-US"/>
        </w:rPr>
        <w:t>3</w:t>
      </w:r>
      <w:r w:rsidR="00E441D1" w:rsidRPr="00E262E0">
        <w:rPr>
          <w:rFonts w:ascii="Arial" w:hAnsi="Arial" w:cs="Arial"/>
          <w:sz w:val="24"/>
          <w:szCs w:val="24"/>
          <w:lang w:val="en-US"/>
        </w:rPr>
        <w:t>4</w:t>
      </w:r>
      <w:r w:rsidR="00AF3237" w:rsidRPr="00E262E0">
        <w:rPr>
          <w:rFonts w:ascii="Arial" w:hAnsi="Arial" w:cs="Arial"/>
          <w:sz w:val="24"/>
          <w:szCs w:val="24"/>
          <w:lang w:val="en-US"/>
        </w:rPr>
        <w:t>.</w:t>
      </w:r>
      <w:r w:rsidR="00E441D1" w:rsidRPr="00E262E0">
        <w:rPr>
          <w:rFonts w:ascii="Arial" w:hAnsi="Arial" w:cs="Arial"/>
          <w:sz w:val="24"/>
          <w:szCs w:val="24"/>
          <w:lang w:val="en-US"/>
        </w:rPr>
        <w:t>7</w:t>
      </w:r>
      <w:r w:rsidR="00493A94" w:rsidRPr="00E262E0">
        <w:rPr>
          <w:rFonts w:ascii="Arial" w:hAnsi="Arial" w:cs="Arial"/>
          <w:sz w:val="24"/>
          <w:szCs w:val="24"/>
          <w:lang w:val="en-US"/>
        </w:rPr>
        <w:t>% (95%CI,</w:t>
      </w:r>
      <w:r w:rsidR="00AF3237" w:rsidRPr="00E262E0">
        <w:rPr>
          <w:rFonts w:ascii="Arial" w:hAnsi="Arial" w:cs="Arial"/>
          <w:sz w:val="24"/>
          <w:szCs w:val="24"/>
          <w:lang w:val="en-US"/>
        </w:rPr>
        <w:t xml:space="preserve"> </w:t>
      </w:r>
      <w:r w:rsidR="00E441D1" w:rsidRPr="00E262E0">
        <w:rPr>
          <w:rFonts w:ascii="Arial" w:hAnsi="Arial" w:cs="Arial"/>
          <w:sz w:val="24"/>
          <w:szCs w:val="24"/>
          <w:lang w:val="en-US"/>
        </w:rPr>
        <w:t>21.4</w:t>
      </w:r>
      <w:r w:rsidR="00DE7ED5">
        <w:rPr>
          <w:rFonts w:ascii="Arial" w:hAnsi="Arial" w:cs="Arial"/>
          <w:sz w:val="24"/>
          <w:szCs w:val="24"/>
          <w:lang w:val="en-US"/>
        </w:rPr>
        <w:t>-</w:t>
      </w:r>
      <w:r w:rsidR="00AF3237" w:rsidRPr="00E262E0">
        <w:rPr>
          <w:rFonts w:ascii="Arial" w:hAnsi="Arial" w:cs="Arial"/>
          <w:sz w:val="24"/>
          <w:szCs w:val="24"/>
          <w:lang w:val="en-US"/>
        </w:rPr>
        <w:t>4</w:t>
      </w:r>
      <w:r w:rsidR="00E441D1" w:rsidRPr="00E262E0">
        <w:rPr>
          <w:rFonts w:ascii="Arial" w:hAnsi="Arial" w:cs="Arial"/>
          <w:sz w:val="24"/>
          <w:szCs w:val="24"/>
          <w:lang w:val="en-US"/>
        </w:rPr>
        <w:t>5</w:t>
      </w:r>
      <w:r w:rsidR="00AF3237" w:rsidRPr="00E262E0">
        <w:rPr>
          <w:rFonts w:ascii="Arial" w:hAnsi="Arial" w:cs="Arial"/>
          <w:sz w:val="24"/>
          <w:szCs w:val="24"/>
          <w:lang w:val="en-US"/>
        </w:rPr>
        <w:t>.7</w:t>
      </w:r>
      <w:r w:rsidR="00493A94" w:rsidRPr="00E262E0">
        <w:rPr>
          <w:rFonts w:ascii="Arial" w:hAnsi="Arial" w:cs="Arial"/>
          <w:sz w:val="24"/>
          <w:szCs w:val="24"/>
          <w:lang w:val="en-US"/>
        </w:rPr>
        <w:t xml:space="preserve">) in the </w:t>
      </w:r>
      <w:r w:rsidR="00E441D1" w:rsidRPr="00E262E0">
        <w:rPr>
          <w:rFonts w:ascii="Arial" w:hAnsi="Arial" w:cs="Arial"/>
          <w:sz w:val="24"/>
          <w:szCs w:val="24"/>
          <w:lang w:val="en-US"/>
        </w:rPr>
        <w:t>7</w:t>
      </w:r>
      <w:r w:rsidR="007205F8" w:rsidRPr="00E262E0">
        <w:rPr>
          <w:rFonts w:ascii="Arial" w:hAnsi="Arial" w:cs="Arial"/>
          <w:sz w:val="24"/>
          <w:szCs w:val="24"/>
          <w:lang w:val="en-US"/>
        </w:rPr>
        <w:t>2</w:t>
      </w:r>
      <w:r w:rsidR="00AF3237" w:rsidRPr="00E262E0">
        <w:rPr>
          <w:rFonts w:ascii="Arial" w:hAnsi="Arial" w:cs="Arial"/>
          <w:sz w:val="24"/>
          <w:szCs w:val="24"/>
          <w:lang w:val="en-US"/>
        </w:rPr>
        <w:t xml:space="preserve"> </w:t>
      </w:r>
      <w:r w:rsidR="00493A94" w:rsidRPr="00E262E0">
        <w:rPr>
          <w:rFonts w:ascii="Arial" w:hAnsi="Arial" w:cs="Arial"/>
          <w:sz w:val="24"/>
          <w:szCs w:val="24"/>
          <w:lang w:val="en-US"/>
        </w:rPr>
        <w:t>with a PLS</w:t>
      </w:r>
      <w:r w:rsidR="008E1900" w:rsidRPr="00E262E0">
        <w:rPr>
          <w:rFonts w:ascii="Arial" w:hAnsi="Arial" w:cs="Arial"/>
          <w:sz w:val="24"/>
          <w:szCs w:val="24"/>
          <w:lang w:val="en-US"/>
        </w:rPr>
        <w:t xml:space="preserve"> </w:t>
      </w:r>
      <w:r w:rsidR="00493A94" w:rsidRPr="00E262E0">
        <w:rPr>
          <w:rFonts w:ascii="Arial" w:hAnsi="Arial" w:cs="Arial"/>
          <w:sz w:val="24"/>
          <w:szCs w:val="24"/>
          <w:lang w:val="en-US"/>
        </w:rPr>
        <w:t xml:space="preserve">&gt;1.6 and </w:t>
      </w:r>
      <w:r w:rsidR="00AF3237" w:rsidRPr="00E262E0">
        <w:rPr>
          <w:rFonts w:ascii="Arial" w:hAnsi="Arial" w:cs="Arial"/>
          <w:sz w:val="24"/>
          <w:szCs w:val="24"/>
          <w:lang w:val="en-US"/>
        </w:rPr>
        <w:t>5.1</w:t>
      </w:r>
      <w:r w:rsidR="00493A94" w:rsidRPr="00E262E0">
        <w:rPr>
          <w:rFonts w:ascii="Arial" w:hAnsi="Arial" w:cs="Arial"/>
          <w:sz w:val="24"/>
          <w:szCs w:val="24"/>
          <w:lang w:val="en-US"/>
        </w:rPr>
        <w:t>% (95%</w:t>
      </w:r>
      <w:r w:rsidR="008E1900" w:rsidRPr="00E262E0">
        <w:rPr>
          <w:rFonts w:ascii="Arial" w:hAnsi="Arial" w:cs="Arial"/>
          <w:sz w:val="24"/>
          <w:szCs w:val="24"/>
          <w:lang w:val="en-US"/>
        </w:rPr>
        <w:t xml:space="preserve"> </w:t>
      </w:r>
      <w:r w:rsidR="00493A94" w:rsidRPr="00E262E0">
        <w:rPr>
          <w:rFonts w:ascii="Arial" w:hAnsi="Arial" w:cs="Arial"/>
          <w:sz w:val="24"/>
          <w:szCs w:val="24"/>
          <w:lang w:val="en-US"/>
        </w:rPr>
        <w:t>CI,</w:t>
      </w:r>
      <w:r w:rsidR="00AF3237" w:rsidRPr="00E262E0">
        <w:rPr>
          <w:rFonts w:ascii="Arial" w:hAnsi="Arial" w:cs="Arial"/>
          <w:sz w:val="24"/>
          <w:szCs w:val="24"/>
          <w:lang w:val="en-US"/>
        </w:rPr>
        <w:t xml:space="preserve"> 0.0</w:t>
      </w:r>
      <w:r w:rsidR="00DE7ED5">
        <w:rPr>
          <w:rFonts w:ascii="Arial" w:hAnsi="Arial" w:cs="Arial"/>
          <w:sz w:val="24"/>
          <w:szCs w:val="24"/>
          <w:lang w:val="en-US"/>
        </w:rPr>
        <w:t>-</w:t>
      </w:r>
      <w:r w:rsidR="00AF3237" w:rsidRPr="00E262E0">
        <w:rPr>
          <w:rFonts w:ascii="Arial" w:hAnsi="Arial" w:cs="Arial"/>
          <w:sz w:val="24"/>
          <w:szCs w:val="24"/>
          <w:lang w:val="en-US"/>
        </w:rPr>
        <w:t>10.7</w:t>
      </w:r>
      <w:r w:rsidR="00493A94" w:rsidRPr="00E262E0">
        <w:rPr>
          <w:rFonts w:ascii="Arial" w:hAnsi="Arial" w:cs="Arial"/>
          <w:sz w:val="24"/>
          <w:szCs w:val="24"/>
          <w:lang w:val="en-US"/>
        </w:rPr>
        <w:t xml:space="preserve">) in the </w:t>
      </w:r>
      <w:r w:rsidR="00AF3237" w:rsidRPr="00E262E0">
        <w:rPr>
          <w:rFonts w:ascii="Arial" w:hAnsi="Arial" w:cs="Arial"/>
          <w:sz w:val="24"/>
          <w:szCs w:val="24"/>
          <w:lang w:val="en-US"/>
        </w:rPr>
        <w:t xml:space="preserve">61 </w:t>
      </w:r>
      <w:r w:rsidR="00493A94" w:rsidRPr="00E262E0">
        <w:rPr>
          <w:rFonts w:ascii="Arial" w:hAnsi="Arial" w:cs="Arial"/>
          <w:sz w:val="24"/>
          <w:szCs w:val="24"/>
          <w:lang w:val="en-US"/>
        </w:rPr>
        <w:t>with a PLS &lt;1.6 (p</w:t>
      </w:r>
      <w:r w:rsidR="00AF3237" w:rsidRPr="00E262E0">
        <w:rPr>
          <w:rFonts w:ascii="Arial" w:hAnsi="Arial" w:cs="Arial"/>
          <w:sz w:val="24"/>
          <w:szCs w:val="24"/>
          <w:lang w:val="en-US"/>
        </w:rPr>
        <w:t>&lt;0.0001</w:t>
      </w:r>
      <w:r w:rsidR="00493A94" w:rsidRPr="00E262E0">
        <w:rPr>
          <w:rFonts w:ascii="Arial" w:hAnsi="Arial" w:cs="Arial"/>
          <w:sz w:val="24"/>
          <w:szCs w:val="24"/>
          <w:lang w:val="en-US"/>
        </w:rPr>
        <w:t>;</w:t>
      </w:r>
      <w:r w:rsidR="00704B71" w:rsidRPr="00E262E0">
        <w:rPr>
          <w:rFonts w:ascii="Arial" w:hAnsi="Arial" w:cs="Arial"/>
          <w:sz w:val="24"/>
          <w:szCs w:val="24"/>
          <w:lang w:val="en-US"/>
        </w:rPr>
        <w:t xml:space="preserve"> </w:t>
      </w:r>
      <w:r w:rsidR="00185A14" w:rsidRPr="00E262E0">
        <w:rPr>
          <w:rFonts w:ascii="Arial" w:hAnsi="Arial" w:cs="Arial"/>
          <w:b/>
          <w:bCs/>
          <w:sz w:val="24"/>
          <w:szCs w:val="24"/>
          <w:lang w:val="en-US"/>
        </w:rPr>
        <w:t xml:space="preserve">Supplemental Fig. </w:t>
      </w:r>
      <w:r w:rsidR="001C7053">
        <w:rPr>
          <w:rFonts w:ascii="Arial" w:hAnsi="Arial" w:cs="Arial"/>
          <w:b/>
          <w:bCs/>
          <w:sz w:val="24"/>
          <w:szCs w:val="24"/>
          <w:lang w:val="en-US"/>
        </w:rPr>
        <w:t>7</w:t>
      </w:r>
      <w:r w:rsidR="00493A94" w:rsidRPr="00E262E0">
        <w:rPr>
          <w:rFonts w:ascii="Arial" w:hAnsi="Arial" w:cs="Arial"/>
          <w:sz w:val="24"/>
          <w:szCs w:val="24"/>
          <w:lang w:val="en-US"/>
        </w:rPr>
        <w:t xml:space="preserve">).    </w:t>
      </w:r>
    </w:p>
    <w:p w14:paraId="74FF4D00" w14:textId="77777777" w:rsidR="00204B0A" w:rsidRPr="00E262E0" w:rsidRDefault="00204B0A" w:rsidP="009045A9">
      <w:pPr>
        <w:spacing w:after="0" w:line="480" w:lineRule="auto"/>
        <w:jc w:val="both"/>
        <w:rPr>
          <w:rFonts w:ascii="Arial" w:hAnsi="Arial" w:cs="Arial"/>
          <w:sz w:val="24"/>
          <w:szCs w:val="24"/>
          <w:lang w:val="en-US"/>
        </w:rPr>
      </w:pPr>
    </w:p>
    <w:p w14:paraId="26D82020" w14:textId="6BC3D8D6" w:rsidR="00204B0A" w:rsidRPr="00E262E0" w:rsidRDefault="00204B0A" w:rsidP="009045A9">
      <w:pPr>
        <w:spacing w:after="0" w:line="480" w:lineRule="auto"/>
        <w:jc w:val="both"/>
        <w:rPr>
          <w:rFonts w:ascii="Arial" w:hAnsi="Arial" w:cs="Arial"/>
          <w:b/>
          <w:bCs/>
          <w:sz w:val="24"/>
          <w:szCs w:val="24"/>
          <w:lang w:val="en-US"/>
        </w:rPr>
      </w:pPr>
      <w:r w:rsidRPr="00E262E0">
        <w:rPr>
          <w:rFonts w:ascii="Arial" w:hAnsi="Arial" w:cs="Arial"/>
          <w:b/>
          <w:bCs/>
          <w:sz w:val="24"/>
          <w:szCs w:val="24"/>
          <w:lang w:val="en-US"/>
        </w:rPr>
        <w:t>Conclusions</w:t>
      </w:r>
    </w:p>
    <w:p w14:paraId="0ADA0E46" w14:textId="23B9D4C4" w:rsidR="00204B0A" w:rsidRPr="00E262E0" w:rsidRDefault="00204B0A" w:rsidP="009045A9">
      <w:pPr>
        <w:spacing w:after="0" w:line="480" w:lineRule="auto"/>
        <w:jc w:val="both"/>
        <w:rPr>
          <w:rFonts w:ascii="Arial" w:hAnsi="Arial" w:cs="Arial"/>
          <w:sz w:val="24"/>
          <w:szCs w:val="24"/>
          <w:lang w:val="en-US"/>
        </w:rPr>
      </w:pPr>
      <w:r w:rsidRPr="00E262E0">
        <w:rPr>
          <w:rFonts w:ascii="Arial" w:hAnsi="Arial" w:cs="Arial"/>
          <w:sz w:val="24"/>
          <w:szCs w:val="24"/>
          <w:lang w:val="en-US"/>
        </w:rPr>
        <w:t xml:space="preserve">Assessment and stratification of the short to moderate-term risk to develop clinical diabetes in individuals with early-stage type 1 diabetes is important for establishing monitoring schedules and for defining clinical trial or treatment eligibility criteria. Here, the previously developed PLS was shown to stratify risk in both </w:t>
      </w:r>
      <w:r w:rsidR="00EB5F52" w:rsidRPr="00E262E0">
        <w:rPr>
          <w:rFonts w:ascii="Arial" w:hAnsi="Arial" w:cs="Arial"/>
          <w:sz w:val="24"/>
          <w:szCs w:val="24"/>
          <w:lang w:val="en-US"/>
        </w:rPr>
        <w:t xml:space="preserve">current </w:t>
      </w:r>
      <w:r w:rsidRPr="00E262E0">
        <w:rPr>
          <w:rFonts w:ascii="Arial" w:hAnsi="Arial" w:cs="Arial"/>
          <w:sz w:val="24"/>
          <w:szCs w:val="24"/>
          <w:lang w:val="en-US"/>
        </w:rPr>
        <w:t xml:space="preserve">stage 1 and stage 2 type 1 diabetes as defined by ADA </w:t>
      </w:r>
      <w:r w:rsidR="00EB5F52" w:rsidRPr="00E262E0">
        <w:rPr>
          <w:rFonts w:ascii="Arial" w:hAnsi="Arial" w:cs="Arial"/>
          <w:sz w:val="24"/>
          <w:szCs w:val="24"/>
          <w:lang w:val="en-US"/>
        </w:rPr>
        <w:t>and consensus guideline</w:t>
      </w:r>
      <w:r w:rsidR="001C5FC1" w:rsidRPr="00E262E0">
        <w:rPr>
          <w:rFonts w:ascii="Arial" w:hAnsi="Arial" w:cs="Arial"/>
          <w:sz w:val="24"/>
          <w:szCs w:val="24"/>
          <w:lang w:val="en-US"/>
        </w:rPr>
        <w:t xml:space="preserve"> (</w:t>
      </w:r>
      <w:r w:rsidR="00E22E14" w:rsidRPr="00E262E0">
        <w:rPr>
          <w:rFonts w:ascii="Arial" w:hAnsi="Arial" w:cs="Arial"/>
          <w:sz w:val="24"/>
          <w:szCs w:val="24"/>
          <w:lang w:val="en-US"/>
        </w:rPr>
        <w:t>4,</w:t>
      </w:r>
      <w:r w:rsidR="00B056DD">
        <w:rPr>
          <w:rFonts w:ascii="Arial" w:hAnsi="Arial" w:cs="Arial"/>
          <w:sz w:val="24"/>
          <w:szCs w:val="24"/>
          <w:lang w:val="en-US"/>
        </w:rPr>
        <w:t xml:space="preserve"> </w:t>
      </w:r>
      <w:r w:rsidR="00E22E14" w:rsidRPr="00E262E0">
        <w:rPr>
          <w:rFonts w:ascii="Arial" w:hAnsi="Arial" w:cs="Arial"/>
          <w:sz w:val="24"/>
          <w:szCs w:val="24"/>
          <w:lang w:val="en-US"/>
        </w:rPr>
        <w:t>5</w:t>
      </w:r>
      <w:r w:rsidR="001C5FC1" w:rsidRPr="00E262E0">
        <w:rPr>
          <w:rFonts w:ascii="Arial" w:hAnsi="Arial" w:cs="Arial"/>
          <w:sz w:val="24"/>
          <w:szCs w:val="24"/>
          <w:lang w:val="en-US"/>
        </w:rPr>
        <w:t>)</w:t>
      </w:r>
      <w:r w:rsidR="00EB5F52" w:rsidRPr="00E262E0">
        <w:rPr>
          <w:rFonts w:ascii="Arial" w:hAnsi="Arial" w:cs="Arial"/>
          <w:sz w:val="24"/>
          <w:szCs w:val="24"/>
          <w:lang w:val="en-US"/>
        </w:rPr>
        <w:t xml:space="preserve"> </w:t>
      </w:r>
      <w:r w:rsidRPr="00E262E0">
        <w:rPr>
          <w:rFonts w:ascii="Arial" w:hAnsi="Arial" w:cs="Arial"/>
          <w:sz w:val="24"/>
          <w:szCs w:val="24"/>
          <w:lang w:val="en-US"/>
        </w:rPr>
        <w:t xml:space="preserve">criteria. We further show in an exploratory proof of concept analysis that a score without the OGTT, but containing </w:t>
      </w:r>
      <w:r w:rsidR="00250026" w:rsidRPr="00E262E0">
        <w:rPr>
          <w:rFonts w:ascii="Arial" w:hAnsi="Arial" w:cs="Arial"/>
          <w:sz w:val="24"/>
          <w:szCs w:val="24"/>
          <w:lang w:val="en-US"/>
        </w:rPr>
        <w:t>other</w:t>
      </w:r>
      <w:r w:rsidRPr="00E262E0">
        <w:rPr>
          <w:rFonts w:ascii="Arial" w:hAnsi="Arial" w:cs="Arial"/>
          <w:sz w:val="24"/>
          <w:szCs w:val="24"/>
          <w:lang w:val="en-US"/>
        </w:rPr>
        <w:t xml:space="preserve"> parameters is also able to stratify risk in children with stage 1 type 1 diabetes.  </w:t>
      </w:r>
    </w:p>
    <w:p w14:paraId="7A167E88" w14:textId="539AC621" w:rsidR="00204B0A" w:rsidRPr="00E262E0" w:rsidRDefault="00204B0A" w:rsidP="009045A9">
      <w:pPr>
        <w:spacing w:after="0" w:line="480" w:lineRule="auto"/>
        <w:jc w:val="both"/>
        <w:rPr>
          <w:rFonts w:ascii="Arial" w:hAnsi="Arial" w:cs="Arial"/>
          <w:sz w:val="24"/>
          <w:szCs w:val="24"/>
          <w:lang w:val="en-US"/>
        </w:rPr>
      </w:pPr>
      <w:r w:rsidRPr="00E262E0">
        <w:rPr>
          <w:rFonts w:ascii="Arial" w:hAnsi="Arial" w:cs="Arial"/>
          <w:sz w:val="24"/>
          <w:szCs w:val="24"/>
          <w:lang w:val="en-US"/>
        </w:rPr>
        <w:t>The PLS was developed for stratification within stage 1 type 1 diabetes</w:t>
      </w:r>
      <w:r w:rsidR="001C5FC1" w:rsidRPr="00E262E0">
        <w:rPr>
          <w:rFonts w:ascii="Arial" w:hAnsi="Arial" w:cs="Arial"/>
          <w:sz w:val="24"/>
          <w:szCs w:val="24"/>
          <w:lang w:val="en-US"/>
        </w:rPr>
        <w:t xml:space="preserve"> (</w:t>
      </w:r>
      <w:r w:rsidR="00E22E14" w:rsidRPr="00E262E0">
        <w:rPr>
          <w:rFonts w:ascii="Arial" w:hAnsi="Arial" w:cs="Arial"/>
          <w:sz w:val="24"/>
          <w:szCs w:val="24"/>
          <w:lang w:val="en-US"/>
        </w:rPr>
        <w:t>6</w:t>
      </w:r>
      <w:r w:rsidR="001C5FC1" w:rsidRPr="00E262E0">
        <w:rPr>
          <w:rFonts w:ascii="Arial" w:hAnsi="Arial" w:cs="Arial"/>
          <w:sz w:val="24"/>
          <w:szCs w:val="24"/>
          <w:lang w:val="en-US"/>
        </w:rPr>
        <w:t>)</w:t>
      </w:r>
      <w:r w:rsidRPr="00E262E0">
        <w:rPr>
          <w:rFonts w:ascii="Arial" w:hAnsi="Arial" w:cs="Arial"/>
          <w:sz w:val="24"/>
          <w:szCs w:val="24"/>
          <w:lang w:val="en-US"/>
        </w:rPr>
        <w:t xml:space="preserve">. It was developed prior to the addition of elevated HbA1c </w:t>
      </w:r>
      <w:r w:rsidR="00250026" w:rsidRPr="00E262E0">
        <w:rPr>
          <w:rFonts w:ascii="Arial" w:hAnsi="Arial" w:cs="Arial"/>
          <w:sz w:val="24"/>
          <w:szCs w:val="24"/>
          <w:lang w:val="en-US"/>
        </w:rPr>
        <w:t>and</w:t>
      </w:r>
      <w:r w:rsidR="00EB5F52" w:rsidRPr="00E262E0">
        <w:rPr>
          <w:rFonts w:ascii="Arial" w:hAnsi="Arial" w:cs="Arial"/>
          <w:sz w:val="24"/>
          <w:szCs w:val="24"/>
          <w:lang w:val="en-US"/>
        </w:rPr>
        <w:t xml:space="preserve"> 10% </w:t>
      </w:r>
      <w:r w:rsidR="00250026" w:rsidRPr="00E262E0">
        <w:rPr>
          <w:rFonts w:ascii="Arial" w:hAnsi="Arial" w:cs="Arial"/>
          <w:sz w:val="24"/>
          <w:szCs w:val="24"/>
          <w:lang w:val="en-US"/>
        </w:rPr>
        <w:t xml:space="preserve">HbA1c </w:t>
      </w:r>
      <w:r w:rsidR="00EB5F52" w:rsidRPr="00E262E0">
        <w:rPr>
          <w:rFonts w:ascii="Arial" w:hAnsi="Arial" w:cs="Arial"/>
          <w:sz w:val="24"/>
          <w:szCs w:val="24"/>
          <w:lang w:val="en-US"/>
        </w:rPr>
        <w:t xml:space="preserve">increase </w:t>
      </w:r>
      <w:r w:rsidRPr="00E262E0">
        <w:rPr>
          <w:rFonts w:ascii="Arial" w:hAnsi="Arial" w:cs="Arial"/>
          <w:sz w:val="24"/>
          <w:szCs w:val="24"/>
          <w:lang w:val="en-US"/>
        </w:rPr>
        <w:t xml:space="preserve">to the definition of stage 2 as well as a lowering of the FPG criteria. Therefore, a number of those previously identified as stage 1 </w:t>
      </w:r>
      <w:r w:rsidR="00EB5F52" w:rsidRPr="00E262E0">
        <w:rPr>
          <w:rFonts w:ascii="Arial" w:hAnsi="Arial" w:cs="Arial"/>
          <w:sz w:val="24"/>
          <w:szCs w:val="24"/>
          <w:lang w:val="en-US"/>
        </w:rPr>
        <w:t>are now</w:t>
      </w:r>
      <w:r w:rsidRPr="00E262E0">
        <w:rPr>
          <w:rFonts w:ascii="Arial" w:hAnsi="Arial" w:cs="Arial"/>
          <w:sz w:val="24"/>
          <w:szCs w:val="24"/>
          <w:lang w:val="en-US"/>
        </w:rPr>
        <w:t xml:space="preserve"> classified as stage 2 type 1 diabetes. It was, therefore, important to determine whether the PLS and the previously define</w:t>
      </w:r>
      <w:r w:rsidR="00EB5F52" w:rsidRPr="00E262E0">
        <w:rPr>
          <w:rFonts w:ascii="Arial" w:hAnsi="Arial" w:cs="Arial"/>
          <w:sz w:val="24"/>
          <w:szCs w:val="24"/>
          <w:lang w:val="en-US"/>
        </w:rPr>
        <w:t>d</w:t>
      </w:r>
      <w:r w:rsidRPr="00E262E0">
        <w:rPr>
          <w:rFonts w:ascii="Arial" w:hAnsi="Arial" w:cs="Arial"/>
          <w:sz w:val="24"/>
          <w:szCs w:val="24"/>
          <w:lang w:val="en-US"/>
        </w:rPr>
        <w:t xml:space="preserve"> PLS thresholds are still useful risk stratifiers. We used the Fr1da study cohort, which was extended in number and follow-up as well as a smaller validation cohort. As </w:t>
      </w:r>
      <w:r w:rsidRPr="00E262E0">
        <w:rPr>
          <w:rFonts w:ascii="Arial" w:hAnsi="Arial" w:cs="Arial"/>
          <w:sz w:val="24"/>
          <w:szCs w:val="24"/>
          <w:lang w:val="en-US"/>
        </w:rPr>
        <w:lastRenderedPageBreak/>
        <w:t xml:space="preserve">previously shown, a threshold of 0.5, corresponding to almost one third of those with stage 1, was associated with no progression to stage 3 for at least 2 years. This is of value since these individuals require little monitoring over this period. Also of value, the previously defined threshold of 4.0, corresponding to the upper 12% of stage 1, was associated with a greater than 40% 2-year risk to develop stage 3 and identified the majority of those who progressed within 2 years. The risk in these children was not different to those who had stage 2 type 1 diabetes. We propose, therefore, that individuals with a high PLS should be monitored in a similar manner to those with stage 2 type 1 diabetes and should be considered for trials with intervention in stage 2. </w:t>
      </w:r>
    </w:p>
    <w:p w14:paraId="7B80C965" w14:textId="5D5E58CC" w:rsidR="00204B0A" w:rsidRPr="00E262E0" w:rsidRDefault="00204B0A" w:rsidP="009045A9">
      <w:pPr>
        <w:spacing w:after="0" w:line="480" w:lineRule="auto"/>
        <w:jc w:val="both"/>
        <w:rPr>
          <w:rFonts w:ascii="Arial" w:hAnsi="Arial" w:cs="Arial"/>
          <w:sz w:val="24"/>
          <w:szCs w:val="24"/>
          <w:lang w:val="en-US"/>
        </w:rPr>
      </w:pPr>
      <w:r w:rsidRPr="00E262E0">
        <w:rPr>
          <w:rFonts w:ascii="Arial" w:hAnsi="Arial" w:cs="Arial"/>
          <w:sz w:val="24"/>
          <w:szCs w:val="24"/>
          <w:lang w:val="en-US"/>
        </w:rPr>
        <w:t>Stage 2 type 1 diabetes is also heterogeneous (</w:t>
      </w:r>
      <w:r w:rsidR="008C446A" w:rsidRPr="00E262E0">
        <w:rPr>
          <w:rFonts w:ascii="Arial" w:hAnsi="Arial" w:cs="Arial"/>
          <w:sz w:val="24"/>
          <w:szCs w:val="24"/>
          <w:lang w:val="en-US"/>
        </w:rPr>
        <w:t>8</w:t>
      </w:r>
      <w:r w:rsidRPr="00E262E0">
        <w:rPr>
          <w:rFonts w:ascii="Arial" w:hAnsi="Arial" w:cs="Arial"/>
          <w:sz w:val="24"/>
          <w:szCs w:val="24"/>
          <w:lang w:val="en-US"/>
        </w:rPr>
        <w:t xml:space="preserve">). In particular, the risk of progression to stage 3 in those who have a single dysglycemic abnormality </w:t>
      </w:r>
      <w:r w:rsidR="001C5FC1" w:rsidRPr="00E262E0">
        <w:rPr>
          <w:rFonts w:ascii="Arial" w:hAnsi="Arial" w:cs="Arial"/>
          <w:sz w:val="24"/>
          <w:szCs w:val="24"/>
          <w:lang w:val="en-US"/>
        </w:rPr>
        <w:t xml:space="preserve">(such as one glucose elevation during OGTT or only a HbA1c elevation) </w:t>
      </w:r>
      <w:r w:rsidRPr="00E262E0">
        <w:rPr>
          <w:rFonts w:ascii="Arial" w:hAnsi="Arial" w:cs="Arial"/>
          <w:sz w:val="24"/>
          <w:szCs w:val="24"/>
          <w:lang w:val="en-US"/>
        </w:rPr>
        <w:t xml:space="preserve">is substantially lower than in those with multiple dysglycemic abnormalities. The majority </w:t>
      </w:r>
      <w:r w:rsidR="001C5FC1" w:rsidRPr="00E262E0">
        <w:rPr>
          <w:rFonts w:ascii="Arial" w:hAnsi="Arial" w:cs="Arial"/>
          <w:sz w:val="24"/>
          <w:szCs w:val="24"/>
          <w:lang w:val="en-US"/>
        </w:rPr>
        <w:t>(</w:t>
      </w:r>
      <w:r w:rsidR="00B00459" w:rsidRPr="00E262E0">
        <w:rPr>
          <w:rFonts w:ascii="Arial" w:hAnsi="Arial" w:cs="Arial"/>
          <w:sz w:val="24"/>
          <w:szCs w:val="24"/>
          <w:lang w:val="en-US"/>
        </w:rPr>
        <w:t>68</w:t>
      </w:r>
      <w:r w:rsidR="001C5FC1" w:rsidRPr="00E262E0">
        <w:rPr>
          <w:rFonts w:ascii="Arial" w:hAnsi="Arial" w:cs="Arial"/>
          <w:sz w:val="24"/>
          <w:szCs w:val="24"/>
          <w:lang w:val="en-US"/>
        </w:rPr>
        <w:t xml:space="preserve">%) </w:t>
      </w:r>
      <w:r w:rsidRPr="00E262E0">
        <w:rPr>
          <w:rFonts w:ascii="Arial" w:hAnsi="Arial" w:cs="Arial"/>
          <w:sz w:val="24"/>
          <w:szCs w:val="24"/>
          <w:lang w:val="en-US"/>
        </w:rPr>
        <w:t xml:space="preserve">of those with stage 2 had a single dysglycemic abnormality in our cohort. The PLS very effectively stratified risk in these individuals. In particular, a threshold of 1.6 identified one third who had an associated 2-year risk for stage 3 type 1 diabetes of only 5%, while the remaining two-thirds had a risk that was over 40%. The same threshold was able to stratify risk in stage 2 among the children </w:t>
      </w:r>
      <w:r w:rsidR="00B62EE9" w:rsidRPr="00E262E0">
        <w:rPr>
          <w:rFonts w:ascii="Arial" w:hAnsi="Arial" w:cs="Arial"/>
          <w:sz w:val="24"/>
          <w:szCs w:val="24"/>
          <w:lang w:val="en-US"/>
        </w:rPr>
        <w:t xml:space="preserve">and adolescents </w:t>
      </w:r>
      <w:r w:rsidRPr="00E262E0">
        <w:rPr>
          <w:rFonts w:ascii="Arial" w:hAnsi="Arial" w:cs="Arial"/>
          <w:sz w:val="24"/>
          <w:szCs w:val="24"/>
          <w:lang w:val="en-US"/>
        </w:rPr>
        <w:t xml:space="preserve">who developed their dysglycemia during follow-up, thereby validating the value of the PLS also in stage 2. Again, we suggest that monitoring and eligibility for clinical trials should consider the PLS of those with stage 2 type 1 diabetes. </w:t>
      </w:r>
    </w:p>
    <w:p w14:paraId="5A4AC5BA" w14:textId="64176F60" w:rsidR="00204B0A" w:rsidRPr="00E262E0" w:rsidRDefault="00204B0A" w:rsidP="009045A9">
      <w:pPr>
        <w:spacing w:after="0" w:line="480" w:lineRule="auto"/>
        <w:jc w:val="both"/>
        <w:rPr>
          <w:rFonts w:ascii="Arial" w:hAnsi="Arial" w:cs="Arial"/>
          <w:sz w:val="24"/>
          <w:szCs w:val="24"/>
          <w:lang w:val="en-US"/>
        </w:rPr>
      </w:pPr>
      <w:r w:rsidRPr="00E262E0">
        <w:rPr>
          <w:rFonts w:ascii="Arial" w:hAnsi="Arial" w:cs="Arial"/>
          <w:sz w:val="24"/>
          <w:szCs w:val="24"/>
          <w:lang w:val="en-US"/>
        </w:rPr>
        <w:t xml:space="preserve">The PLS is based on parameters </w:t>
      </w:r>
      <w:r w:rsidR="0008539C" w:rsidRPr="00E262E0">
        <w:rPr>
          <w:rFonts w:ascii="Arial" w:hAnsi="Arial" w:cs="Arial"/>
          <w:sz w:val="24"/>
          <w:szCs w:val="24"/>
          <w:lang w:val="en-US"/>
        </w:rPr>
        <w:t xml:space="preserve">usually </w:t>
      </w:r>
      <w:r w:rsidRPr="00E262E0">
        <w:rPr>
          <w:rFonts w:ascii="Arial" w:hAnsi="Arial" w:cs="Arial"/>
          <w:sz w:val="24"/>
          <w:szCs w:val="24"/>
          <w:lang w:val="en-US"/>
        </w:rPr>
        <w:t xml:space="preserve">included in </w:t>
      </w:r>
      <w:r w:rsidR="0008539C" w:rsidRPr="00E262E0">
        <w:rPr>
          <w:rFonts w:ascii="Arial" w:hAnsi="Arial" w:cs="Arial"/>
          <w:sz w:val="24"/>
          <w:szCs w:val="24"/>
          <w:lang w:val="en-US"/>
        </w:rPr>
        <w:t xml:space="preserve">recommended </w:t>
      </w:r>
      <w:r w:rsidRPr="00E262E0">
        <w:rPr>
          <w:rFonts w:ascii="Arial" w:hAnsi="Arial" w:cs="Arial"/>
          <w:sz w:val="24"/>
          <w:szCs w:val="24"/>
          <w:lang w:val="en-US"/>
        </w:rPr>
        <w:t>staging</w:t>
      </w:r>
      <w:r w:rsidR="0008539C" w:rsidRPr="00E262E0">
        <w:rPr>
          <w:rFonts w:ascii="Arial" w:hAnsi="Arial" w:cs="Arial"/>
          <w:sz w:val="24"/>
          <w:szCs w:val="24"/>
          <w:lang w:val="en-US"/>
        </w:rPr>
        <w:t xml:space="preserve"> such as OGTT, HbA1c, and islet </w:t>
      </w:r>
      <w:r w:rsidR="00A44873">
        <w:rPr>
          <w:rFonts w:ascii="Arial" w:hAnsi="Arial" w:cs="Arial"/>
          <w:sz w:val="24"/>
          <w:szCs w:val="24"/>
          <w:lang w:val="en-US"/>
        </w:rPr>
        <w:t>auto</w:t>
      </w:r>
      <w:r w:rsidR="0008539C" w:rsidRPr="00E262E0">
        <w:rPr>
          <w:rFonts w:ascii="Arial" w:hAnsi="Arial" w:cs="Arial"/>
          <w:sz w:val="24"/>
          <w:szCs w:val="24"/>
          <w:lang w:val="en-US"/>
        </w:rPr>
        <w:t>antibody level</w:t>
      </w:r>
      <w:r w:rsidRPr="00E262E0">
        <w:rPr>
          <w:rFonts w:ascii="Arial" w:hAnsi="Arial" w:cs="Arial"/>
          <w:sz w:val="24"/>
          <w:szCs w:val="24"/>
          <w:lang w:val="en-US"/>
        </w:rPr>
        <w:t xml:space="preserve">. This has the advantage that no additional measurements are required. </w:t>
      </w:r>
      <w:r w:rsidR="002D20ED">
        <w:rPr>
          <w:rFonts w:ascii="Arial" w:hAnsi="Arial" w:cs="Arial"/>
          <w:sz w:val="24"/>
          <w:szCs w:val="24"/>
          <w:lang w:val="en-US"/>
        </w:rPr>
        <w:t xml:space="preserve">The PLS was also effective in discriminating progression </w:t>
      </w:r>
      <w:r w:rsidR="002D20ED">
        <w:rPr>
          <w:rFonts w:ascii="Arial" w:hAnsi="Arial" w:cs="Arial"/>
          <w:sz w:val="24"/>
          <w:szCs w:val="24"/>
          <w:lang w:val="en-US"/>
        </w:rPr>
        <w:lastRenderedPageBreak/>
        <w:t>rates using IA-2</w:t>
      </w:r>
      <w:r w:rsidR="00B056DD">
        <w:rPr>
          <w:rFonts w:ascii="Arial" w:hAnsi="Arial" w:cs="Arial"/>
          <w:sz w:val="24"/>
          <w:szCs w:val="24"/>
          <w:lang w:val="en-US"/>
        </w:rPr>
        <w:t>A</w:t>
      </w:r>
      <w:r w:rsidR="002D20ED">
        <w:rPr>
          <w:rFonts w:ascii="Arial" w:hAnsi="Arial" w:cs="Arial"/>
          <w:sz w:val="24"/>
          <w:szCs w:val="24"/>
          <w:lang w:val="en-US"/>
        </w:rPr>
        <w:t xml:space="preserve"> measured in two different assays. </w:t>
      </w:r>
      <w:r w:rsidRPr="00E262E0">
        <w:rPr>
          <w:rFonts w:ascii="Arial" w:hAnsi="Arial" w:cs="Arial"/>
          <w:sz w:val="24"/>
          <w:szCs w:val="24"/>
          <w:lang w:val="en-US"/>
        </w:rPr>
        <w:t xml:space="preserve">However, </w:t>
      </w:r>
      <w:r w:rsidR="002D20ED">
        <w:rPr>
          <w:rFonts w:ascii="Arial" w:hAnsi="Arial" w:cs="Arial"/>
          <w:sz w:val="24"/>
          <w:szCs w:val="24"/>
          <w:lang w:val="en-US"/>
        </w:rPr>
        <w:t>the PLS</w:t>
      </w:r>
      <w:r w:rsidR="002D20ED" w:rsidRPr="00E262E0">
        <w:rPr>
          <w:rFonts w:ascii="Arial" w:hAnsi="Arial" w:cs="Arial"/>
          <w:sz w:val="24"/>
          <w:szCs w:val="24"/>
          <w:lang w:val="en-US"/>
        </w:rPr>
        <w:t xml:space="preserve"> </w:t>
      </w:r>
      <w:r w:rsidRPr="00E262E0">
        <w:rPr>
          <w:rFonts w:ascii="Arial" w:hAnsi="Arial" w:cs="Arial"/>
          <w:sz w:val="24"/>
          <w:szCs w:val="24"/>
          <w:lang w:val="en-US"/>
        </w:rPr>
        <w:t xml:space="preserve">includes one parameter from the OGTT, a test that is not always performed </w:t>
      </w:r>
      <w:r w:rsidR="000763C5" w:rsidRPr="00E262E0">
        <w:rPr>
          <w:rFonts w:ascii="Arial" w:hAnsi="Arial" w:cs="Arial"/>
          <w:sz w:val="24"/>
          <w:szCs w:val="24"/>
          <w:lang w:val="en-US"/>
        </w:rPr>
        <w:t>or</w:t>
      </w:r>
      <w:r w:rsidRPr="00E262E0">
        <w:rPr>
          <w:rFonts w:ascii="Arial" w:hAnsi="Arial" w:cs="Arial"/>
          <w:sz w:val="24"/>
          <w:szCs w:val="24"/>
          <w:lang w:val="en-US"/>
        </w:rPr>
        <w:t xml:space="preserve"> which can be difficult to execute, especially in young children. We, therefore, explored whether a score could be developed from non-OGTT parameters for stratification within stage 1. The model selected IA-2A titer categories and HbA1c, both of which are in the PLS, and further selected obesity and autoantibody positivity for epitopes within the JM region of IA-2. In this proof</w:t>
      </w:r>
      <w:r w:rsidR="0009083E" w:rsidRPr="00E262E0">
        <w:rPr>
          <w:rFonts w:ascii="Arial" w:hAnsi="Arial" w:cs="Arial"/>
          <w:sz w:val="24"/>
          <w:szCs w:val="24"/>
          <w:lang w:val="en-US"/>
        </w:rPr>
        <w:t>-</w:t>
      </w:r>
      <w:r w:rsidRPr="00E262E0">
        <w:rPr>
          <w:rFonts w:ascii="Arial" w:hAnsi="Arial" w:cs="Arial"/>
          <w:sz w:val="24"/>
          <w:szCs w:val="24"/>
          <w:lang w:val="en-US"/>
        </w:rPr>
        <w:t>of</w:t>
      </w:r>
      <w:r w:rsidR="0009083E" w:rsidRPr="00E262E0">
        <w:rPr>
          <w:rFonts w:ascii="Arial" w:hAnsi="Arial" w:cs="Arial"/>
          <w:sz w:val="24"/>
          <w:szCs w:val="24"/>
          <w:lang w:val="en-US"/>
        </w:rPr>
        <w:t>-</w:t>
      </w:r>
      <w:r w:rsidRPr="00E262E0">
        <w:rPr>
          <w:rFonts w:ascii="Arial" w:hAnsi="Arial" w:cs="Arial"/>
          <w:sz w:val="24"/>
          <w:szCs w:val="24"/>
          <w:lang w:val="en-US"/>
        </w:rPr>
        <w:t>concept approach, the score could significantly stratify risk and like the PLS could identify those with low risk (&lt;5%) within 2 years and moderate risk (&gt;</w:t>
      </w:r>
      <w:r w:rsidR="002D20ED" w:rsidRPr="00E262E0">
        <w:rPr>
          <w:rFonts w:ascii="Arial" w:hAnsi="Arial" w:cs="Arial"/>
          <w:sz w:val="24"/>
          <w:szCs w:val="24"/>
          <w:lang w:val="en-US"/>
        </w:rPr>
        <w:t>2</w:t>
      </w:r>
      <w:r w:rsidR="002D20ED">
        <w:rPr>
          <w:rFonts w:ascii="Arial" w:hAnsi="Arial" w:cs="Arial"/>
          <w:sz w:val="24"/>
          <w:szCs w:val="24"/>
          <w:lang w:val="en-US"/>
        </w:rPr>
        <w:t>0</w:t>
      </w:r>
      <w:r w:rsidRPr="00E262E0">
        <w:rPr>
          <w:rFonts w:ascii="Arial" w:hAnsi="Arial" w:cs="Arial"/>
          <w:sz w:val="24"/>
          <w:szCs w:val="24"/>
          <w:lang w:val="en-US"/>
        </w:rPr>
        <w:t xml:space="preserve">%) within 2 years. </w:t>
      </w:r>
      <w:r w:rsidR="00172B92">
        <w:rPr>
          <w:rFonts w:ascii="Arial" w:hAnsi="Arial" w:cs="Arial"/>
          <w:sz w:val="24"/>
          <w:szCs w:val="24"/>
          <w:lang w:val="en-US"/>
        </w:rPr>
        <w:t>A limitation of this analysis is that there was</w:t>
      </w:r>
      <w:r w:rsidR="00172B92" w:rsidRPr="00E262E0">
        <w:rPr>
          <w:rFonts w:ascii="Arial" w:hAnsi="Arial" w:cs="Arial"/>
          <w:sz w:val="24"/>
          <w:szCs w:val="24"/>
          <w:lang w:val="en-US"/>
        </w:rPr>
        <w:t xml:space="preserve"> </w:t>
      </w:r>
      <w:r w:rsidRPr="00E262E0">
        <w:rPr>
          <w:rFonts w:ascii="Arial" w:hAnsi="Arial" w:cs="Arial"/>
          <w:sz w:val="24"/>
          <w:szCs w:val="24"/>
          <w:lang w:val="en-US"/>
        </w:rPr>
        <w:t>no validation cohort for this score</w:t>
      </w:r>
      <w:r w:rsidR="00172B92">
        <w:rPr>
          <w:rFonts w:ascii="Arial" w:hAnsi="Arial" w:cs="Arial"/>
          <w:sz w:val="24"/>
          <w:szCs w:val="24"/>
          <w:lang w:val="en-US"/>
        </w:rPr>
        <w:t>.</w:t>
      </w:r>
      <w:r w:rsidRPr="00E262E0">
        <w:rPr>
          <w:rFonts w:ascii="Arial" w:hAnsi="Arial" w:cs="Arial"/>
          <w:sz w:val="24"/>
          <w:szCs w:val="24"/>
          <w:lang w:val="en-US"/>
        </w:rPr>
        <w:t xml:space="preserve"> </w:t>
      </w:r>
      <w:r w:rsidR="00172B92">
        <w:rPr>
          <w:rFonts w:ascii="Arial" w:hAnsi="Arial" w:cs="Arial"/>
          <w:sz w:val="24"/>
          <w:szCs w:val="24"/>
          <w:lang w:val="en-US"/>
        </w:rPr>
        <w:t>I</w:t>
      </w:r>
      <w:r w:rsidRPr="00E262E0">
        <w:rPr>
          <w:rFonts w:ascii="Arial" w:hAnsi="Arial" w:cs="Arial"/>
          <w:sz w:val="24"/>
          <w:szCs w:val="24"/>
          <w:lang w:val="en-US"/>
        </w:rPr>
        <w:t xml:space="preserve">t nevertheless </w:t>
      </w:r>
      <w:r w:rsidR="00172B92">
        <w:rPr>
          <w:rFonts w:ascii="Arial" w:hAnsi="Arial" w:cs="Arial"/>
          <w:sz w:val="24"/>
          <w:szCs w:val="24"/>
          <w:lang w:val="en-US"/>
        </w:rPr>
        <w:t>suggests</w:t>
      </w:r>
      <w:r w:rsidR="00172B92" w:rsidRPr="00E262E0">
        <w:rPr>
          <w:rFonts w:ascii="Arial" w:hAnsi="Arial" w:cs="Arial"/>
          <w:sz w:val="24"/>
          <w:szCs w:val="24"/>
          <w:lang w:val="en-US"/>
        </w:rPr>
        <w:t xml:space="preserve"> </w:t>
      </w:r>
      <w:r w:rsidRPr="00E262E0">
        <w:rPr>
          <w:rFonts w:ascii="Arial" w:hAnsi="Arial" w:cs="Arial"/>
          <w:sz w:val="24"/>
          <w:szCs w:val="24"/>
          <w:lang w:val="en-US"/>
        </w:rPr>
        <w:t>that useful risk stratification within stage 1 type 1 diabetes can be performed with multiple parameters without OGTT. The two parameters</w:t>
      </w:r>
      <w:r w:rsidR="00E5128F" w:rsidRPr="00E262E0">
        <w:rPr>
          <w:rFonts w:ascii="Arial" w:hAnsi="Arial" w:cs="Arial"/>
          <w:sz w:val="24"/>
          <w:szCs w:val="24"/>
          <w:lang w:val="en-US"/>
        </w:rPr>
        <w:t xml:space="preserve"> </w:t>
      </w:r>
      <w:r w:rsidR="00B00459" w:rsidRPr="00E262E0">
        <w:rPr>
          <w:rFonts w:ascii="Arial" w:hAnsi="Arial" w:cs="Arial"/>
          <w:sz w:val="24"/>
          <w:szCs w:val="24"/>
          <w:lang w:val="en-US"/>
        </w:rPr>
        <w:t>that</w:t>
      </w:r>
      <w:r w:rsidRPr="00E262E0">
        <w:rPr>
          <w:rFonts w:ascii="Arial" w:hAnsi="Arial" w:cs="Arial"/>
          <w:sz w:val="24"/>
          <w:szCs w:val="24"/>
          <w:lang w:val="en-US"/>
        </w:rPr>
        <w:t xml:space="preserve"> replac</w:t>
      </w:r>
      <w:r w:rsidR="00B00459" w:rsidRPr="00E262E0">
        <w:rPr>
          <w:rFonts w:ascii="Arial" w:hAnsi="Arial" w:cs="Arial"/>
          <w:sz w:val="24"/>
          <w:szCs w:val="24"/>
          <w:lang w:val="en-US"/>
        </w:rPr>
        <w:t>ed</w:t>
      </w:r>
      <w:r w:rsidRPr="00E262E0">
        <w:rPr>
          <w:rFonts w:ascii="Arial" w:hAnsi="Arial" w:cs="Arial"/>
          <w:sz w:val="24"/>
          <w:szCs w:val="24"/>
          <w:lang w:val="en-US"/>
        </w:rPr>
        <w:t xml:space="preserve"> the 90-minute OGTT in this model were categorical and only indirectly related to glycemia. Obesity was infrequent in our cohort and was not associated with the 90</w:t>
      </w:r>
      <w:r w:rsidR="0009083E" w:rsidRPr="00E262E0">
        <w:rPr>
          <w:rFonts w:ascii="Arial" w:hAnsi="Arial" w:cs="Arial"/>
          <w:sz w:val="24"/>
          <w:szCs w:val="24"/>
          <w:lang w:val="en-US"/>
        </w:rPr>
        <w:t>-</w:t>
      </w:r>
      <w:r w:rsidRPr="00E262E0">
        <w:rPr>
          <w:rFonts w:ascii="Arial" w:hAnsi="Arial" w:cs="Arial"/>
          <w:sz w:val="24"/>
          <w:szCs w:val="24"/>
          <w:lang w:val="en-US"/>
        </w:rPr>
        <w:t xml:space="preserve">minute OGTT value (data not shown). </w:t>
      </w:r>
      <w:r w:rsidR="00B00459" w:rsidRPr="00E262E0">
        <w:rPr>
          <w:rFonts w:ascii="Arial" w:hAnsi="Arial" w:cs="Arial"/>
          <w:sz w:val="24"/>
          <w:szCs w:val="24"/>
          <w:lang w:val="en-US"/>
        </w:rPr>
        <w:t xml:space="preserve">However, it was associated with a substantial increased risk for stage 3 type 1 diabetes </w:t>
      </w:r>
      <w:r w:rsidR="00094269">
        <w:rPr>
          <w:rFonts w:ascii="Arial" w:hAnsi="Arial" w:cs="Arial"/>
          <w:sz w:val="24"/>
          <w:szCs w:val="24"/>
          <w:lang w:val="en-US"/>
        </w:rPr>
        <w:t xml:space="preserve">in the few obese participants </w:t>
      </w:r>
      <w:r w:rsidR="00B00459" w:rsidRPr="00E262E0">
        <w:rPr>
          <w:rFonts w:ascii="Arial" w:hAnsi="Arial" w:cs="Arial"/>
          <w:sz w:val="24"/>
          <w:szCs w:val="24"/>
          <w:lang w:val="en-US"/>
        </w:rPr>
        <w:t>and</w:t>
      </w:r>
      <w:r w:rsidR="00094269">
        <w:rPr>
          <w:rFonts w:ascii="Arial" w:hAnsi="Arial" w:cs="Arial"/>
          <w:sz w:val="24"/>
          <w:szCs w:val="24"/>
          <w:lang w:val="en-US"/>
        </w:rPr>
        <w:t xml:space="preserve">, if validated, </w:t>
      </w:r>
      <w:r w:rsidR="00B00459" w:rsidRPr="00E262E0">
        <w:rPr>
          <w:rFonts w:ascii="Arial" w:hAnsi="Arial" w:cs="Arial"/>
          <w:sz w:val="24"/>
          <w:szCs w:val="24"/>
          <w:lang w:val="en-US"/>
        </w:rPr>
        <w:t>is</w:t>
      </w:r>
      <w:r w:rsidRPr="00E262E0">
        <w:rPr>
          <w:rFonts w:ascii="Arial" w:hAnsi="Arial" w:cs="Arial"/>
          <w:sz w:val="24"/>
          <w:szCs w:val="24"/>
          <w:lang w:val="en-US"/>
        </w:rPr>
        <w:t xml:space="preserve"> a treatable condition. The IA-2A JM epitope reactivity is potentially interesting. The majority of the epitopes in this region are within a short region spanning residues 610 to 631 (</w:t>
      </w:r>
      <w:r w:rsidR="006731BF" w:rsidRPr="00E262E0">
        <w:rPr>
          <w:rFonts w:ascii="Arial" w:hAnsi="Arial" w:cs="Arial"/>
          <w:sz w:val="24"/>
          <w:szCs w:val="24"/>
          <w:lang w:val="en-US"/>
        </w:rPr>
        <w:t>26</w:t>
      </w:r>
      <w:r w:rsidRPr="00E262E0">
        <w:rPr>
          <w:rFonts w:ascii="Arial" w:hAnsi="Arial" w:cs="Arial"/>
          <w:sz w:val="24"/>
          <w:szCs w:val="24"/>
          <w:lang w:val="en-US"/>
        </w:rPr>
        <w:t>), which forms the residual plasma membrane inserted portion that remains after cleavage at position 448 (extracellular domain) and 659 (intracellular PTP-like domain</w:t>
      </w:r>
      <w:r w:rsidR="00A44873">
        <w:rPr>
          <w:rFonts w:ascii="Arial" w:hAnsi="Arial" w:cs="Arial"/>
          <w:sz w:val="24"/>
          <w:szCs w:val="24"/>
          <w:lang w:val="en-US"/>
        </w:rPr>
        <w:t>)</w:t>
      </w:r>
      <w:r w:rsidRPr="00E262E0">
        <w:rPr>
          <w:rFonts w:ascii="Arial" w:hAnsi="Arial" w:cs="Arial"/>
          <w:sz w:val="24"/>
          <w:szCs w:val="24"/>
          <w:lang w:val="en-US"/>
        </w:rPr>
        <w:t xml:space="preserve"> </w:t>
      </w:r>
      <w:r w:rsidR="00A44873">
        <w:rPr>
          <w:rFonts w:ascii="Arial" w:hAnsi="Arial" w:cs="Arial"/>
          <w:sz w:val="24"/>
          <w:szCs w:val="24"/>
          <w:lang w:val="en-US"/>
        </w:rPr>
        <w:t>(</w:t>
      </w:r>
      <w:r w:rsidR="003609D5">
        <w:rPr>
          <w:rFonts w:ascii="Arial" w:hAnsi="Arial" w:cs="Arial"/>
          <w:sz w:val="24"/>
          <w:szCs w:val="24"/>
          <w:lang w:val="en-US"/>
        </w:rPr>
        <w:t>26</w:t>
      </w:r>
      <w:r w:rsidRPr="00E262E0">
        <w:rPr>
          <w:rFonts w:ascii="Arial" w:hAnsi="Arial" w:cs="Arial"/>
          <w:sz w:val="24"/>
          <w:szCs w:val="24"/>
          <w:lang w:val="en-US"/>
        </w:rPr>
        <w:t xml:space="preserve">). Although it is intracellular, it is likely to be </w:t>
      </w:r>
      <w:r w:rsidR="00B00459" w:rsidRPr="00E262E0">
        <w:rPr>
          <w:rFonts w:ascii="Arial" w:hAnsi="Arial" w:cs="Arial"/>
          <w:sz w:val="24"/>
          <w:szCs w:val="24"/>
          <w:lang w:val="en-US"/>
        </w:rPr>
        <w:t xml:space="preserve">a </w:t>
      </w:r>
      <w:r w:rsidRPr="00E262E0">
        <w:rPr>
          <w:rFonts w:ascii="Arial" w:hAnsi="Arial" w:cs="Arial"/>
          <w:sz w:val="24"/>
          <w:szCs w:val="24"/>
          <w:lang w:val="en-US"/>
        </w:rPr>
        <w:t xml:space="preserve">relatively </w:t>
      </w:r>
      <w:r w:rsidR="00B00459" w:rsidRPr="00E262E0">
        <w:rPr>
          <w:rFonts w:ascii="Arial" w:hAnsi="Arial" w:cs="Arial"/>
          <w:sz w:val="24"/>
          <w:szCs w:val="24"/>
          <w:lang w:val="en-US"/>
        </w:rPr>
        <w:t>unstructured region</w:t>
      </w:r>
      <w:r w:rsidRPr="00E262E0">
        <w:rPr>
          <w:rFonts w:ascii="Arial" w:hAnsi="Arial" w:cs="Arial"/>
          <w:sz w:val="24"/>
          <w:szCs w:val="24"/>
          <w:lang w:val="en-US"/>
        </w:rPr>
        <w:t xml:space="preserve"> and remain within the </w:t>
      </w:r>
      <w:r w:rsidR="00B00459" w:rsidRPr="00E262E0">
        <w:rPr>
          <w:rFonts w:ascii="Arial" w:hAnsi="Arial" w:cs="Arial"/>
          <w:sz w:val="24"/>
          <w:szCs w:val="24"/>
          <w:lang w:val="en-US"/>
        </w:rPr>
        <w:t xml:space="preserve">plasma </w:t>
      </w:r>
      <w:r w:rsidRPr="00E262E0">
        <w:rPr>
          <w:rFonts w:ascii="Arial" w:hAnsi="Arial" w:cs="Arial"/>
          <w:sz w:val="24"/>
          <w:szCs w:val="24"/>
          <w:lang w:val="en-US"/>
        </w:rPr>
        <w:t xml:space="preserve">membrane longer than other IA-2 epitope regions. It may, therefore, be exposed when beta cells are destroyed, potentially explaining its association with a faster progression to stage 3. </w:t>
      </w:r>
      <w:r w:rsidR="002D20ED">
        <w:rPr>
          <w:rFonts w:ascii="Arial" w:hAnsi="Arial" w:cs="Arial"/>
          <w:sz w:val="24"/>
          <w:szCs w:val="24"/>
          <w:lang w:val="en-US"/>
        </w:rPr>
        <w:t xml:space="preserve">Assays that measure antibodies to the IA-2 JM epitopes are currently limited to an </w:t>
      </w:r>
      <w:r w:rsidR="002D20ED">
        <w:rPr>
          <w:rFonts w:ascii="Arial" w:hAnsi="Arial" w:cs="Arial"/>
          <w:sz w:val="24"/>
          <w:szCs w:val="24"/>
          <w:lang w:val="en-US"/>
        </w:rPr>
        <w:lastRenderedPageBreak/>
        <w:t>in</w:t>
      </w:r>
      <w:r w:rsidR="00CC1FF4">
        <w:rPr>
          <w:rFonts w:ascii="Arial" w:hAnsi="Arial" w:cs="Arial"/>
          <w:sz w:val="24"/>
          <w:szCs w:val="24"/>
          <w:lang w:val="en-US"/>
        </w:rPr>
        <w:t>-</w:t>
      </w:r>
      <w:r w:rsidR="002D20ED">
        <w:rPr>
          <w:rFonts w:ascii="Arial" w:hAnsi="Arial" w:cs="Arial"/>
          <w:sz w:val="24"/>
          <w:szCs w:val="24"/>
          <w:lang w:val="en-US"/>
        </w:rPr>
        <w:t xml:space="preserve">house </w:t>
      </w:r>
      <w:r w:rsidR="00627CBF">
        <w:rPr>
          <w:rFonts w:ascii="Arial" w:hAnsi="Arial" w:cs="Arial"/>
          <w:sz w:val="24"/>
          <w:szCs w:val="24"/>
          <w:lang w:val="en-US"/>
        </w:rPr>
        <w:t>RBA</w:t>
      </w:r>
      <w:r w:rsidR="002D20ED">
        <w:rPr>
          <w:rFonts w:ascii="Arial" w:hAnsi="Arial" w:cs="Arial"/>
          <w:sz w:val="24"/>
          <w:szCs w:val="24"/>
          <w:lang w:val="en-US"/>
        </w:rPr>
        <w:t xml:space="preserve"> (</w:t>
      </w:r>
      <w:r w:rsidR="00261E25">
        <w:rPr>
          <w:rFonts w:ascii="Arial" w:hAnsi="Arial" w:cs="Arial"/>
          <w:sz w:val="24"/>
          <w:szCs w:val="24"/>
          <w:lang w:val="en-US"/>
        </w:rPr>
        <w:t>22</w:t>
      </w:r>
      <w:r w:rsidR="002D20ED">
        <w:rPr>
          <w:rFonts w:ascii="Arial" w:hAnsi="Arial" w:cs="Arial"/>
          <w:sz w:val="24"/>
          <w:szCs w:val="24"/>
          <w:lang w:val="en-US"/>
        </w:rPr>
        <w:t>), but it is likely that assays such as a Bridge</w:t>
      </w:r>
      <w:r w:rsidR="00627CBF">
        <w:rPr>
          <w:rFonts w:ascii="Arial" w:hAnsi="Arial" w:cs="Arial"/>
          <w:sz w:val="24"/>
          <w:szCs w:val="24"/>
          <w:lang w:val="en-US"/>
        </w:rPr>
        <w:t>-</w:t>
      </w:r>
      <w:r w:rsidR="002D20ED">
        <w:rPr>
          <w:rFonts w:ascii="Arial" w:hAnsi="Arial" w:cs="Arial"/>
          <w:sz w:val="24"/>
          <w:szCs w:val="24"/>
          <w:lang w:val="en-US"/>
        </w:rPr>
        <w:t xml:space="preserve">ELISA can be developed. </w:t>
      </w:r>
    </w:p>
    <w:p w14:paraId="68FF4111" w14:textId="7218B088" w:rsidR="00204B0A" w:rsidRPr="00E262E0" w:rsidRDefault="00204B0A" w:rsidP="009045A9">
      <w:pPr>
        <w:spacing w:after="0" w:line="480" w:lineRule="auto"/>
        <w:jc w:val="both"/>
        <w:rPr>
          <w:rFonts w:ascii="Arial" w:hAnsi="Arial" w:cs="Arial"/>
          <w:sz w:val="24"/>
          <w:szCs w:val="24"/>
          <w:lang w:val="en-US"/>
        </w:rPr>
      </w:pPr>
      <w:r w:rsidRPr="00E262E0">
        <w:rPr>
          <w:rFonts w:ascii="Arial" w:hAnsi="Arial" w:cs="Arial"/>
          <w:sz w:val="24"/>
          <w:szCs w:val="24"/>
          <w:lang w:val="en-US"/>
        </w:rPr>
        <w:t xml:space="preserve">The study has a number of limitations. </w:t>
      </w:r>
      <w:r w:rsidR="0083071F">
        <w:rPr>
          <w:rFonts w:ascii="Arial" w:hAnsi="Arial" w:cs="Arial"/>
          <w:sz w:val="24"/>
          <w:szCs w:val="24"/>
          <w:lang w:val="en-US"/>
        </w:rPr>
        <w:t>An important limitation is that t</w:t>
      </w:r>
      <w:r w:rsidR="00094269">
        <w:rPr>
          <w:rFonts w:ascii="Arial" w:hAnsi="Arial" w:cs="Arial"/>
          <w:sz w:val="24"/>
          <w:szCs w:val="24"/>
          <w:lang w:val="en-US"/>
        </w:rPr>
        <w:t xml:space="preserve">he Fr1da cohort and the validation cohort were both from Germany. It </w:t>
      </w:r>
      <w:r w:rsidR="00306C71">
        <w:rPr>
          <w:rFonts w:ascii="Arial" w:hAnsi="Arial" w:cs="Arial"/>
          <w:sz w:val="24"/>
          <w:szCs w:val="24"/>
          <w:lang w:val="en-US"/>
        </w:rPr>
        <w:t>has</w:t>
      </w:r>
      <w:r w:rsidR="00094269">
        <w:rPr>
          <w:rFonts w:ascii="Arial" w:hAnsi="Arial" w:cs="Arial"/>
          <w:sz w:val="24"/>
          <w:szCs w:val="24"/>
          <w:lang w:val="en-US"/>
        </w:rPr>
        <w:t xml:space="preserve">, therefore, not </w:t>
      </w:r>
      <w:r w:rsidR="003C625F">
        <w:rPr>
          <w:rFonts w:ascii="Arial" w:hAnsi="Arial" w:cs="Arial"/>
          <w:sz w:val="24"/>
          <w:szCs w:val="24"/>
          <w:lang w:val="en-US"/>
        </w:rPr>
        <w:t xml:space="preserve">been </w:t>
      </w:r>
      <w:r w:rsidR="00094269">
        <w:rPr>
          <w:rFonts w:ascii="Arial" w:hAnsi="Arial" w:cs="Arial"/>
          <w:sz w:val="24"/>
          <w:szCs w:val="24"/>
          <w:lang w:val="en-US"/>
        </w:rPr>
        <w:t>shown that the PLS has a similar performance in children and adolescents with stage 1 or stage 2 type 1 diabetes from other regions. The study</w:t>
      </w:r>
      <w:r w:rsidR="00094269" w:rsidRPr="00E262E0">
        <w:rPr>
          <w:rFonts w:ascii="Arial" w:hAnsi="Arial" w:cs="Arial"/>
          <w:sz w:val="24"/>
          <w:szCs w:val="24"/>
          <w:lang w:val="en-US"/>
        </w:rPr>
        <w:t xml:space="preserve"> </w:t>
      </w:r>
      <w:r w:rsidRPr="00E262E0">
        <w:rPr>
          <w:rFonts w:ascii="Arial" w:hAnsi="Arial" w:cs="Arial"/>
          <w:sz w:val="24"/>
          <w:szCs w:val="24"/>
          <w:lang w:val="en-US"/>
        </w:rPr>
        <w:t>did not include genetic markers or genetic scores associated with type 1 diabetes as well as other parameters such as proinsulin/c-peptide ratios (</w:t>
      </w:r>
      <w:r w:rsidR="00A44873">
        <w:rPr>
          <w:rFonts w:ascii="Arial" w:hAnsi="Arial" w:cs="Arial"/>
          <w:sz w:val="24"/>
          <w:szCs w:val="24"/>
          <w:lang w:val="en-US"/>
        </w:rPr>
        <w:t>2</w:t>
      </w:r>
      <w:r w:rsidR="00261E25">
        <w:rPr>
          <w:rFonts w:ascii="Arial" w:hAnsi="Arial" w:cs="Arial"/>
          <w:sz w:val="24"/>
          <w:szCs w:val="24"/>
          <w:lang w:val="en-US"/>
        </w:rPr>
        <w:t>7</w:t>
      </w:r>
      <w:r w:rsidR="00A44873">
        <w:rPr>
          <w:rFonts w:ascii="Arial" w:hAnsi="Arial" w:cs="Arial"/>
          <w:sz w:val="24"/>
          <w:szCs w:val="24"/>
          <w:lang w:val="en-US"/>
        </w:rPr>
        <w:t>-</w:t>
      </w:r>
      <w:r w:rsidR="00261E25">
        <w:rPr>
          <w:rFonts w:ascii="Arial" w:hAnsi="Arial" w:cs="Arial"/>
          <w:sz w:val="24"/>
          <w:szCs w:val="24"/>
          <w:lang w:val="en-US"/>
        </w:rPr>
        <w:t>29</w:t>
      </w:r>
      <w:r w:rsidRPr="00E262E0">
        <w:rPr>
          <w:rFonts w:ascii="Arial" w:hAnsi="Arial" w:cs="Arial"/>
          <w:sz w:val="24"/>
          <w:szCs w:val="24"/>
          <w:lang w:val="en-US"/>
        </w:rPr>
        <w:t xml:space="preserve">) and it is possible that these could be valuable in risk models. </w:t>
      </w:r>
      <w:r w:rsidR="00C97A46">
        <w:rPr>
          <w:rFonts w:ascii="Arial" w:hAnsi="Arial" w:cs="Arial"/>
          <w:sz w:val="24"/>
          <w:szCs w:val="24"/>
          <w:lang w:val="en-US"/>
        </w:rPr>
        <w:t xml:space="preserve">Furthermore, several other parameters </w:t>
      </w:r>
      <w:r w:rsidR="00C97A46" w:rsidRPr="00070328">
        <w:rPr>
          <w:rFonts w:ascii="Arial" w:hAnsi="Arial" w:cs="Arial"/>
          <w:sz w:val="24"/>
          <w:szCs w:val="24"/>
          <w:lang w:val="en-US"/>
        </w:rPr>
        <w:t xml:space="preserve">such as </w:t>
      </w:r>
      <w:r w:rsidR="00070328" w:rsidRPr="00C5625C">
        <w:rPr>
          <w:rFonts w:ascii="Arial" w:hAnsi="Arial" w:cs="Arial"/>
          <w:sz w:val="24"/>
          <w:szCs w:val="24"/>
          <w:lang w:val="en-US"/>
        </w:rPr>
        <w:t>proteomic and transcriptomic markers</w:t>
      </w:r>
      <w:r w:rsidR="00C97A46" w:rsidRPr="00070328">
        <w:rPr>
          <w:rFonts w:ascii="Arial" w:hAnsi="Arial" w:cs="Arial"/>
          <w:sz w:val="24"/>
          <w:szCs w:val="24"/>
          <w:lang w:val="en-US"/>
        </w:rPr>
        <w:t xml:space="preserve"> (</w:t>
      </w:r>
      <w:r w:rsidR="00C5625C">
        <w:rPr>
          <w:rFonts w:ascii="Arial" w:hAnsi="Arial" w:cs="Arial"/>
          <w:sz w:val="24"/>
          <w:szCs w:val="24"/>
          <w:lang w:val="en-US"/>
        </w:rPr>
        <w:t>3</w:t>
      </w:r>
      <w:r w:rsidR="00261E25">
        <w:rPr>
          <w:rFonts w:ascii="Arial" w:hAnsi="Arial" w:cs="Arial"/>
          <w:sz w:val="24"/>
          <w:szCs w:val="24"/>
          <w:lang w:val="en-US"/>
        </w:rPr>
        <w:t>0</w:t>
      </w:r>
      <w:r w:rsidR="00C5625C">
        <w:rPr>
          <w:rFonts w:ascii="Arial" w:hAnsi="Arial" w:cs="Arial"/>
          <w:sz w:val="24"/>
          <w:szCs w:val="24"/>
          <w:lang w:val="en-US"/>
        </w:rPr>
        <w:t>-3</w:t>
      </w:r>
      <w:r w:rsidR="00261E25">
        <w:rPr>
          <w:rFonts w:ascii="Arial" w:hAnsi="Arial" w:cs="Arial"/>
          <w:sz w:val="24"/>
          <w:szCs w:val="24"/>
          <w:lang w:val="en-US"/>
        </w:rPr>
        <w:t>2</w:t>
      </w:r>
      <w:r w:rsidR="00C97A46" w:rsidRPr="00070328">
        <w:rPr>
          <w:rFonts w:ascii="Arial" w:hAnsi="Arial" w:cs="Arial"/>
          <w:sz w:val="24"/>
          <w:szCs w:val="24"/>
          <w:lang w:val="en-US"/>
        </w:rPr>
        <w:t xml:space="preserve">) </w:t>
      </w:r>
      <w:r w:rsidR="001162BD">
        <w:rPr>
          <w:rFonts w:ascii="Arial" w:hAnsi="Arial" w:cs="Arial"/>
          <w:sz w:val="24"/>
          <w:szCs w:val="24"/>
          <w:lang w:val="en-US"/>
        </w:rPr>
        <w:t xml:space="preserve">have </w:t>
      </w:r>
      <w:r w:rsidR="003C625F">
        <w:rPr>
          <w:rFonts w:ascii="Arial" w:hAnsi="Arial" w:cs="Arial"/>
          <w:sz w:val="24"/>
          <w:szCs w:val="24"/>
          <w:lang w:val="en-US"/>
        </w:rPr>
        <w:t>the potential</w:t>
      </w:r>
      <w:r w:rsidR="00C97A46">
        <w:rPr>
          <w:rFonts w:ascii="Arial" w:hAnsi="Arial" w:cs="Arial"/>
          <w:sz w:val="24"/>
          <w:szCs w:val="24"/>
          <w:lang w:val="en-US"/>
        </w:rPr>
        <w:t xml:space="preserve"> to enhance the ability to predict progression to stage 3 and, once standardized, may have additional value in a PLS. </w:t>
      </w:r>
      <w:r w:rsidRPr="00E262E0">
        <w:rPr>
          <w:rFonts w:ascii="Arial" w:hAnsi="Arial" w:cs="Arial"/>
          <w:sz w:val="24"/>
          <w:szCs w:val="24"/>
          <w:lang w:val="en-US"/>
        </w:rPr>
        <w:t xml:space="preserve">We have not examined whether simpler decision-tree-based models and with categorical values for HbA1c or OGTT parameters may be as effective as the PLS in stratifying early progression rates. The Fr1da cohort includes mainly children with </w:t>
      </w:r>
      <w:r w:rsidR="000763C5" w:rsidRPr="00E262E0">
        <w:rPr>
          <w:rFonts w:ascii="Arial" w:hAnsi="Arial" w:cs="Arial"/>
          <w:sz w:val="24"/>
          <w:szCs w:val="24"/>
          <w:lang w:val="en-US"/>
        </w:rPr>
        <w:t>European</w:t>
      </w:r>
      <w:r w:rsidRPr="00E262E0">
        <w:rPr>
          <w:rFonts w:ascii="Arial" w:hAnsi="Arial" w:cs="Arial"/>
          <w:sz w:val="24"/>
          <w:szCs w:val="24"/>
          <w:lang w:val="en-US"/>
        </w:rPr>
        <w:t xml:space="preserve"> ancestry. It is, therefore, unknown if the PLS stratifies progression rates in adults with early-stage type 1 diabetes or </w:t>
      </w:r>
      <w:r w:rsidR="00077776" w:rsidRPr="00E262E0">
        <w:rPr>
          <w:rFonts w:ascii="Arial" w:hAnsi="Arial" w:cs="Arial"/>
          <w:sz w:val="24"/>
          <w:szCs w:val="24"/>
          <w:lang w:val="en-US"/>
        </w:rPr>
        <w:t>i</w:t>
      </w:r>
      <w:r w:rsidRPr="00E262E0">
        <w:rPr>
          <w:rFonts w:ascii="Arial" w:hAnsi="Arial" w:cs="Arial"/>
          <w:sz w:val="24"/>
          <w:szCs w:val="24"/>
          <w:lang w:val="en-US"/>
        </w:rPr>
        <w:t>f the PLS threshold appl</w:t>
      </w:r>
      <w:r w:rsidR="00077776" w:rsidRPr="00E262E0">
        <w:rPr>
          <w:rFonts w:ascii="Arial" w:hAnsi="Arial" w:cs="Arial"/>
          <w:sz w:val="24"/>
          <w:szCs w:val="24"/>
          <w:lang w:val="en-US"/>
        </w:rPr>
        <w:t>ies</w:t>
      </w:r>
      <w:r w:rsidRPr="00E262E0">
        <w:rPr>
          <w:rFonts w:ascii="Arial" w:hAnsi="Arial" w:cs="Arial"/>
          <w:sz w:val="24"/>
          <w:szCs w:val="24"/>
          <w:lang w:val="en-US"/>
        </w:rPr>
        <w:t xml:space="preserve"> to other </w:t>
      </w:r>
      <w:r w:rsidR="000763C5" w:rsidRPr="00E262E0">
        <w:rPr>
          <w:rFonts w:ascii="Arial" w:hAnsi="Arial" w:cs="Arial"/>
          <w:sz w:val="24"/>
          <w:szCs w:val="24"/>
          <w:lang w:val="en-US"/>
        </w:rPr>
        <w:t>ancestries</w:t>
      </w:r>
      <w:r w:rsidRPr="00E262E0">
        <w:rPr>
          <w:rFonts w:ascii="Arial" w:hAnsi="Arial" w:cs="Arial"/>
          <w:sz w:val="24"/>
          <w:szCs w:val="24"/>
          <w:lang w:val="en-US"/>
        </w:rPr>
        <w:t>. We have not assessed changes in the PLS over time and do not know whether changes in the PLS score are associated with variation in the progression rate to stage 3 type 1 diabetes. Finally, we have not compared the PLS to other models, including dynamic models or those based on machine-learning methods.</w:t>
      </w:r>
    </w:p>
    <w:p w14:paraId="3177C977" w14:textId="75DA49E7" w:rsidR="00204B0A" w:rsidRPr="00E262E0" w:rsidRDefault="00204B0A" w:rsidP="009045A9">
      <w:pPr>
        <w:spacing w:after="0" w:line="480" w:lineRule="auto"/>
        <w:jc w:val="both"/>
        <w:rPr>
          <w:rFonts w:ascii="Arial" w:hAnsi="Arial" w:cs="Arial"/>
          <w:sz w:val="24"/>
          <w:szCs w:val="24"/>
          <w:lang w:val="en-US"/>
        </w:rPr>
      </w:pPr>
      <w:r w:rsidRPr="00E262E0">
        <w:rPr>
          <w:rFonts w:ascii="Arial" w:hAnsi="Arial" w:cs="Arial"/>
          <w:sz w:val="24"/>
          <w:szCs w:val="24"/>
          <w:lang w:val="en-US"/>
        </w:rPr>
        <w:t>In conclusion, the PLS represents a relatively simple stratif</w:t>
      </w:r>
      <w:r w:rsidR="0009083E" w:rsidRPr="00E262E0">
        <w:rPr>
          <w:rFonts w:ascii="Arial" w:hAnsi="Arial" w:cs="Arial"/>
          <w:sz w:val="24"/>
          <w:szCs w:val="24"/>
          <w:lang w:val="en-US"/>
        </w:rPr>
        <w:t>i</w:t>
      </w:r>
      <w:r w:rsidRPr="00E262E0">
        <w:rPr>
          <w:rFonts w:ascii="Arial" w:hAnsi="Arial" w:cs="Arial"/>
          <w:sz w:val="24"/>
          <w:szCs w:val="24"/>
          <w:lang w:val="en-US"/>
        </w:rPr>
        <w:t>er of short- to moderate-term risk of progression to stage 3 type 1 diabetes in children with early</w:t>
      </w:r>
      <w:r w:rsidR="00B62EE9" w:rsidRPr="00E262E0">
        <w:rPr>
          <w:rFonts w:ascii="Arial" w:hAnsi="Arial" w:cs="Arial"/>
          <w:sz w:val="24"/>
          <w:szCs w:val="24"/>
          <w:lang w:val="en-US"/>
        </w:rPr>
        <w:t>-</w:t>
      </w:r>
      <w:r w:rsidRPr="00E262E0">
        <w:rPr>
          <w:rFonts w:ascii="Arial" w:hAnsi="Arial" w:cs="Arial"/>
          <w:sz w:val="24"/>
          <w:szCs w:val="24"/>
          <w:lang w:val="en-US"/>
        </w:rPr>
        <w:t xml:space="preserve">stage disease. This or similar methods to stratify risk should be considered for guiding monitoring practices, counselling and eligibility into clinical trials. </w:t>
      </w:r>
    </w:p>
    <w:p w14:paraId="201FDA7A" w14:textId="77777777" w:rsidR="0007184F" w:rsidRPr="00E262E0" w:rsidRDefault="0007184F">
      <w:pPr>
        <w:rPr>
          <w:rFonts w:ascii="Arial" w:hAnsi="Arial" w:cs="Arial"/>
          <w:b/>
          <w:bCs/>
          <w:color w:val="000000" w:themeColor="text1"/>
          <w:sz w:val="24"/>
          <w:szCs w:val="24"/>
          <w:lang w:val="en-US"/>
        </w:rPr>
      </w:pPr>
      <w:r w:rsidRPr="00E262E0">
        <w:rPr>
          <w:rFonts w:ascii="Arial" w:hAnsi="Arial" w:cs="Arial"/>
          <w:b/>
          <w:bCs/>
          <w:color w:val="000000" w:themeColor="text1"/>
          <w:sz w:val="24"/>
          <w:szCs w:val="24"/>
          <w:lang w:val="en-US"/>
        </w:rPr>
        <w:br w:type="page"/>
      </w:r>
    </w:p>
    <w:p w14:paraId="7C0C2AA1" w14:textId="2877C14F" w:rsidR="00A50667" w:rsidRPr="00E262E0" w:rsidRDefault="00A50667" w:rsidP="0007184F">
      <w:pPr>
        <w:spacing w:after="0" w:line="480" w:lineRule="auto"/>
        <w:jc w:val="both"/>
        <w:rPr>
          <w:rFonts w:ascii="Arial" w:hAnsi="Arial" w:cs="Arial"/>
          <w:color w:val="000000" w:themeColor="text1"/>
          <w:sz w:val="24"/>
          <w:szCs w:val="24"/>
          <w:lang w:val="en-US"/>
        </w:rPr>
      </w:pPr>
      <w:r w:rsidRPr="00E262E0">
        <w:rPr>
          <w:rFonts w:ascii="Arial" w:hAnsi="Arial" w:cs="Arial"/>
          <w:b/>
          <w:bCs/>
          <w:color w:val="000000" w:themeColor="text1"/>
          <w:sz w:val="24"/>
          <w:szCs w:val="24"/>
          <w:lang w:val="en-US"/>
        </w:rPr>
        <w:lastRenderedPageBreak/>
        <w:t>Acknowledgments.</w:t>
      </w:r>
      <w:r w:rsidRPr="00E262E0">
        <w:rPr>
          <w:rFonts w:ascii="Arial" w:hAnsi="Arial" w:cs="Arial"/>
          <w:color w:val="000000" w:themeColor="text1"/>
          <w:sz w:val="24"/>
          <w:szCs w:val="24"/>
          <w:lang w:val="en-US"/>
        </w:rPr>
        <w:t xml:space="preserve"> We sincerely thank the participating families for their contribution to type 1 diabetes research. We are also very grateful to Fr1da study group (</w:t>
      </w:r>
      <w:hyperlink r:id="rId12" w:history="1">
        <w:r w:rsidR="00881A27" w:rsidRPr="009D1CCE">
          <w:rPr>
            <w:rStyle w:val="Hyperlink"/>
            <w:rFonts w:ascii="Arial" w:hAnsi="Arial" w:cs="Arial"/>
            <w:sz w:val="24"/>
            <w:szCs w:val="24"/>
            <w:lang w:val="en-US"/>
          </w:rPr>
          <w:t>https://www.typ1diabetes-frueherkennung.de/informationen-arztpraxen/the-fr1da-study-group/index.html</w:t>
        </w:r>
      </w:hyperlink>
      <w:r w:rsidR="00360F21" w:rsidRPr="00E262E0">
        <w:rPr>
          <w:rFonts w:ascii="Arial" w:hAnsi="Arial" w:cs="Arial"/>
          <w:color w:val="000000" w:themeColor="text1"/>
          <w:sz w:val="24"/>
          <w:szCs w:val="24"/>
          <w:lang w:val="en-US"/>
        </w:rPr>
        <w:t>)</w:t>
      </w:r>
      <w:r w:rsidR="00881A27">
        <w:rPr>
          <w:rFonts w:ascii="Arial" w:hAnsi="Arial" w:cs="Arial"/>
          <w:color w:val="000000" w:themeColor="text1"/>
          <w:sz w:val="24"/>
          <w:szCs w:val="24"/>
          <w:lang w:val="en-US"/>
        </w:rPr>
        <w:t xml:space="preserve">. </w:t>
      </w:r>
      <w:r w:rsidR="00881A27" w:rsidRPr="00881A27">
        <w:rPr>
          <w:rFonts w:ascii="Arial" w:hAnsi="Arial" w:cs="Arial"/>
          <w:color w:val="000000" w:themeColor="text1"/>
          <w:sz w:val="24"/>
          <w:szCs w:val="24"/>
          <w:lang w:val="en-US"/>
        </w:rPr>
        <w:t>We would like to express our special thanks to Melanie S</w:t>
      </w:r>
      <w:r w:rsidR="00881A27">
        <w:rPr>
          <w:rFonts w:ascii="Arial" w:hAnsi="Arial" w:cs="Arial"/>
          <w:color w:val="000000" w:themeColor="text1"/>
          <w:sz w:val="24"/>
          <w:szCs w:val="24"/>
          <w:lang w:val="en-US"/>
        </w:rPr>
        <w:t>porreiter</w:t>
      </w:r>
      <w:r w:rsidR="00881A27" w:rsidRPr="00881A27">
        <w:rPr>
          <w:rFonts w:ascii="Arial" w:hAnsi="Arial" w:cs="Arial"/>
          <w:color w:val="000000" w:themeColor="text1"/>
          <w:sz w:val="24"/>
          <w:szCs w:val="24"/>
          <w:lang w:val="en-US"/>
        </w:rPr>
        <w:t xml:space="preserve"> for the IA-2A determination </w:t>
      </w:r>
      <w:r w:rsidR="00881A27">
        <w:rPr>
          <w:rFonts w:ascii="Arial" w:hAnsi="Arial" w:cs="Arial"/>
          <w:color w:val="000000" w:themeColor="text1"/>
          <w:sz w:val="24"/>
          <w:szCs w:val="24"/>
          <w:lang w:val="en-US"/>
        </w:rPr>
        <w:t>by</w:t>
      </w:r>
      <w:r w:rsidR="00881A27" w:rsidRPr="00881A27">
        <w:rPr>
          <w:rFonts w:ascii="Arial" w:hAnsi="Arial" w:cs="Arial"/>
          <w:color w:val="000000" w:themeColor="text1"/>
          <w:sz w:val="24"/>
          <w:szCs w:val="24"/>
          <w:lang w:val="en-US"/>
        </w:rPr>
        <w:t xml:space="preserve"> ECL assay.</w:t>
      </w:r>
    </w:p>
    <w:p w14:paraId="0BCD7A27" w14:textId="77777777" w:rsidR="00861C0D" w:rsidRPr="00E262E0" w:rsidRDefault="00861C0D" w:rsidP="0007184F">
      <w:pPr>
        <w:spacing w:after="0" w:line="480" w:lineRule="auto"/>
        <w:jc w:val="both"/>
        <w:rPr>
          <w:rFonts w:ascii="Arial" w:hAnsi="Arial" w:cs="Arial"/>
          <w:b/>
          <w:bCs/>
          <w:color w:val="000000" w:themeColor="text1"/>
          <w:sz w:val="24"/>
          <w:szCs w:val="24"/>
          <w:lang w:val="en-US"/>
        </w:rPr>
      </w:pPr>
    </w:p>
    <w:p w14:paraId="79CC6D7A" w14:textId="3DDDD4DF" w:rsidR="00A50667" w:rsidRPr="00E262E0" w:rsidRDefault="00A50667" w:rsidP="0007184F">
      <w:pPr>
        <w:spacing w:after="0" w:line="480" w:lineRule="auto"/>
        <w:jc w:val="both"/>
        <w:rPr>
          <w:rFonts w:ascii="Arial" w:hAnsi="Arial" w:cs="Arial"/>
          <w:color w:val="000000" w:themeColor="text1"/>
          <w:sz w:val="24"/>
          <w:szCs w:val="24"/>
          <w:lang w:val="en-US"/>
        </w:rPr>
      </w:pPr>
      <w:r w:rsidRPr="00E262E0">
        <w:rPr>
          <w:rFonts w:ascii="Arial" w:hAnsi="Arial" w:cs="Arial"/>
          <w:b/>
          <w:bCs/>
          <w:color w:val="000000" w:themeColor="text1"/>
          <w:sz w:val="24"/>
          <w:szCs w:val="24"/>
          <w:lang w:val="en-US"/>
        </w:rPr>
        <w:t>Funding.</w:t>
      </w:r>
      <w:r w:rsidRPr="00E262E0">
        <w:rPr>
          <w:rFonts w:ascii="Arial" w:hAnsi="Arial" w:cs="Arial"/>
          <w:color w:val="000000" w:themeColor="text1"/>
          <w:sz w:val="24"/>
          <w:szCs w:val="24"/>
          <w:lang w:val="en-US"/>
        </w:rPr>
        <w:t xml:space="preserve"> </w:t>
      </w:r>
      <w:r w:rsidR="004F7A01" w:rsidRPr="00E262E0">
        <w:rPr>
          <w:rFonts w:ascii="Arial" w:hAnsi="Arial" w:cs="Arial"/>
          <w:color w:val="000000" w:themeColor="text1"/>
          <w:sz w:val="24"/>
          <w:szCs w:val="24"/>
          <w:lang w:val="en-US"/>
        </w:rPr>
        <w:t xml:space="preserve"> The Fr1da study was supported by </w:t>
      </w:r>
      <w:r w:rsidR="00C33E1C" w:rsidRPr="00E262E0">
        <w:rPr>
          <w:rFonts w:ascii="Arial" w:hAnsi="Arial" w:cs="Arial"/>
          <w:color w:val="000000" w:themeColor="text1"/>
          <w:sz w:val="24"/>
          <w:szCs w:val="24"/>
          <w:lang w:val="en-US"/>
        </w:rPr>
        <w:t xml:space="preserve">Breakthrough T1D (formerly Juvenile Diabetes Research Foundation International: </w:t>
      </w:r>
      <w:r w:rsidR="004F7A01" w:rsidRPr="00E262E0">
        <w:rPr>
          <w:rFonts w:ascii="Arial" w:hAnsi="Arial" w:cs="Arial"/>
          <w:color w:val="000000" w:themeColor="text1"/>
          <w:sz w:val="24"/>
          <w:szCs w:val="24"/>
          <w:lang w:val="en-US"/>
        </w:rPr>
        <w:t>1-SRA-2014-310-M-R, 3-SRA-2019-718-Q-R), LifeScience Stiftung (HMGU 2014.01 and HMGU 2016.01)</w:t>
      </w:r>
      <w:r w:rsidR="00B93469" w:rsidRPr="00E262E0">
        <w:rPr>
          <w:rFonts w:ascii="Arial" w:hAnsi="Arial" w:cs="Arial"/>
          <w:color w:val="000000" w:themeColor="text1"/>
          <w:sz w:val="24"/>
          <w:szCs w:val="24"/>
          <w:lang w:val="en-US"/>
        </w:rPr>
        <w:t xml:space="preserve"> and</w:t>
      </w:r>
      <w:r w:rsidR="004F7A01" w:rsidRPr="00E262E0">
        <w:rPr>
          <w:rFonts w:ascii="Arial" w:hAnsi="Arial" w:cs="Arial"/>
          <w:color w:val="000000" w:themeColor="text1"/>
          <w:sz w:val="24"/>
          <w:szCs w:val="24"/>
          <w:lang w:val="en-US"/>
        </w:rPr>
        <w:t xml:space="preserve"> the German Center for Diabetes Research [DZD] e.V.).</w:t>
      </w:r>
      <w:r w:rsidR="0007184F" w:rsidRPr="00E262E0">
        <w:rPr>
          <w:rFonts w:ascii="Arial" w:hAnsi="Arial" w:cs="Arial"/>
          <w:color w:val="000000" w:themeColor="text1"/>
          <w:sz w:val="24"/>
          <w:szCs w:val="24"/>
          <w:lang w:val="en-US"/>
        </w:rPr>
        <w:t xml:space="preserve"> </w:t>
      </w:r>
      <w:r w:rsidRPr="00E262E0">
        <w:rPr>
          <w:rFonts w:ascii="Arial" w:hAnsi="Arial" w:cs="Arial"/>
          <w:color w:val="000000" w:themeColor="text1"/>
          <w:sz w:val="24"/>
          <w:szCs w:val="24"/>
          <w:lang w:val="en-US"/>
        </w:rPr>
        <w:t>The Fr1da cohort study was supported by grants from The Leona M. and Harry B. Helmsley Charitable Trust (G-1911–3274) and Breakthrough</w:t>
      </w:r>
      <w:r w:rsidR="00853444" w:rsidRPr="00E262E0">
        <w:rPr>
          <w:rFonts w:ascii="Arial" w:hAnsi="Arial" w:cs="Arial"/>
          <w:color w:val="000000" w:themeColor="text1"/>
          <w:sz w:val="24"/>
          <w:szCs w:val="24"/>
          <w:lang w:val="en-US"/>
        </w:rPr>
        <w:t xml:space="preserve"> </w:t>
      </w:r>
      <w:r w:rsidR="00567C36" w:rsidRPr="00E262E0">
        <w:rPr>
          <w:rFonts w:ascii="Arial" w:hAnsi="Arial" w:cs="Arial"/>
          <w:color w:val="000000" w:themeColor="text1"/>
          <w:sz w:val="24"/>
          <w:szCs w:val="24"/>
          <w:lang w:val="en-US"/>
        </w:rPr>
        <w:t>T1D</w:t>
      </w:r>
      <w:r w:rsidR="00767E46" w:rsidRPr="00E262E0">
        <w:rPr>
          <w:rFonts w:ascii="Arial" w:hAnsi="Arial" w:cs="Arial"/>
          <w:color w:val="000000" w:themeColor="text1"/>
          <w:sz w:val="24"/>
          <w:szCs w:val="24"/>
          <w:lang w:val="en-US"/>
        </w:rPr>
        <w:t xml:space="preserve"> </w:t>
      </w:r>
      <w:r w:rsidRPr="00E262E0">
        <w:rPr>
          <w:rFonts w:ascii="Arial" w:hAnsi="Arial" w:cs="Arial"/>
          <w:color w:val="000000" w:themeColor="text1"/>
          <w:sz w:val="24"/>
          <w:szCs w:val="24"/>
          <w:lang w:val="en-US"/>
        </w:rPr>
        <w:t>(</w:t>
      </w:r>
      <w:r w:rsidR="00532ECB" w:rsidRPr="00E262E0">
        <w:rPr>
          <w:rFonts w:ascii="Arial" w:hAnsi="Arial" w:cs="Arial"/>
          <w:color w:val="000000" w:themeColor="text1"/>
          <w:sz w:val="24"/>
          <w:szCs w:val="24"/>
          <w:lang w:val="en-US"/>
        </w:rPr>
        <w:t>formerly Juvenile Diabetes Research Foundation International:</w:t>
      </w:r>
      <w:r w:rsidRPr="00E262E0">
        <w:rPr>
          <w:rFonts w:ascii="Arial" w:hAnsi="Arial" w:cs="Arial"/>
          <w:color w:val="000000" w:themeColor="text1"/>
          <w:sz w:val="24"/>
          <w:szCs w:val="24"/>
          <w:lang w:val="en-US"/>
        </w:rPr>
        <w:t xml:space="preserve"> 3-SRA-2015–72-M-R).</w:t>
      </w:r>
      <w:r w:rsidRPr="00E262E0">
        <w:rPr>
          <w:rFonts w:ascii="Arial" w:hAnsi="Arial" w:cs="Arial"/>
          <w:sz w:val="24"/>
          <w:szCs w:val="24"/>
          <w:lang w:val="en-US"/>
        </w:rPr>
        <w:t xml:space="preserve"> </w:t>
      </w:r>
      <w:r w:rsidR="00007F5F" w:rsidRPr="00E262E0">
        <w:rPr>
          <w:rFonts w:ascii="Arial" w:hAnsi="Arial" w:cs="Arial"/>
          <w:sz w:val="24"/>
          <w:szCs w:val="24"/>
          <w:lang w:val="en-US"/>
        </w:rPr>
        <w:t xml:space="preserve">This project is supported by </w:t>
      </w:r>
      <w:r w:rsidR="00AB3668">
        <w:rPr>
          <w:rFonts w:ascii="Arial" w:hAnsi="Arial" w:cs="Arial"/>
          <w:sz w:val="24"/>
          <w:szCs w:val="24"/>
          <w:lang w:val="en-US"/>
        </w:rPr>
        <w:t>the Deutsche Diabetiker Bund e.V.</w:t>
      </w:r>
      <w:r w:rsidR="00011831">
        <w:rPr>
          <w:rFonts w:ascii="Arial" w:hAnsi="Arial" w:cs="Arial"/>
          <w:sz w:val="24"/>
          <w:szCs w:val="24"/>
          <w:lang w:val="en-US"/>
        </w:rPr>
        <w:t xml:space="preserve"> and </w:t>
      </w:r>
      <w:r w:rsidR="00007F5F" w:rsidRPr="00E262E0">
        <w:rPr>
          <w:rFonts w:ascii="Arial" w:hAnsi="Arial" w:cs="Arial"/>
          <w:sz w:val="24"/>
          <w:szCs w:val="24"/>
          <w:lang w:val="en-US"/>
        </w:rPr>
        <w:t>the Innovative Health Initiative Joint Undertaking (IHI JU) under grant agreement number 101132379.</w:t>
      </w:r>
      <w:r w:rsidR="00EF5C04">
        <w:rPr>
          <w:rFonts w:ascii="Arial" w:hAnsi="Arial" w:cs="Arial"/>
          <w:sz w:val="24"/>
          <w:szCs w:val="24"/>
          <w:lang w:val="en-US"/>
        </w:rPr>
        <w:t xml:space="preserve"> </w:t>
      </w:r>
      <w:r w:rsidRPr="00E262E0">
        <w:rPr>
          <w:rFonts w:ascii="Arial" w:hAnsi="Arial" w:cs="Arial"/>
          <w:color w:val="000000" w:themeColor="text1"/>
          <w:sz w:val="24"/>
          <w:szCs w:val="24"/>
          <w:lang w:val="en-US"/>
        </w:rPr>
        <w:t>The funders had no role in the design and conduct of the study; collection, management, analysis, and interpretation of the data; preparation, review, or approval of the manuscript; and decision to submit the manuscript for publication.</w:t>
      </w:r>
    </w:p>
    <w:p w14:paraId="1F1BC2E8" w14:textId="77777777" w:rsidR="00A50667" w:rsidRPr="00E262E0" w:rsidRDefault="00A50667" w:rsidP="0007184F">
      <w:pPr>
        <w:spacing w:after="0" w:line="480" w:lineRule="auto"/>
        <w:jc w:val="both"/>
        <w:rPr>
          <w:rFonts w:ascii="Arial" w:hAnsi="Arial" w:cs="Arial"/>
          <w:b/>
          <w:bCs/>
          <w:color w:val="000000" w:themeColor="text1"/>
          <w:sz w:val="24"/>
          <w:szCs w:val="24"/>
          <w:lang w:val="en-US"/>
        </w:rPr>
      </w:pPr>
    </w:p>
    <w:p w14:paraId="3290DF6D" w14:textId="0A2C0B41" w:rsidR="00A50667" w:rsidRPr="00E262E0" w:rsidRDefault="009E5856" w:rsidP="0007184F">
      <w:pPr>
        <w:spacing w:after="0" w:line="480" w:lineRule="auto"/>
        <w:jc w:val="both"/>
        <w:rPr>
          <w:rFonts w:ascii="Arial" w:hAnsi="Arial" w:cs="Arial"/>
          <w:color w:val="000000" w:themeColor="text1"/>
          <w:sz w:val="24"/>
          <w:szCs w:val="24"/>
          <w:lang w:val="en-US"/>
        </w:rPr>
      </w:pPr>
      <w:r>
        <w:rPr>
          <w:rFonts w:ascii="Arial" w:hAnsi="Arial" w:cs="Arial"/>
          <w:b/>
          <w:bCs/>
          <w:color w:val="000000" w:themeColor="text1"/>
          <w:sz w:val="24"/>
          <w:szCs w:val="24"/>
          <w:lang w:val="en-US"/>
        </w:rPr>
        <w:t>Conflict</w:t>
      </w:r>
      <w:r w:rsidR="00A50667" w:rsidRPr="00E262E0">
        <w:rPr>
          <w:rFonts w:ascii="Arial" w:hAnsi="Arial" w:cs="Arial"/>
          <w:b/>
          <w:bCs/>
          <w:color w:val="000000" w:themeColor="text1"/>
          <w:sz w:val="24"/>
          <w:szCs w:val="24"/>
          <w:lang w:val="en-US"/>
        </w:rPr>
        <w:t xml:space="preserve"> of Interest.</w:t>
      </w:r>
      <w:r w:rsidR="00A50667" w:rsidRPr="00E262E0">
        <w:rPr>
          <w:rFonts w:ascii="Arial" w:hAnsi="Arial" w:cs="Arial"/>
          <w:color w:val="000000" w:themeColor="text1"/>
          <w:sz w:val="24"/>
          <w:szCs w:val="24"/>
          <w:lang w:val="en-US"/>
        </w:rPr>
        <w:t> A.G.Z. served as a member of advisory boards for Sanofi-Aventis, and Novo Nordisk, and received support to give lectures sponsored by Sanofi-Aventis</w:t>
      </w:r>
      <w:r w:rsidR="00A50667" w:rsidRPr="00E262E0">
        <w:rPr>
          <w:rFonts w:ascii="Arial" w:hAnsi="Arial" w:cs="Arial"/>
          <w:b/>
          <w:bCs/>
          <w:color w:val="000000" w:themeColor="text1"/>
          <w:sz w:val="24"/>
          <w:szCs w:val="24"/>
          <w:lang w:val="en-US"/>
        </w:rPr>
        <w:t xml:space="preserve">. </w:t>
      </w:r>
      <w:r w:rsidR="00A50667" w:rsidRPr="00E262E0">
        <w:rPr>
          <w:rFonts w:ascii="Arial" w:hAnsi="Arial" w:cs="Arial"/>
          <w:color w:val="000000" w:themeColor="text1"/>
          <w:sz w:val="24"/>
          <w:szCs w:val="24"/>
          <w:lang w:val="en-US"/>
        </w:rPr>
        <w:t>E.B. received support for travel and accommodation to attend international conferences and to give lectures sponsored by Sanofi-Aventis. P.A. served as a member of advisory boards for Sanofi-Aventis and received support to give lectures sponsored by Sanofi-Aventis. No other potential conflicts of interest relevant to this article were reported.</w:t>
      </w:r>
    </w:p>
    <w:p w14:paraId="30C6C943" w14:textId="77777777" w:rsidR="00A50667" w:rsidRPr="00E262E0" w:rsidRDefault="00A50667" w:rsidP="009045A9">
      <w:pPr>
        <w:spacing w:after="0" w:line="480" w:lineRule="auto"/>
        <w:rPr>
          <w:rFonts w:ascii="Arial" w:hAnsi="Arial" w:cs="Arial"/>
          <w:b/>
          <w:bCs/>
          <w:color w:val="000000" w:themeColor="text1"/>
          <w:sz w:val="24"/>
          <w:szCs w:val="24"/>
          <w:lang w:val="en-US"/>
        </w:rPr>
      </w:pPr>
    </w:p>
    <w:p w14:paraId="7AD8270B" w14:textId="78DD60A9" w:rsidR="00A50667" w:rsidRPr="00E262E0" w:rsidRDefault="00A50667" w:rsidP="0007184F">
      <w:pPr>
        <w:spacing w:after="0" w:line="480" w:lineRule="auto"/>
        <w:jc w:val="both"/>
        <w:rPr>
          <w:rFonts w:ascii="Arial" w:hAnsi="Arial" w:cs="Arial"/>
          <w:color w:val="000000" w:themeColor="text1"/>
          <w:sz w:val="24"/>
          <w:szCs w:val="24"/>
          <w:lang w:val="en-US"/>
        </w:rPr>
      </w:pPr>
      <w:r w:rsidRPr="00E262E0">
        <w:rPr>
          <w:rFonts w:ascii="Arial" w:hAnsi="Arial" w:cs="Arial"/>
          <w:b/>
          <w:bCs/>
          <w:color w:val="000000" w:themeColor="text1"/>
          <w:sz w:val="24"/>
          <w:szCs w:val="24"/>
          <w:lang w:val="en-US"/>
        </w:rPr>
        <w:t>Author Contributions.</w:t>
      </w:r>
      <w:r w:rsidRPr="00E262E0">
        <w:rPr>
          <w:rFonts w:ascii="Arial" w:hAnsi="Arial" w:cs="Arial"/>
          <w:color w:val="000000" w:themeColor="text1"/>
          <w:sz w:val="24"/>
          <w:szCs w:val="24"/>
          <w:lang w:val="en-US"/>
        </w:rPr>
        <w:t> </w:t>
      </w:r>
      <w:bookmarkStart w:id="2" w:name="_Hlk198535240"/>
      <w:bookmarkStart w:id="3" w:name="_Hlk198534845"/>
      <w:bookmarkStart w:id="4" w:name="_Hlk198534796"/>
      <w:r w:rsidRPr="00E262E0">
        <w:rPr>
          <w:rFonts w:ascii="Arial" w:hAnsi="Arial" w:cs="Arial"/>
          <w:color w:val="000000" w:themeColor="text1"/>
          <w:sz w:val="24"/>
          <w:szCs w:val="24"/>
          <w:lang w:val="en-US"/>
        </w:rPr>
        <w:t xml:space="preserve">A.G.Z. </w:t>
      </w:r>
      <w:bookmarkEnd w:id="2"/>
      <w:r w:rsidRPr="00E262E0">
        <w:rPr>
          <w:rFonts w:ascii="Arial" w:hAnsi="Arial" w:cs="Arial"/>
          <w:color w:val="000000" w:themeColor="text1"/>
          <w:sz w:val="24"/>
          <w:szCs w:val="24"/>
          <w:lang w:val="en-US"/>
        </w:rPr>
        <w:t xml:space="preserve">is the principal investigator of the Fr1da-study. A.G.Z., E.B., and A.W. </w:t>
      </w:r>
      <w:bookmarkEnd w:id="3"/>
      <w:r w:rsidRPr="00E262E0">
        <w:rPr>
          <w:rFonts w:ascii="Arial" w:hAnsi="Arial" w:cs="Arial"/>
          <w:color w:val="000000" w:themeColor="text1"/>
          <w:sz w:val="24"/>
          <w:szCs w:val="24"/>
          <w:lang w:val="en-US"/>
        </w:rPr>
        <w:t xml:space="preserve">designed </w:t>
      </w:r>
      <w:r w:rsidR="0007184F" w:rsidRPr="00E262E0">
        <w:rPr>
          <w:rFonts w:ascii="Arial" w:hAnsi="Arial" w:cs="Arial"/>
          <w:color w:val="000000" w:themeColor="text1"/>
          <w:sz w:val="24"/>
          <w:szCs w:val="24"/>
          <w:lang w:val="en-US"/>
        </w:rPr>
        <w:t>and performed</w:t>
      </w:r>
      <w:r w:rsidRPr="00E262E0">
        <w:rPr>
          <w:rFonts w:ascii="Arial" w:hAnsi="Arial" w:cs="Arial"/>
          <w:color w:val="000000" w:themeColor="text1"/>
          <w:sz w:val="24"/>
          <w:szCs w:val="24"/>
          <w:lang w:val="en-US"/>
        </w:rPr>
        <w:t xml:space="preserve"> the statistical analysis. </w:t>
      </w:r>
      <w:bookmarkStart w:id="5" w:name="_Hlk198535540"/>
      <w:r w:rsidR="003A1AA3" w:rsidRPr="00E262E0">
        <w:rPr>
          <w:rFonts w:ascii="Arial" w:hAnsi="Arial" w:cs="Arial"/>
          <w:color w:val="000000" w:themeColor="text1"/>
          <w:sz w:val="24"/>
          <w:szCs w:val="24"/>
          <w:lang w:val="en-US"/>
        </w:rPr>
        <w:t>A.G.Z., E.B.</w:t>
      </w:r>
      <w:r w:rsidR="000F09B3" w:rsidRPr="00E262E0">
        <w:rPr>
          <w:rFonts w:ascii="Arial" w:hAnsi="Arial" w:cs="Arial"/>
          <w:color w:val="000000" w:themeColor="text1"/>
          <w:sz w:val="24"/>
          <w:szCs w:val="24"/>
          <w:lang w:val="en-US"/>
        </w:rPr>
        <w:t xml:space="preserve"> and</w:t>
      </w:r>
      <w:r w:rsidR="003A1AA3" w:rsidRPr="00E262E0">
        <w:rPr>
          <w:rFonts w:ascii="Arial" w:hAnsi="Arial" w:cs="Arial"/>
          <w:color w:val="000000" w:themeColor="text1"/>
          <w:sz w:val="24"/>
          <w:szCs w:val="24"/>
          <w:lang w:val="en-US"/>
        </w:rPr>
        <w:t xml:space="preserve"> A. W. drafted the manuscript. </w:t>
      </w:r>
      <w:r w:rsidR="004718F4" w:rsidRPr="00E262E0">
        <w:rPr>
          <w:rFonts w:ascii="Arial" w:hAnsi="Arial" w:cs="Arial"/>
          <w:color w:val="000000" w:themeColor="text1"/>
          <w:sz w:val="24"/>
          <w:szCs w:val="24"/>
          <w:lang w:val="en-US"/>
        </w:rPr>
        <w:t>A.W., L.C., P.A., M.H., S.H., R</w:t>
      </w:r>
      <w:r w:rsidR="003A1AA3" w:rsidRPr="00E262E0">
        <w:rPr>
          <w:rFonts w:ascii="Arial" w:hAnsi="Arial" w:cs="Arial"/>
          <w:color w:val="000000" w:themeColor="text1"/>
          <w:sz w:val="24"/>
          <w:szCs w:val="24"/>
          <w:lang w:val="en-US"/>
        </w:rPr>
        <w:t>.</w:t>
      </w:r>
      <w:r w:rsidR="004718F4" w:rsidRPr="00E262E0">
        <w:rPr>
          <w:rFonts w:ascii="Arial" w:hAnsi="Arial" w:cs="Arial"/>
          <w:color w:val="000000" w:themeColor="text1"/>
          <w:sz w:val="24"/>
          <w:szCs w:val="24"/>
          <w:lang w:val="en-US"/>
        </w:rPr>
        <w:t>O.</w:t>
      </w:r>
      <w:r w:rsidR="003A1AA3" w:rsidRPr="00E262E0">
        <w:rPr>
          <w:rFonts w:ascii="Arial" w:hAnsi="Arial" w:cs="Arial"/>
          <w:color w:val="000000" w:themeColor="text1"/>
          <w:sz w:val="24"/>
          <w:szCs w:val="24"/>
          <w:lang w:val="en-US"/>
        </w:rPr>
        <w:t>, M.S., C.W.</w:t>
      </w:r>
      <w:r w:rsidR="0007702A" w:rsidRPr="00E262E0">
        <w:rPr>
          <w:rFonts w:ascii="Arial" w:hAnsi="Arial" w:cs="Arial"/>
          <w:color w:val="000000" w:themeColor="text1"/>
          <w:sz w:val="24"/>
          <w:szCs w:val="24"/>
          <w:lang w:val="en-US"/>
        </w:rPr>
        <w:t>,</w:t>
      </w:r>
      <w:r w:rsidR="003A1AA3" w:rsidRPr="00E262E0">
        <w:rPr>
          <w:rFonts w:ascii="Arial" w:hAnsi="Arial" w:cs="Arial"/>
          <w:color w:val="000000" w:themeColor="text1"/>
          <w:sz w:val="24"/>
          <w:szCs w:val="24"/>
          <w:lang w:val="en-US"/>
        </w:rPr>
        <w:t xml:space="preserve"> E.B.</w:t>
      </w:r>
      <w:r w:rsidR="0007702A" w:rsidRPr="00E262E0">
        <w:rPr>
          <w:rFonts w:ascii="Arial" w:hAnsi="Arial" w:cs="Arial"/>
          <w:color w:val="000000" w:themeColor="text1"/>
          <w:sz w:val="24"/>
          <w:szCs w:val="24"/>
          <w:lang w:val="en-US"/>
        </w:rPr>
        <w:t>,</w:t>
      </w:r>
      <w:r w:rsidR="003A1AA3" w:rsidRPr="00E262E0">
        <w:rPr>
          <w:rFonts w:ascii="Arial" w:hAnsi="Arial" w:cs="Arial"/>
          <w:color w:val="000000" w:themeColor="text1"/>
          <w:sz w:val="24"/>
          <w:szCs w:val="24"/>
          <w:lang w:val="en-US"/>
        </w:rPr>
        <w:t xml:space="preserve"> A.G.Z. </w:t>
      </w:r>
      <w:bookmarkEnd w:id="5"/>
      <w:r w:rsidRPr="00E262E0">
        <w:rPr>
          <w:rFonts w:ascii="Arial" w:hAnsi="Arial" w:cs="Arial"/>
          <w:color w:val="000000" w:themeColor="text1"/>
          <w:sz w:val="24"/>
          <w:szCs w:val="24"/>
          <w:lang w:val="en-US"/>
        </w:rPr>
        <w:t xml:space="preserve">acquired data and contributed to the interpretation of data. P.A. </w:t>
      </w:r>
      <w:r w:rsidR="00390671" w:rsidRPr="00E262E0">
        <w:rPr>
          <w:rFonts w:ascii="Arial" w:hAnsi="Arial" w:cs="Arial"/>
          <w:color w:val="000000" w:themeColor="text1"/>
          <w:sz w:val="24"/>
          <w:szCs w:val="24"/>
          <w:lang w:val="en-US"/>
        </w:rPr>
        <w:t xml:space="preserve">and E.B. </w:t>
      </w:r>
      <w:r w:rsidRPr="00E262E0">
        <w:rPr>
          <w:rFonts w:ascii="Arial" w:hAnsi="Arial" w:cs="Arial"/>
          <w:color w:val="000000" w:themeColor="text1"/>
          <w:sz w:val="24"/>
          <w:szCs w:val="24"/>
          <w:lang w:val="en-US"/>
        </w:rPr>
        <w:t>supervised the laboratory work. A.G.Z.</w:t>
      </w:r>
      <w:r w:rsidRPr="00E262E0">
        <w:rPr>
          <w:rFonts w:ascii="Arial" w:hAnsi="Arial" w:cs="Arial"/>
          <w:sz w:val="24"/>
          <w:szCs w:val="24"/>
          <w:lang w:val="en-US"/>
        </w:rPr>
        <w:t xml:space="preserve"> </w:t>
      </w:r>
      <w:bookmarkEnd w:id="4"/>
      <w:r w:rsidRPr="00E262E0">
        <w:rPr>
          <w:rFonts w:ascii="Arial" w:hAnsi="Arial" w:cs="Arial"/>
          <w:color w:val="000000" w:themeColor="text1"/>
          <w:sz w:val="24"/>
          <w:szCs w:val="24"/>
          <w:lang w:val="en-US"/>
        </w:rPr>
        <w:t>obtained funding.</w:t>
      </w:r>
      <w:bookmarkStart w:id="6" w:name="_Hlk198534745"/>
      <w:r w:rsidRPr="00E262E0">
        <w:rPr>
          <w:rFonts w:ascii="Arial" w:hAnsi="Arial" w:cs="Arial"/>
          <w:color w:val="000000" w:themeColor="text1"/>
          <w:sz w:val="24"/>
          <w:szCs w:val="24"/>
          <w:lang w:val="en-US"/>
        </w:rPr>
        <w:t xml:space="preserve"> All authors critically reviewed the manuscript. A.G.Z. </w:t>
      </w:r>
      <w:bookmarkEnd w:id="6"/>
      <w:r w:rsidRPr="00E262E0">
        <w:rPr>
          <w:rFonts w:ascii="Arial" w:hAnsi="Arial" w:cs="Arial"/>
          <w:color w:val="000000" w:themeColor="text1"/>
          <w:sz w:val="24"/>
          <w:szCs w:val="24"/>
          <w:lang w:val="en-US"/>
        </w:rPr>
        <w:t>is the guarantor of this work and, as such, had full access to all the data in the study and takes responsibility for the integrity of the data and the accuracy of the data analysis.</w:t>
      </w:r>
    </w:p>
    <w:p w14:paraId="4A4BE305" w14:textId="77777777" w:rsidR="00887C03" w:rsidRPr="00E262E0" w:rsidRDefault="00887C03" w:rsidP="00A50667">
      <w:pPr>
        <w:spacing w:after="0" w:line="480" w:lineRule="auto"/>
        <w:rPr>
          <w:rFonts w:ascii="Arial" w:eastAsia="Aptos" w:hAnsi="Arial" w:cs="Arial"/>
          <w:b/>
          <w:bCs/>
          <w:color w:val="000000"/>
          <w:sz w:val="24"/>
          <w:szCs w:val="24"/>
          <w:lang w:val="en-US"/>
        </w:rPr>
      </w:pPr>
    </w:p>
    <w:p w14:paraId="4FEC27F4" w14:textId="77777777" w:rsidR="00FC666C" w:rsidRPr="00E262E0" w:rsidRDefault="00FC666C" w:rsidP="00A50667">
      <w:pPr>
        <w:spacing w:after="0" w:line="480" w:lineRule="auto"/>
        <w:rPr>
          <w:rFonts w:ascii="Arial" w:eastAsia="Aptos" w:hAnsi="Arial" w:cs="Arial"/>
          <w:b/>
          <w:bCs/>
          <w:color w:val="000000"/>
          <w:sz w:val="24"/>
          <w:szCs w:val="24"/>
          <w:lang w:val="en-US"/>
        </w:rPr>
      </w:pPr>
    </w:p>
    <w:p w14:paraId="0609CA15" w14:textId="77777777" w:rsidR="00FC666C" w:rsidRPr="00E262E0" w:rsidRDefault="00FC666C" w:rsidP="00A50667">
      <w:pPr>
        <w:spacing w:after="0" w:line="480" w:lineRule="auto"/>
        <w:rPr>
          <w:rFonts w:ascii="Arial" w:eastAsia="Aptos" w:hAnsi="Arial" w:cs="Arial"/>
          <w:b/>
          <w:bCs/>
          <w:color w:val="000000"/>
          <w:sz w:val="24"/>
          <w:szCs w:val="24"/>
          <w:lang w:val="en-US"/>
        </w:rPr>
      </w:pPr>
    </w:p>
    <w:p w14:paraId="75DAA37F" w14:textId="77777777" w:rsidR="00FC666C" w:rsidRPr="00E262E0" w:rsidRDefault="00FC666C" w:rsidP="00A50667">
      <w:pPr>
        <w:spacing w:after="0" w:line="480" w:lineRule="auto"/>
        <w:rPr>
          <w:rFonts w:ascii="Arial" w:eastAsia="Aptos" w:hAnsi="Arial" w:cs="Arial"/>
          <w:b/>
          <w:bCs/>
          <w:color w:val="000000"/>
          <w:sz w:val="24"/>
          <w:szCs w:val="24"/>
          <w:lang w:val="en-US"/>
        </w:rPr>
      </w:pPr>
    </w:p>
    <w:p w14:paraId="478EB71C" w14:textId="77777777" w:rsidR="00FC666C" w:rsidRPr="00E262E0" w:rsidRDefault="00FC666C" w:rsidP="00A50667">
      <w:pPr>
        <w:spacing w:after="0" w:line="480" w:lineRule="auto"/>
        <w:rPr>
          <w:rFonts w:ascii="Arial" w:eastAsia="Aptos" w:hAnsi="Arial" w:cs="Arial"/>
          <w:b/>
          <w:bCs/>
          <w:color w:val="000000"/>
          <w:sz w:val="24"/>
          <w:szCs w:val="24"/>
          <w:lang w:val="en-US"/>
        </w:rPr>
      </w:pPr>
    </w:p>
    <w:p w14:paraId="0E12658C" w14:textId="77777777" w:rsidR="00FC666C" w:rsidRPr="00E262E0" w:rsidRDefault="00FC666C" w:rsidP="00A50667">
      <w:pPr>
        <w:spacing w:after="0" w:line="480" w:lineRule="auto"/>
        <w:rPr>
          <w:rFonts w:ascii="Arial" w:eastAsia="Aptos" w:hAnsi="Arial" w:cs="Arial"/>
          <w:b/>
          <w:bCs/>
          <w:color w:val="000000"/>
          <w:sz w:val="24"/>
          <w:szCs w:val="24"/>
          <w:lang w:val="en-US"/>
        </w:rPr>
      </w:pPr>
    </w:p>
    <w:p w14:paraId="750EF6AD" w14:textId="77777777" w:rsidR="00FC666C" w:rsidRPr="00E262E0" w:rsidRDefault="00FC666C" w:rsidP="00A50667">
      <w:pPr>
        <w:spacing w:after="0" w:line="480" w:lineRule="auto"/>
        <w:rPr>
          <w:rFonts w:ascii="Arial" w:eastAsia="Aptos" w:hAnsi="Arial" w:cs="Arial"/>
          <w:b/>
          <w:bCs/>
          <w:color w:val="000000"/>
          <w:sz w:val="24"/>
          <w:szCs w:val="24"/>
          <w:lang w:val="en-US"/>
        </w:rPr>
      </w:pPr>
    </w:p>
    <w:p w14:paraId="3A31AC56" w14:textId="77777777" w:rsidR="00FC666C" w:rsidRPr="00E262E0" w:rsidRDefault="00FC666C" w:rsidP="00A50667">
      <w:pPr>
        <w:spacing w:after="0" w:line="480" w:lineRule="auto"/>
        <w:rPr>
          <w:rFonts w:ascii="Arial" w:eastAsia="Aptos" w:hAnsi="Arial" w:cs="Arial"/>
          <w:b/>
          <w:bCs/>
          <w:color w:val="000000"/>
          <w:sz w:val="24"/>
          <w:szCs w:val="24"/>
          <w:lang w:val="en-US"/>
        </w:rPr>
      </w:pPr>
    </w:p>
    <w:p w14:paraId="771D44AB" w14:textId="77777777" w:rsidR="00FC666C" w:rsidRPr="00E262E0" w:rsidRDefault="00FC666C" w:rsidP="00A50667">
      <w:pPr>
        <w:spacing w:after="0" w:line="480" w:lineRule="auto"/>
        <w:rPr>
          <w:rFonts w:ascii="Arial" w:eastAsia="Aptos" w:hAnsi="Arial" w:cs="Arial"/>
          <w:b/>
          <w:bCs/>
          <w:color w:val="000000"/>
          <w:sz w:val="24"/>
          <w:szCs w:val="24"/>
          <w:lang w:val="en-US"/>
        </w:rPr>
      </w:pPr>
    </w:p>
    <w:p w14:paraId="0F0D3CFA" w14:textId="77777777" w:rsidR="00FC666C" w:rsidRPr="00E262E0" w:rsidRDefault="00FC666C" w:rsidP="00A50667">
      <w:pPr>
        <w:spacing w:after="0" w:line="480" w:lineRule="auto"/>
        <w:rPr>
          <w:rFonts w:ascii="Arial" w:eastAsia="Aptos" w:hAnsi="Arial" w:cs="Arial"/>
          <w:b/>
          <w:bCs/>
          <w:color w:val="000000"/>
          <w:sz w:val="24"/>
          <w:szCs w:val="24"/>
          <w:lang w:val="en-US"/>
        </w:rPr>
      </w:pPr>
    </w:p>
    <w:p w14:paraId="4A7CA4ED" w14:textId="77777777" w:rsidR="00FC666C" w:rsidRPr="00E262E0" w:rsidRDefault="00FC666C" w:rsidP="00A50667">
      <w:pPr>
        <w:spacing w:after="0" w:line="480" w:lineRule="auto"/>
        <w:rPr>
          <w:rFonts w:ascii="Arial" w:eastAsia="Aptos" w:hAnsi="Arial" w:cs="Arial"/>
          <w:b/>
          <w:bCs/>
          <w:color w:val="000000"/>
          <w:sz w:val="24"/>
          <w:szCs w:val="24"/>
          <w:lang w:val="en-US"/>
        </w:rPr>
      </w:pPr>
    </w:p>
    <w:p w14:paraId="06E03198" w14:textId="77777777" w:rsidR="00FC666C" w:rsidRPr="00E262E0" w:rsidRDefault="00FC666C" w:rsidP="00A50667">
      <w:pPr>
        <w:spacing w:after="0" w:line="480" w:lineRule="auto"/>
        <w:rPr>
          <w:rFonts w:ascii="Arial" w:eastAsia="Aptos" w:hAnsi="Arial" w:cs="Arial"/>
          <w:b/>
          <w:bCs/>
          <w:color w:val="000000"/>
          <w:sz w:val="24"/>
          <w:szCs w:val="24"/>
          <w:lang w:val="en-US"/>
        </w:rPr>
      </w:pPr>
    </w:p>
    <w:p w14:paraId="36E6CBFB" w14:textId="77777777" w:rsidR="00FC666C" w:rsidRPr="00E262E0" w:rsidRDefault="00FC666C" w:rsidP="00A50667">
      <w:pPr>
        <w:spacing w:after="0" w:line="480" w:lineRule="auto"/>
        <w:rPr>
          <w:rFonts w:ascii="Arial" w:eastAsia="Aptos" w:hAnsi="Arial" w:cs="Arial"/>
          <w:b/>
          <w:bCs/>
          <w:color w:val="000000"/>
          <w:sz w:val="24"/>
          <w:szCs w:val="24"/>
          <w:lang w:val="en-US"/>
        </w:rPr>
      </w:pPr>
    </w:p>
    <w:p w14:paraId="6BD9D01A" w14:textId="77777777" w:rsidR="00FC666C" w:rsidRPr="00E262E0" w:rsidRDefault="00FC666C" w:rsidP="00A50667">
      <w:pPr>
        <w:spacing w:after="0" w:line="480" w:lineRule="auto"/>
        <w:rPr>
          <w:rFonts w:ascii="Arial" w:eastAsia="Aptos" w:hAnsi="Arial" w:cs="Arial"/>
          <w:b/>
          <w:bCs/>
          <w:color w:val="000000"/>
          <w:sz w:val="24"/>
          <w:szCs w:val="24"/>
          <w:lang w:val="en-US"/>
        </w:rPr>
      </w:pPr>
    </w:p>
    <w:p w14:paraId="7D9B076E" w14:textId="77777777" w:rsidR="0007184F" w:rsidRPr="00E262E0" w:rsidRDefault="0007184F">
      <w:pPr>
        <w:rPr>
          <w:rFonts w:ascii="Arial" w:eastAsia="Aptos" w:hAnsi="Arial" w:cs="Arial"/>
          <w:b/>
          <w:bCs/>
          <w:color w:val="000000"/>
          <w:sz w:val="24"/>
          <w:szCs w:val="24"/>
          <w:lang w:val="en-US"/>
        </w:rPr>
      </w:pPr>
      <w:r w:rsidRPr="00E262E0">
        <w:rPr>
          <w:rFonts w:ascii="Arial" w:eastAsia="Aptos" w:hAnsi="Arial" w:cs="Arial"/>
          <w:b/>
          <w:bCs/>
          <w:color w:val="000000"/>
          <w:sz w:val="24"/>
          <w:szCs w:val="24"/>
          <w:lang w:val="en-US"/>
        </w:rPr>
        <w:br w:type="page"/>
      </w:r>
    </w:p>
    <w:p w14:paraId="2DD06501" w14:textId="27CCF016" w:rsidR="00887C03" w:rsidRPr="00E262E0" w:rsidRDefault="00887C03" w:rsidP="00BC5797">
      <w:pPr>
        <w:spacing w:after="0" w:line="240" w:lineRule="auto"/>
        <w:rPr>
          <w:rFonts w:ascii="Arial" w:eastAsia="Aptos" w:hAnsi="Arial" w:cs="Arial"/>
          <w:b/>
          <w:bCs/>
          <w:color w:val="000000"/>
          <w:sz w:val="24"/>
          <w:szCs w:val="24"/>
          <w:lang w:val="en-US"/>
        </w:rPr>
      </w:pPr>
      <w:r w:rsidRPr="00E262E0">
        <w:rPr>
          <w:rFonts w:ascii="Arial" w:eastAsia="Aptos" w:hAnsi="Arial" w:cs="Arial"/>
          <w:b/>
          <w:bCs/>
          <w:color w:val="000000"/>
          <w:sz w:val="24"/>
          <w:szCs w:val="24"/>
          <w:lang w:val="en-US"/>
        </w:rPr>
        <w:lastRenderedPageBreak/>
        <w:t>References</w:t>
      </w:r>
      <w:r w:rsidR="00FE64B8" w:rsidRPr="00E262E0">
        <w:rPr>
          <w:rFonts w:ascii="Arial" w:eastAsia="Aptos" w:hAnsi="Arial" w:cs="Arial"/>
          <w:b/>
          <w:bCs/>
          <w:color w:val="000000"/>
          <w:sz w:val="24"/>
          <w:szCs w:val="24"/>
          <w:lang w:val="en-US"/>
        </w:rPr>
        <w:t xml:space="preserve"> </w:t>
      </w:r>
    </w:p>
    <w:p w14:paraId="76D59351" w14:textId="7B8CEDFA" w:rsidR="00C21647" w:rsidRPr="00E262E0" w:rsidRDefault="004B622C" w:rsidP="00BC5797">
      <w:pPr>
        <w:pStyle w:val="Listenabsatz"/>
        <w:numPr>
          <w:ilvl w:val="0"/>
          <w:numId w:val="4"/>
        </w:numPr>
        <w:spacing w:after="0" w:line="240" w:lineRule="auto"/>
        <w:rPr>
          <w:rFonts w:ascii="Arial" w:eastAsia="Aptos" w:hAnsi="Arial" w:cs="Arial"/>
          <w:b/>
          <w:bCs/>
          <w:color w:val="000000"/>
          <w:sz w:val="24"/>
          <w:szCs w:val="24"/>
          <w:lang w:val="en-US"/>
        </w:rPr>
      </w:pPr>
      <w:r w:rsidRPr="00AD312A">
        <w:rPr>
          <w:rFonts w:ascii="Arial" w:eastAsia="Aptos" w:hAnsi="Arial" w:cs="Arial"/>
          <w:color w:val="000000"/>
          <w:sz w:val="24"/>
          <w:szCs w:val="24"/>
        </w:rPr>
        <w:t xml:space="preserve">Ziegler AG, Kick K, Bonifacio E </w:t>
      </w:r>
      <w:r w:rsidR="00B945D5" w:rsidRPr="00AD312A">
        <w:rPr>
          <w:rFonts w:ascii="Arial" w:eastAsia="Aptos" w:hAnsi="Arial" w:cs="Arial"/>
          <w:color w:val="000000"/>
          <w:sz w:val="24"/>
          <w:szCs w:val="24"/>
        </w:rPr>
        <w:t>et al.</w:t>
      </w:r>
      <w:r w:rsidRPr="00AD312A">
        <w:rPr>
          <w:rFonts w:ascii="Arial" w:eastAsia="Aptos" w:hAnsi="Arial" w:cs="Arial"/>
          <w:color w:val="000000"/>
          <w:sz w:val="24"/>
          <w:szCs w:val="24"/>
        </w:rPr>
        <w:t xml:space="preserve"> </w:t>
      </w:r>
      <w:r w:rsidRPr="00E262E0">
        <w:rPr>
          <w:rFonts w:ascii="Arial" w:eastAsia="Aptos" w:hAnsi="Arial" w:cs="Arial"/>
          <w:color w:val="000000"/>
          <w:sz w:val="24"/>
          <w:szCs w:val="24"/>
          <w:lang w:val="en-US"/>
        </w:rPr>
        <w:t>Yield of a Public Health Screening of Children for Islet Autoantibodies in Bavaria, Germany. JAMA. 2020;323(4):339-351.</w:t>
      </w:r>
    </w:p>
    <w:p w14:paraId="140E80EB" w14:textId="351C32C5" w:rsidR="000127F3" w:rsidRPr="00E262E0" w:rsidRDefault="00312975" w:rsidP="00BC5797">
      <w:pPr>
        <w:pStyle w:val="Listenabsatz"/>
        <w:numPr>
          <w:ilvl w:val="0"/>
          <w:numId w:val="4"/>
        </w:numPr>
        <w:spacing w:after="0" w:line="240" w:lineRule="auto"/>
        <w:rPr>
          <w:rFonts w:ascii="Arial" w:eastAsia="Aptos" w:hAnsi="Arial" w:cs="Arial"/>
          <w:color w:val="000000"/>
          <w:sz w:val="24"/>
          <w:szCs w:val="24"/>
          <w:lang w:val="en-US"/>
        </w:rPr>
      </w:pPr>
      <w:r w:rsidRPr="00C0640B">
        <w:rPr>
          <w:rFonts w:ascii="Arial" w:eastAsia="Aptos" w:hAnsi="Arial" w:cs="Arial"/>
          <w:color w:val="000000"/>
          <w:sz w:val="24"/>
          <w:szCs w:val="24"/>
        </w:rPr>
        <w:t>Steck AK, Dong F, Geno Rasmussen C</w:t>
      </w:r>
      <w:r w:rsidR="00B945D5" w:rsidRPr="00C0640B">
        <w:rPr>
          <w:rFonts w:ascii="Arial" w:eastAsia="Aptos" w:hAnsi="Arial" w:cs="Arial"/>
          <w:color w:val="000000"/>
          <w:sz w:val="24"/>
          <w:szCs w:val="24"/>
        </w:rPr>
        <w:t xml:space="preserve"> et al.</w:t>
      </w:r>
      <w:r w:rsidRPr="00C0640B">
        <w:rPr>
          <w:rFonts w:ascii="Arial" w:eastAsia="Aptos" w:hAnsi="Arial" w:cs="Arial"/>
          <w:color w:val="000000"/>
          <w:sz w:val="24"/>
          <w:szCs w:val="24"/>
        </w:rPr>
        <w:t xml:space="preserve"> </w:t>
      </w:r>
      <w:r w:rsidRPr="00E262E0">
        <w:rPr>
          <w:rFonts w:ascii="Arial" w:eastAsia="Aptos" w:hAnsi="Arial" w:cs="Arial"/>
          <w:color w:val="000000"/>
          <w:sz w:val="24"/>
          <w:szCs w:val="24"/>
          <w:lang w:val="en-US"/>
        </w:rPr>
        <w:t xml:space="preserve">CGM Metrics Predict Imminent Progression to Type 1 Diabetes: Autoimmunity Screening for Kids (ASK) Study. Diabetes Care. 2022;45(2):365-371. </w:t>
      </w:r>
    </w:p>
    <w:p w14:paraId="5447856B" w14:textId="5666C4F4" w:rsidR="00C21647" w:rsidRPr="00E262E0" w:rsidRDefault="00CA132D" w:rsidP="00BC5797">
      <w:pPr>
        <w:pStyle w:val="Listenabsatz"/>
        <w:numPr>
          <w:ilvl w:val="0"/>
          <w:numId w:val="4"/>
        </w:numPr>
        <w:spacing w:after="0" w:line="240" w:lineRule="auto"/>
        <w:rPr>
          <w:rFonts w:ascii="Arial" w:eastAsia="Aptos" w:hAnsi="Arial" w:cs="Arial"/>
          <w:color w:val="000000"/>
          <w:sz w:val="24"/>
          <w:szCs w:val="24"/>
          <w:lang w:val="en-US"/>
        </w:rPr>
      </w:pPr>
      <w:r w:rsidRPr="00AD312A">
        <w:rPr>
          <w:rFonts w:ascii="Arial" w:eastAsia="Aptos" w:hAnsi="Arial" w:cs="Arial"/>
          <w:color w:val="000000"/>
          <w:sz w:val="24"/>
          <w:szCs w:val="24"/>
        </w:rPr>
        <w:t>Hoffmann L, Kohls M, Arnolds S</w:t>
      </w:r>
      <w:r w:rsidR="00882B0F" w:rsidRPr="00AD312A">
        <w:rPr>
          <w:rFonts w:ascii="Arial" w:eastAsia="Aptos" w:hAnsi="Arial" w:cs="Arial"/>
          <w:color w:val="000000"/>
          <w:sz w:val="24"/>
          <w:szCs w:val="24"/>
        </w:rPr>
        <w:t xml:space="preserve"> et al.</w:t>
      </w:r>
      <w:r w:rsidRPr="00AD312A">
        <w:rPr>
          <w:rFonts w:ascii="Arial" w:eastAsia="Aptos" w:hAnsi="Arial" w:cs="Arial"/>
          <w:color w:val="000000"/>
          <w:sz w:val="24"/>
          <w:szCs w:val="24"/>
        </w:rPr>
        <w:t xml:space="preserve"> </w:t>
      </w:r>
      <w:r w:rsidRPr="00E262E0">
        <w:rPr>
          <w:rFonts w:ascii="Arial" w:eastAsia="Aptos" w:hAnsi="Arial" w:cs="Arial"/>
          <w:color w:val="000000"/>
          <w:sz w:val="24"/>
          <w:szCs w:val="24"/>
          <w:lang w:val="en-US"/>
        </w:rPr>
        <w:t>EDENT1FI Master Protocol for screening of presymptomatic early-stage type 1 diabetes in children and adolescents. BMJ Open. 2025;15(1):e088522.</w:t>
      </w:r>
    </w:p>
    <w:p w14:paraId="69693A53" w14:textId="032F1A0C" w:rsidR="001E174D" w:rsidRPr="00E262E0" w:rsidRDefault="001E174D" w:rsidP="00BC5797">
      <w:pPr>
        <w:pStyle w:val="Listenabsatz"/>
        <w:numPr>
          <w:ilvl w:val="0"/>
          <w:numId w:val="4"/>
        </w:numPr>
        <w:spacing w:after="0" w:line="240" w:lineRule="auto"/>
        <w:rPr>
          <w:rFonts w:ascii="Arial" w:eastAsia="Aptos" w:hAnsi="Arial" w:cs="Arial"/>
          <w:color w:val="000000"/>
          <w:sz w:val="24"/>
          <w:szCs w:val="24"/>
          <w:lang w:val="en-US"/>
        </w:rPr>
      </w:pPr>
      <w:r w:rsidRPr="00E262E0">
        <w:rPr>
          <w:rFonts w:ascii="Arial" w:eastAsia="Aptos" w:hAnsi="Arial" w:cs="Arial"/>
          <w:color w:val="000000"/>
          <w:sz w:val="24"/>
          <w:szCs w:val="24"/>
          <w:lang w:val="en-US"/>
        </w:rPr>
        <w:t>American Diabetes Association Professional Practice Committee. 2. Diagnosis and Classification of Diabetes: Standards of Care in Diabetes-2025. Diabetes Care. 2025;48(1 Suppl 1):S27-S49.</w:t>
      </w:r>
    </w:p>
    <w:p w14:paraId="67C30744" w14:textId="247D211E" w:rsidR="00AD5860" w:rsidRPr="00E262E0" w:rsidRDefault="00293DAE" w:rsidP="00BC5797">
      <w:pPr>
        <w:pStyle w:val="Listenabsatz"/>
        <w:numPr>
          <w:ilvl w:val="0"/>
          <w:numId w:val="4"/>
        </w:numPr>
        <w:spacing w:after="0" w:line="240" w:lineRule="auto"/>
        <w:rPr>
          <w:rFonts w:ascii="Arial" w:eastAsia="Aptos" w:hAnsi="Arial" w:cs="Arial"/>
          <w:color w:val="000000"/>
          <w:sz w:val="24"/>
          <w:szCs w:val="24"/>
          <w:lang w:val="en-US"/>
        </w:rPr>
      </w:pPr>
      <w:r w:rsidRPr="00E262E0">
        <w:rPr>
          <w:rFonts w:ascii="Arial" w:eastAsia="Aptos" w:hAnsi="Arial" w:cs="Arial"/>
          <w:color w:val="000000"/>
          <w:sz w:val="24"/>
          <w:szCs w:val="24"/>
          <w:lang w:val="en-US"/>
        </w:rPr>
        <w:t>Phillip M, Achenbach P, Addala A</w:t>
      </w:r>
      <w:r w:rsidR="00882B0F" w:rsidRPr="00E262E0">
        <w:rPr>
          <w:rFonts w:ascii="Arial" w:eastAsia="Aptos" w:hAnsi="Arial" w:cs="Arial"/>
          <w:color w:val="000000"/>
          <w:sz w:val="24"/>
          <w:szCs w:val="24"/>
          <w:lang w:val="en-US"/>
        </w:rPr>
        <w:t xml:space="preserve"> et al. </w:t>
      </w:r>
      <w:r w:rsidRPr="00E262E0">
        <w:rPr>
          <w:rFonts w:ascii="Arial" w:eastAsia="Aptos" w:hAnsi="Arial" w:cs="Arial"/>
          <w:color w:val="000000"/>
          <w:sz w:val="24"/>
          <w:szCs w:val="24"/>
          <w:lang w:val="en-US"/>
        </w:rPr>
        <w:t>Consensus guidance for monitoring individuals with islet autoantibody-positive pre-stage 3 type 1 diabetes. Diabetologia. 2024;67(9):1731-1759.</w:t>
      </w:r>
    </w:p>
    <w:p w14:paraId="3FAB5EB2" w14:textId="0B2E2F85" w:rsidR="009F169E" w:rsidRPr="00E262E0" w:rsidRDefault="0083797B" w:rsidP="00BC5797">
      <w:pPr>
        <w:pStyle w:val="Listenabsatz"/>
        <w:numPr>
          <w:ilvl w:val="0"/>
          <w:numId w:val="4"/>
        </w:numPr>
        <w:spacing w:after="0" w:line="240" w:lineRule="auto"/>
        <w:rPr>
          <w:rFonts w:ascii="Arial" w:eastAsia="Aptos" w:hAnsi="Arial" w:cs="Arial"/>
          <w:color w:val="000000"/>
          <w:sz w:val="24"/>
          <w:szCs w:val="24"/>
          <w:lang w:val="en-US"/>
        </w:rPr>
      </w:pPr>
      <w:r w:rsidRPr="00E262E0">
        <w:rPr>
          <w:rFonts w:ascii="Arial" w:eastAsia="Aptos" w:hAnsi="Arial" w:cs="Arial"/>
          <w:color w:val="000000"/>
          <w:sz w:val="24"/>
          <w:szCs w:val="24"/>
          <w:lang w:val="en-US"/>
        </w:rPr>
        <w:t>Weiss A, Zapardiel-Gonzalo J, Voss F</w:t>
      </w:r>
      <w:r w:rsidR="00882B0F" w:rsidRPr="00E262E0">
        <w:rPr>
          <w:rFonts w:ascii="Arial" w:eastAsia="Aptos" w:hAnsi="Arial" w:cs="Arial"/>
          <w:color w:val="000000"/>
          <w:sz w:val="24"/>
          <w:szCs w:val="24"/>
          <w:lang w:val="en-US"/>
        </w:rPr>
        <w:t xml:space="preserve"> et al</w:t>
      </w:r>
      <w:r w:rsidRPr="00E262E0">
        <w:rPr>
          <w:rFonts w:ascii="Arial" w:eastAsia="Aptos" w:hAnsi="Arial" w:cs="Arial"/>
          <w:color w:val="000000"/>
          <w:sz w:val="24"/>
          <w:szCs w:val="24"/>
          <w:lang w:val="en-US"/>
        </w:rPr>
        <w:t>. Progression likelihood score identifies substages of presymptomatic type 1 diabetes in childhood public health screening. Diabetologia. 2022;65(12):2121-2131</w:t>
      </w:r>
    </w:p>
    <w:p w14:paraId="029D8F18" w14:textId="75071752" w:rsidR="00A21EF4" w:rsidRPr="00E262E0" w:rsidRDefault="009F169E" w:rsidP="00BC5797">
      <w:pPr>
        <w:pStyle w:val="Listenabsatz"/>
        <w:numPr>
          <w:ilvl w:val="0"/>
          <w:numId w:val="4"/>
        </w:numPr>
        <w:spacing w:after="0" w:line="240" w:lineRule="auto"/>
        <w:rPr>
          <w:rFonts w:ascii="Arial" w:eastAsia="Aptos" w:hAnsi="Arial" w:cs="Arial"/>
          <w:color w:val="000000"/>
          <w:sz w:val="24"/>
          <w:szCs w:val="24"/>
          <w:lang w:val="en-US"/>
        </w:rPr>
      </w:pPr>
      <w:r w:rsidRPr="00E262E0">
        <w:rPr>
          <w:rFonts w:ascii="Arial" w:eastAsia="Aptos" w:hAnsi="Arial" w:cs="Arial"/>
          <w:color w:val="000000"/>
          <w:sz w:val="24"/>
          <w:szCs w:val="24"/>
          <w:lang w:val="en-US"/>
        </w:rPr>
        <w:t>Jacobsen LM, Felton JL, Nathan BM, Speake C, Krischer J, Herold KC. Type 1 Diabetes TrialNet: Leading the Charge in Disease Prediction, Prevention, and Immunotherapeutic Mechanistic Understanding. Diabetes Care. 2025;48(7):1112-1124.</w:t>
      </w:r>
    </w:p>
    <w:p w14:paraId="7FE41BD5" w14:textId="766F7A36" w:rsidR="00A21EF4" w:rsidRPr="00E262E0" w:rsidRDefault="00DB72F5" w:rsidP="00BC5797">
      <w:pPr>
        <w:pStyle w:val="Listenabsatz"/>
        <w:numPr>
          <w:ilvl w:val="0"/>
          <w:numId w:val="4"/>
        </w:numPr>
        <w:spacing w:after="0" w:line="240" w:lineRule="auto"/>
        <w:rPr>
          <w:rFonts w:ascii="Arial" w:eastAsia="Aptos" w:hAnsi="Arial" w:cs="Arial"/>
          <w:color w:val="000000"/>
          <w:sz w:val="24"/>
          <w:szCs w:val="24"/>
          <w:lang w:val="en-US"/>
        </w:rPr>
      </w:pPr>
      <w:r w:rsidRPr="00E262E0">
        <w:rPr>
          <w:rFonts w:ascii="Arial" w:eastAsia="Aptos" w:hAnsi="Arial" w:cs="Arial"/>
          <w:color w:val="000000"/>
          <w:sz w:val="24"/>
          <w:szCs w:val="24"/>
          <w:lang w:val="en-US"/>
        </w:rPr>
        <w:t>Hummel S, Koeger M, Bonifacio E, Ziegler AG. Dysglycaemia definitions and progression to clinical type 1 diabetes in children with multiple islet autoantibodies. Lancet Diabetes Endocrinol. 2025;13(1):10-12</w:t>
      </w:r>
    </w:p>
    <w:p w14:paraId="4F25C75C" w14:textId="7AE4D9B7" w:rsidR="006A4C9E" w:rsidRPr="00E262E0" w:rsidRDefault="006A4C9E" w:rsidP="00BC5797">
      <w:pPr>
        <w:pStyle w:val="Listenabsatz"/>
        <w:numPr>
          <w:ilvl w:val="0"/>
          <w:numId w:val="4"/>
        </w:numPr>
        <w:spacing w:after="0" w:line="240" w:lineRule="auto"/>
        <w:rPr>
          <w:rFonts w:ascii="Arial" w:eastAsia="Aptos" w:hAnsi="Arial" w:cs="Arial"/>
          <w:color w:val="000000"/>
          <w:sz w:val="24"/>
          <w:szCs w:val="24"/>
          <w:lang w:val="en-US"/>
        </w:rPr>
      </w:pPr>
      <w:r w:rsidRPr="00E262E0">
        <w:rPr>
          <w:rFonts w:ascii="Arial" w:eastAsia="Aptos" w:hAnsi="Arial" w:cs="Arial"/>
          <w:color w:val="000000"/>
          <w:sz w:val="24"/>
          <w:szCs w:val="24"/>
          <w:lang w:val="en-US"/>
        </w:rPr>
        <w:t>Bonifacio E, Ziegler AG. Type 1 diabetes risk factors, risk prediction and presymptomatic detection: Evidence and guidance for screening. Diabetes Obes Metab. 2025;27 Suppl 6(Suppl 6):28-39.</w:t>
      </w:r>
    </w:p>
    <w:p w14:paraId="196DA766" w14:textId="36DB6BC7" w:rsidR="00A21EF4" w:rsidRPr="00E262E0" w:rsidRDefault="00A21EF4" w:rsidP="00BC5797">
      <w:pPr>
        <w:pStyle w:val="Listenabsatz"/>
        <w:numPr>
          <w:ilvl w:val="0"/>
          <w:numId w:val="4"/>
        </w:numPr>
        <w:spacing w:after="0" w:line="240" w:lineRule="auto"/>
        <w:rPr>
          <w:rFonts w:ascii="Arial" w:eastAsia="Aptos" w:hAnsi="Arial" w:cs="Arial"/>
          <w:color w:val="000000"/>
          <w:sz w:val="24"/>
          <w:szCs w:val="24"/>
          <w:lang w:val="en-US"/>
        </w:rPr>
      </w:pPr>
      <w:proofErr w:type="spellStart"/>
      <w:r w:rsidRPr="00DC0487">
        <w:rPr>
          <w:rFonts w:ascii="Arial" w:eastAsia="Aptos" w:hAnsi="Arial" w:cs="Arial"/>
          <w:color w:val="000000"/>
          <w:sz w:val="24"/>
          <w:szCs w:val="24"/>
        </w:rPr>
        <w:t>Sosenko</w:t>
      </w:r>
      <w:proofErr w:type="spellEnd"/>
      <w:r w:rsidRPr="00DC0487">
        <w:rPr>
          <w:rFonts w:ascii="Arial" w:eastAsia="Aptos" w:hAnsi="Arial" w:cs="Arial"/>
          <w:color w:val="000000"/>
          <w:sz w:val="24"/>
          <w:szCs w:val="24"/>
        </w:rPr>
        <w:t xml:space="preserve"> JM, </w:t>
      </w:r>
      <w:proofErr w:type="spellStart"/>
      <w:r w:rsidRPr="00DC0487">
        <w:rPr>
          <w:rFonts w:ascii="Arial" w:eastAsia="Aptos" w:hAnsi="Arial" w:cs="Arial"/>
          <w:color w:val="000000"/>
          <w:sz w:val="24"/>
          <w:szCs w:val="24"/>
        </w:rPr>
        <w:t>Skyler</w:t>
      </w:r>
      <w:proofErr w:type="spellEnd"/>
      <w:r w:rsidRPr="00DC0487">
        <w:rPr>
          <w:rFonts w:ascii="Arial" w:eastAsia="Aptos" w:hAnsi="Arial" w:cs="Arial"/>
          <w:color w:val="000000"/>
          <w:sz w:val="24"/>
          <w:szCs w:val="24"/>
        </w:rPr>
        <w:t xml:space="preserve"> JS, Mahon J</w:t>
      </w:r>
      <w:r w:rsidR="00882B0F" w:rsidRPr="00DC0487">
        <w:rPr>
          <w:rFonts w:ascii="Arial" w:eastAsia="Aptos" w:hAnsi="Arial" w:cs="Arial"/>
          <w:color w:val="000000"/>
          <w:sz w:val="24"/>
          <w:szCs w:val="24"/>
        </w:rPr>
        <w:t xml:space="preserve"> et al</w:t>
      </w:r>
      <w:r w:rsidRPr="00DC0487">
        <w:rPr>
          <w:rFonts w:ascii="Arial" w:eastAsia="Aptos" w:hAnsi="Arial" w:cs="Arial"/>
          <w:color w:val="000000"/>
          <w:sz w:val="24"/>
          <w:szCs w:val="24"/>
        </w:rPr>
        <w:t xml:space="preserve">. </w:t>
      </w:r>
      <w:r w:rsidRPr="00E262E0">
        <w:rPr>
          <w:rFonts w:ascii="Arial" w:eastAsia="Aptos" w:hAnsi="Arial" w:cs="Arial"/>
          <w:color w:val="000000"/>
          <w:sz w:val="24"/>
          <w:szCs w:val="24"/>
          <w:lang w:val="en-US"/>
        </w:rPr>
        <w:t>Use of the Diabetes Prevention Trial-Type 1 Risk Score (DPTRS) for improving the accuracy of the risk classification of type 1 diabetes. Diabetes Care. 2014;37(4):979-84.</w:t>
      </w:r>
    </w:p>
    <w:p w14:paraId="20830E6A" w14:textId="4B7C4F89" w:rsidR="006C07BF" w:rsidRPr="00E262E0" w:rsidRDefault="006C07BF" w:rsidP="00BC5797">
      <w:pPr>
        <w:pStyle w:val="Listenabsatz"/>
        <w:numPr>
          <w:ilvl w:val="0"/>
          <w:numId w:val="4"/>
        </w:numPr>
        <w:spacing w:after="0" w:line="240" w:lineRule="auto"/>
        <w:rPr>
          <w:rFonts w:ascii="Arial" w:eastAsia="Aptos" w:hAnsi="Arial" w:cs="Arial"/>
          <w:color w:val="000000"/>
          <w:sz w:val="24"/>
          <w:szCs w:val="24"/>
          <w:lang w:val="en-US"/>
        </w:rPr>
      </w:pPr>
      <w:r w:rsidRPr="00E262E0">
        <w:rPr>
          <w:rFonts w:ascii="Arial" w:eastAsia="Aptos" w:hAnsi="Arial" w:cs="Arial"/>
          <w:color w:val="000000"/>
          <w:sz w:val="24"/>
          <w:szCs w:val="24"/>
          <w:lang w:val="en-US"/>
        </w:rPr>
        <w:t>Nathan BM, Redondo MJ, Ismail H</w:t>
      </w:r>
      <w:r w:rsidR="00882B0F" w:rsidRPr="00E262E0">
        <w:rPr>
          <w:rFonts w:ascii="Arial" w:eastAsia="Aptos" w:hAnsi="Arial" w:cs="Arial"/>
          <w:color w:val="000000"/>
          <w:sz w:val="24"/>
          <w:szCs w:val="24"/>
          <w:lang w:val="en-US"/>
        </w:rPr>
        <w:t xml:space="preserve"> et al</w:t>
      </w:r>
      <w:r w:rsidRPr="00E262E0">
        <w:rPr>
          <w:rFonts w:ascii="Arial" w:eastAsia="Aptos" w:hAnsi="Arial" w:cs="Arial"/>
          <w:color w:val="000000"/>
          <w:sz w:val="24"/>
          <w:szCs w:val="24"/>
          <w:lang w:val="en-US"/>
        </w:rPr>
        <w:t>. Index60 Identifies Individuals at Appreciable Risk for Stage 3 Among an Autoantibody-Positive Population With Normal 2-Hour Glucose Levels: Implications for Current Staging Criteria of Type 1 Diabetes. Diabetes Care. 2022;45(2):311-318.</w:t>
      </w:r>
    </w:p>
    <w:p w14:paraId="6EFFF679" w14:textId="0E74F7D9" w:rsidR="00AB1790" w:rsidRPr="00E262E0" w:rsidRDefault="00AB1790" w:rsidP="00BC5797">
      <w:pPr>
        <w:pStyle w:val="Listenabsatz"/>
        <w:numPr>
          <w:ilvl w:val="0"/>
          <w:numId w:val="4"/>
        </w:numPr>
        <w:spacing w:after="0" w:line="240" w:lineRule="auto"/>
        <w:rPr>
          <w:rFonts w:ascii="Arial" w:eastAsia="Aptos" w:hAnsi="Arial" w:cs="Arial"/>
          <w:color w:val="000000"/>
          <w:sz w:val="24"/>
          <w:szCs w:val="24"/>
          <w:lang w:val="en-US"/>
        </w:rPr>
      </w:pPr>
      <w:r w:rsidRPr="00C0640B">
        <w:rPr>
          <w:rFonts w:ascii="Arial" w:eastAsia="Aptos" w:hAnsi="Arial" w:cs="Arial"/>
          <w:color w:val="000000"/>
          <w:sz w:val="24"/>
          <w:szCs w:val="24"/>
        </w:rPr>
        <w:t>Bediaga NG, Li-Wai-Suen CSN, Haller MJ</w:t>
      </w:r>
      <w:r w:rsidR="00F066A9" w:rsidRPr="00C0640B">
        <w:rPr>
          <w:rFonts w:ascii="Arial" w:eastAsia="Aptos" w:hAnsi="Arial" w:cs="Arial"/>
          <w:color w:val="000000"/>
          <w:sz w:val="24"/>
          <w:szCs w:val="24"/>
        </w:rPr>
        <w:t xml:space="preserve"> et al</w:t>
      </w:r>
      <w:r w:rsidRPr="00C0640B">
        <w:rPr>
          <w:rFonts w:ascii="Arial" w:eastAsia="Aptos" w:hAnsi="Arial" w:cs="Arial"/>
          <w:color w:val="000000"/>
          <w:sz w:val="24"/>
          <w:szCs w:val="24"/>
        </w:rPr>
        <w:t xml:space="preserve">. </w:t>
      </w:r>
      <w:r w:rsidRPr="00E262E0">
        <w:rPr>
          <w:rFonts w:ascii="Arial" w:eastAsia="Aptos" w:hAnsi="Arial" w:cs="Arial"/>
          <w:color w:val="000000"/>
          <w:sz w:val="24"/>
          <w:szCs w:val="24"/>
          <w:lang w:val="en-US"/>
        </w:rPr>
        <w:t>Simplifying prediction of disease progression in pre-symptomatic type 1 diabetes using a single blood sample. Diabetologia. 2021;64(11):2432-2444.</w:t>
      </w:r>
    </w:p>
    <w:p w14:paraId="2A5F922B" w14:textId="55D8086B" w:rsidR="00F26C18" w:rsidRDefault="00F26C18" w:rsidP="00BC5797">
      <w:pPr>
        <w:pStyle w:val="Listenabsatz"/>
        <w:numPr>
          <w:ilvl w:val="0"/>
          <w:numId w:val="4"/>
        </w:numPr>
        <w:spacing w:after="0" w:line="240" w:lineRule="auto"/>
        <w:rPr>
          <w:rFonts w:ascii="Arial" w:eastAsia="Aptos" w:hAnsi="Arial" w:cs="Arial"/>
          <w:color w:val="000000"/>
          <w:sz w:val="24"/>
          <w:szCs w:val="24"/>
          <w:lang w:val="en-US"/>
        </w:rPr>
      </w:pPr>
      <w:r w:rsidRPr="0051176F">
        <w:rPr>
          <w:rFonts w:ascii="Arial" w:eastAsia="Aptos" w:hAnsi="Arial" w:cs="Arial"/>
          <w:color w:val="000000"/>
          <w:sz w:val="24"/>
          <w:szCs w:val="24"/>
          <w:lang w:val="fr-FR"/>
        </w:rPr>
        <w:t>Insel RA, Dunne JL, Atkinson MA</w:t>
      </w:r>
      <w:r w:rsidR="00F066A9" w:rsidRPr="0051176F">
        <w:rPr>
          <w:rFonts w:ascii="Arial" w:eastAsia="Aptos" w:hAnsi="Arial" w:cs="Arial"/>
          <w:color w:val="000000"/>
          <w:sz w:val="24"/>
          <w:szCs w:val="24"/>
          <w:lang w:val="fr-FR"/>
        </w:rPr>
        <w:t xml:space="preserve"> et al. </w:t>
      </w:r>
      <w:r w:rsidRPr="00E262E0">
        <w:rPr>
          <w:rFonts w:ascii="Arial" w:eastAsia="Aptos" w:hAnsi="Arial" w:cs="Arial"/>
          <w:color w:val="000000"/>
          <w:sz w:val="24"/>
          <w:szCs w:val="24"/>
          <w:lang w:val="en-US"/>
        </w:rPr>
        <w:t>Staging presymptomatic type 1 diabetes: a scientific statement of JDRF, the Endocrine Society, and the American Diabetes Association. Diabetes Care. 2015;38(10):1964-74.</w:t>
      </w:r>
    </w:p>
    <w:p w14:paraId="6D8DBF73" w14:textId="594101C7" w:rsidR="0051176F" w:rsidRPr="00E262E0" w:rsidRDefault="0051176F" w:rsidP="00BC5797">
      <w:pPr>
        <w:pStyle w:val="Listenabsatz"/>
        <w:numPr>
          <w:ilvl w:val="0"/>
          <w:numId w:val="4"/>
        </w:numPr>
        <w:spacing w:after="0" w:line="240" w:lineRule="auto"/>
        <w:rPr>
          <w:rFonts w:ascii="Arial" w:eastAsia="Aptos" w:hAnsi="Arial" w:cs="Arial"/>
          <w:color w:val="000000"/>
          <w:sz w:val="24"/>
          <w:szCs w:val="24"/>
          <w:lang w:val="en-US"/>
        </w:rPr>
      </w:pPr>
      <w:r w:rsidRPr="002B5A7C">
        <w:rPr>
          <w:rFonts w:ascii="Arial" w:eastAsia="Aptos" w:hAnsi="Arial" w:cs="Arial"/>
          <w:color w:val="000000"/>
          <w:sz w:val="24"/>
          <w:szCs w:val="24"/>
          <w:lang w:val="fr-FR"/>
        </w:rPr>
        <w:t xml:space="preserve">Driscoll KA, Tamura R, Johnson SB et al. </w:t>
      </w:r>
      <w:r w:rsidRPr="0051176F">
        <w:rPr>
          <w:rFonts w:ascii="Arial" w:eastAsia="Aptos" w:hAnsi="Arial" w:cs="Arial"/>
          <w:color w:val="000000"/>
          <w:sz w:val="24"/>
          <w:szCs w:val="24"/>
          <w:lang w:val="en-US"/>
        </w:rPr>
        <w:t>Adherence to oral glucose tolerance testing in children in stage 1 of type 1 diabetes: The TEDDY study</w:t>
      </w:r>
      <w:r>
        <w:rPr>
          <w:rFonts w:ascii="Arial" w:eastAsia="Aptos" w:hAnsi="Arial" w:cs="Arial"/>
          <w:color w:val="000000"/>
          <w:sz w:val="24"/>
          <w:szCs w:val="24"/>
          <w:lang w:val="en-US"/>
        </w:rPr>
        <w:t xml:space="preserve">. </w:t>
      </w:r>
      <w:r w:rsidRPr="0051176F">
        <w:rPr>
          <w:rFonts w:ascii="Arial" w:eastAsia="Aptos" w:hAnsi="Arial" w:cs="Arial"/>
          <w:color w:val="000000"/>
          <w:sz w:val="24"/>
          <w:szCs w:val="24"/>
          <w:lang w:val="en-US"/>
        </w:rPr>
        <w:t>Pediatr Diabetes. 2021;22(2):360-368.</w:t>
      </w:r>
    </w:p>
    <w:p w14:paraId="5D5994DF" w14:textId="5A65D7DA" w:rsidR="0079064F" w:rsidRPr="00E262E0" w:rsidRDefault="00C53C82" w:rsidP="00BC5797">
      <w:pPr>
        <w:pStyle w:val="Listenabsatz"/>
        <w:numPr>
          <w:ilvl w:val="0"/>
          <w:numId w:val="4"/>
        </w:numPr>
        <w:spacing w:after="0" w:line="240" w:lineRule="auto"/>
        <w:rPr>
          <w:rFonts w:ascii="Arial" w:eastAsia="Aptos" w:hAnsi="Arial" w:cs="Arial"/>
          <w:color w:val="000000"/>
          <w:sz w:val="24"/>
          <w:szCs w:val="24"/>
          <w:lang w:val="en-US"/>
        </w:rPr>
      </w:pPr>
      <w:r w:rsidRPr="00AD312A">
        <w:rPr>
          <w:rFonts w:ascii="Arial" w:eastAsia="Aptos" w:hAnsi="Arial" w:cs="Arial"/>
          <w:color w:val="000000"/>
          <w:sz w:val="24"/>
          <w:szCs w:val="24"/>
        </w:rPr>
        <w:t>Raab J, Haupt F, Scholz M</w:t>
      </w:r>
      <w:r w:rsidR="00F066A9" w:rsidRPr="00AD312A">
        <w:rPr>
          <w:rFonts w:ascii="Arial" w:eastAsia="Aptos" w:hAnsi="Arial" w:cs="Arial"/>
          <w:color w:val="000000"/>
          <w:sz w:val="24"/>
          <w:szCs w:val="24"/>
        </w:rPr>
        <w:t xml:space="preserve"> et al. </w:t>
      </w:r>
      <w:r w:rsidRPr="00E262E0">
        <w:rPr>
          <w:rFonts w:ascii="Arial" w:eastAsia="Aptos" w:hAnsi="Arial" w:cs="Arial"/>
          <w:color w:val="000000"/>
          <w:sz w:val="24"/>
          <w:szCs w:val="24"/>
          <w:lang w:val="en-US"/>
        </w:rPr>
        <w:t>Capillary blood islet autoantibody screening for identifying pre-type 1 diabetes in the general population: design and initial results of the Fr1da study. BMJ Open. 2016;6(5):e011144.</w:t>
      </w:r>
    </w:p>
    <w:p w14:paraId="763F63C6" w14:textId="2398DAE9" w:rsidR="00812391" w:rsidRPr="00E262E0" w:rsidRDefault="00812391" w:rsidP="00BC5797">
      <w:pPr>
        <w:pStyle w:val="Listenabsatz"/>
        <w:numPr>
          <w:ilvl w:val="0"/>
          <w:numId w:val="4"/>
        </w:numPr>
        <w:spacing w:after="0" w:line="240" w:lineRule="auto"/>
        <w:rPr>
          <w:rFonts w:ascii="Arial" w:eastAsia="Aptos" w:hAnsi="Arial" w:cs="Arial"/>
          <w:color w:val="000000"/>
          <w:sz w:val="24"/>
          <w:szCs w:val="24"/>
          <w:lang w:val="en-US"/>
        </w:rPr>
      </w:pPr>
      <w:r w:rsidRPr="00E262E0">
        <w:rPr>
          <w:rFonts w:ascii="Arial" w:eastAsia="Aptos" w:hAnsi="Arial" w:cs="Arial"/>
          <w:color w:val="000000"/>
          <w:sz w:val="24"/>
          <w:szCs w:val="24"/>
          <w:lang w:val="en-US"/>
        </w:rPr>
        <w:lastRenderedPageBreak/>
        <w:t xml:space="preserve">Ziegler AG, Haupt F, Scholz </w:t>
      </w:r>
      <w:r w:rsidR="00F066A9" w:rsidRPr="00E262E0">
        <w:rPr>
          <w:rFonts w:ascii="Arial" w:eastAsia="Aptos" w:hAnsi="Arial" w:cs="Arial"/>
          <w:color w:val="000000"/>
          <w:sz w:val="24"/>
          <w:szCs w:val="24"/>
          <w:lang w:val="en-US"/>
        </w:rPr>
        <w:t>M et al</w:t>
      </w:r>
      <w:r w:rsidRPr="00E262E0">
        <w:rPr>
          <w:rFonts w:ascii="Arial" w:eastAsia="Aptos" w:hAnsi="Arial" w:cs="Arial"/>
          <w:color w:val="000000"/>
          <w:sz w:val="24"/>
          <w:szCs w:val="24"/>
          <w:lang w:val="en-US"/>
        </w:rPr>
        <w:t>. 3 Screen ELISA for High-Throughput Detection of Beta Cell Autoantibodies in Capillary Blood. Diabetes Technol Ther. 2016;18(11):687-693.</w:t>
      </w:r>
    </w:p>
    <w:p w14:paraId="1F32DEFD" w14:textId="71E193B6" w:rsidR="003A651C" w:rsidRPr="00E262E0" w:rsidRDefault="003A651C" w:rsidP="00BC5797">
      <w:pPr>
        <w:pStyle w:val="Listenabsatz"/>
        <w:numPr>
          <w:ilvl w:val="0"/>
          <w:numId w:val="4"/>
        </w:numPr>
        <w:spacing w:after="0" w:line="240" w:lineRule="auto"/>
        <w:rPr>
          <w:rFonts w:ascii="Arial" w:eastAsia="Aptos" w:hAnsi="Arial" w:cs="Arial"/>
          <w:color w:val="000000"/>
          <w:sz w:val="24"/>
          <w:szCs w:val="24"/>
          <w:lang w:val="en-US"/>
        </w:rPr>
      </w:pPr>
      <w:r w:rsidRPr="00AD312A">
        <w:rPr>
          <w:rFonts w:ascii="Arial" w:eastAsia="Aptos" w:hAnsi="Arial" w:cs="Arial"/>
          <w:color w:val="000000"/>
          <w:sz w:val="24"/>
          <w:szCs w:val="24"/>
        </w:rPr>
        <w:t>Huber E, Singh T, Bunk M</w:t>
      </w:r>
      <w:r w:rsidR="00B36015" w:rsidRPr="00AD312A">
        <w:rPr>
          <w:rFonts w:ascii="Arial" w:eastAsia="Aptos" w:hAnsi="Arial" w:cs="Arial"/>
          <w:color w:val="000000"/>
          <w:sz w:val="24"/>
          <w:szCs w:val="24"/>
        </w:rPr>
        <w:t xml:space="preserve"> et al</w:t>
      </w:r>
      <w:r w:rsidRPr="00AD312A">
        <w:rPr>
          <w:rFonts w:ascii="Arial" w:eastAsia="Aptos" w:hAnsi="Arial" w:cs="Arial"/>
          <w:color w:val="000000"/>
          <w:sz w:val="24"/>
          <w:szCs w:val="24"/>
        </w:rPr>
        <w:t xml:space="preserve">. </w:t>
      </w:r>
      <w:r w:rsidRPr="00E262E0">
        <w:rPr>
          <w:rFonts w:ascii="Arial" w:eastAsia="Aptos" w:hAnsi="Arial" w:cs="Arial"/>
          <w:color w:val="000000"/>
          <w:sz w:val="24"/>
          <w:szCs w:val="24"/>
          <w:lang w:val="en-US"/>
        </w:rPr>
        <w:t>Discrimination and Precision of Continuous Glucose Monitoring in Staging Children With Presymptomatic Type 1 Diabetes. J Clin Endocrinol Metab. 2025;110(6):1624-1632.</w:t>
      </w:r>
    </w:p>
    <w:p w14:paraId="57A38475" w14:textId="042BAE81" w:rsidR="00E30810" w:rsidRPr="00E262E0" w:rsidRDefault="00E30810" w:rsidP="00BC5797">
      <w:pPr>
        <w:pStyle w:val="Listenabsatz"/>
        <w:numPr>
          <w:ilvl w:val="0"/>
          <w:numId w:val="4"/>
        </w:numPr>
        <w:spacing w:after="0" w:line="240" w:lineRule="auto"/>
        <w:rPr>
          <w:rFonts w:ascii="Arial" w:eastAsia="Aptos" w:hAnsi="Arial" w:cs="Arial"/>
          <w:color w:val="000000"/>
          <w:sz w:val="24"/>
          <w:szCs w:val="24"/>
          <w:lang w:val="en-US"/>
        </w:rPr>
      </w:pPr>
      <w:r w:rsidRPr="00E262E0">
        <w:rPr>
          <w:rFonts w:ascii="Arial" w:eastAsia="Aptos" w:hAnsi="Arial" w:cs="Arial"/>
          <w:color w:val="000000"/>
          <w:sz w:val="24"/>
          <w:szCs w:val="24"/>
          <w:lang w:val="en-US"/>
        </w:rPr>
        <w:t>Naserke HE, Dozio N, Ziegler AG, Bonifacio E. Comparison of a novel micro-assay for insulin autoantibodies with the conventional radiobinding assay. Diabetologia. 1998;41(6):681-3.</w:t>
      </w:r>
    </w:p>
    <w:p w14:paraId="4AB5C95C" w14:textId="28FC2C26" w:rsidR="00D27F23" w:rsidRPr="00E262E0" w:rsidRDefault="00D27F23" w:rsidP="00BC5797">
      <w:pPr>
        <w:pStyle w:val="Listenabsatz"/>
        <w:numPr>
          <w:ilvl w:val="0"/>
          <w:numId w:val="4"/>
        </w:numPr>
        <w:spacing w:after="0" w:line="240" w:lineRule="auto"/>
        <w:rPr>
          <w:rFonts w:ascii="Arial" w:eastAsia="Aptos" w:hAnsi="Arial" w:cs="Arial"/>
          <w:color w:val="000000"/>
          <w:sz w:val="24"/>
          <w:szCs w:val="24"/>
          <w:lang w:val="en-US"/>
        </w:rPr>
      </w:pPr>
      <w:r w:rsidRPr="00E262E0">
        <w:rPr>
          <w:rFonts w:ascii="Arial" w:eastAsia="Aptos" w:hAnsi="Arial" w:cs="Arial"/>
          <w:color w:val="000000"/>
          <w:sz w:val="24"/>
          <w:szCs w:val="24"/>
          <w:lang w:val="en-US"/>
        </w:rPr>
        <w:t>Bonifacio E, Yu L, Williams AK</w:t>
      </w:r>
      <w:r w:rsidR="00B36015" w:rsidRPr="00E262E0">
        <w:rPr>
          <w:rFonts w:ascii="Arial" w:eastAsia="Aptos" w:hAnsi="Arial" w:cs="Arial"/>
          <w:color w:val="000000"/>
          <w:sz w:val="24"/>
          <w:szCs w:val="24"/>
          <w:lang w:val="en-US"/>
        </w:rPr>
        <w:t xml:space="preserve"> et al. </w:t>
      </w:r>
      <w:r w:rsidRPr="00E262E0">
        <w:rPr>
          <w:rFonts w:ascii="Arial" w:eastAsia="Aptos" w:hAnsi="Arial" w:cs="Arial"/>
          <w:color w:val="000000"/>
          <w:sz w:val="24"/>
          <w:szCs w:val="24"/>
          <w:lang w:val="en-US"/>
        </w:rPr>
        <w:t>Harmonization of glutamic acid decarboxylase and islet antigen-2 autoantibody assays for national institute of diabetes and digestive and kidney diseases consortia. J Clin Endocrinol Metab. 2010;95(7):3360-7.</w:t>
      </w:r>
    </w:p>
    <w:p w14:paraId="38E78440" w14:textId="08D79117" w:rsidR="0015216E" w:rsidRPr="00E262E0" w:rsidRDefault="0015216E" w:rsidP="00BC5797">
      <w:pPr>
        <w:pStyle w:val="Listenabsatz"/>
        <w:numPr>
          <w:ilvl w:val="0"/>
          <w:numId w:val="4"/>
        </w:numPr>
        <w:spacing w:after="0" w:line="240" w:lineRule="auto"/>
        <w:rPr>
          <w:rFonts w:ascii="Arial" w:eastAsia="Aptos" w:hAnsi="Arial" w:cs="Arial"/>
          <w:color w:val="000000"/>
          <w:sz w:val="24"/>
          <w:szCs w:val="24"/>
          <w:lang w:val="en-US"/>
        </w:rPr>
      </w:pPr>
      <w:r w:rsidRPr="00A44873">
        <w:rPr>
          <w:rFonts w:ascii="Arial" w:eastAsia="Aptos" w:hAnsi="Arial" w:cs="Arial"/>
          <w:color w:val="000000"/>
          <w:sz w:val="24"/>
          <w:szCs w:val="24"/>
          <w:lang w:val="nl-NL"/>
        </w:rPr>
        <w:t>Achenbach P, Lampasona V, Landherr U</w:t>
      </w:r>
      <w:r w:rsidR="00B36015" w:rsidRPr="00A44873">
        <w:rPr>
          <w:rFonts w:ascii="Arial" w:eastAsia="Aptos" w:hAnsi="Arial" w:cs="Arial"/>
          <w:color w:val="000000"/>
          <w:sz w:val="24"/>
          <w:szCs w:val="24"/>
          <w:lang w:val="nl-NL"/>
        </w:rPr>
        <w:t xml:space="preserve"> et al</w:t>
      </w:r>
      <w:r w:rsidRPr="00A44873">
        <w:rPr>
          <w:rFonts w:ascii="Arial" w:eastAsia="Aptos" w:hAnsi="Arial" w:cs="Arial"/>
          <w:color w:val="000000"/>
          <w:sz w:val="24"/>
          <w:szCs w:val="24"/>
          <w:lang w:val="nl-NL"/>
        </w:rPr>
        <w:t xml:space="preserve">. </w:t>
      </w:r>
      <w:r w:rsidRPr="00E262E0">
        <w:rPr>
          <w:rFonts w:ascii="Arial" w:eastAsia="Aptos" w:hAnsi="Arial" w:cs="Arial"/>
          <w:color w:val="000000"/>
          <w:sz w:val="24"/>
          <w:szCs w:val="24"/>
          <w:lang w:val="en-US"/>
        </w:rPr>
        <w:t>Autoantibodies to zinc transporter 8 and SLC30A8 genotype stratify type 1 diabetes risk. Diabetologia. 2009;52(9):1881-8.</w:t>
      </w:r>
    </w:p>
    <w:p w14:paraId="5A0AFBA2" w14:textId="3FAEBCE6" w:rsidR="00D84140" w:rsidRPr="00E262E0" w:rsidRDefault="00D84140" w:rsidP="00BC5797">
      <w:pPr>
        <w:pStyle w:val="Listenabsatz"/>
        <w:numPr>
          <w:ilvl w:val="0"/>
          <w:numId w:val="4"/>
        </w:numPr>
        <w:spacing w:after="0" w:line="240" w:lineRule="auto"/>
        <w:rPr>
          <w:rFonts w:ascii="Arial" w:eastAsia="Aptos" w:hAnsi="Arial" w:cs="Arial"/>
          <w:color w:val="000000"/>
          <w:sz w:val="24"/>
          <w:szCs w:val="24"/>
          <w:lang w:val="en-US"/>
        </w:rPr>
      </w:pPr>
      <w:r w:rsidRPr="00A44873">
        <w:rPr>
          <w:rFonts w:ascii="Arial" w:eastAsia="Aptos" w:hAnsi="Arial" w:cs="Arial"/>
          <w:color w:val="000000"/>
          <w:sz w:val="24"/>
          <w:szCs w:val="24"/>
          <w:lang w:val="nl-NL"/>
        </w:rPr>
        <w:t>Walther D, Eugster A, Jergens S</w:t>
      </w:r>
      <w:r w:rsidR="00B36015" w:rsidRPr="00A44873">
        <w:rPr>
          <w:rFonts w:ascii="Arial" w:eastAsia="Aptos" w:hAnsi="Arial" w:cs="Arial"/>
          <w:color w:val="000000"/>
          <w:sz w:val="24"/>
          <w:szCs w:val="24"/>
          <w:lang w:val="nl-NL"/>
        </w:rPr>
        <w:t xml:space="preserve"> et al</w:t>
      </w:r>
      <w:r w:rsidRPr="00A44873">
        <w:rPr>
          <w:rFonts w:ascii="Arial" w:eastAsia="Aptos" w:hAnsi="Arial" w:cs="Arial"/>
          <w:color w:val="000000"/>
          <w:sz w:val="24"/>
          <w:szCs w:val="24"/>
          <w:lang w:val="nl-NL"/>
        </w:rPr>
        <w:t xml:space="preserve">. </w:t>
      </w:r>
      <w:r w:rsidRPr="00A44873">
        <w:rPr>
          <w:rFonts w:ascii="Arial" w:eastAsia="Aptos" w:hAnsi="Arial" w:cs="Arial"/>
          <w:color w:val="000000"/>
          <w:sz w:val="24"/>
          <w:szCs w:val="24"/>
        </w:rPr>
        <w:t xml:space="preserve">Tetraspanin 7 autoantibodies in type 1 diabetes. </w:t>
      </w:r>
      <w:r w:rsidRPr="00E262E0">
        <w:rPr>
          <w:rFonts w:ascii="Arial" w:eastAsia="Aptos" w:hAnsi="Arial" w:cs="Arial"/>
          <w:color w:val="000000"/>
          <w:sz w:val="24"/>
          <w:szCs w:val="24"/>
          <w:lang w:val="en-US"/>
        </w:rPr>
        <w:t>Diabetologia. 2016;59(9):1973-6.</w:t>
      </w:r>
    </w:p>
    <w:p w14:paraId="1CF91F87" w14:textId="065F0F10" w:rsidR="0052441B" w:rsidRPr="00E262E0" w:rsidRDefault="0052441B" w:rsidP="00BC5797">
      <w:pPr>
        <w:pStyle w:val="Listenabsatz"/>
        <w:numPr>
          <w:ilvl w:val="0"/>
          <w:numId w:val="4"/>
        </w:numPr>
        <w:spacing w:after="0" w:line="240" w:lineRule="auto"/>
        <w:rPr>
          <w:rFonts w:ascii="Arial" w:eastAsia="Aptos" w:hAnsi="Arial" w:cs="Arial"/>
          <w:color w:val="000000"/>
          <w:sz w:val="24"/>
          <w:szCs w:val="24"/>
          <w:lang w:val="en-US"/>
        </w:rPr>
      </w:pPr>
      <w:r w:rsidRPr="00E262E0">
        <w:rPr>
          <w:rFonts w:ascii="Arial" w:eastAsia="Aptos" w:hAnsi="Arial" w:cs="Arial"/>
          <w:color w:val="000000"/>
          <w:sz w:val="24"/>
          <w:szCs w:val="24"/>
          <w:lang w:val="en-US"/>
        </w:rPr>
        <w:t>Bonifacio E, Lampasona V, Bingley PJ. IA-2 (islet cell antigen 512) is the primary target of humoral autoimmunity against type 1 diabetes-associated tyrosine phosphatase autoantigens. J Immunol. 1998;161(5):2648-54.</w:t>
      </w:r>
    </w:p>
    <w:p w14:paraId="14A6F41A" w14:textId="46B9920F" w:rsidR="00EA7739" w:rsidRPr="00E262E0" w:rsidRDefault="00EA7739" w:rsidP="00BC5797">
      <w:pPr>
        <w:pStyle w:val="Listenabsatz"/>
        <w:numPr>
          <w:ilvl w:val="0"/>
          <w:numId w:val="4"/>
        </w:numPr>
        <w:spacing w:after="0" w:line="240" w:lineRule="auto"/>
        <w:rPr>
          <w:rFonts w:ascii="Arial" w:eastAsia="Aptos" w:hAnsi="Arial" w:cs="Arial"/>
          <w:color w:val="000000"/>
          <w:sz w:val="24"/>
          <w:szCs w:val="24"/>
          <w:lang w:val="en-US"/>
        </w:rPr>
      </w:pPr>
      <w:r w:rsidRPr="00E262E0">
        <w:rPr>
          <w:rFonts w:ascii="Arial" w:eastAsia="Aptos" w:hAnsi="Arial" w:cs="Arial"/>
          <w:color w:val="000000"/>
          <w:sz w:val="24"/>
          <w:szCs w:val="24"/>
          <w:lang w:val="en-US"/>
        </w:rPr>
        <w:t>WHO Multicentre Growth Reference Study Group. WHO Child Growth Standards based on length/height, weight and age. Acta Paediatr Suppl.;450:76-85.</w:t>
      </w:r>
    </w:p>
    <w:p w14:paraId="6C2C69B1" w14:textId="518E22E8" w:rsidR="00C05250" w:rsidRDefault="00C05250" w:rsidP="00BC5797">
      <w:pPr>
        <w:pStyle w:val="Listenabsatz"/>
        <w:numPr>
          <w:ilvl w:val="0"/>
          <w:numId w:val="4"/>
        </w:numPr>
        <w:spacing w:after="0" w:line="240" w:lineRule="auto"/>
        <w:rPr>
          <w:rFonts w:ascii="Arial" w:eastAsia="Aptos" w:hAnsi="Arial" w:cs="Arial"/>
          <w:color w:val="000000"/>
          <w:sz w:val="24"/>
          <w:szCs w:val="24"/>
          <w:lang w:val="en-US"/>
        </w:rPr>
      </w:pPr>
      <w:r w:rsidRPr="00E262E0">
        <w:rPr>
          <w:rFonts w:ascii="Arial" w:eastAsia="Aptos" w:hAnsi="Arial" w:cs="Arial"/>
          <w:color w:val="000000"/>
          <w:sz w:val="24"/>
          <w:szCs w:val="24"/>
          <w:lang w:val="en-US"/>
        </w:rPr>
        <w:t>Therneau T A Package for Survival Analysis in R</w:t>
      </w:r>
      <w:r w:rsidR="00D60A68" w:rsidRPr="00E262E0">
        <w:rPr>
          <w:rFonts w:ascii="Arial" w:eastAsia="Aptos" w:hAnsi="Arial" w:cs="Arial"/>
          <w:color w:val="000000"/>
          <w:sz w:val="24"/>
          <w:szCs w:val="24"/>
          <w:lang w:val="en-US"/>
        </w:rPr>
        <w:t xml:space="preserve">. </w:t>
      </w:r>
      <w:r w:rsidRPr="00E262E0">
        <w:rPr>
          <w:rFonts w:ascii="Arial" w:eastAsia="Aptos" w:hAnsi="Arial" w:cs="Arial"/>
          <w:color w:val="000000"/>
          <w:sz w:val="24"/>
          <w:szCs w:val="24"/>
          <w:lang w:val="en-US"/>
        </w:rPr>
        <w:t xml:space="preserve">2020. </w:t>
      </w:r>
      <w:hyperlink r:id="rId13" w:history="1">
        <w:r w:rsidRPr="00E262E0">
          <w:rPr>
            <w:rStyle w:val="Hyperlink"/>
            <w:rFonts w:ascii="Arial" w:eastAsia="Aptos" w:hAnsi="Arial" w:cs="Arial"/>
            <w:sz w:val="24"/>
            <w:szCs w:val="24"/>
            <w:lang w:val="en-US"/>
          </w:rPr>
          <w:t>https://CRAN.R-project.org/package=survival</w:t>
        </w:r>
      </w:hyperlink>
      <w:r w:rsidRPr="00E262E0">
        <w:rPr>
          <w:rFonts w:ascii="Arial" w:eastAsia="Aptos" w:hAnsi="Arial" w:cs="Arial"/>
          <w:color w:val="000000"/>
          <w:sz w:val="24"/>
          <w:szCs w:val="24"/>
          <w:lang w:val="en-US"/>
        </w:rPr>
        <w:t>.</w:t>
      </w:r>
    </w:p>
    <w:p w14:paraId="01C52411" w14:textId="249E7E72" w:rsidR="004A3ED4" w:rsidRPr="00E262E0" w:rsidRDefault="004A3ED4" w:rsidP="00BC5797">
      <w:pPr>
        <w:pStyle w:val="Listenabsatz"/>
        <w:numPr>
          <w:ilvl w:val="0"/>
          <w:numId w:val="4"/>
        </w:numPr>
        <w:spacing w:after="0" w:line="240" w:lineRule="auto"/>
        <w:rPr>
          <w:rFonts w:ascii="Arial" w:eastAsia="Aptos" w:hAnsi="Arial" w:cs="Arial"/>
          <w:color w:val="000000"/>
          <w:sz w:val="24"/>
          <w:szCs w:val="24"/>
          <w:lang w:val="en-US"/>
        </w:rPr>
      </w:pPr>
      <w:r w:rsidRPr="00C0640B">
        <w:rPr>
          <w:rFonts w:ascii="Arial" w:eastAsia="Aptos" w:hAnsi="Arial" w:cs="Arial"/>
          <w:color w:val="000000"/>
          <w:sz w:val="24"/>
          <w:szCs w:val="24"/>
          <w:lang w:val="fr-FR"/>
        </w:rPr>
        <w:t xml:space="preserve">He L, Jia X, Rasmussen CG et al. </w:t>
      </w:r>
      <w:r w:rsidRPr="004A3ED4">
        <w:rPr>
          <w:rFonts w:ascii="Arial" w:eastAsia="Aptos" w:hAnsi="Arial" w:cs="Arial"/>
          <w:color w:val="000000"/>
          <w:sz w:val="24"/>
          <w:szCs w:val="24"/>
          <w:lang w:val="en-US"/>
        </w:rPr>
        <w:t>High-Throughput Multiplex Electrochemiluminescence Assay Applicable to General Population Screening for Type 1 Diabetes and Celiac Disease</w:t>
      </w:r>
      <w:r>
        <w:rPr>
          <w:rFonts w:ascii="Arial" w:eastAsia="Aptos" w:hAnsi="Arial" w:cs="Arial"/>
          <w:color w:val="000000"/>
          <w:sz w:val="24"/>
          <w:szCs w:val="24"/>
          <w:lang w:val="en-US"/>
        </w:rPr>
        <w:t xml:space="preserve">. </w:t>
      </w:r>
      <w:r w:rsidRPr="004A3ED4">
        <w:rPr>
          <w:rFonts w:ascii="Arial" w:eastAsia="Aptos" w:hAnsi="Arial" w:cs="Arial"/>
          <w:color w:val="000000"/>
          <w:sz w:val="24"/>
          <w:szCs w:val="24"/>
          <w:lang w:val="en-US"/>
        </w:rPr>
        <w:t>Diabetes Technol Ther. 2022;24(7):502-509.</w:t>
      </w:r>
    </w:p>
    <w:p w14:paraId="7C0F5A94" w14:textId="20D3CA83" w:rsidR="006731BF" w:rsidRPr="00E262E0" w:rsidRDefault="006731BF" w:rsidP="00BC5797">
      <w:pPr>
        <w:pStyle w:val="Listenabsatz"/>
        <w:numPr>
          <w:ilvl w:val="0"/>
          <w:numId w:val="4"/>
        </w:numPr>
        <w:spacing w:after="0" w:line="240" w:lineRule="auto"/>
        <w:rPr>
          <w:rFonts w:ascii="Arial" w:eastAsia="Aptos" w:hAnsi="Arial" w:cs="Arial"/>
          <w:color w:val="000000"/>
          <w:sz w:val="24"/>
          <w:szCs w:val="24"/>
          <w:lang w:val="en-US"/>
        </w:rPr>
      </w:pPr>
      <w:r w:rsidRPr="00E262E0">
        <w:rPr>
          <w:rFonts w:ascii="Arial" w:eastAsia="Aptos" w:hAnsi="Arial" w:cs="Arial"/>
          <w:color w:val="000000"/>
          <w:sz w:val="24"/>
          <w:szCs w:val="24"/>
          <w:lang w:val="en-US"/>
        </w:rPr>
        <w:t>Bearzatto M, Naserke H, Piquer S et al.Two distinctly HLA-associated contiguous linear epitopes uniquely expressed within the islet antigen 2 molecule are major autoantibody epitopes of the diabetes-specific tyrosine phosphatase-like protein autoantigens. J Immunol. 2002;168(8):4202-8.</w:t>
      </w:r>
    </w:p>
    <w:p w14:paraId="6A3AC50C" w14:textId="08B29F49" w:rsidR="005D20B8" w:rsidRPr="00E262E0" w:rsidRDefault="005D20B8" w:rsidP="00BC5797">
      <w:pPr>
        <w:pStyle w:val="Listenabsatz"/>
        <w:numPr>
          <w:ilvl w:val="0"/>
          <w:numId w:val="4"/>
        </w:numPr>
        <w:spacing w:after="0" w:line="240" w:lineRule="auto"/>
        <w:rPr>
          <w:rFonts w:ascii="Arial" w:eastAsia="Aptos" w:hAnsi="Arial" w:cs="Arial"/>
          <w:color w:val="000000"/>
          <w:sz w:val="24"/>
          <w:szCs w:val="24"/>
          <w:lang w:val="en-US"/>
        </w:rPr>
      </w:pPr>
      <w:r w:rsidRPr="00A44873">
        <w:rPr>
          <w:rFonts w:ascii="Arial" w:eastAsia="Aptos" w:hAnsi="Arial" w:cs="Arial"/>
          <w:color w:val="000000"/>
          <w:sz w:val="24"/>
          <w:szCs w:val="24"/>
          <w:lang w:val="nl-NL"/>
        </w:rPr>
        <w:t xml:space="preserve">Mbunwe E, Van der Auwera BJ, Vermeulen I et al. </w:t>
      </w:r>
      <w:r w:rsidRPr="00E262E0">
        <w:rPr>
          <w:rFonts w:ascii="Arial" w:eastAsia="Aptos" w:hAnsi="Arial" w:cs="Arial"/>
          <w:color w:val="000000"/>
          <w:sz w:val="24"/>
          <w:szCs w:val="24"/>
          <w:lang w:val="en-US"/>
        </w:rPr>
        <w:t>HLA-A*24 is an independent predictor of 5-year progression to diabetes in autoantibody-positive first-degree relatives of type 1 diabetic patients. Diabetes. 2013;62(4):1345-50.</w:t>
      </w:r>
    </w:p>
    <w:p w14:paraId="730FC361" w14:textId="0B789E33" w:rsidR="00CD249A" w:rsidRPr="00E262E0" w:rsidRDefault="00CD249A" w:rsidP="00BC5797">
      <w:pPr>
        <w:pStyle w:val="Listenabsatz"/>
        <w:numPr>
          <w:ilvl w:val="0"/>
          <w:numId w:val="4"/>
        </w:numPr>
        <w:spacing w:after="0" w:line="240" w:lineRule="auto"/>
        <w:rPr>
          <w:rFonts w:ascii="Arial" w:eastAsia="Aptos" w:hAnsi="Arial" w:cs="Arial"/>
          <w:color w:val="000000"/>
          <w:sz w:val="24"/>
          <w:szCs w:val="24"/>
          <w:lang w:val="en-US"/>
        </w:rPr>
      </w:pPr>
      <w:r w:rsidRPr="00E262E0">
        <w:rPr>
          <w:rFonts w:ascii="Arial" w:eastAsia="Aptos" w:hAnsi="Arial" w:cs="Arial"/>
          <w:color w:val="000000"/>
          <w:sz w:val="24"/>
          <w:szCs w:val="24"/>
          <w:lang w:val="en-US"/>
        </w:rPr>
        <w:t>Vandewalle J, Desouter AK, Van der Auwera BJ et al.CTLA4, SH2B3, and CLEC16A diversely affect the progression of early islet autoimmunity in relatives of Type 1 diabetes patients. Clin Exp Immunol. 2023;211(3):224-232.</w:t>
      </w:r>
    </w:p>
    <w:p w14:paraId="52043F2E" w14:textId="32356720" w:rsidR="00500082" w:rsidRDefault="00500082" w:rsidP="00BC5797">
      <w:pPr>
        <w:pStyle w:val="Listenabsatz"/>
        <w:numPr>
          <w:ilvl w:val="0"/>
          <w:numId w:val="4"/>
        </w:numPr>
        <w:spacing w:after="0" w:line="240" w:lineRule="auto"/>
        <w:rPr>
          <w:rFonts w:ascii="Arial" w:eastAsia="Aptos" w:hAnsi="Arial" w:cs="Arial"/>
          <w:color w:val="000000"/>
          <w:sz w:val="24"/>
          <w:szCs w:val="24"/>
          <w:lang w:val="en-US"/>
        </w:rPr>
      </w:pPr>
      <w:r w:rsidRPr="00E262E0">
        <w:rPr>
          <w:rFonts w:ascii="Arial" w:eastAsia="Aptos" w:hAnsi="Arial" w:cs="Arial"/>
          <w:color w:val="000000"/>
          <w:sz w:val="24"/>
          <w:szCs w:val="24"/>
          <w:lang w:val="en-US"/>
        </w:rPr>
        <w:t>Sims EK, Geyer SM, Long SA, Herold KC. High proinsulin:C-peptide ratio identifies individuals with stage 2 type 1 diabetes at high risk for progression to clinical diagnosis and responses to teplizumab treatment. Diabetologia. 2023 Dec;66(12):2283-2291.</w:t>
      </w:r>
    </w:p>
    <w:p w14:paraId="56217C1E" w14:textId="7A43062E" w:rsidR="00A44873" w:rsidRDefault="00A44873" w:rsidP="00BC5797">
      <w:pPr>
        <w:pStyle w:val="Listenabsatz"/>
        <w:numPr>
          <w:ilvl w:val="0"/>
          <w:numId w:val="4"/>
        </w:numPr>
        <w:spacing w:after="0" w:line="240" w:lineRule="auto"/>
        <w:rPr>
          <w:rFonts w:ascii="Arial" w:eastAsia="Aptos" w:hAnsi="Arial" w:cs="Arial"/>
          <w:color w:val="000000"/>
          <w:sz w:val="24"/>
          <w:szCs w:val="24"/>
          <w:lang w:val="en-US"/>
        </w:rPr>
      </w:pPr>
      <w:r w:rsidRPr="00A44873">
        <w:rPr>
          <w:rFonts w:ascii="Arial" w:eastAsia="Aptos" w:hAnsi="Arial" w:cs="Arial"/>
          <w:color w:val="000000"/>
          <w:sz w:val="24"/>
          <w:szCs w:val="24"/>
        </w:rPr>
        <w:t xml:space="preserve">von Toerne C, Laimighofer M, Achenbach P et al. </w:t>
      </w:r>
      <w:r w:rsidRPr="00A44873">
        <w:rPr>
          <w:rFonts w:ascii="Arial" w:eastAsia="Aptos" w:hAnsi="Arial" w:cs="Arial"/>
          <w:color w:val="000000"/>
          <w:sz w:val="24"/>
          <w:szCs w:val="24"/>
          <w:lang w:val="en-US"/>
        </w:rPr>
        <w:t>Peptide serum markers in islet autoantibody-positive children</w:t>
      </w:r>
      <w:r>
        <w:rPr>
          <w:rFonts w:ascii="Arial" w:eastAsia="Aptos" w:hAnsi="Arial" w:cs="Arial"/>
          <w:color w:val="000000"/>
          <w:sz w:val="24"/>
          <w:szCs w:val="24"/>
          <w:lang w:val="en-US"/>
        </w:rPr>
        <w:t xml:space="preserve">. </w:t>
      </w:r>
      <w:r w:rsidRPr="00A44873">
        <w:rPr>
          <w:rFonts w:ascii="Arial" w:eastAsia="Aptos" w:hAnsi="Arial" w:cs="Arial"/>
          <w:color w:val="000000"/>
          <w:sz w:val="24"/>
          <w:szCs w:val="24"/>
          <w:lang w:val="en-US"/>
        </w:rPr>
        <w:t>Diabetologia. 2017;60(2):287-295</w:t>
      </w:r>
      <w:r>
        <w:rPr>
          <w:rFonts w:ascii="Arial" w:eastAsia="Aptos" w:hAnsi="Arial" w:cs="Arial"/>
          <w:color w:val="000000"/>
          <w:sz w:val="24"/>
          <w:szCs w:val="24"/>
          <w:lang w:val="en-US"/>
        </w:rPr>
        <w:t>.</w:t>
      </w:r>
    </w:p>
    <w:p w14:paraId="1BF162FD" w14:textId="5716569E" w:rsidR="00A44873" w:rsidRDefault="00C5625C" w:rsidP="00BC5797">
      <w:pPr>
        <w:pStyle w:val="Listenabsatz"/>
        <w:numPr>
          <w:ilvl w:val="0"/>
          <w:numId w:val="4"/>
        </w:numPr>
        <w:spacing w:after="0" w:line="240" w:lineRule="auto"/>
        <w:rPr>
          <w:rFonts w:ascii="Arial" w:eastAsia="Aptos" w:hAnsi="Arial" w:cs="Arial"/>
          <w:color w:val="000000"/>
          <w:sz w:val="24"/>
          <w:szCs w:val="24"/>
          <w:lang w:val="en-US"/>
        </w:rPr>
      </w:pPr>
      <w:r w:rsidRPr="00C5625C">
        <w:rPr>
          <w:rFonts w:ascii="Arial" w:eastAsia="Aptos" w:hAnsi="Arial" w:cs="Arial"/>
          <w:color w:val="000000"/>
          <w:sz w:val="24"/>
          <w:szCs w:val="24"/>
          <w:lang w:val="en-US"/>
        </w:rPr>
        <w:t xml:space="preserve">Hu X, Webb-Robertson BM, Parikh HM </w:t>
      </w:r>
      <w:r>
        <w:rPr>
          <w:rFonts w:ascii="Arial" w:eastAsia="Aptos" w:hAnsi="Arial" w:cs="Arial"/>
          <w:color w:val="000000"/>
          <w:sz w:val="24"/>
          <w:szCs w:val="24"/>
          <w:lang w:val="en-US"/>
        </w:rPr>
        <w:t xml:space="preserve">et al. </w:t>
      </w:r>
      <w:r w:rsidR="00A44873" w:rsidRPr="00A44873">
        <w:rPr>
          <w:rFonts w:ascii="Arial" w:eastAsia="Aptos" w:hAnsi="Arial" w:cs="Arial"/>
          <w:color w:val="000000"/>
          <w:sz w:val="24"/>
          <w:szCs w:val="24"/>
          <w:lang w:val="en-US"/>
        </w:rPr>
        <w:t>Genetic mapping of complement system proteins for islet autoimmunity in children with high risk of T1D</w:t>
      </w:r>
      <w:r w:rsidR="00A44873">
        <w:rPr>
          <w:rFonts w:ascii="Arial" w:eastAsia="Aptos" w:hAnsi="Arial" w:cs="Arial"/>
          <w:color w:val="000000"/>
          <w:sz w:val="24"/>
          <w:szCs w:val="24"/>
          <w:lang w:val="en-US"/>
        </w:rPr>
        <w:t>.</w:t>
      </w:r>
      <w:r w:rsidRPr="00C5625C">
        <w:rPr>
          <w:lang w:val="en-US"/>
        </w:rPr>
        <w:t xml:space="preserve"> </w:t>
      </w:r>
      <w:r w:rsidRPr="00C5625C">
        <w:rPr>
          <w:rFonts w:ascii="Arial" w:eastAsia="Aptos" w:hAnsi="Arial" w:cs="Arial"/>
          <w:color w:val="000000"/>
          <w:sz w:val="24"/>
          <w:szCs w:val="24"/>
          <w:lang w:val="en-US"/>
        </w:rPr>
        <w:t>Commun Biol. 2025;8(1):1366.</w:t>
      </w:r>
    </w:p>
    <w:p w14:paraId="07AA59BE" w14:textId="3F16CCDE" w:rsidR="00C5625C" w:rsidRPr="00E262E0" w:rsidRDefault="00C5625C" w:rsidP="00BC5797">
      <w:pPr>
        <w:pStyle w:val="Listenabsatz"/>
        <w:numPr>
          <w:ilvl w:val="0"/>
          <w:numId w:val="4"/>
        </w:numPr>
        <w:spacing w:after="0" w:line="240" w:lineRule="auto"/>
        <w:rPr>
          <w:rFonts w:ascii="Arial" w:eastAsia="Aptos" w:hAnsi="Arial" w:cs="Arial"/>
          <w:color w:val="000000"/>
          <w:sz w:val="24"/>
          <w:szCs w:val="24"/>
          <w:lang w:val="en-US"/>
        </w:rPr>
      </w:pPr>
      <w:r w:rsidRPr="00C5625C">
        <w:rPr>
          <w:rFonts w:ascii="Arial" w:eastAsia="Aptos" w:hAnsi="Arial" w:cs="Arial"/>
          <w:color w:val="000000"/>
          <w:sz w:val="24"/>
          <w:szCs w:val="24"/>
          <w:lang w:val="en-US"/>
        </w:rPr>
        <w:lastRenderedPageBreak/>
        <w:t xml:space="preserve">Xhonneux LP, Knight O, Lernmark </w:t>
      </w:r>
      <w:r>
        <w:rPr>
          <w:rFonts w:ascii="Arial" w:eastAsia="Aptos" w:hAnsi="Arial" w:cs="Arial"/>
          <w:color w:val="000000"/>
          <w:sz w:val="24"/>
          <w:szCs w:val="24"/>
          <w:lang w:val="en-US"/>
        </w:rPr>
        <w:t>A</w:t>
      </w:r>
      <w:r w:rsidRPr="00C5625C">
        <w:rPr>
          <w:rFonts w:ascii="Arial" w:eastAsia="Aptos" w:hAnsi="Arial" w:cs="Arial"/>
          <w:color w:val="000000"/>
          <w:sz w:val="24"/>
          <w:szCs w:val="24"/>
          <w:lang w:val="en-US"/>
        </w:rPr>
        <w:t xml:space="preserve"> </w:t>
      </w:r>
      <w:r>
        <w:rPr>
          <w:rFonts w:ascii="Arial" w:eastAsia="Aptos" w:hAnsi="Arial" w:cs="Arial"/>
          <w:color w:val="000000"/>
          <w:sz w:val="24"/>
          <w:szCs w:val="24"/>
          <w:lang w:val="en-US"/>
        </w:rPr>
        <w:t xml:space="preserve">et al. </w:t>
      </w:r>
      <w:r w:rsidRPr="00C5625C">
        <w:rPr>
          <w:rFonts w:ascii="Arial" w:eastAsia="Aptos" w:hAnsi="Arial" w:cs="Arial"/>
          <w:color w:val="000000"/>
          <w:sz w:val="24"/>
          <w:szCs w:val="24"/>
          <w:lang w:val="en-US"/>
        </w:rPr>
        <w:t>Transcriptional networks in at-risk individuals identify signatures of type 1 diabetes progression</w:t>
      </w:r>
      <w:r>
        <w:rPr>
          <w:rFonts w:ascii="Arial" w:eastAsia="Aptos" w:hAnsi="Arial" w:cs="Arial"/>
          <w:color w:val="000000"/>
          <w:sz w:val="24"/>
          <w:szCs w:val="24"/>
          <w:lang w:val="en-US"/>
        </w:rPr>
        <w:t>.</w:t>
      </w:r>
      <w:r w:rsidRPr="00C5625C">
        <w:rPr>
          <w:lang w:val="en-US"/>
        </w:rPr>
        <w:t xml:space="preserve"> </w:t>
      </w:r>
      <w:r w:rsidRPr="00C5625C">
        <w:rPr>
          <w:rFonts w:ascii="Arial" w:eastAsia="Aptos" w:hAnsi="Arial" w:cs="Arial"/>
          <w:color w:val="000000"/>
          <w:sz w:val="24"/>
          <w:szCs w:val="24"/>
          <w:lang w:val="en-US"/>
        </w:rPr>
        <w:t>Sci Transl Med. 2021;13(587):eabd5666.</w:t>
      </w:r>
    </w:p>
    <w:p w14:paraId="170F08BE" w14:textId="77777777" w:rsidR="003729FA" w:rsidRDefault="00A50667" w:rsidP="00792BFF">
      <w:pPr>
        <w:spacing w:after="0" w:line="360" w:lineRule="auto"/>
        <w:rPr>
          <w:rFonts w:ascii="Arial" w:eastAsia="Aptos" w:hAnsi="Arial" w:cs="Arial"/>
          <w:sz w:val="24"/>
          <w:szCs w:val="24"/>
          <w:lang w:val="en-US"/>
        </w:rPr>
      </w:pPr>
      <w:r w:rsidRPr="00E262E0">
        <w:rPr>
          <w:rFonts w:ascii="Arial" w:eastAsia="Aptos" w:hAnsi="Arial" w:cs="Arial"/>
          <w:sz w:val="24"/>
          <w:szCs w:val="24"/>
          <w:lang w:val="en-US"/>
        </w:rPr>
        <w:br w:type="page"/>
      </w:r>
      <w:r w:rsidR="003729FA">
        <w:rPr>
          <w:rFonts w:ascii="Arial" w:eastAsia="Aptos" w:hAnsi="Arial" w:cs="Arial"/>
          <w:sz w:val="24"/>
          <w:szCs w:val="24"/>
          <w:lang w:val="en-US"/>
        </w:rPr>
        <w:lastRenderedPageBreak/>
        <w:t>Table 1.</w:t>
      </w:r>
    </w:p>
    <w:p w14:paraId="20267385" w14:textId="77777777" w:rsidR="003729FA" w:rsidRPr="0093265C" w:rsidRDefault="003729FA" w:rsidP="003729FA">
      <w:pPr>
        <w:spacing w:line="240" w:lineRule="auto"/>
        <w:rPr>
          <w:rFonts w:ascii="Arial" w:hAnsi="Arial" w:cs="Arial"/>
          <w:lang w:val="en-US"/>
        </w:rPr>
      </w:pPr>
      <w:r w:rsidRPr="0093265C">
        <w:rPr>
          <w:rFonts w:ascii="Arial" w:hAnsi="Arial" w:cs="Arial"/>
          <w:lang w:val="en-US"/>
        </w:rPr>
        <w:t>Children and adolescents participating in the Fr1da study or validation cohort study</w:t>
      </w:r>
      <w:r>
        <w:rPr>
          <w:rFonts w:ascii="Arial" w:hAnsi="Arial" w:cs="Arial"/>
          <w:lang w:val="en-US"/>
        </w:rPr>
        <w:t>.</w:t>
      </w:r>
    </w:p>
    <w:tbl>
      <w:tblPr>
        <w:tblStyle w:val="Tabellenraster"/>
        <w:tblW w:w="9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8"/>
        <w:gridCol w:w="1701"/>
        <w:gridCol w:w="567"/>
        <w:gridCol w:w="1701"/>
        <w:gridCol w:w="567"/>
        <w:gridCol w:w="1698"/>
      </w:tblGrid>
      <w:tr w:rsidR="003729FA" w:rsidRPr="00535FB4" w14:paraId="35C55D6D" w14:textId="77777777" w:rsidTr="00CD35BA">
        <w:trPr>
          <w:trHeight w:val="397"/>
        </w:trPr>
        <w:tc>
          <w:tcPr>
            <w:tcW w:w="2127" w:type="dxa"/>
            <w:tcBorders>
              <w:top w:val="single" w:sz="4" w:space="0" w:color="auto"/>
              <w:bottom w:val="single" w:sz="4" w:space="0" w:color="auto"/>
            </w:tcBorders>
          </w:tcPr>
          <w:p w14:paraId="7E2A6DF5" w14:textId="77777777" w:rsidR="003729FA" w:rsidRPr="0093265C" w:rsidRDefault="003729FA" w:rsidP="00CD35BA">
            <w:pPr>
              <w:rPr>
                <w:rFonts w:ascii="Arial" w:hAnsi="Arial" w:cs="Arial"/>
                <w:lang w:val="en-US"/>
              </w:rPr>
            </w:pPr>
          </w:p>
        </w:tc>
        <w:tc>
          <w:tcPr>
            <w:tcW w:w="4677" w:type="dxa"/>
            <w:gridSpan w:val="4"/>
            <w:tcBorders>
              <w:top w:val="single" w:sz="4" w:space="0" w:color="auto"/>
              <w:bottom w:val="single" w:sz="4" w:space="0" w:color="auto"/>
            </w:tcBorders>
          </w:tcPr>
          <w:p w14:paraId="3CC95C7F" w14:textId="77777777" w:rsidR="003729FA" w:rsidRPr="0093265C" w:rsidRDefault="003729FA" w:rsidP="00CD35BA">
            <w:pPr>
              <w:jc w:val="center"/>
              <w:rPr>
                <w:rFonts w:ascii="Arial" w:hAnsi="Arial" w:cs="Arial"/>
                <w:color w:val="000000"/>
              </w:rPr>
            </w:pPr>
            <w:r w:rsidRPr="0093265C">
              <w:rPr>
                <w:rFonts w:ascii="Arial" w:hAnsi="Arial" w:cs="Arial"/>
                <w:color w:val="000000"/>
                <w:lang w:val="en-US"/>
              </w:rPr>
              <w:t>Stage 1 T1D</w:t>
            </w:r>
          </w:p>
        </w:tc>
        <w:tc>
          <w:tcPr>
            <w:tcW w:w="2265" w:type="dxa"/>
            <w:gridSpan w:val="2"/>
            <w:tcBorders>
              <w:top w:val="single" w:sz="4" w:space="0" w:color="auto"/>
              <w:bottom w:val="single" w:sz="4" w:space="0" w:color="auto"/>
            </w:tcBorders>
          </w:tcPr>
          <w:p w14:paraId="13EE3DCB" w14:textId="77777777" w:rsidR="003729FA" w:rsidRPr="0093265C" w:rsidRDefault="003729FA" w:rsidP="00CD35BA">
            <w:pPr>
              <w:jc w:val="center"/>
              <w:rPr>
                <w:rFonts w:ascii="Arial" w:hAnsi="Arial" w:cs="Arial"/>
                <w:lang w:val="en-US"/>
              </w:rPr>
            </w:pPr>
            <w:r w:rsidRPr="0093265C">
              <w:rPr>
                <w:rFonts w:ascii="Arial" w:hAnsi="Arial" w:cs="Arial"/>
                <w:lang w:val="en-US"/>
              </w:rPr>
              <w:t>Stage 2 T1D</w:t>
            </w:r>
          </w:p>
        </w:tc>
      </w:tr>
      <w:tr w:rsidR="003729FA" w:rsidRPr="00535FB4" w14:paraId="5C3CDA52" w14:textId="77777777" w:rsidTr="00CD35BA">
        <w:trPr>
          <w:trHeight w:val="624"/>
        </w:trPr>
        <w:tc>
          <w:tcPr>
            <w:tcW w:w="2127" w:type="dxa"/>
            <w:tcBorders>
              <w:top w:val="single" w:sz="4" w:space="0" w:color="auto"/>
              <w:bottom w:val="single" w:sz="4" w:space="0" w:color="auto"/>
            </w:tcBorders>
          </w:tcPr>
          <w:p w14:paraId="6F9DFFC7" w14:textId="77777777" w:rsidR="003729FA" w:rsidRPr="0093265C" w:rsidRDefault="003729FA" w:rsidP="00CD35BA">
            <w:pPr>
              <w:rPr>
                <w:rFonts w:ascii="Arial" w:hAnsi="Arial" w:cs="Arial"/>
                <w:lang w:val="en-US"/>
              </w:rPr>
            </w:pPr>
          </w:p>
        </w:tc>
        <w:tc>
          <w:tcPr>
            <w:tcW w:w="2409" w:type="dxa"/>
            <w:gridSpan w:val="2"/>
            <w:tcBorders>
              <w:top w:val="single" w:sz="4" w:space="0" w:color="auto"/>
              <w:bottom w:val="single" w:sz="4" w:space="0" w:color="auto"/>
            </w:tcBorders>
          </w:tcPr>
          <w:p w14:paraId="5BCBD618" w14:textId="4ACF717F" w:rsidR="003729FA" w:rsidRPr="0093265C" w:rsidRDefault="003729FA" w:rsidP="00DC0487">
            <w:pPr>
              <w:jc w:val="center"/>
              <w:rPr>
                <w:rFonts w:ascii="Arial" w:hAnsi="Arial" w:cs="Arial"/>
                <w:lang w:val="en-US"/>
              </w:rPr>
            </w:pPr>
            <w:r w:rsidRPr="0093265C">
              <w:rPr>
                <w:rFonts w:ascii="Arial" w:hAnsi="Arial" w:cs="Arial"/>
                <w:lang w:val="en-US"/>
              </w:rPr>
              <w:t>Fr1da cohort</w:t>
            </w:r>
            <w:proofErr w:type="gramStart"/>
            <w:r w:rsidRPr="0093265C">
              <w:rPr>
                <w:rFonts w:ascii="Arial" w:hAnsi="Arial" w:cs="Arial"/>
                <w:lang w:val="en-US"/>
              </w:rPr>
              <w:t xml:space="preserve"> </w:t>
            </w:r>
            <w:r w:rsidR="00A715D2">
              <w:rPr>
                <w:rFonts w:ascii="Arial" w:hAnsi="Arial" w:cs="Arial"/>
                <w:lang w:val="en-US"/>
              </w:rPr>
              <w:t xml:space="preserve">  </w:t>
            </w:r>
            <w:r w:rsidRPr="0093265C">
              <w:rPr>
                <w:rFonts w:ascii="Arial" w:hAnsi="Arial" w:cs="Arial"/>
                <w:lang w:val="en-US"/>
              </w:rPr>
              <w:t>(</w:t>
            </w:r>
            <w:proofErr w:type="gramEnd"/>
            <w:r w:rsidRPr="0093265C">
              <w:rPr>
                <w:rFonts w:ascii="Arial" w:hAnsi="Arial" w:cs="Arial"/>
                <w:lang w:val="en-US"/>
              </w:rPr>
              <w:t>n=360)</w:t>
            </w:r>
          </w:p>
        </w:tc>
        <w:tc>
          <w:tcPr>
            <w:tcW w:w="2268" w:type="dxa"/>
            <w:gridSpan w:val="2"/>
            <w:tcBorders>
              <w:top w:val="single" w:sz="4" w:space="0" w:color="auto"/>
              <w:bottom w:val="single" w:sz="4" w:space="0" w:color="auto"/>
            </w:tcBorders>
          </w:tcPr>
          <w:p w14:paraId="35E149A9" w14:textId="608005A2" w:rsidR="003729FA" w:rsidRPr="0093265C" w:rsidRDefault="003729FA" w:rsidP="00CD35BA">
            <w:pPr>
              <w:jc w:val="center"/>
              <w:rPr>
                <w:rFonts w:ascii="Arial" w:hAnsi="Arial" w:cs="Arial"/>
                <w:lang w:val="en-US"/>
              </w:rPr>
            </w:pPr>
            <w:r w:rsidRPr="0093265C">
              <w:rPr>
                <w:rFonts w:ascii="Arial" w:hAnsi="Arial" w:cs="Arial"/>
                <w:lang w:val="en-US"/>
              </w:rPr>
              <w:t>Validation cohort</w:t>
            </w:r>
            <w:r w:rsidR="00DC0487">
              <w:rPr>
                <w:rFonts w:ascii="Arial" w:hAnsi="Arial" w:cs="Arial"/>
                <w:lang w:val="en-US"/>
              </w:rPr>
              <w:t xml:space="preserve"> </w:t>
            </w:r>
            <w:r w:rsidRPr="0093265C">
              <w:rPr>
                <w:rFonts w:ascii="Arial" w:hAnsi="Arial" w:cs="Arial"/>
                <w:lang w:val="en-US"/>
              </w:rPr>
              <w:t>(n=61)</w:t>
            </w:r>
          </w:p>
        </w:tc>
        <w:tc>
          <w:tcPr>
            <w:tcW w:w="2265" w:type="dxa"/>
            <w:gridSpan w:val="2"/>
            <w:tcBorders>
              <w:top w:val="single" w:sz="4" w:space="0" w:color="auto"/>
              <w:bottom w:val="single" w:sz="4" w:space="0" w:color="auto"/>
            </w:tcBorders>
          </w:tcPr>
          <w:p w14:paraId="3852D186" w14:textId="646B33A0" w:rsidR="003729FA" w:rsidRPr="0093265C" w:rsidRDefault="003729FA" w:rsidP="00DC0487">
            <w:pPr>
              <w:jc w:val="center"/>
              <w:rPr>
                <w:rFonts w:ascii="Arial" w:hAnsi="Arial" w:cs="Arial"/>
                <w:lang w:val="en-US"/>
              </w:rPr>
            </w:pPr>
            <w:r w:rsidRPr="0093265C">
              <w:rPr>
                <w:rFonts w:ascii="Arial" w:hAnsi="Arial" w:cs="Arial"/>
                <w:lang w:val="en-US"/>
              </w:rPr>
              <w:t>Fr1da cohort</w:t>
            </w:r>
            <w:proofErr w:type="gramStart"/>
            <w:r w:rsidRPr="0093265C">
              <w:rPr>
                <w:rFonts w:ascii="Arial" w:hAnsi="Arial" w:cs="Arial"/>
                <w:lang w:val="en-US"/>
              </w:rPr>
              <w:t xml:space="preserve"> </w:t>
            </w:r>
            <w:r w:rsidR="00A715D2">
              <w:rPr>
                <w:rFonts w:ascii="Arial" w:hAnsi="Arial" w:cs="Arial"/>
                <w:lang w:val="en-US"/>
              </w:rPr>
              <w:t xml:space="preserve">  </w:t>
            </w:r>
            <w:r w:rsidRPr="0093265C">
              <w:rPr>
                <w:rFonts w:ascii="Arial" w:hAnsi="Arial" w:cs="Arial"/>
                <w:lang w:val="en-US"/>
              </w:rPr>
              <w:t>(</w:t>
            </w:r>
            <w:proofErr w:type="gramEnd"/>
            <w:r w:rsidRPr="0093265C">
              <w:rPr>
                <w:rFonts w:ascii="Arial" w:hAnsi="Arial" w:cs="Arial"/>
                <w:lang w:val="en-US"/>
              </w:rPr>
              <w:t>n=85)</w:t>
            </w:r>
          </w:p>
        </w:tc>
      </w:tr>
      <w:tr w:rsidR="003729FA" w:rsidRPr="00535FB4" w14:paraId="5D7A077F" w14:textId="77777777" w:rsidTr="00CD35BA">
        <w:trPr>
          <w:trHeight w:val="624"/>
        </w:trPr>
        <w:tc>
          <w:tcPr>
            <w:tcW w:w="2127" w:type="dxa"/>
            <w:tcBorders>
              <w:top w:val="single" w:sz="4" w:space="0" w:color="auto"/>
              <w:bottom w:val="single" w:sz="4" w:space="0" w:color="auto"/>
            </w:tcBorders>
          </w:tcPr>
          <w:p w14:paraId="2590510F" w14:textId="77777777" w:rsidR="003729FA" w:rsidRPr="0093265C" w:rsidRDefault="003729FA" w:rsidP="00CD35BA">
            <w:pPr>
              <w:rPr>
                <w:rFonts w:ascii="Arial" w:hAnsi="Arial" w:cs="Arial"/>
                <w:lang w:val="en-US"/>
              </w:rPr>
            </w:pPr>
          </w:p>
        </w:tc>
        <w:tc>
          <w:tcPr>
            <w:tcW w:w="708" w:type="dxa"/>
            <w:tcBorders>
              <w:top w:val="single" w:sz="4" w:space="0" w:color="auto"/>
              <w:bottom w:val="single" w:sz="4" w:space="0" w:color="auto"/>
            </w:tcBorders>
          </w:tcPr>
          <w:p w14:paraId="2C827B0D" w14:textId="77777777" w:rsidR="003729FA" w:rsidRPr="0093265C" w:rsidRDefault="003729FA" w:rsidP="00CD35BA">
            <w:pPr>
              <w:rPr>
                <w:rFonts w:ascii="Arial" w:hAnsi="Arial" w:cs="Arial"/>
                <w:lang w:val="en-US"/>
              </w:rPr>
            </w:pPr>
            <w:r w:rsidRPr="0093265C">
              <w:rPr>
                <w:rFonts w:ascii="Arial" w:hAnsi="Arial" w:cs="Arial"/>
                <w:lang w:val="en-US"/>
              </w:rPr>
              <w:t>n</w:t>
            </w:r>
          </w:p>
        </w:tc>
        <w:tc>
          <w:tcPr>
            <w:tcW w:w="1701" w:type="dxa"/>
            <w:tcBorders>
              <w:top w:val="single" w:sz="4" w:space="0" w:color="auto"/>
              <w:bottom w:val="single" w:sz="4" w:space="0" w:color="auto"/>
            </w:tcBorders>
          </w:tcPr>
          <w:p w14:paraId="2B689361" w14:textId="5D831558" w:rsidR="003729FA" w:rsidRPr="0093265C" w:rsidRDefault="003729FA" w:rsidP="00CD35BA">
            <w:pPr>
              <w:rPr>
                <w:rFonts w:ascii="Arial" w:hAnsi="Arial" w:cs="Arial"/>
                <w:lang w:val="en-US"/>
              </w:rPr>
            </w:pPr>
            <w:r w:rsidRPr="0093265C">
              <w:rPr>
                <w:rFonts w:ascii="Arial" w:hAnsi="Arial" w:cs="Arial"/>
                <w:lang w:val="en-US"/>
              </w:rPr>
              <w:t>n (%)</w:t>
            </w:r>
            <w:r w:rsidR="00A715D2">
              <w:rPr>
                <w:rFonts w:ascii="Arial" w:hAnsi="Arial" w:cs="Arial"/>
                <w:lang w:val="en-US"/>
              </w:rPr>
              <w:t>, or</w:t>
            </w:r>
            <w:r w:rsidR="00DC0487">
              <w:rPr>
                <w:rFonts w:ascii="Arial" w:hAnsi="Arial" w:cs="Arial"/>
                <w:lang w:val="en-US"/>
              </w:rPr>
              <w:t xml:space="preserve"> </w:t>
            </w:r>
            <w:r w:rsidRPr="0093265C">
              <w:rPr>
                <w:rFonts w:ascii="Arial" w:hAnsi="Arial" w:cs="Arial"/>
                <w:lang w:val="en-US"/>
              </w:rPr>
              <w:t>median (IQR)</w:t>
            </w:r>
          </w:p>
        </w:tc>
        <w:tc>
          <w:tcPr>
            <w:tcW w:w="567" w:type="dxa"/>
            <w:tcBorders>
              <w:top w:val="single" w:sz="4" w:space="0" w:color="auto"/>
              <w:bottom w:val="single" w:sz="4" w:space="0" w:color="auto"/>
            </w:tcBorders>
          </w:tcPr>
          <w:p w14:paraId="65EAACA1" w14:textId="77777777" w:rsidR="003729FA" w:rsidRPr="0093265C" w:rsidRDefault="003729FA" w:rsidP="00CD35BA">
            <w:pPr>
              <w:rPr>
                <w:rFonts w:ascii="Arial" w:hAnsi="Arial" w:cs="Arial"/>
                <w:lang w:val="en-US"/>
              </w:rPr>
            </w:pPr>
            <w:r w:rsidRPr="0093265C">
              <w:rPr>
                <w:rFonts w:ascii="Arial" w:hAnsi="Arial" w:cs="Arial"/>
                <w:lang w:val="en-US"/>
              </w:rPr>
              <w:t>n</w:t>
            </w:r>
          </w:p>
        </w:tc>
        <w:tc>
          <w:tcPr>
            <w:tcW w:w="1701" w:type="dxa"/>
            <w:tcBorders>
              <w:top w:val="single" w:sz="4" w:space="0" w:color="auto"/>
              <w:bottom w:val="single" w:sz="4" w:space="0" w:color="auto"/>
            </w:tcBorders>
          </w:tcPr>
          <w:p w14:paraId="11316B8D" w14:textId="618A2E94" w:rsidR="003729FA" w:rsidRPr="0093265C" w:rsidRDefault="003729FA" w:rsidP="00CD35BA">
            <w:pPr>
              <w:rPr>
                <w:rFonts w:ascii="Arial" w:hAnsi="Arial" w:cs="Arial"/>
                <w:lang w:val="en-US"/>
              </w:rPr>
            </w:pPr>
            <w:r w:rsidRPr="0093265C">
              <w:rPr>
                <w:rFonts w:ascii="Arial" w:hAnsi="Arial" w:cs="Arial"/>
                <w:lang w:val="en-US"/>
              </w:rPr>
              <w:t>n (%)</w:t>
            </w:r>
            <w:r w:rsidR="00A715D2">
              <w:rPr>
                <w:rFonts w:ascii="Arial" w:hAnsi="Arial" w:cs="Arial"/>
                <w:lang w:val="en-US"/>
              </w:rPr>
              <w:t>, or</w:t>
            </w:r>
            <w:r w:rsidR="00DC0487">
              <w:rPr>
                <w:rFonts w:ascii="Arial" w:hAnsi="Arial" w:cs="Arial"/>
                <w:lang w:val="en-US"/>
              </w:rPr>
              <w:t xml:space="preserve"> </w:t>
            </w:r>
            <w:r w:rsidRPr="0093265C">
              <w:rPr>
                <w:rFonts w:ascii="Arial" w:hAnsi="Arial" w:cs="Arial"/>
                <w:lang w:val="en-US"/>
              </w:rPr>
              <w:t>median (IQR)</w:t>
            </w:r>
          </w:p>
        </w:tc>
        <w:tc>
          <w:tcPr>
            <w:tcW w:w="567" w:type="dxa"/>
            <w:tcBorders>
              <w:top w:val="single" w:sz="4" w:space="0" w:color="auto"/>
              <w:bottom w:val="single" w:sz="4" w:space="0" w:color="auto"/>
            </w:tcBorders>
          </w:tcPr>
          <w:p w14:paraId="2FF7AE4E" w14:textId="77777777" w:rsidR="003729FA" w:rsidRPr="0093265C" w:rsidRDefault="003729FA" w:rsidP="00CD35BA">
            <w:pPr>
              <w:rPr>
                <w:rFonts w:ascii="Arial" w:hAnsi="Arial" w:cs="Arial"/>
                <w:lang w:val="en-US"/>
              </w:rPr>
            </w:pPr>
            <w:r w:rsidRPr="0093265C">
              <w:rPr>
                <w:rFonts w:ascii="Arial" w:hAnsi="Arial" w:cs="Arial"/>
                <w:lang w:val="en-US"/>
              </w:rPr>
              <w:t>n</w:t>
            </w:r>
          </w:p>
        </w:tc>
        <w:tc>
          <w:tcPr>
            <w:tcW w:w="1698" w:type="dxa"/>
            <w:tcBorders>
              <w:top w:val="single" w:sz="4" w:space="0" w:color="auto"/>
              <w:bottom w:val="single" w:sz="4" w:space="0" w:color="auto"/>
            </w:tcBorders>
          </w:tcPr>
          <w:p w14:paraId="6CBB0349" w14:textId="6FC85459" w:rsidR="003729FA" w:rsidRPr="0093265C" w:rsidRDefault="003729FA" w:rsidP="00CD35BA">
            <w:pPr>
              <w:rPr>
                <w:rFonts w:ascii="Arial" w:hAnsi="Arial" w:cs="Arial"/>
                <w:lang w:val="en-US"/>
              </w:rPr>
            </w:pPr>
            <w:r w:rsidRPr="0093265C">
              <w:rPr>
                <w:rFonts w:ascii="Arial" w:hAnsi="Arial" w:cs="Arial"/>
                <w:lang w:val="en-US"/>
              </w:rPr>
              <w:t>n (%)</w:t>
            </w:r>
            <w:r w:rsidR="00A715D2">
              <w:rPr>
                <w:rFonts w:ascii="Arial" w:hAnsi="Arial" w:cs="Arial"/>
                <w:lang w:val="en-US"/>
              </w:rPr>
              <w:t>, or</w:t>
            </w:r>
            <w:r w:rsidR="00DC0487">
              <w:rPr>
                <w:rFonts w:ascii="Arial" w:hAnsi="Arial" w:cs="Arial"/>
                <w:lang w:val="en-US"/>
              </w:rPr>
              <w:t xml:space="preserve"> </w:t>
            </w:r>
            <w:r w:rsidRPr="0093265C">
              <w:rPr>
                <w:rFonts w:ascii="Arial" w:hAnsi="Arial" w:cs="Arial"/>
                <w:lang w:val="en-US"/>
              </w:rPr>
              <w:t>median (IQR)</w:t>
            </w:r>
          </w:p>
        </w:tc>
      </w:tr>
      <w:tr w:rsidR="003729FA" w:rsidRPr="00535FB4" w14:paraId="7B880673" w14:textId="77777777" w:rsidTr="00CD35BA">
        <w:trPr>
          <w:trHeight w:val="454"/>
        </w:trPr>
        <w:tc>
          <w:tcPr>
            <w:tcW w:w="2127" w:type="dxa"/>
            <w:tcBorders>
              <w:top w:val="single" w:sz="4" w:space="0" w:color="auto"/>
            </w:tcBorders>
          </w:tcPr>
          <w:p w14:paraId="2D7E7645" w14:textId="77777777" w:rsidR="003729FA" w:rsidRPr="0093265C" w:rsidRDefault="003729FA" w:rsidP="00CD35BA">
            <w:pPr>
              <w:spacing w:line="360" w:lineRule="auto"/>
              <w:rPr>
                <w:rFonts w:ascii="Arial" w:hAnsi="Arial" w:cs="Arial"/>
                <w:lang w:val="en-US"/>
              </w:rPr>
            </w:pPr>
            <w:r w:rsidRPr="0093265C">
              <w:rPr>
                <w:rFonts w:ascii="Arial" w:hAnsi="Arial" w:cs="Arial"/>
                <w:lang w:val="en-US"/>
              </w:rPr>
              <w:t>Sex; female</w:t>
            </w:r>
          </w:p>
        </w:tc>
        <w:tc>
          <w:tcPr>
            <w:tcW w:w="708" w:type="dxa"/>
            <w:tcBorders>
              <w:top w:val="single" w:sz="4" w:space="0" w:color="auto"/>
            </w:tcBorders>
          </w:tcPr>
          <w:p w14:paraId="678BF474" w14:textId="77777777" w:rsidR="003729FA" w:rsidRPr="0093265C" w:rsidRDefault="003729FA" w:rsidP="00CD35BA">
            <w:pPr>
              <w:rPr>
                <w:rFonts w:ascii="Arial" w:hAnsi="Arial" w:cs="Arial"/>
                <w:lang w:val="en-US"/>
              </w:rPr>
            </w:pPr>
            <w:r w:rsidRPr="0093265C">
              <w:rPr>
                <w:rFonts w:ascii="Arial" w:hAnsi="Arial" w:cs="Arial"/>
                <w:lang w:val="en-US"/>
              </w:rPr>
              <w:t>360</w:t>
            </w:r>
          </w:p>
        </w:tc>
        <w:tc>
          <w:tcPr>
            <w:tcW w:w="1701" w:type="dxa"/>
            <w:tcBorders>
              <w:top w:val="single" w:sz="4" w:space="0" w:color="auto"/>
            </w:tcBorders>
          </w:tcPr>
          <w:p w14:paraId="7F2DF99A" w14:textId="77777777" w:rsidR="003729FA" w:rsidRPr="0093265C" w:rsidRDefault="003729FA" w:rsidP="00CD35BA">
            <w:pPr>
              <w:rPr>
                <w:rFonts w:ascii="Arial" w:hAnsi="Arial" w:cs="Arial"/>
                <w:lang w:val="en-US"/>
              </w:rPr>
            </w:pPr>
            <w:r w:rsidRPr="0093265C">
              <w:rPr>
                <w:rFonts w:ascii="Arial" w:hAnsi="Arial" w:cs="Arial"/>
                <w:lang w:val="en-US"/>
              </w:rPr>
              <w:t>169 (46.9)</w:t>
            </w:r>
          </w:p>
        </w:tc>
        <w:tc>
          <w:tcPr>
            <w:tcW w:w="567" w:type="dxa"/>
            <w:tcBorders>
              <w:top w:val="single" w:sz="4" w:space="0" w:color="auto"/>
            </w:tcBorders>
          </w:tcPr>
          <w:p w14:paraId="21CD85A1" w14:textId="77777777" w:rsidR="003729FA" w:rsidRPr="0093265C" w:rsidRDefault="003729FA" w:rsidP="00CD35BA">
            <w:pPr>
              <w:rPr>
                <w:rFonts w:ascii="Arial" w:hAnsi="Arial" w:cs="Arial"/>
                <w:lang w:val="en-US"/>
              </w:rPr>
            </w:pPr>
            <w:r w:rsidRPr="0093265C">
              <w:rPr>
                <w:rFonts w:ascii="Arial" w:hAnsi="Arial" w:cs="Arial"/>
                <w:lang w:val="en-US"/>
              </w:rPr>
              <w:t>61</w:t>
            </w:r>
          </w:p>
        </w:tc>
        <w:tc>
          <w:tcPr>
            <w:tcW w:w="1701" w:type="dxa"/>
            <w:tcBorders>
              <w:top w:val="single" w:sz="4" w:space="0" w:color="auto"/>
            </w:tcBorders>
          </w:tcPr>
          <w:p w14:paraId="648C2E8E" w14:textId="77777777" w:rsidR="003729FA" w:rsidRPr="0093265C" w:rsidRDefault="003729FA" w:rsidP="00CD35BA">
            <w:pPr>
              <w:rPr>
                <w:rFonts w:ascii="Arial" w:hAnsi="Arial" w:cs="Arial"/>
                <w:lang w:val="en-US"/>
              </w:rPr>
            </w:pPr>
            <w:r w:rsidRPr="0093265C">
              <w:rPr>
                <w:rFonts w:ascii="Arial" w:hAnsi="Arial" w:cs="Arial"/>
                <w:lang w:val="en-US"/>
              </w:rPr>
              <w:t>32 (52.5)</w:t>
            </w:r>
          </w:p>
        </w:tc>
        <w:tc>
          <w:tcPr>
            <w:tcW w:w="567" w:type="dxa"/>
            <w:tcBorders>
              <w:top w:val="single" w:sz="4" w:space="0" w:color="auto"/>
            </w:tcBorders>
          </w:tcPr>
          <w:p w14:paraId="70E2D8D9" w14:textId="77777777" w:rsidR="003729FA" w:rsidRPr="0093265C" w:rsidRDefault="003729FA" w:rsidP="00CD35BA">
            <w:pPr>
              <w:rPr>
                <w:rFonts w:ascii="Arial" w:hAnsi="Arial" w:cs="Arial"/>
                <w:lang w:val="en-US"/>
              </w:rPr>
            </w:pPr>
            <w:r w:rsidRPr="0093265C">
              <w:rPr>
                <w:rFonts w:ascii="Arial" w:hAnsi="Arial" w:cs="Arial"/>
                <w:lang w:val="en-US"/>
              </w:rPr>
              <w:t>85</w:t>
            </w:r>
          </w:p>
        </w:tc>
        <w:tc>
          <w:tcPr>
            <w:tcW w:w="1698" w:type="dxa"/>
            <w:tcBorders>
              <w:top w:val="single" w:sz="4" w:space="0" w:color="auto"/>
            </w:tcBorders>
          </w:tcPr>
          <w:p w14:paraId="49A5DFD0" w14:textId="77777777" w:rsidR="003729FA" w:rsidRPr="0093265C" w:rsidRDefault="003729FA" w:rsidP="00CD35BA">
            <w:pPr>
              <w:rPr>
                <w:rFonts w:ascii="Arial" w:hAnsi="Arial" w:cs="Arial"/>
                <w:lang w:val="en-US"/>
              </w:rPr>
            </w:pPr>
            <w:r w:rsidRPr="0093265C">
              <w:rPr>
                <w:rFonts w:ascii="Arial" w:hAnsi="Arial" w:cs="Arial"/>
                <w:lang w:val="en-US"/>
              </w:rPr>
              <w:t>34 (40.0)</w:t>
            </w:r>
          </w:p>
        </w:tc>
      </w:tr>
      <w:tr w:rsidR="003729FA" w:rsidRPr="00535FB4" w14:paraId="42A1588D" w14:textId="77777777" w:rsidTr="00CD35BA">
        <w:trPr>
          <w:trHeight w:val="454"/>
        </w:trPr>
        <w:tc>
          <w:tcPr>
            <w:tcW w:w="2127" w:type="dxa"/>
          </w:tcPr>
          <w:p w14:paraId="2C6C6C74" w14:textId="77777777" w:rsidR="003729FA" w:rsidRPr="0093265C" w:rsidRDefault="003729FA" w:rsidP="00CD35BA">
            <w:pPr>
              <w:spacing w:line="360" w:lineRule="auto"/>
              <w:rPr>
                <w:rFonts w:ascii="Arial" w:hAnsi="Arial" w:cs="Arial"/>
                <w:lang w:val="en-US"/>
              </w:rPr>
            </w:pPr>
            <w:r w:rsidRPr="0093265C">
              <w:rPr>
                <w:rFonts w:ascii="Arial" w:hAnsi="Arial" w:cs="Arial"/>
                <w:lang w:val="en-US"/>
              </w:rPr>
              <w:t>Age; years</w:t>
            </w:r>
          </w:p>
        </w:tc>
        <w:tc>
          <w:tcPr>
            <w:tcW w:w="708" w:type="dxa"/>
          </w:tcPr>
          <w:p w14:paraId="56896F96" w14:textId="77777777" w:rsidR="003729FA" w:rsidRPr="0093265C" w:rsidRDefault="003729FA" w:rsidP="00CD35BA">
            <w:pPr>
              <w:rPr>
                <w:rFonts w:ascii="Arial" w:hAnsi="Arial" w:cs="Arial"/>
                <w:lang w:val="en-US"/>
              </w:rPr>
            </w:pPr>
            <w:r w:rsidRPr="0093265C">
              <w:rPr>
                <w:rFonts w:ascii="Arial" w:hAnsi="Arial" w:cs="Arial"/>
                <w:lang w:val="en-US"/>
              </w:rPr>
              <w:t>360</w:t>
            </w:r>
          </w:p>
        </w:tc>
        <w:tc>
          <w:tcPr>
            <w:tcW w:w="1701" w:type="dxa"/>
          </w:tcPr>
          <w:p w14:paraId="718AB856" w14:textId="77777777" w:rsidR="003729FA" w:rsidRPr="0093265C" w:rsidRDefault="003729FA" w:rsidP="00CD35BA">
            <w:pPr>
              <w:rPr>
                <w:rFonts w:ascii="Arial" w:hAnsi="Arial" w:cs="Arial"/>
                <w:lang w:val="en-US"/>
              </w:rPr>
            </w:pPr>
            <w:r w:rsidRPr="0093265C">
              <w:rPr>
                <w:rFonts w:ascii="Arial" w:hAnsi="Arial" w:cs="Arial"/>
                <w:lang w:val="en-US"/>
              </w:rPr>
              <w:t>4.4 (3.3-5.7)</w:t>
            </w:r>
          </w:p>
        </w:tc>
        <w:tc>
          <w:tcPr>
            <w:tcW w:w="567" w:type="dxa"/>
          </w:tcPr>
          <w:p w14:paraId="71CEBC31" w14:textId="77777777" w:rsidR="003729FA" w:rsidRPr="0093265C" w:rsidRDefault="003729FA" w:rsidP="00CD35BA">
            <w:pPr>
              <w:rPr>
                <w:rFonts w:ascii="Arial" w:hAnsi="Arial" w:cs="Arial"/>
                <w:lang w:val="en-US"/>
              </w:rPr>
            </w:pPr>
            <w:r w:rsidRPr="0093265C">
              <w:rPr>
                <w:rFonts w:ascii="Arial" w:hAnsi="Arial" w:cs="Arial"/>
                <w:lang w:val="en-US"/>
              </w:rPr>
              <w:t>61</w:t>
            </w:r>
          </w:p>
        </w:tc>
        <w:tc>
          <w:tcPr>
            <w:tcW w:w="1701" w:type="dxa"/>
          </w:tcPr>
          <w:p w14:paraId="231694DF" w14:textId="77777777" w:rsidR="003729FA" w:rsidRPr="0093265C" w:rsidRDefault="003729FA" w:rsidP="00CD35BA">
            <w:pPr>
              <w:rPr>
                <w:rFonts w:ascii="Arial" w:hAnsi="Arial" w:cs="Arial"/>
                <w:lang w:val="en-US"/>
              </w:rPr>
            </w:pPr>
            <w:r w:rsidRPr="0093265C">
              <w:rPr>
                <w:rFonts w:ascii="Arial" w:hAnsi="Arial" w:cs="Arial"/>
                <w:lang w:val="en-US"/>
              </w:rPr>
              <w:t>5.4 (3.5-7.7)</w:t>
            </w:r>
          </w:p>
        </w:tc>
        <w:tc>
          <w:tcPr>
            <w:tcW w:w="567" w:type="dxa"/>
          </w:tcPr>
          <w:p w14:paraId="3459E63C" w14:textId="77777777" w:rsidR="003729FA" w:rsidRPr="0093265C" w:rsidRDefault="003729FA" w:rsidP="00CD35BA">
            <w:pPr>
              <w:rPr>
                <w:rFonts w:ascii="Arial" w:hAnsi="Arial" w:cs="Arial"/>
                <w:lang w:val="en-US"/>
              </w:rPr>
            </w:pPr>
            <w:r w:rsidRPr="0093265C">
              <w:rPr>
                <w:rFonts w:ascii="Arial" w:hAnsi="Arial" w:cs="Arial"/>
                <w:lang w:val="en-US"/>
              </w:rPr>
              <w:t>85</w:t>
            </w:r>
          </w:p>
        </w:tc>
        <w:tc>
          <w:tcPr>
            <w:tcW w:w="1698" w:type="dxa"/>
          </w:tcPr>
          <w:p w14:paraId="77E2609D" w14:textId="77777777" w:rsidR="003729FA" w:rsidRPr="0093265C" w:rsidRDefault="003729FA" w:rsidP="00CD35BA">
            <w:pPr>
              <w:rPr>
                <w:rFonts w:ascii="Arial" w:hAnsi="Arial" w:cs="Arial"/>
                <w:lang w:val="en-US"/>
              </w:rPr>
            </w:pPr>
            <w:r w:rsidRPr="0093265C">
              <w:rPr>
                <w:rFonts w:ascii="Arial" w:hAnsi="Arial" w:cs="Arial"/>
                <w:lang w:val="en-US"/>
              </w:rPr>
              <w:t>4.2 (2.9-5.5)</w:t>
            </w:r>
          </w:p>
        </w:tc>
      </w:tr>
      <w:tr w:rsidR="003729FA" w:rsidRPr="00535FB4" w14:paraId="6FCCE655" w14:textId="77777777" w:rsidTr="00CD35BA">
        <w:trPr>
          <w:trHeight w:val="454"/>
        </w:trPr>
        <w:tc>
          <w:tcPr>
            <w:tcW w:w="2127" w:type="dxa"/>
          </w:tcPr>
          <w:p w14:paraId="42CEFA41" w14:textId="77777777" w:rsidR="003729FA" w:rsidRPr="0093265C" w:rsidRDefault="003729FA" w:rsidP="00CD35BA">
            <w:pPr>
              <w:spacing w:line="360" w:lineRule="auto"/>
              <w:rPr>
                <w:rFonts w:ascii="Arial" w:hAnsi="Arial" w:cs="Arial"/>
                <w:lang w:val="en-US"/>
              </w:rPr>
            </w:pPr>
            <w:r w:rsidRPr="0093265C">
              <w:rPr>
                <w:rFonts w:ascii="Arial" w:hAnsi="Arial" w:cs="Arial"/>
                <w:lang w:val="en-US"/>
              </w:rPr>
              <w:t>First degree relative with T1D</w:t>
            </w:r>
          </w:p>
        </w:tc>
        <w:tc>
          <w:tcPr>
            <w:tcW w:w="708" w:type="dxa"/>
          </w:tcPr>
          <w:p w14:paraId="19637212" w14:textId="77777777" w:rsidR="003729FA" w:rsidRPr="0093265C" w:rsidRDefault="003729FA" w:rsidP="00CD35BA">
            <w:pPr>
              <w:rPr>
                <w:rFonts w:ascii="Arial" w:hAnsi="Arial" w:cs="Arial"/>
                <w:lang w:val="en-US"/>
              </w:rPr>
            </w:pPr>
            <w:r w:rsidRPr="0093265C">
              <w:rPr>
                <w:rFonts w:ascii="Arial" w:hAnsi="Arial" w:cs="Arial"/>
                <w:lang w:val="en-US"/>
              </w:rPr>
              <w:t>360</w:t>
            </w:r>
          </w:p>
        </w:tc>
        <w:tc>
          <w:tcPr>
            <w:tcW w:w="1701" w:type="dxa"/>
          </w:tcPr>
          <w:p w14:paraId="171BE9F1" w14:textId="77777777" w:rsidR="003729FA" w:rsidRPr="0093265C" w:rsidRDefault="003729FA" w:rsidP="00CD35BA">
            <w:pPr>
              <w:rPr>
                <w:rFonts w:ascii="Arial" w:hAnsi="Arial" w:cs="Arial"/>
                <w:lang w:val="en-US"/>
              </w:rPr>
            </w:pPr>
            <w:r w:rsidRPr="0093265C">
              <w:rPr>
                <w:rFonts w:ascii="Arial" w:hAnsi="Arial" w:cs="Arial"/>
                <w:lang w:val="en-US"/>
              </w:rPr>
              <w:t>56 (15.6)</w:t>
            </w:r>
          </w:p>
        </w:tc>
        <w:tc>
          <w:tcPr>
            <w:tcW w:w="567" w:type="dxa"/>
          </w:tcPr>
          <w:p w14:paraId="24EA8E61" w14:textId="77777777" w:rsidR="003729FA" w:rsidRPr="0093265C" w:rsidRDefault="003729FA" w:rsidP="00CD35BA">
            <w:pPr>
              <w:rPr>
                <w:rFonts w:ascii="Arial" w:hAnsi="Arial" w:cs="Arial"/>
                <w:lang w:val="en-US"/>
              </w:rPr>
            </w:pPr>
            <w:r w:rsidRPr="0093265C">
              <w:rPr>
                <w:rFonts w:ascii="Arial" w:hAnsi="Arial" w:cs="Arial"/>
                <w:lang w:val="en-US"/>
              </w:rPr>
              <w:t>61</w:t>
            </w:r>
          </w:p>
        </w:tc>
        <w:tc>
          <w:tcPr>
            <w:tcW w:w="1701" w:type="dxa"/>
          </w:tcPr>
          <w:p w14:paraId="5564F22F" w14:textId="77777777" w:rsidR="003729FA" w:rsidRPr="0093265C" w:rsidRDefault="003729FA" w:rsidP="00CD35BA">
            <w:pPr>
              <w:rPr>
                <w:rFonts w:ascii="Arial" w:hAnsi="Arial" w:cs="Arial"/>
                <w:lang w:val="en-US"/>
              </w:rPr>
            </w:pPr>
            <w:r w:rsidRPr="0093265C">
              <w:rPr>
                <w:rFonts w:ascii="Arial" w:hAnsi="Arial" w:cs="Arial"/>
                <w:lang w:val="en-US"/>
              </w:rPr>
              <w:t>36 (59.0)</w:t>
            </w:r>
          </w:p>
        </w:tc>
        <w:tc>
          <w:tcPr>
            <w:tcW w:w="567" w:type="dxa"/>
          </w:tcPr>
          <w:p w14:paraId="1CABD1D7" w14:textId="77777777" w:rsidR="003729FA" w:rsidRPr="0093265C" w:rsidRDefault="003729FA" w:rsidP="00CD35BA">
            <w:pPr>
              <w:rPr>
                <w:rFonts w:ascii="Arial" w:hAnsi="Arial" w:cs="Arial"/>
                <w:lang w:val="en-US"/>
              </w:rPr>
            </w:pPr>
            <w:r w:rsidRPr="0093265C">
              <w:rPr>
                <w:rFonts w:ascii="Arial" w:hAnsi="Arial" w:cs="Arial"/>
                <w:lang w:val="en-US"/>
              </w:rPr>
              <w:t>85</w:t>
            </w:r>
          </w:p>
        </w:tc>
        <w:tc>
          <w:tcPr>
            <w:tcW w:w="1698" w:type="dxa"/>
          </w:tcPr>
          <w:p w14:paraId="069DD3A4" w14:textId="77777777" w:rsidR="003729FA" w:rsidRPr="0093265C" w:rsidRDefault="003729FA" w:rsidP="00CD35BA">
            <w:pPr>
              <w:rPr>
                <w:rFonts w:ascii="Arial" w:hAnsi="Arial" w:cs="Arial"/>
                <w:lang w:val="en-US"/>
              </w:rPr>
            </w:pPr>
            <w:r w:rsidRPr="0093265C">
              <w:rPr>
                <w:rFonts w:ascii="Arial" w:hAnsi="Arial" w:cs="Arial"/>
                <w:lang w:val="en-US"/>
              </w:rPr>
              <w:t>15 (17.6%)</w:t>
            </w:r>
          </w:p>
        </w:tc>
      </w:tr>
      <w:tr w:rsidR="003729FA" w:rsidRPr="00535FB4" w14:paraId="495A9635" w14:textId="77777777" w:rsidTr="00CD35BA">
        <w:trPr>
          <w:trHeight w:val="454"/>
        </w:trPr>
        <w:tc>
          <w:tcPr>
            <w:tcW w:w="2127" w:type="dxa"/>
          </w:tcPr>
          <w:p w14:paraId="22AD4E15" w14:textId="77777777" w:rsidR="003729FA" w:rsidRPr="0093265C" w:rsidRDefault="003729FA" w:rsidP="00CD35BA">
            <w:pPr>
              <w:spacing w:line="360" w:lineRule="auto"/>
              <w:rPr>
                <w:rFonts w:ascii="Arial" w:hAnsi="Arial" w:cs="Arial"/>
                <w:lang w:val="en-US"/>
              </w:rPr>
            </w:pPr>
            <w:r w:rsidRPr="0093265C">
              <w:rPr>
                <w:rFonts w:ascii="Arial" w:hAnsi="Arial" w:cs="Arial"/>
                <w:lang w:val="en-US"/>
              </w:rPr>
              <w:t>IAA +</w:t>
            </w:r>
          </w:p>
        </w:tc>
        <w:tc>
          <w:tcPr>
            <w:tcW w:w="708" w:type="dxa"/>
          </w:tcPr>
          <w:p w14:paraId="6D993133" w14:textId="77777777" w:rsidR="003729FA" w:rsidRPr="0093265C" w:rsidRDefault="003729FA" w:rsidP="00CD35BA">
            <w:pPr>
              <w:rPr>
                <w:rFonts w:ascii="Arial" w:hAnsi="Arial" w:cs="Arial"/>
                <w:lang w:val="en-US"/>
              </w:rPr>
            </w:pPr>
            <w:r w:rsidRPr="0093265C">
              <w:rPr>
                <w:rFonts w:ascii="Arial" w:hAnsi="Arial" w:cs="Arial"/>
                <w:lang w:val="en-US"/>
              </w:rPr>
              <w:t>360</w:t>
            </w:r>
          </w:p>
        </w:tc>
        <w:tc>
          <w:tcPr>
            <w:tcW w:w="1701" w:type="dxa"/>
          </w:tcPr>
          <w:p w14:paraId="29016CDC" w14:textId="77777777" w:rsidR="003729FA" w:rsidRPr="0093265C" w:rsidRDefault="003729FA" w:rsidP="00CD35BA">
            <w:pPr>
              <w:rPr>
                <w:rFonts w:ascii="Arial" w:hAnsi="Arial" w:cs="Arial"/>
                <w:lang w:val="en-US"/>
              </w:rPr>
            </w:pPr>
            <w:r w:rsidRPr="0093265C">
              <w:rPr>
                <w:rFonts w:ascii="Arial" w:hAnsi="Arial" w:cs="Arial"/>
                <w:lang w:val="en-US"/>
              </w:rPr>
              <w:t>289 (80.3)</w:t>
            </w:r>
          </w:p>
        </w:tc>
        <w:tc>
          <w:tcPr>
            <w:tcW w:w="567" w:type="dxa"/>
          </w:tcPr>
          <w:p w14:paraId="36BA0D03" w14:textId="77777777" w:rsidR="003729FA" w:rsidRPr="0093265C" w:rsidRDefault="003729FA" w:rsidP="00CD35BA">
            <w:pPr>
              <w:rPr>
                <w:rFonts w:ascii="Arial" w:hAnsi="Arial" w:cs="Arial"/>
                <w:lang w:val="en-US"/>
              </w:rPr>
            </w:pPr>
            <w:r w:rsidRPr="0093265C">
              <w:rPr>
                <w:rFonts w:ascii="Arial" w:hAnsi="Arial" w:cs="Arial"/>
                <w:lang w:val="en-US"/>
              </w:rPr>
              <w:t>61</w:t>
            </w:r>
          </w:p>
        </w:tc>
        <w:tc>
          <w:tcPr>
            <w:tcW w:w="1701" w:type="dxa"/>
          </w:tcPr>
          <w:p w14:paraId="1A9204CF" w14:textId="77777777" w:rsidR="003729FA" w:rsidRPr="0093265C" w:rsidRDefault="003729FA" w:rsidP="00CD35BA">
            <w:pPr>
              <w:rPr>
                <w:rFonts w:ascii="Arial" w:hAnsi="Arial" w:cs="Arial"/>
                <w:lang w:val="en-US"/>
              </w:rPr>
            </w:pPr>
            <w:r w:rsidRPr="0093265C">
              <w:rPr>
                <w:rFonts w:ascii="Arial" w:hAnsi="Arial" w:cs="Arial"/>
                <w:lang w:val="en-US"/>
              </w:rPr>
              <w:t>50 (82.0)</w:t>
            </w:r>
          </w:p>
        </w:tc>
        <w:tc>
          <w:tcPr>
            <w:tcW w:w="567" w:type="dxa"/>
          </w:tcPr>
          <w:p w14:paraId="6ECF2F12" w14:textId="77777777" w:rsidR="003729FA" w:rsidRPr="0093265C" w:rsidRDefault="003729FA" w:rsidP="00CD35BA">
            <w:pPr>
              <w:rPr>
                <w:rFonts w:ascii="Arial" w:hAnsi="Arial" w:cs="Arial"/>
                <w:lang w:val="en-US"/>
              </w:rPr>
            </w:pPr>
            <w:r w:rsidRPr="0093265C">
              <w:rPr>
                <w:rFonts w:ascii="Arial" w:hAnsi="Arial" w:cs="Arial"/>
                <w:lang w:val="en-US"/>
              </w:rPr>
              <w:t>75</w:t>
            </w:r>
          </w:p>
        </w:tc>
        <w:tc>
          <w:tcPr>
            <w:tcW w:w="1698" w:type="dxa"/>
          </w:tcPr>
          <w:p w14:paraId="1D4DB662" w14:textId="77777777" w:rsidR="003729FA" w:rsidRPr="0093265C" w:rsidRDefault="003729FA" w:rsidP="00CD35BA">
            <w:pPr>
              <w:rPr>
                <w:rFonts w:ascii="Arial" w:hAnsi="Arial" w:cs="Arial"/>
                <w:lang w:val="en-US"/>
              </w:rPr>
            </w:pPr>
            <w:r w:rsidRPr="0093265C">
              <w:rPr>
                <w:rFonts w:ascii="Arial" w:hAnsi="Arial" w:cs="Arial"/>
                <w:lang w:val="en-US"/>
              </w:rPr>
              <w:t>60 (80.0)</w:t>
            </w:r>
          </w:p>
        </w:tc>
      </w:tr>
      <w:tr w:rsidR="003729FA" w:rsidRPr="00535FB4" w14:paraId="12744545" w14:textId="77777777" w:rsidTr="00CD35BA">
        <w:trPr>
          <w:trHeight w:val="454"/>
        </w:trPr>
        <w:tc>
          <w:tcPr>
            <w:tcW w:w="2127" w:type="dxa"/>
          </w:tcPr>
          <w:p w14:paraId="33414978" w14:textId="77777777" w:rsidR="003729FA" w:rsidRPr="0093265C" w:rsidRDefault="003729FA" w:rsidP="00CD35BA">
            <w:pPr>
              <w:spacing w:line="360" w:lineRule="auto"/>
              <w:rPr>
                <w:rFonts w:ascii="Arial" w:hAnsi="Arial" w:cs="Arial"/>
                <w:lang w:val="en-US"/>
              </w:rPr>
            </w:pPr>
            <w:r w:rsidRPr="0093265C">
              <w:rPr>
                <w:rFonts w:ascii="Arial" w:hAnsi="Arial" w:cs="Arial"/>
                <w:lang w:val="en-US"/>
              </w:rPr>
              <w:t>GADA +</w:t>
            </w:r>
          </w:p>
        </w:tc>
        <w:tc>
          <w:tcPr>
            <w:tcW w:w="708" w:type="dxa"/>
          </w:tcPr>
          <w:p w14:paraId="6AAC4EBE" w14:textId="77777777" w:rsidR="003729FA" w:rsidRPr="0093265C" w:rsidRDefault="003729FA" w:rsidP="00CD35BA">
            <w:pPr>
              <w:rPr>
                <w:rFonts w:ascii="Arial" w:hAnsi="Arial" w:cs="Arial"/>
                <w:lang w:val="en-US"/>
              </w:rPr>
            </w:pPr>
            <w:r w:rsidRPr="0093265C">
              <w:rPr>
                <w:rFonts w:ascii="Arial" w:hAnsi="Arial" w:cs="Arial"/>
                <w:lang w:val="en-US"/>
              </w:rPr>
              <w:t>360</w:t>
            </w:r>
          </w:p>
        </w:tc>
        <w:tc>
          <w:tcPr>
            <w:tcW w:w="1701" w:type="dxa"/>
          </w:tcPr>
          <w:p w14:paraId="6F55BA2B" w14:textId="77777777" w:rsidR="003729FA" w:rsidRPr="0093265C" w:rsidRDefault="003729FA" w:rsidP="00CD35BA">
            <w:pPr>
              <w:rPr>
                <w:rFonts w:ascii="Arial" w:hAnsi="Arial" w:cs="Arial"/>
                <w:lang w:val="en-US"/>
              </w:rPr>
            </w:pPr>
            <w:r w:rsidRPr="0093265C">
              <w:rPr>
                <w:rFonts w:ascii="Arial" w:hAnsi="Arial" w:cs="Arial"/>
                <w:lang w:val="en-US"/>
              </w:rPr>
              <w:t>322 (89.4)</w:t>
            </w:r>
          </w:p>
        </w:tc>
        <w:tc>
          <w:tcPr>
            <w:tcW w:w="567" w:type="dxa"/>
          </w:tcPr>
          <w:p w14:paraId="46D3FA15" w14:textId="77777777" w:rsidR="003729FA" w:rsidRPr="0093265C" w:rsidRDefault="003729FA" w:rsidP="00CD35BA">
            <w:pPr>
              <w:rPr>
                <w:rFonts w:ascii="Arial" w:hAnsi="Arial" w:cs="Arial"/>
                <w:lang w:val="en-US"/>
              </w:rPr>
            </w:pPr>
            <w:r w:rsidRPr="0093265C">
              <w:rPr>
                <w:rFonts w:ascii="Arial" w:hAnsi="Arial" w:cs="Arial"/>
                <w:lang w:val="en-US"/>
              </w:rPr>
              <w:t>61</w:t>
            </w:r>
          </w:p>
        </w:tc>
        <w:tc>
          <w:tcPr>
            <w:tcW w:w="1701" w:type="dxa"/>
          </w:tcPr>
          <w:p w14:paraId="4D2DD836" w14:textId="77777777" w:rsidR="003729FA" w:rsidRPr="0093265C" w:rsidRDefault="003729FA" w:rsidP="00CD35BA">
            <w:pPr>
              <w:rPr>
                <w:rFonts w:ascii="Arial" w:hAnsi="Arial" w:cs="Arial"/>
                <w:lang w:val="en-US"/>
              </w:rPr>
            </w:pPr>
            <w:r w:rsidRPr="0093265C">
              <w:rPr>
                <w:rFonts w:ascii="Arial" w:hAnsi="Arial" w:cs="Arial"/>
                <w:lang w:val="en-US"/>
              </w:rPr>
              <w:t>55 (90.2)</w:t>
            </w:r>
          </w:p>
        </w:tc>
        <w:tc>
          <w:tcPr>
            <w:tcW w:w="567" w:type="dxa"/>
          </w:tcPr>
          <w:p w14:paraId="72CC6EA0" w14:textId="77777777" w:rsidR="003729FA" w:rsidRPr="0093265C" w:rsidRDefault="003729FA" w:rsidP="00CD35BA">
            <w:pPr>
              <w:rPr>
                <w:rFonts w:ascii="Arial" w:hAnsi="Arial" w:cs="Arial"/>
                <w:lang w:val="en-US"/>
              </w:rPr>
            </w:pPr>
            <w:r w:rsidRPr="0093265C">
              <w:rPr>
                <w:rFonts w:ascii="Arial" w:hAnsi="Arial" w:cs="Arial"/>
                <w:lang w:val="en-US"/>
              </w:rPr>
              <w:t>74</w:t>
            </w:r>
          </w:p>
        </w:tc>
        <w:tc>
          <w:tcPr>
            <w:tcW w:w="1698" w:type="dxa"/>
          </w:tcPr>
          <w:p w14:paraId="27BCD641" w14:textId="77777777" w:rsidR="003729FA" w:rsidRPr="0093265C" w:rsidRDefault="003729FA" w:rsidP="00CD35BA">
            <w:pPr>
              <w:rPr>
                <w:rFonts w:ascii="Arial" w:hAnsi="Arial" w:cs="Arial"/>
                <w:lang w:val="en-US"/>
              </w:rPr>
            </w:pPr>
            <w:r w:rsidRPr="0093265C">
              <w:rPr>
                <w:rFonts w:ascii="Arial" w:hAnsi="Arial" w:cs="Arial"/>
                <w:lang w:val="en-US"/>
              </w:rPr>
              <w:t>61 (82.4)</w:t>
            </w:r>
          </w:p>
        </w:tc>
      </w:tr>
      <w:tr w:rsidR="003729FA" w:rsidRPr="00535FB4" w14:paraId="64407E0B" w14:textId="77777777" w:rsidTr="00CD35BA">
        <w:trPr>
          <w:trHeight w:val="454"/>
        </w:trPr>
        <w:tc>
          <w:tcPr>
            <w:tcW w:w="2127" w:type="dxa"/>
          </w:tcPr>
          <w:p w14:paraId="119230C0" w14:textId="77777777" w:rsidR="003729FA" w:rsidRPr="0093265C" w:rsidRDefault="003729FA" w:rsidP="00CD35BA">
            <w:pPr>
              <w:spacing w:line="360" w:lineRule="auto"/>
              <w:rPr>
                <w:rFonts w:ascii="Arial" w:hAnsi="Arial" w:cs="Arial"/>
                <w:lang w:val="en-US"/>
              </w:rPr>
            </w:pPr>
            <w:r w:rsidRPr="0093265C">
              <w:rPr>
                <w:rFonts w:ascii="Arial" w:hAnsi="Arial" w:cs="Arial"/>
                <w:lang w:val="en-US"/>
              </w:rPr>
              <w:t>IA-2A +</w:t>
            </w:r>
          </w:p>
        </w:tc>
        <w:tc>
          <w:tcPr>
            <w:tcW w:w="708" w:type="dxa"/>
          </w:tcPr>
          <w:p w14:paraId="3064F092" w14:textId="77777777" w:rsidR="003729FA" w:rsidRPr="0093265C" w:rsidRDefault="003729FA" w:rsidP="00CD35BA">
            <w:pPr>
              <w:rPr>
                <w:rFonts w:ascii="Arial" w:hAnsi="Arial" w:cs="Arial"/>
                <w:lang w:val="en-US"/>
              </w:rPr>
            </w:pPr>
            <w:r w:rsidRPr="0093265C">
              <w:rPr>
                <w:rFonts w:ascii="Arial" w:hAnsi="Arial" w:cs="Arial"/>
                <w:lang w:val="en-US"/>
              </w:rPr>
              <w:t>360</w:t>
            </w:r>
          </w:p>
        </w:tc>
        <w:tc>
          <w:tcPr>
            <w:tcW w:w="1701" w:type="dxa"/>
          </w:tcPr>
          <w:p w14:paraId="2B6DDB12" w14:textId="77777777" w:rsidR="003729FA" w:rsidRPr="0093265C" w:rsidRDefault="003729FA" w:rsidP="00CD35BA">
            <w:pPr>
              <w:rPr>
                <w:rFonts w:ascii="Arial" w:hAnsi="Arial" w:cs="Arial"/>
                <w:lang w:val="en-US"/>
              </w:rPr>
            </w:pPr>
            <w:r w:rsidRPr="0093265C">
              <w:rPr>
                <w:rFonts w:ascii="Arial" w:hAnsi="Arial" w:cs="Arial"/>
                <w:lang w:val="en-US"/>
              </w:rPr>
              <w:t>223 (61.9)</w:t>
            </w:r>
          </w:p>
        </w:tc>
        <w:tc>
          <w:tcPr>
            <w:tcW w:w="567" w:type="dxa"/>
          </w:tcPr>
          <w:p w14:paraId="307A06B3" w14:textId="77777777" w:rsidR="003729FA" w:rsidRPr="0093265C" w:rsidRDefault="003729FA" w:rsidP="00CD35BA">
            <w:pPr>
              <w:rPr>
                <w:rFonts w:ascii="Arial" w:hAnsi="Arial" w:cs="Arial"/>
                <w:lang w:val="en-US"/>
              </w:rPr>
            </w:pPr>
            <w:r w:rsidRPr="0093265C">
              <w:rPr>
                <w:rFonts w:ascii="Arial" w:hAnsi="Arial" w:cs="Arial"/>
                <w:lang w:val="en-US"/>
              </w:rPr>
              <w:t>61</w:t>
            </w:r>
          </w:p>
        </w:tc>
        <w:tc>
          <w:tcPr>
            <w:tcW w:w="1701" w:type="dxa"/>
          </w:tcPr>
          <w:p w14:paraId="545FCD9A" w14:textId="77777777" w:rsidR="003729FA" w:rsidRPr="0093265C" w:rsidRDefault="003729FA" w:rsidP="00CD35BA">
            <w:pPr>
              <w:rPr>
                <w:rFonts w:ascii="Arial" w:hAnsi="Arial" w:cs="Arial"/>
                <w:lang w:val="en-US"/>
              </w:rPr>
            </w:pPr>
            <w:r w:rsidRPr="0093265C">
              <w:rPr>
                <w:rFonts w:ascii="Arial" w:hAnsi="Arial" w:cs="Arial"/>
                <w:lang w:val="en-US"/>
              </w:rPr>
              <w:t>40 (65.6)</w:t>
            </w:r>
          </w:p>
        </w:tc>
        <w:tc>
          <w:tcPr>
            <w:tcW w:w="567" w:type="dxa"/>
          </w:tcPr>
          <w:p w14:paraId="7A5F7F35" w14:textId="77777777" w:rsidR="003729FA" w:rsidRPr="0093265C" w:rsidRDefault="003729FA" w:rsidP="00CD35BA">
            <w:pPr>
              <w:rPr>
                <w:rFonts w:ascii="Arial" w:hAnsi="Arial" w:cs="Arial"/>
                <w:lang w:val="en-US"/>
              </w:rPr>
            </w:pPr>
            <w:r w:rsidRPr="0093265C">
              <w:rPr>
                <w:rFonts w:ascii="Arial" w:hAnsi="Arial" w:cs="Arial"/>
                <w:lang w:val="en-US"/>
              </w:rPr>
              <w:t>82</w:t>
            </w:r>
          </w:p>
        </w:tc>
        <w:tc>
          <w:tcPr>
            <w:tcW w:w="1698" w:type="dxa"/>
          </w:tcPr>
          <w:p w14:paraId="3CA01488" w14:textId="77777777" w:rsidR="003729FA" w:rsidRPr="0093265C" w:rsidRDefault="003729FA" w:rsidP="00CD35BA">
            <w:pPr>
              <w:rPr>
                <w:rFonts w:ascii="Arial" w:hAnsi="Arial" w:cs="Arial"/>
                <w:lang w:val="en-US"/>
              </w:rPr>
            </w:pPr>
            <w:r w:rsidRPr="0093265C">
              <w:rPr>
                <w:rFonts w:ascii="Arial" w:hAnsi="Arial" w:cs="Arial"/>
                <w:lang w:val="en-US"/>
              </w:rPr>
              <w:t>62 (75.6)</w:t>
            </w:r>
          </w:p>
        </w:tc>
      </w:tr>
      <w:tr w:rsidR="003729FA" w:rsidRPr="00535FB4" w14:paraId="3E13763A" w14:textId="77777777" w:rsidTr="00CD35BA">
        <w:trPr>
          <w:trHeight w:val="454"/>
        </w:trPr>
        <w:tc>
          <w:tcPr>
            <w:tcW w:w="2127" w:type="dxa"/>
          </w:tcPr>
          <w:p w14:paraId="193067A1" w14:textId="77777777" w:rsidR="003729FA" w:rsidRPr="0093265C" w:rsidRDefault="003729FA" w:rsidP="00CD35BA">
            <w:pPr>
              <w:spacing w:line="360" w:lineRule="auto"/>
              <w:rPr>
                <w:rFonts w:ascii="Arial" w:hAnsi="Arial" w:cs="Arial"/>
                <w:lang w:val="en-US"/>
              </w:rPr>
            </w:pPr>
            <w:r w:rsidRPr="0093265C">
              <w:rPr>
                <w:rFonts w:ascii="Arial" w:hAnsi="Arial" w:cs="Arial"/>
                <w:lang w:val="en-US"/>
              </w:rPr>
              <w:t>IA-2 JM epitope +</w:t>
            </w:r>
          </w:p>
        </w:tc>
        <w:tc>
          <w:tcPr>
            <w:tcW w:w="708" w:type="dxa"/>
          </w:tcPr>
          <w:p w14:paraId="71045A16" w14:textId="77777777" w:rsidR="003729FA" w:rsidRPr="0093265C" w:rsidRDefault="003729FA" w:rsidP="00CD35BA">
            <w:pPr>
              <w:rPr>
                <w:rFonts w:ascii="Arial" w:hAnsi="Arial" w:cs="Arial"/>
                <w:lang w:val="en-US"/>
              </w:rPr>
            </w:pPr>
            <w:r w:rsidRPr="0093265C">
              <w:rPr>
                <w:rFonts w:ascii="Arial" w:hAnsi="Arial" w:cs="Arial"/>
                <w:lang w:val="en-US"/>
              </w:rPr>
              <w:t>324</w:t>
            </w:r>
          </w:p>
        </w:tc>
        <w:tc>
          <w:tcPr>
            <w:tcW w:w="1701" w:type="dxa"/>
          </w:tcPr>
          <w:p w14:paraId="4F00EC96" w14:textId="77777777" w:rsidR="003729FA" w:rsidRPr="0093265C" w:rsidRDefault="003729FA" w:rsidP="00CD35BA">
            <w:pPr>
              <w:rPr>
                <w:rFonts w:ascii="Arial" w:hAnsi="Arial" w:cs="Arial"/>
                <w:lang w:val="en-US"/>
              </w:rPr>
            </w:pPr>
            <w:r w:rsidRPr="0093265C">
              <w:rPr>
                <w:rFonts w:ascii="Arial" w:hAnsi="Arial" w:cs="Arial"/>
                <w:lang w:val="en-US"/>
              </w:rPr>
              <w:t>123 (40.0)</w:t>
            </w:r>
          </w:p>
        </w:tc>
        <w:tc>
          <w:tcPr>
            <w:tcW w:w="567" w:type="dxa"/>
          </w:tcPr>
          <w:p w14:paraId="7181143A" w14:textId="77777777" w:rsidR="003729FA" w:rsidRPr="0093265C" w:rsidRDefault="003729FA" w:rsidP="00CD35BA">
            <w:pPr>
              <w:rPr>
                <w:rFonts w:ascii="Arial" w:hAnsi="Arial" w:cs="Arial"/>
                <w:lang w:val="en-US"/>
              </w:rPr>
            </w:pPr>
          </w:p>
        </w:tc>
        <w:tc>
          <w:tcPr>
            <w:tcW w:w="1701" w:type="dxa"/>
          </w:tcPr>
          <w:p w14:paraId="7FF1D7D2" w14:textId="77777777" w:rsidR="003729FA" w:rsidRPr="0093265C" w:rsidRDefault="003729FA" w:rsidP="00CD35BA">
            <w:pPr>
              <w:rPr>
                <w:rFonts w:ascii="Arial" w:hAnsi="Arial" w:cs="Arial"/>
                <w:lang w:val="en-US"/>
              </w:rPr>
            </w:pPr>
            <w:r w:rsidRPr="0093265C">
              <w:rPr>
                <w:rFonts w:ascii="Arial" w:hAnsi="Arial" w:cs="Arial"/>
                <w:lang w:val="en-US"/>
              </w:rPr>
              <w:t>Not done</w:t>
            </w:r>
          </w:p>
        </w:tc>
        <w:tc>
          <w:tcPr>
            <w:tcW w:w="567" w:type="dxa"/>
          </w:tcPr>
          <w:p w14:paraId="7BF1A2EC" w14:textId="77777777" w:rsidR="003729FA" w:rsidRPr="0093265C" w:rsidRDefault="003729FA" w:rsidP="00CD35BA">
            <w:pPr>
              <w:rPr>
                <w:rFonts w:ascii="Arial" w:hAnsi="Arial" w:cs="Arial"/>
                <w:lang w:val="en-US"/>
              </w:rPr>
            </w:pPr>
          </w:p>
        </w:tc>
        <w:tc>
          <w:tcPr>
            <w:tcW w:w="1698" w:type="dxa"/>
          </w:tcPr>
          <w:p w14:paraId="00043FE2" w14:textId="77777777" w:rsidR="003729FA" w:rsidRPr="0093265C" w:rsidRDefault="003729FA" w:rsidP="00CD35BA">
            <w:pPr>
              <w:rPr>
                <w:rFonts w:ascii="Arial" w:hAnsi="Arial" w:cs="Arial"/>
                <w:lang w:val="en-US"/>
              </w:rPr>
            </w:pPr>
            <w:r w:rsidRPr="0093265C">
              <w:rPr>
                <w:rFonts w:ascii="Arial" w:hAnsi="Arial" w:cs="Arial"/>
                <w:lang w:val="en-US"/>
              </w:rPr>
              <w:t>Not done</w:t>
            </w:r>
          </w:p>
        </w:tc>
      </w:tr>
      <w:tr w:rsidR="003729FA" w:rsidRPr="00535FB4" w14:paraId="601291A1" w14:textId="77777777" w:rsidTr="00CD35BA">
        <w:trPr>
          <w:trHeight w:val="454"/>
        </w:trPr>
        <w:tc>
          <w:tcPr>
            <w:tcW w:w="2127" w:type="dxa"/>
          </w:tcPr>
          <w:p w14:paraId="0BAB6099" w14:textId="77777777" w:rsidR="003729FA" w:rsidRPr="0093265C" w:rsidRDefault="003729FA" w:rsidP="00CD35BA">
            <w:pPr>
              <w:spacing w:line="360" w:lineRule="auto"/>
              <w:rPr>
                <w:rFonts w:ascii="Arial" w:hAnsi="Arial" w:cs="Arial"/>
                <w:lang w:val="en-US"/>
              </w:rPr>
            </w:pPr>
            <w:r w:rsidRPr="0093265C">
              <w:rPr>
                <w:rFonts w:ascii="Arial" w:hAnsi="Arial" w:cs="Arial"/>
                <w:lang w:val="en-US"/>
              </w:rPr>
              <w:t xml:space="preserve">IA-2 </w:t>
            </w:r>
            <w:r w:rsidRPr="0093265C">
              <w:rPr>
                <w:rFonts w:ascii="Arial" w:hAnsi="Arial" w:cs="Arial"/>
              </w:rPr>
              <w:t>β</w:t>
            </w:r>
            <w:r w:rsidRPr="0093265C">
              <w:rPr>
                <w:rFonts w:ascii="Arial" w:hAnsi="Arial" w:cs="Arial"/>
                <w:lang w:val="en-US"/>
              </w:rPr>
              <w:t xml:space="preserve"> epitope +</w:t>
            </w:r>
          </w:p>
        </w:tc>
        <w:tc>
          <w:tcPr>
            <w:tcW w:w="708" w:type="dxa"/>
          </w:tcPr>
          <w:p w14:paraId="48A58088" w14:textId="77777777" w:rsidR="003729FA" w:rsidRPr="0093265C" w:rsidRDefault="003729FA" w:rsidP="00CD35BA">
            <w:pPr>
              <w:rPr>
                <w:rFonts w:ascii="Arial" w:hAnsi="Arial" w:cs="Arial"/>
                <w:lang w:val="en-US"/>
              </w:rPr>
            </w:pPr>
            <w:r w:rsidRPr="0093265C">
              <w:rPr>
                <w:rFonts w:ascii="Arial" w:hAnsi="Arial" w:cs="Arial"/>
                <w:lang w:val="en-US"/>
              </w:rPr>
              <w:t>325</w:t>
            </w:r>
          </w:p>
        </w:tc>
        <w:tc>
          <w:tcPr>
            <w:tcW w:w="1701" w:type="dxa"/>
          </w:tcPr>
          <w:p w14:paraId="1040CF08" w14:textId="77777777" w:rsidR="003729FA" w:rsidRPr="0093265C" w:rsidRDefault="003729FA" w:rsidP="00CD35BA">
            <w:pPr>
              <w:rPr>
                <w:rFonts w:ascii="Arial" w:hAnsi="Arial" w:cs="Arial"/>
                <w:lang w:val="en-US"/>
              </w:rPr>
            </w:pPr>
            <w:r w:rsidRPr="0093265C">
              <w:rPr>
                <w:rFonts w:ascii="Arial" w:hAnsi="Arial" w:cs="Arial"/>
                <w:lang w:val="en-US"/>
              </w:rPr>
              <w:t>135 (41.5)</w:t>
            </w:r>
          </w:p>
        </w:tc>
        <w:tc>
          <w:tcPr>
            <w:tcW w:w="567" w:type="dxa"/>
          </w:tcPr>
          <w:p w14:paraId="21530F6B" w14:textId="77777777" w:rsidR="003729FA" w:rsidRPr="0093265C" w:rsidRDefault="003729FA" w:rsidP="00CD35BA">
            <w:pPr>
              <w:rPr>
                <w:rFonts w:ascii="Arial" w:hAnsi="Arial" w:cs="Arial"/>
                <w:lang w:val="en-US"/>
              </w:rPr>
            </w:pPr>
          </w:p>
        </w:tc>
        <w:tc>
          <w:tcPr>
            <w:tcW w:w="1701" w:type="dxa"/>
          </w:tcPr>
          <w:p w14:paraId="0A83477A" w14:textId="77777777" w:rsidR="003729FA" w:rsidRPr="0093265C" w:rsidRDefault="003729FA" w:rsidP="00CD35BA">
            <w:pPr>
              <w:rPr>
                <w:rFonts w:ascii="Arial" w:hAnsi="Arial" w:cs="Arial"/>
                <w:lang w:val="en-US"/>
              </w:rPr>
            </w:pPr>
            <w:r w:rsidRPr="0093265C">
              <w:rPr>
                <w:rFonts w:ascii="Arial" w:hAnsi="Arial" w:cs="Arial"/>
                <w:lang w:val="en-US"/>
              </w:rPr>
              <w:t>Not done</w:t>
            </w:r>
          </w:p>
        </w:tc>
        <w:tc>
          <w:tcPr>
            <w:tcW w:w="567" w:type="dxa"/>
          </w:tcPr>
          <w:p w14:paraId="6959D15C" w14:textId="77777777" w:rsidR="003729FA" w:rsidRPr="0093265C" w:rsidRDefault="003729FA" w:rsidP="00CD35BA">
            <w:pPr>
              <w:rPr>
                <w:rFonts w:ascii="Arial" w:hAnsi="Arial" w:cs="Arial"/>
                <w:lang w:val="en-US"/>
              </w:rPr>
            </w:pPr>
          </w:p>
        </w:tc>
        <w:tc>
          <w:tcPr>
            <w:tcW w:w="1698" w:type="dxa"/>
          </w:tcPr>
          <w:p w14:paraId="35C19F8C" w14:textId="77777777" w:rsidR="003729FA" w:rsidRPr="0093265C" w:rsidRDefault="003729FA" w:rsidP="00CD35BA">
            <w:pPr>
              <w:rPr>
                <w:rFonts w:ascii="Arial" w:hAnsi="Arial" w:cs="Arial"/>
                <w:lang w:val="en-US"/>
              </w:rPr>
            </w:pPr>
            <w:r w:rsidRPr="0093265C">
              <w:rPr>
                <w:rFonts w:ascii="Arial" w:hAnsi="Arial" w:cs="Arial"/>
                <w:lang w:val="en-US"/>
              </w:rPr>
              <w:t>Not done</w:t>
            </w:r>
          </w:p>
        </w:tc>
      </w:tr>
      <w:tr w:rsidR="003729FA" w:rsidRPr="00535FB4" w14:paraId="3E917E60" w14:textId="77777777" w:rsidTr="00CD35BA">
        <w:trPr>
          <w:trHeight w:val="454"/>
        </w:trPr>
        <w:tc>
          <w:tcPr>
            <w:tcW w:w="2127" w:type="dxa"/>
          </w:tcPr>
          <w:p w14:paraId="4369AA2D" w14:textId="77777777" w:rsidR="003729FA" w:rsidRPr="0093265C" w:rsidRDefault="003729FA" w:rsidP="00CD35BA">
            <w:pPr>
              <w:spacing w:line="360" w:lineRule="auto"/>
              <w:rPr>
                <w:rFonts w:ascii="Arial" w:hAnsi="Arial" w:cs="Arial"/>
                <w:lang w:val="en-US"/>
              </w:rPr>
            </w:pPr>
            <w:r w:rsidRPr="0093265C">
              <w:rPr>
                <w:rFonts w:ascii="Arial" w:hAnsi="Arial" w:cs="Arial"/>
                <w:lang w:val="en-US"/>
              </w:rPr>
              <w:t>IA-2 PTP epitope +</w:t>
            </w:r>
          </w:p>
        </w:tc>
        <w:tc>
          <w:tcPr>
            <w:tcW w:w="708" w:type="dxa"/>
          </w:tcPr>
          <w:p w14:paraId="47B24E46" w14:textId="77777777" w:rsidR="003729FA" w:rsidRPr="0093265C" w:rsidRDefault="003729FA" w:rsidP="00CD35BA">
            <w:pPr>
              <w:rPr>
                <w:rFonts w:ascii="Arial" w:hAnsi="Arial" w:cs="Arial"/>
                <w:lang w:val="en-US"/>
              </w:rPr>
            </w:pPr>
            <w:r w:rsidRPr="0093265C">
              <w:rPr>
                <w:rFonts w:ascii="Arial" w:hAnsi="Arial" w:cs="Arial"/>
                <w:lang w:val="en-US"/>
              </w:rPr>
              <w:t>325</w:t>
            </w:r>
          </w:p>
        </w:tc>
        <w:tc>
          <w:tcPr>
            <w:tcW w:w="1701" w:type="dxa"/>
          </w:tcPr>
          <w:p w14:paraId="1E71A9AD" w14:textId="77777777" w:rsidR="003729FA" w:rsidRPr="0093265C" w:rsidRDefault="003729FA" w:rsidP="00CD35BA">
            <w:pPr>
              <w:rPr>
                <w:rFonts w:ascii="Arial" w:hAnsi="Arial" w:cs="Arial"/>
                <w:lang w:val="en-US"/>
              </w:rPr>
            </w:pPr>
            <w:r w:rsidRPr="0093265C">
              <w:rPr>
                <w:rFonts w:ascii="Arial" w:hAnsi="Arial" w:cs="Arial"/>
                <w:lang w:val="en-US"/>
              </w:rPr>
              <w:t>169 (52.0)</w:t>
            </w:r>
          </w:p>
        </w:tc>
        <w:tc>
          <w:tcPr>
            <w:tcW w:w="567" w:type="dxa"/>
          </w:tcPr>
          <w:p w14:paraId="098707F3" w14:textId="77777777" w:rsidR="003729FA" w:rsidRPr="0093265C" w:rsidRDefault="003729FA" w:rsidP="00CD35BA">
            <w:pPr>
              <w:rPr>
                <w:rFonts w:ascii="Arial" w:hAnsi="Arial" w:cs="Arial"/>
                <w:lang w:val="en-US"/>
              </w:rPr>
            </w:pPr>
          </w:p>
        </w:tc>
        <w:tc>
          <w:tcPr>
            <w:tcW w:w="1701" w:type="dxa"/>
          </w:tcPr>
          <w:p w14:paraId="1C48AE4D" w14:textId="77777777" w:rsidR="003729FA" w:rsidRPr="0093265C" w:rsidRDefault="003729FA" w:rsidP="00CD35BA">
            <w:pPr>
              <w:rPr>
                <w:rFonts w:ascii="Arial" w:hAnsi="Arial" w:cs="Arial"/>
                <w:lang w:val="en-US"/>
              </w:rPr>
            </w:pPr>
            <w:r w:rsidRPr="0093265C">
              <w:rPr>
                <w:rFonts w:ascii="Arial" w:hAnsi="Arial" w:cs="Arial"/>
                <w:lang w:val="en-US"/>
              </w:rPr>
              <w:t>Not done</w:t>
            </w:r>
          </w:p>
        </w:tc>
        <w:tc>
          <w:tcPr>
            <w:tcW w:w="567" w:type="dxa"/>
          </w:tcPr>
          <w:p w14:paraId="2B537C37" w14:textId="77777777" w:rsidR="003729FA" w:rsidRPr="0093265C" w:rsidRDefault="003729FA" w:rsidP="00CD35BA">
            <w:pPr>
              <w:rPr>
                <w:rFonts w:ascii="Arial" w:hAnsi="Arial" w:cs="Arial"/>
                <w:lang w:val="en-US"/>
              </w:rPr>
            </w:pPr>
          </w:p>
        </w:tc>
        <w:tc>
          <w:tcPr>
            <w:tcW w:w="1698" w:type="dxa"/>
          </w:tcPr>
          <w:p w14:paraId="3CD12552" w14:textId="77777777" w:rsidR="003729FA" w:rsidRPr="0093265C" w:rsidRDefault="003729FA" w:rsidP="00CD35BA">
            <w:pPr>
              <w:rPr>
                <w:rFonts w:ascii="Arial" w:hAnsi="Arial" w:cs="Arial"/>
                <w:lang w:val="en-US"/>
              </w:rPr>
            </w:pPr>
            <w:r w:rsidRPr="0093265C">
              <w:rPr>
                <w:rFonts w:ascii="Arial" w:hAnsi="Arial" w:cs="Arial"/>
                <w:lang w:val="en-US"/>
              </w:rPr>
              <w:t>Not done</w:t>
            </w:r>
          </w:p>
        </w:tc>
      </w:tr>
      <w:tr w:rsidR="003729FA" w:rsidRPr="00535FB4" w14:paraId="04337BBA" w14:textId="77777777" w:rsidTr="00CD35BA">
        <w:trPr>
          <w:trHeight w:val="454"/>
        </w:trPr>
        <w:tc>
          <w:tcPr>
            <w:tcW w:w="2127" w:type="dxa"/>
          </w:tcPr>
          <w:p w14:paraId="6EA9FC91" w14:textId="77777777" w:rsidR="003729FA" w:rsidRPr="0093265C" w:rsidRDefault="003729FA" w:rsidP="00CD35BA">
            <w:pPr>
              <w:spacing w:line="360" w:lineRule="auto"/>
              <w:rPr>
                <w:rFonts w:ascii="Arial" w:hAnsi="Arial" w:cs="Arial"/>
                <w:lang w:val="en-US"/>
              </w:rPr>
            </w:pPr>
            <w:r w:rsidRPr="0093265C">
              <w:rPr>
                <w:rFonts w:ascii="Arial" w:hAnsi="Arial" w:cs="Arial"/>
                <w:lang w:val="en-US"/>
              </w:rPr>
              <w:t>ZnT8A +</w:t>
            </w:r>
          </w:p>
        </w:tc>
        <w:tc>
          <w:tcPr>
            <w:tcW w:w="708" w:type="dxa"/>
          </w:tcPr>
          <w:p w14:paraId="0A4B42C3" w14:textId="77777777" w:rsidR="003729FA" w:rsidRPr="0093265C" w:rsidRDefault="003729FA" w:rsidP="00CD35BA">
            <w:pPr>
              <w:rPr>
                <w:rFonts w:ascii="Arial" w:hAnsi="Arial" w:cs="Arial"/>
                <w:lang w:val="en-US"/>
              </w:rPr>
            </w:pPr>
            <w:r w:rsidRPr="0093265C">
              <w:rPr>
                <w:rFonts w:ascii="Arial" w:hAnsi="Arial" w:cs="Arial"/>
                <w:lang w:val="en-US"/>
              </w:rPr>
              <w:t>360</w:t>
            </w:r>
          </w:p>
        </w:tc>
        <w:tc>
          <w:tcPr>
            <w:tcW w:w="1701" w:type="dxa"/>
          </w:tcPr>
          <w:p w14:paraId="044CDE87" w14:textId="77777777" w:rsidR="003729FA" w:rsidRPr="0093265C" w:rsidRDefault="003729FA" w:rsidP="00CD35BA">
            <w:pPr>
              <w:rPr>
                <w:rFonts w:ascii="Arial" w:hAnsi="Arial" w:cs="Arial"/>
                <w:lang w:val="en-US"/>
              </w:rPr>
            </w:pPr>
            <w:r w:rsidRPr="0093265C">
              <w:rPr>
                <w:rFonts w:ascii="Arial" w:hAnsi="Arial" w:cs="Arial"/>
                <w:lang w:val="en-US"/>
              </w:rPr>
              <w:t>242 (67.2)</w:t>
            </w:r>
          </w:p>
        </w:tc>
        <w:tc>
          <w:tcPr>
            <w:tcW w:w="567" w:type="dxa"/>
          </w:tcPr>
          <w:p w14:paraId="1401908D" w14:textId="77777777" w:rsidR="003729FA" w:rsidRPr="0093265C" w:rsidRDefault="003729FA" w:rsidP="00CD35BA">
            <w:pPr>
              <w:rPr>
                <w:rFonts w:ascii="Arial" w:hAnsi="Arial" w:cs="Arial"/>
                <w:lang w:val="en-US"/>
              </w:rPr>
            </w:pPr>
            <w:r w:rsidRPr="0093265C">
              <w:rPr>
                <w:rFonts w:ascii="Arial" w:hAnsi="Arial" w:cs="Arial"/>
                <w:lang w:val="en-US"/>
              </w:rPr>
              <w:t>61</w:t>
            </w:r>
          </w:p>
        </w:tc>
        <w:tc>
          <w:tcPr>
            <w:tcW w:w="1701" w:type="dxa"/>
          </w:tcPr>
          <w:p w14:paraId="1B132AD8" w14:textId="77777777" w:rsidR="003729FA" w:rsidRPr="0093265C" w:rsidRDefault="003729FA" w:rsidP="00CD35BA">
            <w:pPr>
              <w:rPr>
                <w:rFonts w:ascii="Arial" w:hAnsi="Arial" w:cs="Arial"/>
                <w:lang w:val="en-US"/>
              </w:rPr>
            </w:pPr>
            <w:r w:rsidRPr="0093265C">
              <w:rPr>
                <w:rFonts w:ascii="Arial" w:hAnsi="Arial" w:cs="Arial"/>
                <w:lang w:val="en-US"/>
              </w:rPr>
              <w:t>44 (72.1)</w:t>
            </w:r>
          </w:p>
        </w:tc>
        <w:tc>
          <w:tcPr>
            <w:tcW w:w="567" w:type="dxa"/>
          </w:tcPr>
          <w:p w14:paraId="495F6E18" w14:textId="77777777" w:rsidR="003729FA" w:rsidRPr="0093265C" w:rsidRDefault="003729FA" w:rsidP="00CD35BA">
            <w:pPr>
              <w:rPr>
                <w:rFonts w:ascii="Arial" w:hAnsi="Arial" w:cs="Arial"/>
                <w:lang w:val="en-US"/>
              </w:rPr>
            </w:pPr>
            <w:r w:rsidRPr="0093265C">
              <w:rPr>
                <w:rFonts w:ascii="Arial" w:hAnsi="Arial" w:cs="Arial"/>
                <w:lang w:val="en-US"/>
              </w:rPr>
              <w:t>74</w:t>
            </w:r>
          </w:p>
        </w:tc>
        <w:tc>
          <w:tcPr>
            <w:tcW w:w="1698" w:type="dxa"/>
          </w:tcPr>
          <w:p w14:paraId="6D0F6F73" w14:textId="77777777" w:rsidR="003729FA" w:rsidRPr="0093265C" w:rsidRDefault="003729FA" w:rsidP="00CD35BA">
            <w:pPr>
              <w:rPr>
                <w:rFonts w:ascii="Arial" w:hAnsi="Arial" w:cs="Arial"/>
                <w:lang w:val="en-US"/>
              </w:rPr>
            </w:pPr>
            <w:r w:rsidRPr="0093265C">
              <w:rPr>
                <w:rFonts w:ascii="Arial" w:hAnsi="Arial" w:cs="Arial"/>
                <w:lang w:val="en-US"/>
              </w:rPr>
              <w:t>59 (79.7)</w:t>
            </w:r>
          </w:p>
        </w:tc>
      </w:tr>
      <w:tr w:rsidR="003729FA" w:rsidRPr="00535FB4" w14:paraId="5F21500E" w14:textId="77777777" w:rsidTr="00CD35BA">
        <w:trPr>
          <w:trHeight w:val="454"/>
        </w:trPr>
        <w:tc>
          <w:tcPr>
            <w:tcW w:w="2127" w:type="dxa"/>
          </w:tcPr>
          <w:p w14:paraId="461E4618" w14:textId="77777777" w:rsidR="003729FA" w:rsidRPr="0093265C" w:rsidRDefault="003729FA" w:rsidP="00CD35BA">
            <w:pPr>
              <w:spacing w:line="360" w:lineRule="auto"/>
              <w:rPr>
                <w:rFonts w:ascii="Arial" w:hAnsi="Arial" w:cs="Arial"/>
                <w:lang w:val="en-US"/>
              </w:rPr>
            </w:pPr>
            <w:r w:rsidRPr="0093265C">
              <w:rPr>
                <w:rFonts w:ascii="Arial" w:hAnsi="Arial" w:cs="Arial"/>
                <w:lang w:val="en-US"/>
              </w:rPr>
              <w:t>HbA1c [%]</w:t>
            </w:r>
          </w:p>
        </w:tc>
        <w:tc>
          <w:tcPr>
            <w:tcW w:w="708" w:type="dxa"/>
          </w:tcPr>
          <w:p w14:paraId="1273D10D" w14:textId="77777777" w:rsidR="003729FA" w:rsidRPr="0093265C" w:rsidRDefault="003729FA" w:rsidP="00CD35BA">
            <w:pPr>
              <w:rPr>
                <w:rFonts w:ascii="Arial" w:hAnsi="Arial" w:cs="Arial"/>
                <w:lang w:val="en-US"/>
              </w:rPr>
            </w:pPr>
            <w:r w:rsidRPr="0093265C">
              <w:rPr>
                <w:rFonts w:ascii="Arial" w:hAnsi="Arial" w:cs="Arial"/>
                <w:lang w:val="en-US"/>
              </w:rPr>
              <w:t>360</w:t>
            </w:r>
          </w:p>
        </w:tc>
        <w:tc>
          <w:tcPr>
            <w:tcW w:w="1701" w:type="dxa"/>
          </w:tcPr>
          <w:p w14:paraId="00279A65" w14:textId="77777777" w:rsidR="003729FA" w:rsidRPr="0093265C" w:rsidRDefault="003729FA" w:rsidP="00CD35BA">
            <w:pPr>
              <w:rPr>
                <w:rFonts w:ascii="Arial" w:hAnsi="Arial" w:cs="Arial"/>
                <w:lang w:val="en-US"/>
              </w:rPr>
            </w:pPr>
            <w:r w:rsidRPr="0093265C">
              <w:rPr>
                <w:rFonts w:ascii="Arial" w:hAnsi="Arial" w:cs="Arial"/>
                <w:lang w:val="en-US"/>
              </w:rPr>
              <w:t>5.2 (5.1-5.4)</w:t>
            </w:r>
          </w:p>
        </w:tc>
        <w:tc>
          <w:tcPr>
            <w:tcW w:w="567" w:type="dxa"/>
          </w:tcPr>
          <w:p w14:paraId="0A5AD0CA" w14:textId="77777777" w:rsidR="003729FA" w:rsidRPr="0093265C" w:rsidRDefault="003729FA" w:rsidP="00CD35BA">
            <w:pPr>
              <w:rPr>
                <w:rFonts w:ascii="Arial" w:hAnsi="Arial" w:cs="Arial"/>
                <w:lang w:val="en-US"/>
              </w:rPr>
            </w:pPr>
            <w:r w:rsidRPr="0093265C">
              <w:rPr>
                <w:rFonts w:ascii="Arial" w:hAnsi="Arial" w:cs="Arial"/>
                <w:lang w:val="en-US"/>
              </w:rPr>
              <w:t>61</w:t>
            </w:r>
          </w:p>
        </w:tc>
        <w:tc>
          <w:tcPr>
            <w:tcW w:w="1701" w:type="dxa"/>
          </w:tcPr>
          <w:p w14:paraId="59087C6C" w14:textId="77777777" w:rsidR="003729FA" w:rsidRPr="0093265C" w:rsidRDefault="003729FA" w:rsidP="00CD35BA">
            <w:pPr>
              <w:rPr>
                <w:rFonts w:ascii="Arial" w:hAnsi="Arial" w:cs="Arial"/>
                <w:lang w:val="en-US"/>
              </w:rPr>
            </w:pPr>
            <w:r w:rsidRPr="0093265C">
              <w:rPr>
                <w:rFonts w:ascii="Arial" w:hAnsi="Arial" w:cs="Arial"/>
                <w:lang w:val="en-US"/>
              </w:rPr>
              <w:t>5.3 (5.1-5.4)</w:t>
            </w:r>
          </w:p>
        </w:tc>
        <w:tc>
          <w:tcPr>
            <w:tcW w:w="567" w:type="dxa"/>
          </w:tcPr>
          <w:p w14:paraId="359A1571" w14:textId="77777777" w:rsidR="003729FA" w:rsidRPr="0093265C" w:rsidRDefault="003729FA" w:rsidP="00CD35BA">
            <w:pPr>
              <w:rPr>
                <w:rFonts w:ascii="Arial" w:hAnsi="Arial" w:cs="Arial"/>
                <w:lang w:val="en-US"/>
              </w:rPr>
            </w:pPr>
            <w:r w:rsidRPr="0093265C">
              <w:rPr>
                <w:rFonts w:ascii="Arial" w:hAnsi="Arial" w:cs="Arial"/>
                <w:lang w:val="en-US"/>
              </w:rPr>
              <w:t>85</w:t>
            </w:r>
          </w:p>
        </w:tc>
        <w:tc>
          <w:tcPr>
            <w:tcW w:w="1698" w:type="dxa"/>
          </w:tcPr>
          <w:p w14:paraId="73354EEA" w14:textId="77777777" w:rsidR="003729FA" w:rsidRPr="0093265C" w:rsidRDefault="003729FA" w:rsidP="00CD35BA">
            <w:pPr>
              <w:rPr>
                <w:rFonts w:ascii="Arial" w:hAnsi="Arial" w:cs="Arial"/>
                <w:lang w:val="en-US"/>
              </w:rPr>
            </w:pPr>
            <w:r w:rsidRPr="0093265C">
              <w:rPr>
                <w:rFonts w:ascii="Arial" w:hAnsi="Arial" w:cs="Arial"/>
                <w:lang w:val="en-US"/>
              </w:rPr>
              <w:t>5.6 (5.2-5.7)</w:t>
            </w:r>
          </w:p>
        </w:tc>
      </w:tr>
      <w:tr w:rsidR="003729FA" w:rsidRPr="00535FB4" w14:paraId="248DA40F" w14:textId="77777777" w:rsidTr="00CD35BA">
        <w:trPr>
          <w:trHeight w:val="454"/>
        </w:trPr>
        <w:tc>
          <w:tcPr>
            <w:tcW w:w="9069" w:type="dxa"/>
            <w:gridSpan w:val="7"/>
          </w:tcPr>
          <w:p w14:paraId="1C091C41" w14:textId="77777777" w:rsidR="003729FA" w:rsidRPr="0093265C" w:rsidRDefault="003729FA" w:rsidP="00CD35BA">
            <w:pPr>
              <w:rPr>
                <w:rFonts w:ascii="Arial" w:hAnsi="Arial" w:cs="Arial"/>
                <w:lang w:val="en-US"/>
              </w:rPr>
            </w:pPr>
            <w:r w:rsidRPr="0093265C">
              <w:rPr>
                <w:rFonts w:ascii="Arial" w:hAnsi="Arial" w:cs="Arial"/>
                <w:lang w:val="en-US"/>
              </w:rPr>
              <w:t>Blood glucose [mg/dl]</w:t>
            </w:r>
          </w:p>
        </w:tc>
      </w:tr>
      <w:tr w:rsidR="003729FA" w:rsidRPr="00535FB4" w14:paraId="2764732A" w14:textId="77777777" w:rsidTr="00CD35BA">
        <w:trPr>
          <w:trHeight w:val="454"/>
        </w:trPr>
        <w:tc>
          <w:tcPr>
            <w:tcW w:w="2127" w:type="dxa"/>
          </w:tcPr>
          <w:p w14:paraId="68DBA0FF" w14:textId="77777777" w:rsidR="003729FA" w:rsidRPr="0093265C" w:rsidRDefault="003729FA" w:rsidP="00CD35BA">
            <w:pPr>
              <w:spacing w:line="360" w:lineRule="auto"/>
              <w:rPr>
                <w:rFonts w:ascii="Arial" w:hAnsi="Arial" w:cs="Arial"/>
                <w:lang w:val="en-US"/>
              </w:rPr>
            </w:pPr>
            <w:r w:rsidRPr="0093265C">
              <w:rPr>
                <w:rFonts w:ascii="Arial" w:hAnsi="Arial" w:cs="Arial"/>
                <w:lang w:val="en-US"/>
              </w:rPr>
              <w:t>OGTT - 0 min</w:t>
            </w:r>
          </w:p>
        </w:tc>
        <w:tc>
          <w:tcPr>
            <w:tcW w:w="708" w:type="dxa"/>
          </w:tcPr>
          <w:p w14:paraId="4CBC56C3" w14:textId="77777777" w:rsidR="003729FA" w:rsidRPr="0093265C" w:rsidRDefault="003729FA" w:rsidP="00CD35BA">
            <w:pPr>
              <w:rPr>
                <w:rFonts w:ascii="Arial" w:hAnsi="Arial" w:cs="Arial"/>
                <w:lang w:val="en-US"/>
              </w:rPr>
            </w:pPr>
            <w:r w:rsidRPr="0093265C">
              <w:rPr>
                <w:rFonts w:ascii="Arial" w:hAnsi="Arial" w:cs="Arial"/>
                <w:lang w:val="en-US"/>
              </w:rPr>
              <w:t>359</w:t>
            </w:r>
          </w:p>
        </w:tc>
        <w:tc>
          <w:tcPr>
            <w:tcW w:w="1701" w:type="dxa"/>
          </w:tcPr>
          <w:p w14:paraId="705967E7" w14:textId="77777777" w:rsidR="003729FA" w:rsidRPr="0093265C" w:rsidRDefault="003729FA" w:rsidP="00CD35BA">
            <w:pPr>
              <w:rPr>
                <w:rFonts w:ascii="Arial" w:hAnsi="Arial" w:cs="Arial"/>
                <w:lang w:val="en-US"/>
              </w:rPr>
            </w:pPr>
            <w:r w:rsidRPr="0093265C">
              <w:rPr>
                <w:rFonts w:ascii="Arial" w:hAnsi="Arial" w:cs="Arial"/>
                <w:lang w:val="en-US"/>
              </w:rPr>
              <w:t>80 (72-87)</w:t>
            </w:r>
          </w:p>
        </w:tc>
        <w:tc>
          <w:tcPr>
            <w:tcW w:w="567" w:type="dxa"/>
          </w:tcPr>
          <w:p w14:paraId="30F40CCB" w14:textId="77777777" w:rsidR="003729FA" w:rsidRPr="0093265C" w:rsidRDefault="003729FA" w:rsidP="00CD35BA">
            <w:pPr>
              <w:rPr>
                <w:rFonts w:ascii="Arial" w:hAnsi="Arial" w:cs="Arial"/>
                <w:lang w:val="en-US"/>
              </w:rPr>
            </w:pPr>
            <w:r w:rsidRPr="0093265C">
              <w:rPr>
                <w:rFonts w:ascii="Arial" w:hAnsi="Arial" w:cs="Arial"/>
                <w:lang w:val="en-US"/>
              </w:rPr>
              <w:t>61</w:t>
            </w:r>
          </w:p>
        </w:tc>
        <w:tc>
          <w:tcPr>
            <w:tcW w:w="1701" w:type="dxa"/>
          </w:tcPr>
          <w:p w14:paraId="1D9B9599" w14:textId="77777777" w:rsidR="003729FA" w:rsidRPr="0093265C" w:rsidRDefault="003729FA" w:rsidP="00CD35BA">
            <w:pPr>
              <w:rPr>
                <w:rFonts w:ascii="Arial" w:hAnsi="Arial" w:cs="Arial"/>
                <w:lang w:val="en-US"/>
              </w:rPr>
            </w:pPr>
            <w:r w:rsidRPr="0093265C">
              <w:rPr>
                <w:rFonts w:ascii="Arial" w:hAnsi="Arial" w:cs="Arial"/>
                <w:lang w:val="en-US"/>
              </w:rPr>
              <w:t>80 (74-88)</w:t>
            </w:r>
          </w:p>
        </w:tc>
        <w:tc>
          <w:tcPr>
            <w:tcW w:w="567" w:type="dxa"/>
          </w:tcPr>
          <w:p w14:paraId="74C6DDDA" w14:textId="77777777" w:rsidR="003729FA" w:rsidRPr="0093265C" w:rsidRDefault="003729FA" w:rsidP="00CD35BA">
            <w:pPr>
              <w:rPr>
                <w:rFonts w:ascii="Arial" w:hAnsi="Arial" w:cs="Arial"/>
                <w:lang w:val="en-US"/>
              </w:rPr>
            </w:pPr>
            <w:r w:rsidRPr="0093265C">
              <w:rPr>
                <w:rFonts w:ascii="Arial" w:hAnsi="Arial" w:cs="Arial"/>
                <w:lang w:val="en-US"/>
              </w:rPr>
              <w:t>83</w:t>
            </w:r>
          </w:p>
        </w:tc>
        <w:tc>
          <w:tcPr>
            <w:tcW w:w="1698" w:type="dxa"/>
          </w:tcPr>
          <w:p w14:paraId="0C39FB25" w14:textId="77777777" w:rsidR="003729FA" w:rsidRPr="0093265C" w:rsidRDefault="003729FA" w:rsidP="00CD35BA">
            <w:pPr>
              <w:rPr>
                <w:rFonts w:ascii="Arial" w:hAnsi="Arial" w:cs="Arial"/>
                <w:lang w:val="en-US"/>
              </w:rPr>
            </w:pPr>
            <w:r w:rsidRPr="0093265C">
              <w:rPr>
                <w:rFonts w:ascii="Arial" w:hAnsi="Arial" w:cs="Arial"/>
                <w:lang w:val="en-US"/>
              </w:rPr>
              <w:t>85 (75-100)</w:t>
            </w:r>
          </w:p>
        </w:tc>
      </w:tr>
      <w:tr w:rsidR="003729FA" w:rsidRPr="00535FB4" w14:paraId="460C0311" w14:textId="77777777" w:rsidTr="00CD35BA">
        <w:trPr>
          <w:trHeight w:val="454"/>
        </w:trPr>
        <w:tc>
          <w:tcPr>
            <w:tcW w:w="2127" w:type="dxa"/>
          </w:tcPr>
          <w:p w14:paraId="53A2D8FD" w14:textId="77777777" w:rsidR="003729FA" w:rsidRPr="0093265C" w:rsidRDefault="003729FA" w:rsidP="00CD35BA">
            <w:pPr>
              <w:spacing w:line="360" w:lineRule="auto"/>
              <w:rPr>
                <w:rFonts w:ascii="Arial" w:hAnsi="Arial" w:cs="Arial"/>
                <w:lang w:val="en-US"/>
              </w:rPr>
            </w:pPr>
            <w:r w:rsidRPr="0093265C">
              <w:rPr>
                <w:rFonts w:ascii="Arial" w:hAnsi="Arial" w:cs="Arial"/>
                <w:lang w:val="en-US"/>
              </w:rPr>
              <w:t>OGTT - 30 min</w:t>
            </w:r>
          </w:p>
        </w:tc>
        <w:tc>
          <w:tcPr>
            <w:tcW w:w="708" w:type="dxa"/>
          </w:tcPr>
          <w:p w14:paraId="296B4DBC" w14:textId="77777777" w:rsidR="003729FA" w:rsidRPr="0093265C" w:rsidRDefault="003729FA" w:rsidP="00CD35BA">
            <w:pPr>
              <w:rPr>
                <w:rFonts w:ascii="Arial" w:hAnsi="Arial" w:cs="Arial"/>
                <w:lang w:val="en-US"/>
              </w:rPr>
            </w:pPr>
            <w:r w:rsidRPr="0093265C">
              <w:rPr>
                <w:rFonts w:ascii="Arial" w:hAnsi="Arial" w:cs="Arial"/>
                <w:lang w:val="en-US"/>
              </w:rPr>
              <w:t>356</w:t>
            </w:r>
          </w:p>
        </w:tc>
        <w:tc>
          <w:tcPr>
            <w:tcW w:w="1701" w:type="dxa"/>
          </w:tcPr>
          <w:p w14:paraId="1491E763" w14:textId="77777777" w:rsidR="003729FA" w:rsidRPr="0093265C" w:rsidRDefault="003729FA" w:rsidP="00CD35BA">
            <w:pPr>
              <w:rPr>
                <w:rFonts w:ascii="Arial" w:hAnsi="Arial" w:cs="Arial"/>
                <w:lang w:val="en-US"/>
              </w:rPr>
            </w:pPr>
            <w:r w:rsidRPr="0093265C">
              <w:rPr>
                <w:rFonts w:ascii="Arial" w:hAnsi="Arial" w:cs="Arial"/>
                <w:lang w:val="en-US"/>
              </w:rPr>
              <w:t>135 (115-155)</w:t>
            </w:r>
          </w:p>
        </w:tc>
        <w:tc>
          <w:tcPr>
            <w:tcW w:w="567" w:type="dxa"/>
          </w:tcPr>
          <w:p w14:paraId="3C667C62" w14:textId="77777777" w:rsidR="003729FA" w:rsidRPr="0093265C" w:rsidRDefault="003729FA" w:rsidP="00CD35BA">
            <w:pPr>
              <w:rPr>
                <w:rFonts w:ascii="Arial" w:hAnsi="Arial" w:cs="Arial"/>
                <w:lang w:val="en-US"/>
              </w:rPr>
            </w:pPr>
            <w:r w:rsidRPr="0093265C">
              <w:rPr>
                <w:rFonts w:ascii="Arial" w:hAnsi="Arial" w:cs="Arial"/>
                <w:lang w:val="en-US"/>
              </w:rPr>
              <w:t>61</w:t>
            </w:r>
          </w:p>
        </w:tc>
        <w:tc>
          <w:tcPr>
            <w:tcW w:w="1701" w:type="dxa"/>
          </w:tcPr>
          <w:p w14:paraId="42BE9704" w14:textId="77777777" w:rsidR="003729FA" w:rsidRPr="0093265C" w:rsidRDefault="003729FA" w:rsidP="00CD35BA">
            <w:pPr>
              <w:rPr>
                <w:rFonts w:ascii="Arial" w:hAnsi="Arial" w:cs="Arial"/>
                <w:lang w:val="en-US"/>
              </w:rPr>
            </w:pPr>
            <w:r w:rsidRPr="0093265C">
              <w:rPr>
                <w:rFonts w:ascii="Arial" w:hAnsi="Arial" w:cs="Arial"/>
                <w:lang w:val="en-US"/>
              </w:rPr>
              <w:t>134 (106-159)</w:t>
            </w:r>
          </w:p>
        </w:tc>
        <w:tc>
          <w:tcPr>
            <w:tcW w:w="567" w:type="dxa"/>
          </w:tcPr>
          <w:p w14:paraId="24B43F02" w14:textId="77777777" w:rsidR="003729FA" w:rsidRPr="0093265C" w:rsidRDefault="003729FA" w:rsidP="00CD35BA">
            <w:pPr>
              <w:rPr>
                <w:rFonts w:ascii="Arial" w:hAnsi="Arial" w:cs="Arial"/>
                <w:lang w:val="en-US"/>
              </w:rPr>
            </w:pPr>
            <w:r w:rsidRPr="0093265C">
              <w:rPr>
                <w:rFonts w:ascii="Arial" w:hAnsi="Arial" w:cs="Arial"/>
                <w:lang w:val="en-US"/>
              </w:rPr>
              <w:t>79</w:t>
            </w:r>
          </w:p>
        </w:tc>
        <w:tc>
          <w:tcPr>
            <w:tcW w:w="1698" w:type="dxa"/>
          </w:tcPr>
          <w:p w14:paraId="31E1FF4D" w14:textId="77777777" w:rsidR="003729FA" w:rsidRPr="0093265C" w:rsidRDefault="003729FA" w:rsidP="00CD35BA">
            <w:pPr>
              <w:rPr>
                <w:rFonts w:ascii="Arial" w:hAnsi="Arial" w:cs="Arial"/>
                <w:lang w:val="en-US"/>
              </w:rPr>
            </w:pPr>
            <w:r w:rsidRPr="0093265C">
              <w:rPr>
                <w:rFonts w:ascii="Arial" w:hAnsi="Arial" w:cs="Arial"/>
                <w:lang w:val="en-US"/>
              </w:rPr>
              <w:t>158 (129-193)</w:t>
            </w:r>
          </w:p>
        </w:tc>
      </w:tr>
      <w:tr w:rsidR="003729FA" w:rsidRPr="00535FB4" w14:paraId="6D85AB58" w14:textId="77777777" w:rsidTr="00CD35BA">
        <w:trPr>
          <w:trHeight w:val="454"/>
        </w:trPr>
        <w:tc>
          <w:tcPr>
            <w:tcW w:w="2127" w:type="dxa"/>
          </w:tcPr>
          <w:p w14:paraId="55DE71B3" w14:textId="77777777" w:rsidR="003729FA" w:rsidRPr="0093265C" w:rsidRDefault="003729FA" w:rsidP="00CD35BA">
            <w:pPr>
              <w:spacing w:line="360" w:lineRule="auto"/>
              <w:rPr>
                <w:rFonts w:ascii="Arial" w:hAnsi="Arial" w:cs="Arial"/>
                <w:lang w:val="en-US"/>
              </w:rPr>
            </w:pPr>
            <w:r w:rsidRPr="0093265C">
              <w:rPr>
                <w:rFonts w:ascii="Arial" w:hAnsi="Arial" w:cs="Arial"/>
                <w:lang w:val="en-US"/>
              </w:rPr>
              <w:t>OGTT - 60 min</w:t>
            </w:r>
          </w:p>
        </w:tc>
        <w:tc>
          <w:tcPr>
            <w:tcW w:w="708" w:type="dxa"/>
          </w:tcPr>
          <w:p w14:paraId="51BCC7A7" w14:textId="77777777" w:rsidR="003729FA" w:rsidRPr="0093265C" w:rsidRDefault="003729FA" w:rsidP="00CD35BA">
            <w:pPr>
              <w:rPr>
                <w:rFonts w:ascii="Arial" w:hAnsi="Arial" w:cs="Arial"/>
                <w:lang w:val="en-US"/>
              </w:rPr>
            </w:pPr>
            <w:r w:rsidRPr="0093265C">
              <w:rPr>
                <w:rFonts w:ascii="Arial" w:hAnsi="Arial" w:cs="Arial"/>
                <w:lang w:val="en-US"/>
              </w:rPr>
              <w:t>359</w:t>
            </w:r>
          </w:p>
        </w:tc>
        <w:tc>
          <w:tcPr>
            <w:tcW w:w="1701" w:type="dxa"/>
          </w:tcPr>
          <w:p w14:paraId="52443386" w14:textId="77777777" w:rsidR="003729FA" w:rsidRPr="0093265C" w:rsidRDefault="003729FA" w:rsidP="00CD35BA">
            <w:pPr>
              <w:rPr>
                <w:rFonts w:ascii="Arial" w:hAnsi="Arial" w:cs="Arial"/>
                <w:lang w:val="en-US"/>
              </w:rPr>
            </w:pPr>
            <w:r w:rsidRPr="0093265C">
              <w:rPr>
                <w:rFonts w:ascii="Arial" w:hAnsi="Arial" w:cs="Arial"/>
                <w:lang w:val="en-US"/>
              </w:rPr>
              <w:t>118 (100-143)</w:t>
            </w:r>
          </w:p>
        </w:tc>
        <w:tc>
          <w:tcPr>
            <w:tcW w:w="567" w:type="dxa"/>
          </w:tcPr>
          <w:p w14:paraId="1D797E10" w14:textId="77777777" w:rsidR="003729FA" w:rsidRPr="0093265C" w:rsidRDefault="003729FA" w:rsidP="00CD35BA">
            <w:pPr>
              <w:rPr>
                <w:rFonts w:ascii="Arial" w:hAnsi="Arial" w:cs="Arial"/>
                <w:lang w:val="en-US"/>
              </w:rPr>
            </w:pPr>
            <w:r w:rsidRPr="0093265C">
              <w:rPr>
                <w:rFonts w:ascii="Arial" w:hAnsi="Arial" w:cs="Arial"/>
                <w:lang w:val="en-US"/>
              </w:rPr>
              <w:t>61</w:t>
            </w:r>
          </w:p>
        </w:tc>
        <w:tc>
          <w:tcPr>
            <w:tcW w:w="1701" w:type="dxa"/>
          </w:tcPr>
          <w:p w14:paraId="58E5F23E" w14:textId="77777777" w:rsidR="003729FA" w:rsidRPr="0093265C" w:rsidRDefault="003729FA" w:rsidP="00CD35BA">
            <w:pPr>
              <w:rPr>
                <w:rFonts w:ascii="Arial" w:hAnsi="Arial" w:cs="Arial"/>
                <w:lang w:val="en-US"/>
              </w:rPr>
            </w:pPr>
            <w:r w:rsidRPr="0093265C">
              <w:rPr>
                <w:rFonts w:ascii="Arial" w:hAnsi="Arial" w:cs="Arial"/>
                <w:lang w:val="en-US"/>
              </w:rPr>
              <w:t>111 (92-135)</w:t>
            </w:r>
          </w:p>
        </w:tc>
        <w:tc>
          <w:tcPr>
            <w:tcW w:w="567" w:type="dxa"/>
          </w:tcPr>
          <w:p w14:paraId="088B2AD7" w14:textId="77777777" w:rsidR="003729FA" w:rsidRPr="0093265C" w:rsidRDefault="003729FA" w:rsidP="00CD35BA">
            <w:pPr>
              <w:rPr>
                <w:rFonts w:ascii="Arial" w:hAnsi="Arial" w:cs="Arial"/>
                <w:lang w:val="en-US"/>
              </w:rPr>
            </w:pPr>
            <w:r w:rsidRPr="0093265C">
              <w:rPr>
                <w:rFonts w:ascii="Arial" w:hAnsi="Arial" w:cs="Arial"/>
                <w:lang w:val="en-US"/>
              </w:rPr>
              <w:t>80</w:t>
            </w:r>
          </w:p>
        </w:tc>
        <w:tc>
          <w:tcPr>
            <w:tcW w:w="1698" w:type="dxa"/>
          </w:tcPr>
          <w:p w14:paraId="5DF72650" w14:textId="77777777" w:rsidR="003729FA" w:rsidRPr="0093265C" w:rsidRDefault="003729FA" w:rsidP="00CD35BA">
            <w:pPr>
              <w:rPr>
                <w:rFonts w:ascii="Arial" w:hAnsi="Arial" w:cs="Arial"/>
                <w:lang w:val="en-US"/>
              </w:rPr>
            </w:pPr>
            <w:r w:rsidRPr="0093265C">
              <w:rPr>
                <w:rFonts w:ascii="Arial" w:hAnsi="Arial" w:cs="Arial"/>
                <w:lang w:val="en-US"/>
              </w:rPr>
              <w:t>158 (121-196)</w:t>
            </w:r>
          </w:p>
        </w:tc>
      </w:tr>
      <w:tr w:rsidR="003729FA" w:rsidRPr="00535FB4" w14:paraId="0EC17430" w14:textId="77777777" w:rsidTr="00CD35BA">
        <w:trPr>
          <w:trHeight w:val="454"/>
        </w:trPr>
        <w:tc>
          <w:tcPr>
            <w:tcW w:w="2127" w:type="dxa"/>
          </w:tcPr>
          <w:p w14:paraId="3C0B3878" w14:textId="77777777" w:rsidR="003729FA" w:rsidRPr="0093265C" w:rsidRDefault="003729FA" w:rsidP="00CD35BA">
            <w:pPr>
              <w:spacing w:line="360" w:lineRule="auto"/>
              <w:rPr>
                <w:rFonts w:ascii="Arial" w:hAnsi="Arial" w:cs="Arial"/>
                <w:lang w:val="en-US"/>
              </w:rPr>
            </w:pPr>
            <w:r w:rsidRPr="0093265C">
              <w:rPr>
                <w:rFonts w:ascii="Arial" w:hAnsi="Arial" w:cs="Arial"/>
                <w:lang w:val="en-US"/>
              </w:rPr>
              <w:t>OGTT - 90 min</w:t>
            </w:r>
          </w:p>
        </w:tc>
        <w:tc>
          <w:tcPr>
            <w:tcW w:w="708" w:type="dxa"/>
          </w:tcPr>
          <w:p w14:paraId="158223D8" w14:textId="77777777" w:rsidR="003729FA" w:rsidRPr="0093265C" w:rsidRDefault="003729FA" w:rsidP="00CD35BA">
            <w:pPr>
              <w:rPr>
                <w:rFonts w:ascii="Arial" w:hAnsi="Arial" w:cs="Arial"/>
                <w:lang w:val="en-US"/>
              </w:rPr>
            </w:pPr>
            <w:r w:rsidRPr="0093265C">
              <w:rPr>
                <w:rFonts w:ascii="Arial" w:hAnsi="Arial" w:cs="Arial"/>
                <w:lang w:val="en-US"/>
              </w:rPr>
              <w:t>360</w:t>
            </w:r>
          </w:p>
        </w:tc>
        <w:tc>
          <w:tcPr>
            <w:tcW w:w="1701" w:type="dxa"/>
          </w:tcPr>
          <w:p w14:paraId="3CA5DD8D" w14:textId="77777777" w:rsidR="003729FA" w:rsidRPr="0093265C" w:rsidRDefault="003729FA" w:rsidP="00CD35BA">
            <w:pPr>
              <w:rPr>
                <w:rFonts w:ascii="Arial" w:hAnsi="Arial" w:cs="Arial"/>
                <w:lang w:val="en-US"/>
              </w:rPr>
            </w:pPr>
            <w:r w:rsidRPr="0093265C">
              <w:rPr>
                <w:rFonts w:ascii="Arial" w:hAnsi="Arial" w:cs="Arial"/>
                <w:lang w:val="en-US"/>
              </w:rPr>
              <w:t>106 (90-121)</w:t>
            </w:r>
          </w:p>
        </w:tc>
        <w:tc>
          <w:tcPr>
            <w:tcW w:w="567" w:type="dxa"/>
          </w:tcPr>
          <w:p w14:paraId="42313A05" w14:textId="77777777" w:rsidR="003729FA" w:rsidRPr="0093265C" w:rsidRDefault="003729FA" w:rsidP="00CD35BA">
            <w:pPr>
              <w:rPr>
                <w:rFonts w:ascii="Arial" w:hAnsi="Arial" w:cs="Arial"/>
                <w:lang w:val="en-US"/>
              </w:rPr>
            </w:pPr>
            <w:r w:rsidRPr="0093265C">
              <w:rPr>
                <w:rFonts w:ascii="Arial" w:hAnsi="Arial" w:cs="Arial"/>
                <w:lang w:val="en-US"/>
              </w:rPr>
              <w:t>61</w:t>
            </w:r>
          </w:p>
        </w:tc>
        <w:tc>
          <w:tcPr>
            <w:tcW w:w="1701" w:type="dxa"/>
          </w:tcPr>
          <w:p w14:paraId="758BBCD0" w14:textId="77777777" w:rsidR="003729FA" w:rsidRPr="0093265C" w:rsidRDefault="003729FA" w:rsidP="00CD35BA">
            <w:pPr>
              <w:rPr>
                <w:rFonts w:ascii="Arial" w:hAnsi="Arial" w:cs="Arial"/>
                <w:lang w:val="en-US"/>
              </w:rPr>
            </w:pPr>
            <w:r w:rsidRPr="0093265C">
              <w:rPr>
                <w:rFonts w:ascii="Arial" w:hAnsi="Arial" w:cs="Arial"/>
                <w:lang w:val="en-US"/>
              </w:rPr>
              <w:t>101 (89-124)</w:t>
            </w:r>
          </w:p>
        </w:tc>
        <w:tc>
          <w:tcPr>
            <w:tcW w:w="567" w:type="dxa"/>
          </w:tcPr>
          <w:p w14:paraId="0CD76017" w14:textId="77777777" w:rsidR="003729FA" w:rsidRPr="0093265C" w:rsidRDefault="003729FA" w:rsidP="00CD35BA">
            <w:pPr>
              <w:rPr>
                <w:rFonts w:ascii="Arial" w:hAnsi="Arial" w:cs="Arial"/>
                <w:lang w:val="en-US"/>
              </w:rPr>
            </w:pPr>
            <w:r w:rsidRPr="0093265C">
              <w:rPr>
                <w:rFonts w:ascii="Arial" w:hAnsi="Arial" w:cs="Arial"/>
                <w:lang w:val="en-US"/>
              </w:rPr>
              <w:t>82</w:t>
            </w:r>
          </w:p>
        </w:tc>
        <w:tc>
          <w:tcPr>
            <w:tcW w:w="1698" w:type="dxa"/>
          </w:tcPr>
          <w:p w14:paraId="3D8E14D1" w14:textId="77777777" w:rsidR="003729FA" w:rsidRPr="0093265C" w:rsidRDefault="003729FA" w:rsidP="00CD35BA">
            <w:pPr>
              <w:rPr>
                <w:rFonts w:ascii="Arial" w:hAnsi="Arial" w:cs="Arial"/>
                <w:lang w:val="en-US"/>
              </w:rPr>
            </w:pPr>
            <w:r w:rsidRPr="0093265C">
              <w:rPr>
                <w:rFonts w:ascii="Arial" w:hAnsi="Arial" w:cs="Arial"/>
                <w:lang w:val="en-US"/>
              </w:rPr>
              <w:t>132 (106-174)</w:t>
            </w:r>
          </w:p>
        </w:tc>
      </w:tr>
      <w:tr w:rsidR="003729FA" w:rsidRPr="00535FB4" w14:paraId="208C64C4" w14:textId="77777777" w:rsidTr="00CD35BA">
        <w:trPr>
          <w:trHeight w:val="454"/>
        </w:trPr>
        <w:tc>
          <w:tcPr>
            <w:tcW w:w="2127" w:type="dxa"/>
          </w:tcPr>
          <w:p w14:paraId="2E931C3F" w14:textId="77777777" w:rsidR="003729FA" w:rsidRPr="0093265C" w:rsidRDefault="003729FA" w:rsidP="00CD35BA">
            <w:pPr>
              <w:spacing w:line="360" w:lineRule="auto"/>
              <w:rPr>
                <w:rFonts w:ascii="Arial" w:hAnsi="Arial" w:cs="Arial"/>
                <w:lang w:val="en-US"/>
              </w:rPr>
            </w:pPr>
            <w:r w:rsidRPr="0093265C">
              <w:rPr>
                <w:rFonts w:ascii="Arial" w:hAnsi="Arial" w:cs="Arial"/>
                <w:lang w:val="en-US"/>
              </w:rPr>
              <w:t>OGTT - 120 min</w:t>
            </w:r>
          </w:p>
        </w:tc>
        <w:tc>
          <w:tcPr>
            <w:tcW w:w="708" w:type="dxa"/>
          </w:tcPr>
          <w:p w14:paraId="5CAF6950" w14:textId="77777777" w:rsidR="003729FA" w:rsidRPr="0093265C" w:rsidRDefault="003729FA" w:rsidP="00CD35BA">
            <w:pPr>
              <w:rPr>
                <w:rFonts w:ascii="Arial" w:hAnsi="Arial" w:cs="Arial"/>
                <w:lang w:val="en-US"/>
              </w:rPr>
            </w:pPr>
            <w:r w:rsidRPr="0093265C">
              <w:rPr>
                <w:rFonts w:ascii="Arial" w:hAnsi="Arial" w:cs="Arial"/>
                <w:lang w:val="en-US"/>
              </w:rPr>
              <w:t>358</w:t>
            </w:r>
          </w:p>
        </w:tc>
        <w:tc>
          <w:tcPr>
            <w:tcW w:w="1701" w:type="dxa"/>
          </w:tcPr>
          <w:p w14:paraId="50680664" w14:textId="77777777" w:rsidR="003729FA" w:rsidRPr="0093265C" w:rsidRDefault="003729FA" w:rsidP="00CD35BA">
            <w:pPr>
              <w:rPr>
                <w:rFonts w:ascii="Arial" w:hAnsi="Arial" w:cs="Arial"/>
                <w:lang w:val="en-US"/>
              </w:rPr>
            </w:pPr>
            <w:r w:rsidRPr="0093265C">
              <w:rPr>
                <w:rFonts w:ascii="Arial" w:hAnsi="Arial" w:cs="Arial"/>
                <w:lang w:val="en-US"/>
              </w:rPr>
              <w:t>100 (86-112)</w:t>
            </w:r>
          </w:p>
        </w:tc>
        <w:tc>
          <w:tcPr>
            <w:tcW w:w="567" w:type="dxa"/>
          </w:tcPr>
          <w:p w14:paraId="41CA0C7C" w14:textId="77777777" w:rsidR="003729FA" w:rsidRPr="0093265C" w:rsidRDefault="003729FA" w:rsidP="00CD35BA">
            <w:pPr>
              <w:rPr>
                <w:rFonts w:ascii="Arial" w:hAnsi="Arial" w:cs="Arial"/>
                <w:lang w:val="en-US"/>
              </w:rPr>
            </w:pPr>
            <w:r w:rsidRPr="0093265C">
              <w:rPr>
                <w:rFonts w:ascii="Arial" w:hAnsi="Arial" w:cs="Arial"/>
                <w:lang w:val="en-US"/>
              </w:rPr>
              <w:t>61</w:t>
            </w:r>
          </w:p>
        </w:tc>
        <w:tc>
          <w:tcPr>
            <w:tcW w:w="1701" w:type="dxa"/>
          </w:tcPr>
          <w:p w14:paraId="7F4DC8EF" w14:textId="77777777" w:rsidR="003729FA" w:rsidRPr="0093265C" w:rsidRDefault="003729FA" w:rsidP="00CD35BA">
            <w:pPr>
              <w:rPr>
                <w:rFonts w:ascii="Arial" w:hAnsi="Arial" w:cs="Arial"/>
                <w:lang w:val="en-US"/>
              </w:rPr>
            </w:pPr>
            <w:r w:rsidRPr="0093265C">
              <w:rPr>
                <w:rFonts w:ascii="Arial" w:hAnsi="Arial" w:cs="Arial"/>
                <w:lang w:val="en-US"/>
              </w:rPr>
              <w:t>97 (88-110)</w:t>
            </w:r>
          </w:p>
        </w:tc>
        <w:tc>
          <w:tcPr>
            <w:tcW w:w="567" w:type="dxa"/>
          </w:tcPr>
          <w:p w14:paraId="66227B7F" w14:textId="77777777" w:rsidR="003729FA" w:rsidRPr="0093265C" w:rsidRDefault="003729FA" w:rsidP="00CD35BA">
            <w:pPr>
              <w:rPr>
                <w:rFonts w:ascii="Arial" w:hAnsi="Arial" w:cs="Arial"/>
                <w:lang w:val="en-US"/>
              </w:rPr>
            </w:pPr>
            <w:r w:rsidRPr="0093265C">
              <w:rPr>
                <w:rFonts w:ascii="Arial" w:hAnsi="Arial" w:cs="Arial"/>
                <w:lang w:val="en-US"/>
              </w:rPr>
              <w:t>81</w:t>
            </w:r>
          </w:p>
        </w:tc>
        <w:tc>
          <w:tcPr>
            <w:tcW w:w="1698" w:type="dxa"/>
          </w:tcPr>
          <w:p w14:paraId="53E8AEF2" w14:textId="77777777" w:rsidR="003729FA" w:rsidRPr="0093265C" w:rsidRDefault="003729FA" w:rsidP="00CD35BA">
            <w:pPr>
              <w:rPr>
                <w:rFonts w:ascii="Arial" w:hAnsi="Arial" w:cs="Arial"/>
                <w:lang w:val="en-US"/>
              </w:rPr>
            </w:pPr>
            <w:r w:rsidRPr="0093265C">
              <w:rPr>
                <w:rFonts w:ascii="Arial" w:hAnsi="Arial" w:cs="Arial"/>
                <w:lang w:val="en-US"/>
              </w:rPr>
              <w:t>125 (100-152)</w:t>
            </w:r>
          </w:p>
        </w:tc>
      </w:tr>
      <w:tr w:rsidR="003729FA" w:rsidRPr="00535FB4" w14:paraId="52B576CD" w14:textId="77777777" w:rsidTr="00CD35BA">
        <w:trPr>
          <w:trHeight w:val="454"/>
        </w:trPr>
        <w:tc>
          <w:tcPr>
            <w:tcW w:w="2127" w:type="dxa"/>
            <w:tcBorders>
              <w:bottom w:val="single" w:sz="4" w:space="0" w:color="auto"/>
            </w:tcBorders>
          </w:tcPr>
          <w:p w14:paraId="4502676E" w14:textId="77777777" w:rsidR="003729FA" w:rsidRPr="0093265C" w:rsidRDefault="003729FA" w:rsidP="00CD35BA">
            <w:pPr>
              <w:spacing w:line="360" w:lineRule="auto"/>
              <w:rPr>
                <w:rFonts w:ascii="Arial" w:hAnsi="Arial" w:cs="Arial"/>
                <w:lang w:val="en-US"/>
              </w:rPr>
            </w:pPr>
            <w:r w:rsidRPr="0093265C">
              <w:rPr>
                <w:rFonts w:ascii="Arial" w:hAnsi="Arial" w:cs="Arial"/>
                <w:lang w:val="en-US"/>
              </w:rPr>
              <w:t>BMI z-score</w:t>
            </w:r>
          </w:p>
        </w:tc>
        <w:tc>
          <w:tcPr>
            <w:tcW w:w="708" w:type="dxa"/>
            <w:tcBorders>
              <w:bottom w:val="single" w:sz="4" w:space="0" w:color="auto"/>
            </w:tcBorders>
          </w:tcPr>
          <w:p w14:paraId="0846B198" w14:textId="77777777" w:rsidR="003729FA" w:rsidRPr="0093265C" w:rsidRDefault="003729FA" w:rsidP="00CD35BA">
            <w:pPr>
              <w:rPr>
                <w:rFonts w:ascii="Arial" w:hAnsi="Arial" w:cs="Arial"/>
                <w:lang w:val="en-US"/>
              </w:rPr>
            </w:pPr>
            <w:r w:rsidRPr="0093265C">
              <w:rPr>
                <w:rFonts w:ascii="Arial" w:hAnsi="Arial" w:cs="Arial"/>
                <w:lang w:val="en-US"/>
              </w:rPr>
              <w:t>352</w:t>
            </w:r>
          </w:p>
        </w:tc>
        <w:tc>
          <w:tcPr>
            <w:tcW w:w="1701" w:type="dxa"/>
            <w:tcBorders>
              <w:bottom w:val="single" w:sz="4" w:space="0" w:color="auto"/>
            </w:tcBorders>
          </w:tcPr>
          <w:p w14:paraId="1B17C466" w14:textId="77777777" w:rsidR="003729FA" w:rsidRPr="0093265C" w:rsidRDefault="003729FA" w:rsidP="00CD35BA">
            <w:pPr>
              <w:rPr>
                <w:rFonts w:ascii="Arial" w:hAnsi="Arial" w:cs="Arial"/>
                <w:lang w:val="en-US"/>
              </w:rPr>
            </w:pPr>
            <w:r w:rsidRPr="0093265C">
              <w:rPr>
                <w:rFonts w:ascii="Arial" w:hAnsi="Arial" w:cs="Arial"/>
                <w:lang w:val="en-US"/>
              </w:rPr>
              <w:t>0.2 (-0.5–0.9)</w:t>
            </w:r>
          </w:p>
        </w:tc>
        <w:tc>
          <w:tcPr>
            <w:tcW w:w="567" w:type="dxa"/>
            <w:tcBorders>
              <w:bottom w:val="single" w:sz="4" w:space="0" w:color="auto"/>
            </w:tcBorders>
          </w:tcPr>
          <w:p w14:paraId="79D64F06" w14:textId="77777777" w:rsidR="003729FA" w:rsidRPr="0093265C" w:rsidRDefault="003729FA" w:rsidP="00CD35BA">
            <w:pPr>
              <w:rPr>
                <w:rFonts w:ascii="Arial" w:hAnsi="Arial" w:cs="Arial"/>
                <w:lang w:val="en-US"/>
              </w:rPr>
            </w:pPr>
            <w:r w:rsidRPr="0093265C">
              <w:rPr>
                <w:rFonts w:ascii="Arial" w:hAnsi="Arial" w:cs="Arial"/>
                <w:lang w:val="en-US"/>
              </w:rPr>
              <w:t>11</w:t>
            </w:r>
          </w:p>
        </w:tc>
        <w:tc>
          <w:tcPr>
            <w:tcW w:w="1701" w:type="dxa"/>
            <w:tcBorders>
              <w:bottom w:val="single" w:sz="4" w:space="0" w:color="auto"/>
            </w:tcBorders>
          </w:tcPr>
          <w:p w14:paraId="2DA28E72" w14:textId="77777777" w:rsidR="003729FA" w:rsidRPr="0093265C" w:rsidRDefault="003729FA" w:rsidP="00CD35BA">
            <w:pPr>
              <w:rPr>
                <w:rFonts w:ascii="Arial" w:hAnsi="Arial" w:cs="Arial"/>
                <w:lang w:val="en-US"/>
              </w:rPr>
            </w:pPr>
            <w:r w:rsidRPr="0093265C">
              <w:rPr>
                <w:rFonts w:ascii="Arial" w:hAnsi="Arial" w:cs="Arial"/>
                <w:lang w:val="en-US"/>
              </w:rPr>
              <w:t>0.3 (-0.1–0.6)</w:t>
            </w:r>
          </w:p>
        </w:tc>
        <w:tc>
          <w:tcPr>
            <w:tcW w:w="567" w:type="dxa"/>
            <w:tcBorders>
              <w:bottom w:val="single" w:sz="4" w:space="0" w:color="auto"/>
            </w:tcBorders>
          </w:tcPr>
          <w:p w14:paraId="503F693B" w14:textId="77777777" w:rsidR="003729FA" w:rsidRPr="0093265C" w:rsidRDefault="003729FA" w:rsidP="00CD35BA">
            <w:pPr>
              <w:rPr>
                <w:rFonts w:ascii="Arial" w:hAnsi="Arial" w:cs="Arial"/>
                <w:lang w:val="en-US"/>
              </w:rPr>
            </w:pPr>
            <w:r w:rsidRPr="0093265C">
              <w:rPr>
                <w:rFonts w:ascii="Arial" w:hAnsi="Arial" w:cs="Arial"/>
                <w:lang w:val="en-US"/>
              </w:rPr>
              <w:t>79</w:t>
            </w:r>
          </w:p>
        </w:tc>
        <w:tc>
          <w:tcPr>
            <w:tcW w:w="1698" w:type="dxa"/>
            <w:tcBorders>
              <w:bottom w:val="single" w:sz="4" w:space="0" w:color="auto"/>
            </w:tcBorders>
          </w:tcPr>
          <w:p w14:paraId="2BB4D0A8" w14:textId="77777777" w:rsidR="003729FA" w:rsidRPr="0093265C" w:rsidRDefault="003729FA" w:rsidP="00CD35BA">
            <w:pPr>
              <w:rPr>
                <w:rFonts w:ascii="Arial" w:hAnsi="Arial" w:cs="Arial"/>
                <w:lang w:val="en-US"/>
              </w:rPr>
            </w:pPr>
            <w:r w:rsidRPr="0093265C">
              <w:rPr>
                <w:rFonts w:ascii="Arial" w:hAnsi="Arial" w:cs="Arial"/>
                <w:lang w:val="en-US"/>
              </w:rPr>
              <w:t>0.1 (-0.6-0.8)</w:t>
            </w:r>
          </w:p>
        </w:tc>
      </w:tr>
    </w:tbl>
    <w:p w14:paraId="169B720A" w14:textId="77777777" w:rsidR="003729FA" w:rsidRDefault="003729FA" w:rsidP="003729FA">
      <w:pPr>
        <w:spacing w:line="240" w:lineRule="auto"/>
        <w:rPr>
          <w:rFonts w:ascii="Arial" w:hAnsi="Arial" w:cs="Arial"/>
          <w:sz w:val="20"/>
          <w:szCs w:val="20"/>
        </w:rPr>
      </w:pPr>
      <w:r w:rsidRPr="0093265C">
        <w:rPr>
          <w:rFonts w:ascii="Arial" w:hAnsi="Arial" w:cs="Arial"/>
          <w:sz w:val="20"/>
          <w:szCs w:val="20"/>
        </w:rPr>
        <w:t>T1D type 1 diabetes; IAA insulin autoantibody; GADA Glutamate decarboxylase antibody; IA-2A Islet Antigen 2 antibody; JM Juxtamembrane; PTP Protein Tyrosine Phosphatase; ZnT8A Zinc transporter 8 antibody; HbA1c Hemoglobin A1c; OGTT Oral glucose tolerance test; BMI Body mass index</w:t>
      </w:r>
    </w:p>
    <w:p w14:paraId="4BFDC8ED" w14:textId="77777777" w:rsidR="003729FA" w:rsidRDefault="003729FA" w:rsidP="00792BFF">
      <w:pPr>
        <w:spacing w:after="0" w:line="360" w:lineRule="auto"/>
        <w:rPr>
          <w:rFonts w:ascii="Arial" w:eastAsia="Aptos" w:hAnsi="Arial" w:cs="Arial"/>
          <w:sz w:val="24"/>
          <w:szCs w:val="24"/>
        </w:rPr>
      </w:pPr>
    </w:p>
    <w:p w14:paraId="366396F8" w14:textId="77777777" w:rsidR="003729FA" w:rsidRDefault="003729FA" w:rsidP="00792BFF">
      <w:pPr>
        <w:spacing w:after="0" w:line="360" w:lineRule="auto"/>
        <w:rPr>
          <w:rFonts w:ascii="Arial" w:eastAsia="Aptos" w:hAnsi="Arial" w:cs="Arial"/>
          <w:sz w:val="24"/>
          <w:szCs w:val="24"/>
        </w:rPr>
      </w:pPr>
    </w:p>
    <w:p w14:paraId="6DFD58AB" w14:textId="77777777" w:rsidR="003729FA" w:rsidRDefault="003729FA" w:rsidP="00792BFF">
      <w:pPr>
        <w:spacing w:after="0" w:line="360" w:lineRule="auto"/>
        <w:rPr>
          <w:rFonts w:ascii="Arial" w:eastAsia="Aptos" w:hAnsi="Arial" w:cs="Arial"/>
          <w:sz w:val="24"/>
          <w:szCs w:val="24"/>
        </w:rPr>
      </w:pPr>
    </w:p>
    <w:p w14:paraId="75F91B30" w14:textId="77777777" w:rsidR="003729FA" w:rsidRDefault="003729FA" w:rsidP="00792BFF">
      <w:pPr>
        <w:spacing w:after="0" w:line="360" w:lineRule="auto"/>
        <w:rPr>
          <w:rFonts w:ascii="Arial" w:eastAsia="Aptos" w:hAnsi="Arial" w:cs="Arial"/>
          <w:sz w:val="24"/>
          <w:szCs w:val="24"/>
        </w:rPr>
      </w:pPr>
    </w:p>
    <w:p w14:paraId="1E37E238" w14:textId="77777777" w:rsidR="003729FA" w:rsidRPr="00FB67AD" w:rsidRDefault="003729FA" w:rsidP="00792BFF">
      <w:pPr>
        <w:spacing w:after="0" w:line="360" w:lineRule="auto"/>
        <w:rPr>
          <w:rFonts w:ascii="Arial" w:eastAsia="Aptos" w:hAnsi="Arial" w:cs="Arial"/>
          <w:sz w:val="24"/>
          <w:szCs w:val="24"/>
        </w:rPr>
      </w:pPr>
    </w:p>
    <w:p w14:paraId="775510DA" w14:textId="7D1A7C7F" w:rsidR="00792BFF" w:rsidRPr="00E262E0" w:rsidRDefault="00E86D99" w:rsidP="00792BFF">
      <w:pPr>
        <w:spacing w:after="0" w:line="360" w:lineRule="auto"/>
        <w:rPr>
          <w:rFonts w:ascii="Arial" w:hAnsi="Arial" w:cs="Arial"/>
          <w:b/>
          <w:bCs/>
          <w:sz w:val="24"/>
          <w:szCs w:val="24"/>
          <w:lang w:val="en-US"/>
        </w:rPr>
      </w:pPr>
      <w:r w:rsidRPr="00E262E0">
        <w:rPr>
          <w:rFonts w:ascii="Arial" w:hAnsi="Arial" w:cs="Arial"/>
          <w:b/>
          <w:bCs/>
          <w:sz w:val="24"/>
          <w:szCs w:val="24"/>
          <w:lang w:val="en-US"/>
        </w:rPr>
        <w:lastRenderedPageBreak/>
        <w:t xml:space="preserve">Table </w:t>
      </w:r>
      <w:r w:rsidR="003729FA">
        <w:rPr>
          <w:rFonts w:ascii="Arial" w:hAnsi="Arial" w:cs="Arial"/>
          <w:b/>
          <w:bCs/>
          <w:sz w:val="24"/>
          <w:szCs w:val="24"/>
          <w:lang w:val="en-US"/>
        </w:rPr>
        <w:t>2</w:t>
      </w:r>
      <w:r w:rsidR="0039466D" w:rsidRPr="00E262E0">
        <w:rPr>
          <w:rFonts w:ascii="Arial" w:hAnsi="Arial" w:cs="Arial"/>
          <w:b/>
          <w:bCs/>
          <w:sz w:val="24"/>
          <w:szCs w:val="24"/>
          <w:lang w:val="en-US"/>
        </w:rPr>
        <w:t>.</w:t>
      </w:r>
      <w:r w:rsidRPr="00E262E0">
        <w:rPr>
          <w:rFonts w:ascii="Arial" w:hAnsi="Arial" w:cs="Arial"/>
          <w:b/>
          <w:bCs/>
          <w:sz w:val="24"/>
          <w:szCs w:val="24"/>
          <w:lang w:val="en-US"/>
        </w:rPr>
        <w:t xml:space="preserve"> </w:t>
      </w:r>
    </w:p>
    <w:p w14:paraId="05EC424C" w14:textId="114E8145" w:rsidR="00E86D99" w:rsidRPr="00E262E0" w:rsidRDefault="00E86D99" w:rsidP="00792BFF">
      <w:pPr>
        <w:spacing w:after="0" w:line="360" w:lineRule="auto"/>
        <w:rPr>
          <w:rFonts w:ascii="Arial" w:hAnsi="Arial" w:cs="Arial"/>
          <w:sz w:val="24"/>
          <w:szCs w:val="24"/>
          <w:lang w:val="en-US"/>
        </w:rPr>
      </w:pPr>
      <w:r w:rsidRPr="00E262E0">
        <w:rPr>
          <w:rFonts w:ascii="Arial" w:hAnsi="Arial" w:cs="Arial"/>
          <w:sz w:val="24"/>
          <w:szCs w:val="24"/>
          <w:lang w:val="en-US"/>
        </w:rPr>
        <w:t>Two- and 3-year risk of progression to stage 3 T1D from stage 1 and stage</w:t>
      </w:r>
      <w:r w:rsidR="00B06824" w:rsidRPr="00E262E0">
        <w:rPr>
          <w:rFonts w:ascii="Arial" w:hAnsi="Arial" w:cs="Arial"/>
          <w:sz w:val="24"/>
          <w:szCs w:val="24"/>
          <w:lang w:val="en-US"/>
        </w:rPr>
        <w:t xml:space="preserve"> 2</w:t>
      </w:r>
      <w:r w:rsidRPr="00E262E0">
        <w:rPr>
          <w:rFonts w:ascii="Arial" w:hAnsi="Arial" w:cs="Arial"/>
          <w:sz w:val="24"/>
          <w:szCs w:val="24"/>
          <w:lang w:val="en-US"/>
        </w:rPr>
        <w:t xml:space="preserve">, and median survival, stratified by the Progression Likelihood Score (PLS, </w:t>
      </w:r>
      <w:r w:rsidR="00FF10F9" w:rsidRPr="00E262E0">
        <w:rPr>
          <w:rFonts w:ascii="Arial" w:hAnsi="Arial" w:cs="Arial"/>
          <w:sz w:val="24"/>
          <w:szCs w:val="24"/>
          <w:lang w:val="en-US"/>
        </w:rPr>
        <w:t>(6)</w:t>
      </w:r>
      <w:r w:rsidRPr="00E262E0">
        <w:rPr>
          <w:rFonts w:ascii="Arial" w:hAnsi="Arial" w:cs="Arial"/>
          <w:sz w:val="24"/>
          <w:szCs w:val="24"/>
          <w:lang w:val="en-US"/>
        </w:rPr>
        <w:t xml:space="preserve">) and a new </w:t>
      </w:r>
      <w:r w:rsidR="00B06824" w:rsidRPr="00E262E0">
        <w:rPr>
          <w:rFonts w:ascii="Arial" w:hAnsi="Arial" w:cs="Arial"/>
          <w:sz w:val="24"/>
          <w:szCs w:val="24"/>
          <w:lang w:val="en-US"/>
        </w:rPr>
        <w:t xml:space="preserve">non-OGTT-based </w:t>
      </w:r>
      <w:r w:rsidRPr="00E262E0">
        <w:rPr>
          <w:rFonts w:ascii="Arial" w:hAnsi="Arial" w:cs="Arial"/>
          <w:sz w:val="24"/>
          <w:szCs w:val="24"/>
          <w:lang w:val="en-US"/>
        </w:rPr>
        <w:t>progression score, calculated from Kaplan Meier analyses</w:t>
      </w:r>
    </w:p>
    <w:tbl>
      <w:tblPr>
        <w:tblW w:w="10338" w:type="dxa"/>
        <w:tblCellMar>
          <w:left w:w="0" w:type="dxa"/>
          <w:right w:w="0" w:type="dxa"/>
        </w:tblCellMar>
        <w:tblLook w:val="04A0" w:firstRow="1" w:lastRow="0" w:firstColumn="1" w:lastColumn="0" w:noHBand="0" w:noVBand="1"/>
      </w:tblPr>
      <w:tblGrid>
        <w:gridCol w:w="2694"/>
        <w:gridCol w:w="567"/>
        <w:gridCol w:w="2542"/>
        <w:gridCol w:w="2561"/>
        <w:gridCol w:w="1974"/>
      </w:tblGrid>
      <w:tr w:rsidR="002148D2" w:rsidRPr="00E262E0" w14:paraId="5B5BC772" w14:textId="77777777" w:rsidTr="00BB0618">
        <w:trPr>
          <w:trHeight w:val="794"/>
        </w:trPr>
        <w:tc>
          <w:tcPr>
            <w:tcW w:w="2694" w:type="dxa"/>
            <w:tcBorders>
              <w:top w:val="single" w:sz="4" w:space="0" w:color="auto"/>
              <w:bottom w:val="single" w:sz="4" w:space="0" w:color="auto"/>
            </w:tcBorders>
            <w:tcMar>
              <w:top w:w="72" w:type="dxa"/>
              <w:left w:w="144" w:type="dxa"/>
              <w:bottom w:w="72" w:type="dxa"/>
              <w:right w:w="144" w:type="dxa"/>
            </w:tcMar>
            <w:hideMark/>
          </w:tcPr>
          <w:p w14:paraId="78D07D38" w14:textId="77777777" w:rsidR="002148D2" w:rsidRPr="00E262E0" w:rsidRDefault="002148D2" w:rsidP="00BB0618">
            <w:pPr>
              <w:pStyle w:val="StandardWeb"/>
              <w:rPr>
                <w:rFonts w:ascii="Arial" w:hAnsi="Arial" w:cs="Arial"/>
                <w:b/>
                <w:bCs/>
                <w:sz w:val="22"/>
                <w:szCs w:val="22"/>
                <w:lang w:val="en-US"/>
              </w:rPr>
            </w:pPr>
            <w:r w:rsidRPr="00E262E0">
              <w:rPr>
                <w:rFonts w:ascii="Arial" w:hAnsi="Arial" w:cs="Arial"/>
                <w:b/>
                <w:bCs/>
                <w:sz w:val="22"/>
                <w:szCs w:val="22"/>
                <w:lang w:val="en-US"/>
              </w:rPr>
              <w:t>Stage/Score</w:t>
            </w:r>
          </w:p>
        </w:tc>
        <w:tc>
          <w:tcPr>
            <w:tcW w:w="567" w:type="dxa"/>
            <w:tcBorders>
              <w:top w:val="single" w:sz="4" w:space="0" w:color="auto"/>
              <w:bottom w:val="single" w:sz="4" w:space="0" w:color="auto"/>
            </w:tcBorders>
          </w:tcPr>
          <w:p w14:paraId="7160CB38" w14:textId="77777777" w:rsidR="002148D2" w:rsidRPr="00E262E0" w:rsidRDefault="002148D2" w:rsidP="00BB0618">
            <w:pPr>
              <w:pStyle w:val="StandardWeb"/>
              <w:jc w:val="center"/>
              <w:rPr>
                <w:rFonts w:ascii="Arial" w:hAnsi="Arial" w:cs="Arial"/>
                <w:b/>
                <w:bCs/>
                <w:sz w:val="22"/>
                <w:szCs w:val="22"/>
                <w:lang w:val="en-US"/>
              </w:rPr>
            </w:pPr>
            <w:r w:rsidRPr="00E262E0">
              <w:rPr>
                <w:rFonts w:ascii="Arial" w:hAnsi="Arial" w:cs="Arial"/>
                <w:b/>
                <w:bCs/>
                <w:sz w:val="22"/>
                <w:szCs w:val="22"/>
                <w:lang w:val="en-US"/>
              </w:rPr>
              <w:t>n</w:t>
            </w:r>
          </w:p>
        </w:tc>
        <w:tc>
          <w:tcPr>
            <w:tcW w:w="2542" w:type="dxa"/>
            <w:tcBorders>
              <w:top w:val="single" w:sz="4" w:space="0" w:color="auto"/>
              <w:bottom w:val="single" w:sz="4" w:space="0" w:color="auto"/>
            </w:tcBorders>
            <w:tcMar>
              <w:top w:w="72" w:type="dxa"/>
              <w:left w:w="144" w:type="dxa"/>
              <w:bottom w:w="72" w:type="dxa"/>
              <w:right w:w="144" w:type="dxa"/>
            </w:tcMar>
            <w:hideMark/>
          </w:tcPr>
          <w:p w14:paraId="2961298B" w14:textId="77777777" w:rsidR="002148D2" w:rsidRPr="00E262E0" w:rsidRDefault="002148D2" w:rsidP="00BB0618">
            <w:pPr>
              <w:pStyle w:val="StandardWeb"/>
              <w:jc w:val="center"/>
              <w:rPr>
                <w:rFonts w:ascii="Arial" w:hAnsi="Arial" w:cs="Arial"/>
                <w:sz w:val="22"/>
                <w:szCs w:val="22"/>
                <w:lang w:val="en-US"/>
              </w:rPr>
            </w:pPr>
            <w:r w:rsidRPr="00E262E0">
              <w:rPr>
                <w:rFonts w:ascii="Arial" w:hAnsi="Arial" w:cs="Arial"/>
                <w:b/>
                <w:bCs/>
                <w:sz w:val="22"/>
                <w:szCs w:val="22"/>
                <w:lang w:val="en-US"/>
              </w:rPr>
              <w:t>2-year progression rate to stage 3 T1D (95% CI)</w:t>
            </w:r>
          </w:p>
        </w:tc>
        <w:tc>
          <w:tcPr>
            <w:tcW w:w="2561" w:type="dxa"/>
            <w:tcBorders>
              <w:top w:val="single" w:sz="4" w:space="0" w:color="auto"/>
              <w:bottom w:val="single" w:sz="4" w:space="0" w:color="auto"/>
            </w:tcBorders>
            <w:tcMar>
              <w:top w:w="72" w:type="dxa"/>
              <w:left w:w="144" w:type="dxa"/>
              <w:bottom w:w="72" w:type="dxa"/>
              <w:right w:w="144" w:type="dxa"/>
            </w:tcMar>
          </w:tcPr>
          <w:p w14:paraId="0F837943" w14:textId="77777777" w:rsidR="002148D2" w:rsidRPr="00E262E0" w:rsidRDefault="002148D2" w:rsidP="00BB0618">
            <w:pPr>
              <w:pStyle w:val="StandardWeb"/>
              <w:jc w:val="center"/>
              <w:rPr>
                <w:rFonts w:ascii="Arial" w:hAnsi="Arial" w:cs="Arial"/>
                <w:sz w:val="22"/>
                <w:szCs w:val="22"/>
                <w:lang w:val="en-US"/>
              </w:rPr>
            </w:pPr>
            <w:r w:rsidRPr="00E262E0">
              <w:rPr>
                <w:rFonts w:ascii="Arial" w:hAnsi="Arial" w:cs="Arial"/>
                <w:b/>
                <w:bCs/>
                <w:sz w:val="22"/>
                <w:szCs w:val="22"/>
                <w:lang w:val="en-US"/>
              </w:rPr>
              <w:t>3-year progression rate to stage 3 T1D (95% CI)</w:t>
            </w:r>
          </w:p>
        </w:tc>
        <w:tc>
          <w:tcPr>
            <w:tcW w:w="1974" w:type="dxa"/>
            <w:tcBorders>
              <w:top w:val="single" w:sz="4" w:space="0" w:color="auto"/>
              <w:bottom w:val="single" w:sz="4" w:space="0" w:color="auto"/>
            </w:tcBorders>
          </w:tcPr>
          <w:p w14:paraId="41CFC8EB" w14:textId="77777777" w:rsidR="002148D2" w:rsidRPr="00E262E0" w:rsidRDefault="002148D2" w:rsidP="00BB0618">
            <w:pPr>
              <w:pStyle w:val="StandardWeb"/>
              <w:jc w:val="center"/>
              <w:rPr>
                <w:rFonts w:ascii="Arial" w:hAnsi="Arial" w:cs="Arial"/>
                <w:b/>
                <w:bCs/>
                <w:sz w:val="22"/>
                <w:szCs w:val="22"/>
                <w:lang w:val="en-US"/>
              </w:rPr>
            </w:pPr>
            <w:r w:rsidRPr="00E262E0">
              <w:rPr>
                <w:rFonts w:ascii="Arial" w:hAnsi="Arial" w:cs="Arial"/>
                <w:b/>
                <w:bCs/>
                <w:sz w:val="22"/>
                <w:szCs w:val="22"/>
                <w:lang w:val="en-US"/>
              </w:rPr>
              <w:t>Median survival (95% CI), years</w:t>
            </w:r>
          </w:p>
        </w:tc>
      </w:tr>
      <w:tr w:rsidR="002148D2" w:rsidRPr="00E262E0" w14:paraId="5E226D7F" w14:textId="77777777" w:rsidTr="00BB0618">
        <w:trPr>
          <w:trHeight w:val="567"/>
        </w:trPr>
        <w:tc>
          <w:tcPr>
            <w:tcW w:w="10338" w:type="dxa"/>
            <w:gridSpan w:val="5"/>
            <w:tcBorders>
              <w:top w:val="single" w:sz="4" w:space="0" w:color="auto"/>
            </w:tcBorders>
            <w:vAlign w:val="center"/>
          </w:tcPr>
          <w:p w14:paraId="6AFF45B7" w14:textId="77777777" w:rsidR="002148D2" w:rsidRPr="00E262E0" w:rsidRDefault="002148D2" w:rsidP="00BB0618">
            <w:pPr>
              <w:pStyle w:val="StandardWeb"/>
              <w:rPr>
                <w:rFonts w:ascii="Arial" w:hAnsi="Arial" w:cs="Arial"/>
                <w:b/>
                <w:bCs/>
                <w:sz w:val="22"/>
                <w:szCs w:val="22"/>
                <w:lang w:val="en-US"/>
              </w:rPr>
            </w:pPr>
            <w:r w:rsidRPr="00E262E0">
              <w:rPr>
                <w:rFonts w:ascii="Arial" w:hAnsi="Arial" w:cs="Arial"/>
                <w:b/>
                <w:bCs/>
                <w:sz w:val="22"/>
                <w:szCs w:val="22"/>
                <w:lang w:val="en-US"/>
              </w:rPr>
              <w:t>Stage 1 T1D: Original PLS</w:t>
            </w:r>
          </w:p>
        </w:tc>
      </w:tr>
      <w:tr w:rsidR="002148D2" w:rsidRPr="00E262E0" w14:paraId="121E9FE2" w14:textId="77777777" w:rsidTr="00BB0618">
        <w:trPr>
          <w:trHeight w:val="397"/>
        </w:trPr>
        <w:tc>
          <w:tcPr>
            <w:tcW w:w="2694" w:type="dxa"/>
            <w:shd w:val="clear" w:color="auto" w:fill="FFFFFF"/>
            <w:tcMar>
              <w:top w:w="72" w:type="dxa"/>
              <w:left w:w="144" w:type="dxa"/>
              <w:bottom w:w="72" w:type="dxa"/>
              <w:right w:w="144" w:type="dxa"/>
            </w:tcMar>
            <w:hideMark/>
          </w:tcPr>
          <w:p w14:paraId="69CF9041" w14:textId="77777777" w:rsidR="002148D2" w:rsidRPr="00E262E0" w:rsidRDefault="002148D2" w:rsidP="00BB0618">
            <w:pPr>
              <w:pStyle w:val="StandardWeb"/>
              <w:spacing w:line="360" w:lineRule="auto"/>
              <w:rPr>
                <w:rFonts w:ascii="Arial" w:hAnsi="Arial" w:cs="Arial"/>
                <w:sz w:val="22"/>
                <w:szCs w:val="22"/>
                <w:lang w:val="en-US"/>
              </w:rPr>
            </w:pPr>
            <w:r w:rsidRPr="00E262E0">
              <w:rPr>
                <w:rFonts w:ascii="Arial" w:hAnsi="Arial" w:cs="Arial"/>
                <w:sz w:val="22"/>
                <w:szCs w:val="22"/>
                <w:lang w:val="en-US"/>
              </w:rPr>
              <w:t>PLS &gt; 4.0</w:t>
            </w:r>
          </w:p>
        </w:tc>
        <w:tc>
          <w:tcPr>
            <w:tcW w:w="567" w:type="dxa"/>
            <w:shd w:val="clear" w:color="auto" w:fill="FFFFFF"/>
          </w:tcPr>
          <w:p w14:paraId="5ADDF5C3" w14:textId="77777777" w:rsidR="002148D2" w:rsidRPr="00E262E0" w:rsidRDefault="002148D2" w:rsidP="00BB0618">
            <w:pPr>
              <w:pStyle w:val="StandardWeb"/>
              <w:spacing w:line="360" w:lineRule="auto"/>
              <w:jc w:val="center"/>
              <w:rPr>
                <w:rFonts w:ascii="Arial" w:hAnsi="Arial" w:cs="Arial"/>
                <w:sz w:val="22"/>
                <w:szCs w:val="22"/>
                <w:lang w:val="en-US"/>
              </w:rPr>
            </w:pPr>
            <w:r w:rsidRPr="00E262E0">
              <w:rPr>
                <w:rFonts w:ascii="Arial" w:hAnsi="Arial" w:cs="Arial"/>
                <w:sz w:val="22"/>
                <w:szCs w:val="22"/>
                <w:lang w:val="en-US"/>
              </w:rPr>
              <w:t>39</w:t>
            </w:r>
          </w:p>
        </w:tc>
        <w:tc>
          <w:tcPr>
            <w:tcW w:w="2542" w:type="dxa"/>
            <w:shd w:val="clear" w:color="auto" w:fill="FFFFFF"/>
            <w:tcMar>
              <w:top w:w="72" w:type="dxa"/>
              <w:left w:w="144" w:type="dxa"/>
              <w:bottom w:w="72" w:type="dxa"/>
              <w:right w:w="144" w:type="dxa"/>
            </w:tcMar>
            <w:hideMark/>
          </w:tcPr>
          <w:p w14:paraId="102A261D" w14:textId="77777777" w:rsidR="002148D2" w:rsidRPr="00E262E0" w:rsidRDefault="002148D2" w:rsidP="00BB0618">
            <w:pPr>
              <w:pStyle w:val="StandardWeb"/>
              <w:spacing w:line="360" w:lineRule="auto"/>
              <w:jc w:val="center"/>
              <w:rPr>
                <w:rFonts w:ascii="Arial" w:hAnsi="Arial" w:cs="Arial"/>
                <w:sz w:val="22"/>
                <w:szCs w:val="22"/>
                <w:lang w:val="en-US"/>
              </w:rPr>
            </w:pPr>
            <w:r w:rsidRPr="00E262E0">
              <w:rPr>
                <w:rFonts w:ascii="Arial" w:hAnsi="Arial" w:cs="Arial"/>
                <w:sz w:val="22"/>
                <w:szCs w:val="22"/>
                <w:lang w:val="en-US"/>
              </w:rPr>
              <w:t>43.7% (24.3-58.1)</w:t>
            </w:r>
          </w:p>
        </w:tc>
        <w:tc>
          <w:tcPr>
            <w:tcW w:w="2561" w:type="dxa"/>
            <w:shd w:val="clear" w:color="auto" w:fill="FFFFFF"/>
            <w:tcMar>
              <w:top w:w="72" w:type="dxa"/>
              <w:left w:w="144" w:type="dxa"/>
              <w:bottom w:w="72" w:type="dxa"/>
              <w:right w:w="144" w:type="dxa"/>
            </w:tcMar>
          </w:tcPr>
          <w:p w14:paraId="3C04EC12" w14:textId="77777777" w:rsidR="002148D2" w:rsidRPr="00E262E0" w:rsidRDefault="002148D2" w:rsidP="00BB0618">
            <w:pPr>
              <w:pStyle w:val="StandardWeb"/>
              <w:spacing w:line="360" w:lineRule="auto"/>
              <w:jc w:val="center"/>
              <w:rPr>
                <w:rFonts w:ascii="Arial" w:hAnsi="Arial" w:cs="Arial"/>
                <w:sz w:val="22"/>
                <w:szCs w:val="22"/>
                <w:lang w:val="en-US"/>
              </w:rPr>
            </w:pPr>
            <w:r w:rsidRPr="00E262E0">
              <w:rPr>
                <w:rFonts w:ascii="Arial" w:hAnsi="Arial" w:cs="Arial"/>
                <w:sz w:val="22"/>
                <w:szCs w:val="22"/>
                <w:lang w:val="en-US"/>
              </w:rPr>
              <w:t>63.0% (41.7-76.5)</w:t>
            </w:r>
          </w:p>
        </w:tc>
        <w:tc>
          <w:tcPr>
            <w:tcW w:w="1974" w:type="dxa"/>
            <w:shd w:val="clear" w:color="auto" w:fill="FFFFFF"/>
          </w:tcPr>
          <w:p w14:paraId="23E13799" w14:textId="77777777" w:rsidR="002148D2" w:rsidRPr="00E262E0" w:rsidRDefault="002148D2" w:rsidP="00BB0618">
            <w:pPr>
              <w:pStyle w:val="StandardWeb"/>
              <w:spacing w:line="360" w:lineRule="auto"/>
              <w:jc w:val="center"/>
              <w:rPr>
                <w:rFonts w:ascii="Arial" w:hAnsi="Arial" w:cs="Arial"/>
                <w:sz w:val="22"/>
                <w:szCs w:val="22"/>
                <w:lang w:val="en-US"/>
              </w:rPr>
            </w:pPr>
            <w:r w:rsidRPr="00E262E0">
              <w:rPr>
                <w:rFonts w:ascii="Arial" w:hAnsi="Arial" w:cs="Arial"/>
                <w:sz w:val="22"/>
                <w:szCs w:val="22"/>
                <w:lang w:val="en-US"/>
              </w:rPr>
              <w:t>2.2 (1.3-4.1)</w:t>
            </w:r>
          </w:p>
        </w:tc>
      </w:tr>
      <w:tr w:rsidR="002148D2" w:rsidRPr="00E262E0" w14:paraId="5C89BDA9" w14:textId="77777777" w:rsidTr="00BB0618">
        <w:trPr>
          <w:trHeight w:val="397"/>
        </w:trPr>
        <w:tc>
          <w:tcPr>
            <w:tcW w:w="2694" w:type="dxa"/>
            <w:shd w:val="clear" w:color="auto" w:fill="FFFFFF"/>
            <w:tcMar>
              <w:top w:w="72" w:type="dxa"/>
              <w:left w:w="144" w:type="dxa"/>
              <w:bottom w:w="72" w:type="dxa"/>
              <w:right w:w="144" w:type="dxa"/>
            </w:tcMar>
            <w:hideMark/>
          </w:tcPr>
          <w:p w14:paraId="3BE85687" w14:textId="77777777" w:rsidR="002148D2" w:rsidRPr="00E262E0" w:rsidRDefault="002148D2" w:rsidP="00BB0618">
            <w:pPr>
              <w:pStyle w:val="StandardWeb"/>
              <w:spacing w:line="360" w:lineRule="auto"/>
              <w:rPr>
                <w:rFonts w:ascii="Arial" w:hAnsi="Arial" w:cs="Arial"/>
                <w:sz w:val="22"/>
                <w:szCs w:val="22"/>
                <w:lang w:val="en-US"/>
              </w:rPr>
            </w:pPr>
            <w:r w:rsidRPr="00E262E0">
              <w:rPr>
                <w:rFonts w:ascii="Arial" w:hAnsi="Arial" w:cs="Arial"/>
                <w:sz w:val="22"/>
                <w:szCs w:val="22"/>
                <w:lang w:val="en-US"/>
              </w:rPr>
              <w:t xml:space="preserve">PLS ≤ 4.0 and &gt; 0.5 </w:t>
            </w:r>
          </w:p>
        </w:tc>
        <w:tc>
          <w:tcPr>
            <w:tcW w:w="567" w:type="dxa"/>
            <w:shd w:val="clear" w:color="auto" w:fill="FFFFFF"/>
          </w:tcPr>
          <w:p w14:paraId="5B4C4013" w14:textId="77777777" w:rsidR="002148D2" w:rsidRPr="00E262E0" w:rsidRDefault="002148D2" w:rsidP="00BB0618">
            <w:pPr>
              <w:pStyle w:val="StandardWeb"/>
              <w:spacing w:line="360" w:lineRule="auto"/>
              <w:jc w:val="center"/>
              <w:rPr>
                <w:rFonts w:ascii="Arial" w:hAnsi="Arial" w:cs="Arial"/>
                <w:sz w:val="22"/>
                <w:szCs w:val="22"/>
                <w:lang w:val="en-US"/>
              </w:rPr>
            </w:pPr>
            <w:r w:rsidRPr="00E262E0">
              <w:rPr>
                <w:rFonts w:ascii="Arial" w:hAnsi="Arial" w:cs="Arial"/>
                <w:sz w:val="22"/>
                <w:szCs w:val="22"/>
                <w:lang w:val="en-US"/>
              </w:rPr>
              <w:t>207</w:t>
            </w:r>
          </w:p>
        </w:tc>
        <w:tc>
          <w:tcPr>
            <w:tcW w:w="2542" w:type="dxa"/>
            <w:shd w:val="clear" w:color="auto" w:fill="FFFFFF"/>
            <w:tcMar>
              <w:top w:w="72" w:type="dxa"/>
              <w:left w:w="144" w:type="dxa"/>
              <w:bottom w:w="72" w:type="dxa"/>
              <w:right w:w="144" w:type="dxa"/>
            </w:tcMar>
            <w:hideMark/>
          </w:tcPr>
          <w:p w14:paraId="1742FA3D" w14:textId="77777777" w:rsidR="002148D2" w:rsidRPr="00E262E0" w:rsidRDefault="002148D2" w:rsidP="00BB0618">
            <w:pPr>
              <w:pStyle w:val="StandardWeb"/>
              <w:spacing w:line="360" w:lineRule="auto"/>
              <w:jc w:val="center"/>
              <w:rPr>
                <w:rFonts w:ascii="Arial" w:hAnsi="Arial" w:cs="Arial"/>
                <w:sz w:val="22"/>
                <w:szCs w:val="22"/>
                <w:lang w:val="en-US"/>
              </w:rPr>
            </w:pPr>
            <w:r w:rsidRPr="00E262E0">
              <w:rPr>
                <w:rFonts w:ascii="Arial" w:hAnsi="Arial" w:cs="Arial"/>
                <w:sz w:val="22"/>
                <w:szCs w:val="22"/>
                <w:lang w:val="en-US"/>
              </w:rPr>
              <w:t>4.7% (1.7-7.7)</w:t>
            </w:r>
          </w:p>
        </w:tc>
        <w:tc>
          <w:tcPr>
            <w:tcW w:w="2561" w:type="dxa"/>
            <w:shd w:val="clear" w:color="auto" w:fill="FFFFFF"/>
            <w:tcMar>
              <w:top w:w="72" w:type="dxa"/>
              <w:left w:w="144" w:type="dxa"/>
              <w:bottom w:w="72" w:type="dxa"/>
              <w:right w:w="144" w:type="dxa"/>
            </w:tcMar>
          </w:tcPr>
          <w:p w14:paraId="7F86A7C2" w14:textId="77777777" w:rsidR="002148D2" w:rsidRPr="00E262E0" w:rsidRDefault="002148D2" w:rsidP="00BB0618">
            <w:pPr>
              <w:pStyle w:val="StandardWeb"/>
              <w:spacing w:line="360" w:lineRule="auto"/>
              <w:jc w:val="center"/>
              <w:rPr>
                <w:rFonts w:ascii="Arial" w:hAnsi="Arial" w:cs="Arial"/>
                <w:sz w:val="22"/>
                <w:szCs w:val="22"/>
                <w:lang w:val="en-US"/>
              </w:rPr>
            </w:pPr>
            <w:r w:rsidRPr="00E262E0">
              <w:rPr>
                <w:rFonts w:ascii="Arial" w:hAnsi="Arial" w:cs="Arial"/>
                <w:sz w:val="22"/>
                <w:szCs w:val="22"/>
                <w:lang w:val="en-US"/>
              </w:rPr>
              <w:t>11.8% (6.8-16.6)</w:t>
            </w:r>
          </w:p>
        </w:tc>
        <w:tc>
          <w:tcPr>
            <w:tcW w:w="1974" w:type="dxa"/>
            <w:shd w:val="clear" w:color="auto" w:fill="FFFFFF"/>
          </w:tcPr>
          <w:p w14:paraId="6BDEC71E" w14:textId="06142E1A" w:rsidR="002148D2" w:rsidRPr="00E262E0" w:rsidRDefault="002148D2" w:rsidP="00BB0618">
            <w:pPr>
              <w:pStyle w:val="StandardWeb"/>
              <w:spacing w:line="360" w:lineRule="auto"/>
              <w:jc w:val="center"/>
              <w:rPr>
                <w:rFonts w:ascii="Arial" w:hAnsi="Arial" w:cs="Arial"/>
                <w:sz w:val="22"/>
                <w:szCs w:val="22"/>
                <w:lang w:val="en-US"/>
              </w:rPr>
            </w:pPr>
            <w:r w:rsidRPr="00E262E0">
              <w:rPr>
                <w:rFonts w:ascii="Arial" w:hAnsi="Arial" w:cs="Arial"/>
                <w:sz w:val="22"/>
                <w:szCs w:val="22"/>
                <w:lang w:val="en-US"/>
              </w:rPr>
              <w:t>8.0 (6.8-</w:t>
            </w:r>
            <w:r w:rsidR="00390671" w:rsidRPr="00E262E0">
              <w:rPr>
                <w:rFonts w:ascii="Arial" w:hAnsi="Arial" w:cs="Arial"/>
                <w:sz w:val="22"/>
                <w:szCs w:val="22"/>
                <w:lang w:val="en-US"/>
              </w:rPr>
              <w:t>&gt;8.0</w:t>
            </w:r>
            <w:r w:rsidRPr="00E262E0">
              <w:rPr>
                <w:rFonts w:ascii="Arial" w:hAnsi="Arial" w:cs="Arial"/>
                <w:sz w:val="22"/>
                <w:szCs w:val="22"/>
                <w:lang w:val="en-US"/>
              </w:rPr>
              <w:t>)</w:t>
            </w:r>
          </w:p>
        </w:tc>
      </w:tr>
      <w:tr w:rsidR="002148D2" w:rsidRPr="00E262E0" w14:paraId="5D630659" w14:textId="77777777" w:rsidTr="00BB0618">
        <w:trPr>
          <w:trHeight w:val="397"/>
        </w:trPr>
        <w:tc>
          <w:tcPr>
            <w:tcW w:w="2694" w:type="dxa"/>
            <w:tcBorders>
              <w:bottom w:val="single" w:sz="4" w:space="0" w:color="auto"/>
            </w:tcBorders>
            <w:shd w:val="clear" w:color="auto" w:fill="FFFFFF"/>
            <w:tcMar>
              <w:top w:w="72" w:type="dxa"/>
              <w:left w:w="144" w:type="dxa"/>
              <w:bottom w:w="72" w:type="dxa"/>
              <w:right w:w="144" w:type="dxa"/>
            </w:tcMar>
            <w:hideMark/>
          </w:tcPr>
          <w:p w14:paraId="2B3DEEA9" w14:textId="77777777" w:rsidR="002148D2" w:rsidRPr="00E262E0" w:rsidRDefault="002148D2" w:rsidP="00BB0618">
            <w:pPr>
              <w:pStyle w:val="StandardWeb"/>
              <w:rPr>
                <w:rFonts w:ascii="Arial" w:hAnsi="Arial" w:cs="Arial"/>
                <w:sz w:val="22"/>
                <w:szCs w:val="22"/>
                <w:lang w:val="en-US"/>
              </w:rPr>
            </w:pPr>
            <w:r w:rsidRPr="00E262E0">
              <w:rPr>
                <w:rFonts w:ascii="Arial" w:hAnsi="Arial" w:cs="Arial"/>
                <w:sz w:val="22"/>
                <w:szCs w:val="22"/>
                <w:lang w:val="en-US"/>
              </w:rPr>
              <w:t xml:space="preserve">PLS ≤ 0.5 </w:t>
            </w:r>
          </w:p>
        </w:tc>
        <w:tc>
          <w:tcPr>
            <w:tcW w:w="567" w:type="dxa"/>
            <w:tcBorders>
              <w:bottom w:val="single" w:sz="4" w:space="0" w:color="auto"/>
            </w:tcBorders>
            <w:shd w:val="clear" w:color="auto" w:fill="FFFFFF"/>
          </w:tcPr>
          <w:p w14:paraId="01F9A350" w14:textId="77777777" w:rsidR="002148D2" w:rsidRPr="00E262E0" w:rsidRDefault="002148D2" w:rsidP="00BB0618">
            <w:pPr>
              <w:pStyle w:val="StandardWeb"/>
              <w:jc w:val="center"/>
              <w:rPr>
                <w:rFonts w:ascii="Arial" w:hAnsi="Arial" w:cs="Arial"/>
                <w:sz w:val="22"/>
                <w:szCs w:val="22"/>
                <w:lang w:val="en-US"/>
              </w:rPr>
            </w:pPr>
            <w:r w:rsidRPr="00E262E0">
              <w:rPr>
                <w:rFonts w:ascii="Arial" w:hAnsi="Arial" w:cs="Arial"/>
                <w:sz w:val="22"/>
                <w:szCs w:val="22"/>
                <w:lang w:val="en-US"/>
              </w:rPr>
              <w:t>114</w:t>
            </w:r>
          </w:p>
        </w:tc>
        <w:tc>
          <w:tcPr>
            <w:tcW w:w="2542" w:type="dxa"/>
            <w:tcBorders>
              <w:bottom w:val="single" w:sz="4" w:space="0" w:color="auto"/>
            </w:tcBorders>
            <w:shd w:val="clear" w:color="auto" w:fill="FFFFFF"/>
            <w:tcMar>
              <w:top w:w="72" w:type="dxa"/>
              <w:left w:w="144" w:type="dxa"/>
              <w:bottom w:w="72" w:type="dxa"/>
              <w:right w:w="144" w:type="dxa"/>
            </w:tcMar>
            <w:hideMark/>
          </w:tcPr>
          <w:p w14:paraId="60FAE656" w14:textId="77777777" w:rsidR="002148D2" w:rsidRPr="00E262E0" w:rsidRDefault="002148D2" w:rsidP="00BB0618">
            <w:pPr>
              <w:pStyle w:val="StandardWeb"/>
              <w:jc w:val="center"/>
              <w:rPr>
                <w:rFonts w:ascii="Arial" w:hAnsi="Arial" w:cs="Arial"/>
                <w:sz w:val="22"/>
                <w:szCs w:val="22"/>
                <w:lang w:val="en-US"/>
              </w:rPr>
            </w:pPr>
            <w:r w:rsidRPr="00E262E0">
              <w:rPr>
                <w:rFonts w:ascii="Arial" w:hAnsi="Arial" w:cs="Arial"/>
                <w:sz w:val="22"/>
                <w:szCs w:val="22"/>
                <w:lang w:val="en-US"/>
              </w:rPr>
              <w:t>0.0%</w:t>
            </w:r>
          </w:p>
        </w:tc>
        <w:tc>
          <w:tcPr>
            <w:tcW w:w="2561" w:type="dxa"/>
            <w:tcBorders>
              <w:bottom w:val="single" w:sz="4" w:space="0" w:color="auto"/>
            </w:tcBorders>
            <w:shd w:val="clear" w:color="auto" w:fill="FFFFFF"/>
            <w:tcMar>
              <w:top w:w="72" w:type="dxa"/>
              <w:left w:w="144" w:type="dxa"/>
              <w:bottom w:w="72" w:type="dxa"/>
              <w:right w:w="144" w:type="dxa"/>
            </w:tcMar>
          </w:tcPr>
          <w:p w14:paraId="14636CE1" w14:textId="77777777" w:rsidR="002148D2" w:rsidRPr="00E262E0" w:rsidRDefault="002148D2" w:rsidP="00BB0618">
            <w:pPr>
              <w:pStyle w:val="StandardWeb"/>
              <w:jc w:val="center"/>
              <w:rPr>
                <w:rFonts w:ascii="Arial" w:hAnsi="Arial" w:cs="Arial"/>
                <w:sz w:val="22"/>
                <w:szCs w:val="22"/>
                <w:lang w:val="en-US"/>
              </w:rPr>
            </w:pPr>
            <w:r w:rsidRPr="00E262E0">
              <w:rPr>
                <w:rFonts w:ascii="Arial" w:hAnsi="Arial" w:cs="Arial"/>
                <w:sz w:val="22"/>
                <w:szCs w:val="22"/>
                <w:lang w:val="en-US"/>
              </w:rPr>
              <w:t>4.9% (0.1-9.4)</w:t>
            </w:r>
          </w:p>
        </w:tc>
        <w:tc>
          <w:tcPr>
            <w:tcW w:w="1974" w:type="dxa"/>
            <w:tcBorders>
              <w:bottom w:val="single" w:sz="4" w:space="0" w:color="auto"/>
            </w:tcBorders>
            <w:shd w:val="clear" w:color="auto" w:fill="FFFFFF"/>
          </w:tcPr>
          <w:p w14:paraId="4554B2FA" w14:textId="77777777" w:rsidR="002148D2" w:rsidRPr="00E262E0" w:rsidRDefault="002148D2" w:rsidP="00BB0618">
            <w:pPr>
              <w:pStyle w:val="StandardWeb"/>
              <w:spacing w:line="360" w:lineRule="auto"/>
              <w:jc w:val="center"/>
              <w:rPr>
                <w:rFonts w:ascii="Arial" w:hAnsi="Arial" w:cs="Arial"/>
                <w:sz w:val="22"/>
                <w:szCs w:val="22"/>
                <w:lang w:val="en-US"/>
              </w:rPr>
            </w:pPr>
            <w:r w:rsidRPr="00E262E0">
              <w:rPr>
                <w:rFonts w:ascii="Arial" w:hAnsi="Arial" w:cs="Arial"/>
                <w:sz w:val="22"/>
                <w:szCs w:val="22"/>
                <w:lang w:val="en-US"/>
              </w:rPr>
              <w:t>&gt;8.0</w:t>
            </w:r>
          </w:p>
        </w:tc>
      </w:tr>
      <w:tr w:rsidR="002148D2" w:rsidRPr="00A715D2" w14:paraId="3F99A782" w14:textId="77777777" w:rsidTr="00AD312A">
        <w:trPr>
          <w:trHeight w:val="567"/>
        </w:trPr>
        <w:tc>
          <w:tcPr>
            <w:tcW w:w="10338" w:type="dxa"/>
            <w:gridSpan w:val="5"/>
            <w:tcBorders>
              <w:top w:val="single" w:sz="4" w:space="0" w:color="auto"/>
            </w:tcBorders>
            <w:shd w:val="clear" w:color="auto" w:fill="FFFFFF"/>
            <w:vAlign w:val="center"/>
          </w:tcPr>
          <w:p w14:paraId="3AF762E4" w14:textId="6B3DB803" w:rsidR="002148D2" w:rsidRPr="00E262E0" w:rsidRDefault="002148D2" w:rsidP="00BB0618">
            <w:pPr>
              <w:pStyle w:val="StandardWeb"/>
              <w:spacing w:line="360" w:lineRule="auto"/>
              <w:rPr>
                <w:rFonts w:ascii="Arial" w:hAnsi="Arial" w:cs="Arial"/>
                <w:b/>
                <w:bCs/>
                <w:sz w:val="22"/>
                <w:szCs w:val="22"/>
                <w:lang w:val="en-US"/>
              </w:rPr>
            </w:pPr>
            <w:r w:rsidRPr="00E262E0">
              <w:rPr>
                <w:rFonts w:ascii="Arial" w:hAnsi="Arial" w:cs="Arial"/>
                <w:b/>
                <w:bCs/>
                <w:sz w:val="22"/>
                <w:szCs w:val="22"/>
                <w:lang w:val="en-US"/>
              </w:rPr>
              <w:t xml:space="preserve">Stage 1 T1D: </w:t>
            </w:r>
            <w:r w:rsidR="00792BFF" w:rsidRPr="00E262E0">
              <w:rPr>
                <w:rFonts w:ascii="Arial" w:hAnsi="Arial" w:cs="Arial"/>
                <w:b/>
                <w:bCs/>
                <w:sz w:val="22"/>
                <w:szCs w:val="22"/>
                <w:lang w:val="en-US"/>
              </w:rPr>
              <w:t xml:space="preserve">Non-OGTT-based </w:t>
            </w:r>
            <w:r w:rsidRPr="00E262E0">
              <w:rPr>
                <w:rFonts w:ascii="Arial" w:hAnsi="Arial" w:cs="Arial"/>
                <w:b/>
                <w:bCs/>
                <w:sz w:val="22"/>
                <w:szCs w:val="22"/>
                <w:lang w:val="en-US"/>
              </w:rPr>
              <w:t xml:space="preserve">progression score </w:t>
            </w:r>
          </w:p>
        </w:tc>
      </w:tr>
      <w:tr w:rsidR="00D12648" w:rsidRPr="00E262E0" w14:paraId="011901E1" w14:textId="77777777" w:rsidTr="00AD312A">
        <w:trPr>
          <w:trHeight w:val="397"/>
        </w:trPr>
        <w:tc>
          <w:tcPr>
            <w:tcW w:w="2694" w:type="dxa"/>
            <w:shd w:val="clear" w:color="auto" w:fill="FFFFFF"/>
            <w:tcMar>
              <w:top w:w="72" w:type="dxa"/>
              <w:left w:w="144" w:type="dxa"/>
              <w:bottom w:w="72" w:type="dxa"/>
              <w:right w:w="144" w:type="dxa"/>
            </w:tcMar>
          </w:tcPr>
          <w:p w14:paraId="0826EA11" w14:textId="38888974" w:rsidR="00D12648" w:rsidRPr="00E262E0" w:rsidRDefault="00D12648" w:rsidP="00D12648">
            <w:pPr>
              <w:pStyle w:val="StandardWeb"/>
              <w:rPr>
                <w:rFonts w:ascii="Arial" w:hAnsi="Arial" w:cs="Arial"/>
                <w:sz w:val="22"/>
                <w:szCs w:val="22"/>
                <w:lang w:val="en-US"/>
              </w:rPr>
            </w:pPr>
            <w:r w:rsidRPr="00E262E0">
              <w:rPr>
                <w:rFonts w:ascii="Arial" w:hAnsi="Arial" w:cs="Arial"/>
                <w:sz w:val="22"/>
                <w:szCs w:val="22"/>
                <w:lang w:val="en-US"/>
              </w:rPr>
              <w:t>Score &gt; 3.0</w:t>
            </w:r>
          </w:p>
        </w:tc>
        <w:tc>
          <w:tcPr>
            <w:tcW w:w="567" w:type="dxa"/>
            <w:shd w:val="clear" w:color="auto" w:fill="FFFFFF"/>
          </w:tcPr>
          <w:p w14:paraId="57EE51AF" w14:textId="690E0985"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55</w:t>
            </w:r>
          </w:p>
        </w:tc>
        <w:tc>
          <w:tcPr>
            <w:tcW w:w="2542" w:type="dxa"/>
            <w:shd w:val="clear" w:color="auto" w:fill="FFFFFF"/>
            <w:tcMar>
              <w:top w:w="72" w:type="dxa"/>
              <w:left w:w="144" w:type="dxa"/>
              <w:bottom w:w="72" w:type="dxa"/>
              <w:right w:w="144" w:type="dxa"/>
            </w:tcMar>
          </w:tcPr>
          <w:p w14:paraId="6CC099A9" w14:textId="5A90201C"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24.6% (13.0-36.2)</w:t>
            </w:r>
          </w:p>
        </w:tc>
        <w:tc>
          <w:tcPr>
            <w:tcW w:w="2561" w:type="dxa"/>
            <w:shd w:val="clear" w:color="auto" w:fill="FFFFFF"/>
            <w:tcMar>
              <w:top w:w="72" w:type="dxa"/>
              <w:left w:w="144" w:type="dxa"/>
              <w:bottom w:w="72" w:type="dxa"/>
              <w:right w:w="144" w:type="dxa"/>
            </w:tcMar>
          </w:tcPr>
          <w:p w14:paraId="33D3E899" w14:textId="662CC87B"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37.7 (24.2-41.2)</w:t>
            </w:r>
          </w:p>
        </w:tc>
        <w:tc>
          <w:tcPr>
            <w:tcW w:w="1974" w:type="dxa"/>
            <w:shd w:val="clear" w:color="auto" w:fill="FFFFFF"/>
          </w:tcPr>
          <w:p w14:paraId="638F0754" w14:textId="5F140F9E" w:rsidR="00D12648" w:rsidRPr="00E262E0" w:rsidRDefault="00D12648" w:rsidP="00D12648">
            <w:pPr>
              <w:pStyle w:val="StandardWeb"/>
              <w:spacing w:line="360" w:lineRule="auto"/>
              <w:jc w:val="center"/>
              <w:rPr>
                <w:rFonts w:ascii="Arial" w:hAnsi="Arial" w:cs="Arial"/>
                <w:sz w:val="22"/>
                <w:szCs w:val="22"/>
                <w:lang w:val="en-US"/>
              </w:rPr>
            </w:pPr>
            <w:r w:rsidRPr="00E262E0">
              <w:rPr>
                <w:rFonts w:ascii="Arial" w:hAnsi="Arial" w:cs="Arial"/>
                <w:sz w:val="22"/>
                <w:szCs w:val="22"/>
                <w:lang w:val="en-US"/>
              </w:rPr>
              <w:t>4.1 (3.4-7.0)</w:t>
            </w:r>
          </w:p>
        </w:tc>
      </w:tr>
      <w:tr w:rsidR="00D12648" w:rsidRPr="00E262E0" w14:paraId="32462DA9" w14:textId="77777777" w:rsidTr="00AD312A">
        <w:trPr>
          <w:trHeight w:val="397"/>
        </w:trPr>
        <w:tc>
          <w:tcPr>
            <w:tcW w:w="2694" w:type="dxa"/>
            <w:shd w:val="clear" w:color="auto" w:fill="FFFFFF"/>
            <w:tcMar>
              <w:top w:w="72" w:type="dxa"/>
              <w:left w:w="144" w:type="dxa"/>
              <w:bottom w:w="72" w:type="dxa"/>
              <w:right w:w="144" w:type="dxa"/>
            </w:tcMar>
          </w:tcPr>
          <w:p w14:paraId="4B3AAB5C" w14:textId="77777777" w:rsidR="00D12648" w:rsidRPr="00E262E0" w:rsidRDefault="00D12648" w:rsidP="00D12648">
            <w:pPr>
              <w:pStyle w:val="StandardWeb"/>
              <w:rPr>
                <w:rFonts w:ascii="Arial" w:hAnsi="Arial" w:cs="Arial"/>
                <w:sz w:val="22"/>
                <w:szCs w:val="22"/>
                <w:lang w:val="en-US"/>
              </w:rPr>
            </w:pPr>
            <w:r w:rsidRPr="00E262E0">
              <w:rPr>
                <w:rFonts w:ascii="Arial" w:hAnsi="Arial" w:cs="Arial"/>
                <w:sz w:val="22"/>
                <w:szCs w:val="22"/>
                <w:lang w:val="en-US"/>
              </w:rPr>
              <w:t>Score ≥ 1.25 and ≤ 3.0</w:t>
            </w:r>
          </w:p>
        </w:tc>
        <w:tc>
          <w:tcPr>
            <w:tcW w:w="567" w:type="dxa"/>
            <w:shd w:val="clear" w:color="auto" w:fill="FFFFFF"/>
          </w:tcPr>
          <w:p w14:paraId="24CCC21D" w14:textId="77777777"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90</w:t>
            </w:r>
          </w:p>
        </w:tc>
        <w:tc>
          <w:tcPr>
            <w:tcW w:w="2542" w:type="dxa"/>
            <w:shd w:val="clear" w:color="auto" w:fill="FFFFFF"/>
            <w:tcMar>
              <w:top w:w="72" w:type="dxa"/>
              <w:left w:w="144" w:type="dxa"/>
              <w:bottom w:w="72" w:type="dxa"/>
              <w:right w:w="144" w:type="dxa"/>
            </w:tcMar>
          </w:tcPr>
          <w:p w14:paraId="5E3F9645" w14:textId="77777777"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7.9% (2.4-13.4)</w:t>
            </w:r>
          </w:p>
        </w:tc>
        <w:tc>
          <w:tcPr>
            <w:tcW w:w="2561" w:type="dxa"/>
            <w:shd w:val="clear" w:color="auto" w:fill="FFFFFF"/>
            <w:tcMar>
              <w:top w:w="72" w:type="dxa"/>
              <w:left w:w="144" w:type="dxa"/>
              <w:bottom w:w="72" w:type="dxa"/>
              <w:right w:w="144" w:type="dxa"/>
            </w:tcMar>
          </w:tcPr>
          <w:p w14:paraId="4874B6B3" w14:textId="77777777"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17.9% (9.7-26.1)</w:t>
            </w:r>
          </w:p>
        </w:tc>
        <w:tc>
          <w:tcPr>
            <w:tcW w:w="1974" w:type="dxa"/>
            <w:shd w:val="clear" w:color="auto" w:fill="FFFFFF"/>
          </w:tcPr>
          <w:p w14:paraId="4091BE81" w14:textId="524B22E1" w:rsidR="00D12648" w:rsidRPr="00E262E0" w:rsidRDefault="00D12648" w:rsidP="00D12648">
            <w:pPr>
              <w:pStyle w:val="StandardWeb"/>
              <w:spacing w:line="360" w:lineRule="auto"/>
              <w:jc w:val="center"/>
              <w:rPr>
                <w:rFonts w:ascii="Arial" w:hAnsi="Arial" w:cs="Arial"/>
                <w:sz w:val="22"/>
                <w:szCs w:val="22"/>
                <w:lang w:val="en-US"/>
              </w:rPr>
            </w:pPr>
            <w:r w:rsidRPr="00E262E0">
              <w:rPr>
                <w:rFonts w:ascii="Arial" w:hAnsi="Arial" w:cs="Arial"/>
                <w:sz w:val="22"/>
                <w:szCs w:val="22"/>
                <w:lang w:val="en-US"/>
              </w:rPr>
              <w:t>7.4 (5.3-&gt;8.0)</w:t>
            </w:r>
          </w:p>
        </w:tc>
      </w:tr>
      <w:tr w:rsidR="00D12648" w:rsidRPr="00E262E0" w14:paraId="1BF2B317" w14:textId="77777777" w:rsidTr="008130E5">
        <w:trPr>
          <w:trHeight w:val="397"/>
        </w:trPr>
        <w:tc>
          <w:tcPr>
            <w:tcW w:w="2694" w:type="dxa"/>
            <w:shd w:val="clear" w:color="auto" w:fill="FFFFFF"/>
            <w:tcMar>
              <w:top w:w="72" w:type="dxa"/>
              <w:left w:w="144" w:type="dxa"/>
              <w:bottom w:w="72" w:type="dxa"/>
              <w:right w:w="144" w:type="dxa"/>
            </w:tcMar>
          </w:tcPr>
          <w:p w14:paraId="49527B38" w14:textId="3A701D99" w:rsidR="00D12648" w:rsidRPr="00E262E0" w:rsidRDefault="00D12648" w:rsidP="00D12648">
            <w:pPr>
              <w:pStyle w:val="StandardWeb"/>
              <w:rPr>
                <w:rFonts w:ascii="Arial" w:hAnsi="Arial" w:cs="Arial"/>
                <w:sz w:val="22"/>
                <w:szCs w:val="22"/>
                <w:lang w:val="en-US"/>
              </w:rPr>
            </w:pPr>
            <w:r w:rsidRPr="00E262E0">
              <w:rPr>
                <w:rFonts w:ascii="Arial" w:hAnsi="Arial" w:cs="Arial"/>
                <w:sz w:val="22"/>
                <w:szCs w:val="22"/>
                <w:lang w:val="en-US"/>
              </w:rPr>
              <w:t>Score &lt; 1.25</w:t>
            </w:r>
          </w:p>
        </w:tc>
        <w:tc>
          <w:tcPr>
            <w:tcW w:w="567" w:type="dxa"/>
            <w:shd w:val="clear" w:color="auto" w:fill="FFFFFF"/>
          </w:tcPr>
          <w:p w14:paraId="7C4DF07A" w14:textId="1132CF9E"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177</w:t>
            </w:r>
          </w:p>
        </w:tc>
        <w:tc>
          <w:tcPr>
            <w:tcW w:w="2542" w:type="dxa"/>
            <w:shd w:val="clear" w:color="auto" w:fill="FFFFFF"/>
            <w:tcMar>
              <w:top w:w="72" w:type="dxa"/>
              <w:left w:w="144" w:type="dxa"/>
              <w:bottom w:w="72" w:type="dxa"/>
              <w:right w:w="144" w:type="dxa"/>
            </w:tcMar>
          </w:tcPr>
          <w:p w14:paraId="550F700E" w14:textId="51DE4FBD"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1.7% (0.0-3.7)</w:t>
            </w:r>
          </w:p>
        </w:tc>
        <w:tc>
          <w:tcPr>
            <w:tcW w:w="2561" w:type="dxa"/>
            <w:shd w:val="clear" w:color="auto" w:fill="FFFFFF"/>
            <w:tcMar>
              <w:top w:w="72" w:type="dxa"/>
              <w:left w:w="144" w:type="dxa"/>
              <w:bottom w:w="72" w:type="dxa"/>
              <w:right w:w="144" w:type="dxa"/>
            </w:tcMar>
          </w:tcPr>
          <w:p w14:paraId="4C4AAD1D" w14:textId="6CD8560D"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6.8% (2.7-10.9)</w:t>
            </w:r>
          </w:p>
        </w:tc>
        <w:tc>
          <w:tcPr>
            <w:tcW w:w="1974" w:type="dxa"/>
            <w:shd w:val="clear" w:color="auto" w:fill="FFFFFF"/>
          </w:tcPr>
          <w:p w14:paraId="67E01E2E" w14:textId="7D00DB91" w:rsidR="00D12648" w:rsidRPr="00E262E0" w:rsidRDefault="00D12648" w:rsidP="00D12648">
            <w:pPr>
              <w:pStyle w:val="StandardWeb"/>
              <w:spacing w:line="360" w:lineRule="auto"/>
              <w:jc w:val="center"/>
              <w:rPr>
                <w:rFonts w:ascii="Arial" w:hAnsi="Arial" w:cs="Arial"/>
                <w:sz w:val="22"/>
                <w:szCs w:val="22"/>
                <w:lang w:val="en-US"/>
              </w:rPr>
            </w:pPr>
            <w:r w:rsidRPr="00E262E0">
              <w:rPr>
                <w:rFonts w:ascii="Arial" w:hAnsi="Arial" w:cs="Arial"/>
                <w:sz w:val="22"/>
                <w:szCs w:val="22"/>
                <w:lang w:val="en-US"/>
              </w:rPr>
              <w:t>&gt;8.0</w:t>
            </w:r>
          </w:p>
        </w:tc>
      </w:tr>
      <w:tr w:rsidR="00D12648" w:rsidRPr="00E262E0" w14:paraId="02631760" w14:textId="77777777" w:rsidTr="00AD312A">
        <w:trPr>
          <w:trHeight w:val="567"/>
        </w:trPr>
        <w:tc>
          <w:tcPr>
            <w:tcW w:w="10338" w:type="dxa"/>
            <w:gridSpan w:val="5"/>
            <w:tcBorders>
              <w:top w:val="single" w:sz="4" w:space="0" w:color="auto"/>
            </w:tcBorders>
            <w:shd w:val="clear" w:color="auto" w:fill="FFFFFF"/>
            <w:vAlign w:val="center"/>
          </w:tcPr>
          <w:p w14:paraId="48CD2DCE" w14:textId="73683415" w:rsidR="00D12648" w:rsidRPr="00E262E0" w:rsidRDefault="00D12648" w:rsidP="00D12648">
            <w:pPr>
              <w:pStyle w:val="StandardWeb"/>
              <w:spacing w:line="360" w:lineRule="auto"/>
              <w:rPr>
                <w:rFonts w:ascii="Arial" w:hAnsi="Arial" w:cs="Arial"/>
                <w:b/>
                <w:bCs/>
                <w:sz w:val="22"/>
                <w:szCs w:val="22"/>
                <w:lang w:val="en-US"/>
              </w:rPr>
            </w:pPr>
            <w:r w:rsidRPr="00E262E0">
              <w:rPr>
                <w:rFonts w:ascii="Arial" w:hAnsi="Arial" w:cs="Arial"/>
                <w:b/>
                <w:bCs/>
                <w:sz w:val="22"/>
                <w:szCs w:val="22"/>
                <w:lang w:val="en-US"/>
              </w:rPr>
              <w:t xml:space="preserve">Stage 2 T1D: Original PLS </w:t>
            </w:r>
          </w:p>
        </w:tc>
      </w:tr>
      <w:tr w:rsidR="00D12648" w:rsidRPr="00E262E0" w14:paraId="35429A90" w14:textId="77777777" w:rsidTr="00AD312A">
        <w:trPr>
          <w:trHeight w:val="397"/>
        </w:trPr>
        <w:tc>
          <w:tcPr>
            <w:tcW w:w="2694" w:type="dxa"/>
            <w:shd w:val="clear" w:color="auto" w:fill="FFFFFF"/>
            <w:tcMar>
              <w:top w:w="72" w:type="dxa"/>
              <w:left w:w="144" w:type="dxa"/>
              <w:bottom w:w="72" w:type="dxa"/>
              <w:right w:w="144" w:type="dxa"/>
            </w:tcMar>
          </w:tcPr>
          <w:p w14:paraId="581C20E1" w14:textId="77DB09EB" w:rsidR="00D12648" w:rsidRPr="00E262E0" w:rsidRDefault="00D12648" w:rsidP="00D12648">
            <w:pPr>
              <w:pStyle w:val="StandardWeb"/>
              <w:rPr>
                <w:rFonts w:ascii="Arial" w:hAnsi="Arial" w:cs="Arial"/>
                <w:sz w:val="22"/>
                <w:szCs w:val="22"/>
                <w:lang w:val="en-US"/>
              </w:rPr>
            </w:pPr>
            <w:r w:rsidRPr="00E262E0">
              <w:rPr>
                <w:rFonts w:ascii="Arial" w:hAnsi="Arial" w:cs="Arial"/>
                <w:sz w:val="22"/>
                <w:szCs w:val="22"/>
                <w:lang w:val="en-US"/>
              </w:rPr>
              <w:t>≥2 abnormalities</w:t>
            </w:r>
          </w:p>
        </w:tc>
        <w:tc>
          <w:tcPr>
            <w:tcW w:w="567" w:type="dxa"/>
            <w:shd w:val="clear" w:color="auto" w:fill="FFFFFF"/>
          </w:tcPr>
          <w:p w14:paraId="4A2643DC" w14:textId="291870BD"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27</w:t>
            </w:r>
          </w:p>
        </w:tc>
        <w:tc>
          <w:tcPr>
            <w:tcW w:w="2542" w:type="dxa"/>
            <w:shd w:val="clear" w:color="auto" w:fill="FFFFFF"/>
            <w:tcMar>
              <w:top w:w="72" w:type="dxa"/>
              <w:left w:w="144" w:type="dxa"/>
              <w:bottom w:w="72" w:type="dxa"/>
              <w:right w:w="144" w:type="dxa"/>
            </w:tcMar>
          </w:tcPr>
          <w:p w14:paraId="39062CE2" w14:textId="29A9B996"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68.0% (42.4-82.2)</w:t>
            </w:r>
          </w:p>
        </w:tc>
        <w:tc>
          <w:tcPr>
            <w:tcW w:w="2561" w:type="dxa"/>
            <w:shd w:val="clear" w:color="auto" w:fill="FFFFFF"/>
            <w:tcMar>
              <w:top w:w="72" w:type="dxa"/>
              <w:left w:w="144" w:type="dxa"/>
              <w:bottom w:w="72" w:type="dxa"/>
              <w:right w:w="144" w:type="dxa"/>
            </w:tcMar>
          </w:tcPr>
          <w:p w14:paraId="3CF4AB66" w14:textId="6F41686F"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76.0% (45.7-89.4)</w:t>
            </w:r>
          </w:p>
        </w:tc>
        <w:tc>
          <w:tcPr>
            <w:tcW w:w="1974" w:type="dxa"/>
            <w:shd w:val="clear" w:color="auto" w:fill="FFFFFF"/>
          </w:tcPr>
          <w:p w14:paraId="116044F8" w14:textId="3B506C53" w:rsidR="00D12648" w:rsidRPr="00E262E0" w:rsidRDefault="00D12648" w:rsidP="00D12648">
            <w:pPr>
              <w:pStyle w:val="StandardWeb"/>
              <w:spacing w:line="360" w:lineRule="auto"/>
              <w:jc w:val="center"/>
              <w:rPr>
                <w:rFonts w:ascii="Arial" w:hAnsi="Arial" w:cs="Arial"/>
                <w:sz w:val="22"/>
                <w:szCs w:val="22"/>
                <w:lang w:val="en-US"/>
              </w:rPr>
            </w:pPr>
            <w:r w:rsidRPr="00E262E0">
              <w:rPr>
                <w:rFonts w:ascii="Arial" w:hAnsi="Arial" w:cs="Arial"/>
                <w:sz w:val="22"/>
                <w:szCs w:val="22"/>
                <w:lang w:val="en-US"/>
              </w:rPr>
              <w:t>1.1 (0.6-NR)</w:t>
            </w:r>
          </w:p>
        </w:tc>
      </w:tr>
      <w:tr w:rsidR="00D12648" w:rsidRPr="00E262E0" w14:paraId="6F704BDE" w14:textId="77777777" w:rsidTr="00AD312A">
        <w:trPr>
          <w:trHeight w:val="397"/>
        </w:trPr>
        <w:tc>
          <w:tcPr>
            <w:tcW w:w="2694" w:type="dxa"/>
            <w:shd w:val="clear" w:color="auto" w:fill="FFFFFF"/>
            <w:tcMar>
              <w:top w:w="72" w:type="dxa"/>
              <w:left w:w="144" w:type="dxa"/>
              <w:bottom w:w="72" w:type="dxa"/>
              <w:right w:w="144" w:type="dxa"/>
            </w:tcMar>
          </w:tcPr>
          <w:p w14:paraId="2E8461B1" w14:textId="77777777" w:rsidR="00D12648" w:rsidRPr="00E262E0" w:rsidRDefault="00D12648" w:rsidP="00D12648">
            <w:pPr>
              <w:pStyle w:val="StandardWeb"/>
              <w:rPr>
                <w:rFonts w:ascii="Arial" w:hAnsi="Arial" w:cs="Arial"/>
                <w:sz w:val="22"/>
                <w:szCs w:val="22"/>
                <w:lang w:val="en-US"/>
              </w:rPr>
            </w:pPr>
            <w:r w:rsidRPr="00E262E0">
              <w:rPr>
                <w:rFonts w:ascii="Arial" w:hAnsi="Arial" w:cs="Arial"/>
                <w:sz w:val="22"/>
                <w:szCs w:val="22"/>
                <w:lang w:val="en-US"/>
              </w:rPr>
              <w:t>1 abnormality</w:t>
            </w:r>
          </w:p>
        </w:tc>
        <w:tc>
          <w:tcPr>
            <w:tcW w:w="567" w:type="dxa"/>
            <w:shd w:val="clear" w:color="auto" w:fill="FFFFFF"/>
          </w:tcPr>
          <w:p w14:paraId="27A49667" w14:textId="77777777"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58</w:t>
            </w:r>
          </w:p>
        </w:tc>
        <w:tc>
          <w:tcPr>
            <w:tcW w:w="2542" w:type="dxa"/>
            <w:shd w:val="clear" w:color="auto" w:fill="FFFFFF"/>
            <w:tcMar>
              <w:top w:w="72" w:type="dxa"/>
              <w:left w:w="144" w:type="dxa"/>
              <w:bottom w:w="72" w:type="dxa"/>
              <w:right w:w="144" w:type="dxa"/>
            </w:tcMar>
          </w:tcPr>
          <w:p w14:paraId="702AA264" w14:textId="77777777"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30.2% (16.6-41.6)</w:t>
            </w:r>
          </w:p>
        </w:tc>
        <w:tc>
          <w:tcPr>
            <w:tcW w:w="2561" w:type="dxa"/>
            <w:shd w:val="clear" w:color="auto" w:fill="FFFFFF"/>
            <w:tcMar>
              <w:top w:w="72" w:type="dxa"/>
              <w:left w:w="144" w:type="dxa"/>
              <w:bottom w:w="72" w:type="dxa"/>
              <w:right w:w="144" w:type="dxa"/>
            </w:tcMar>
          </w:tcPr>
          <w:p w14:paraId="2EA4C047" w14:textId="77777777"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36.7% (21.9-48.7)</w:t>
            </w:r>
          </w:p>
        </w:tc>
        <w:tc>
          <w:tcPr>
            <w:tcW w:w="1974" w:type="dxa"/>
            <w:shd w:val="clear" w:color="auto" w:fill="FFFFFF"/>
          </w:tcPr>
          <w:p w14:paraId="017137A4" w14:textId="77777777" w:rsidR="00D12648" w:rsidRPr="00E262E0" w:rsidRDefault="00D12648" w:rsidP="00D12648">
            <w:pPr>
              <w:pStyle w:val="StandardWeb"/>
              <w:spacing w:line="360" w:lineRule="auto"/>
              <w:jc w:val="center"/>
              <w:rPr>
                <w:rFonts w:ascii="Arial" w:hAnsi="Arial" w:cs="Arial"/>
                <w:sz w:val="22"/>
                <w:szCs w:val="22"/>
                <w:lang w:val="en-US"/>
              </w:rPr>
            </w:pPr>
            <w:r w:rsidRPr="00E262E0">
              <w:rPr>
                <w:rFonts w:ascii="Arial" w:hAnsi="Arial" w:cs="Arial"/>
                <w:sz w:val="22"/>
                <w:szCs w:val="22"/>
                <w:lang w:val="en-US"/>
              </w:rPr>
              <w:t>3.8 (3.1-7.3)</w:t>
            </w:r>
          </w:p>
        </w:tc>
      </w:tr>
      <w:tr w:rsidR="00D12648" w:rsidRPr="00E262E0" w14:paraId="3BBBAD09" w14:textId="77777777" w:rsidTr="00BB0618">
        <w:trPr>
          <w:trHeight w:val="397"/>
        </w:trPr>
        <w:tc>
          <w:tcPr>
            <w:tcW w:w="2694" w:type="dxa"/>
            <w:shd w:val="clear" w:color="auto" w:fill="FFFFFF"/>
            <w:tcMar>
              <w:top w:w="72" w:type="dxa"/>
              <w:left w:w="144" w:type="dxa"/>
              <w:bottom w:w="72" w:type="dxa"/>
              <w:right w:w="144" w:type="dxa"/>
            </w:tcMar>
          </w:tcPr>
          <w:p w14:paraId="421B73D1" w14:textId="7FA3057B" w:rsidR="00D12648" w:rsidRPr="00E262E0" w:rsidRDefault="00D12648" w:rsidP="00D12648">
            <w:pPr>
              <w:pStyle w:val="StandardWeb"/>
              <w:rPr>
                <w:rFonts w:ascii="Arial" w:hAnsi="Arial" w:cs="Arial"/>
                <w:sz w:val="22"/>
                <w:szCs w:val="22"/>
                <w:lang w:val="en-US"/>
              </w:rPr>
            </w:pPr>
            <w:r w:rsidRPr="00E262E0">
              <w:rPr>
                <w:rFonts w:ascii="Arial" w:hAnsi="Arial" w:cs="Arial"/>
                <w:sz w:val="22"/>
                <w:szCs w:val="22"/>
                <w:lang w:val="en-US"/>
              </w:rPr>
              <w:t xml:space="preserve">   PLS &gt; 1.6</w:t>
            </w:r>
          </w:p>
        </w:tc>
        <w:tc>
          <w:tcPr>
            <w:tcW w:w="567" w:type="dxa"/>
            <w:shd w:val="clear" w:color="auto" w:fill="FFFFFF"/>
          </w:tcPr>
          <w:p w14:paraId="3236FB28" w14:textId="77777777"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35*</w:t>
            </w:r>
          </w:p>
        </w:tc>
        <w:tc>
          <w:tcPr>
            <w:tcW w:w="2542" w:type="dxa"/>
            <w:shd w:val="clear" w:color="auto" w:fill="FFFFFF"/>
            <w:tcMar>
              <w:top w:w="72" w:type="dxa"/>
              <w:left w:w="144" w:type="dxa"/>
              <w:bottom w:w="72" w:type="dxa"/>
              <w:right w:w="144" w:type="dxa"/>
            </w:tcMar>
          </w:tcPr>
          <w:p w14:paraId="024E0C65" w14:textId="77777777"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42.4% (22.8-57.0)</w:t>
            </w:r>
          </w:p>
        </w:tc>
        <w:tc>
          <w:tcPr>
            <w:tcW w:w="2561" w:type="dxa"/>
            <w:shd w:val="clear" w:color="auto" w:fill="FFFFFF"/>
            <w:tcMar>
              <w:top w:w="72" w:type="dxa"/>
              <w:left w:w="144" w:type="dxa"/>
              <w:bottom w:w="72" w:type="dxa"/>
              <w:right w:w="144" w:type="dxa"/>
            </w:tcMar>
          </w:tcPr>
          <w:p w14:paraId="073E3086" w14:textId="77777777" w:rsidR="00D12648" w:rsidRPr="00E262E0" w:rsidRDefault="00D12648" w:rsidP="00D12648">
            <w:pPr>
              <w:pStyle w:val="StandardWeb"/>
              <w:jc w:val="center"/>
              <w:rPr>
                <w:rFonts w:ascii="Arial" w:hAnsi="Arial" w:cs="Arial"/>
                <w:sz w:val="22"/>
                <w:szCs w:val="22"/>
                <w:lang w:val="en-US"/>
              </w:rPr>
            </w:pPr>
            <w:r w:rsidRPr="00E262E0">
              <w:rPr>
                <w:rFonts w:ascii="Arial" w:hAnsi="Arial" w:cs="Arial"/>
                <w:sz w:val="22"/>
                <w:szCs w:val="22"/>
                <w:lang w:val="en-US"/>
              </w:rPr>
              <w:t>48.8% (28.4-63.4)</w:t>
            </w:r>
          </w:p>
        </w:tc>
        <w:tc>
          <w:tcPr>
            <w:tcW w:w="1974" w:type="dxa"/>
            <w:shd w:val="clear" w:color="auto" w:fill="FFFFFF"/>
          </w:tcPr>
          <w:p w14:paraId="77D83023" w14:textId="77777777" w:rsidR="00D12648" w:rsidRPr="00E262E0" w:rsidRDefault="00D12648" w:rsidP="00D12648">
            <w:pPr>
              <w:pStyle w:val="StandardWeb"/>
              <w:spacing w:line="360" w:lineRule="auto"/>
              <w:jc w:val="center"/>
              <w:rPr>
                <w:rFonts w:ascii="Arial" w:hAnsi="Arial" w:cs="Arial"/>
                <w:sz w:val="22"/>
                <w:szCs w:val="22"/>
                <w:lang w:val="en-US"/>
              </w:rPr>
            </w:pPr>
            <w:r w:rsidRPr="00E262E0">
              <w:rPr>
                <w:rFonts w:ascii="Arial" w:hAnsi="Arial" w:cs="Arial"/>
                <w:sz w:val="22"/>
                <w:szCs w:val="22"/>
                <w:lang w:val="en-US"/>
              </w:rPr>
              <w:t>3.1 (1.3-6.4)</w:t>
            </w:r>
          </w:p>
        </w:tc>
      </w:tr>
      <w:tr w:rsidR="0039466D" w:rsidRPr="00E262E0" w14:paraId="4E23C349" w14:textId="77777777" w:rsidTr="00BB0618">
        <w:trPr>
          <w:trHeight w:val="397"/>
        </w:trPr>
        <w:tc>
          <w:tcPr>
            <w:tcW w:w="2694" w:type="dxa"/>
            <w:tcBorders>
              <w:bottom w:val="single" w:sz="4" w:space="0" w:color="auto"/>
            </w:tcBorders>
            <w:shd w:val="clear" w:color="auto" w:fill="FFFFFF"/>
            <w:tcMar>
              <w:top w:w="72" w:type="dxa"/>
              <w:left w:w="144" w:type="dxa"/>
              <w:bottom w:w="72" w:type="dxa"/>
              <w:right w:w="144" w:type="dxa"/>
            </w:tcMar>
          </w:tcPr>
          <w:p w14:paraId="7DE7EB3D" w14:textId="100AEA9F" w:rsidR="0039466D" w:rsidRPr="00E262E0" w:rsidRDefault="0039466D" w:rsidP="0039466D">
            <w:pPr>
              <w:pStyle w:val="StandardWeb"/>
              <w:rPr>
                <w:rFonts w:ascii="Arial" w:hAnsi="Arial" w:cs="Arial"/>
                <w:sz w:val="22"/>
                <w:szCs w:val="22"/>
                <w:lang w:val="en-US"/>
              </w:rPr>
            </w:pPr>
            <w:r w:rsidRPr="00E262E0">
              <w:rPr>
                <w:rFonts w:ascii="Arial" w:hAnsi="Arial" w:cs="Arial"/>
                <w:sz w:val="22"/>
                <w:szCs w:val="22"/>
                <w:lang w:val="en-US"/>
              </w:rPr>
              <w:t xml:space="preserve">   PLS ≤ 1.6</w:t>
            </w:r>
          </w:p>
        </w:tc>
        <w:tc>
          <w:tcPr>
            <w:tcW w:w="567" w:type="dxa"/>
            <w:tcBorders>
              <w:bottom w:val="single" w:sz="4" w:space="0" w:color="auto"/>
            </w:tcBorders>
            <w:shd w:val="clear" w:color="auto" w:fill="FFFFFF"/>
          </w:tcPr>
          <w:p w14:paraId="4538798C" w14:textId="23C0D7EB" w:rsidR="0039466D" w:rsidRPr="00E262E0" w:rsidRDefault="0039466D" w:rsidP="0039466D">
            <w:pPr>
              <w:pStyle w:val="StandardWeb"/>
              <w:jc w:val="center"/>
              <w:rPr>
                <w:rFonts w:ascii="Arial" w:hAnsi="Arial" w:cs="Arial"/>
                <w:sz w:val="22"/>
                <w:szCs w:val="22"/>
                <w:lang w:val="en-US"/>
              </w:rPr>
            </w:pPr>
            <w:r w:rsidRPr="00E262E0">
              <w:rPr>
                <w:rFonts w:ascii="Arial" w:hAnsi="Arial" w:cs="Arial"/>
                <w:sz w:val="22"/>
                <w:szCs w:val="22"/>
                <w:lang w:val="en-US"/>
              </w:rPr>
              <w:t>20*</w:t>
            </w:r>
          </w:p>
        </w:tc>
        <w:tc>
          <w:tcPr>
            <w:tcW w:w="2542" w:type="dxa"/>
            <w:tcBorders>
              <w:bottom w:val="single" w:sz="4" w:space="0" w:color="auto"/>
            </w:tcBorders>
            <w:shd w:val="clear" w:color="auto" w:fill="FFFFFF"/>
            <w:tcMar>
              <w:top w:w="72" w:type="dxa"/>
              <w:left w:w="144" w:type="dxa"/>
              <w:bottom w:w="72" w:type="dxa"/>
              <w:right w:w="144" w:type="dxa"/>
            </w:tcMar>
          </w:tcPr>
          <w:p w14:paraId="229BC967" w14:textId="725E2889" w:rsidR="0039466D" w:rsidRPr="00E262E0" w:rsidRDefault="0039466D" w:rsidP="0039466D">
            <w:pPr>
              <w:pStyle w:val="StandardWeb"/>
              <w:jc w:val="center"/>
              <w:rPr>
                <w:rFonts w:ascii="Arial" w:hAnsi="Arial" w:cs="Arial"/>
                <w:sz w:val="22"/>
                <w:szCs w:val="22"/>
                <w:lang w:val="en-US"/>
              </w:rPr>
            </w:pPr>
            <w:r w:rsidRPr="00E262E0">
              <w:rPr>
                <w:rFonts w:ascii="Arial" w:hAnsi="Arial" w:cs="Arial"/>
                <w:sz w:val="22"/>
                <w:szCs w:val="22"/>
                <w:lang w:val="en-US"/>
              </w:rPr>
              <w:t>5.6% (0.0-15.6)</w:t>
            </w:r>
          </w:p>
        </w:tc>
        <w:tc>
          <w:tcPr>
            <w:tcW w:w="2561" w:type="dxa"/>
            <w:tcBorders>
              <w:bottom w:val="single" w:sz="4" w:space="0" w:color="auto"/>
            </w:tcBorders>
            <w:shd w:val="clear" w:color="auto" w:fill="FFFFFF"/>
            <w:tcMar>
              <w:top w:w="72" w:type="dxa"/>
              <w:left w:w="144" w:type="dxa"/>
              <w:bottom w:w="72" w:type="dxa"/>
              <w:right w:w="144" w:type="dxa"/>
            </w:tcMar>
          </w:tcPr>
          <w:p w14:paraId="4D8A2A37" w14:textId="16FF5F4B" w:rsidR="0039466D" w:rsidRPr="00E262E0" w:rsidRDefault="0039466D" w:rsidP="0039466D">
            <w:pPr>
              <w:pStyle w:val="StandardWeb"/>
              <w:jc w:val="center"/>
              <w:rPr>
                <w:rFonts w:ascii="Arial" w:hAnsi="Arial" w:cs="Arial"/>
                <w:sz w:val="22"/>
                <w:szCs w:val="22"/>
                <w:lang w:val="en-US"/>
              </w:rPr>
            </w:pPr>
            <w:r w:rsidRPr="00E262E0">
              <w:rPr>
                <w:rFonts w:ascii="Arial" w:hAnsi="Arial" w:cs="Arial"/>
                <w:sz w:val="22"/>
                <w:szCs w:val="22"/>
                <w:lang w:val="en-US"/>
              </w:rPr>
              <w:t>12.3% (0.0-27.0)</w:t>
            </w:r>
          </w:p>
        </w:tc>
        <w:tc>
          <w:tcPr>
            <w:tcW w:w="1974" w:type="dxa"/>
            <w:tcBorders>
              <w:bottom w:val="single" w:sz="4" w:space="0" w:color="auto"/>
            </w:tcBorders>
            <w:shd w:val="clear" w:color="auto" w:fill="FFFFFF"/>
          </w:tcPr>
          <w:p w14:paraId="488269DB" w14:textId="7C470D89" w:rsidR="0039466D" w:rsidRPr="00E262E0" w:rsidRDefault="0039466D" w:rsidP="0039466D">
            <w:pPr>
              <w:pStyle w:val="StandardWeb"/>
              <w:spacing w:line="360" w:lineRule="auto"/>
              <w:jc w:val="center"/>
              <w:rPr>
                <w:rFonts w:ascii="Arial" w:hAnsi="Arial" w:cs="Arial"/>
                <w:sz w:val="22"/>
                <w:szCs w:val="22"/>
                <w:lang w:val="en-US"/>
              </w:rPr>
            </w:pPr>
            <w:r w:rsidRPr="00E262E0">
              <w:rPr>
                <w:rFonts w:ascii="Arial" w:hAnsi="Arial" w:cs="Arial"/>
                <w:sz w:val="22"/>
                <w:szCs w:val="22"/>
                <w:lang w:val="en-US"/>
              </w:rPr>
              <w:t>7.3 (6.0-NR)</w:t>
            </w:r>
          </w:p>
        </w:tc>
      </w:tr>
    </w:tbl>
    <w:p w14:paraId="09D16ECB" w14:textId="77777777" w:rsidR="00B06824" w:rsidRPr="00E262E0" w:rsidRDefault="00B06824" w:rsidP="00B06824">
      <w:pPr>
        <w:pStyle w:val="Beschriftung"/>
        <w:spacing w:after="0"/>
        <w:rPr>
          <w:rFonts w:ascii="Arial" w:hAnsi="Arial" w:cs="Arial"/>
          <w:color w:val="000000" w:themeColor="text1"/>
          <w:sz w:val="16"/>
          <w:szCs w:val="16"/>
          <w:lang w:val="en-US"/>
        </w:rPr>
      </w:pPr>
    </w:p>
    <w:p w14:paraId="40245EFA" w14:textId="6E3E4863" w:rsidR="00E86D99" w:rsidRPr="00E262E0" w:rsidRDefault="00E86D99" w:rsidP="00E86D99">
      <w:pPr>
        <w:pStyle w:val="Beschriftung"/>
        <w:rPr>
          <w:rFonts w:ascii="Arial" w:hAnsi="Arial" w:cs="Arial"/>
          <w:i w:val="0"/>
          <w:iCs w:val="0"/>
          <w:color w:val="000000" w:themeColor="text1"/>
          <w:sz w:val="22"/>
          <w:szCs w:val="22"/>
          <w:lang w:val="en-US"/>
        </w:rPr>
      </w:pPr>
      <w:r w:rsidRPr="00E262E0">
        <w:rPr>
          <w:rFonts w:ascii="Arial" w:hAnsi="Arial" w:cs="Arial"/>
          <w:i w:val="0"/>
          <w:iCs w:val="0"/>
          <w:color w:val="000000" w:themeColor="text1"/>
          <w:sz w:val="22"/>
          <w:szCs w:val="22"/>
          <w:lang w:val="en-US"/>
        </w:rPr>
        <w:t xml:space="preserve">*three </w:t>
      </w:r>
      <w:r w:rsidR="002148D2" w:rsidRPr="00E262E0">
        <w:rPr>
          <w:rFonts w:ascii="Arial" w:hAnsi="Arial" w:cs="Arial"/>
          <w:i w:val="0"/>
          <w:iCs w:val="0"/>
          <w:color w:val="000000" w:themeColor="text1"/>
          <w:sz w:val="22"/>
          <w:szCs w:val="22"/>
          <w:lang w:val="en-US"/>
        </w:rPr>
        <w:t xml:space="preserve">had </w:t>
      </w:r>
      <w:r w:rsidRPr="00E262E0">
        <w:rPr>
          <w:rFonts w:ascii="Arial" w:hAnsi="Arial" w:cs="Arial"/>
          <w:i w:val="0"/>
          <w:iCs w:val="0"/>
          <w:color w:val="000000" w:themeColor="text1"/>
          <w:sz w:val="22"/>
          <w:szCs w:val="22"/>
          <w:lang w:val="en-US"/>
        </w:rPr>
        <w:t xml:space="preserve">missing data </w:t>
      </w:r>
      <w:r w:rsidR="002148D2" w:rsidRPr="00E262E0">
        <w:rPr>
          <w:rFonts w:ascii="Arial" w:hAnsi="Arial" w:cs="Arial"/>
          <w:i w:val="0"/>
          <w:iCs w:val="0"/>
          <w:color w:val="000000" w:themeColor="text1"/>
          <w:sz w:val="22"/>
          <w:szCs w:val="22"/>
          <w:lang w:val="en-US"/>
        </w:rPr>
        <w:t>for PLS relevant variables</w:t>
      </w:r>
      <w:r w:rsidR="00B06824" w:rsidRPr="00E262E0">
        <w:rPr>
          <w:rFonts w:ascii="Arial" w:hAnsi="Arial" w:cs="Arial"/>
          <w:i w:val="0"/>
          <w:iCs w:val="0"/>
          <w:color w:val="000000" w:themeColor="text1"/>
          <w:sz w:val="22"/>
          <w:szCs w:val="22"/>
          <w:lang w:val="en-US"/>
        </w:rPr>
        <w:t>; T1D type 1 diabetes; PLS Progression Likelihood Score</w:t>
      </w:r>
    </w:p>
    <w:p w14:paraId="294AE85E" w14:textId="77777777" w:rsidR="00EB7C17" w:rsidRDefault="00EB7C17">
      <w:pPr>
        <w:rPr>
          <w:rFonts w:ascii="Arial" w:eastAsia="Aptos" w:hAnsi="Arial" w:cs="Arial"/>
          <w:color w:val="000000"/>
          <w:lang w:val="en-US"/>
        </w:rPr>
      </w:pPr>
    </w:p>
    <w:p w14:paraId="3F6651F1" w14:textId="77777777" w:rsidR="00EB7C17" w:rsidRDefault="00EB7C17">
      <w:pPr>
        <w:rPr>
          <w:rFonts w:ascii="Arial" w:eastAsia="Aptos" w:hAnsi="Arial" w:cs="Arial"/>
          <w:color w:val="000000"/>
          <w:lang w:val="en-US"/>
        </w:rPr>
      </w:pPr>
    </w:p>
    <w:p w14:paraId="02642E7A" w14:textId="77777777" w:rsidR="00EB7C17" w:rsidRDefault="00EB7C17">
      <w:pPr>
        <w:rPr>
          <w:rFonts w:ascii="Arial" w:eastAsia="Aptos" w:hAnsi="Arial" w:cs="Arial"/>
          <w:color w:val="000000"/>
          <w:lang w:val="en-US"/>
        </w:rPr>
      </w:pPr>
    </w:p>
    <w:p w14:paraId="35F6A02D" w14:textId="77777777" w:rsidR="00EB7C17" w:rsidRDefault="00EB7C17">
      <w:pPr>
        <w:rPr>
          <w:rFonts w:ascii="Arial" w:eastAsia="Aptos" w:hAnsi="Arial" w:cs="Arial"/>
          <w:color w:val="000000"/>
          <w:lang w:val="en-US"/>
        </w:rPr>
      </w:pPr>
    </w:p>
    <w:p w14:paraId="28E844C1" w14:textId="77777777" w:rsidR="00EB7C17" w:rsidRDefault="00EB7C17">
      <w:pPr>
        <w:rPr>
          <w:rFonts w:ascii="Arial" w:eastAsia="Aptos" w:hAnsi="Arial" w:cs="Arial"/>
          <w:color w:val="000000"/>
          <w:lang w:val="en-US"/>
        </w:rPr>
      </w:pPr>
    </w:p>
    <w:p w14:paraId="7EC0733E" w14:textId="77777777" w:rsidR="00EB7C17" w:rsidRDefault="00EB7C17">
      <w:pPr>
        <w:rPr>
          <w:rFonts w:ascii="Arial" w:eastAsia="Aptos" w:hAnsi="Arial" w:cs="Arial"/>
          <w:color w:val="000000"/>
          <w:lang w:val="en-US"/>
        </w:rPr>
      </w:pPr>
    </w:p>
    <w:p w14:paraId="295E5163" w14:textId="77777777" w:rsidR="00EB7C17" w:rsidRDefault="00EB7C17">
      <w:pPr>
        <w:rPr>
          <w:rFonts w:ascii="Arial" w:eastAsia="Aptos" w:hAnsi="Arial" w:cs="Arial"/>
          <w:color w:val="000000"/>
          <w:lang w:val="en-US"/>
        </w:rPr>
      </w:pPr>
    </w:p>
    <w:p w14:paraId="18C4A267" w14:textId="77777777" w:rsidR="00EB7C17" w:rsidRDefault="00EB7C17">
      <w:pPr>
        <w:rPr>
          <w:rFonts w:ascii="Arial" w:eastAsia="Aptos" w:hAnsi="Arial" w:cs="Arial"/>
          <w:color w:val="000000"/>
          <w:lang w:val="en-US"/>
        </w:rPr>
      </w:pPr>
    </w:p>
    <w:p w14:paraId="4A970EA7" w14:textId="77777777" w:rsidR="00EB7C17" w:rsidRPr="00E262E0" w:rsidRDefault="00EB7C17" w:rsidP="00EB7C17">
      <w:pPr>
        <w:spacing w:after="0" w:line="480" w:lineRule="auto"/>
        <w:jc w:val="both"/>
        <w:rPr>
          <w:rFonts w:ascii="Arial" w:hAnsi="Arial" w:cs="Arial"/>
          <w:sz w:val="24"/>
          <w:szCs w:val="24"/>
          <w:lang w:val="en-US"/>
        </w:rPr>
      </w:pPr>
      <w:r w:rsidRPr="00E262E0">
        <w:rPr>
          <w:rFonts w:ascii="Arial" w:hAnsi="Arial" w:cs="Arial"/>
          <w:b/>
          <w:bCs/>
          <w:color w:val="000000" w:themeColor="text1"/>
          <w:sz w:val="24"/>
          <w:szCs w:val="24"/>
          <w:lang w:val="en-US"/>
        </w:rPr>
        <w:lastRenderedPageBreak/>
        <w:t>Figure Legends.</w:t>
      </w:r>
    </w:p>
    <w:p w14:paraId="2019F037" w14:textId="77777777" w:rsidR="00EB7C17" w:rsidRDefault="00EB7C17" w:rsidP="00EB7C17">
      <w:pPr>
        <w:spacing w:after="0" w:line="480" w:lineRule="auto"/>
        <w:jc w:val="both"/>
        <w:rPr>
          <w:rFonts w:ascii="Arial" w:hAnsi="Arial" w:cs="Arial"/>
          <w:sz w:val="24"/>
          <w:szCs w:val="24"/>
          <w:lang w:val="en-US"/>
        </w:rPr>
      </w:pPr>
      <w:r w:rsidRPr="00E262E0">
        <w:rPr>
          <w:rFonts w:ascii="Arial" w:hAnsi="Arial" w:cs="Arial"/>
          <w:b/>
          <w:bCs/>
          <w:sz w:val="24"/>
          <w:szCs w:val="24"/>
          <w:lang w:val="en-US"/>
        </w:rPr>
        <w:t>Figure 1</w:t>
      </w:r>
      <w:r w:rsidRPr="00E262E0">
        <w:rPr>
          <w:rFonts w:ascii="Arial" w:hAnsi="Arial" w:cs="Arial"/>
          <w:sz w:val="24"/>
          <w:szCs w:val="24"/>
          <w:lang w:val="en-US"/>
        </w:rPr>
        <w:t>. Stratification of progression from stage 1 to stage 3 type 1 diabetes by the original progression likelihood score (PLS). Kaplan-Meier survival curves for progression to stage 3 type 1 diabetes in children initially diagnosed with stage 1 type 1 diabetes in the Fr1da cohort (A) and the validation cohort (B). Children were categorized using previously defined PLS thresholds as &lt;0.5 (low, black line), 0.5 – 4.0 (intermediate, blue line) and &gt;4.0 (high, red line). Progression differed significantly among categories in both the Fr1da cohort (p&lt;0.0001) and the validation cohort (p=0.000</w:t>
      </w:r>
      <w:r>
        <w:rPr>
          <w:rFonts w:ascii="Arial" w:hAnsi="Arial" w:cs="Arial"/>
          <w:sz w:val="24"/>
          <w:szCs w:val="24"/>
          <w:lang w:val="en-US"/>
        </w:rPr>
        <w:t>1</w:t>
      </w:r>
      <w:r w:rsidRPr="00E262E0">
        <w:rPr>
          <w:rFonts w:ascii="Arial" w:hAnsi="Arial" w:cs="Arial"/>
          <w:sz w:val="24"/>
          <w:szCs w:val="24"/>
          <w:lang w:val="en-US"/>
        </w:rPr>
        <w:t>). The numbers underneath the x axis indicate the number remaining at each year of follow-up. Figure C is the receiver operator characteristic (ROC) curve for the ability of the PLS to discriminate the 24 Fr1da cohort children with stage 1 who developed stage 3 type 1 diabetes within 2 years of follow-up (sensitivity) from the 269 who were followed for at least 2 years without developing stage 3 (1 – specificity). The vertical/horizontal dashed lines show the performance at the PLS thresholds of 0.5 (black) and 4 (red). The diagonal dashed line represents no discrimination. The area under the curve is 0.8</w:t>
      </w:r>
      <w:r>
        <w:rPr>
          <w:rFonts w:ascii="Arial" w:hAnsi="Arial" w:cs="Arial"/>
          <w:sz w:val="24"/>
          <w:szCs w:val="24"/>
          <w:lang w:val="en-US"/>
        </w:rPr>
        <w:t>45</w:t>
      </w:r>
      <w:r w:rsidRPr="00E262E0">
        <w:rPr>
          <w:rFonts w:ascii="Arial" w:hAnsi="Arial" w:cs="Arial"/>
          <w:sz w:val="24"/>
          <w:szCs w:val="24"/>
          <w:lang w:val="en-US"/>
        </w:rPr>
        <w:t xml:space="preserve">. </w:t>
      </w:r>
    </w:p>
    <w:p w14:paraId="1E2135C4" w14:textId="77777777" w:rsidR="00EB7C17" w:rsidRPr="00E262E0" w:rsidRDefault="00EB7C17" w:rsidP="00EB7C17">
      <w:pPr>
        <w:spacing w:after="0" w:line="480" w:lineRule="auto"/>
        <w:jc w:val="both"/>
        <w:rPr>
          <w:rFonts w:ascii="Arial" w:hAnsi="Arial" w:cs="Arial"/>
          <w:sz w:val="24"/>
          <w:szCs w:val="24"/>
          <w:lang w:val="en-US"/>
        </w:rPr>
      </w:pPr>
    </w:p>
    <w:p w14:paraId="7B185420" w14:textId="77777777" w:rsidR="00EB7C17" w:rsidRDefault="00EB7C17" w:rsidP="00EB7C17">
      <w:pPr>
        <w:spacing w:after="0" w:line="480" w:lineRule="auto"/>
        <w:jc w:val="both"/>
        <w:rPr>
          <w:rFonts w:ascii="Arial" w:hAnsi="Arial" w:cs="Arial"/>
          <w:sz w:val="24"/>
          <w:szCs w:val="24"/>
          <w:lang w:val="en-US"/>
        </w:rPr>
      </w:pPr>
      <w:r w:rsidRPr="00E262E0">
        <w:rPr>
          <w:rFonts w:ascii="Arial" w:hAnsi="Arial" w:cs="Arial"/>
          <w:b/>
          <w:bCs/>
          <w:sz w:val="24"/>
          <w:szCs w:val="24"/>
          <w:lang w:val="en-US"/>
        </w:rPr>
        <w:t>Figure 2.</w:t>
      </w:r>
      <w:r w:rsidRPr="00E262E0">
        <w:rPr>
          <w:rFonts w:ascii="Arial" w:hAnsi="Arial" w:cs="Arial"/>
          <w:sz w:val="24"/>
          <w:szCs w:val="24"/>
          <w:lang w:val="en-US"/>
        </w:rPr>
        <w:t xml:space="preserve"> Development and performance of a non-OGTT-based progression score for stratification of progression from stage 1 to stage 3 type 1 diabetes. Variables significantly associated with the rate of progression to stage 3 in the univariable analysis were included in a stepwise multivariable Cox proportional hazards model analysis. The model selected four variables (A). The hazard ratios (black squares) and the 95% confidence intervals (lines) from the multivariable Cox proportional hazards model on 322 children with complete data are shown for each of the four variables. A score from the hazard ratios was calculated for the 322 children and (B) Kaplan-Meier </w:t>
      </w:r>
      <w:r w:rsidRPr="00E262E0">
        <w:rPr>
          <w:rFonts w:ascii="Arial" w:hAnsi="Arial" w:cs="Arial"/>
          <w:sz w:val="24"/>
          <w:szCs w:val="24"/>
          <w:lang w:val="en-US"/>
        </w:rPr>
        <w:lastRenderedPageBreak/>
        <w:t>survival curves for progression to stage 3 type 1 diabetes are shown for children with scores &lt;1.25 (black line), 1.25 to 3.0 (blue line) and &gt;3.0 (red line). Progression differed significantly among categories (p&lt;0.0001). The numbers underneath the x axis indicate the number remaining at each year of follow-up.</w:t>
      </w:r>
    </w:p>
    <w:p w14:paraId="6F604B1B" w14:textId="77777777" w:rsidR="00EB7C17" w:rsidRPr="00E262E0" w:rsidRDefault="00EB7C17" w:rsidP="00EB7C17">
      <w:pPr>
        <w:spacing w:after="0" w:line="480" w:lineRule="auto"/>
        <w:jc w:val="both"/>
        <w:rPr>
          <w:rFonts w:ascii="Arial" w:hAnsi="Arial" w:cs="Arial"/>
          <w:sz w:val="24"/>
          <w:szCs w:val="24"/>
          <w:lang w:val="en-US"/>
        </w:rPr>
      </w:pPr>
    </w:p>
    <w:p w14:paraId="5C2E31D5" w14:textId="7C27166F" w:rsidR="00EB7C17" w:rsidRPr="00E262E0" w:rsidRDefault="00EB7C17" w:rsidP="00EB7C17">
      <w:pPr>
        <w:spacing w:after="0" w:line="480" w:lineRule="auto"/>
        <w:jc w:val="both"/>
        <w:rPr>
          <w:rFonts w:ascii="Arial" w:hAnsi="Arial" w:cs="Arial"/>
          <w:b/>
          <w:bCs/>
          <w:sz w:val="24"/>
          <w:szCs w:val="24"/>
          <w:lang w:val="en-US"/>
        </w:rPr>
      </w:pPr>
      <w:r w:rsidRPr="00E262E0">
        <w:rPr>
          <w:rFonts w:ascii="Arial" w:hAnsi="Arial" w:cs="Arial"/>
          <w:b/>
          <w:bCs/>
          <w:sz w:val="24"/>
          <w:szCs w:val="24"/>
          <w:lang w:val="en-US"/>
        </w:rPr>
        <w:t>Figure 3</w:t>
      </w:r>
      <w:r w:rsidRPr="00E262E0">
        <w:rPr>
          <w:rFonts w:ascii="Arial" w:hAnsi="Arial" w:cs="Arial"/>
          <w:sz w:val="24"/>
          <w:szCs w:val="24"/>
          <w:lang w:val="en-US"/>
        </w:rPr>
        <w:t xml:space="preserve">. Stratification of progression from stage 2 to stage 3 type 1 diabetes by the </w:t>
      </w:r>
      <w:r w:rsidRPr="00177B21">
        <w:rPr>
          <w:rFonts w:ascii="Arial" w:hAnsi="Arial" w:cs="Arial"/>
          <w:sz w:val="24"/>
          <w:szCs w:val="24"/>
          <w:lang w:val="en-US"/>
        </w:rPr>
        <w:t>progression likelihood score (PLS). Kaplan-Meier survival curves for</w:t>
      </w:r>
      <w:r w:rsidRPr="00E262E0">
        <w:rPr>
          <w:rFonts w:ascii="Arial" w:hAnsi="Arial" w:cs="Arial"/>
          <w:sz w:val="24"/>
          <w:szCs w:val="24"/>
          <w:lang w:val="en-US"/>
        </w:rPr>
        <w:t xml:space="preserve"> progression to stage 3 type 1 diabetes in 55 children initially diagnosed with stage 2 type 1 diabetes in the Fr1da cohort, but having only one dysglycemic value. Children were categorized as those with a PLS ≤1.6 (n=20, blue line) and those with a PLS &gt;1.6 (n=35, red line). Progression differed significantly among categories (p&lt;0.0001). The numbers underneath the x axis indicate the number remaining at each year of follow-up.</w:t>
      </w:r>
      <w:r w:rsidRPr="00E262E0">
        <w:rPr>
          <w:rFonts w:ascii="Arial" w:hAnsi="Arial" w:cs="Arial"/>
          <w:b/>
          <w:bCs/>
          <w:sz w:val="24"/>
          <w:szCs w:val="24"/>
          <w:lang w:val="en-US"/>
        </w:rPr>
        <w:t xml:space="preserve"> </w:t>
      </w:r>
    </w:p>
    <w:p w14:paraId="733AAF4A" w14:textId="77777777" w:rsidR="00EB7C17" w:rsidRPr="00E262E0" w:rsidRDefault="00EB7C17" w:rsidP="00EB7C17">
      <w:pPr>
        <w:spacing w:after="0" w:line="480" w:lineRule="auto"/>
        <w:jc w:val="both"/>
        <w:rPr>
          <w:rFonts w:ascii="Arial" w:hAnsi="Arial" w:cs="Arial"/>
          <w:b/>
          <w:bCs/>
          <w:sz w:val="24"/>
          <w:szCs w:val="24"/>
          <w:lang w:val="en-US"/>
        </w:rPr>
      </w:pPr>
    </w:p>
    <w:p w14:paraId="1CDF2373" w14:textId="77777777" w:rsidR="00A50667" w:rsidRPr="00E262E0" w:rsidRDefault="00A50667" w:rsidP="0007184F">
      <w:pPr>
        <w:rPr>
          <w:rFonts w:ascii="Arial" w:eastAsia="Aptos" w:hAnsi="Arial" w:cs="Arial"/>
          <w:color w:val="000000"/>
          <w:lang w:val="en-US"/>
        </w:rPr>
      </w:pPr>
    </w:p>
    <w:sectPr w:rsidR="00A50667" w:rsidRPr="00E262E0" w:rsidSect="00C20688">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A8224" w14:textId="77777777" w:rsidR="00066861" w:rsidRDefault="00066861" w:rsidP="008B4BDD">
      <w:pPr>
        <w:spacing w:after="0" w:line="240" w:lineRule="auto"/>
      </w:pPr>
      <w:r>
        <w:separator/>
      </w:r>
    </w:p>
  </w:endnote>
  <w:endnote w:type="continuationSeparator" w:id="0">
    <w:p w14:paraId="3093069B" w14:textId="77777777" w:rsidR="00066861" w:rsidRDefault="00066861" w:rsidP="008B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759656"/>
      <w:docPartObj>
        <w:docPartGallery w:val="Page Numbers (Bottom of Page)"/>
        <w:docPartUnique/>
      </w:docPartObj>
    </w:sdtPr>
    <w:sdtEndPr/>
    <w:sdtContent>
      <w:p w14:paraId="2C307F11" w14:textId="790AB6D9" w:rsidR="008B4BDD" w:rsidRDefault="008B4BDD">
        <w:pPr>
          <w:pStyle w:val="Fuzeile"/>
          <w:jc w:val="center"/>
        </w:pPr>
        <w:r>
          <w:fldChar w:fldCharType="begin"/>
        </w:r>
        <w:r>
          <w:instrText>PAGE   \* MERGEFORMAT</w:instrText>
        </w:r>
        <w:r>
          <w:fldChar w:fldCharType="separate"/>
        </w:r>
        <w:r>
          <w:t>2</w:t>
        </w:r>
        <w:r>
          <w:fldChar w:fldCharType="end"/>
        </w:r>
      </w:p>
    </w:sdtContent>
  </w:sdt>
  <w:p w14:paraId="7979521F" w14:textId="77777777" w:rsidR="008B4BDD" w:rsidRDefault="008B4B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18526" w14:textId="77777777" w:rsidR="00066861" w:rsidRDefault="00066861" w:rsidP="008B4BDD">
      <w:pPr>
        <w:spacing w:after="0" w:line="240" w:lineRule="auto"/>
      </w:pPr>
      <w:r>
        <w:separator/>
      </w:r>
    </w:p>
  </w:footnote>
  <w:footnote w:type="continuationSeparator" w:id="0">
    <w:p w14:paraId="3BE180DE" w14:textId="77777777" w:rsidR="00066861" w:rsidRDefault="00066861" w:rsidP="008B4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4BE9"/>
    <w:multiLevelType w:val="hybridMultilevel"/>
    <w:tmpl w:val="E7DA4E40"/>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3D5C39"/>
    <w:multiLevelType w:val="hybridMultilevel"/>
    <w:tmpl w:val="929A98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0D2CD3"/>
    <w:multiLevelType w:val="multilevel"/>
    <w:tmpl w:val="9C18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F2D1D"/>
    <w:multiLevelType w:val="hybridMultilevel"/>
    <w:tmpl w:val="805E3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7351677"/>
    <w:multiLevelType w:val="multilevel"/>
    <w:tmpl w:val="FE18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133457"/>
    <w:multiLevelType w:val="multilevel"/>
    <w:tmpl w:val="6B2A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470510">
    <w:abstractNumId w:val="5"/>
  </w:num>
  <w:num w:numId="2" w16cid:durableId="715662440">
    <w:abstractNumId w:val="2"/>
  </w:num>
  <w:num w:numId="3" w16cid:durableId="2084640250">
    <w:abstractNumId w:val="1"/>
  </w:num>
  <w:num w:numId="4" w16cid:durableId="1631285074">
    <w:abstractNumId w:val="0"/>
  </w:num>
  <w:num w:numId="5" w16cid:durableId="1316185122">
    <w:abstractNumId w:val="3"/>
  </w:num>
  <w:num w:numId="6" w16cid:durableId="1957515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0E"/>
    <w:rsid w:val="000032E9"/>
    <w:rsid w:val="0000565D"/>
    <w:rsid w:val="00007F5F"/>
    <w:rsid w:val="00011831"/>
    <w:rsid w:val="000127F3"/>
    <w:rsid w:val="00013DD1"/>
    <w:rsid w:val="00020969"/>
    <w:rsid w:val="00023D61"/>
    <w:rsid w:val="00023EA6"/>
    <w:rsid w:val="000260F0"/>
    <w:rsid w:val="00030511"/>
    <w:rsid w:val="000335F4"/>
    <w:rsid w:val="000377F8"/>
    <w:rsid w:val="00040A2C"/>
    <w:rsid w:val="00043887"/>
    <w:rsid w:val="00044FC8"/>
    <w:rsid w:val="000462D8"/>
    <w:rsid w:val="00050B3C"/>
    <w:rsid w:val="00053674"/>
    <w:rsid w:val="000546E4"/>
    <w:rsid w:val="00054C41"/>
    <w:rsid w:val="00055AFD"/>
    <w:rsid w:val="00055C73"/>
    <w:rsid w:val="00066861"/>
    <w:rsid w:val="0006768E"/>
    <w:rsid w:val="00070328"/>
    <w:rsid w:val="0007184F"/>
    <w:rsid w:val="0007421D"/>
    <w:rsid w:val="000763C5"/>
    <w:rsid w:val="0007702A"/>
    <w:rsid w:val="00077776"/>
    <w:rsid w:val="00084338"/>
    <w:rsid w:val="0008539C"/>
    <w:rsid w:val="0009083E"/>
    <w:rsid w:val="00094269"/>
    <w:rsid w:val="000A1C3C"/>
    <w:rsid w:val="000A7300"/>
    <w:rsid w:val="000B2E21"/>
    <w:rsid w:val="000B3888"/>
    <w:rsid w:val="000B5B39"/>
    <w:rsid w:val="000B70BC"/>
    <w:rsid w:val="000C114B"/>
    <w:rsid w:val="000D4FB4"/>
    <w:rsid w:val="000D62DC"/>
    <w:rsid w:val="000D7A22"/>
    <w:rsid w:val="000E1AD3"/>
    <w:rsid w:val="000E5AE3"/>
    <w:rsid w:val="000E677A"/>
    <w:rsid w:val="000F09B3"/>
    <w:rsid w:val="000F44B5"/>
    <w:rsid w:val="000F6D7C"/>
    <w:rsid w:val="000F718F"/>
    <w:rsid w:val="00103CB2"/>
    <w:rsid w:val="00104F77"/>
    <w:rsid w:val="00110562"/>
    <w:rsid w:val="0011134F"/>
    <w:rsid w:val="00116091"/>
    <w:rsid w:val="001162BD"/>
    <w:rsid w:val="00121302"/>
    <w:rsid w:val="00121A26"/>
    <w:rsid w:val="001220F5"/>
    <w:rsid w:val="0012680A"/>
    <w:rsid w:val="001328C0"/>
    <w:rsid w:val="001417CE"/>
    <w:rsid w:val="0015216E"/>
    <w:rsid w:val="00152A0C"/>
    <w:rsid w:val="00152FCA"/>
    <w:rsid w:val="0015526D"/>
    <w:rsid w:val="0016047E"/>
    <w:rsid w:val="0016552C"/>
    <w:rsid w:val="00172B92"/>
    <w:rsid w:val="00176783"/>
    <w:rsid w:val="00177B21"/>
    <w:rsid w:val="001813F0"/>
    <w:rsid w:val="00184098"/>
    <w:rsid w:val="001852D0"/>
    <w:rsid w:val="00185A14"/>
    <w:rsid w:val="00193BEC"/>
    <w:rsid w:val="00194183"/>
    <w:rsid w:val="0019437C"/>
    <w:rsid w:val="001A0D5A"/>
    <w:rsid w:val="001B3DAB"/>
    <w:rsid w:val="001B6680"/>
    <w:rsid w:val="001C3ECF"/>
    <w:rsid w:val="001C525D"/>
    <w:rsid w:val="001C5FC1"/>
    <w:rsid w:val="001C7053"/>
    <w:rsid w:val="001D28F1"/>
    <w:rsid w:val="001D4FA7"/>
    <w:rsid w:val="001E06BA"/>
    <w:rsid w:val="001E174D"/>
    <w:rsid w:val="001E18A9"/>
    <w:rsid w:val="001E3FAE"/>
    <w:rsid w:val="00200BF8"/>
    <w:rsid w:val="00204B0A"/>
    <w:rsid w:val="00205D3E"/>
    <w:rsid w:val="002076F3"/>
    <w:rsid w:val="002148D2"/>
    <w:rsid w:val="0021584F"/>
    <w:rsid w:val="00215F0C"/>
    <w:rsid w:val="00216ED3"/>
    <w:rsid w:val="00220CF6"/>
    <w:rsid w:val="00222A45"/>
    <w:rsid w:val="00223506"/>
    <w:rsid w:val="0023374B"/>
    <w:rsid w:val="00240EBB"/>
    <w:rsid w:val="0024271D"/>
    <w:rsid w:val="00243F0D"/>
    <w:rsid w:val="00250026"/>
    <w:rsid w:val="00251AAF"/>
    <w:rsid w:val="00251B0E"/>
    <w:rsid w:val="00254633"/>
    <w:rsid w:val="00261E25"/>
    <w:rsid w:val="002627EE"/>
    <w:rsid w:val="00262EE1"/>
    <w:rsid w:val="00263AF9"/>
    <w:rsid w:val="00271C04"/>
    <w:rsid w:val="0027402E"/>
    <w:rsid w:val="00282336"/>
    <w:rsid w:val="002923D1"/>
    <w:rsid w:val="00292408"/>
    <w:rsid w:val="002933DA"/>
    <w:rsid w:val="00293DAE"/>
    <w:rsid w:val="00295465"/>
    <w:rsid w:val="00297DEB"/>
    <w:rsid w:val="002A42D7"/>
    <w:rsid w:val="002A4A73"/>
    <w:rsid w:val="002A6818"/>
    <w:rsid w:val="002B3132"/>
    <w:rsid w:val="002B5A7C"/>
    <w:rsid w:val="002B6243"/>
    <w:rsid w:val="002C1C2B"/>
    <w:rsid w:val="002C1CB9"/>
    <w:rsid w:val="002C58C1"/>
    <w:rsid w:val="002C59B1"/>
    <w:rsid w:val="002D001B"/>
    <w:rsid w:val="002D20ED"/>
    <w:rsid w:val="002D2AE7"/>
    <w:rsid w:val="002E2325"/>
    <w:rsid w:val="002E2BA8"/>
    <w:rsid w:val="002E3AA7"/>
    <w:rsid w:val="002E3F20"/>
    <w:rsid w:val="002E5007"/>
    <w:rsid w:val="002E6B40"/>
    <w:rsid w:val="002F31D0"/>
    <w:rsid w:val="00300865"/>
    <w:rsid w:val="00306C71"/>
    <w:rsid w:val="0030797B"/>
    <w:rsid w:val="00312975"/>
    <w:rsid w:val="00312AAA"/>
    <w:rsid w:val="0031652A"/>
    <w:rsid w:val="003172AB"/>
    <w:rsid w:val="00324B56"/>
    <w:rsid w:val="00334A26"/>
    <w:rsid w:val="00337A74"/>
    <w:rsid w:val="00340831"/>
    <w:rsid w:val="00347889"/>
    <w:rsid w:val="00347DED"/>
    <w:rsid w:val="00350D08"/>
    <w:rsid w:val="00350EB4"/>
    <w:rsid w:val="0035145D"/>
    <w:rsid w:val="00355281"/>
    <w:rsid w:val="003609D5"/>
    <w:rsid w:val="00360C05"/>
    <w:rsid w:val="00360F21"/>
    <w:rsid w:val="003610B5"/>
    <w:rsid w:val="00365025"/>
    <w:rsid w:val="00365DC8"/>
    <w:rsid w:val="003729FA"/>
    <w:rsid w:val="003816B0"/>
    <w:rsid w:val="00386274"/>
    <w:rsid w:val="00390671"/>
    <w:rsid w:val="00392047"/>
    <w:rsid w:val="00392C83"/>
    <w:rsid w:val="003944D1"/>
    <w:rsid w:val="0039466D"/>
    <w:rsid w:val="003A1AA3"/>
    <w:rsid w:val="003A651C"/>
    <w:rsid w:val="003B0A44"/>
    <w:rsid w:val="003B23C2"/>
    <w:rsid w:val="003B61BA"/>
    <w:rsid w:val="003C5737"/>
    <w:rsid w:val="003C625F"/>
    <w:rsid w:val="003C7431"/>
    <w:rsid w:val="003D033C"/>
    <w:rsid w:val="003D4EBB"/>
    <w:rsid w:val="003D5AFF"/>
    <w:rsid w:val="003D7B9C"/>
    <w:rsid w:val="003E4C8B"/>
    <w:rsid w:val="003F16D8"/>
    <w:rsid w:val="003F470E"/>
    <w:rsid w:val="003F7899"/>
    <w:rsid w:val="0040088B"/>
    <w:rsid w:val="00402FDB"/>
    <w:rsid w:val="004044DA"/>
    <w:rsid w:val="00407E0E"/>
    <w:rsid w:val="0041184E"/>
    <w:rsid w:val="0041225C"/>
    <w:rsid w:val="00416C2B"/>
    <w:rsid w:val="00423EAB"/>
    <w:rsid w:val="004255F7"/>
    <w:rsid w:val="004270A6"/>
    <w:rsid w:val="00432ED0"/>
    <w:rsid w:val="0043336E"/>
    <w:rsid w:val="00440C80"/>
    <w:rsid w:val="004449EC"/>
    <w:rsid w:val="00446D19"/>
    <w:rsid w:val="00447E38"/>
    <w:rsid w:val="0045341A"/>
    <w:rsid w:val="00454193"/>
    <w:rsid w:val="00465CF0"/>
    <w:rsid w:val="004718F4"/>
    <w:rsid w:val="00472C1A"/>
    <w:rsid w:val="00476E4A"/>
    <w:rsid w:val="00490B80"/>
    <w:rsid w:val="00491E1B"/>
    <w:rsid w:val="004920BB"/>
    <w:rsid w:val="00493A94"/>
    <w:rsid w:val="004A240F"/>
    <w:rsid w:val="004A3118"/>
    <w:rsid w:val="004A3ED4"/>
    <w:rsid w:val="004A529A"/>
    <w:rsid w:val="004A6C59"/>
    <w:rsid w:val="004A7AAE"/>
    <w:rsid w:val="004B1FF9"/>
    <w:rsid w:val="004B3A04"/>
    <w:rsid w:val="004B622C"/>
    <w:rsid w:val="004B798E"/>
    <w:rsid w:val="004C04C7"/>
    <w:rsid w:val="004C0804"/>
    <w:rsid w:val="004C3C0C"/>
    <w:rsid w:val="004C4D91"/>
    <w:rsid w:val="004D0DCE"/>
    <w:rsid w:val="004D2617"/>
    <w:rsid w:val="004D2726"/>
    <w:rsid w:val="004D3278"/>
    <w:rsid w:val="004E03AF"/>
    <w:rsid w:val="004E1DF6"/>
    <w:rsid w:val="004F22CD"/>
    <w:rsid w:val="004F7A01"/>
    <w:rsid w:val="00500082"/>
    <w:rsid w:val="00501C51"/>
    <w:rsid w:val="00507994"/>
    <w:rsid w:val="0051176F"/>
    <w:rsid w:val="005123B8"/>
    <w:rsid w:val="00513E01"/>
    <w:rsid w:val="00514959"/>
    <w:rsid w:val="00514FDE"/>
    <w:rsid w:val="00520B52"/>
    <w:rsid w:val="0052441B"/>
    <w:rsid w:val="0052752C"/>
    <w:rsid w:val="005306A9"/>
    <w:rsid w:val="0053196C"/>
    <w:rsid w:val="00532002"/>
    <w:rsid w:val="00532108"/>
    <w:rsid w:val="00532ECB"/>
    <w:rsid w:val="00534572"/>
    <w:rsid w:val="00536BE0"/>
    <w:rsid w:val="00546173"/>
    <w:rsid w:val="00547178"/>
    <w:rsid w:val="00551313"/>
    <w:rsid w:val="005666B2"/>
    <w:rsid w:val="00567C36"/>
    <w:rsid w:val="005739A2"/>
    <w:rsid w:val="005752BC"/>
    <w:rsid w:val="00576834"/>
    <w:rsid w:val="005841CA"/>
    <w:rsid w:val="00586073"/>
    <w:rsid w:val="00586FFC"/>
    <w:rsid w:val="0059355E"/>
    <w:rsid w:val="00594D23"/>
    <w:rsid w:val="00594DC9"/>
    <w:rsid w:val="005A3274"/>
    <w:rsid w:val="005A546A"/>
    <w:rsid w:val="005A63A4"/>
    <w:rsid w:val="005B2704"/>
    <w:rsid w:val="005B5577"/>
    <w:rsid w:val="005B60DF"/>
    <w:rsid w:val="005C3E0E"/>
    <w:rsid w:val="005D20B8"/>
    <w:rsid w:val="005D64E9"/>
    <w:rsid w:val="005E3E3D"/>
    <w:rsid w:val="005F5E4E"/>
    <w:rsid w:val="00604401"/>
    <w:rsid w:val="00616914"/>
    <w:rsid w:val="006169F9"/>
    <w:rsid w:val="00620132"/>
    <w:rsid w:val="00623947"/>
    <w:rsid w:val="006272C0"/>
    <w:rsid w:val="00627CBF"/>
    <w:rsid w:val="00631BFE"/>
    <w:rsid w:val="0064165A"/>
    <w:rsid w:val="0064281A"/>
    <w:rsid w:val="00644261"/>
    <w:rsid w:val="00644AFD"/>
    <w:rsid w:val="00644BD0"/>
    <w:rsid w:val="00646B9A"/>
    <w:rsid w:val="006516D5"/>
    <w:rsid w:val="00651906"/>
    <w:rsid w:val="00652629"/>
    <w:rsid w:val="00654ABD"/>
    <w:rsid w:val="00655457"/>
    <w:rsid w:val="00656118"/>
    <w:rsid w:val="0065649D"/>
    <w:rsid w:val="0066368D"/>
    <w:rsid w:val="00664032"/>
    <w:rsid w:val="00670464"/>
    <w:rsid w:val="006731BF"/>
    <w:rsid w:val="006765E2"/>
    <w:rsid w:val="006822C6"/>
    <w:rsid w:val="006822E5"/>
    <w:rsid w:val="00682D3C"/>
    <w:rsid w:val="0068599C"/>
    <w:rsid w:val="00685CD0"/>
    <w:rsid w:val="006936A4"/>
    <w:rsid w:val="00694AD3"/>
    <w:rsid w:val="00697563"/>
    <w:rsid w:val="006A39AD"/>
    <w:rsid w:val="006A4C9E"/>
    <w:rsid w:val="006A54A7"/>
    <w:rsid w:val="006A575D"/>
    <w:rsid w:val="006A5F30"/>
    <w:rsid w:val="006A6BE2"/>
    <w:rsid w:val="006A7FC7"/>
    <w:rsid w:val="006B0F1D"/>
    <w:rsid w:val="006B265A"/>
    <w:rsid w:val="006B3CF6"/>
    <w:rsid w:val="006B45A0"/>
    <w:rsid w:val="006B4EB6"/>
    <w:rsid w:val="006B5FC5"/>
    <w:rsid w:val="006B7335"/>
    <w:rsid w:val="006C07BF"/>
    <w:rsid w:val="006C224B"/>
    <w:rsid w:val="006C44D9"/>
    <w:rsid w:val="006C6287"/>
    <w:rsid w:val="006D0FC3"/>
    <w:rsid w:val="006D6615"/>
    <w:rsid w:val="006E00F3"/>
    <w:rsid w:val="006E1A31"/>
    <w:rsid w:val="006E2A3B"/>
    <w:rsid w:val="006E469B"/>
    <w:rsid w:val="006E5220"/>
    <w:rsid w:val="006E5EB6"/>
    <w:rsid w:val="006E6B1A"/>
    <w:rsid w:val="006E77B7"/>
    <w:rsid w:val="006F21C0"/>
    <w:rsid w:val="00704B71"/>
    <w:rsid w:val="00713645"/>
    <w:rsid w:val="00715D5C"/>
    <w:rsid w:val="007205F8"/>
    <w:rsid w:val="00720AFC"/>
    <w:rsid w:val="007226FE"/>
    <w:rsid w:val="007300A6"/>
    <w:rsid w:val="0073436A"/>
    <w:rsid w:val="00754612"/>
    <w:rsid w:val="00754ECD"/>
    <w:rsid w:val="00755F77"/>
    <w:rsid w:val="007610CE"/>
    <w:rsid w:val="0076442E"/>
    <w:rsid w:val="007671ED"/>
    <w:rsid w:val="00767E46"/>
    <w:rsid w:val="00767FA5"/>
    <w:rsid w:val="00773F10"/>
    <w:rsid w:val="00776763"/>
    <w:rsid w:val="00776CAE"/>
    <w:rsid w:val="00777A47"/>
    <w:rsid w:val="007843CA"/>
    <w:rsid w:val="0078464C"/>
    <w:rsid w:val="00787782"/>
    <w:rsid w:val="0079000D"/>
    <w:rsid w:val="0079064F"/>
    <w:rsid w:val="007922CB"/>
    <w:rsid w:val="00792BFF"/>
    <w:rsid w:val="00795901"/>
    <w:rsid w:val="007A5DD6"/>
    <w:rsid w:val="007B35A8"/>
    <w:rsid w:val="007C0872"/>
    <w:rsid w:val="007C32A4"/>
    <w:rsid w:val="007C3CBA"/>
    <w:rsid w:val="007C5E97"/>
    <w:rsid w:val="007C6869"/>
    <w:rsid w:val="007D0CF3"/>
    <w:rsid w:val="007D5DFC"/>
    <w:rsid w:val="007D613F"/>
    <w:rsid w:val="007D6EC8"/>
    <w:rsid w:val="007E011B"/>
    <w:rsid w:val="007E3B09"/>
    <w:rsid w:val="007E5FA0"/>
    <w:rsid w:val="007F5D67"/>
    <w:rsid w:val="007F7F32"/>
    <w:rsid w:val="00801D42"/>
    <w:rsid w:val="00802A4D"/>
    <w:rsid w:val="00807640"/>
    <w:rsid w:val="008106CE"/>
    <w:rsid w:val="00812391"/>
    <w:rsid w:val="008161FF"/>
    <w:rsid w:val="00816DA2"/>
    <w:rsid w:val="00822F66"/>
    <w:rsid w:val="0083071F"/>
    <w:rsid w:val="00835260"/>
    <w:rsid w:val="0083797B"/>
    <w:rsid w:val="008468B1"/>
    <w:rsid w:val="00853444"/>
    <w:rsid w:val="00854118"/>
    <w:rsid w:val="00854CB6"/>
    <w:rsid w:val="00861C0D"/>
    <w:rsid w:val="00867AD2"/>
    <w:rsid w:val="00871270"/>
    <w:rsid w:val="00872435"/>
    <w:rsid w:val="00874EDF"/>
    <w:rsid w:val="00881A27"/>
    <w:rsid w:val="00882B0F"/>
    <w:rsid w:val="008839F1"/>
    <w:rsid w:val="0088472E"/>
    <w:rsid w:val="00887C03"/>
    <w:rsid w:val="00890C08"/>
    <w:rsid w:val="0089140C"/>
    <w:rsid w:val="008A1C97"/>
    <w:rsid w:val="008A466A"/>
    <w:rsid w:val="008A53B4"/>
    <w:rsid w:val="008B024F"/>
    <w:rsid w:val="008B1BFC"/>
    <w:rsid w:val="008B4BDD"/>
    <w:rsid w:val="008C0D8D"/>
    <w:rsid w:val="008C32D4"/>
    <w:rsid w:val="008C35C3"/>
    <w:rsid w:val="008C446A"/>
    <w:rsid w:val="008C699F"/>
    <w:rsid w:val="008D04FA"/>
    <w:rsid w:val="008D40F4"/>
    <w:rsid w:val="008D5B8C"/>
    <w:rsid w:val="008E112C"/>
    <w:rsid w:val="008E1900"/>
    <w:rsid w:val="008E27E9"/>
    <w:rsid w:val="008E2865"/>
    <w:rsid w:val="008F4ECA"/>
    <w:rsid w:val="00902A67"/>
    <w:rsid w:val="009045A9"/>
    <w:rsid w:val="00904BDE"/>
    <w:rsid w:val="0090509F"/>
    <w:rsid w:val="00906E4E"/>
    <w:rsid w:val="00910C37"/>
    <w:rsid w:val="00915463"/>
    <w:rsid w:val="0092125D"/>
    <w:rsid w:val="009278AA"/>
    <w:rsid w:val="0093584C"/>
    <w:rsid w:val="00940444"/>
    <w:rsid w:val="00941E6E"/>
    <w:rsid w:val="009475B0"/>
    <w:rsid w:val="00954419"/>
    <w:rsid w:val="009634F0"/>
    <w:rsid w:val="00970A66"/>
    <w:rsid w:val="00980419"/>
    <w:rsid w:val="00981AD7"/>
    <w:rsid w:val="00986369"/>
    <w:rsid w:val="00993971"/>
    <w:rsid w:val="009941CD"/>
    <w:rsid w:val="0099523B"/>
    <w:rsid w:val="00995C11"/>
    <w:rsid w:val="00997985"/>
    <w:rsid w:val="009A0EA5"/>
    <w:rsid w:val="009A3E16"/>
    <w:rsid w:val="009B0391"/>
    <w:rsid w:val="009B7465"/>
    <w:rsid w:val="009C15BA"/>
    <w:rsid w:val="009C4214"/>
    <w:rsid w:val="009C4FD6"/>
    <w:rsid w:val="009C7658"/>
    <w:rsid w:val="009C7771"/>
    <w:rsid w:val="009D7C2F"/>
    <w:rsid w:val="009E4790"/>
    <w:rsid w:val="009E5856"/>
    <w:rsid w:val="009F169E"/>
    <w:rsid w:val="00A016CC"/>
    <w:rsid w:val="00A0180D"/>
    <w:rsid w:val="00A060B6"/>
    <w:rsid w:val="00A142E1"/>
    <w:rsid w:val="00A1433F"/>
    <w:rsid w:val="00A20038"/>
    <w:rsid w:val="00A21EF4"/>
    <w:rsid w:val="00A22443"/>
    <w:rsid w:val="00A22739"/>
    <w:rsid w:val="00A26DBC"/>
    <w:rsid w:val="00A30725"/>
    <w:rsid w:val="00A3544F"/>
    <w:rsid w:val="00A37912"/>
    <w:rsid w:val="00A44873"/>
    <w:rsid w:val="00A50163"/>
    <w:rsid w:val="00A50667"/>
    <w:rsid w:val="00A700E2"/>
    <w:rsid w:val="00A715D2"/>
    <w:rsid w:val="00A840A5"/>
    <w:rsid w:val="00A845AA"/>
    <w:rsid w:val="00A91C41"/>
    <w:rsid w:val="00A94289"/>
    <w:rsid w:val="00A969BD"/>
    <w:rsid w:val="00AA5003"/>
    <w:rsid w:val="00AA5330"/>
    <w:rsid w:val="00AB174D"/>
    <w:rsid w:val="00AB1790"/>
    <w:rsid w:val="00AB3668"/>
    <w:rsid w:val="00AB4871"/>
    <w:rsid w:val="00AB7F25"/>
    <w:rsid w:val="00AC10F7"/>
    <w:rsid w:val="00AC2AFB"/>
    <w:rsid w:val="00AC2B42"/>
    <w:rsid w:val="00AC41CE"/>
    <w:rsid w:val="00AD312A"/>
    <w:rsid w:val="00AD4E29"/>
    <w:rsid w:val="00AD5860"/>
    <w:rsid w:val="00AD5BB9"/>
    <w:rsid w:val="00AD5FF2"/>
    <w:rsid w:val="00AD7F3E"/>
    <w:rsid w:val="00AE0D72"/>
    <w:rsid w:val="00AE1513"/>
    <w:rsid w:val="00AE5FB4"/>
    <w:rsid w:val="00AE6058"/>
    <w:rsid w:val="00AF0007"/>
    <w:rsid w:val="00AF1483"/>
    <w:rsid w:val="00AF3237"/>
    <w:rsid w:val="00AF35E5"/>
    <w:rsid w:val="00AF4587"/>
    <w:rsid w:val="00AF485A"/>
    <w:rsid w:val="00AF6EA6"/>
    <w:rsid w:val="00B00459"/>
    <w:rsid w:val="00B056DD"/>
    <w:rsid w:val="00B06824"/>
    <w:rsid w:val="00B20C44"/>
    <w:rsid w:val="00B22BBB"/>
    <w:rsid w:val="00B27AF2"/>
    <w:rsid w:val="00B36015"/>
    <w:rsid w:val="00B36220"/>
    <w:rsid w:val="00B37E31"/>
    <w:rsid w:val="00B571DA"/>
    <w:rsid w:val="00B57597"/>
    <w:rsid w:val="00B57C60"/>
    <w:rsid w:val="00B61A0F"/>
    <w:rsid w:val="00B61B85"/>
    <w:rsid w:val="00B62EE9"/>
    <w:rsid w:val="00B66178"/>
    <w:rsid w:val="00B662C3"/>
    <w:rsid w:val="00B67621"/>
    <w:rsid w:val="00B74762"/>
    <w:rsid w:val="00B76467"/>
    <w:rsid w:val="00B839C1"/>
    <w:rsid w:val="00B83A82"/>
    <w:rsid w:val="00B93469"/>
    <w:rsid w:val="00B93F35"/>
    <w:rsid w:val="00B945D5"/>
    <w:rsid w:val="00BA39AD"/>
    <w:rsid w:val="00BA3B65"/>
    <w:rsid w:val="00BB4E1C"/>
    <w:rsid w:val="00BB4EE9"/>
    <w:rsid w:val="00BB6660"/>
    <w:rsid w:val="00BB7BF5"/>
    <w:rsid w:val="00BC5797"/>
    <w:rsid w:val="00BC64C4"/>
    <w:rsid w:val="00BD2F24"/>
    <w:rsid w:val="00BD3AF3"/>
    <w:rsid w:val="00BD3C86"/>
    <w:rsid w:val="00BD59B7"/>
    <w:rsid w:val="00BD7DB2"/>
    <w:rsid w:val="00BE3128"/>
    <w:rsid w:val="00BE3BCE"/>
    <w:rsid w:val="00BE49BE"/>
    <w:rsid w:val="00BE4A42"/>
    <w:rsid w:val="00BF060A"/>
    <w:rsid w:val="00BF1F6A"/>
    <w:rsid w:val="00BF5BA9"/>
    <w:rsid w:val="00C00F80"/>
    <w:rsid w:val="00C02100"/>
    <w:rsid w:val="00C021B2"/>
    <w:rsid w:val="00C05250"/>
    <w:rsid w:val="00C0640B"/>
    <w:rsid w:val="00C20688"/>
    <w:rsid w:val="00C21647"/>
    <w:rsid w:val="00C27A82"/>
    <w:rsid w:val="00C32EA5"/>
    <w:rsid w:val="00C33E1C"/>
    <w:rsid w:val="00C35FD2"/>
    <w:rsid w:val="00C45009"/>
    <w:rsid w:val="00C52394"/>
    <w:rsid w:val="00C53C82"/>
    <w:rsid w:val="00C5625C"/>
    <w:rsid w:val="00C576A9"/>
    <w:rsid w:val="00C60537"/>
    <w:rsid w:val="00C76985"/>
    <w:rsid w:val="00C775E5"/>
    <w:rsid w:val="00C81106"/>
    <w:rsid w:val="00C90A61"/>
    <w:rsid w:val="00C91B73"/>
    <w:rsid w:val="00C97A46"/>
    <w:rsid w:val="00CA0B89"/>
    <w:rsid w:val="00CA132D"/>
    <w:rsid w:val="00CA3A67"/>
    <w:rsid w:val="00CA4A07"/>
    <w:rsid w:val="00CA7935"/>
    <w:rsid w:val="00CB7E1B"/>
    <w:rsid w:val="00CC1FF4"/>
    <w:rsid w:val="00CD1667"/>
    <w:rsid w:val="00CD249A"/>
    <w:rsid w:val="00CD255B"/>
    <w:rsid w:val="00CD5CD6"/>
    <w:rsid w:val="00CD75CF"/>
    <w:rsid w:val="00CE0806"/>
    <w:rsid w:val="00CE744D"/>
    <w:rsid w:val="00CF3884"/>
    <w:rsid w:val="00CF73D4"/>
    <w:rsid w:val="00D02E7D"/>
    <w:rsid w:val="00D02FB3"/>
    <w:rsid w:val="00D030C9"/>
    <w:rsid w:val="00D03BD3"/>
    <w:rsid w:val="00D03E4B"/>
    <w:rsid w:val="00D047A2"/>
    <w:rsid w:val="00D12648"/>
    <w:rsid w:val="00D17547"/>
    <w:rsid w:val="00D20D0D"/>
    <w:rsid w:val="00D22811"/>
    <w:rsid w:val="00D25428"/>
    <w:rsid w:val="00D27A37"/>
    <w:rsid w:val="00D27F23"/>
    <w:rsid w:val="00D34EFF"/>
    <w:rsid w:val="00D35992"/>
    <w:rsid w:val="00D427FB"/>
    <w:rsid w:val="00D450F0"/>
    <w:rsid w:val="00D45C50"/>
    <w:rsid w:val="00D46E07"/>
    <w:rsid w:val="00D575BF"/>
    <w:rsid w:val="00D60A68"/>
    <w:rsid w:val="00D6203D"/>
    <w:rsid w:val="00D66EEA"/>
    <w:rsid w:val="00D67604"/>
    <w:rsid w:val="00D83CCC"/>
    <w:rsid w:val="00D84140"/>
    <w:rsid w:val="00D850DE"/>
    <w:rsid w:val="00DA6556"/>
    <w:rsid w:val="00DB09DA"/>
    <w:rsid w:val="00DB13F5"/>
    <w:rsid w:val="00DB1DFC"/>
    <w:rsid w:val="00DB3323"/>
    <w:rsid w:val="00DB486E"/>
    <w:rsid w:val="00DB72F5"/>
    <w:rsid w:val="00DC0487"/>
    <w:rsid w:val="00DD26FE"/>
    <w:rsid w:val="00DD2F05"/>
    <w:rsid w:val="00DE099F"/>
    <w:rsid w:val="00DE510F"/>
    <w:rsid w:val="00DE7ED5"/>
    <w:rsid w:val="00DF4DE3"/>
    <w:rsid w:val="00DF529B"/>
    <w:rsid w:val="00DF5502"/>
    <w:rsid w:val="00DF7997"/>
    <w:rsid w:val="00E03BBF"/>
    <w:rsid w:val="00E062AE"/>
    <w:rsid w:val="00E0735C"/>
    <w:rsid w:val="00E21A95"/>
    <w:rsid w:val="00E22E14"/>
    <w:rsid w:val="00E25173"/>
    <w:rsid w:val="00E262E0"/>
    <w:rsid w:val="00E2680E"/>
    <w:rsid w:val="00E27758"/>
    <w:rsid w:val="00E305BF"/>
    <w:rsid w:val="00E30810"/>
    <w:rsid w:val="00E42DD9"/>
    <w:rsid w:val="00E441D1"/>
    <w:rsid w:val="00E458BD"/>
    <w:rsid w:val="00E473DB"/>
    <w:rsid w:val="00E47A9B"/>
    <w:rsid w:val="00E5128F"/>
    <w:rsid w:val="00E54CF7"/>
    <w:rsid w:val="00E56A3D"/>
    <w:rsid w:val="00E62B34"/>
    <w:rsid w:val="00E75815"/>
    <w:rsid w:val="00E83F10"/>
    <w:rsid w:val="00E84266"/>
    <w:rsid w:val="00E86D99"/>
    <w:rsid w:val="00E9796D"/>
    <w:rsid w:val="00EA0391"/>
    <w:rsid w:val="00EA29E5"/>
    <w:rsid w:val="00EA3C0F"/>
    <w:rsid w:val="00EA4530"/>
    <w:rsid w:val="00EA7739"/>
    <w:rsid w:val="00EB4F8F"/>
    <w:rsid w:val="00EB5F52"/>
    <w:rsid w:val="00EB7C17"/>
    <w:rsid w:val="00EB7E62"/>
    <w:rsid w:val="00EC0964"/>
    <w:rsid w:val="00EC114D"/>
    <w:rsid w:val="00EC2E0A"/>
    <w:rsid w:val="00ED1620"/>
    <w:rsid w:val="00ED225A"/>
    <w:rsid w:val="00ED48C7"/>
    <w:rsid w:val="00ED7741"/>
    <w:rsid w:val="00ED7DD7"/>
    <w:rsid w:val="00EE2DDB"/>
    <w:rsid w:val="00EF4E8C"/>
    <w:rsid w:val="00EF5C04"/>
    <w:rsid w:val="00F0192F"/>
    <w:rsid w:val="00F05FFA"/>
    <w:rsid w:val="00F066A9"/>
    <w:rsid w:val="00F131CC"/>
    <w:rsid w:val="00F20FC3"/>
    <w:rsid w:val="00F23EB2"/>
    <w:rsid w:val="00F26C18"/>
    <w:rsid w:val="00F41B4D"/>
    <w:rsid w:val="00F41BD0"/>
    <w:rsid w:val="00F44705"/>
    <w:rsid w:val="00F56347"/>
    <w:rsid w:val="00F56A85"/>
    <w:rsid w:val="00F65BB1"/>
    <w:rsid w:val="00F66F72"/>
    <w:rsid w:val="00F67D81"/>
    <w:rsid w:val="00F74DFE"/>
    <w:rsid w:val="00F76B7F"/>
    <w:rsid w:val="00F77B44"/>
    <w:rsid w:val="00F92E43"/>
    <w:rsid w:val="00F95270"/>
    <w:rsid w:val="00FB38B2"/>
    <w:rsid w:val="00FB67AD"/>
    <w:rsid w:val="00FC28F4"/>
    <w:rsid w:val="00FC5060"/>
    <w:rsid w:val="00FC666C"/>
    <w:rsid w:val="00FD59DB"/>
    <w:rsid w:val="00FD73C1"/>
    <w:rsid w:val="00FE14F9"/>
    <w:rsid w:val="00FE1998"/>
    <w:rsid w:val="00FE1CF7"/>
    <w:rsid w:val="00FE1E2A"/>
    <w:rsid w:val="00FE64B8"/>
    <w:rsid w:val="00FE687D"/>
    <w:rsid w:val="00FE7113"/>
    <w:rsid w:val="00FF0890"/>
    <w:rsid w:val="00FF10F9"/>
    <w:rsid w:val="00FF1E52"/>
    <w:rsid w:val="00FF73C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093B3F"/>
  <w15:chartTrackingRefBased/>
  <w15:docId w15:val="{2A214E1B-6736-4B3F-9622-3580A301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C3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C3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C3E0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C3E0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C3E0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C3E0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C3E0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C3E0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C3E0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C3E0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C3E0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C3E0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C3E0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C3E0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C3E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C3E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C3E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C3E0E"/>
    <w:rPr>
      <w:rFonts w:eastAsiaTheme="majorEastAsia" w:cstheme="majorBidi"/>
      <w:color w:val="272727" w:themeColor="text1" w:themeTint="D8"/>
    </w:rPr>
  </w:style>
  <w:style w:type="paragraph" w:styleId="Titel">
    <w:name w:val="Title"/>
    <w:basedOn w:val="Standard"/>
    <w:next w:val="Standard"/>
    <w:link w:val="TitelZchn"/>
    <w:uiPriority w:val="10"/>
    <w:qFormat/>
    <w:rsid w:val="005C3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C3E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C3E0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C3E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C3E0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C3E0E"/>
    <w:rPr>
      <w:i/>
      <w:iCs/>
      <w:color w:val="404040" w:themeColor="text1" w:themeTint="BF"/>
    </w:rPr>
  </w:style>
  <w:style w:type="paragraph" w:styleId="Listenabsatz">
    <w:name w:val="List Paragraph"/>
    <w:basedOn w:val="Standard"/>
    <w:uiPriority w:val="34"/>
    <w:qFormat/>
    <w:rsid w:val="005C3E0E"/>
    <w:pPr>
      <w:ind w:left="720"/>
      <w:contextualSpacing/>
    </w:pPr>
  </w:style>
  <w:style w:type="character" w:styleId="IntensiveHervorhebung">
    <w:name w:val="Intense Emphasis"/>
    <w:basedOn w:val="Absatz-Standardschriftart"/>
    <w:uiPriority w:val="21"/>
    <w:qFormat/>
    <w:rsid w:val="005C3E0E"/>
    <w:rPr>
      <w:i/>
      <w:iCs/>
      <w:color w:val="2F5496" w:themeColor="accent1" w:themeShade="BF"/>
    </w:rPr>
  </w:style>
  <w:style w:type="paragraph" w:styleId="IntensivesZitat">
    <w:name w:val="Intense Quote"/>
    <w:basedOn w:val="Standard"/>
    <w:next w:val="Standard"/>
    <w:link w:val="IntensivesZitatZchn"/>
    <w:uiPriority w:val="30"/>
    <w:qFormat/>
    <w:rsid w:val="005C3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C3E0E"/>
    <w:rPr>
      <w:i/>
      <w:iCs/>
      <w:color w:val="2F5496" w:themeColor="accent1" w:themeShade="BF"/>
    </w:rPr>
  </w:style>
  <w:style w:type="character" w:styleId="IntensiverVerweis">
    <w:name w:val="Intense Reference"/>
    <w:basedOn w:val="Absatz-Standardschriftart"/>
    <w:uiPriority w:val="32"/>
    <w:qFormat/>
    <w:rsid w:val="005C3E0E"/>
    <w:rPr>
      <w:b/>
      <w:bCs/>
      <w:smallCaps/>
      <w:color w:val="2F5496" w:themeColor="accent1" w:themeShade="BF"/>
      <w:spacing w:val="5"/>
    </w:rPr>
  </w:style>
  <w:style w:type="character" w:styleId="Hyperlink">
    <w:name w:val="Hyperlink"/>
    <w:basedOn w:val="Absatz-Standardschriftart"/>
    <w:uiPriority w:val="99"/>
    <w:unhideWhenUsed/>
    <w:rsid w:val="005C3E0E"/>
    <w:rPr>
      <w:color w:val="0563C1" w:themeColor="hyperlink"/>
      <w:u w:val="single"/>
    </w:rPr>
  </w:style>
  <w:style w:type="character" w:styleId="NichtaufgelsteErwhnung">
    <w:name w:val="Unresolved Mention"/>
    <w:basedOn w:val="Absatz-Standardschriftart"/>
    <w:uiPriority w:val="99"/>
    <w:semiHidden/>
    <w:unhideWhenUsed/>
    <w:rsid w:val="005C3E0E"/>
    <w:rPr>
      <w:color w:val="605E5C"/>
      <w:shd w:val="clear" w:color="auto" w:fill="E1DFDD"/>
    </w:rPr>
  </w:style>
  <w:style w:type="character" w:styleId="Kommentarzeichen">
    <w:name w:val="annotation reference"/>
    <w:basedOn w:val="Absatz-Standardschriftart"/>
    <w:uiPriority w:val="99"/>
    <w:semiHidden/>
    <w:unhideWhenUsed/>
    <w:rsid w:val="000C114B"/>
    <w:rPr>
      <w:sz w:val="16"/>
      <w:szCs w:val="16"/>
    </w:rPr>
  </w:style>
  <w:style w:type="paragraph" w:styleId="Kommentartext">
    <w:name w:val="annotation text"/>
    <w:basedOn w:val="Standard"/>
    <w:link w:val="KommentartextZchn"/>
    <w:uiPriority w:val="99"/>
    <w:unhideWhenUsed/>
    <w:rsid w:val="000C114B"/>
    <w:pPr>
      <w:spacing w:line="240" w:lineRule="auto"/>
    </w:pPr>
    <w:rPr>
      <w:sz w:val="20"/>
      <w:szCs w:val="20"/>
    </w:rPr>
  </w:style>
  <w:style w:type="character" w:customStyle="1" w:styleId="KommentartextZchn">
    <w:name w:val="Kommentartext Zchn"/>
    <w:basedOn w:val="Absatz-Standardschriftart"/>
    <w:link w:val="Kommentartext"/>
    <w:uiPriority w:val="99"/>
    <w:rsid w:val="000C114B"/>
    <w:rPr>
      <w:sz w:val="20"/>
      <w:szCs w:val="20"/>
    </w:rPr>
  </w:style>
  <w:style w:type="paragraph" w:styleId="Kommentarthema">
    <w:name w:val="annotation subject"/>
    <w:basedOn w:val="Kommentartext"/>
    <w:next w:val="Kommentartext"/>
    <w:link w:val="KommentarthemaZchn"/>
    <w:uiPriority w:val="99"/>
    <w:semiHidden/>
    <w:unhideWhenUsed/>
    <w:rsid w:val="000C114B"/>
    <w:rPr>
      <w:b/>
      <w:bCs/>
    </w:rPr>
  </w:style>
  <w:style w:type="character" w:customStyle="1" w:styleId="KommentarthemaZchn">
    <w:name w:val="Kommentarthema Zchn"/>
    <w:basedOn w:val="KommentartextZchn"/>
    <w:link w:val="Kommentarthema"/>
    <w:uiPriority w:val="99"/>
    <w:semiHidden/>
    <w:rsid w:val="000C114B"/>
    <w:rPr>
      <w:b/>
      <w:bCs/>
      <w:sz w:val="20"/>
      <w:szCs w:val="20"/>
    </w:rPr>
  </w:style>
  <w:style w:type="paragraph" w:styleId="berarbeitung">
    <w:name w:val="Revision"/>
    <w:hidden/>
    <w:uiPriority w:val="99"/>
    <w:semiHidden/>
    <w:rsid w:val="00776763"/>
    <w:pPr>
      <w:spacing w:after="0" w:line="240" w:lineRule="auto"/>
    </w:pPr>
  </w:style>
  <w:style w:type="paragraph" w:styleId="StandardWeb">
    <w:name w:val="Normal (Web)"/>
    <w:basedOn w:val="Standard"/>
    <w:uiPriority w:val="99"/>
    <w:unhideWhenUsed/>
    <w:rsid w:val="00297DEB"/>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790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5A63A4"/>
    <w:pPr>
      <w:spacing w:after="200" w:line="240" w:lineRule="auto"/>
    </w:pPr>
    <w:rPr>
      <w:i/>
      <w:iCs/>
      <w:color w:val="44546A" w:themeColor="text2"/>
      <w:sz w:val="18"/>
      <w:szCs w:val="18"/>
    </w:rPr>
  </w:style>
  <w:style w:type="paragraph" w:styleId="Kopfzeile">
    <w:name w:val="header"/>
    <w:basedOn w:val="Standard"/>
    <w:link w:val="KopfzeileZchn"/>
    <w:uiPriority w:val="99"/>
    <w:unhideWhenUsed/>
    <w:rsid w:val="008B4B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4BDD"/>
  </w:style>
  <w:style w:type="paragraph" w:styleId="Fuzeile">
    <w:name w:val="footer"/>
    <w:basedOn w:val="Standard"/>
    <w:link w:val="FuzeileZchn"/>
    <w:uiPriority w:val="99"/>
    <w:unhideWhenUsed/>
    <w:rsid w:val="008B4B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4BDD"/>
  </w:style>
  <w:style w:type="character" w:customStyle="1" w:styleId="id-label">
    <w:name w:val="id-label"/>
    <w:basedOn w:val="Absatz-Standardschriftart"/>
    <w:rsid w:val="00EF4E8C"/>
  </w:style>
  <w:style w:type="character" w:styleId="Fett">
    <w:name w:val="Strong"/>
    <w:basedOn w:val="Absatz-Standardschriftart"/>
    <w:uiPriority w:val="22"/>
    <w:qFormat/>
    <w:rsid w:val="00EF4E8C"/>
    <w:rPr>
      <w:b/>
      <w:bCs/>
    </w:rPr>
  </w:style>
  <w:style w:type="character" w:customStyle="1" w:styleId="docsum-pmid">
    <w:name w:val="docsum-pmid"/>
    <w:basedOn w:val="Absatz-Standardschriftart"/>
    <w:rsid w:val="003C6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0793">
      <w:bodyDiv w:val="1"/>
      <w:marLeft w:val="0"/>
      <w:marRight w:val="0"/>
      <w:marTop w:val="0"/>
      <w:marBottom w:val="0"/>
      <w:divBdr>
        <w:top w:val="none" w:sz="0" w:space="0" w:color="auto"/>
        <w:left w:val="none" w:sz="0" w:space="0" w:color="auto"/>
        <w:bottom w:val="none" w:sz="0" w:space="0" w:color="auto"/>
        <w:right w:val="none" w:sz="0" w:space="0" w:color="auto"/>
      </w:divBdr>
    </w:div>
    <w:div w:id="498272408">
      <w:bodyDiv w:val="1"/>
      <w:marLeft w:val="0"/>
      <w:marRight w:val="0"/>
      <w:marTop w:val="0"/>
      <w:marBottom w:val="0"/>
      <w:divBdr>
        <w:top w:val="none" w:sz="0" w:space="0" w:color="auto"/>
        <w:left w:val="none" w:sz="0" w:space="0" w:color="auto"/>
        <w:bottom w:val="none" w:sz="0" w:space="0" w:color="auto"/>
        <w:right w:val="none" w:sz="0" w:space="0" w:color="auto"/>
      </w:divBdr>
    </w:div>
    <w:div w:id="543106215">
      <w:bodyDiv w:val="1"/>
      <w:marLeft w:val="0"/>
      <w:marRight w:val="0"/>
      <w:marTop w:val="0"/>
      <w:marBottom w:val="0"/>
      <w:divBdr>
        <w:top w:val="none" w:sz="0" w:space="0" w:color="auto"/>
        <w:left w:val="none" w:sz="0" w:space="0" w:color="auto"/>
        <w:bottom w:val="none" w:sz="0" w:space="0" w:color="auto"/>
        <w:right w:val="none" w:sz="0" w:space="0" w:color="auto"/>
      </w:divBdr>
    </w:div>
    <w:div w:id="721515491">
      <w:bodyDiv w:val="1"/>
      <w:marLeft w:val="0"/>
      <w:marRight w:val="0"/>
      <w:marTop w:val="0"/>
      <w:marBottom w:val="0"/>
      <w:divBdr>
        <w:top w:val="none" w:sz="0" w:space="0" w:color="auto"/>
        <w:left w:val="none" w:sz="0" w:space="0" w:color="auto"/>
        <w:bottom w:val="none" w:sz="0" w:space="0" w:color="auto"/>
        <w:right w:val="none" w:sz="0" w:space="0" w:color="auto"/>
      </w:divBdr>
    </w:div>
    <w:div w:id="932664144">
      <w:bodyDiv w:val="1"/>
      <w:marLeft w:val="0"/>
      <w:marRight w:val="0"/>
      <w:marTop w:val="0"/>
      <w:marBottom w:val="0"/>
      <w:divBdr>
        <w:top w:val="none" w:sz="0" w:space="0" w:color="auto"/>
        <w:left w:val="none" w:sz="0" w:space="0" w:color="auto"/>
        <w:bottom w:val="none" w:sz="0" w:space="0" w:color="auto"/>
        <w:right w:val="none" w:sz="0" w:space="0" w:color="auto"/>
      </w:divBdr>
      <w:divsChild>
        <w:div w:id="1610549990">
          <w:marLeft w:val="0"/>
          <w:marRight w:val="0"/>
          <w:marTop w:val="0"/>
          <w:marBottom w:val="600"/>
          <w:divBdr>
            <w:top w:val="none" w:sz="0" w:space="0" w:color="auto"/>
            <w:left w:val="none" w:sz="0" w:space="0" w:color="auto"/>
            <w:bottom w:val="none" w:sz="0" w:space="0" w:color="auto"/>
            <w:right w:val="none" w:sz="0" w:space="0" w:color="auto"/>
          </w:divBdr>
        </w:div>
      </w:divsChild>
    </w:div>
    <w:div w:id="1080252606">
      <w:bodyDiv w:val="1"/>
      <w:marLeft w:val="0"/>
      <w:marRight w:val="0"/>
      <w:marTop w:val="0"/>
      <w:marBottom w:val="0"/>
      <w:divBdr>
        <w:top w:val="none" w:sz="0" w:space="0" w:color="auto"/>
        <w:left w:val="none" w:sz="0" w:space="0" w:color="auto"/>
        <w:bottom w:val="none" w:sz="0" w:space="0" w:color="auto"/>
        <w:right w:val="none" w:sz="0" w:space="0" w:color="auto"/>
      </w:divBdr>
    </w:div>
    <w:div w:id="1150368960">
      <w:bodyDiv w:val="1"/>
      <w:marLeft w:val="0"/>
      <w:marRight w:val="0"/>
      <w:marTop w:val="0"/>
      <w:marBottom w:val="0"/>
      <w:divBdr>
        <w:top w:val="none" w:sz="0" w:space="0" w:color="auto"/>
        <w:left w:val="none" w:sz="0" w:space="0" w:color="auto"/>
        <w:bottom w:val="none" w:sz="0" w:space="0" w:color="auto"/>
        <w:right w:val="none" w:sz="0" w:space="0" w:color="auto"/>
      </w:divBdr>
    </w:div>
    <w:div w:id="1196506023">
      <w:bodyDiv w:val="1"/>
      <w:marLeft w:val="0"/>
      <w:marRight w:val="0"/>
      <w:marTop w:val="0"/>
      <w:marBottom w:val="0"/>
      <w:divBdr>
        <w:top w:val="none" w:sz="0" w:space="0" w:color="auto"/>
        <w:left w:val="none" w:sz="0" w:space="0" w:color="auto"/>
        <w:bottom w:val="none" w:sz="0" w:space="0" w:color="auto"/>
        <w:right w:val="none" w:sz="0" w:space="0" w:color="auto"/>
      </w:divBdr>
    </w:div>
    <w:div w:id="1212813340">
      <w:bodyDiv w:val="1"/>
      <w:marLeft w:val="0"/>
      <w:marRight w:val="0"/>
      <w:marTop w:val="0"/>
      <w:marBottom w:val="0"/>
      <w:divBdr>
        <w:top w:val="none" w:sz="0" w:space="0" w:color="auto"/>
        <w:left w:val="none" w:sz="0" w:space="0" w:color="auto"/>
        <w:bottom w:val="none" w:sz="0" w:space="0" w:color="auto"/>
        <w:right w:val="none" w:sz="0" w:space="0" w:color="auto"/>
      </w:divBdr>
    </w:div>
    <w:div w:id="1323123031">
      <w:bodyDiv w:val="1"/>
      <w:marLeft w:val="0"/>
      <w:marRight w:val="0"/>
      <w:marTop w:val="0"/>
      <w:marBottom w:val="0"/>
      <w:divBdr>
        <w:top w:val="none" w:sz="0" w:space="0" w:color="auto"/>
        <w:left w:val="none" w:sz="0" w:space="0" w:color="auto"/>
        <w:bottom w:val="none" w:sz="0" w:space="0" w:color="auto"/>
        <w:right w:val="none" w:sz="0" w:space="0" w:color="auto"/>
      </w:divBdr>
    </w:div>
    <w:div w:id="1468234429">
      <w:bodyDiv w:val="1"/>
      <w:marLeft w:val="0"/>
      <w:marRight w:val="0"/>
      <w:marTop w:val="0"/>
      <w:marBottom w:val="0"/>
      <w:divBdr>
        <w:top w:val="none" w:sz="0" w:space="0" w:color="auto"/>
        <w:left w:val="none" w:sz="0" w:space="0" w:color="auto"/>
        <w:bottom w:val="none" w:sz="0" w:space="0" w:color="auto"/>
        <w:right w:val="none" w:sz="0" w:space="0" w:color="auto"/>
      </w:divBdr>
    </w:div>
    <w:div w:id="1533035178">
      <w:bodyDiv w:val="1"/>
      <w:marLeft w:val="0"/>
      <w:marRight w:val="0"/>
      <w:marTop w:val="0"/>
      <w:marBottom w:val="0"/>
      <w:divBdr>
        <w:top w:val="none" w:sz="0" w:space="0" w:color="auto"/>
        <w:left w:val="none" w:sz="0" w:space="0" w:color="auto"/>
        <w:bottom w:val="none" w:sz="0" w:space="0" w:color="auto"/>
        <w:right w:val="none" w:sz="0" w:space="0" w:color="auto"/>
      </w:divBdr>
    </w:div>
    <w:div w:id="1652323034">
      <w:bodyDiv w:val="1"/>
      <w:marLeft w:val="0"/>
      <w:marRight w:val="0"/>
      <w:marTop w:val="0"/>
      <w:marBottom w:val="0"/>
      <w:divBdr>
        <w:top w:val="none" w:sz="0" w:space="0" w:color="auto"/>
        <w:left w:val="none" w:sz="0" w:space="0" w:color="auto"/>
        <w:bottom w:val="none" w:sz="0" w:space="0" w:color="auto"/>
        <w:right w:val="none" w:sz="0" w:space="0" w:color="auto"/>
      </w:divBdr>
    </w:div>
    <w:div w:id="1676878005">
      <w:bodyDiv w:val="1"/>
      <w:marLeft w:val="0"/>
      <w:marRight w:val="0"/>
      <w:marTop w:val="0"/>
      <w:marBottom w:val="0"/>
      <w:divBdr>
        <w:top w:val="none" w:sz="0" w:space="0" w:color="auto"/>
        <w:left w:val="none" w:sz="0" w:space="0" w:color="auto"/>
        <w:bottom w:val="none" w:sz="0" w:space="0" w:color="auto"/>
        <w:right w:val="none" w:sz="0" w:space="0" w:color="auto"/>
      </w:divBdr>
    </w:div>
    <w:div w:id="1696422277">
      <w:bodyDiv w:val="1"/>
      <w:marLeft w:val="0"/>
      <w:marRight w:val="0"/>
      <w:marTop w:val="0"/>
      <w:marBottom w:val="0"/>
      <w:divBdr>
        <w:top w:val="none" w:sz="0" w:space="0" w:color="auto"/>
        <w:left w:val="none" w:sz="0" w:space="0" w:color="auto"/>
        <w:bottom w:val="none" w:sz="0" w:space="0" w:color="auto"/>
        <w:right w:val="none" w:sz="0" w:space="0" w:color="auto"/>
      </w:divBdr>
    </w:div>
    <w:div w:id="1748844235">
      <w:bodyDiv w:val="1"/>
      <w:marLeft w:val="0"/>
      <w:marRight w:val="0"/>
      <w:marTop w:val="0"/>
      <w:marBottom w:val="0"/>
      <w:divBdr>
        <w:top w:val="none" w:sz="0" w:space="0" w:color="auto"/>
        <w:left w:val="none" w:sz="0" w:space="0" w:color="auto"/>
        <w:bottom w:val="none" w:sz="0" w:space="0" w:color="auto"/>
        <w:right w:val="none" w:sz="0" w:space="0" w:color="auto"/>
      </w:divBdr>
      <w:divsChild>
        <w:div w:id="1087580702">
          <w:marLeft w:val="0"/>
          <w:marRight w:val="0"/>
          <w:marTop w:val="0"/>
          <w:marBottom w:val="600"/>
          <w:divBdr>
            <w:top w:val="none" w:sz="0" w:space="0" w:color="auto"/>
            <w:left w:val="none" w:sz="0" w:space="0" w:color="auto"/>
            <w:bottom w:val="none" w:sz="0" w:space="0" w:color="auto"/>
            <w:right w:val="none" w:sz="0" w:space="0" w:color="auto"/>
          </w:divBdr>
        </w:div>
      </w:divsChild>
    </w:div>
    <w:div w:id="1793015437">
      <w:bodyDiv w:val="1"/>
      <w:marLeft w:val="0"/>
      <w:marRight w:val="0"/>
      <w:marTop w:val="0"/>
      <w:marBottom w:val="0"/>
      <w:divBdr>
        <w:top w:val="none" w:sz="0" w:space="0" w:color="auto"/>
        <w:left w:val="none" w:sz="0" w:space="0" w:color="auto"/>
        <w:bottom w:val="none" w:sz="0" w:space="0" w:color="auto"/>
        <w:right w:val="none" w:sz="0" w:space="0" w:color="auto"/>
      </w:divBdr>
    </w:div>
    <w:div w:id="1840346998">
      <w:bodyDiv w:val="1"/>
      <w:marLeft w:val="0"/>
      <w:marRight w:val="0"/>
      <w:marTop w:val="0"/>
      <w:marBottom w:val="0"/>
      <w:divBdr>
        <w:top w:val="none" w:sz="0" w:space="0" w:color="auto"/>
        <w:left w:val="none" w:sz="0" w:space="0" w:color="auto"/>
        <w:bottom w:val="none" w:sz="0" w:space="0" w:color="auto"/>
        <w:right w:val="none" w:sz="0" w:space="0" w:color="auto"/>
      </w:divBdr>
    </w:div>
    <w:div w:id="2060781090">
      <w:bodyDiv w:val="1"/>
      <w:marLeft w:val="0"/>
      <w:marRight w:val="0"/>
      <w:marTop w:val="0"/>
      <w:marBottom w:val="0"/>
      <w:divBdr>
        <w:top w:val="none" w:sz="0" w:space="0" w:color="auto"/>
        <w:left w:val="none" w:sz="0" w:space="0" w:color="auto"/>
        <w:bottom w:val="none" w:sz="0" w:space="0" w:color="auto"/>
        <w:right w:val="none" w:sz="0" w:space="0" w:color="auto"/>
      </w:divBdr>
    </w:div>
    <w:div w:id="213945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an.r-project.org/package=surviv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yp1diabetes-frueherkennung.de/informationen-arztpraxen/the-fr1da-study-group/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ettegabriele.ziegler@helmholtz-munich.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E79CECA6EC2749918A71B05BCEBF13" ma:contentTypeVersion="15" ma:contentTypeDescription="Ein neues Dokument erstellen." ma:contentTypeScope="" ma:versionID="46c4c5bd724174dd4847daa7bfb75f06">
  <xsd:schema xmlns:xsd="http://www.w3.org/2001/XMLSchema" xmlns:xs="http://www.w3.org/2001/XMLSchema" xmlns:p="http://schemas.microsoft.com/office/2006/metadata/properties" xmlns:ns3="91771647-4d67-47f4-9602-b75e3e960bbd" xmlns:ns4="f899bb70-c2f6-408e-836c-a0b79fcda319" targetNamespace="http://schemas.microsoft.com/office/2006/metadata/properties" ma:root="true" ma:fieldsID="128895614a56193895763e86b35e8d71" ns3:_="" ns4:_="">
    <xsd:import namespace="91771647-4d67-47f4-9602-b75e3e960bbd"/>
    <xsd:import namespace="f899bb70-c2f6-408e-836c-a0b79fcda31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71647-4d67-47f4-9602-b75e3e960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9bb70-c2f6-408e-836c-a0b79fcda3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SharingHintHash" ma:index="13"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1771647-4d67-47f4-9602-b75e3e960b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B4CC6-90C6-4866-9BCF-E9A122EE4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71647-4d67-47f4-9602-b75e3e960bbd"/>
    <ds:schemaRef ds:uri="f899bb70-c2f6-408e-836c-a0b79fcda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457C6-ECF5-4A57-976C-EB08D7A9C0E3}">
  <ds:schemaRefs>
    <ds:schemaRef ds:uri="http://schemas.openxmlformats.org/officeDocument/2006/bibliography"/>
  </ds:schemaRefs>
</ds:datastoreItem>
</file>

<file path=customXml/itemProps3.xml><?xml version="1.0" encoding="utf-8"?>
<ds:datastoreItem xmlns:ds="http://schemas.openxmlformats.org/officeDocument/2006/customXml" ds:itemID="{16B2D817-5F06-4B0A-A942-68D2239FF342}">
  <ds:schemaRefs>
    <ds:schemaRef ds:uri="http://schemas.microsoft.com/office/2006/metadata/properties"/>
    <ds:schemaRef ds:uri="http://schemas.microsoft.com/office/infopath/2007/PartnerControls"/>
    <ds:schemaRef ds:uri="91771647-4d67-47f4-9602-b75e3e960bbd"/>
  </ds:schemaRefs>
</ds:datastoreItem>
</file>

<file path=customXml/itemProps4.xml><?xml version="1.0" encoding="utf-8"?>
<ds:datastoreItem xmlns:ds="http://schemas.openxmlformats.org/officeDocument/2006/customXml" ds:itemID="{FE00512E-738A-42F5-BE6A-3DCAB5815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6127</Words>
  <Characters>38607</Characters>
  <Application>Microsoft Office Word</Application>
  <DocSecurity>0</DocSecurity>
  <Lines>321</Lines>
  <Paragraphs>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Weiß</dc:creator>
  <cp:keywords/>
  <dc:description/>
  <cp:lastModifiedBy>Katrin Rauner</cp:lastModifiedBy>
  <cp:revision>2</cp:revision>
  <cp:lastPrinted>2025-10-28T17:21:00Z</cp:lastPrinted>
  <dcterms:created xsi:type="dcterms:W3CDTF">2025-12-19T12:08:00Z</dcterms:created>
  <dcterms:modified xsi:type="dcterms:W3CDTF">2025-12-19T12:08:00Z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0x01010052E79CECA6EC2749918A71B05BCEBF13</vt:lpwstr>
  </property>
</Properties>
</file>